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07543" w14:textId="77777777" w:rsidR="00595733" w:rsidRPr="00E54E87" w:rsidRDefault="00595733" w:rsidP="00B37C59">
      <w:pPr>
        <w:widowControl w:val="0"/>
        <w:autoSpaceDE w:val="0"/>
        <w:autoSpaceDN w:val="0"/>
        <w:adjustRightInd w:val="0"/>
        <w:spacing w:after="120"/>
        <w:ind w:firstLine="851"/>
        <w:jc w:val="center"/>
        <w:rPr>
          <w:b/>
          <w:bCs/>
          <w:iCs/>
        </w:rPr>
      </w:pPr>
    </w:p>
    <w:p w14:paraId="64AF8B51" w14:textId="77777777" w:rsidR="00595733" w:rsidRPr="00E54E87" w:rsidRDefault="00595733" w:rsidP="00B37C59">
      <w:pPr>
        <w:widowControl w:val="0"/>
        <w:autoSpaceDE w:val="0"/>
        <w:autoSpaceDN w:val="0"/>
        <w:adjustRightInd w:val="0"/>
        <w:spacing w:after="120"/>
        <w:ind w:firstLine="851"/>
        <w:jc w:val="center"/>
        <w:rPr>
          <w:b/>
          <w:bCs/>
          <w:iCs/>
        </w:rPr>
      </w:pPr>
    </w:p>
    <w:p w14:paraId="3D80858E" w14:textId="77777777" w:rsidR="00595733" w:rsidRPr="00E54E87" w:rsidRDefault="00595733" w:rsidP="00B37C59">
      <w:pPr>
        <w:widowControl w:val="0"/>
        <w:autoSpaceDE w:val="0"/>
        <w:autoSpaceDN w:val="0"/>
        <w:adjustRightInd w:val="0"/>
        <w:spacing w:after="120"/>
        <w:ind w:firstLine="851"/>
        <w:jc w:val="center"/>
        <w:rPr>
          <w:b/>
          <w:bCs/>
          <w:iCs/>
        </w:rPr>
      </w:pPr>
    </w:p>
    <w:p w14:paraId="06907E58" w14:textId="77777777" w:rsidR="00595733" w:rsidRPr="00E54E87" w:rsidRDefault="00595733" w:rsidP="00B37C59">
      <w:pPr>
        <w:widowControl w:val="0"/>
        <w:autoSpaceDE w:val="0"/>
        <w:autoSpaceDN w:val="0"/>
        <w:adjustRightInd w:val="0"/>
        <w:spacing w:after="120"/>
        <w:ind w:firstLine="851"/>
        <w:jc w:val="center"/>
        <w:rPr>
          <w:b/>
          <w:bCs/>
          <w:iCs/>
        </w:rPr>
      </w:pPr>
    </w:p>
    <w:p w14:paraId="704B9CB4" w14:textId="77777777" w:rsidR="00F34FE9" w:rsidRPr="00E54E87" w:rsidRDefault="00F34FE9" w:rsidP="00426982">
      <w:pPr>
        <w:widowControl w:val="0"/>
        <w:autoSpaceDE w:val="0"/>
        <w:autoSpaceDN w:val="0"/>
        <w:adjustRightInd w:val="0"/>
        <w:spacing w:after="120"/>
        <w:jc w:val="center"/>
        <w:rPr>
          <w:b/>
          <w:bCs/>
          <w:iCs/>
          <w:sz w:val="36"/>
          <w:szCs w:val="40"/>
        </w:rPr>
      </w:pPr>
      <w:r w:rsidRPr="00E54E87">
        <w:rPr>
          <w:b/>
          <w:bCs/>
          <w:iCs/>
          <w:sz w:val="36"/>
          <w:szCs w:val="40"/>
        </w:rPr>
        <w:t>Finanšu ministrijas</w:t>
      </w:r>
    </w:p>
    <w:p w14:paraId="1FC7A213" w14:textId="77777777" w:rsidR="00426982" w:rsidRPr="00E54E87" w:rsidRDefault="00595733" w:rsidP="00426982">
      <w:pPr>
        <w:widowControl w:val="0"/>
        <w:autoSpaceDE w:val="0"/>
        <w:autoSpaceDN w:val="0"/>
        <w:adjustRightInd w:val="0"/>
        <w:spacing w:after="120"/>
        <w:jc w:val="center"/>
        <w:rPr>
          <w:b/>
          <w:bCs/>
          <w:iCs/>
          <w:sz w:val="36"/>
          <w:szCs w:val="40"/>
        </w:rPr>
      </w:pPr>
      <w:r w:rsidRPr="00E54E87">
        <w:rPr>
          <w:b/>
          <w:bCs/>
          <w:iCs/>
          <w:sz w:val="36"/>
          <w:szCs w:val="40"/>
        </w:rPr>
        <w:t xml:space="preserve">Eiropas Savienības finanšu interešu aizsardzības koordinācijas padomes sekretariāta (AFCOS)  </w:t>
      </w:r>
    </w:p>
    <w:p w14:paraId="48A16FF8" w14:textId="77777777" w:rsidR="00426982" w:rsidRPr="00E54E87" w:rsidRDefault="00426982" w:rsidP="00426982">
      <w:pPr>
        <w:widowControl w:val="0"/>
        <w:autoSpaceDE w:val="0"/>
        <w:autoSpaceDN w:val="0"/>
        <w:adjustRightInd w:val="0"/>
        <w:spacing w:after="120"/>
        <w:jc w:val="center"/>
        <w:rPr>
          <w:b/>
          <w:bCs/>
          <w:iCs/>
          <w:sz w:val="40"/>
          <w:szCs w:val="40"/>
        </w:rPr>
      </w:pPr>
    </w:p>
    <w:p w14:paraId="7451585B" w14:textId="77777777" w:rsidR="00426982" w:rsidRPr="00E54E87" w:rsidRDefault="00426982" w:rsidP="00426982">
      <w:pPr>
        <w:widowControl w:val="0"/>
        <w:autoSpaceDE w:val="0"/>
        <w:autoSpaceDN w:val="0"/>
        <w:adjustRightInd w:val="0"/>
        <w:spacing w:after="120"/>
        <w:jc w:val="center"/>
        <w:rPr>
          <w:b/>
          <w:bCs/>
          <w:iCs/>
          <w:sz w:val="40"/>
          <w:szCs w:val="40"/>
        </w:rPr>
      </w:pPr>
    </w:p>
    <w:p w14:paraId="6FB77E09" w14:textId="77777777" w:rsidR="000E2C64" w:rsidRPr="00E54E87" w:rsidRDefault="00A066FE" w:rsidP="00426982">
      <w:pPr>
        <w:widowControl w:val="0"/>
        <w:autoSpaceDE w:val="0"/>
        <w:autoSpaceDN w:val="0"/>
        <w:adjustRightInd w:val="0"/>
        <w:spacing w:after="120"/>
        <w:jc w:val="center"/>
        <w:rPr>
          <w:b/>
          <w:bCs/>
          <w:iCs/>
          <w:caps/>
          <w:sz w:val="48"/>
          <w:szCs w:val="40"/>
        </w:rPr>
      </w:pPr>
      <w:r w:rsidRPr="00E54E87">
        <w:rPr>
          <w:b/>
          <w:bCs/>
          <w:iCs/>
          <w:caps/>
          <w:sz w:val="48"/>
          <w:szCs w:val="40"/>
        </w:rPr>
        <w:t xml:space="preserve">apvienotais </w:t>
      </w:r>
    </w:p>
    <w:p w14:paraId="6D6B1D85" w14:textId="77777777" w:rsidR="00426982" w:rsidRPr="00E54E87" w:rsidRDefault="00595733" w:rsidP="00426982">
      <w:pPr>
        <w:widowControl w:val="0"/>
        <w:autoSpaceDE w:val="0"/>
        <w:autoSpaceDN w:val="0"/>
        <w:adjustRightInd w:val="0"/>
        <w:spacing w:after="120"/>
        <w:jc w:val="center"/>
        <w:rPr>
          <w:b/>
          <w:bCs/>
          <w:iCs/>
          <w:caps/>
          <w:sz w:val="48"/>
          <w:szCs w:val="40"/>
        </w:rPr>
      </w:pPr>
      <w:r w:rsidRPr="00E54E87">
        <w:rPr>
          <w:b/>
          <w:bCs/>
          <w:iCs/>
          <w:caps/>
          <w:sz w:val="48"/>
          <w:szCs w:val="40"/>
        </w:rPr>
        <w:t xml:space="preserve">informatīvais </w:t>
      </w:r>
      <w:r w:rsidR="00A066FE" w:rsidRPr="00E54E87">
        <w:rPr>
          <w:b/>
          <w:bCs/>
          <w:iCs/>
          <w:caps/>
          <w:sz w:val="48"/>
          <w:szCs w:val="40"/>
        </w:rPr>
        <w:t xml:space="preserve">ziņojums </w:t>
      </w:r>
    </w:p>
    <w:p w14:paraId="41587A11" w14:textId="77777777" w:rsidR="00426982" w:rsidRPr="00E54E87" w:rsidRDefault="00426982" w:rsidP="00426982">
      <w:pPr>
        <w:widowControl w:val="0"/>
        <w:autoSpaceDE w:val="0"/>
        <w:autoSpaceDN w:val="0"/>
        <w:adjustRightInd w:val="0"/>
        <w:spacing w:after="120"/>
        <w:jc w:val="center"/>
        <w:rPr>
          <w:b/>
          <w:bCs/>
          <w:iCs/>
          <w:caps/>
          <w:sz w:val="40"/>
          <w:szCs w:val="40"/>
        </w:rPr>
      </w:pPr>
    </w:p>
    <w:p w14:paraId="7A4FB6AA" w14:textId="77777777" w:rsidR="003F32B6" w:rsidRPr="00E54E87" w:rsidRDefault="003F32B6" w:rsidP="00426982">
      <w:pPr>
        <w:widowControl w:val="0"/>
        <w:autoSpaceDE w:val="0"/>
        <w:autoSpaceDN w:val="0"/>
        <w:adjustRightInd w:val="0"/>
        <w:spacing w:after="120"/>
        <w:jc w:val="center"/>
        <w:rPr>
          <w:b/>
          <w:bCs/>
          <w:iCs/>
          <w:sz w:val="40"/>
          <w:szCs w:val="40"/>
        </w:rPr>
      </w:pPr>
    </w:p>
    <w:p w14:paraId="5F1F8574" w14:textId="77777777" w:rsidR="000E2C64" w:rsidRPr="00E54E87" w:rsidRDefault="00426982" w:rsidP="00426982">
      <w:pPr>
        <w:widowControl w:val="0"/>
        <w:autoSpaceDE w:val="0"/>
        <w:autoSpaceDN w:val="0"/>
        <w:adjustRightInd w:val="0"/>
        <w:spacing w:after="120"/>
        <w:jc w:val="center"/>
        <w:rPr>
          <w:b/>
          <w:bCs/>
          <w:sz w:val="36"/>
          <w:szCs w:val="40"/>
        </w:rPr>
      </w:pPr>
      <w:r w:rsidRPr="00E54E87">
        <w:rPr>
          <w:b/>
          <w:bCs/>
          <w:sz w:val="36"/>
          <w:szCs w:val="40"/>
        </w:rPr>
        <w:t xml:space="preserve">par </w:t>
      </w:r>
      <w:r w:rsidR="003F71A1" w:rsidRPr="00E54E87">
        <w:rPr>
          <w:b/>
          <w:bCs/>
          <w:sz w:val="36"/>
          <w:szCs w:val="40"/>
        </w:rPr>
        <w:t xml:space="preserve">veiktajiem krāpšanas apkarošanas un </w:t>
      </w:r>
    </w:p>
    <w:p w14:paraId="574F89FB" w14:textId="77777777" w:rsidR="00426982" w:rsidRPr="00E54E87" w:rsidRDefault="003F71A1" w:rsidP="00426982">
      <w:pPr>
        <w:widowControl w:val="0"/>
        <w:autoSpaceDE w:val="0"/>
        <w:autoSpaceDN w:val="0"/>
        <w:adjustRightInd w:val="0"/>
        <w:spacing w:after="120"/>
        <w:jc w:val="center"/>
        <w:rPr>
          <w:b/>
          <w:bCs/>
          <w:sz w:val="36"/>
          <w:szCs w:val="40"/>
        </w:rPr>
      </w:pPr>
      <w:r w:rsidRPr="00E54E87">
        <w:rPr>
          <w:b/>
          <w:bCs/>
          <w:sz w:val="36"/>
          <w:szCs w:val="40"/>
        </w:rPr>
        <w:t>Eiropas Savienības finanšu interešu aizsardzības pasākumiem</w:t>
      </w:r>
      <w:r w:rsidR="00426982" w:rsidRPr="00E54E87">
        <w:rPr>
          <w:b/>
          <w:bCs/>
          <w:sz w:val="36"/>
          <w:szCs w:val="40"/>
        </w:rPr>
        <w:t xml:space="preserve"> </w:t>
      </w:r>
      <w:r w:rsidR="00FC45DD">
        <w:rPr>
          <w:b/>
          <w:bCs/>
          <w:sz w:val="36"/>
          <w:szCs w:val="40"/>
        </w:rPr>
        <w:t>2018</w:t>
      </w:r>
      <w:r w:rsidR="00F45E48">
        <w:rPr>
          <w:b/>
          <w:bCs/>
          <w:sz w:val="36"/>
          <w:szCs w:val="40"/>
        </w:rPr>
        <w:t>.gadā</w:t>
      </w:r>
    </w:p>
    <w:p w14:paraId="216D5008" w14:textId="77777777" w:rsidR="00426982" w:rsidRPr="00E54E87" w:rsidRDefault="00A066FE" w:rsidP="000E2C64">
      <w:pPr>
        <w:widowControl w:val="0"/>
        <w:autoSpaceDE w:val="0"/>
        <w:autoSpaceDN w:val="0"/>
        <w:adjustRightInd w:val="0"/>
        <w:spacing w:before="240" w:after="240"/>
        <w:jc w:val="center"/>
        <w:rPr>
          <w:b/>
          <w:bCs/>
          <w:sz w:val="36"/>
          <w:szCs w:val="40"/>
        </w:rPr>
      </w:pPr>
      <w:r w:rsidRPr="00E54E87">
        <w:rPr>
          <w:b/>
          <w:bCs/>
          <w:sz w:val="36"/>
          <w:szCs w:val="40"/>
        </w:rPr>
        <w:t>u</w:t>
      </w:r>
      <w:r w:rsidR="003C2FFA" w:rsidRPr="00E54E87">
        <w:rPr>
          <w:b/>
          <w:bCs/>
          <w:sz w:val="36"/>
          <w:szCs w:val="40"/>
        </w:rPr>
        <w:t>n</w:t>
      </w:r>
      <w:r w:rsidR="00426982" w:rsidRPr="00E54E87">
        <w:rPr>
          <w:b/>
          <w:bCs/>
          <w:sz w:val="36"/>
          <w:szCs w:val="40"/>
        </w:rPr>
        <w:t xml:space="preserve"> </w:t>
      </w:r>
    </w:p>
    <w:p w14:paraId="79A40151" w14:textId="77777777" w:rsidR="003C2FFA" w:rsidRPr="00E54E87" w:rsidRDefault="003C2FFA" w:rsidP="00426982">
      <w:pPr>
        <w:widowControl w:val="0"/>
        <w:autoSpaceDE w:val="0"/>
        <w:autoSpaceDN w:val="0"/>
        <w:adjustRightInd w:val="0"/>
        <w:spacing w:after="120"/>
        <w:jc w:val="center"/>
        <w:rPr>
          <w:b/>
          <w:bCs/>
          <w:sz w:val="36"/>
          <w:szCs w:val="40"/>
        </w:rPr>
      </w:pPr>
      <w:r w:rsidRPr="00E54E87">
        <w:rPr>
          <w:b/>
          <w:bCs/>
          <w:sz w:val="36"/>
          <w:szCs w:val="40"/>
        </w:rPr>
        <w:t>AFCOS darbības stratēģijas un pasākuma plāna 2017.-2019. gadam izpildi</w:t>
      </w:r>
    </w:p>
    <w:p w14:paraId="23D38C65" w14:textId="77777777" w:rsidR="00595733" w:rsidRPr="00E54E87" w:rsidRDefault="00595733" w:rsidP="00426982">
      <w:pPr>
        <w:widowControl w:val="0"/>
        <w:autoSpaceDE w:val="0"/>
        <w:autoSpaceDN w:val="0"/>
        <w:adjustRightInd w:val="0"/>
        <w:spacing w:after="360"/>
        <w:jc w:val="center"/>
        <w:rPr>
          <w:b/>
          <w:bCs/>
          <w:sz w:val="40"/>
          <w:szCs w:val="40"/>
        </w:rPr>
      </w:pPr>
    </w:p>
    <w:p w14:paraId="05BDBDDC" w14:textId="77777777" w:rsidR="00595733" w:rsidRPr="00E54E87" w:rsidRDefault="00595733" w:rsidP="00426982"/>
    <w:p w14:paraId="5B29591E" w14:textId="77777777" w:rsidR="00595733" w:rsidRPr="00E54E87" w:rsidRDefault="00595733" w:rsidP="00426982"/>
    <w:p w14:paraId="5C4CB694" w14:textId="77777777" w:rsidR="00595733" w:rsidRPr="00E54E87" w:rsidRDefault="00595733" w:rsidP="00B37C59">
      <w:pPr>
        <w:ind w:firstLine="851"/>
      </w:pPr>
    </w:p>
    <w:p w14:paraId="06052E13" w14:textId="77777777" w:rsidR="00595733" w:rsidRPr="00E54E87" w:rsidRDefault="00595733" w:rsidP="00B37C59">
      <w:pPr>
        <w:ind w:firstLine="851"/>
      </w:pPr>
    </w:p>
    <w:p w14:paraId="0FC54E5F" w14:textId="77777777" w:rsidR="00595733" w:rsidRPr="00E54E87" w:rsidRDefault="00595733" w:rsidP="00B37C59">
      <w:pPr>
        <w:ind w:firstLine="851"/>
      </w:pPr>
    </w:p>
    <w:p w14:paraId="1F5C4038" w14:textId="77777777" w:rsidR="003B12C3" w:rsidRDefault="003B12C3" w:rsidP="003B12C3"/>
    <w:p w14:paraId="3118768B" w14:textId="77777777" w:rsidR="003B12C3" w:rsidRDefault="003B12C3" w:rsidP="003B12C3"/>
    <w:p w14:paraId="12886FF1" w14:textId="77777777" w:rsidR="003B12C3" w:rsidRDefault="003B12C3" w:rsidP="003B12C3"/>
    <w:p w14:paraId="173B21EE" w14:textId="77777777" w:rsidR="003B12C3" w:rsidRPr="00E54E87" w:rsidRDefault="003B12C3" w:rsidP="003B12C3"/>
    <w:p w14:paraId="529175D6" w14:textId="77777777" w:rsidR="003B12C3" w:rsidRDefault="003B12C3"/>
    <w:p w14:paraId="31626C6F" w14:textId="77777777" w:rsidR="00595733" w:rsidRDefault="00595733" w:rsidP="00B37C59">
      <w:pPr>
        <w:ind w:firstLine="851"/>
      </w:pPr>
    </w:p>
    <w:p w14:paraId="27E6A210" w14:textId="77777777" w:rsidR="003B12C3" w:rsidRPr="00D50CBA" w:rsidRDefault="003B12C3" w:rsidP="003B12C3">
      <w:pPr>
        <w:jc w:val="center"/>
        <w:rPr>
          <w:rFonts w:eastAsia="EUAlbertina-Regular-Identity-H"/>
          <w:b/>
          <w:bCs/>
          <w:sz w:val="32"/>
          <w:szCs w:val="32"/>
        </w:rPr>
      </w:pPr>
      <w:r>
        <w:rPr>
          <w:b/>
          <w:bCs/>
          <w:sz w:val="28"/>
          <w:szCs w:val="28"/>
        </w:rPr>
        <w:br w:type="page"/>
      </w:r>
      <w:r w:rsidRPr="00D50CBA">
        <w:rPr>
          <w:rFonts w:eastAsia="EUAlbertina-Regular-Identity-H"/>
          <w:b/>
          <w:bCs/>
          <w:sz w:val="32"/>
          <w:szCs w:val="32"/>
        </w:rPr>
        <w:lastRenderedPageBreak/>
        <w:t>Saīsinājumi</w:t>
      </w:r>
    </w:p>
    <w:p w14:paraId="55E3FB14" w14:textId="77777777" w:rsidR="003B12C3" w:rsidRPr="00D50CBA" w:rsidRDefault="003B12C3" w:rsidP="003B12C3">
      <w:pPr>
        <w:ind w:firstLine="709"/>
        <w:rPr>
          <w:rFonts w:eastAsia="EUAlbertina-Regular-Identity-H"/>
          <w:b/>
          <w:bCs/>
          <w:sz w:val="32"/>
          <w:szCs w:val="32"/>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378"/>
      </w:tblGrid>
      <w:tr w:rsidR="00F258AF" w:rsidRPr="00D50CBA" w14:paraId="6EB16121" w14:textId="77777777" w:rsidTr="003B12C3">
        <w:trPr>
          <w:jc w:val="center"/>
        </w:trPr>
        <w:tc>
          <w:tcPr>
            <w:tcW w:w="2122" w:type="dxa"/>
            <w:shd w:val="clear" w:color="auto" w:fill="auto"/>
            <w:vAlign w:val="center"/>
          </w:tcPr>
          <w:p w14:paraId="2624221B" w14:textId="77777777" w:rsidR="00F258AF" w:rsidRPr="00D50CBA" w:rsidRDefault="00F258AF" w:rsidP="00F91DE9">
            <w:pPr>
              <w:ind w:firstLine="34"/>
            </w:pPr>
            <w:r w:rsidRPr="00D50CBA">
              <w:t>AAFCN</w:t>
            </w:r>
          </w:p>
        </w:tc>
        <w:tc>
          <w:tcPr>
            <w:tcW w:w="6378" w:type="dxa"/>
            <w:shd w:val="clear" w:color="auto" w:fill="auto"/>
            <w:vAlign w:val="center"/>
          </w:tcPr>
          <w:p w14:paraId="533D389A" w14:textId="77777777" w:rsidR="00F258AF" w:rsidRPr="009F2AFF" w:rsidRDefault="00F258AF" w:rsidP="00F91DE9">
            <w:pPr>
              <w:pStyle w:val="FootnoteText"/>
              <w:rPr>
                <w:sz w:val="24"/>
                <w:lang w:val="lv-LV"/>
              </w:rPr>
            </w:pPr>
            <w:r w:rsidRPr="009F2AFF">
              <w:rPr>
                <w:sz w:val="24"/>
                <w:lang w:val="lv-LV"/>
              </w:rPr>
              <w:t>AFCOS Latvija kompetento iestāžu komunikatoru tīkls</w:t>
            </w:r>
          </w:p>
        </w:tc>
      </w:tr>
      <w:tr w:rsidR="00F258AF" w:rsidRPr="00D50CBA" w14:paraId="22A4DA69" w14:textId="77777777" w:rsidTr="003B12C3">
        <w:trPr>
          <w:jc w:val="center"/>
        </w:trPr>
        <w:tc>
          <w:tcPr>
            <w:tcW w:w="2122" w:type="dxa"/>
            <w:shd w:val="clear" w:color="auto" w:fill="auto"/>
            <w:vAlign w:val="center"/>
          </w:tcPr>
          <w:p w14:paraId="25E8327D" w14:textId="77777777" w:rsidR="00F258AF" w:rsidRPr="00D50CBA" w:rsidRDefault="00F258AF" w:rsidP="009C2904">
            <w:pPr>
              <w:ind w:firstLine="34"/>
            </w:pPr>
            <w:r w:rsidRPr="00D50CBA">
              <w:t>ACA</w:t>
            </w:r>
          </w:p>
        </w:tc>
        <w:tc>
          <w:tcPr>
            <w:tcW w:w="6378" w:type="dxa"/>
            <w:shd w:val="clear" w:color="auto" w:fill="auto"/>
            <w:vAlign w:val="center"/>
          </w:tcPr>
          <w:p w14:paraId="57E5B6DB" w14:textId="77777777" w:rsidR="00F258AF" w:rsidRPr="00D50CBA" w:rsidRDefault="00F258AF" w:rsidP="00E47E28">
            <w:pPr>
              <w:ind w:firstLine="34"/>
              <w:jc w:val="both"/>
            </w:pPr>
            <w:r w:rsidRPr="00D50CBA">
              <w:t>Administratīvās sadarbības līgums (</w:t>
            </w:r>
            <w:proofErr w:type="spellStart"/>
            <w:r w:rsidRPr="00D50CBA">
              <w:rPr>
                <w:i/>
              </w:rPr>
              <w:t>Administrative</w:t>
            </w:r>
            <w:proofErr w:type="spellEnd"/>
            <w:r w:rsidRPr="00D50CBA">
              <w:rPr>
                <w:i/>
              </w:rPr>
              <w:t xml:space="preserve"> </w:t>
            </w:r>
            <w:proofErr w:type="spellStart"/>
            <w:r w:rsidRPr="00D50CBA">
              <w:rPr>
                <w:i/>
              </w:rPr>
              <w:t>cooperation</w:t>
            </w:r>
            <w:proofErr w:type="spellEnd"/>
            <w:r w:rsidRPr="00D50CBA">
              <w:rPr>
                <w:i/>
              </w:rPr>
              <w:t xml:space="preserve"> </w:t>
            </w:r>
            <w:proofErr w:type="spellStart"/>
            <w:r w:rsidRPr="00D50CBA">
              <w:rPr>
                <w:i/>
              </w:rPr>
              <w:t>arrangement</w:t>
            </w:r>
            <w:proofErr w:type="spellEnd"/>
            <w:r w:rsidRPr="00D50CBA">
              <w:t>)</w:t>
            </w:r>
          </w:p>
        </w:tc>
      </w:tr>
      <w:tr w:rsidR="00CD03DC" w:rsidRPr="00D50CBA" w14:paraId="236034ED" w14:textId="77777777" w:rsidTr="003B12C3">
        <w:trPr>
          <w:jc w:val="center"/>
        </w:trPr>
        <w:tc>
          <w:tcPr>
            <w:tcW w:w="2122" w:type="dxa"/>
            <w:shd w:val="clear" w:color="auto" w:fill="auto"/>
            <w:vAlign w:val="center"/>
          </w:tcPr>
          <w:p w14:paraId="5EFA3EBB" w14:textId="48B15F9B" w:rsidR="00CD03DC" w:rsidRPr="00D50CBA" w:rsidRDefault="00CD03DC" w:rsidP="009C2904">
            <w:pPr>
              <w:ind w:firstLine="34"/>
            </w:pPr>
            <w:r w:rsidRPr="00D50CBA">
              <w:t>FM AFCOS</w:t>
            </w:r>
          </w:p>
        </w:tc>
        <w:tc>
          <w:tcPr>
            <w:tcW w:w="6378" w:type="dxa"/>
            <w:shd w:val="clear" w:color="auto" w:fill="auto"/>
            <w:vAlign w:val="center"/>
          </w:tcPr>
          <w:p w14:paraId="41458731" w14:textId="0493EFF6" w:rsidR="00CD03DC" w:rsidRPr="00D50CBA" w:rsidRDefault="00CD03DC" w:rsidP="00E47E28">
            <w:pPr>
              <w:ind w:firstLine="34"/>
              <w:jc w:val="both"/>
            </w:pPr>
            <w:r w:rsidRPr="00D50CBA">
              <w:t>Finanšu ministrijas Krāpšanas apkarošanas koordinācijas dienests</w:t>
            </w:r>
          </w:p>
        </w:tc>
      </w:tr>
      <w:tr w:rsidR="00F258AF" w:rsidRPr="00D50CBA" w14:paraId="7479F89E" w14:textId="77777777" w:rsidTr="003B12C3">
        <w:trPr>
          <w:jc w:val="center"/>
        </w:trPr>
        <w:tc>
          <w:tcPr>
            <w:tcW w:w="2122" w:type="dxa"/>
            <w:shd w:val="clear" w:color="auto" w:fill="auto"/>
            <w:vAlign w:val="center"/>
          </w:tcPr>
          <w:p w14:paraId="295BA25F" w14:textId="77777777" w:rsidR="00F258AF" w:rsidRPr="00D50CBA" w:rsidRDefault="00F258AF" w:rsidP="002C5439">
            <w:pPr>
              <w:ind w:firstLine="34"/>
            </w:pPr>
            <w:r w:rsidRPr="00D50CBA">
              <w:t>AFIS</w:t>
            </w:r>
          </w:p>
        </w:tc>
        <w:tc>
          <w:tcPr>
            <w:tcW w:w="6378" w:type="dxa"/>
            <w:shd w:val="clear" w:color="auto" w:fill="auto"/>
            <w:vAlign w:val="center"/>
          </w:tcPr>
          <w:p w14:paraId="3B70E124" w14:textId="77777777" w:rsidR="00F258AF" w:rsidRPr="00D50CBA" w:rsidRDefault="00F258AF" w:rsidP="002C5439">
            <w:pPr>
              <w:ind w:firstLine="34"/>
              <w:jc w:val="both"/>
            </w:pPr>
            <w:r w:rsidRPr="00D50CBA">
              <w:t xml:space="preserve">Eiropas Komisijas uzturēta </w:t>
            </w:r>
            <w:proofErr w:type="spellStart"/>
            <w:r w:rsidRPr="00D50CBA">
              <w:t>pretkrāpšanas</w:t>
            </w:r>
            <w:proofErr w:type="spellEnd"/>
            <w:r w:rsidRPr="00D50CBA">
              <w:t xml:space="preserve"> informācijas sistēma (</w:t>
            </w:r>
            <w:r w:rsidRPr="00D50CBA">
              <w:rPr>
                <w:i/>
              </w:rPr>
              <w:t>Anti-</w:t>
            </w:r>
            <w:proofErr w:type="spellStart"/>
            <w:r w:rsidRPr="00D50CBA">
              <w:rPr>
                <w:i/>
              </w:rPr>
              <w:t>Fraud</w:t>
            </w:r>
            <w:proofErr w:type="spellEnd"/>
            <w:r w:rsidRPr="00D50CBA">
              <w:rPr>
                <w:i/>
              </w:rPr>
              <w:t xml:space="preserve"> </w:t>
            </w:r>
            <w:proofErr w:type="spellStart"/>
            <w:r w:rsidRPr="00D50CBA">
              <w:rPr>
                <w:i/>
              </w:rPr>
              <w:t>Information</w:t>
            </w:r>
            <w:proofErr w:type="spellEnd"/>
            <w:r w:rsidRPr="00D50CBA">
              <w:rPr>
                <w:i/>
              </w:rPr>
              <w:t xml:space="preserve"> </w:t>
            </w:r>
            <w:proofErr w:type="spellStart"/>
            <w:r w:rsidRPr="00D50CBA">
              <w:rPr>
                <w:i/>
              </w:rPr>
              <w:t>System</w:t>
            </w:r>
            <w:proofErr w:type="spellEnd"/>
            <w:r w:rsidRPr="00D50CBA">
              <w:t>)</w:t>
            </w:r>
          </w:p>
        </w:tc>
      </w:tr>
      <w:tr w:rsidR="00F258AF" w:rsidRPr="00D50CBA" w14:paraId="7EF7B602" w14:textId="77777777" w:rsidTr="003B12C3">
        <w:trPr>
          <w:jc w:val="center"/>
        </w:trPr>
        <w:tc>
          <w:tcPr>
            <w:tcW w:w="2122" w:type="dxa"/>
            <w:shd w:val="clear" w:color="auto" w:fill="auto"/>
            <w:vAlign w:val="center"/>
          </w:tcPr>
          <w:p w14:paraId="0643BDBD" w14:textId="77777777" w:rsidR="00F258AF" w:rsidRPr="00D50CBA" w:rsidRDefault="00F258AF" w:rsidP="00F91DE9">
            <w:pPr>
              <w:ind w:firstLine="34"/>
            </w:pPr>
            <w:r w:rsidRPr="00D50CBA">
              <w:t>CFLA</w:t>
            </w:r>
          </w:p>
        </w:tc>
        <w:tc>
          <w:tcPr>
            <w:tcW w:w="6378" w:type="dxa"/>
            <w:shd w:val="clear" w:color="auto" w:fill="auto"/>
            <w:vAlign w:val="center"/>
          </w:tcPr>
          <w:p w14:paraId="6FD2A458" w14:textId="77777777" w:rsidR="00F258AF" w:rsidRPr="00D50CBA" w:rsidRDefault="00F258AF" w:rsidP="00F91DE9">
            <w:pPr>
              <w:pStyle w:val="FootnoteText"/>
              <w:rPr>
                <w:sz w:val="24"/>
              </w:rPr>
            </w:pPr>
            <w:proofErr w:type="spellStart"/>
            <w:r w:rsidRPr="00D50CBA">
              <w:rPr>
                <w:sz w:val="24"/>
              </w:rPr>
              <w:t>Centrālā</w:t>
            </w:r>
            <w:proofErr w:type="spellEnd"/>
            <w:r w:rsidRPr="00D50CBA">
              <w:rPr>
                <w:sz w:val="24"/>
              </w:rPr>
              <w:t xml:space="preserve"> </w:t>
            </w:r>
            <w:proofErr w:type="spellStart"/>
            <w:r w:rsidRPr="00D50CBA">
              <w:rPr>
                <w:sz w:val="24"/>
              </w:rPr>
              <w:t>finanšu</w:t>
            </w:r>
            <w:proofErr w:type="spellEnd"/>
            <w:r w:rsidRPr="00D50CBA">
              <w:rPr>
                <w:sz w:val="24"/>
              </w:rPr>
              <w:t xml:space="preserve"> un </w:t>
            </w:r>
            <w:proofErr w:type="spellStart"/>
            <w:r w:rsidRPr="00D50CBA">
              <w:rPr>
                <w:sz w:val="24"/>
              </w:rPr>
              <w:t>līgumu</w:t>
            </w:r>
            <w:proofErr w:type="spellEnd"/>
            <w:r w:rsidRPr="00D50CBA">
              <w:rPr>
                <w:sz w:val="24"/>
              </w:rPr>
              <w:t xml:space="preserve"> </w:t>
            </w:r>
            <w:proofErr w:type="spellStart"/>
            <w:r w:rsidRPr="00D50CBA">
              <w:rPr>
                <w:sz w:val="24"/>
              </w:rPr>
              <w:t>aģentūra</w:t>
            </w:r>
            <w:proofErr w:type="spellEnd"/>
          </w:p>
        </w:tc>
      </w:tr>
      <w:tr w:rsidR="00F258AF" w:rsidRPr="00D50CBA" w14:paraId="0FC2EDCB" w14:textId="77777777" w:rsidTr="003B12C3">
        <w:trPr>
          <w:jc w:val="center"/>
        </w:trPr>
        <w:tc>
          <w:tcPr>
            <w:tcW w:w="2122" w:type="dxa"/>
            <w:shd w:val="clear" w:color="auto" w:fill="auto"/>
            <w:vAlign w:val="center"/>
          </w:tcPr>
          <w:p w14:paraId="000E5641" w14:textId="77777777" w:rsidR="00F258AF" w:rsidRPr="00D50CBA" w:rsidRDefault="00F258AF" w:rsidP="009C2904">
            <w:pPr>
              <w:ind w:firstLine="34"/>
            </w:pPr>
            <w:r w:rsidRPr="00D50CBA">
              <w:t>COCOLAF</w:t>
            </w:r>
          </w:p>
        </w:tc>
        <w:tc>
          <w:tcPr>
            <w:tcW w:w="6378" w:type="dxa"/>
            <w:shd w:val="clear" w:color="auto" w:fill="auto"/>
            <w:vAlign w:val="center"/>
          </w:tcPr>
          <w:p w14:paraId="410FA1E7" w14:textId="77777777" w:rsidR="00F258AF" w:rsidRPr="00D50CBA" w:rsidRDefault="00F258AF" w:rsidP="00E47E28">
            <w:pPr>
              <w:ind w:firstLine="34"/>
              <w:jc w:val="both"/>
            </w:pPr>
            <w:r w:rsidRPr="00D50CBA">
              <w:t>Krāpšanas novēršanas koordinēšanas padomdevēja komitejas darba grupa</w:t>
            </w:r>
          </w:p>
        </w:tc>
      </w:tr>
      <w:tr w:rsidR="00F258AF" w:rsidRPr="00D50CBA" w14:paraId="7B6FB8A1" w14:textId="77777777" w:rsidTr="003B12C3">
        <w:trPr>
          <w:jc w:val="center"/>
        </w:trPr>
        <w:tc>
          <w:tcPr>
            <w:tcW w:w="2122" w:type="dxa"/>
            <w:shd w:val="clear" w:color="auto" w:fill="auto"/>
            <w:vAlign w:val="center"/>
          </w:tcPr>
          <w:p w14:paraId="442941D0" w14:textId="77777777" w:rsidR="00F258AF" w:rsidRPr="00D50CBA" w:rsidRDefault="00F258AF" w:rsidP="009C2904">
            <w:pPr>
              <w:ind w:firstLine="34"/>
            </w:pPr>
            <w:r w:rsidRPr="00D50CBA">
              <w:t>EK</w:t>
            </w:r>
          </w:p>
        </w:tc>
        <w:tc>
          <w:tcPr>
            <w:tcW w:w="6378" w:type="dxa"/>
            <w:shd w:val="clear" w:color="auto" w:fill="auto"/>
            <w:vAlign w:val="center"/>
          </w:tcPr>
          <w:p w14:paraId="7DCEA3D2" w14:textId="77777777" w:rsidR="00F258AF" w:rsidRPr="00D50CBA" w:rsidRDefault="00F258AF" w:rsidP="00612336">
            <w:pPr>
              <w:jc w:val="both"/>
            </w:pPr>
            <w:r w:rsidRPr="00D50CBA">
              <w:t>Eiropas Komisija</w:t>
            </w:r>
          </w:p>
        </w:tc>
      </w:tr>
      <w:tr w:rsidR="00F258AF" w:rsidRPr="00D50CBA" w14:paraId="0DF79B90" w14:textId="77777777" w:rsidTr="003B12C3">
        <w:trPr>
          <w:jc w:val="center"/>
        </w:trPr>
        <w:tc>
          <w:tcPr>
            <w:tcW w:w="2122" w:type="dxa"/>
            <w:shd w:val="clear" w:color="auto" w:fill="auto"/>
            <w:vAlign w:val="center"/>
          </w:tcPr>
          <w:p w14:paraId="080AF6BF" w14:textId="77777777" w:rsidR="00F258AF" w:rsidRPr="00D50CBA" w:rsidRDefault="00F258AF" w:rsidP="00F91DE9">
            <w:pPr>
              <w:ind w:firstLine="34"/>
            </w:pPr>
            <w:r w:rsidRPr="00D50CBA">
              <w:t>EPPO</w:t>
            </w:r>
          </w:p>
        </w:tc>
        <w:tc>
          <w:tcPr>
            <w:tcW w:w="6378" w:type="dxa"/>
            <w:shd w:val="clear" w:color="auto" w:fill="auto"/>
            <w:vAlign w:val="center"/>
          </w:tcPr>
          <w:p w14:paraId="27A8B369" w14:textId="77777777" w:rsidR="00F258AF" w:rsidRPr="00D50CBA" w:rsidRDefault="00F258AF" w:rsidP="00F91DE9">
            <w:pPr>
              <w:pStyle w:val="FootnoteText"/>
              <w:rPr>
                <w:sz w:val="24"/>
              </w:rPr>
            </w:pPr>
            <w:r w:rsidRPr="009F2AFF">
              <w:rPr>
                <w:sz w:val="24"/>
                <w:lang w:val="lv-LV"/>
              </w:rPr>
              <w:t>Eiropas prokuratūra</w:t>
            </w:r>
            <w:r w:rsidRPr="00D50CBA">
              <w:rPr>
                <w:sz w:val="24"/>
              </w:rPr>
              <w:t xml:space="preserve"> (European Public Prosecutor's Office)</w:t>
            </w:r>
          </w:p>
        </w:tc>
      </w:tr>
      <w:tr w:rsidR="00F258AF" w:rsidRPr="00D50CBA" w14:paraId="03B238D3" w14:textId="77777777" w:rsidTr="003B12C3">
        <w:trPr>
          <w:jc w:val="center"/>
        </w:trPr>
        <w:tc>
          <w:tcPr>
            <w:tcW w:w="2122" w:type="dxa"/>
            <w:shd w:val="clear" w:color="auto" w:fill="auto"/>
            <w:vAlign w:val="center"/>
          </w:tcPr>
          <w:p w14:paraId="6F17A3AC" w14:textId="77777777" w:rsidR="00F258AF" w:rsidRPr="00D50CBA" w:rsidRDefault="00F258AF" w:rsidP="003B12C3">
            <w:pPr>
              <w:ind w:firstLine="34"/>
            </w:pPr>
            <w:r w:rsidRPr="00D50CBA">
              <w:t>ES</w:t>
            </w:r>
          </w:p>
        </w:tc>
        <w:tc>
          <w:tcPr>
            <w:tcW w:w="6378" w:type="dxa"/>
            <w:shd w:val="clear" w:color="auto" w:fill="auto"/>
            <w:vAlign w:val="center"/>
          </w:tcPr>
          <w:p w14:paraId="78EEFECF" w14:textId="77777777" w:rsidR="00F258AF" w:rsidRPr="00D50CBA" w:rsidRDefault="00F258AF" w:rsidP="003B12C3">
            <w:pPr>
              <w:ind w:firstLine="34"/>
              <w:jc w:val="both"/>
            </w:pPr>
            <w:r w:rsidRPr="00D50CBA">
              <w:t>Eiropas Savienība</w:t>
            </w:r>
          </w:p>
        </w:tc>
      </w:tr>
      <w:tr w:rsidR="00F258AF" w:rsidRPr="00D50CBA" w14:paraId="69CEE437" w14:textId="77777777" w:rsidTr="003B12C3">
        <w:trPr>
          <w:jc w:val="center"/>
        </w:trPr>
        <w:tc>
          <w:tcPr>
            <w:tcW w:w="2122" w:type="dxa"/>
            <w:shd w:val="clear" w:color="auto" w:fill="auto"/>
            <w:vAlign w:val="center"/>
          </w:tcPr>
          <w:p w14:paraId="673AA03C" w14:textId="77777777" w:rsidR="00F258AF" w:rsidRPr="00D50CBA" w:rsidRDefault="00F258AF" w:rsidP="003B12C3">
            <w:pPr>
              <w:ind w:firstLine="34"/>
            </w:pPr>
            <w:r w:rsidRPr="00D50CBA">
              <w:t>FM</w:t>
            </w:r>
          </w:p>
        </w:tc>
        <w:tc>
          <w:tcPr>
            <w:tcW w:w="6378" w:type="dxa"/>
            <w:shd w:val="clear" w:color="auto" w:fill="auto"/>
            <w:vAlign w:val="center"/>
          </w:tcPr>
          <w:p w14:paraId="4F2216BB" w14:textId="77777777" w:rsidR="00F258AF" w:rsidRPr="00D50CBA" w:rsidRDefault="00F258AF" w:rsidP="003B12C3">
            <w:pPr>
              <w:ind w:firstLine="34"/>
              <w:jc w:val="both"/>
            </w:pPr>
            <w:r w:rsidRPr="00D50CBA">
              <w:t>Finanšu ministrija</w:t>
            </w:r>
          </w:p>
        </w:tc>
      </w:tr>
      <w:tr w:rsidR="005A1465" w:rsidRPr="00D50CBA" w14:paraId="324F31E8" w14:textId="77777777" w:rsidTr="003B12C3">
        <w:trPr>
          <w:jc w:val="center"/>
        </w:trPr>
        <w:tc>
          <w:tcPr>
            <w:tcW w:w="2122" w:type="dxa"/>
            <w:shd w:val="clear" w:color="auto" w:fill="auto"/>
            <w:vAlign w:val="center"/>
          </w:tcPr>
          <w:p w14:paraId="4115FB7B" w14:textId="77777777" w:rsidR="005A1465" w:rsidRPr="00D50CBA" w:rsidRDefault="005A1465" w:rsidP="003B12C3">
            <w:pPr>
              <w:ind w:firstLine="34"/>
            </w:pPr>
            <w:r w:rsidRPr="00D50CBA">
              <w:t>FM VI</w:t>
            </w:r>
          </w:p>
        </w:tc>
        <w:tc>
          <w:tcPr>
            <w:tcW w:w="6378" w:type="dxa"/>
            <w:shd w:val="clear" w:color="auto" w:fill="auto"/>
            <w:vAlign w:val="center"/>
          </w:tcPr>
          <w:p w14:paraId="035D6DF0" w14:textId="77777777" w:rsidR="005A1465" w:rsidRPr="00D50CBA" w:rsidRDefault="005A1465" w:rsidP="003B12C3">
            <w:pPr>
              <w:ind w:firstLine="34"/>
              <w:jc w:val="both"/>
            </w:pPr>
            <w:r w:rsidRPr="00D50CBA">
              <w:t>Finanšu ministrijas Vadošā iestāde</w:t>
            </w:r>
          </w:p>
        </w:tc>
      </w:tr>
      <w:tr w:rsidR="00F258AF" w:rsidRPr="00D50CBA" w14:paraId="6E0E1DDD" w14:textId="77777777" w:rsidTr="003B12C3">
        <w:trPr>
          <w:jc w:val="center"/>
        </w:trPr>
        <w:tc>
          <w:tcPr>
            <w:tcW w:w="2122" w:type="dxa"/>
            <w:shd w:val="clear" w:color="auto" w:fill="auto"/>
            <w:vAlign w:val="center"/>
          </w:tcPr>
          <w:p w14:paraId="233A6115" w14:textId="77777777" w:rsidR="00F258AF" w:rsidRPr="00D50CBA" w:rsidRDefault="00F258AF" w:rsidP="003B12C3">
            <w:pPr>
              <w:ind w:firstLine="34"/>
            </w:pPr>
            <w:r w:rsidRPr="00D50CBA">
              <w:t>FM AFCOS</w:t>
            </w:r>
          </w:p>
        </w:tc>
        <w:tc>
          <w:tcPr>
            <w:tcW w:w="6378" w:type="dxa"/>
            <w:shd w:val="clear" w:color="auto" w:fill="auto"/>
            <w:vAlign w:val="center"/>
          </w:tcPr>
          <w:p w14:paraId="11AB2744" w14:textId="77777777" w:rsidR="00F258AF" w:rsidRPr="00D50CBA" w:rsidRDefault="00F258AF" w:rsidP="003B12C3">
            <w:pPr>
              <w:ind w:firstLine="34"/>
              <w:jc w:val="both"/>
            </w:pPr>
            <w:r w:rsidRPr="00D50CBA">
              <w:t>Finanšu ministrijas Krāpšanas apkarošanas koordinācijas dienests</w:t>
            </w:r>
          </w:p>
        </w:tc>
      </w:tr>
      <w:tr w:rsidR="00F258AF" w:rsidRPr="00D50CBA" w14:paraId="29AC9EFC" w14:textId="77777777" w:rsidTr="003B12C3">
        <w:trPr>
          <w:jc w:val="center"/>
        </w:trPr>
        <w:tc>
          <w:tcPr>
            <w:tcW w:w="2122" w:type="dxa"/>
            <w:shd w:val="clear" w:color="auto" w:fill="auto"/>
            <w:vAlign w:val="center"/>
          </w:tcPr>
          <w:p w14:paraId="2E9C9009" w14:textId="77777777" w:rsidR="00F258AF" w:rsidRPr="00D50CBA" w:rsidRDefault="00F258AF" w:rsidP="009C2904">
            <w:pPr>
              <w:ind w:firstLine="34"/>
            </w:pPr>
            <w:r w:rsidRPr="00D50CBA">
              <w:t xml:space="preserve">GAF </w:t>
            </w:r>
          </w:p>
        </w:tc>
        <w:tc>
          <w:tcPr>
            <w:tcW w:w="6378" w:type="dxa"/>
            <w:shd w:val="clear" w:color="auto" w:fill="auto"/>
            <w:vAlign w:val="center"/>
          </w:tcPr>
          <w:p w14:paraId="474E80B6" w14:textId="77777777" w:rsidR="00F258AF" w:rsidRPr="00D50CBA" w:rsidRDefault="00F258AF" w:rsidP="009C2904">
            <w:pPr>
              <w:ind w:firstLine="34"/>
              <w:jc w:val="both"/>
            </w:pPr>
            <w:proofErr w:type="spellStart"/>
            <w:r w:rsidRPr="00D50CBA">
              <w:t>Krāpniecības</w:t>
            </w:r>
            <w:proofErr w:type="spellEnd"/>
            <w:r w:rsidRPr="00D50CBA">
              <w:t xml:space="preserve"> apkarošanas darba grupa</w:t>
            </w:r>
          </w:p>
        </w:tc>
      </w:tr>
      <w:tr w:rsidR="00F258AF" w:rsidRPr="00D50CBA" w14:paraId="2B92B0C0" w14:textId="77777777" w:rsidTr="003B12C3">
        <w:trPr>
          <w:jc w:val="center"/>
        </w:trPr>
        <w:tc>
          <w:tcPr>
            <w:tcW w:w="2122" w:type="dxa"/>
            <w:shd w:val="clear" w:color="auto" w:fill="auto"/>
            <w:vAlign w:val="center"/>
          </w:tcPr>
          <w:p w14:paraId="5E5BED5B" w14:textId="77777777" w:rsidR="00F258AF" w:rsidRPr="00D50CBA" w:rsidRDefault="00F258AF" w:rsidP="002C5439">
            <w:pPr>
              <w:ind w:firstLine="34"/>
            </w:pPr>
            <w:r w:rsidRPr="00D50CBA">
              <w:t>ĢP</w:t>
            </w:r>
          </w:p>
        </w:tc>
        <w:tc>
          <w:tcPr>
            <w:tcW w:w="6378" w:type="dxa"/>
            <w:shd w:val="clear" w:color="auto" w:fill="auto"/>
            <w:vAlign w:val="center"/>
          </w:tcPr>
          <w:p w14:paraId="07ADA4AA" w14:textId="77777777" w:rsidR="00F258AF" w:rsidRPr="00D50CBA" w:rsidRDefault="00F258AF" w:rsidP="0088393F">
            <w:pPr>
              <w:pStyle w:val="FootnoteText"/>
              <w:rPr>
                <w:lang w:val="lv-LV"/>
              </w:rPr>
            </w:pPr>
            <w:r w:rsidRPr="00D50CBA">
              <w:rPr>
                <w:sz w:val="24"/>
                <w:lang w:val="lv-LV"/>
              </w:rPr>
              <w:t>Ģenerālprokuratūra</w:t>
            </w:r>
          </w:p>
        </w:tc>
      </w:tr>
      <w:tr w:rsidR="00F258AF" w:rsidRPr="00D50CBA" w14:paraId="15E0F52B" w14:textId="77777777" w:rsidTr="003B12C3">
        <w:trPr>
          <w:jc w:val="center"/>
        </w:trPr>
        <w:tc>
          <w:tcPr>
            <w:tcW w:w="2122" w:type="dxa"/>
            <w:shd w:val="clear" w:color="auto" w:fill="auto"/>
            <w:vAlign w:val="center"/>
          </w:tcPr>
          <w:p w14:paraId="359388EC" w14:textId="77777777" w:rsidR="00F258AF" w:rsidRPr="00D50CBA" w:rsidRDefault="00F258AF" w:rsidP="002C5439">
            <w:pPr>
              <w:ind w:firstLine="34"/>
            </w:pPr>
            <w:r w:rsidRPr="00D50CBA">
              <w:rPr>
                <w:lang w:eastAsia="lv-LV"/>
              </w:rPr>
              <w:t>IMS</w:t>
            </w:r>
          </w:p>
        </w:tc>
        <w:tc>
          <w:tcPr>
            <w:tcW w:w="6378" w:type="dxa"/>
            <w:shd w:val="clear" w:color="auto" w:fill="auto"/>
            <w:vAlign w:val="center"/>
          </w:tcPr>
          <w:p w14:paraId="77F89109" w14:textId="77777777" w:rsidR="00F258AF" w:rsidRPr="00D50CBA" w:rsidRDefault="00F258AF" w:rsidP="002C5439">
            <w:pPr>
              <w:ind w:firstLine="34"/>
              <w:jc w:val="both"/>
            </w:pPr>
            <w:r w:rsidRPr="00D50CBA">
              <w:t>Eiropas Komisijas uzturēta neatbilstību vadības sistēma (</w:t>
            </w:r>
            <w:proofErr w:type="spellStart"/>
            <w:r w:rsidRPr="00D50CBA">
              <w:rPr>
                <w:i/>
              </w:rPr>
              <w:t>Irregularity</w:t>
            </w:r>
            <w:proofErr w:type="spellEnd"/>
            <w:r w:rsidRPr="00D50CBA">
              <w:rPr>
                <w:i/>
              </w:rPr>
              <w:t xml:space="preserve"> </w:t>
            </w:r>
            <w:proofErr w:type="spellStart"/>
            <w:r w:rsidRPr="00D50CBA">
              <w:rPr>
                <w:i/>
              </w:rPr>
              <w:t>Management</w:t>
            </w:r>
            <w:proofErr w:type="spellEnd"/>
            <w:r w:rsidRPr="00D50CBA">
              <w:rPr>
                <w:i/>
              </w:rPr>
              <w:t xml:space="preserve"> </w:t>
            </w:r>
            <w:proofErr w:type="spellStart"/>
            <w:r w:rsidRPr="00D50CBA">
              <w:rPr>
                <w:i/>
              </w:rPr>
              <w:t>System</w:t>
            </w:r>
            <w:proofErr w:type="spellEnd"/>
            <w:r w:rsidRPr="00D50CBA">
              <w:t>)</w:t>
            </w:r>
          </w:p>
        </w:tc>
      </w:tr>
      <w:tr w:rsidR="00F258AF" w:rsidRPr="00D50CBA" w14:paraId="187F8547" w14:textId="77777777" w:rsidTr="003B12C3">
        <w:trPr>
          <w:jc w:val="center"/>
        </w:trPr>
        <w:tc>
          <w:tcPr>
            <w:tcW w:w="2122" w:type="dxa"/>
            <w:shd w:val="clear" w:color="auto" w:fill="auto"/>
            <w:vAlign w:val="center"/>
          </w:tcPr>
          <w:p w14:paraId="722A1F80" w14:textId="77777777" w:rsidR="00F258AF" w:rsidRPr="00D50CBA" w:rsidRDefault="00F258AF" w:rsidP="00F91DE9">
            <w:pPr>
              <w:ind w:firstLine="34"/>
            </w:pPr>
            <w:r w:rsidRPr="00D50CBA">
              <w:t>IUB</w:t>
            </w:r>
          </w:p>
        </w:tc>
        <w:tc>
          <w:tcPr>
            <w:tcW w:w="6378" w:type="dxa"/>
            <w:shd w:val="clear" w:color="auto" w:fill="auto"/>
            <w:vAlign w:val="center"/>
          </w:tcPr>
          <w:p w14:paraId="55076A22" w14:textId="77777777" w:rsidR="00F258AF" w:rsidRPr="009F2AFF" w:rsidRDefault="00F258AF" w:rsidP="00F91DE9">
            <w:pPr>
              <w:pStyle w:val="FootnoteText"/>
              <w:rPr>
                <w:sz w:val="24"/>
                <w:lang w:val="lv-LV"/>
              </w:rPr>
            </w:pPr>
            <w:r w:rsidRPr="009F2AFF">
              <w:rPr>
                <w:sz w:val="24"/>
                <w:lang w:val="lv-LV"/>
              </w:rPr>
              <w:t>Iepirkumu uzraudzības birojs</w:t>
            </w:r>
          </w:p>
        </w:tc>
      </w:tr>
      <w:tr w:rsidR="00F258AF" w:rsidRPr="00D50CBA" w14:paraId="63CB36DC" w14:textId="77777777" w:rsidTr="005A7843">
        <w:trPr>
          <w:trHeight w:val="237"/>
          <w:jc w:val="center"/>
        </w:trPr>
        <w:tc>
          <w:tcPr>
            <w:tcW w:w="2122" w:type="dxa"/>
            <w:shd w:val="clear" w:color="auto" w:fill="auto"/>
            <w:vAlign w:val="center"/>
          </w:tcPr>
          <w:p w14:paraId="6F28AFFC" w14:textId="77777777" w:rsidR="00F258AF" w:rsidRPr="00D50CBA" w:rsidRDefault="00F258AF" w:rsidP="00F91DE9">
            <w:pPr>
              <w:ind w:firstLine="34"/>
            </w:pPr>
            <w:r w:rsidRPr="00D50CBA">
              <w:t>JAL</w:t>
            </w:r>
          </w:p>
        </w:tc>
        <w:tc>
          <w:tcPr>
            <w:tcW w:w="6378" w:type="dxa"/>
            <w:shd w:val="clear" w:color="auto" w:fill="auto"/>
            <w:vAlign w:val="center"/>
          </w:tcPr>
          <w:p w14:paraId="06F4436C" w14:textId="77777777" w:rsidR="00F258AF" w:rsidRPr="00D50CBA" w:rsidRDefault="00F258AF" w:rsidP="005A7843">
            <w:pPr>
              <w:ind w:firstLine="34"/>
              <w:jc w:val="both"/>
            </w:pPr>
            <w:r w:rsidRPr="00D50CBA">
              <w:t xml:space="preserve">Junior </w:t>
            </w:r>
            <w:proofErr w:type="spellStart"/>
            <w:r w:rsidRPr="00D50CBA">
              <w:t>Achievement</w:t>
            </w:r>
            <w:proofErr w:type="spellEnd"/>
            <w:r w:rsidRPr="00D50CBA">
              <w:t xml:space="preserve"> Latvia </w:t>
            </w:r>
          </w:p>
        </w:tc>
      </w:tr>
      <w:tr w:rsidR="00F258AF" w:rsidRPr="00D50CBA" w14:paraId="29E9A474" w14:textId="77777777" w:rsidTr="003B12C3">
        <w:trPr>
          <w:jc w:val="center"/>
        </w:trPr>
        <w:tc>
          <w:tcPr>
            <w:tcW w:w="2122" w:type="dxa"/>
            <w:shd w:val="clear" w:color="auto" w:fill="auto"/>
            <w:vAlign w:val="center"/>
          </w:tcPr>
          <w:p w14:paraId="060491B5" w14:textId="77777777" w:rsidR="00F258AF" w:rsidRPr="00D50CBA" w:rsidRDefault="00F258AF" w:rsidP="002C5439">
            <w:pPr>
              <w:ind w:firstLine="34"/>
            </w:pPr>
            <w:r w:rsidRPr="00D50CBA">
              <w:t>KNAB</w:t>
            </w:r>
          </w:p>
        </w:tc>
        <w:tc>
          <w:tcPr>
            <w:tcW w:w="6378" w:type="dxa"/>
            <w:shd w:val="clear" w:color="auto" w:fill="auto"/>
            <w:vAlign w:val="center"/>
          </w:tcPr>
          <w:p w14:paraId="785682ED" w14:textId="77777777" w:rsidR="00F258AF" w:rsidRPr="00D50CBA" w:rsidRDefault="00F258AF" w:rsidP="002C5439">
            <w:pPr>
              <w:ind w:firstLine="34"/>
              <w:jc w:val="both"/>
            </w:pPr>
            <w:r w:rsidRPr="00D50CBA">
              <w:t>Korupcijas novēršanas un apkarošanas birojs</w:t>
            </w:r>
          </w:p>
        </w:tc>
      </w:tr>
      <w:tr w:rsidR="00F258AF" w:rsidRPr="00D50CBA" w14:paraId="2495D8EF" w14:textId="77777777" w:rsidTr="003B12C3">
        <w:trPr>
          <w:jc w:val="center"/>
        </w:trPr>
        <w:tc>
          <w:tcPr>
            <w:tcW w:w="2122" w:type="dxa"/>
            <w:shd w:val="clear" w:color="auto" w:fill="auto"/>
            <w:vAlign w:val="center"/>
          </w:tcPr>
          <w:p w14:paraId="0356AE6A" w14:textId="77777777" w:rsidR="00F258AF" w:rsidRPr="00D50CBA" w:rsidRDefault="00F258AF" w:rsidP="00F91DE9">
            <w:pPr>
              <w:ind w:firstLine="34"/>
            </w:pPr>
            <w:r w:rsidRPr="00D50CBA">
              <w:t>KP</w:t>
            </w:r>
          </w:p>
        </w:tc>
        <w:tc>
          <w:tcPr>
            <w:tcW w:w="6378" w:type="dxa"/>
            <w:shd w:val="clear" w:color="auto" w:fill="auto"/>
            <w:vAlign w:val="center"/>
          </w:tcPr>
          <w:p w14:paraId="2F6DDBCB" w14:textId="77777777" w:rsidR="00F258AF" w:rsidRPr="00D50CBA" w:rsidRDefault="00F258AF" w:rsidP="00F91DE9">
            <w:pPr>
              <w:pStyle w:val="FootnoteText"/>
              <w:rPr>
                <w:sz w:val="24"/>
              </w:rPr>
            </w:pPr>
            <w:proofErr w:type="spellStart"/>
            <w:r w:rsidRPr="00D50CBA">
              <w:rPr>
                <w:sz w:val="24"/>
              </w:rPr>
              <w:t>Konkurences</w:t>
            </w:r>
            <w:proofErr w:type="spellEnd"/>
            <w:r w:rsidRPr="00D50CBA">
              <w:rPr>
                <w:sz w:val="24"/>
              </w:rPr>
              <w:t xml:space="preserve"> </w:t>
            </w:r>
            <w:proofErr w:type="spellStart"/>
            <w:r w:rsidRPr="00D50CBA">
              <w:rPr>
                <w:sz w:val="24"/>
              </w:rPr>
              <w:t>padome</w:t>
            </w:r>
            <w:proofErr w:type="spellEnd"/>
          </w:p>
        </w:tc>
      </w:tr>
      <w:tr w:rsidR="00F258AF" w:rsidRPr="00D50CBA" w14:paraId="1A1BBE4B" w14:textId="77777777" w:rsidTr="003B12C3">
        <w:trPr>
          <w:jc w:val="center"/>
        </w:trPr>
        <w:tc>
          <w:tcPr>
            <w:tcW w:w="2122" w:type="dxa"/>
            <w:shd w:val="clear" w:color="auto" w:fill="auto"/>
            <w:vAlign w:val="center"/>
          </w:tcPr>
          <w:p w14:paraId="23B008AA" w14:textId="77777777" w:rsidR="00F258AF" w:rsidRPr="00D50CBA" w:rsidRDefault="00F258AF" w:rsidP="00F91DE9">
            <w:pPr>
              <w:ind w:firstLine="34"/>
            </w:pPr>
            <w:r w:rsidRPr="00D50CBA">
              <w:t>LM</w:t>
            </w:r>
          </w:p>
        </w:tc>
        <w:tc>
          <w:tcPr>
            <w:tcW w:w="6378" w:type="dxa"/>
            <w:shd w:val="clear" w:color="auto" w:fill="auto"/>
            <w:vAlign w:val="center"/>
          </w:tcPr>
          <w:p w14:paraId="3349324F" w14:textId="77777777" w:rsidR="00F258AF" w:rsidRPr="00D50CBA" w:rsidRDefault="00F258AF" w:rsidP="00F91DE9">
            <w:pPr>
              <w:pStyle w:val="FootnoteText"/>
              <w:rPr>
                <w:sz w:val="24"/>
              </w:rPr>
            </w:pPr>
            <w:proofErr w:type="spellStart"/>
            <w:r w:rsidRPr="00D50CBA">
              <w:rPr>
                <w:bCs/>
                <w:sz w:val="24"/>
              </w:rPr>
              <w:t>Labklājības</w:t>
            </w:r>
            <w:proofErr w:type="spellEnd"/>
            <w:r w:rsidRPr="00D50CBA">
              <w:rPr>
                <w:bCs/>
                <w:sz w:val="24"/>
              </w:rPr>
              <w:t xml:space="preserve"> </w:t>
            </w:r>
            <w:proofErr w:type="spellStart"/>
            <w:r w:rsidRPr="00D50CBA">
              <w:rPr>
                <w:bCs/>
                <w:sz w:val="24"/>
              </w:rPr>
              <w:t>ministrija</w:t>
            </w:r>
            <w:proofErr w:type="spellEnd"/>
          </w:p>
        </w:tc>
      </w:tr>
      <w:tr w:rsidR="00F258AF" w:rsidRPr="00D50CBA" w14:paraId="57D033DA" w14:textId="77777777" w:rsidTr="003B12C3">
        <w:trPr>
          <w:jc w:val="center"/>
        </w:trPr>
        <w:tc>
          <w:tcPr>
            <w:tcW w:w="2122" w:type="dxa"/>
            <w:shd w:val="clear" w:color="auto" w:fill="auto"/>
            <w:vAlign w:val="center"/>
          </w:tcPr>
          <w:p w14:paraId="35600290" w14:textId="77777777" w:rsidR="00F258AF" w:rsidRPr="00D50CBA" w:rsidRDefault="00F258AF" w:rsidP="003B12C3">
            <w:pPr>
              <w:ind w:firstLine="34"/>
            </w:pPr>
            <w:r w:rsidRPr="00D50CBA">
              <w:t>MK</w:t>
            </w:r>
          </w:p>
        </w:tc>
        <w:tc>
          <w:tcPr>
            <w:tcW w:w="6378" w:type="dxa"/>
            <w:shd w:val="clear" w:color="auto" w:fill="auto"/>
            <w:vAlign w:val="center"/>
          </w:tcPr>
          <w:p w14:paraId="3F4F1472" w14:textId="77777777" w:rsidR="00F258AF" w:rsidRPr="00D50CBA" w:rsidRDefault="00F258AF" w:rsidP="003B12C3">
            <w:pPr>
              <w:ind w:firstLine="34"/>
              <w:jc w:val="both"/>
            </w:pPr>
            <w:r w:rsidRPr="00D50CBA">
              <w:t>Ministru kabinets</w:t>
            </w:r>
          </w:p>
        </w:tc>
      </w:tr>
      <w:tr w:rsidR="00F258AF" w:rsidRPr="00D50CBA" w14:paraId="1A3E857F" w14:textId="77777777" w:rsidTr="003B12C3">
        <w:trPr>
          <w:jc w:val="center"/>
        </w:trPr>
        <w:tc>
          <w:tcPr>
            <w:tcW w:w="2122" w:type="dxa"/>
            <w:shd w:val="clear" w:color="auto" w:fill="auto"/>
            <w:vAlign w:val="center"/>
          </w:tcPr>
          <w:p w14:paraId="69621540" w14:textId="77777777" w:rsidR="00F258AF" w:rsidRPr="00D50CBA" w:rsidRDefault="00F258AF" w:rsidP="00E47E28">
            <w:pPr>
              <w:ind w:firstLine="34"/>
            </w:pPr>
            <w:r w:rsidRPr="00D50CBA">
              <w:t>OAFCN</w:t>
            </w:r>
          </w:p>
        </w:tc>
        <w:tc>
          <w:tcPr>
            <w:tcW w:w="6378" w:type="dxa"/>
            <w:shd w:val="clear" w:color="auto" w:fill="auto"/>
            <w:vAlign w:val="center"/>
          </w:tcPr>
          <w:p w14:paraId="72D61708" w14:textId="77777777" w:rsidR="00F258AF" w:rsidRPr="00D50CBA" w:rsidRDefault="00F258AF" w:rsidP="009C2904">
            <w:pPr>
              <w:ind w:firstLine="34"/>
              <w:jc w:val="both"/>
            </w:pPr>
            <w:r w:rsidRPr="00D50CBA">
              <w:t>OLAF komunikatoru tīkls</w:t>
            </w:r>
          </w:p>
        </w:tc>
      </w:tr>
      <w:tr w:rsidR="00F258AF" w:rsidRPr="00D50CBA" w14:paraId="2E37DAFB" w14:textId="77777777" w:rsidTr="003B12C3">
        <w:trPr>
          <w:jc w:val="center"/>
        </w:trPr>
        <w:tc>
          <w:tcPr>
            <w:tcW w:w="2122" w:type="dxa"/>
            <w:shd w:val="clear" w:color="auto" w:fill="auto"/>
            <w:vAlign w:val="center"/>
          </w:tcPr>
          <w:p w14:paraId="6B9408B7" w14:textId="77777777" w:rsidR="00F258AF" w:rsidRPr="00D50CBA" w:rsidRDefault="00F258AF" w:rsidP="00F91DE9">
            <w:pPr>
              <w:ind w:firstLine="34"/>
            </w:pPr>
            <w:r w:rsidRPr="00D50CBA">
              <w:rPr>
                <w:bCs/>
              </w:rPr>
              <w:t>OCCRP</w:t>
            </w:r>
          </w:p>
        </w:tc>
        <w:tc>
          <w:tcPr>
            <w:tcW w:w="6378" w:type="dxa"/>
            <w:shd w:val="clear" w:color="auto" w:fill="auto"/>
            <w:vAlign w:val="center"/>
          </w:tcPr>
          <w:p w14:paraId="291F3B6F" w14:textId="77777777" w:rsidR="00F258AF" w:rsidRPr="00D50CBA" w:rsidRDefault="00F258AF" w:rsidP="00F91DE9">
            <w:pPr>
              <w:ind w:firstLine="34"/>
              <w:jc w:val="both"/>
            </w:pPr>
            <w:r w:rsidRPr="00D50CBA">
              <w:rPr>
                <w:bCs/>
              </w:rPr>
              <w:t>Organizētās noziedzības un korupcijas ziņošanas projekts</w:t>
            </w:r>
          </w:p>
        </w:tc>
      </w:tr>
      <w:tr w:rsidR="00F258AF" w:rsidRPr="00D50CBA" w14:paraId="7037F79F" w14:textId="77777777" w:rsidTr="003B12C3">
        <w:trPr>
          <w:jc w:val="center"/>
        </w:trPr>
        <w:tc>
          <w:tcPr>
            <w:tcW w:w="2122" w:type="dxa"/>
            <w:shd w:val="clear" w:color="auto" w:fill="auto"/>
            <w:vAlign w:val="center"/>
          </w:tcPr>
          <w:p w14:paraId="2FD897DE" w14:textId="77777777" w:rsidR="00F258AF" w:rsidRPr="00D50CBA" w:rsidRDefault="00F258AF" w:rsidP="003B12C3">
            <w:pPr>
              <w:ind w:firstLine="34"/>
            </w:pPr>
            <w:r w:rsidRPr="00D50CBA">
              <w:t>OLAF</w:t>
            </w:r>
          </w:p>
        </w:tc>
        <w:tc>
          <w:tcPr>
            <w:tcW w:w="6378" w:type="dxa"/>
            <w:shd w:val="clear" w:color="auto" w:fill="auto"/>
            <w:vAlign w:val="center"/>
          </w:tcPr>
          <w:p w14:paraId="2346DA78" w14:textId="77777777" w:rsidR="00F258AF" w:rsidRPr="00D50CBA" w:rsidRDefault="00F258AF" w:rsidP="003B12C3">
            <w:pPr>
              <w:ind w:firstLine="34"/>
              <w:jc w:val="both"/>
            </w:pPr>
            <w:r w:rsidRPr="00D50CBA">
              <w:t>Eiropas Birojs Krāpšanas apkarošanai</w:t>
            </w:r>
          </w:p>
        </w:tc>
      </w:tr>
      <w:tr w:rsidR="00F258AF" w:rsidRPr="00D50CBA" w14:paraId="69ADDDDA" w14:textId="77777777" w:rsidTr="003B12C3">
        <w:trPr>
          <w:jc w:val="center"/>
        </w:trPr>
        <w:tc>
          <w:tcPr>
            <w:tcW w:w="2122" w:type="dxa"/>
            <w:shd w:val="clear" w:color="auto" w:fill="auto"/>
            <w:vAlign w:val="center"/>
          </w:tcPr>
          <w:p w14:paraId="2E237A49" w14:textId="77777777" w:rsidR="00F258AF" w:rsidRPr="00D50CBA" w:rsidRDefault="00F258AF" w:rsidP="003B12C3">
            <w:pPr>
              <w:ind w:firstLine="34"/>
            </w:pPr>
            <w:r w:rsidRPr="00D50CBA">
              <w:t>TM</w:t>
            </w:r>
          </w:p>
        </w:tc>
        <w:tc>
          <w:tcPr>
            <w:tcW w:w="6378" w:type="dxa"/>
            <w:shd w:val="clear" w:color="auto" w:fill="auto"/>
            <w:vAlign w:val="center"/>
          </w:tcPr>
          <w:p w14:paraId="22170F2C" w14:textId="77777777" w:rsidR="00F258AF" w:rsidRPr="00D50CBA" w:rsidRDefault="00F258AF" w:rsidP="003B12C3">
            <w:pPr>
              <w:ind w:firstLine="34"/>
              <w:jc w:val="both"/>
            </w:pPr>
            <w:r w:rsidRPr="00D50CBA">
              <w:t>Tieslietu ministrija</w:t>
            </w:r>
          </w:p>
        </w:tc>
      </w:tr>
      <w:tr w:rsidR="00F258AF" w:rsidRPr="00D50CBA" w14:paraId="0C8768DE" w14:textId="77777777" w:rsidTr="003B12C3">
        <w:trPr>
          <w:jc w:val="center"/>
        </w:trPr>
        <w:tc>
          <w:tcPr>
            <w:tcW w:w="2122" w:type="dxa"/>
            <w:shd w:val="clear" w:color="auto" w:fill="auto"/>
            <w:vAlign w:val="center"/>
          </w:tcPr>
          <w:p w14:paraId="4E24F05A" w14:textId="77777777" w:rsidR="00F258AF" w:rsidRPr="00D50CBA" w:rsidRDefault="00F258AF" w:rsidP="00F91DE9">
            <w:pPr>
              <w:ind w:firstLine="34"/>
            </w:pPr>
            <w:r w:rsidRPr="00D50CBA">
              <w:t>VARAM</w:t>
            </w:r>
          </w:p>
        </w:tc>
        <w:tc>
          <w:tcPr>
            <w:tcW w:w="6378" w:type="dxa"/>
            <w:shd w:val="clear" w:color="auto" w:fill="auto"/>
            <w:vAlign w:val="center"/>
          </w:tcPr>
          <w:p w14:paraId="7A2585B5" w14:textId="77777777" w:rsidR="00F258AF" w:rsidRPr="00D50CBA" w:rsidRDefault="00F258AF" w:rsidP="00F91DE9">
            <w:pPr>
              <w:pStyle w:val="FootnoteText"/>
              <w:rPr>
                <w:sz w:val="24"/>
              </w:rPr>
            </w:pPr>
            <w:r w:rsidRPr="00D50CBA">
              <w:rPr>
                <w:sz w:val="24"/>
              </w:rPr>
              <w:t xml:space="preserve">Vides </w:t>
            </w:r>
            <w:proofErr w:type="spellStart"/>
            <w:r w:rsidRPr="00D50CBA">
              <w:rPr>
                <w:sz w:val="24"/>
              </w:rPr>
              <w:t>aizsardzības</w:t>
            </w:r>
            <w:proofErr w:type="spellEnd"/>
            <w:r w:rsidRPr="00D50CBA">
              <w:rPr>
                <w:sz w:val="24"/>
              </w:rPr>
              <w:t xml:space="preserve"> un </w:t>
            </w:r>
            <w:proofErr w:type="spellStart"/>
            <w:r w:rsidRPr="00D50CBA">
              <w:rPr>
                <w:sz w:val="24"/>
              </w:rPr>
              <w:t>reģionālās</w:t>
            </w:r>
            <w:proofErr w:type="spellEnd"/>
            <w:r w:rsidRPr="00D50CBA">
              <w:rPr>
                <w:sz w:val="24"/>
              </w:rPr>
              <w:t xml:space="preserve"> </w:t>
            </w:r>
            <w:proofErr w:type="spellStart"/>
            <w:r w:rsidRPr="00D50CBA">
              <w:rPr>
                <w:sz w:val="24"/>
              </w:rPr>
              <w:t>attīstības</w:t>
            </w:r>
            <w:proofErr w:type="spellEnd"/>
            <w:r w:rsidRPr="00D50CBA">
              <w:rPr>
                <w:sz w:val="24"/>
              </w:rPr>
              <w:t xml:space="preserve"> </w:t>
            </w:r>
            <w:proofErr w:type="spellStart"/>
            <w:r w:rsidRPr="00D50CBA">
              <w:rPr>
                <w:sz w:val="24"/>
              </w:rPr>
              <w:t>ministrija</w:t>
            </w:r>
            <w:proofErr w:type="spellEnd"/>
            <w:r w:rsidRPr="00D50CBA">
              <w:rPr>
                <w:sz w:val="24"/>
              </w:rPr>
              <w:t xml:space="preserve"> </w:t>
            </w:r>
          </w:p>
        </w:tc>
      </w:tr>
      <w:tr w:rsidR="00F258AF" w:rsidRPr="00D50CBA" w14:paraId="05156C62" w14:textId="77777777" w:rsidTr="003B12C3">
        <w:trPr>
          <w:jc w:val="center"/>
        </w:trPr>
        <w:tc>
          <w:tcPr>
            <w:tcW w:w="2122" w:type="dxa"/>
            <w:shd w:val="clear" w:color="auto" w:fill="auto"/>
            <w:vAlign w:val="center"/>
          </w:tcPr>
          <w:p w14:paraId="41CEC6B8" w14:textId="77777777" w:rsidR="00F258AF" w:rsidRPr="00D50CBA" w:rsidRDefault="00F258AF" w:rsidP="00F91DE9">
            <w:pPr>
              <w:ind w:firstLine="34"/>
            </w:pPr>
            <w:r w:rsidRPr="00D50CBA">
              <w:t>VAS</w:t>
            </w:r>
          </w:p>
        </w:tc>
        <w:tc>
          <w:tcPr>
            <w:tcW w:w="6378" w:type="dxa"/>
            <w:shd w:val="clear" w:color="auto" w:fill="auto"/>
            <w:vAlign w:val="center"/>
          </w:tcPr>
          <w:p w14:paraId="34AA51EB" w14:textId="77777777" w:rsidR="00F258AF" w:rsidRPr="00D50CBA" w:rsidRDefault="00F258AF" w:rsidP="00F91DE9">
            <w:pPr>
              <w:ind w:firstLine="34"/>
              <w:jc w:val="both"/>
            </w:pPr>
            <w:r w:rsidRPr="00D50CBA">
              <w:t>Valsts administrācijas skolas</w:t>
            </w:r>
          </w:p>
        </w:tc>
      </w:tr>
      <w:tr w:rsidR="00F258AF" w:rsidRPr="00D50CBA" w14:paraId="37C25266" w14:textId="77777777" w:rsidTr="003B12C3">
        <w:trPr>
          <w:jc w:val="center"/>
        </w:trPr>
        <w:tc>
          <w:tcPr>
            <w:tcW w:w="2122" w:type="dxa"/>
            <w:shd w:val="clear" w:color="auto" w:fill="auto"/>
            <w:vAlign w:val="center"/>
          </w:tcPr>
          <w:p w14:paraId="21EB8E12" w14:textId="77777777" w:rsidR="00F258AF" w:rsidRPr="00D50CBA" w:rsidRDefault="00F258AF" w:rsidP="00F91DE9">
            <w:pPr>
              <w:ind w:firstLine="34"/>
            </w:pPr>
            <w:r w:rsidRPr="00D50CBA">
              <w:t>VDI</w:t>
            </w:r>
          </w:p>
        </w:tc>
        <w:tc>
          <w:tcPr>
            <w:tcW w:w="6378" w:type="dxa"/>
            <w:shd w:val="clear" w:color="auto" w:fill="auto"/>
            <w:vAlign w:val="center"/>
          </w:tcPr>
          <w:p w14:paraId="64B6114B" w14:textId="77777777" w:rsidR="00F258AF" w:rsidRPr="00D50CBA" w:rsidRDefault="00612336" w:rsidP="005A7843">
            <w:pPr>
              <w:pStyle w:val="FootnoteText"/>
              <w:rPr>
                <w:sz w:val="24"/>
              </w:rPr>
            </w:pPr>
            <w:proofErr w:type="spellStart"/>
            <w:r w:rsidRPr="00D50CBA">
              <w:rPr>
                <w:sz w:val="24"/>
              </w:rPr>
              <w:t>Valsts</w:t>
            </w:r>
            <w:proofErr w:type="spellEnd"/>
            <w:r w:rsidRPr="00D50CBA">
              <w:rPr>
                <w:sz w:val="24"/>
              </w:rPr>
              <w:t xml:space="preserve"> </w:t>
            </w:r>
            <w:proofErr w:type="spellStart"/>
            <w:r w:rsidRPr="00D50CBA">
              <w:rPr>
                <w:sz w:val="24"/>
              </w:rPr>
              <w:t>darba</w:t>
            </w:r>
            <w:proofErr w:type="spellEnd"/>
            <w:r w:rsidRPr="00D50CBA">
              <w:rPr>
                <w:sz w:val="24"/>
              </w:rPr>
              <w:t xml:space="preserve"> </w:t>
            </w:r>
            <w:proofErr w:type="spellStart"/>
            <w:r w:rsidRPr="00D50CBA">
              <w:rPr>
                <w:sz w:val="24"/>
              </w:rPr>
              <w:t>inspekcija</w:t>
            </w:r>
            <w:proofErr w:type="spellEnd"/>
          </w:p>
        </w:tc>
      </w:tr>
      <w:tr w:rsidR="00F258AF" w:rsidRPr="00D50CBA" w14:paraId="4E3B96C2" w14:textId="77777777" w:rsidTr="003B12C3">
        <w:trPr>
          <w:jc w:val="center"/>
        </w:trPr>
        <w:tc>
          <w:tcPr>
            <w:tcW w:w="2122" w:type="dxa"/>
            <w:shd w:val="clear" w:color="auto" w:fill="auto"/>
            <w:vAlign w:val="center"/>
          </w:tcPr>
          <w:p w14:paraId="34DFD8F7" w14:textId="77777777" w:rsidR="00F258AF" w:rsidRPr="00D50CBA" w:rsidRDefault="00F258AF" w:rsidP="002C5439">
            <w:pPr>
              <w:ind w:firstLine="34"/>
            </w:pPr>
            <w:r w:rsidRPr="00D50CBA">
              <w:t>VID</w:t>
            </w:r>
          </w:p>
        </w:tc>
        <w:tc>
          <w:tcPr>
            <w:tcW w:w="6378" w:type="dxa"/>
            <w:shd w:val="clear" w:color="auto" w:fill="auto"/>
            <w:vAlign w:val="center"/>
          </w:tcPr>
          <w:p w14:paraId="0A934144" w14:textId="77777777" w:rsidR="00F258AF" w:rsidRPr="00D50CBA" w:rsidRDefault="00F258AF" w:rsidP="002C5439">
            <w:pPr>
              <w:ind w:firstLine="34"/>
              <w:jc w:val="both"/>
            </w:pPr>
            <w:r w:rsidRPr="00D50CBA">
              <w:t>Valsts ieņēmumu dienests</w:t>
            </w:r>
          </w:p>
        </w:tc>
      </w:tr>
      <w:tr w:rsidR="000E7C71" w:rsidRPr="00D50CBA" w14:paraId="3106EBE6" w14:textId="77777777" w:rsidTr="003B12C3">
        <w:trPr>
          <w:jc w:val="center"/>
        </w:trPr>
        <w:tc>
          <w:tcPr>
            <w:tcW w:w="2122" w:type="dxa"/>
            <w:shd w:val="clear" w:color="auto" w:fill="auto"/>
            <w:vAlign w:val="center"/>
          </w:tcPr>
          <w:p w14:paraId="5F136E23" w14:textId="77777777" w:rsidR="000E7C71" w:rsidRPr="00D50CBA" w:rsidRDefault="000E7C71" w:rsidP="002C5439">
            <w:pPr>
              <w:ind w:firstLine="34"/>
            </w:pPr>
            <w:r w:rsidRPr="00D50CBA">
              <w:t>VIAA</w:t>
            </w:r>
          </w:p>
        </w:tc>
        <w:tc>
          <w:tcPr>
            <w:tcW w:w="6378" w:type="dxa"/>
            <w:shd w:val="clear" w:color="auto" w:fill="auto"/>
            <w:vAlign w:val="center"/>
          </w:tcPr>
          <w:p w14:paraId="07751081" w14:textId="77777777" w:rsidR="000E7C71" w:rsidRPr="00D50CBA" w:rsidRDefault="000E7C71" w:rsidP="002C5439">
            <w:pPr>
              <w:ind w:firstLine="34"/>
              <w:jc w:val="both"/>
            </w:pPr>
            <w:r w:rsidRPr="00D50CBA">
              <w:t>Valsts Izglītības Attīstības Aģentūra</w:t>
            </w:r>
          </w:p>
        </w:tc>
      </w:tr>
      <w:tr w:rsidR="00F258AF" w:rsidRPr="00D50CBA" w14:paraId="64D6325F" w14:textId="77777777" w:rsidTr="003B12C3">
        <w:trPr>
          <w:jc w:val="center"/>
        </w:trPr>
        <w:tc>
          <w:tcPr>
            <w:tcW w:w="2122" w:type="dxa"/>
            <w:shd w:val="clear" w:color="auto" w:fill="auto"/>
            <w:vAlign w:val="center"/>
          </w:tcPr>
          <w:p w14:paraId="71949185" w14:textId="77777777" w:rsidR="00F258AF" w:rsidRPr="00D50CBA" w:rsidRDefault="00F258AF" w:rsidP="002C5439">
            <w:pPr>
              <w:ind w:firstLine="34"/>
            </w:pPr>
            <w:r w:rsidRPr="00D50CBA">
              <w:t>VP</w:t>
            </w:r>
          </w:p>
        </w:tc>
        <w:tc>
          <w:tcPr>
            <w:tcW w:w="6378" w:type="dxa"/>
            <w:shd w:val="clear" w:color="auto" w:fill="auto"/>
            <w:vAlign w:val="center"/>
          </w:tcPr>
          <w:p w14:paraId="6B9F99A5" w14:textId="77777777" w:rsidR="00F258AF" w:rsidRPr="00D50CBA" w:rsidRDefault="00612336" w:rsidP="002C5439">
            <w:pPr>
              <w:ind w:firstLine="34"/>
              <w:jc w:val="both"/>
            </w:pPr>
            <w:r w:rsidRPr="00D50CBA">
              <w:t>Valsts policija</w:t>
            </w:r>
          </w:p>
        </w:tc>
      </w:tr>
      <w:tr w:rsidR="00F258AF" w:rsidRPr="0024194F" w14:paraId="2F7ECB5A" w14:textId="77777777" w:rsidTr="0088393F">
        <w:trPr>
          <w:trHeight w:val="111"/>
          <w:jc w:val="center"/>
        </w:trPr>
        <w:tc>
          <w:tcPr>
            <w:tcW w:w="2122" w:type="dxa"/>
            <w:shd w:val="clear" w:color="auto" w:fill="auto"/>
            <w:vAlign w:val="center"/>
          </w:tcPr>
          <w:p w14:paraId="085741DA" w14:textId="77777777" w:rsidR="00F258AF" w:rsidRPr="00D50CBA" w:rsidRDefault="00F258AF" w:rsidP="002C5439">
            <w:pPr>
              <w:ind w:firstLine="34"/>
            </w:pPr>
            <w:r w:rsidRPr="00D50CBA">
              <w:t>ZM</w:t>
            </w:r>
          </w:p>
        </w:tc>
        <w:tc>
          <w:tcPr>
            <w:tcW w:w="6378" w:type="dxa"/>
            <w:shd w:val="clear" w:color="auto" w:fill="auto"/>
            <w:vAlign w:val="center"/>
          </w:tcPr>
          <w:p w14:paraId="16860BC9" w14:textId="77777777" w:rsidR="00F258AF" w:rsidRPr="0088393F" w:rsidRDefault="00F258AF" w:rsidP="0088393F">
            <w:pPr>
              <w:pStyle w:val="FootnoteText"/>
              <w:rPr>
                <w:sz w:val="24"/>
                <w:lang w:val="lv-LV"/>
              </w:rPr>
            </w:pPr>
            <w:r w:rsidRPr="00D50CBA">
              <w:rPr>
                <w:sz w:val="24"/>
                <w:lang w:val="lv-LV"/>
              </w:rPr>
              <w:t>Zemkopības ministrija</w:t>
            </w:r>
          </w:p>
        </w:tc>
      </w:tr>
    </w:tbl>
    <w:p w14:paraId="2E4C116A" w14:textId="77777777" w:rsidR="00C21125" w:rsidRDefault="00C21125" w:rsidP="00612336">
      <w:pPr>
        <w:jc w:val="center"/>
        <w:rPr>
          <w:rFonts w:eastAsiaTheme="majorEastAsia"/>
          <w:b/>
          <w:sz w:val="28"/>
          <w:szCs w:val="28"/>
        </w:rPr>
      </w:pPr>
    </w:p>
    <w:p w14:paraId="3744E18E" w14:textId="77777777" w:rsidR="00C21125" w:rsidRDefault="00C21125" w:rsidP="00C21125">
      <w:pPr>
        <w:widowControl w:val="0"/>
        <w:tabs>
          <w:tab w:val="left" w:pos="1300"/>
        </w:tabs>
        <w:autoSpaceDE w:val="0"/>
        <w:autoSpaceDN w:val="0"/>
        <w:adjustRightInd w:val="0"/>
        <w:spacing w:after="360"/>
        <w:rPr>
          <w:rFonts w:eastAsiaTheme="majorEastAsia"/>
          <w:b/>
          <w:sz w:val="28"/>
          <w:szCs w:val="28"/>
        </w:rPr>
      </w:pPr>
    </w:p>
    <w:p w14:paraId="688DDA74" w14:textId="77777777" w:rsidR="00C21125" w:rsidRDefault="00C21125" w:rsidP="00C21125">
      <w:pPr>
        <w:widowControl w:val="0"/>
        <w:tabs>
          <w:tab w:val="left" w:pos="1300"/>
        </w:tabs>
        <w:autoSpaceDE w:val="0"/>
        <w:autoSpaceDN w:val="0"/>
        <w:adjustRightInd w:val="0"/>
        <w:spacing w:after="360"/>
        <w:rPr>
          <w:rFonts w:eastAsiaTheme="majorEastAsia"/>
          <w:b/>
          <w:sz w:val="28"/>
          <w:szCs w:val="28"/>
        </w:rPr>
      </w:pPr>
    </w:p>
    <w:p w14:paraId="25027420" w14:textId="77777777" w:rsidR="00C21125" w:rsidRDefault="00C21125" w:rsidP="00C21125">
      <w:pPr>
        <w:widowControl w:val="0"/>
        <w:tabs>
          <w:tab w:val="left" w:pos="1300"/>
        </w:tabs>
        <w:autoSpaceDE w:val="0"/>
        <w:autoSpaceDN w:val="0"/>
        <w:adjustRightInd w:val="0"/>
        <w:spacing w:after="360"/>
        <w:rPr>
          <w:rFonts w:eastAsiaTheme="majorEastAsia"/>
          <w:b/>
          <w:sz w:val="28"/>
          <w:szCs w:val="28"/>
        </w:rPr>
      </w:pPr>
    </w:p>
    <w:p w14:paraId="6A2DBD40" w14:textId="77777777" w:rsidR="00C21125" w:rsidRDefault="00C21125" w:rsidP="00C21125">
      <w:pPr>
        <w:widowControl w:val="0"/>
        <w:tabs>
          <w:tab w:val="left" w:pos="1300"/>
        </w:tabs>
        <w:autoSpaceDE w:val="0"/>
        <w:autoSpaceDN w:val="0"/>
        <w:adjustRightInd w:val="0"/>
        <w:spacing w:after="360"/>
        <w:rPr>
          <w:rFonts w:eastAsiaTheme="majorEastAsia"/>
          <w:b/>
          <w:sz w:val="28"/>
          <w:szCs w:val="28"/>
        </w:rPr>
      </w:pPr>
    </w:p>
    <w:p w14:paraId="77C220FB" w14:textId="77777777" w:rsidR="00C21125" w:rsidRPr="0095450D" w:rsidRDefault="00C21125" w:rsidP="00C21125">
      <w:pPr>
        <w:widowControl w:val="0"/>
        <w:tabs>
          <w:tab w:val="left" w:pos="1300"/>
        </w:tabs>
        <w:autoSpaceDE w:val="0"/>
        <w:autoSpaceDN w:val="0"/>
        <w:adjustRightInd w:val="0"/>
        <w:spacing w:after="360"/>
        <w:jc w:val="center"/>
        <w:rPr>
          <w:b/>
          <w:bCs/>
          <w:sz w:val="28"/>
          <w:szCs w:val="28"/>
        </w:rPr>
      </w:pPr>
      <w:r>
        <w:rPr>
          <w:b/>
          <w:bCs/>
          <w:sz w:val="28"/>
          <w:szCs w:val="28"/>
        </w:rPr>
        <w:lastRenderedPageBreak/>
        <w:t>KOPSAVILKUMS</w:t>
      </w:r>
    </w:p>
    <w:p w14:paraId="4882AC5E" w14:textId="51377FD4" w:rsidR="006C4962" w:rsidRDefault="00C21125" w:rsidP="006C4962">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C52D1F">
        <w:rPr>
          <w:rFonts w:ascii="Times New Roman" w:hAnsi="Times New Roman"/>
          <w:sz w:val="24"/>
          <w:szCs w:val="24"/>
        </w:rPr>
        <w:t>Apvienotais informatīvais ziņojums ir sagatavots pamatojoties uz</w:t>
      </w:r>
      <w:r w:rsidR="00C52D1F" w:rsidRPr="00C52D1F">
        <w:rPr>
          <w:rFonts w:ascii="Times New Roman" w:hAnsi="Times New Roman"/>
          <w:sz w:val="24"/>
          <w:szCs w:val="24"/>
        </w:rPr>
        <w:t xml:space="preserve"> </w:t>
      </w:r>
      <w:r w:rsidRPr="00C52D1F">
        <w:rPr>
          <w:rFonts w:ascii="Times New Roman" w:hAnsi="Times New Roman"/>
          <w:sz w:val="24"/>
          <w:szCs w:val="24"/>
        </w:rPr>
        <w:t>Likum</w:t>
      </w:r>
      <w:r w:rsidR="00C52D1F" w:rsidRPr="00C52D1F">
        <w:rPr>
          <w:rFonts w:ascii="Times New Roman" w:hAnsi="Times New Roman"/>
          <w:sz w:val="24"/>
          <w:szCs w:val="24"/>
        </w:rPr>
        <w:t>u</w:t>
      </w:r>
      <w:r w:rsidRPr="00C52D1F">
        <w:rPr>
          <w:rFonts w:ascii="Times New Roman" w:hAnsi="Times New Roman"/>
          <w:sz w:val="24"/>
          <w:szCs w:val="24"/>
        </w:rPr>
        <w:t xml:space="preserve"> par budžeta un finanšu vadību</w:t>
      </w:r>
      <w:r w:rsidR="00C52D1F" w:rsidRPr="00C52D1F">
        <w:rPr>
          <w:rFonts w:ascii="Times New Roman" w:hAnsi="Times New Roman"/>
          <w:sz w:val="24"/>
          <w:szCs w:val="24"/>
        </w:rPr>
        <w:t xml:space="preserve"> </w:t>
      </w:r>
      <w:r w:rsidR="00C52D1F" w:rsidRPr="00C52D1F">
        <w:t xml:space="preserve"> un </w:t>
      </w:r>
      <w:r w:rsidRPr="00C52D1F">
        <w:rPr>
          <w:rFonts w:ascii="Times New Roman" w:hAnsi="Times New Roman"/>
          <w:sz w:val="24"/>
          <w:szCs w:val="24"/>
        </w:rPr>
        <w:t>MK rīkojum</w:t>
      </w:r>
      <w:r w:rsidR="00C52D1F">
        <w:rPr>
          <w:rFonts w:ascii="Times New Roman" w:hAnsi="Times New Roman"/>
          <w:sz w:val="24"/>
          <w:szCs w:val="24"/>
        </w:rPr>
        <w:t>u</w:t>
      </w:r>
      <w:r w:rsidRPr="00C52D1F">
        <w:rPr>
          <w:rFonts w:ascii="Times New Roman" w:hAnsi="Times New Roman"/>
          <w:sz w:val="24"/>
          <w:szCs w:val="24"/>
        </w:rPr>
        <w:t xml:space="preserve"> Nr.26 “Par Eiropas Savienības finanšu interešu aizsardzības koordinācijas dienesta (AFCOS) darbības stratēģiju un pasākumu plānu 2017.-2019. gadam”.</w:t>
      </w:r>
    </w:p>
    <w:p w14:paraId="0BF8E1A5" w14:textId="77777777" w:rsidR="006C4962" w:rsidRPr="006C4962" w:rsidRDefault="00C21125" w:rsidP="006C4962">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6C4962">
        <w:rPr>
          <w:rFonts w:ascii="Times New Roman" w:hAnsi="Times New Roman"/>
          <w:sz w:val="24"/>
        </w:rPr>
        <w:t>Informatīvais ziņojums sastāv no 4 daļām – A, B, C un D, kur A daļā sniegta informācija par AFCOS Stratēģijas un pasākumu plāna izpildes progresu, savukārt, B, C un D daļās sniegta informācija par paveikto ES finanšu interešu aizsardzības jomā 2018. gadā.</w:t>
      </w:r>
    </w:p>
    <w:p w14:paraId="186F0F51" w14:textId="6E362656" w:rsidR="006C4962" w:rsidRDefault="00EE53CA" w:rsidP="006C4962">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6C4962">
        <w:rPr>
          <w:rFonts w:ascii="Times New Roman" w:hAnsi="Times New Roman"/>
          <w:sz w:val="24"/>
        </w:rPr>
        <w:t xml:space="preserve">AFCOS stratēģijas ietvaros ir identificēti 3 galvenie virzieni: </w:t>
      </w:r>
      <w:r w:rsidRPr="006C4962">
        <w:rPr>
          <w:rFonts w:ascii="Times New Roman" w:hAnsi="Times New Roman"/>
          <w:sz w:val="24"/>
          <w:szCs w:val="24"/>
        </w:rPr>
        <w:t xml:space="preserve">politikas veidošana, iekšējā un ārējā koordinēšana, preventīvie pasākumi krāpšanas novēršanai </w:t>
      </w:r>
      <w:r w:rsidR="007050A0" w:rsidRPr="006C4962">
        <w:rPr>
          <w:rFonts w:ascii="Times New Roman" w:hAnsi="Times New Roman"/>
          <w:sz w:val="24"/>
          <w:szCs w:val="24"/>
        </w:rPr>
        <w:t>(</w:t>
      </w:r>
      <w:r w:rsidRPr="006C4962">
        <w:rPr>
          <w:rFonts w:ascii="Times New Roman" w:hAnsi="Times New Roman"/>
          <w:i/>
          <w:sz w:val="24"/>
          <w:szCs w:val="24"/>
        </w:rPr>
        <w:t>skatīt</w:t>
      </w:r>
      <w:r w:rsidR="007050A0" w:rsidRPr="006C4962">
        <w:rPr>
          <w:rFonts w:ascii="Times New Roman" w:hAnsi="Times New Roman"/>
          <w:i/>
          <w:sz w:val="24"/>
          <w:szCs w:val="24"/>
        </w:rPr>
        <w:t xml:space="preserve"> A daļas ievadu</w:t>
      </w:r>
      <w:r w:rsidR="007050A0" w:rsidRPr="006C4962">
        <w:rPr>
          <w:rFonts w:ascii="Times New Roman" w:hAnsi="Times New Roman"/>
          <w:sz w:val="24"/>
          <w:szCs w:val="24"/>
        </w:rPr>
        <w:t>).</w:t>
      </w:r>
      <w:r w:rsidRPr="006C4962">
        <w:rPr>
          <w:rFonts w:ascii="Times New Roman" w:hAnsi="Times New Roman"/>
          <w:sz w:val="24"/>
          <w:szCs w:val="24"/>
        </w:rPr>
        <w:t xml:space="preserve"> </w:t>
      </w:r>
    </w:p>
    <w:p w14:paraId="3682516D" w14:textId="739AD12A" w:rsidR="006C4962" w:rsidRDefault="007050A0" w:rsidP="006C4962">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6C4962">
        <w:rPr>
          <w:rFonts w:ascii="Times New Roman" w:hAnsi="Times New Roman"/>
          <w:sz w:val="24"/>
          <w:szCs w:val="24"/>
        </w:rPr>
        <w:t xml:space="preserve">Galvenās diskusijas ar </w:t>
      </w:r>
      <w:r w:rsidR="00CD03DC">
        <w:rPr>
          <w:rFonts w:ascii="Times New Roman" w:hAnsi="Times New Roman"/>
          <w:sz w:val="24"/>
          <w:szCs w:val="24"/>
        </w:rPr>
        <w:t>EK</w:t>
      </w:r>
      <w:r w:rsidRPr="006C4962">
        <w:rPr>
          <w:rFonts w:ascii="Times New Roman" w:hAnsi="Times New Roman"/>
          <w:sz w:val="24"/>
          <w:szCs w:val="24"/>
        </w:rPr>
        <w:t xml:space="preserve"> 2018. gadā notika saistībā</w:t>
      </w:r>
      <w:r w:rsidR="006C4962">
        <w:rPr>
          <w:rFonts w:ascii="Times New Roman" w:hAnsi="Times New Roman"/>
          <w:sz w:val="24"/>
          <w:szCs w:val="24"/>
        </w:rPr>
        <w:t xml:space="preserve"> ar Regulas 883/2013 grozījumu projektu</w:t>
      </w:r>
      <w:r w:rsidR="00003285">
        <w:rPr>
          <w:rFonts w:ascii="Times New Roman" w:hAnsi="Times New Roman"/>
          <w:sz w:val="24"/>
          <w:szCs w:val="24"/>
        </w:rPr>
        <w:t xml:space="preserve"> -</w:t>
      </w:r>
      <w:r w:rsidRPr="006C4962">
        <w:rPr>
          <w:rFonts w:ascii="Times New Roman" w:hAnsi="Times New Roman"/>
          <w:sz w:val="24"/>
          <w:szCs w:val="24"/>
        </w:rPr>
        <w:t xml:space="preserve"> par OLAF funkcijām pēc</w:t>
      </w:r>
      <w:r w:rsidR="006C4962">
        <w:rPr>
          <w:rFonts w:ascii="Times New Roman" w:hAnsi="Times New Roman"/>
          <w:sz w:val="24"/>
          <w:szCs w:val="24"/>
        </w:rPr>
        <w:t xml:space="preserve"> tam, kad EPPO uzsāks darbu</w:t>
      </w:r>
      <w:r w:rsidR="00120AD6">
        <w:rPr>
          <w:rFonts w:ascii="Times New Roman" w:hAnsi="Times New Roman"/>
          <w:sz w:val="24"/>
          <w:szCs w:val="24"/>
        </w:rPr>
        <w:t xml:space="preserve">, </w:t>
      </w:r>
      <w:r w:rsidR="00003285">
        <w:rPr>
          <w:rFonts w:ascii="Times New Roman" w:hAnsi="Times New Roman"/>
          <w:sz w:val="24"/>
          <w:szCs w:val="24"/>
        </w:rPr>
        <w:t>PVN iekļaušanu OLAF mandātā</w:t>
      </w:r>
      <w:r w:rsidRPr="006C4962">
        <w:rPr>
          <w:rFonts w:ascii="Times New Roman" w:hAnsi="Times New Roman"/>
          <w:sz w:val="24"/>
          <w:szCs w:val="24"/>
        </w:rPr>
        <w:t xml:space="preserve"> </w:t>
      </w:r>
      <w:r w:rsidR="006C4962">
        <w:rPr>
          <w:rFonts w:ascii="Times New Roman" w:hAnsi="Times New Roman"/>
          <w:sz w:val="24"/>
          <w:szCs w:val="24"/>
        </w:rPr>
        <w:t>un piekļuvi dalībvalstu banku</w:t>
      </w:r>
      <w:r w:rsidRPr="006C4962">
        <w:rPr>
          <w:rFonts w:ascii="Times New Roman" w:hAnsi="Times New Roman"/>
          <w:sz w:val="24"/>
          <w:szCs w:val="24"/>
        </w:rPr>
        <w:t xml:space="preserve"> kontu informācijai. (</w:t>
      </w:r>
      <w:r w:rsidRPr="006C4962">
        <w:rPr>
          <w:rFonts w:ascii="Times New Roman" w:hAnsi="Times New Roman"/>
          <w:i/>
          <w:sz w:val="24"/>
          <w:szCs w:val="24"/>
        </w:rPr>
        <w:t>skatīt A.1.2. sadaļu</w:t>
      </w:r>
      <w:r w:rsidRPr="006C4962">
        <w:rPr>
          <w:rFonts w:ascii="Times New Roman" w:hAnsi="Times New Roman"/>
          <w:sz w:val="24"/>
          <w:szCs w:val="24"/>
        </w:rPr>
        <w:t>).</w:t>
      </w:r>
    </w:p>
    <w:p w14:paraId="310F5B3D" w14:textId="756433BB" w:rsidR="006C4962" w:rsidRPr="003E1C7E" w:rsidRDefault="006C4962" w:rsidP="006C4962">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3E1C7E">
        <w:rPr>
          <w:rFonts w:ascii="Times New Roman" w:hAnsi="Times New Roman"/>
          <w:sz w:val="24"/>
          <w:szCs w:val="24"/>
        </w:rPr>
        <w:t xml:space="preserve">Latvijā </w:t>
      </w:r>
      <w:r w:rsidR="007050A0" w:rsidRPr="003E1C7E">
        <w:rPr>
          <w:rFonts w:ascii="Times New Roman" w:hAnsi="Times New Roman"/>
          <w:sz w:val="24"/>
          <w:szCs w:val="24"/>
        </w:rPr>
        <w:t>trūkst normatīvai</w:t>
      </w:r>
      <w:r w:rsidRPr="003E1C7E">
        <w:rPr>
          <w:rFonts w:ascii="Times New Roman" w:hAnsi="Times New Roman"/>
          <w:sz w:val="24"/>
          <w:szCs w:val="24"/>
        </w:rPr>
        <w:t>s</w:t>
      </w:r>
      <w:r w:rsidR="007050A0" w:rsidRPr="003E1C7E">
        <w:rPr>
          <w:rFonts w:ascii="Times New Roman" w:hAnsi="Times New Roman"/>
          <w:sz w:val="24"/>
          <w:szCs w:val="24"/>
        </w:rPr>
        <w:t xml:space="preserve"> regulējums OLAF izmeklētāju </w:t>
      </w:r>
      <w:r w:rsidRPr="003E1C7E">
        <w:rPr>
          <w:rFonts w:ascii="Times New Roman" w:hAnsi="Times New Roman"/>
          <w:sz w:val="24"/>
          <w:szCs w:val="24"/>
        </w:rPr>
        <w:t>veikto darbību</w:t>
      </w:r>
      <w:r w:rsidR="007050A0" w:rsidRPr="003E1C7E">
        <w:rPr>
          <w:rFonts w:ascii="Times New Roman" w:hAnsi="Times New Roman"/>
          <w:sz w:val="24"/>
          <w:szCs w:val="24"/>
        </w:rPr>
        <w:t xml:space="preserve"> atbalstam Latvijas teritorijā. AFCOS padomē pieņemts lēmums izstrādāt jaunu likumu</w:t>
      </w:r>
      <w:r w:rsidR="0017569A" w:rsidRPr="003E1C7E">
        <w:rPr>
          <w:rFonts w:ascii="Times New Roman" w:hAnsi="Times New Roman"/>
          <w:sz w:val="24"/>
          <w:szCs w:val="24"/>
        </w:rPr>
        <w:t xml:space="preserve">. FM un TM turpinās diskusijas par atbildīgās ministrijas noteikšanu šī uzdevuma izpildē. </w:t>
      </w:r>
      <w:r w:rsidR="007050A0" w:rsidRPr="003E1C7E">
        <w:rPr>
          <w:rFonts w:ascii="Times New Roman" w:hAnsi="Times New Roman"/>
          <w:sz w:val="24"/>
          <w:szCs w:val="24"/>
        </w:rPr>
        <w:t>(</w:t>
      </w:r>
      <w:r w:rsidR="007050A0" w:rsidRPr="003E1C7E">
        <w:rPr>
          <w:rFonts w:ascii="Times New Roman" w:hAnsi="Times New Roman"/>
          <w:i/>
          <w:sz w:val="24"/>
          <w:szCs w:val="24"/>
        </w:rPr>
        <w:t>skatīt A.1.3. sadaļu</w:t>
      </w:r>
      <w:r w:rsidR="007050A0" w:rsidRPr="003E1C7E">
        <w:rPr>
          <w:rFonts w:ascii="Times New Roman" w:hAnsi="Times New Roman"/>
          <w:sz w:val="24"/>
          <w:szCs w:val="24"/>
        </w:rPr>
        <w:t>).</w:t>
      </w:r>
    </w:p>
    <w:p w14:paraId="7C5E47A7" w14:textId="77777777" w:rsidR="006C4962" w:rsidRDefault="007050A0" w:rsidP="006C4962">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6C4962">
        <w:rPr>
          <w:rFonts w:ascii="Times New Roman" w:hAnsi="Times New Roman"/>
          <w:sz w:val="24"/>
          <w:szCs w:val="24"/>
        </w:rPr>
        <w:t xml:space="preserve">Administratīvā sadarbības līguma (ACA) parakstīšana starp Latviju un OLAF </w:t>
      </w:r>
      <w:r w:rsidR="008A4C5F" w:rsidRPr="006C4962">
        <w:rPr>
          <w:rFonts w:ascii="Times New Roman" w:hAnsi="Times New Roman"/>
          <w:sz w:val="24"/>
          <w:szCs w:val="24"/>
        </w:rPr>
        <w:t>atlikta</w:t>
      </w:r>
      <w:r w:rsidRPr="006C4962">
        <w:rPr>
          <w:rFonts w:ascii="Times New Roman" w:hAnsi="Times New Roman"/>
          <w:sz w:val="24"/>
          <w:szCs w:val="24"/>
        </w:rPr>
        <w:t xml:space="preserve"> sakarā ar OLAF politikas maiņu (</w:t>
      </w:r>
      <w:r w:rsidRPr="006C4962">
        <w:rPr>
          <w:rFonts w:ascii="Times New Roman" w:hAnsi="Times New Roman"/>
          <w:i/>
          <w:sz w:val="24"/>
          <w:szCs w:val="24"/>
        </w:rPr>
        <w:t>sīkāk A.2.1. sadaļā</w:t>
      </w:r>
      <w:r w:rsidRPr="006C4962">
        <w:rPr>
          <w:rFonts w:ascii="Times New Roman" w:hAnsi="Times New Roman"/>
          <w:sz w:val="24"/>
          <w:szCs w:val="24"/>
        </w:rPr>
        <w:t>).</w:t>
      </w:r>
    </w:p>
    <w:p w14:paraId="4F995589" w14:textId="056E9787" w:rsidR="006C4962" w:rsidRDefault="00302CA4" w:rsidP="006C4962">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Pr>
          <w:rFonts w:ascii="Times New Roman" w:hAnsi="Times New Roman"/>
          <w:sz w:val="24"/>
          <w:szCs w:val="24"/>
        </w:rPr>
        <w:t xml:space="preserve">FM </w:t>
      </w:r>
      <w:r w:rsidR="008A4C5F" w:rsidRPr="006C4962">
        <w:rPr>
          <w:rFonts w:ascii="Times New Roman" w:hAnsi="Times New Roman"/>
          <w:sz w:val="24"/>
          <w:szCs w:val="24"/>
        </w:rPr>
        <w:t>AFCOS sadarbībā ar citām iestādēm</w:t>
      </w:r>
      <w:r w:rsidR="006C4962">
        <w:rPr>
          <w:rFonts w:ascii="Times New Roman" w:hAnsi="Times New Roman"/>
          <w:sz w:val="24"/>
          <w:szCs w:val="24"/>
        </w:rPr>
        <w:t xml:space="preserve"> ir realizējis sociāli informatīvās kampaņas #A</w:t>
      </w:r>
      <w:r w:rsidR="008A4C5F" w:rsidRPr="006C4962">
        <w:rPr>
          <w:rFonts w:ascii="Times New Roman" w:hAnsi="Times New Roman"/>
          <w:sz w:val="24"/>
          <w:szCs w:val="24"/>
        </w:rPr>
        <w:t>tkrāpies! pasākumus. Ieg</w:t>
      </w:r>
      <w:r w:rsidR="00003285">
        <w:rPr>
          <w:rFonts w:ascii="Times New Roman" w:hAnsi="Times New Roman"/>
          <w:sz w:val="24"/>
          <w:szCs w:val="24"/>
        </w:rPr>
        <w:t xml:space="preserve">ūtas 3 </w:t>
      </w:r>
      <w:r w:rsidR="008A4C5F" w:rsidRPr="006C4962">
        <w:rPr>
          <w:rFonts w:ascii="Times New Roman" w:hAnsi="Times New Roman"/>
          <w:sz w:val="24"/>
          <w:szCs w:val="24"/>
        </w:rPr>
        <w:t>starptautiskas balvas. (</w:t>
      </w:r>
      <w:r w:rsidR="008A4C5F" w:rsidRPr="006C4962">
        <w:rPr>
          <w:rFonts w:ascii="Times New Roman" w:hAnsi="Times New Roman"/>
          <w:i/>
          <w:sz w:val="24"/>
          <w:szCs w:val="24"/>
        </w:rPr>
        <w:t>sīkāk A.3.1. sadaļā</w:t>
      </w:r>
      <w:r w:rsidR="008A4C5F" w:rsidRPr="006C4962">
        <w:rPr>
          <w:rFonts w:ascii="Times New Roman" w:hAnsi="Times New Roman"/>
          <w:sz w:val="24"/>
          <w:szCs w:val="24"/>
        </w:rPr>
        <w:t>)</w:t>
      </w:r>
      <w:r w:rsidR="006C4962">
        <w:rPr>
          <w:rFonts w:ascii="Times New Roman" w:hAnsi="Times New Roman"/>
          <w:sz w:val="24"/>
          <w:szCs w:val="24"/>
        </w:rPr>
        <w:t>.</w:t>
      </w:r>
    </w:p>
    <w:p w14:paraId="01B3D1B7" w14:textId="0AC820F1" w:rsidR="006C4962" w:rsidRDefault="008A4C5F" w:rsidP="006C4962">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6C4962">
        <w:rPr>
          <w:rFonts w:ascii="Times New Roman" w:hAnsi="Times New Roman"/>
          <w:sz w:val="24"/>
          <w:szCs w:val="24"/>
        </w:rPr>
        <w:t xml:space="preserve">Notika vairāki semināri, lai veicinātu savstarpēju </w:t>
      </w:r>
      <w:r w:rsidR="001D3FAB" w:rsidRPr="006C4962">
        <w:rPr>
          <w:rFonts w:ascii="Times New Roman" w:hAnsi="Times New Roman"/>
          <w:sz w:val="24"/>
          <w:szCs w:val="24"/>
        </w:rPr>
        <w:t xml:space="preserve">izpratni par to, kas tiek uzskatīts par ES fondu izkrāpšanu un kā to nepieļaut un apkarot, kā arī </w:t>
      </w:r>
      <w:r w:rsidR="00302CA4">
        <w:rPr>
          <w:rFonts w:ascii="Times New Roman" w:hAnsi="Times New Roman"/>
          <w:sz w:val="24"/>
          <w:szCs w:val="24"/>
        </w:rPr>
        <w:t xml:space="preserve">FM </w:t>
      </w:r>
      <w:r w:rsidR="001D3FAB" w:rsidRPr="006C4962">
        <w:rPr>
          <w:rFonts w:ascii="Times New Roman" w:hAnsi="Times New Roman"/>
          <w:sz w:val="24"/>
          <w:szCs w:val="24"/>
        </w:rPr>
        <w:t xml:space="preserve">AFCOS organizēja 8 izmeklēšanas iestāžu pārstāvju vizīti uz OLAF un pie Beļģijas </w:t>
      </w:r>
      <w:proofErr w:type="spellStart"/>
      <w:r w:rsidR="001D3FAB" w:rsidRPr="006C4962">
        <w:rPr>
          <w:rFonts w:ascii="Times New Roman" w:hAnsi="Times New Roman"/>
          <w:sz w:val="24"/>
          <w:szCs w:val="24"/>
        </w:rPr>
        <w:t>tiesībsargājošām</w:t>
      </w:r>
      <w:proofErr w:type="spellEnd"/>
      <w:r w:rsidR="001D3FAB" w:rsidRPr="006C4962">
        <w:rPr>
          <w:rFonts w:ascii="Times New Roman" w:hAnsi="Times New Roman"/>
          <w:sz w:val="24"/>
          <w:szCs w:val="24"/>
        </w:rPr>
        <w:t xml:space="preserve"> iestādēm, lai pārņemtu </w:t>
      </w:r>
      <w:r w:rsidR="00003285">
        <w:rPr>
          <w:rFonts w:ascii="Times New Roman" w:hAnsi="Times New Roman"/>
          <w:sz w:val="24"/>
          <w:szCs w:val="24"/>
        </w:rPr>
        <w:t xml:space="preserve">labo praksi </w:t>
      </w:r>
      <w:r w:rsidR="001D3FAB" w:rsidRPr="006C4962">
        <w:rPr>
          <w:rFonts w:ascii="Times New Roman" w:hAnsi="Times New Roman"/>
          <w:sz w:val="24"/>
          <w:szCs w:val="24"/>
        </w:rPr>
        <w:t>izmeklēšanas metožu pilnveidošanai.</w:t>
      </w:r>
      <w:r w:rsidRPr="006C4962">
        <w:rPr>
          <w:rFonts w:ascii="Times New Roman" w:hAnsi="Times New Roman"/>
          <w:sz w:val="24"/>
          <w:szCs w:val="24"/>
        </w:rPr>
        <w:t xml:space="preserve"> (</w:t>
      </w:r>
      <w:r w:rsidRPr="006C4962">
        <w:rPr>
          <w:rFonts w:ascii="Times New Roman" w:hAnsi="Times New Roman"/>
          <w:i/>
          <w:sz w:val="24"/>
          <w:szCs w:val="24"/>
        </w:rPr>
        <w:t>sīkāk A.3.2.</w:t>
      </w:r>
      <w:r w:rsidRPr="006C4962">
        <w:rPr>
          <w:rFonts w:ascii="Times New Roman" w:hAnsi="Times New Roman"/>
          <w:sz w:val="24"/>
          <w:szCs w:val="24"/>
        </w:rPr>
        <w:t xml:space="preserve"> sadaļā).</w:t>
      </w:r>
    </w:p>
    <w:p w14:paraId="58FF5C70" w14:textId="46E5A2F2" w:rsidR="006C4962" w:rsidRPr="00302CA4" w:rsidRDefault="001D3FAB" w:rsidP="00302CA4">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6C4962">
        <w:rPr>
          <w:rFonts w:ascii="Times New Roman" w:hAnsi="Times New Roman"/>
          <w:sz w:val="24"/>
          <w:szCs w:val="24"/>
        </w:rPr>
        <w:t>Rīgā</w:t>
      </w:r>
      <w:r w:rsidR="006C4962">
        <w:rPr>
          <w:rFonts w:ascii="Times New Roman" w:hAnsi="Times New Roman"/>
          <w:sz w:val="24"/>
          <w:szCs w:val="24"/>
        </w:rPr>
        <w:t xml:space="preserve">, </w:t>
      </w:r>
      <w:r w:rsidRPr="006C4962">
        <w:rPr>
          <w:rFonts w:ascii="Times New Roman" w:hAnsi="Times New Roman"/>
          <w:sz w:val="24"/>
          <w:szCs w:val="24"/>
        </w:rPr>
        <w:t xml:space="preserve"> 2018. gada februārī tika noorganizēts 7 valstu un E</w:t>
      </w:r>
      <w:r w:rsidRPr="00302CA4">
        <w:rPr>
          <w:rFonts w:ascii="Times New Roman" w:hAnsi="Times New Roman"/>
          <w:sz w:val="24"/>
          <w:szCs w:val="24"/>
        </w:rPr>
        <w:t>K seminārs par izmeklētāju un masu mediju sadarbību krāpšanas apkarošanai un sabiedrības informētībai (</w:t>
      </w:r>
      <w:r w:rsidRPr="00302CA4">
        <w:rPr>
          <w:rFonts w:ascii="Times New Roman" w:hAnsi="Times New Roman"/>
          <w:i/>
          <w:sz w:val="24"/>
          <w:szCs w:val="24"/>
        </w:rPr>
        <w:t>sīkāk A.3.2.</w:t>
      </w:r>
      <w:r w:rsidR="00A85780" w:rsidRPr="00302CA4">
        <w:rPr>
          <w:rFonts w:ascii="Times New Roman" w:hAnsi="Times New Roman"/>
          <w:i/>
          <w:sz w:val="24"/>
          <w:szCs w:val="24"/>
        </w:rPr>
        <w:t xml:space="preserve"> sadaļā</w:t>
      </w:r>
      <w:r w:rsidRPr="00302CA4">
        <w:rPr>
          <w:rFonts w:ascii="Times New Roman" w:hAnsi="Times New Roman"/>
          <w:sz w:val="24"/>
          <w:szCs w:val="24"/>
        </w:rPr>
        <w:t>).</w:t>
      </w:r>
    </w:p>
    <w:p w14:paraId="4567EC9C" w14:textId="07020509" w:rsidR="006C4962" w:rsidRDefault="00A85780" w:rsidP="006C4962">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6C4962">
        <w:rPr>
          <w:rFonts w:ascii="Times New Roman" w:hAnsi="Times New Roman"/>
          <w:sz w:val="24"/>
          <w:szCs w:val="24"/>
        </w:rPr>
        <w:t>Pilotprojekta veidā tika noorganizētas mācības ES fondu administrējošām iestādē</w:t>
      </w:r>
      <w:r w:rsidR="006C4962">
        <w:rPr>
          <w:rFonts w:ascii="Times New Roman" w:hAnsi="Times New Roman"/>
          <w:sz w:val="24"/>
          <w:szCs w:val="24"/>
        </w:rPr>
        <w:t>m</w:t>
      </w:r>
      <w:r w:rsidR="006C4962" w:rsidRPr="006C4962">
        <w:rPr>
          <w:rFonts w:ascii="Times New Roman" w:hAnsi="Times New Roman"/>
          <w:sz w:val="24"/>
          <w:szCs w:val="24"/>
        </w:rPr>
        <w:t xml:space="preserve"> ar mērķi skaidrot, kā vislabāk identificēt krāpšanu un sagatavot dokumentāciju iesniegšanai izmeklēšanas </w:t>
      </w:r>
      <w:r w:rsidR="00003285">
        <w:rPr>
          <w:rFonts w:ascii="Times New Roman" w:hAnsi="Times New Roman"/>
          <w:sz w:val="24"/>
          <w:szCs w:val="24"/>
        </w:rPr>
        <w:t>iestādēs</w:t>
      </w:r>
      <w:r w:rsidR="006C4962">
        <w:rPr>
          <w:rFonts w:ascii="Times New Roman" w:hAnsi="Times New Roman"/>
          <w:sz w:val="24"/>
          <w:szCs w:val="24"/>
        </w:rPr>
        <w:t xml:space="preserve">. Mācības </w:t>
      </w:r>
      <w:r w:rsidRPr="006C4962">
        <w:rPr>
          <w:rFonts w:ascii="Times New Roman" w:hAnsi="Times New Roman"/>
          <w:sz w:val="24"/>
          <w:szCs w:val="24"/>
        </w:rPr>
        <w:t>vadīja izmeklēšanas iestādes (</w:t>
      </w:r>
      <w:r w:rsidRPr="006C4962">
        <w:rPr>
          <w:rFonts w:ascii="Times New Roman" w:hAnsi="Times New Roman"/>
          <w:i/>
          <w:sz w:val="24"/>
          <w:szCs w:val="24"/>
        </w:rPr>
        <w:t>skatīt A.3.2. sadaļu</w:t>
      </w:r>
      <w:r w:rsidRPr="006C4962">
        <w:rPr>
          <w:rFonts w:ascii="Times New Roman" w:hAnsi="Times New Roman"/>
          <w:sz w:val="24"/>
          <w:szCs w:val="24"/>
        </w:rPr>
        <w:t>).</w:t>
      </w:r>
    </w:p>
    <w:p w14:paraId="6E41201D" w14:textId="519C2591" w:rsidR="002F3B1D" w:rsidRDefault="00A85780" w:rsidP="002F3B1D">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6C4962">
        <w:rPr>
          <w:rFonts w:ascii="Times New Roman" w:hAnsi="Times New Roman"/>
          <w:sz w:val="24"/>
          <w:szCs w:val="24"/>
        </w:rPr>
        <w:t>Veikts SKDS pētījums, lai noskaidrotu izmaiņas sabiedrības viedoklī. Attieksme pret negodprātīgu rīcību ir kļuvusi neiecietīgāka par 7%.</w:t>
      </w:r>
      <w:r w:rsidR="00F75EA7" w:rsidRPr="006C4962">
        <w:rPr>
          <w:rFonts w:ascii="Times New Roman" w:hAnsi="Times New Roman"/>
          <w:sz w:val="24"/>
          <w:szCs w:val="24"/>
        </w:rPr>
        <w:t xml:space="preserve"> </w:t>
      </w:r>
      <w:r w:rsidR="005C38E7" w:rsidRPr="006C4962">
        <w:rPr>
          <w:rFonts w:ascii="Times New Roman" w:hAnsi="Times New Roman"/>
          <w:sz w:val="24"/>
          <w:szCs w:val="24"/>
        </w:rPr>
        <w:t>Satraucošs</w:t>
      </w:r>
      <w:r w:rsidR="00F75EA7" w:rsidRPr="006C4962">
        <w:rPr>
          <w:rFonts w:ascii="Times New Roman" w:hAnsi="Times New Roman"/>
          <w:sz w:val="24"/>
          <w:szCs w:val="24"/>
        </w:rPr>
        <w:t xml:space="preserve"> ir fakts, ka palielinās to cilvēku skaits, kuri uzskata, ka ziņot par nelikumībām nav vērts,</w:t>
      </w:r>
      <w:r w:rsidR="00302CA4">
        <w:rPr>
          <w:rFonts w:ascii="Times New Roman" w:hAnsi="Times New Roman"/>
          <w:sz w:val="24"/>
          <w:szCs w:val="24"/>
        </w:rPr>
        <w:t xml:space="preserve"> jo tāpat neviens netiks sodīts</w:t>
      </w:r>
      <w:r w:rsidR="00F75EA7" w:rsidRPr="006C4962">
        <w:rPr>
          <w:rFonts w:ascii="Times New Roman" w:hAnsi="Times New Roman"/>
          <w:sz w:val="24"/>
          <w:szCs w:val="24"/>
        </w:rPr>
        <w:t xml:space="preserve"> </w:t>
      </w:r>
      <w:r w:rsidRPr="006C4962">
        <w:rPr>
          <w:rFonts w:ascii="Times New Roman" w:hAnsi="Times New Roman"/>
          <w:sz w:val="24"/>
          <w:szCs w:val="24"/>
        </w:rPr>
        <w:t>(</w:t>
      </w:r>
      <w:r w:rsidRPr="006C4962">
        <w:rPr>
          <w:rFonts w:ascii="Times New Roman" w:hAnsi="Times New Roman"/>
          <w:i/>
          <w:sz w:val="24"/>
          <w:szCs w:val="24"/>
        </w:rPr>
        <w:t>sīkāk arī par citiem rezultātiem skatīt A.3.3. sadaļā</w:t>
      </w:r>
      <w:r w:rsidR="00F75EA7" w:rsidRPr="006C4962">
        <w:rPr>
          <w:rFonts w:ascii="Times New Roman" w:hAnsi="Times New Roman"/>
          <w:sz w:val="24"/>
          <w:szCs w:val="24"/>
        </w:rPr>
        <w:t>)</w:t>
      </w:r>
      <w:r w:rsidR="002F3B1D">
        <w:rPr>
          <w:rFonts w:ascii="Times New Roman" w:hAnsi="Times New Roman"/>
          <w:sz w:val="24"/>
          <w:szCs w:val="24"/>
        </w:rPr>
        <w:t>.</w:t>
      </w:r>
    </w:p>
    <w:p w14:paraId="69A45A2B" w14:textId="55C9FD42" w:rsidR="002F3B1D" w:rsidRDefault="002F3B1D" w:rsidP="002F3B1D">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Pr>
          <w:rFonts w:ascii="Times New Roman" w:hAnsi="Times New Roman"/>
          <w:sz w:val="24"/>
          <w:szCs w:val="24"/>
        </w:rPr>
        <w:t xml:space="preserve">2019. gada </w:t>
      </w:r>
      <w:r w:rsidR="00003285">
        <w:rPr>
          <w:rFonts w:ascii="Times New Roman" w:hAnsi="Times New Roman"/>
          <w:sz w:val="24"/>
          <w:szCs w:val="24"/>
        </w:rPr>
        <w:t xml:space="preserve">sociāli informatīvās kampaņas </w:t>
      </w:r>
      <w:r>
        <w:rPr>
          <w:rFonts w:ascii="Times New Roman" w:hAnsi="Times New Roman"/>
          <w:sz w:val="24"/>
          <w:szCs w:val="24"/>
        </w:rPr>
        <w:t># A</w:t>
      </w:r>
      <w:r w:rsidR="005644CD" w:rsidRPr="002F3B1D">
        <w:rPr>
          <w:rFonts w:ascii="Times New Roman" w:hAnsi="Times New Roman"/>
          <w:sz w:val="24"/>
          <w:szCs w:val="24"/>
        </w:rPr>
        <w:t xml:space="preserve">tkrāpies! mērķauditorija varētu būt iedzīvotāji vecumā no 25 līdz 34 gadi, jo tieši šī </w:t>
      </w:r>
      <w:r>
        <w:rPr>
          <w:rFonts w:ascii="Times New Roman" w:hAnsi="Times New Roman"/>
          <w:sz w:val="24"/>
          <w:szCs w:val="24"/>
        </w:rPr>
        <w:t xml:space="preserve">vecuma </w:t>
      </w:r>
      <w:r w:rsidR="005644CD" w:rsidRPr="002F3B1D">
        <w:rPr>
          <w:rFonts w:ascii="Times New Roman" w:hAnsi="Times New Roman"/>
          <w:sz w:val="24"/>
          <w:szCs w:val="24"/>
        </w:rPr>
        <w:t xml:space="preserve">grupa pēc aptauju rezultātiem </w:t>
      </w:r>
      <w:r w:rsidR="005644CD" w:rsidRPr="00003285">
        <w:rPr>
          <w:rFonts w:ascii="Times New Roman" w:hAnsi="Times New Roman"/>
          <w:sz w:val="24"/>
          <w:szCs w:val="24"/>
        </w:rPr>
        <w:t xml:space="preserve">visvairāk svārstās </w:t>
      </w:r>
      <w:r w:rsidRPr="00003285">
        <w:rPr>
          <w:rFonts w:ascii="Times New Roman" w:hAnsi="Times New Roman"/>
          <w:sz w:val="24"/>
          <w:szCs w:val="24"/>
        </w:rPr>
        <w:t>paužot savu attieksmi pret negodprātīgu rīcību</w:t>
      </w:r>
      <w:r w:rsidR="005644CD" w:rsidRPr="00003285">
        <w:rPr>
          <w:rFonts w:ascii="Times New Roman" w:hAnsi="Times New Roman"/>
          <w:sz w:val="24"/>
          <w:szCs w:val="24"/>
        </w:rPr>
        <w:t>.</w:t>
      </w:r>
      <w:r w:rsidR="005644CD" w:rsidRPr="002F3B1D">
        <w:rPr>
          <w:rFonts w:ascii="Times New Roman" w:hAnsi="Times New Roman"/>
          <w:sz w:val="24"/>
          <w:szCs w:val="24"/>
        </w:rPr>
        <w:t xml:space="preserve"> Savukārt kā 2019. gada tēmu ierosinām </w:t>
      </w:r>
      <w:r w:rsidRPr="006B3C63">
        <w:rPr>
          <w:rFonts w:ascii="Times New Roman" w:hAnsi="Times New Roman"/>
          <w:sz w:val="24"/>
          <w:szCs w:val="24"/>
        </w:rPr>
        <w:t>ziņošanas kultūras stiprināšanu</w:t>
      </w:r>
      <w:r w:rsidR="005644CD" w:rsidRPr="002F3B1D">
        <w:rPr>
          <w:rFonts w:ascii="Times New Roman" w:hAnsi="Times New Roman"/>
          <w:b/>
          <w:sz w:val="24"/>
          <w:szCs w:val="24"/>
        </w:rPr>
        <w:t xml:space="preserve"> </w:t>
      </w:r>
      <w:r w:rsidR="005644CD" w:rsidRPr="002F3B1D">
        <w:rPr>
          <w:rFonts w:ascii="Times New Roman" w:hAnsi="Times New Roman"/>
          <w:sz w:val="24"/>
          <w:szCs w:val="24"/>
        </w:rPr>
        <w:t>(skatīt A.3.3. sadaļu).</w:t>
      </w:r>
    </w:p>
    <w:p w14:paraId="765F5E16" w14:textId="77777777" w:rsidR="002F3B1D" w:rsidRPr="00003285" w:rsidRDefault="005644CD" w:rsidP="002F3B1D">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2F3B1D">
        <w:rPr>
          <w:rFonts w:ascii="Times New Roman" w:hAnsi="Times New Roman"/>
          <w:sz w:val="24"/>
          <w:szCs w:val="24"/>
        </w:rPr>
        <w:t xml:space="preserve">Būtiskākais 2019. gada plānotais pasākums ir jauna likuma izstrāde OLAF izmeklētāju darbības atbalstīšanai Latvijas teritorijā. Sīkāk par plānotajiem pasākumiem </w:t>
      </w:r>
      <w:r w:rsidRPr="00003285">
        <w:rPr>
          <w:rFonts w:ascii="Times New Roman" w:hAnsi="Times New Roman"/>
          <w:sz w:val="24"/>
          <w:szCs w:val="24"/>
        </w:rPr>
        <w:t>skatīt B daļā.</w:t>
      </w:r>
    </w:p>
    <w:p w14:paraId="5F48C4AB" w14:textId="1430B078" w:rsidR="002F3B1D" w:rsidRPr="00D50CBA" w:rsidRDefault="000E0A23" w:rsidP="000E0A23">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D50CBA">
        <w:rPr>
          <w:rFonts w:ascii="Times New Roman" w:hAnsi="Times New Roman"/>
          <w:sz w:val="24"/>
          <w:szCs w:val="24"/>
        </w:rPr>
        <w:t>Kopējais 2018.gadā konstatēto neatbilstību summas īpatsvars attiecībā pret attiecināmajiem izdevumiem tāpat kā 2017. gadā veido 0,15 %. Savukārt, 2018. gadā konstatēti trīs aizdomu par krāpšanos gadījumi ( ESF – 2 gad., ERAF- 1 gad.), salīdzinājumam 2017. gadā – tikai viens gadījums (ESF)</w:t>
      </w:r>
      <w:r w:rsidR="005644CD" w:rsidRPr="00D50CBA">
        <w:rPr>
          <w:rFonts w:ascii="Times New Roman" w:hAnsi="Times New Roman"/>
          <w:sz w:val="24"/>
          <w:szCs w:val="24"/>
        </w:rPr>
        <w:t xml:space="preserve"> (</w:t>
      </w:r>
      <w:r w:rsidR="005644CD" w:rsidRPr="00D50CBA">
        <w:rPr>
          <w:rFonts w:ascii="Times New Roman" w:hAnsi="Times New Roman"/>
          <w:i/>
          <w:sz w:val="24"/>
          <w:szCs w:val="24"/>
        </w:rPr>
        <w:t>skatīt C daļu</w:t>
      </w:r>
      <w:r w:rsidR="005644CD" w:rsidRPr="00D50CBA">
        <w:rPr>
          <w:rFonts w:ascii="Times New Roman" w:hAnsi="Times New Roman"/>
          <w:sz w:val="24"/>
          <w:szCs w:val="24"/>
        </w:rPr>
        <w:t>).</w:t>
      </w:r>
    </w:p>
    <w:p w14:paraId="4744FF15" w14:textId="6E438438" w:rsidR="009B68A0" w:rsidRPr="00D50CBA" w:rsidRDefault="005644CD" w:rsidP="00D50CBA">
      <w:pPr>
        <w:pStyle w:val="ListParagraph"/>
        <w:widowControl w:val="0"/>
        <w:numPr>
          <w:ilvl w:val="0"/>
          <w:numId w:val="39"/>
        </w:numPr>
        <w:autoSpaceDE w:val="0"/>
        <w:autoSpaceDN w:val="0"/>
        <w:adjustRightInd w:val="0"/>
        <w:spacing w:after="120"/>
        <w:contextualSpacing/>
        <w:jc w:val="both"/>
        <w:rPr>
          <w:rFonts w:ascii="Times New Roman" w:hAnsi="Times New Roman"/>
          <w:sz w:val="24"/>
          <w:szCs w:val="24"/>
        </w:rPr>
      </w:pPr>
      <w:r w:rsidRPr="00D50CBA">
        <w:rPr>
          <w:rFonts w:ascii="Times New Roman" w:hAnsi="Times New Roman"/>
          <w:sz w:val="24"/>
          <w:szCs w:val="24"/>
        </w:rPr>
        <w:t xml:space="preserve">2018. gada laikā izmeklēšanas iestādes ir saņēmušas </w:t>
      </w:r>
      <w:r w:rsidR="009B68A0" w:rsidRPr="00D50CBA">
        <w:rPr>
          <w:rFonts w:ascii="Times New Roman" w:hAnsi="Times New Roman"/>
          <w:sz w:val="24"/>
          <w:szCs w:val="24"/>
        </w:rPr>
        <w:t xml:space="preserve">14 </w:t>
      </w:r>
      <w:r w:rsidRPr="00D50CBA">
        <w:rPr>
          <w:rFonts w:ascii="Times New Roman" w:hAnsi="Times New Roman"/>
          <w:sz w:val="24"/>
          <w:szCs w:val="24"/>
        </w:rPr>
        <w:t xml:space="preserve">iesniegumus par krāpnieciskām </w:t>
      </w:r>
      <w:r w:rsidR="002F3B1D" w:rsidRPr="00D50CBA">
        <w:rPr>
          <w:rFonts w:ascii="Times New Roman" w:hAnsi="Times New Roman"/>
          <w:sz w:val="24"/>
          <w:szCs w:val="24"/>
        </w:rPr>
        <w:t>(</w:t>
      </w:r>
      <w:proofErr w:type="spellStart"/>
      <w:r w:rsidR="002F3B1D" w:rsidRPr="00D50CBA">
        <w:rPr>
          <w:rFonts w:ascii="Times New Roman" w:hAnsi="Times New Roman"/>
          <w:sz w:val="24"/>
          <w:szCs w:val="24"/>
        </w:rPr>
        <w:t>koruptīvām</w:t>
      </w:r>
      <w:proofErr w:type="spellEnd"/>
      <w:r w:rsidR="002F3B1D" w:rsidRPr="00D50CBA">
        <w:rPr>
          <w:rFonts w:ascii="Times New Roman" w:hAnsi="Times New Roman"/>
          <w:sz w:val="24"/>
          <w:szCs w:val="24"/>
        </w:rPr>
        <w:t xml:space="preserve">) </w:t>
      </w:r>
      <w:r w:rsidRPr="00D50CBA">
        <w:rPr>
          <w:rFonts w:ascii="Times New Roman" w:hAnsi="Times New Roman"/>
          <w:sz w:val="24"/>
          <w:szCs w:val="24"/>
        </w:rPr>
        <w:t>darbībām ES fondos</w:t>
      </w:r>
      <w:r w:rsidR="009B68A0" w:rsidRPr="00D50CBA">
        <w:rPr>
          <w:rFonts w:ascii="Times New Roman" w:hAnsi="Times New Roman"/>
          <w:sz w:val="24"/>
          <w:szCs w:val="24"/>
        </w:rPr>
        <w:t xml:space="preserve"> un 3 gadījumos kriminālprocesi uzsākti pēc pašu </w:t>
      </w:r>
      <w:proofErr w:type="spellStart"/>
      <w:r w:rsidR="009B68A0" w:rsidRPr="00D50CBA">
        <w:rPr>
          <w:rFonts w:ascii="Times New Roman" w:hAnsi="Times New Roman"/>
          <w:sz w:val="24"/>
          <w:szCs w:val="24"/>
        </w:rPr>
        <w:t>tiesībsargājošo</w:t>
      </w:r>
      <w:proofErr w:type="spellEnd"/>
      <w:r w:rsidR="009B68A0" w:rsidRPr="00D50CBA">
        <w:rPr>
          <w:rFonts w:ascii="Times New Roman" w:hAnsi="Times New Roman"/>
          <w:sz w:val="24"/>
          <w:szCs w:val="24"/>
        </w:rPr>
        <w:t xml:space="preserve"> iestāžu iniciatīvas</w:t>
      </w:r>
      <w:r w:rsidRPr="00D50CBA">
        <w:rPr>
          <w:rFonts w:ascii="Times New Roman" w:hAnsi="Times New Roman"/>
          <w:sz w:val="24"/>
          <w:szCs w:val="24"/>
        </w:rPr>
        <w:t xml:space="preserve"> (</w:t>
      </w:r>
      <w:r w:rsidRPr="00D50CBA">
        <w:rPr>
          <w:rFonts w:ascii="Times New Roman" w:hAnsi="Times New Roman"/>
          <w:i/>
          <w:sz w:val="24"/>
          <w:szCs w:val="24"/>
        </w:rPr>
        <w:t>sīkāk D daļā</w:t>
      </w:r>
      <w:r w:rsidRPr="00D50CBA">
        <w:rPr>
          <w:rFonts w:ascii="Times New Roman" w:hAnsi="Times New Roman"/>
          <w:sz w:val="24"/>
          <w:szCs w:val="24"/>
        </w:rPr>
        <w:t>).</w:t>
      </w:r>
    </w:p>
    <w:p w14:paraId="36041BCD" w14:textId="77777777" w:rsidR="00595733" w:rsidRPr="0099231F" w:rsidRDefault="00313B5B" w:rsidP="00612336">
      <w:pPr>
        <w:jc w:val="center"/>
        <w:rPr>
          <w:b/>
          <w:bCs/>
          <w:sz w:val="28"/>
          <w:szCs w:val="28"/>
        </w:rPr>
      </w:pPr>
      <w:r w:rsidRPr="0099231F">
        <w:rPr>
          <w:b/>
          <w:bCs/>
          <w:sz w:val="28"/>
          <w:szCs w:val="28"/>
        </w:rPr>
        <w:lastRenderedPageBreak/>
        <w:t>SATURS</w:t>
      </w:r>
    </w:p>
    <w:p w14:paraId="56AB5EC3" w14:textId="77777777" w:rsidR="00612336" w:rsidRPr="0099231F" w:rsidRDefault="00612336" w:rsidP="00DC780B">
      <w:pPr>
        <w:jc w:val="center"/>
      </w:pPr>
    </w:p>
    <w:p w14:paraId="075F5023" w14:textId="77777777" w:rsidR="00612336" w:rsidRPr="0099231F" w:rsidRDefault="00612336" w:rsidP="00612336">
      <w:pPr>
        <w:jc w:val="both"/>
        <w:rPr>
          <w:b/>
        </w:rPr>
      </w:pPr>
      <w:r w:rsidRPr="0099231F">
        <w:rPr>
          <w:b/>
        </w:rPr>
        <w:t>A DAĻA  EIROPAS SAVIENĪBAS FINANŠU INTEREŠU AIZSARDZĪBAS KOORDINĀCIJAS DIENESTA (AFCOS) DARBĪBAS STRATĒĢIJAS UN PASĀKUMU PLĀNA 2017. - 2019. GADAM IZPILDE</w:t>
      </w:r>
    </w:p>
    <w:p w14:paraId="6E91F467" w14:textId="77777777" w:rsidR="00612336" w:rsidRPr="0099231F" w:rsidRDefault="00612336" w:rsidP="00612336">
      <w:pPr>
        <w:ind w:firstLine="851"/>
        <w:jc w:val="both"/>
        <w:rPr>
          <w:b/>
        </w:rPr>
      </w:pPr>
    </w:p>
    <w:p w14:paraId="7059FB44" w14:textId="77777777" w:rsidR="00612336" w:rsidRPr="0099231F" w:rsidRDefault="00612336" w:rsidP="00612336">
      <w:pPr>
        <w:ind w:firstLine="720"/>
        <w:contextualSpacing/>
        <w:rPr>
          <w:b/>
        </w:rPr>
      </w:pPr>
      <w:r w:rsidRPr="0099231F">
        <w:rPr>
          <w:b/>
        </w:rPr>
        <w:t xml:space="preserve">A.1. Rīcības virziens – politikas veidošana </w:t>
      </w:r>
    </w:p>
    <w:p w14:paraId="4709569D" w14:textId="6ED67A11" w:rsidR="00612336" w:rsidRPr="0099231F" w:rsidRDefault="00612336" w:rsidP="00612336">
      <w:pPr>
        <w:ind w:firstLine="1134"/>
        <w:contextualSpacing/>
      </w:pPr>
      <w:r w:rsidRPr="0099231F">
        <w:rPr>
          <w:b/>
        </w:rPr>
        <w:t>A.1.1</w:t>
      </w:r>
      <w:r w:rsidRPr="0099231F">
        <w:t>. Pasākums Nr.1</w:t>
      </w:r>
      <w:r w:rsidR="008B05DA" w:rsidRPr="0099231F">
        <w:t>. Krāpšanas d</w:t>
      </w:r>
      <w:r w:rsidR="002F3B1D" w:rsidRPr="0099231F">
        <w:t xml:space="preserve">efinīcija </w:t>
      </w:r>
      <w:r w:rsidR="008B05DA" w:rsidRPr="0099231F">
        <w:t>Krimināllikumā.</w:t>
      </w:r>
    </w:p>
    <w:p w14:paraId="4C4CA910" w14:textId="77777777" w:rsidR="00612336" w:rsidRPr="0099231F" w:rsidRDefault="00612336" w:rsidP="00612336">
      <w:pPr>
        <w:ind w:firstLine="1134"/>
        <w:contextualSpacing/>
      </w:pPr>
      <w:r w:rsidRPr="0099231F">
        <w:rPr>
          <w:b/>
        </w:rPr>
        <w:t>A.1.2</w:t>
      </w:r>
      <w:r w:rsidRPr="0099231F">
        <w:t>. Pasākums Nr.2</w:t>
      </w:r>
      <w:r w:rsidR="008B05DA" w:rsidRPr="0099231F">
        <w:t>. Latvijas pārstāvība ES institūcijās.</w:t>
      </w:r>
    </w:p>
    <w:p w14:paraId="33FEB776" w14:textId="4F0FCE0D" w:rsidR="00612336" w:rsidRPr="0099231F" w:rsidRDefault="00612336" w:rsidP="00612336">
      <w:pPr>
        <w:ind w:firstLine="1134"/>
        <w:contextualSpacing/>
        <w:rPr>
          <w:bCs/>
        </w:rPr>
      </w:pPr>
      <w:r w:rsidRPr="0099231F">
        <w:rPr>
          <w:b/>
        </w:rPr>
        <w:t>A.1.3.</w:t>
      </w:r>
      <w:r w:rsidRPr="0099231F">
        <w:t xml:space="preserve"> </w:t>
      </w:r>
      <w:r w:rsidRPr="0099231F">
        <w:rPr>
          <w:bCs/>
        </w:rPr>
        <w:t>Pasākums Nr.3</w:t>
      </w:r>
      <w:r w:rsidR="002F3B1D" w:rsidRPr="0099231F">
        <w:rPr>
          <w:bCs/>
        </w:rPr>
        <w:t xml:space="preserve">. Latvijas normatīvās bāzes </w:t>
      </w:r>
      <w:proofErr w:type="spellStart"/>
      <w:r w:rsidR="002F3B1D" w:rsidRPr="0099231F">
        <w:rPr>
          <w:bCs/>
        </w:rPr>
        <w:t>iz</w:t>
      </w:r>
      <w:r w:rsidR="008B05DA" w:rsidRPr="0099231F">
        <w:rPr>
          <w:bCs/>
        </w:rPr>
        <w:t>vērtējums</w:t>
      </w:r>
      <w:proofErr w:type="spellEnd"/>
      <w:r w:rsidR="008B05DA" w:rsidRPr="0099231F">
        <w:rPr>
          <w:bCs/>
        </w:rPr>
        <w:t>.</w:t>
      </w:r>
    </w:p>
    <w:p w14:paraId="4DD0EBE1" w14:textId="332EE1C6" w:rsidR="00612336" w:rsidRPr="0099231F" w:rsidRDefault="00612336" w:rsidP="00612336">
      <w:pPr>
        <w:ind w:firstLine="720"/>
        <w:contextualSpacing/>
        <w:rPr>
          <w:b/>
          <w:bCs/>
        </w:rPr>
      </w:pPr>
      <w:r w:rsidRPr="0099231F">
        <w:rPr>
          <w:b/>
        </w:rPr>
        <w:t>A.2. Rīcības virziens –</w:t>
      </w:r>
      <w:r w:rsidR="002F3B1D" w:rsidRPr="0099231F">
        <w:rPr>
          <w:b/>
        </w:rPr>
        <w:t xml:space="preserve"> </w:t>
      </w:r>
      <w:r w:rsidRPr="0099231F">
        <w:rPr>
          <w:b/>
        </w:rPr>
        <w:t>iekšējā un ārējā koordinēšana</w:t>
      </w:r>
    </w:p>
    <w:p w14:paraId="62F5F18D" w14:textId="77777777" w:rsidR="00612336" w:rsidRPr="0099231F" w:rsidRDefault="00612336" w:rsidP="00612336">
      <w:pPr>
        <w:ind w:firstLine="1134"/>
        <w:contextualSpacing/>
      </w:pPr>
      <w:r w:rsidRPr="0099231F">
        <w:rPr>
          <w:b/>
        </w:rPr>
        <w:t>A.2.1.</w:t>
      </w:r>
      <w:r w:rsidRPr="0099231F">
        <w:t xml:space="preserve"> Pasākums Nr.1</w:t>
      </w:r>
      <w:r w:rsidR="008B05DA" w:rsidRPr="0099231F">
        <w:t xml:space="preserve">. Administratīvās sadarbības līgums ar OLAF. </w:t>
      </w:r>
    </w:p>
    <w:p w14:paraId="10408DC2" w14:textId="77777777" w:rsidR="00612336" w:rsidRPr="0099231F" w:rsidRDefault="00612336" w:rsidP="00612336">
      <w:pPr>
        <w:ind w:firstLine="1134"/>
        <w:contextualSpacing/>
      </w:pPr>
      <w:r w:rsidRPr="0099231F">
        <w:rPr>
          <w:b/>
        </w:rPr>
        <w:t>A.2.2.</w:t>
      </w:r>
      <w:r w:rsidRPr="0099231F">
        <w:t xml:space="preserve"> Pasākums Nr.2</w:t>
      </w:r>
      <w:r w:rsidR="008B05DA" w:rsidRPr="0099231F">
        <w:t xml:space="preserve">. </w:t>
      </w:r>
      <w:r w:rsidR="00D71233" w:rsidRPr="0099231F">
        <w:t>Informācijas apmaiņa starp Latvijas iestādēm.</w:t>
      </w:r>
    </w:p>
    <w:p w14:paraId="178B15A9" w14:textId="77777777" w:rsidR="00612336" w:rsidRPr="0099231F" w:rsidRDefault="00612336" w:rsidP="00612336">
      <w:pPr>
        <w:widowControl w:val="0"/>
        <w:autoSpaceDE w:val="0"/>
        <w:autoSpaceDN w:val="0"/>
        <w:adjustRightInd w:val="0"/>
        <w:spacing w:after="120"/>
        <w:ind w:firstLine="720"/>
        <w:contextualSpacing/>
        <w:jc w:val="both"/>
        <w:rPr>
          <w:b/>
        </w:rPr>
      </w:pPr>
      <w:r w:rsidRPr="0099231F">
        <w:rPr>
          <w:b/>
        </w:rPr>
        <w:t xml:space="preserve">A.3. Rīcības virziens – preventīvie pasākumi krāpšanas novēršanai </w:t>
      </w:r>
    </w:p>
    <w:p w14:paraId="4DCAA120" w14:textId="77777777" w:rsidR="00612336" w:rsidRPr="0099231F" w:rsidRDefault="00612336" w:rsidP="00612336">
      <w:pPr>
        <w:ind w:firstLine="1134"/>
        <w:contextualSpacing/>
      </w:pPr>
      <w:r w:rsidRPr="0099231F">
        <w:rPr>
          <w:b/>
        </w:rPr>
        <w:t>A.3.1.</w:t>
      </w:r>
      <w:r w:rsidRPr="0099231F">
        <w:t xml:space="preserve"> Pasākums Nr.1</w:t>
      </w:r>
      <w:r w:rsidR="00D71233" w:rsidRPr="0099231F">
        <w:t>. Sabiedrības informētība.</w:t>
      </w:r>
    </w:p>
    <w:p w14:paraId="71943352" w14:textId="6A8EB6EC" w:rsidR="00612336" w:rsidRPr="0099231F" w:rsidRDefault="00612336" w:rsidP="00612336">
      <w:pPr>
        <w:ind w:firstLine="1134"/>
        <w:contextualSpacing/>
      </w:pPr>
      <w:r w:rsidRPr="0099231F">
        <w:rPr>
          <w:b/>
        </w:rPr>
        <w:t>A.3.2.</w:t>
      </w:r>
      <w:r w:rsidRPr="0099231F">
        <w:t xml:space="preserve"> Pasākums Nr.2</w:t>
      </w:r>
      <w:r w:rsidR="00D71233" w:rsidRPr="0099231F">
        <w:t>. Vienotas izpratnes veidošana</w:t>
      </w:r>
      <w:r w:rsidR="003201E1" w:rsidRPr="0099231F">
        <w:t xml:space="preserve"> starp</w:t>
      </w:r>
      <w:r w:rsidR="00D71233" w:rsidRPr="0099231F">
        <w:t xml:space="preserve"> </w:t>
      </w:r>
      <w:r w:rsidR="003201E1" w:rsidRPr="0099231F">
        <w:t>Latvijas iestādēm</w:t>
      </w:r>
      <w:r w:rsidR="00D71233" w:rsidRPr="0099231F">
        <w:t>.</w:t>
      </w:r>
    </w:p>
    <w:p w14:paraId="5D81C3CD" w14:textId="77777777" w:rsidR="00612336" w:rsidRPr="0099231F" w:rsidRDefault="00612336" w:rsidP="002F3B1D">
      <w:pPr>
        <w:ind w:left="1134"/>
        <w:contextualSpacing/>
        <w:rPr>
          <w:bCs/>
        </w:rPr>
      </w:pPr>
      <w:r w:rsidRPr="0099231F">
        <w:rPr>
          <w:b/>
        </w:rPr>
        <w:t xml:space="preserve">A.3.3. </w:t>
      </w:r>
      <w:r w:rsidRPr="0099231F">
        <w:rPr>
          <w:bCs/>
        </w:rPr>
        <w:t>Pasākums Nr.3</w:t>
      </w:r>
      <w:r w:rsidR="00D71233" w:rsidRPr="0099231F">
        <w:rPr>
          <w:bCs/>
        </w:rPr>
        <w:t>. Sabiedrības viedokļa noskaidrošana un turpmāko AFCOS darbības virzienu noteikšana.</w:t>
      </w:r>
    </w:p>
    <w:p w14:paraId="564188C8" w14:textId="77777777" w:rsidR="00612336" w:rsidRPr="0099231F" w:rsidRDefault="00612336" w:rsidP="00612336">
      <w:pPr>
        <w:widowControl w:val="0"/>
        <w:tabs>
          <w:tab w:val="left" w:pos="0"/>
        </w:tabs>
        <w:autoSpaceDE w:val="0"/>
        <w:autoSpaceDN w:val="0"/>
        <w:adjustRightInd w:val="0"/>
        <w:spacing w:after="120"/>
        <w:contextualSpacing/>
        <w:jc w:val="both"/>
        <w:rPr>
          <w:b/>
        </w:rPr>
      </w:pPr>
    </w:p>
    <w:p w14:paraId="2B293D6B" w14:textId="77777777" w:rsidR="00612336" w:rsidRPr="0099231F" w:rsidRDefault="00612336" w:rsidP="00612336">
      <w:pPr>
        <w:widowControl w:val="0"/>
        <w:tabs>
          <w:tab w:val="left" w:pos="0"/>
        </w:tabs>
        <w:autoSpaceDE w:val="0"/>
        <w:autoSpaceDN w:val="0"/>
        <w:adjustRightInd w:val="0"/>
        <w:spacing w:after="120"/>
        <w:contextualSpacing/>
        <w:jc w:val="both"/>
        <w:rPr>
          <w:b/>
          <w:bCs/>
        </w:rPr>
      </w:pPr>
      <w:r w:rsidRPr="0099231F">
        <w:rPr>
          <w:b/>
        </w:rPr>
        <w:t>B DAĻA B</w:t>
      </w:r>
      <w:r w:rsidR="005A1465" w:rsidRPr="0099231F">
        <w:rPr>
          <w:b/>
        </w:rPr>
        <w:t>ŪTISKĀKIE PLĀNOTIE PASĀKUMU 2019</w:t>
      </w:r>
      <w:r w:rsidRPr="0099231F">
        <w:rPr>
          <w:b/>
        </w:rPr>
        <w:t xml:space="preserve">.GADĀ </w:t>
      </w:r>
    </w:p>
    <w:p w14:paraId="682606C3" w14:textId="77777777" w:rsidR="00612336" w:rsidRPr="0099231F" w:rsidRDefault="00612336" w:rsidP="00612336">
      <w:pPr>
        <w:widowControl w:val="0"/>
        <w:tabs>
          <w:tab w:val="left" w:pos="0"/>
        </w:tabs>
        <w:autoSpaceDE w:val="0"/>
        <w:autoSpaceDN w:val="0"/>
        <w:adjustRightInd w:val="0"/>
        <w:spacing w:after="120"/>
        <w:contextualSpacing/>
        <w:jc w:val="both"/>
        <w:rPr>
          <w:b/>
          <w:bCs/>
          <w:highlight w:val="yellow"/>
        </w:rPr>
      </w:pPr>
    </w:p>
    <w:p w14:paraId="15DE5F54" w14:textId="77777777" w:rsidR="00612336" w:rsidRPr="00D50CBA" w:rsidRDefault="00612336" w:rsidP="00612336">
      <w:pPr>
        <w:contextualSpacing/>
        <w:rPr>
          <w:b/>
        </w:rPr>
      </w:pPr>
      <w:r w:rsidRPr="00D50CBA">
        <w:rPr>
          <w:b/>
        </w:rPr>
        <w:t>C DAĻA STATISTIKAS</w:t>
      </w:r>
      <w:r w:rsidR="005A1465" w:rsidRPr="00D50CBA">
        <w:rPr>
          <w:b/>
        </w:rPr>
        <w:t xml:space="preserve"> PĀRSKATS PAR NEATBILSTĪBĀM 2018</w:t>
      </w:r>
      <w:r w:rsidRPr="00D50CBA">
        <w:rPr>
          <w:b/>
        </w:rPr>
        <w:t>.GADĀ</w:t>
      </w:r>
    </w:p>
    <w:p w14:paraId="0EFBCFFE" w14:textId="77777777" w:rsidR="00612336" w:rsidRPr="00D50CBA" w:rsidRDefault="00612336" w:rsidP="00612336">
      <w:pPr>
        <w:ind w:firstLine="851"/>
        <w:contextualSpacing/>
        <w:rPr>
          <w:b/>
        </w:rPr>
      </w:pPr>
    </w:p>
    <w:p w14:paraId="6D66F8C5" w14:textId="77777777" w:rsidR="00612336" w:rsidRPr="00D50CBA" w:rsidRDefault="00612336" w:rsidP="00612336">
      <w:pPr>
        <w:widowControl w:val="0"/>
        <w:autoSpaceDE w:val="0"/>
        <w:autoSpaceDN w:val="0"/>
        <w:adjustRightInd w:val="0"/>
        <w:spacing w:after="120"/>
        <w:ind w:left="1276" w:hanging="567"/>
        <w:contextualSpacing/>
        <w:jc w:val="both"/>
      </w:pPr>
      <w:r w:rsidRPr="00D50CBA">
        <w:rPr>
          <w:b/>
        </w:rPr>
        <w:t xml:space="preserve">C.1. Neatbilstību tendences sadalījumā </w:t>
      </w:r>
      <w:r w:rsidR="005A1465" w:rsidRPr="00D50CBA">
        <w:rPr>
          <w:b/>
        </w:rPr>
        <w:t>pa ES finanšu instrumentiem 2018</w:t>
      </w:r>
      <w:r w:rsidRPr="00D50CBA">
        <w:rPr>
          <w:b/>
        </w:rPr>
        <w:t xml:space="preserve">.gadā </w:t>
      </w:r>
    </w:p>
    <w:p w14:paraId="0B21D81C" w14:textId="2BCCCFB7" w:rsidR="0099231F" w:rsidRPr="00D50CBA" w:rsidRDefault="00612336" w:rsidP="00612336">
      <w:pPr>
        <w:widowControl w:val="0"/>
        <w:autoSpaceDE w:val="0"/>
        <w:autoSpaceDN w:val="0"/>
        <w:adjustRightInd w:val="0"/>
        <w:spacing w:after="120"/>
        <w:ind w:left="1701" w:hanging="567"/>
        <w:contextualSpacing/>
        <w:jc w:val="both"/>
      </w:pPr>
      <w:r w:rsidRPr="00D50CBA">
        <w:rPr>
          <w:b/>
        </w:rPr>
        <w:t>C.1.1.</w:t>
      </w:r>
      <w:r w:rsidRPr="00D50CBA">
        <w:t xml:space="preserve"> </w:t>
      </w:r>
      <w:r w:rsidR="0099231F" w:rsidRPr="00D50CBA">
        <w:t>Eiropas Sociālais fonds (ESF), Eiropas reģionālās attīstības fonds (ERAF) un Kohēzijas fonds (KF) (2014.-2020.plānošanas periods)</w:t>
      </w:r>
    </w:p>
    <w:p w14:paraId="5146CAFD" w14:textId="0AAED461" w:rsidR="0099231F" w:rsidRPr="00D50CBA" w:rsidRDefault="00612336" w:rsidP="0099231F">
      <w:pPr>
        <w:widowControl w:val="0"/>
        <w:autoSpaceDE w:val="0"/>
        <w:autoSpaceDN w:val="0"/>
        <w:adjustRightInd w:val="0"/>
        <w:spacing w:after="120"/>
        <w:ind w:left="1701" w:hanging="567"/>
        <w:contextualSpacing/>
        <w:jc w:val="both"/>
      </w:pPr>
      <w:r w:rsidRPr="00D50CBA">
        <w:rPr>
          <w:b/>
        </w:rPr>
        <w:t xml:space="preserve">C.1.2. </w:t>
      </w:r>
      <w:r w:rsidR="0099231F" w:rsidRPr="00D50CBA">
        <w:t>Eiropas Lauksaimniecības fonds lauku attīstībai (ELFLA) un Eiropas Lauksaimniecības garantiju fonds (ELGF) (2014.-2020.plānošanas periods)</w:t>
      </w:r>
    </w:p>
    <w:p w14:paraId="234562B3" w14:textId="77777777" w:rsidR="00612336" w:rsidRPr="00D50CBA" w:rsidRDefault="00612336" w:rsidP="00612336">
      <w:pPr>
        <w:widowControl w:val="0"/>
        <w:autoSpaceDE w:val="0"/>
        <w:autoSpaceDN w:val="0"/>
        <w:adjustRightInd w:val="0"/>
        <w:spacing w:after="120"/>
        <w:ind w:left="1701" w:hanging="567"/>
        <w:contextualSpacing/>
        <w:jc w:val="both"/>
      </w:pPr>
      <w:r w:rsidRPr="00D50CBA">
        <w:rPr>
          <w:b/>
        </w:rPr>
        <w:t>C.1.3.</w:t>
      </w:r>
      <w:r w:rsidRPr="00D50CBA">
        <w:t xml:space="preserve"> Eiropas Jūrlietu un zivsaimniecības fonds (EJZF) (2014.-2020.plānošanas periods)</w:t>
      </w:r>
    </w:p>
    <w:p w14:paraId="37E8224D" w14:textId="27D7B5A5" w:rsidR="00612336" w:rsidRPr="00D50CBA" w:rsidRDefault="00612336" w:rsidP="0099231F">
      <w:pPr>
        <w:widowControl w:val="0"/>
        <w:autoSpaceDE w:val="0"/>
        <w:autoSpaceDN w:val="0"/>
        <w:adjustRightInd w:val="0"/>
        <w:spacing w:after="120"/>
        <w:ind w:left="1701" w:hanging="567"/>
        <w:contextualSpacing/>
        <w:jc w:val="both"/>
      </w:pPr>
      <w:r w:rsidRPr="00D50CBA">
        <w:rPr>
          <w:b/>
        </w:rPr>
        <w:t>C.1.4.</w:t>
      </w:r>
      <w:r w:rsidRPr="00D50CBA">
        <w:t xml:space="preserve"> </w:t>
      </w:r>
      <w:r w:rsidR="0099231F" w:rsidRPr="00D50CBA">
        <w:t>Eiropas teritoriālās sadarbības (ETS) programmas (2014.-2020.plānošanas periods)</w:t>
      </w:r>
    </w:p>
    <w:p w14:paraId="2773C884" w14:textId="77777777" w:rsidR="0099231F" w:rsidRPr="00D50CBA" w:rsidRDefault="00612336" w:rsidP="0099231F">
      <w:pPr>
        <w:widowControl w:val="0"/>
        <w:autoSpaceDE w:val="0"/>
        <w:autoSpaceDN w:val="0"/>
        <w:adjustRightInd w:val="0"/>
        <w:spacing w:after="120"/>
        <w:ind w:left="1701" w:hanging="567"/>
        <w:contextualSpacing/>
        <w:jc w:val="both"/>
      </w:pPr>
      <w:r w:rsidRPr="00D50CBA">
        <w:rPr>
          <w:b/>
        </w:rPr>
        <w:t>C.1.5.</w:t>
      </w:r>
      <w:r w:rsidR="0099231F" w:rsidRPr="00D50CBA">
        <w:rPr>
          <w:b/>
        </w:rPr>
        <w:t xml:space="preserve"> </w:t>
      </w:r>
      <w:r w:rsidR="0099231F" w:rsidRPr="00D50CBA">
        <w:t>Eiropas atbalsta fonds vistrūcīgākajām personām (EAFVP) (2014.-2020.plānošanas periods)</w:t>
      </w:r>
    </w:p>
    <w:p w14:paraId="2537B9B5" w14:textId="77777777" w:rsidR="0099231F" w:rsidRPr="00D50CBA" w:rsidRDefault="00612336" w:rsidP="00612336">
      <w:pPr>
        <w:widowControl w:val="0"/>
        <w:autoSpaceDE w:val="0"/>
        <w:autoSpaceDN w:val="0"/>
        <w:adjustRightInd w:val="0"/>
        <w:spacing w:after="120"/>
        <w:ind w:left="1701" w:hanging="567"/>
        <w:contextualSpacing/>
        <w:jc w:val="both"/>
      </w:pPr>
      <w:r w:rsidRPr="00D50CBA">
        <w:rPr>
          <w:b/>
        </w:rPr>
        <w:t>C.1.6.</w:t>
      </w:r>
      <w:r w:rsidRPr="00D50CBA">
        <w:t xml:space="preserve"> </w:t>
      </w:r>
      <w:r w:rsidR="0099231F" w:rsidRPr="00D50CBA">
        <w:t>Iekšējās drošības fonds  (IDF) (2014.-2020.plānošanas periods)</w:t>
      </w:r>
    </w:p>
    <w:p w14:paraId="72B7447F" w14:textId="77777777" w:rsidR="0099231F" w:rsidRPr="00D50CBA" w:rsidRDefault="00612336" w:rsidP="0099231F">
      <w:pPr>
        <w:widowControl w:val="0"/>
        <w:autoSpaceDE w:val="0"/>
        <w:autoSpaceDN w:val="0"/>
        <w:adjustRightInd w:val="0"/>
        <w:spacing w:after="120"/>
        <w:ind w:left="1701" w:hanging="567"/>
        <w:contextualSpacing/>
        <w:jc w:val="both"/>
      </w:pPr>
      <w:r w:rsidRPr="00D50CBA">
        <w:rPr>
          <w:b/>
        </w:rPr>
        <w:t xml:space="preserve">C.1.7. </w:t>
      </w:r>
      <w:r w:rsidRPr="00D50CBA">
        <w:t xml:space="preserve"> </w:t>
      </w:r>
      <w:r w:rsidR="0099231F" w:rsidRPr="00D50CBA">
        <w:t>Patvēruma, migrācijas un integrācijas fonds (PMIF) (2014.-2020.plānošanas periods)</w:t>
      </w:r>
    </w:p>
    <w:p w14:paraId="6C952AFC" w14:textId="4B8970C0" w:rsidR="00612336" w:rsidRPr="00D50CBA" w:rsidRDefault="00612336" w:rsidP="00612336">
      <w:pPr>
        <w:widowControl w:val="0"/>
        <w:autoSpaceDE w:val="0"/>
        <w:autoSpaceDN w:val="0"/>
        <w:adjustRightInd w:val="0"/>
        <w:spacing w:after="120"/>
        <w:ind w:left="1701" w:hanging="567"/>
        <w:contextualSpacing/>
        <w:jc w:val="both"/>
      </w:pPr>
    </w:p>
    <w:p w14:paraId="319EEFDF" w14:textId="77777777" w:rsidR="00612336" w:rsidRPr="00D50CBA" w:rsidRDefault="00612336" w:rsidP="00612336">
      <w:pPr>
        <w:widowControl w:val="0"/>
        <w:tabs>
          <w:tab w:val="left" w:pos="1134"/>
        </w:tabs>
        <w:autoSpaceDE w:val="0"/>
        <w:autoSpaceDN w:val="0"/>
        <w:adjustRightInd w:val="0"/>
        <w:spacing w:after="120"/>
        <w:ind w:left="1276" w:hanging="567"/>
        <w:contextualSpacing/>
        <w:rPr>
          <w:b/>
        </w:rPr>
      </w:pPr>
      <w:r w:rsidRPr="00D50CBA">
        <w:rPr>
          <w:b/>
        </w:rPr>
        <w:t xml:space="preserve">C.2. Neatbilstību tendences 2014.-2020. plānošanas periodā </w:t>
      </w:r>
      <w:r w:rsidR="005A1465" w:rsidRPr="00D50CBA">
        <w:rPr>
          <w:b/>
        </w:rPr>
        <w:t>2018</w:t>
      </w:r>
      <w:r w:rsidRPr="00D50CBA">
        <w:rPr>
          <w:b/>
        </w:rPr>
        <w:t>.gadā (</w:t>
      </w:r>
      <w:r w:rsidR="005A1465" w:rsidRPr="00D50CBA">
        <w:rPr>
          <w:b/>
        </w:rPr>
        <w:t>piektais</w:t>
      </w:r>
      <w:r w:rsidRPr="00D50CBA">
        <w:rPr>
          <w:b/>
        </w:rPr>
        <w:t xml:space="preserve"> plānošanas perioda gads) salīdzinājumā ar 2007.-2013. p</w:t>
      </w:r>
      <w:r w:rsidR="005A1465" w:rsidRPr="00D50CBA">
        <w:rPr>
          <w:b/>
        </w:rPr>
        <w:t>lānošanas perioda tendencēm 2011</w:t>
      </w:r>
      <w:r w:rsidRPr="00D50CBA">
        <w:rPr>
          <w:b/>
        </w:rPr>
        <w:t>. gadā (</w:t>
      </w:r>
      <w:r w:rsidR="005A1465" w:rsidRPr="00D50CBA">
        <w:rPr>
          <w:b/>
        </w:rPr>
        <w:t>piektais</w:t>
      </w:r>
      <w:r w:rsidRPr="00D50CBA">
        <w:rPr>
          <w:b/>
        </w:rPr>
        <w:t xml:space="preserve"> plānošanas perioda gads)</w:t>
      </w:r>
    </w:p>
    <w:p w14:paraId="39650E43" w14:textId="77777777" w:rsidR="00612336" w:rsidRPr="00D50CBA" w:rsidRDefault="00612336" w:rsidP="00612336">
      <w:pPr>
        <w:widowControl w:val="0"/>
        <w:autoSpaceDE w:val="0"/>
        <w:autoSpaceDN w:val="0"/>
        <w:adjustRightInd w:val="0"/>
        <w:spacing w:after="120"/>
        <w:ind w:firstLine="851"/>
        <w:contextualSpacing/>
        <w:rPr>
          <w:b/>
        </w:rPr>
      </w:pPr>
    </w:p>
    <w:p w14:paraId="044F432E" w14:textId="09F84647" w:rsidR="0099231F" w:rsidRPr="00D50CBA" w:rsidRDefault="00612336" w:rsidP="0099231F">
      <w:pPr>
        <w:widowControl w:val="0"/>
        <w:tabs>
          <w:tab w:val="left" w:pos="1425"/>
        </w:tabs>
        <w:autoSpaceDE w:val="0"/>
        <w:autoSpaceDN w:val="0"/>
        <w:adjustRightInd w:val="0"/>
        <w:spacing w:after="120"/>
        <w:jc w:val="both"/>
        <w:rPr>
          <w:b/>
          <w:bCs/>
        </w:rPr>
      </w:pPr>
      <w:r w:rsidRPr="00D50CBA">
        <w:rPr>
          <w:b/>
        </w:rPr>
        <w:t>D DAĻA INFORMATĪVS PĀRSK</w:t>
      </w:r>
      <w:r w:rsidR="005A1465" w:rsidRPr="00D50CBA">
        <w:rPr>
          <w:b/>
        </w:rPr>
        <w:t>ATS UN STATISTIKAS DATI par 2018</w:t>
      </w:r>
      <w:r w:rsidRPr="00D50CBA">
        <w:rPr>
          <w:b/>
        </w:rPr>
        <w:t>.gadā saņemtajiem iesniegumiem par iespējamām krāpnieciskām un citām nelikumīgām darbībām ES finanšu instrumentu ietvaros</w:t>
      </w:r>
      <w:r w:rsidR="0099231F" w:rsidRPr="00D50CBA">
        <w:rPr>
          <w:b/>
          <w:bCs/>
        </w:rPr>
        <w:t>, kā arī sadarbību ar OLAF un citām Eiropas institūcijām</w:t>
      </w:r>
    </w:p>
    <w:p w14:paraId="2A4EE8FB" w14:textId="77777777" w:rsidR="00612336" w:rsidRPr="00D50CBA" w:rsidRDefault="00612336" w:rsidP="00612336">
      <w:pPr>
        <w:ind w:firstLine="851"/>
        <w:contextualSpacing/>
        <w:rPr>
          <w:b/>
        </w:rPr>
      </w:pPr>
      <w:r w:rsidRPr="00D50CBA">
        <w:rPr>
          <w:b/>
        </w:rPr>
        <w:t>D.1. Izmeklēšanas iestādēs saņemto iesniegumu statistika</w:t>
      </w:r>
    </w:p>
    <w:p w14:paraId="304CAE64" w14:textId="77777777" w:rsidR="00612336" w:rsidRPr="00D50CBA" w:rsidRDefault="00612336" w:rsidP="00612336">
      <w:pPr>
        <w:ind w:firstLine="851"/>
        <w:contextualSpacing/>
        <w:rPr>
          <w:b/>
        </w:rPr>
      </w:pPr>
      <w:r w:rsidRPr="00D50CBA">
        <w:rPr>
          <w:b/>
        </w:rPr>
        <w:t>D.2. Sadarbība ar OLAF krāpšanas izmeklēšanas jautājumos</w:t>
      </w:r>
    </w:p>
    <w:p w14:paraId="3C174915" w14:textId="77777777" w:rsidR="0050122B" w:rsidRDefault="0099231F" w:rsidP="0050122B">
      <w:pPr>
        <w:ind w:firstLine="851"/>
        <w:contextualSpacing/>
        <w:rPr>
          <w:b/>
        </w:rPr>
      </w:pPr>
      <w:r w:rsidRPr="00D50CBA">
        <w:rPr>
          <w:b/>
        </w:rPr>
        <w:t xml:space="preserve">D.3. Eiropas revīzijas palātas audits par </w:t>
      </w:r>
      <w:proofErr w:type="spellStart"/>
      <w:r w:rsidRPr="00D50CBA">
        <w:rPr>
          <w:b/>
        </w:rPr>
        <w:t>pretkrāpšanas</w:t>
      </w:r>
      <w:proofErr w:type="spellEnd"/>
      <w:r w:rsidRPr="00D50CBA">
        <w:rPr>
          <w:b/>
        </w:rPr>
        <w:t xml:space="preserve"> pasākumiem Latvijā</w:t>
      </w:r>
    </w:p>
    <w:p w14:paraId="44941CA2" w14:textId="77777777" w:rsidR="00D50CBA" w:rsidRDefault="00D50CBA" w:rsidP="0050122B">
      <w:pPr>
        <w:ind w:firstLine="851"/>
        <w:contextualSpacing/>
        <w:jc w:val="center"/>
        <w:rPr>
          <w:b/>
          <w:sz w:val="32"/>
          <w:szCs w:val="32"/>
        </w:rPr>
      </w:pPr>
    </w:p>
    <w:p w14:paraId="5DFBF760" w14:textId="77777777" w:rsidR="0017569A" w:rsidRDefault="0017569A" w:rsidP="0050122B">
      <w:pPr>
        <w:ind w:firstLine="851"/>
        <w:contextualSpacing/>
        <w:jc w:val="center"/>
        <w:rPr>
          <w:b/>
          <w:sz w:val="32"/>
          <w:szCs w:val="32"/>
        </w:rPr>
      </w:pPr>
    </w:p>
    <w:p w14:paraId="041CF013" w14:textId="0581C1FF" w:rsidR="00FF1FE6" w:rsidRPr="0050122B" w:rsidRDefault="00FF1FE6" w:rsidP="0050122B">
      <w:pPr>
        <w:ind w:firstLine="851"/>
        <w:contextualSpacing/>
        <w:jc w:val="center"/>
        <w:rPr>
          <w:b/>
        </w:rPr>
      </w:pPr>
      <w:r w:rsidRPr="00E54E87">
        <w:rPr>
          <w:b/>
          <w:sz w:val="32"/>
          <w:szCs w:val="32"/>
        </w:rPr>
        <w:lastRenderedPageBreak/>
        <w:t>A DAĻA</w:t>
      </w:r>
    </w:p>
    <w:p w14:paraId="6532C152" w14:textId="77777777" w:rsidR="002A3852" w:rsidRPr="00E54E87" w:rsidRDefault="002A3852" w:rsidP="00B37C59">
      <w:pPr>
        <w:widowControl w:val="0"/>
        <w:autoSpaceDE w:val="0"/>
        <w:autoSpaceDN w:val="0"/>
        <w:adjustRightInd w:val="0"/>
        <w:spacing w:after="240"/>
        <w:ind w:firstLine="851"/>
        <w:contextualSpacing/>
        <w:jc w:val="center"/>
        <w:rPr>
          <w:b/>
          <w:sz w:val="32"/>
          <w:szCs w:val="32"/>
        </w:rPr>
      </w:pPr>
    </w:p>
    <w:p w14:paraId="672F5E5F" w14:textId="77777777" w:rsidR="00595733" w:rsidRPr="00E54E87" w:rsidRDefault="00595733" w:rsidP="00B37C59">
      <w:pPr>
        <w:widowControl w:val="0"/>
        <w:autoSpaceDE w:val="0"/>
        <w:autoSpaceDN w:val="0"/>
        <w:adjustRightInd w:val="0"/>
        <w:spacing w:after="240"/>
        <w:ind w:firstLine="851"/>
        <w:contextualSpacing/>
        <w:jc w:val="center"/>
        <w:rPr>
          <w:b/>
          <w:sz w:val="28"/>
          <w:szCs w:val="28"/>
        </w:rPr>
      </w:pPr>
      <w:r w:rsidRPr="00E54E87">
        <w:rPr>
          <w:b/>
          <w:sz w:val="28"/>
          <w:szCs w:val="28"/>
        </w:rPr>
        <w:t>EIROPAS SAVIENĪBAS FINANŠU INTEREŠU AIZSARDZĪBAS KOORDINĀCIJAS DIENESTA (AFCOS) DARBĪBAS STRATĒĢIJA</w:t>
      </w:r>
      <w:r w:rsidR="002A3852" w:rsidRPr="00E54E87">
        <w:rPr>
          <w:b/>
          <w:sz w:val="28"/>
          <w:szCs w:val="28"/>
        </w:rPr>
        <w:t>S UN PASĀKUMU PLĀNA</w:t>
      </w:r>
      <w:r w:rsidRPr="00E54E87">
        <w:rPr>
          <w:b/>
          <w:sz w:val="28"/>
          <w:szCs w:val="28"/>
        </w:rPr>
        <w:t xml:space="preserve"> 2017.</w:t>
      </w:r>
      <w:r w:rsidR="00612AA9" w:rsidRPr="00E54E87">
        <w:rPr>
          <w:b/>
          <w:sz w:val="28"/>
          <w:szCs w:val="28"/>
        </w:rPr>
        <w:t xml:space="preserve"> </w:t>
      </w:r>
      <w:r w:rsidRPr="00E54E87">
        <w:rPr>
          <w:b/>
          <w:sz w:val="28"/>
          <w:szCs w:val="28"/>
        </w:rPr>
        <w:t>-</w:t>
      </w:r>
      <w:r w:rsidR="00612AA9" w:rsidRPr="00E54E87">
        <w:rPr>
          <w:b/>
          <w:sz w:val="28"/>
          <w:szCs w:val="28"/>
        </w:rPr>
        <w:t xml:space="preserve"> </w:t>
      </w:r>
      <w:r w:rsidRPr="00E54E87">
        <w:rPr>
          <w:b/>
          <w:sz w:val="28"/>
          <w:szCs w:val="28"/>
        </w:rPr>
        <w:t>2019. GADAM</w:t>
      </w:r>
      <w:r w:rsidR="002A3852" w:rsidRPr="00E54E87">
        <w:rPr>
          <w:b/>
          <w:sz w:val="28"/>
          <w:szCs w:val="28"/>
        </w:rPr>
        <w:t xml:space="preserve"> IZPILDE</w:t>
      </w:r>
    </w:p>
    <w:p w14:paraId="1F445ED2" w14:textId="77777777" w:rsidR="00595733" w:rsidRPr="00E54E87" w:rsidRDefault="00595733" w:rsidP="00EB3F70">
      <w:pPr>
        <w:ind w:firstLine="851"/>
        <w:contextualSpacing/>
        <w:rPr>
          <w:b/>
        </w:rPr>
      </w:pPr>
    </w:p>
    <w:p w14:paraId="32A2A73E" w14:textId="58A06A3A" w:rsidR="00522C63" w:rsidRPr="00990A77" w:rsidRDefault="00C52D1F" w:rsidP="00EB3F70">
      <w:pPr>
        <w:widowControl w:val="0"/>
        <w:shd w:val="clear" w:color="auto" w:fill="FFFFFF" w:themeFill="background1"/>
        <w:autoSpaceDE w:val="0"/>
        <w:autoSpaceDN w:val="0"/>
        <w:adjustRightInd w:val="0"/>
        <w:spacing w:after="120"/>
        <w:ind w:firstLine="851"/>
        <w:contextualSpacing/>
        <w:jc w:val="both"/>
      </w:pPr>
      <w:r>
        <w:t>V</w:t>
      </w:r>
      <w:r w:rsidRPr="00990A77">
        <w:t>ienota stratēģija ES finanšu interešu aizsardzībai</w:t>
      </w:r>
      <w:r w:rsidRPr="00990A77">
        <w:rPr>
          <w:rStyle w:val="FootnoteReference"/>
        </w:rPr>
        <w:footnoteReference w:id="1"/>
      </w:r>
      <w:r w:rsidRPr="00990A77">
        <w:t>, aptverot gan ES finanšu līdzekļu ieņēmumus, gan izdevumus, kā arī ES fondu un citus ārvalstu finanšu palīdzības instrumentus</w:t>
      </w:r>
      <w:r>
        <w:t xml:space="preserve"> </w:t>
      </w:r>
      <w:r>
        <w:rPr>
          <w:b/>
        </w:rPr>
        <w:t xml:space="preserve"> tika apstiprināta ar</w:t>
      </w:r>
      <w:r w:rsidR="003F71A1" w:rsidRPr="00990A77">
        <w:rPr>
          <w:b/>
        </w:rPr>
        <w:t xml:space="preserve"> 2017.gada 16.janvārī izdot</w:t>
      </w:r>
      <w:r>
        <w:rPr>
          <w:b/>
        </w:rPr>
        <w:t>o</w:t>
      </w:r>
      <w:r w:rsidR="003F71A1" w:rsidRPr="00990A77">
        <w:rPr>
          <w:b/>
        </w:rPr>
        <w:t xml:space="preserve"> MK rīkojum</w:t>
      </w:r>
      <w:r>
        <w:rPr>
          <w:b/>
        </w:rPr>
        <w:t>u</w:t>
      </w:r>
      <w:r w:rsidR="003F71A1" w:rsidRPr="00990A77">
        <w:rPr>
          <w:b/>
        </w:rPr>
        <w:t xml:space="preserve"> Nr.26 </w:t>
      </w:r>
      <w:r w:rsidR="00CC304B" w:rsidRPr="00990A77">
        <w:rPr>
          <w:b/>
        </w:rPr>
        <w:t>“ P</w:t>
      </w:r>
      <w:r w:rsidR="003F71A1" w:rsidRPr="00990A77">
        <w:rPr>
          <w:b/>
        </w:rPr>
        <w:t xml:space="preserve">ar </w:t>
      </w:r>
      <w:r w:rsidR="00B0102B" w:rsidRPr="00990A77">
        <w:rPr>
          <w:b/>
        </w:rPr>
        <w:t xml:space="preserve">Eiropas Savienības finanšu interešu aizsardzības koordinācijas dienesta (AFCOS) darbības </w:t>
      </w:r>
      <w:r w:rsidR="003F71A1" w:rsidRPr="00990A77">
        <w:rPr>
          <w:b/>
        </w:rPr>
        <w:t>stratēģijas</w:t>
      </w:r>
      <w:r w:rsidR="00B0102B" w:rsidRPr="00990A77">
        <w:rPr>
          <w:b/>
        </w:rPr>
        <w:t xml:space="preserve"> un pasākumu plāna 2017.-2019. gadam </w:t>
      </w:r>
      <w:r w:rsidR="003F71A1" w:rsidRPr="00990A77">
        <w:rPr>
          <w:b/>
        </w:rPr>
        <w:t>apstiprināšanu</w:t>
      </w:r>
      <w:r w:rsidR="00CC304B" w:rsidRPr="00990A77">
        <w:rPr>
          <w:b/>
        </w:rPr>
        <w:t>”</w:t>
      </w:r>
      <w:r w:rsidR="00F258AF">
        <w:rPr>
          <w:b/>
        </w:rPr>
        <w:t xml:space="preserve"> </w:t>
      </w:r>
      <w:r w:rsidR="00F258AF" w:rsidRPr="00F258AF">
        <w:t>(turpmāk – AFCOS Stratēģija un pasākumu plāns)</w:t>
      </w:r>
      <w:r w:rsidR="003F71A1" w:rsidRPr="00F258AF">
        <w:t>,</w:t>
      </w:r>
      <w:r w:rsidR="003F71A1" w:rsidRPr="00990A77">
        <w:rPr>
          <w:b/>
        </w:rPr>
        <w:t xml:space="preserve"> </w:t>
      </w:r>
      <w:r w:rsidR="003F71A1" w:rsidRPr="00990A77">
        <w:t>uzdodot iestādēm nodrošināt pasākumu plāna izpildi noteiktajos termiņos, kā arī veikt ieviešanas uzraudzību.</w:t>
      </w:r>
    </w:p>
    <w:p w14:paraId="24F6D6A2" w14:textId="77777777" w:rsidR="00522C63" w:rsidRPr="00990A77" w:rsidRDefault="00595733" w:rsidP="00EB3F70">
      <w:pPr>
        <w:widowControl w:val="0"/>
        <w:autoSpaceDE w:val="0"/>
        <w:autoSpaceDN w:val="0"/>
        <w:adjustRightInd w:val="0"/>
        <w:spacing w:after="120"/>
        <w:ind w:firstLine="851"/>
        <w:contextualSpacing/>
        <w:jc w:val="both"/>
      </w:pPr>
      <w:r w:rsidRPr="00990A77">
        <w:t xml:space="preserve">AFCOS </w:t>
      </w:r>
      <w:r w:rsidR="00B0102B" w:rsidRPr="00990A77">
        <w:t>S</w:t>
      </w:r>
      <w:r w:rsidRPr="00990A77">
        <w:t xml:space="preserve">tratēģijas </w:t>
      </w:r>
      <w:r w:rsidRPr="00990A77">
        <w:rPr>
          <w:b/>
        </w:rPr>
        <w:t>mērķis</w:t>
      </w:r>
      <w:r w:rsidRPr="00990A77">
        <w:t xml:space="preserve"> </w:t>
      </w:r>
      <w:r w:rsidR="00CC304B" w:rsidRPr="00990A77">
        <w:t xml:space="preserve">- </w:t>
      </w:r>
      <w:r w:rsidRPr="00990A77">
        <w:t xml:space="preserve">definēt kopējos sadarbības pamatvirzienus, mērķus un uzdevumus starp kompetentajām iestādēm krāpšanas novēršanai un apkarošanai, kā arī izveidot sadarbības modeli ES finanšu interešu aizsardzībai, lai stiprinātu un formalizētu sadarbību starp Latvijas kompetentajām iestādēm un </w:t>
      </w:r>
      <w:r w:rsidR="008C3165">
        <w:t>OLAF</w:t>
      </w:r>
      <w:r w:rsidR="00522C63" w:rsidRPr="00990A77">
        <w:t xml:space="preserve">. </w:t>
      </w:r>
    </w:p>
    <w:p w14:paraId="2C94C7EA" w14:textId="77777777" w:rsidR="00595733" w:rsidRPr="00990A77" w:rsidRDefault="00B0102B" w:rsidP="00B37C59">
      <w:pPr>
        <w:widowControl w:val="0"/>
        <w:autoSpaceDE w:val="0"/>
        <w:autoSpaceDN w:val="0"/>
        <w:adjustRightInd w:val="0"/>
        <w:ind w:firstLine="851"/>
        <w:contextualSpacing/>
        <w:jc w:val="both"/>
      </w:pPr>
      <w:r w:rsidRPr="00990A77">
        <w:t>AFCOS</w:t>
      </w:r>
      <w:r w:rsidR="0036123E" w:rsidRPr="00990A77">
        <w:t xml:space="preserve"> </w:t>
      </w:r>
      <w:r w:rsidR="00595733" w:rsidRPr="00990A77">
        <w:t xml:space="preserve">Stratēģijas ietvaros tika identificēti 3 galvenie </w:t>
      </w:r>
      <w:r w:rsidR="00595733" w:rsidRPr="00990A77">
        <w:rPr>
          <w:b/>
        </w:rPr>
        <w:t>rīcības virzieni</w:t>
      </w:r>
      <w:r w:rsidR="00595733" w:rsidRPr="00990A77">
        <w:t xml:space="preserve">: </w:t>
      </w:r>
    </w:p>
    <w:p w14:paraId="62C62549" w14:textId="77777777" w:rsidR="00595733" w:rsidRPr="00990A77" w:rsidRDefault="00595733" w:rsidP="00BE3BA3">
      <w:pPr>
        <w:pStyle w:val="ListParagraph"/>
        <w:widowControl w:val="0"/>
        <w:numPr>
          <w:ilvl w:val="0"/>
          <w:numId w:val="25"/>
        </w:numPr>
        <w:autoSpaceDE w:val="0"/>
        <w:autoSpaceDN w:val="0"/>
        <w:adjustRightInd w:val="0"/>
        <w:contextualSpacing/>
        <w:jc w:val="both"/>
        <w:rPr>
          <w:rFonts w:ascii="Times New Roman" w:hAnsi="Times New Roman"/>
          <w:sz w:val="24"/>
          <w:szCs w:val="24"/>
        </w:rPr>
      </w:pPr>
      <w:r w:rsidRPr="00990A77">
        <w:rPr>
          <w:rFonts w:ascii="Times New Roman" w:hAnsi="Times New Roman"/>
          <w:sz w:val="24"/>
          <w:szCs w:val="24"/>
        </w:rPr>
        <w:t xml:space="preserve">politikas veidošana, </w:t>
      </w:r>
    </w:p>
    <w:p w14:paraId="66915415" w14:textId="77777777" w:rsidR="00595733" w:rsidRPr="00990A77" w:rsidRDefault="00595733" w:rsidP="00BE3BA3">
      <w:pPr>
        <w:pStyle w:val="ListParagraph"/>
        <w:widowControl w:val="0"/>
        <w:numPr>
          <w:ilvl w:val="0"/>
          <w:numId w:val="25"/>
        </w:numPr>
        <w:autoSpaceDE w:val="0"/>
        <w:autoSpaceDN w:val="0"/>
        <w:adjustRightInd w:val="0"/>
        <w:contextualSpacing/>
        <w:jc w:val="both"/>
        <w:rPr>
          <w:rFonts w:ascii="Times New Roman" w:hAnsi="Times New Roman"/>
          <w:sz w:val="24"/>
          <w:szCs w:val="24"/>
        </w:rPr>
      </w:pPr>
      <w:r w:rsidRPr="00990A77">
        <w:rPr>
          <w:rFonts w:ascii="Times New Roman" w:hAnsi="Times New Roman"/>
          <w:sz w:val="24"/>
          <w:szCs w:val="24"/>
        </w:rPr>
        <w:t xml:space="preserve">iekšējā un ārējā koordinēšana, </w:t>
      </w:r>
    </w:p>
    <w:p w14:paraId="70539F6A" w14:textId="77777777" w:rsidR="00595733" w:rsidRPr="00990A77" w:rsidRDefault="00595733" w:rsidP="00BE3BA3">
      <w:pPr>
        <w:pStyle w:val="ListParagraph"/>
        <w:widowControl w:val="0"/>
        <w:numPr>
          <w:ilvl w:val="0"/>
          <w:numId w:val="25"/>
        </w:numPr>
        <w:autoSpaceDE w:val="0"/>
        <w:autoSpaceDN w:val="0"/>
        <w:adjustRightInd w:val="0"/>
        <w:spacing w:after="120"/>
        <w:contextualSpacing/>
        <w:jc w:val="both"/>
        <w:rPr>
          <w:rFonts w:ascii="Times New Roman" w:hAnsi="Times New Roman"/>
          <w:sz w:val="24"/>
          <w:szCs w:val="24"/>
        </w:rPr>
      </w:pPr>
      <w:r w:rsidRPr="00990A77">
        <w:rPr>
          <w:rFonts w:ascii="Times New Roman" w:hAnsi="Times New Roman"/>
          <w:sz w:val="24"/>
          <w:szCs w:val="24"/>
        </w:rPr>
        <w:t xml:space="preserve">preventīvie pasākumi krāpšanas novēršanai. </w:t>
      </w:r>
    </w:p>
    <w:p w14:paraId="53179407" w14:textId="77777777" w:rsidR="00BE3BA3" w:rsidRPr="00990A77" w:rsidRDefault="00595733" w:rsidP="00522C63">
      <w:pPr>
        <w:widowControl w:val="0"/>
        <w:autoSpaceDE w:val="0"/>
        <w:autoSpaceDN w:val="0"/>
        <w:adjustRightInd w:val="0"/>
        <w:spacing w:after="120"/>
        <w:ind w:firstLine="851"/>
        <w:contextualSpacing/>
        <w:jc w:val="both"/>
      </w:pPr>
      <w:r w:rsidRPr="00990A77">
        <w:t xml:space="preserve">Katra rīcības virziena izpildei </w:t>
      </w:r>
      <w:r w:rsidR="00BE3BA3" w:rsidRPr="00990A77">
        <w:t xml:space="preserve">ir </w:t>
      </w:r>
      <w:r w:rsidRPr="00990A77">
        <w:t xml:space="preserve">noteikti veicamie pasākumi un rezultatīvie rādītāji, kā arī atbildīgās institūcijas un termiņi. </w:t>
      </w:r>
      <w:r w:rsidR="003F32B6" w:rsidRPr="00990A77">
        <w:t>AFCOS darbības stratēģija ir pieejama FM mājas</w:t>
      </w:r>
      <w:r w:rsidRPr="00990A77">
        <w:t>lapā</w:t>
      </w:r>
      <w:r w:rsidRPr="00990A77">
        <w:rPr>
          <w:rStyle w:val="FootnoteReference"/>
        </w:rPr>
        <w:footnoteReference w:id="2"/>
      </w:r>
      <w:r w:rsidR="00522C63" w:rsidRPr="00990A77">
        <w:t xml:space="preserve">. </w:t>
      </w:r>
    </w:p>
    <w:p w14:paraId="4A96A762" w14:textId="77777777" w:rsidR="00FB39CB" w:rsidRPr="00E54E87" w:rsidRDefault="00EB3F70" w:rsidP="00153AB4">
      <w:pPr>
        <w:widowControl w:val="0"/>
        <w:autoSpaceDE w:val="0"/>
        <w:autoSpaceDN w:val="0"/>
        <w:adjustRightInd w:val="0"/>
        <w:spacing w:after="120"/>
        <w:ind w:firstLine="851"/>
        <w:contextualSpacing/>
        <w:jc w:val="both"/>
      </w:pPr>
      <w:r>
        <w:t>2018. gada sākumā MK tika iesniegts pirmais apvienotais informatīvais ziņojums, ar kuru MK tika informēts par AFCOS Stratēģijas un pasākumu plāna izpildes progresu 2017. gadā</w:t>
      </w:r>
      <w:r w:rsidR="00D43059">
        <w:t xml:space="preserve"> – divi no pasākumiem bija izpildīti; pieci no pasākumiem tika pildīti atbilstoši plānotajam; viena pasākuma izpilde nebija uzsākta</w:t>
      </w:r>
      <w:r>
        <w:t>.</w:t>
      </w:r>
      <w:r w:rsidRPr="00EB3F70">
        <w:t xml:space="preserve"> </w:t>
      </w:r>
      <w:r w:rsidR="00D43059">
        <w:t xml:space="preserve">Ņemot vērā minēto, šajā ziņojumā netiks iekļauta detalizēta informācija par AFCOS Stratēģijas </w:t>
      </w:r>
      <w:r w:rsidR="00612336">
        <w:t xml:space="preserve">un </w:t>
      </w:r>
      <w:r w:rsidR="00D43059">
        <w:t>pasākumā plānā iekļautajiem pasākumiem, par kuru izpildi jau ir noziņots MK</w:t>
      </w:r>
      <w:r w:rsidR="001C7D2E">
        <w:t xml:space="preserve"> 2018. gadā</w:t>
      </w:r>
      <w:r w:rsidR="00D43059">
        <w:t>.</w:t>
      </w:r>
    </w:p>
    <w:p w14:paraId="10A04873" w14:textId="77777777" w:rsidR="00DC780B" w:rsidRDefault="00DC780B" w:rsidP="00153AB4">
      <w:pPr>
        <w:widowControl w:val="0"/>
        <w:autoSpaceDE w:val="0"/>
        <w:autoSpaceDN w:val="0"/>
        <w:adjustRightInd w:val="0"/>
        <w:spacing w:after="120"/>
        <w:ind w:firstLine="851"/>
        <w:contextualSpacing/>
        <w:jc w:val="center"/>
        <w:rPr>
          <w:b/>
        </w:rPr>
      </w:pPr>
    </w:p>
    <w:p w14:paraId="70082231" w14:textId="77777777" w:rsidR="002822A5" w:rsidRDefault="002822A5" w:rsidP="00153AB4">
      <w:pPr>
        <w:widowControl w:val="0"/>
        <w:autoSpaceDE w:val="0"/>
        <w:autoSpaceDN w:val="0"/>
        <w:adjustRightInd w:val="0"/>
        <w:spacing w:after="120"/>
        <w:ind w:firstLine="851"/>
        <w:contextualSpacing/>
        <w:jc w:val="center"/>
        <w:rPr>
          <w:b/>
        </w:rPr>
      </w:pPr>
    </w:p>
    <w:p w14:paraId="03149768" w14:textId="77777777" w:rsidR="002822A5" w:rsidRDefault="002822A5" w:rsidP="00153AB4">
      <w:pPr>
        <w:widowControl w:val="0"/>
        <w:autoSpaceDE w:val="0"/>
        <w:autoSpaceDN w:val="0"/>
        <w:adjustRightInd w:val="0"/>
        <w:spacing w:after="120"/>
        <w:ind w:firstLine="851"/>
        <w:contextualSpacing/>
        <w:jc w:val="center"/>
        <w:rPr>
          <w:b/>
        </w:rPr>
      </w:pPr>
    </w:p>
    <w:p w14:paraId="48012FF2" w14:textId="77777777" w:rsidR="002822A5" w:rsidRDefault="002822A5" w:rsidP="00B37C59">
      <w:pPr>
        <w:widowControl w:val="0"/>
        <w:autoSpaceDE w:val="0"/>
        <w:autoSpaceDN w:val="0"/>
        <w:adjustRightInd w:val="0"/>
        <w:spacing w:after="120"/>
        <w:ind w:firstLine="851"/>
        <w:contextualSpacing/>
        <w:jc w:val="center"/>
        <w:rPr>
          <w:b/>
        </w:rPr>
      </w:pPr>
    </w:p>
    <w:p w14:paraId="70993579" w14:textId="77777777" w:rsidR="002822A5" w:rsidRDefault="002822A5" w:rsidP="00B37C59">
      <w:pPr>
        <w:widowControl w:val="0"/>
        <w:autoSpaceDE w:val="0"/>
        <w:autoSpaceDN w:val="0"/>
        <w:adjustRightInd w:val="0"/>
        <w:spacing w:after="120"/>
        <w:ind w:firstLine="851"/>
        <w:contextualSpacing/>
        <w:jc w:val="center"/>
        <w:rPr>
          <w:b/>
        </w:rPr>
      </w:pPr>
    </w:p>
    <w:p w14:paraId="40A55CA4" w14:textId="77777777" w:rsidR="002822A5" w:rsidRDefault="002822A5" w:rsidP="00B37C59">
      <w:pPr>
        <w:widowControl w:val="0"/>
        <w:autoSpaceDE w:val="0"/>
        <w:autoSpaceDN w:val="0"/>
        <w:adjustRightInd w:val="0"/>
        <w:spacing w:after="120"/>
        <w:ind w:firstLine="851"/>
        <w:contextualSpacing/>
        <w:jc w:val="center"/>
        <w:rPr>
          <w:b/>
        </w:rPr>
      </w:pPr>
    </w:p>
    <w:p w14:paraId="22DFD8D2" w14:textId="77777777" w:rsidR="002822A5" w:rsidRDefault="002822A5" w:rsidP="00B37C59">
      <w:pPr>
        <w:widowControl w:val="0"/>
        <w:autoSpaceDE w:val="0"/>
        <w:autoSpaceDN w:val="0"/>
        <w:adjustRightInd w:val="0"/>
        <w:spacing w:after="120"/>
        <w:ind w:firstLine="851"/>
        <w:contextualSpacing/>
        <w:jc w:val="center"/>
        <w:rPr>
          <w:b/>
        </w:rPr>
      </w:pPr>
    </w:p>
    <w:p w14:paraId="008DB095" w14:textId="77777777" w:rsidR="002822A5" w:rsidRDefault="002822A5" w:rsidP="00B37C59">
      <w:pPr>
        <w:widowControl w:val="0"/>
        <w:autoSpaceDE w:val="0"/>
        <w:autoSpaceDN w:val="0"/>
        <w:adjustRightInd w:val="0"/>
        <w:spacing w:after="120"/>
        <w:ind w:firstLine="851"/>
        <w:contextualSpacing/>
        <w:jc w:val="center"/>
        <w:rPr>
          <w:b/>
        </w:rPr>
      </w:pPr>
    </w:p>
    <w:p w14:paraId="56BBF1C2" w14:textId="77777777" w:rsidR="002822A5" w:rsidRDefault="002822A5" w:rsidP="00B37C59">
      <w:pPr>
        <w:widowControl w:val="0"/>
        <w:autoSpaceDE w:val="0"/>
        <w:autoSpaceDN w:val="0"/>
        <w:adjustRightInd w:val="0"/>
        <w:spacing w:after="120"/>
        <w:ind w:firstLine="851"/>
        <w:contextualSpacing/>
        <w:jc w:val="center"/>
        <w:rPr>
          <w:b/>
        </w:rPr>
      </w:pPr>
    </w:p>
    <w:p w14:paraId="03369113" w14:textId="77777777" w:rsidR="002822A5" w:rsidRDefault="002822A5" w:rsidP="00B37C59">
      <w:pPr>
        <w:widowControl w:val="0"/>
        <w:autoSpaceDE w:val="0"/>
        <w:autoSpaceDN w:val="0"/>
        <w:adjustRightInd w:val="0"/>
        <w:spacing w:after="120"/>
        <w:ind w:firstLine="851"/>
        <w:contextualSpacing/>
        <w:jc w:val="center"/>
        <w:rPr>
          <w:b/>
        </w:rPr>
      </w:pPr>
    </w:p>
    <w:p w14:paraId="5F682C90" w14:textId="77777777" w:rsidR="002822A5" w:rsidRDefault="002822A5" w:rsidP="00B37C59">
      <w:pPr>
        <w:widowControl w:val="0"/>
        <w:autoSpaceDE w:val="0"/>
        <w:autoSpaceDN w:val="0"/>
        <w:adjustRightInd w:val="0"/>
        <w:spacing w:after="120"/>
        <w:ind w:firstLine="851"/>
        <w:contextualSpacing/>
        <w:jc w:val="center"/>
        <w:rPr>
          <w:b/>
        </w:rPr>
      </w:pPr>
    </w:p>
    <w:p w14:paraId="3A828607" w14:textId="09F6D89F" w:rsidR="002822A5" w:rsidRDefault="002822A5" w:rsidP="0095450D">
      <w:pPr>
        <w:widowControl w:val="0"/>
        <w:autoSpaceDE w:val="0"/>
        <w:autoSpaceDN w:val="0"/>
        <w:adjustRightInd w:val="0"/>
        <w:spacing w:after="120"/>
        <w:contextualSpacing/>
        <w:rPr>
          <w:b/>
        </w:rPr>
      </w:pPr>
    </w:p>
    <w:p w14:paraId="5DE112DE" w14:textId="03C7D13B" w:rsidR="002F3B1D" w:rsidRDefault="002F3B1D" w:rsidP="0095450D">
      <w:pPr>
        <w:widowControl w:val="0"/>
        <w:autoSpaceDE w:val="0"/>
        <w:autoSpaceDN w:val="0"/>
        <w:adjustRightInd w:val="0"/>
        <w:spacing w:after="120"/>
        <w:contextualSpacing/>
        <w:rPr>
          <w:b/>
        </w:rPr>
      </w:pPr>
    </w:p>
    <w:p w14:paraId="3677BB00" w14:textId="02555C5F" w:rsidR="006B3C63" w:rsidRDefault="006B3C63" w:rsidP="0095450D">
      <w:pPr>
        <w:widowControl w:val="0"/>
        <w:autoSpaceDE w:val="0"/>
        <w:autoSpaceDN w:val="0"/>
        <w:adjustRightInd w:val="0"/>
        <w:spacing w:after="120"/>
        <w:contextualSpacing/>
        <w:rPr>
          <w:b/>
        </w:rPr>
      </w:pPr>
    </w:p>
    <w:p w14:paraId="1FC56BF3" w14:textId="0E598CD2" w:rsidR="00D50CBA" w:rsidRDefault="00D50CBA" w:rsidP="0095450D">
      <w:pPr>
        <w:widowControl w:val="0"/>
        <w:autoSpaceDE w:val="0"/>
        <w:autoSpaceDN w:val="0"/>
        <w:adjustRightInd w:val="0"/>
        <w:spacing w:after="120"/>
        <w:contextualSpacing/>
        <w:rPr>
          <w:b/>
        </w:rPr>
      </w:pPr>
    </w:p>
    <w:p w14:paraId="1C7C1FAB" w14:textId="77777777" w:rsidR="0017569A" w:rsidRDefault="0017569A" w:rsidP="0095450D">
      <w:pPr>
        <w:widowControl w:val="0"/>
        <w:autoSpaceDE w:val="0"/>
        <w:autoSpaceDN w:val="0"/>
        <w:adjustRightInd w:val="0"/>
        <w:spacing w:after="120"/>
        <w:contextualSpacing/>
        <w:rPr>
          <w:b/>
        </w:rPr>
      </w:pPr>
    </w:p>
    <w:p w14:paraId="4676081E" w14:textId="77777777" w:rsidR="003F32B6" w:rsidRPr="00D86EF2" w:rsidRDefault="003F32B6" w:rsidP="00DC780B">
      <w:pPr>
        <w:widowControl w:val="0"/>
        <w:autoSpaceDE w:val="0"/>
        <w:autoSpaceDN w:val="0"/>
        <w:adjustRightInd w:val="0"/>
        <w:spacing w:after="120"/>
        <w:ind w:firstLine="851"/>
        <w:contextualSpacing/>
        <w:jc w:val="center"/>
        <w:rPr>
          <w:b/>
          <w:sz w:val="28"/>
        </w:rPr>
      </w:pPr>
      <w:r w:rsidRPr="00D86EF2">
        <w:rPr>
          <w:b/>
          <w:sz w:val="28"/>
        </w:rPr>
        <w:lastRenderedPageBreak/>
        <w:t>A.1. RĪCĪBAS VIRZIENS</w:t>
      </w:r>
      <w:r w:rsidR="00F551B7" w:rsidRPr="00D86EF2">
        <w:rPr>
          <w:b/>
          <w:sz w:val="28"/>
        </w:rPr>
        <w:t xml:space="preserve"> </w:t>
      </w:r>
      <w:r w:rsidRPr="00D86EF2">
        <w:rPr>
          <w:b/>
          <w:sz w:val="28"/>
        </w:rPr>
        <w:t>- POLITIKAS VEIDOŠANA</w:t>
      </w:r>
    </w:p>
    <w:p w14:paraId="741FCD0D" w14:textId="577D78A5" w:rsidR="00374C16" w:rsidRDefault="00374C16" w:rsidP="009133FA">
      <w:pPr>
        <w:widowControl w:val="0"/>
        <w:autoSpaceDE w:val="0"/>
        <w:autoSpaceDN w:val="0"/>
        <w:adjustRightInd w:val="0"/>
        <w:spacing w:after="120"/>
        <w:contextualSpacing/>
        <w:jc w:val="both"/>
        <w:rPr>
          <w:b/>
          <w:sz w:val="28"/>
        </w:rPr>
      </w:pPr>
    </w:p>
    <w:p w14:paraId="030A5E97" w14:textId="1D9F49FC" w:rsidR="004A0F24" w:rsidRDefault="006D6D84" w:rsidP="0051510B">
      <w:pPr>
        <w:widowControl w:val="0"/>
        <w:autoSpaceDE w:val="0"/>
        <w:autoSpaceDN w:val="0"/>
        <w:adjustRightInd w:val="0"/>
        <w:spacing w:after="120"/>
        <w:ind w:firstLine="851"/>
        <w:contextualSpacing/>
        <w:jc w:val="both"/>
        <w:rPr>
          <w:b/>
        </w:rPr>
      </w:pPr>
      <w:r w:rsidRPr="00D86EF2">
        <w:rPr>
          <w:b/>
          <w:sz w:val="28"/>
        </w:rPr>
        <w:t>A.1.1. P</w:t>
      </w:r>
      <w:r w:rsidR="00DC780B" w:rsidRPr="00D86EF2">
        <w:rPr>
          <w:b/>
          <w:sz w:val="28"/>
        </w:rPr>
        <w:t>asākums</w:t>
      </w:r>
      <w:r w:rsidRPr="00D86EF2">
        <w:rPr>
          <w:b/>
          <w:sz w:val="28"/>
        </w:rPr>
        <w:t xml:space="preserve"> </w:t>
      </w:r>
      <w:r w:rsidR="0035677F" w:rsidRPr="00D86EF2">
        <w:rPr>
          <w:b/>
          <w:sz w:val="28"/>
        </w:rPr>
        <w:t>Nr.</w:t>
      </w:r>
      <w:r w:rsidR="00A016BF" w:rsidRPr="00D86EF2">
        <w:rPr>
          <w:b/>
          <w:sz w:val="28"/>
        </w:rPr>
        <w:t>1</w:t>
      </w:r>
      <w:r w:rsidR="00AB5773">
        <w:rPr>
          <w:b/>
          <w:sz w:val="28"/>
        </w:rPr>
        <w:t>.</w:t>
      </w:r>
      <w:r w:rsidR="004A0F24">
        <w:rPr>
          <w:b/>
          <w:sz w:val="28"/>
        </w:rPr>
        <w:t xml:space="preserve"> </w:t>
      </w:r>
      <w:r w:rsidR="004A0F24" w:rsidRPr="002F3B1D">
        <w:rPr>
          <w:b/>
          <w:sz w:val="28"/>
        </w:rPr>
        <w:t xml:space="preserve">Krāpšanas </w:t>
      </w:r>
      <w:r w:rsidR="002F3B1D" w:rsidRPr="002F3B1D">
        <w:rPr>
          <w:b/>
          <w:sz w:val="28"/>
        </w:rPr>
        <w:t>definīcija</w:t>
      </w:r>
      <w:r w:rsidR="004A0F24" w:rsidRPr="002F3B1D">
        <w:rPr>
          <w:b/>
          <w:sz w:val="28"/>
        </w:rPr>
        <w:t xml:space="preserve"> Krimināllikumā</w:t>
      </w:r>
    </w:p>
    <w:p w14:paraId="6491824A" w14:textId="1A9516BE" w:rsidR="00A55F54" w:rsidRPr="009133FA" w:rsidRDefault="00153AB4" w:rsidP="009133FA">
      <w:pPr>
        <w:widowControl w:val="0"/>
        <w:autoSpaceDE w:val="0"/>
        <w:autoSpaceDN w:val="0"/>
        <w:adjustRightInd w:val="0"/>
        <w:spacing w:after="120"/>
        <w:ind w:firstLine="851"/>
        <w:contextualSpacing/>
        <w:jc w:val="both"/>
        <w:rPr>
          <w:i/>
          <w:sz w:val="22"/>
        </w:rPr>
      </w:pPr>
      <w:r w:rsidRPr="0017569A">
        <w:rPr>
          <w:i/>
          <w:sz w:val="22"/>
        </w:rPr>
        <w:t>TM</w:t>
      </w:r>
      <w:r w:rsidR="00612AA9" w:rsidRPr="0017569A">
        <w:rPr>
          <w:i/>
          <w:sz w:val="22"/>
        </w:rPr>
        <w:t xml:space="preserve"> </w:t>
      </w:r>
      <w:r w:rsidR="00FB39CB" w:rsidRPr="0017569A">
        <w:rPr>
          <w:i/>
          <w:sz w:val="22"/>
        </w:rPr>
        <w:t xml:space="preserve">pastāvīgā Krimināllikuma darba grupā izvērtēt Krimināllikumā ietverto noziedzīgo nodarījumu atbilstību 1995.gada 26.jūlija Konvencijas par Eiropas Kopienu </w:t>
      </w:r>
      <w:r w:rsidR="002822A5" w:rsidRPr="0017569A">
        <w:rPr>
          <w:i/>
          <w:sz w:val="22"/>
        </w:rPr>
        <w:t>finansiālo interešu aizsardzību</w:t>
      </w:r>
      <w:r w:rsidR="00FB39CB" w:rsidRPr="0017569A">
        <w:rPr>
          <w:i/>
          <w:sz w:val="22"/>
        </w:rPr>
        <w:t xml:space="preserve"> ietvertajai krāpšanas definīcijai, veidojot vienotu izpratni par noziedzīgajiem nodarījumiem, kas ietekmē Ei</w:t>
      </w:r>
      <w:r w:rsidR="00B77F22" w:rsidRPr="0017569A">
        <w:rPr>
          <w:i/>
          <w:sz w:val="22"/>
        </w:rPr>
        <w:t>ropas Kopienu finanšu intereses.</w:t>
      </w:r>
    </w:p>
    <w:p w14:paraId="644BCF01" w14:textId="052DBD33" w:rsidR="00474F26" w:rsidRPr="00E54E87" w:rsidRDefault="00DC780B" w:rsidP="0017569A">
      <w:pPr>
        <w:widowControl w:val="0"/>
        <w:autoSpaceDE w:val="0"/>
        <w:autoSpaceDN w:val="0"/>
        <w:adjustRightInd w:val="0"/>
        <w:spacing w:after="120"/>
        <w:contextualSpacing/>
        <w:jc w:val="both"/>
        <w:rPr>
          <w:bCs/>
        </w:rPr>
      </w:pPr>
      <w:r>
        <w:rPr>
          <w:b/>
          <w:bCs/>
        </w:rPr>
        <w:t>Izpildes statuss</w:t>
      </w:r>
      <w:r w:rsidR="006A2B25" w:rsidRPr="00E54E87">
        <w:rPr>
          <w:b/>
          <w:bCs/>
        </w:rPr>
        <w:t xml:space="preserve">: </w:t>
      </w:r>
      <w:r w:rsidR="006D6D84" w:rsidRPr="00E54E87">
        <w:rPr>
          <w:b/>
          <w:bCs/>
        </w:rPr>
        <w:t>Pasākums Nr. 1</w:t>
      </w:r>
      <w:r w:rsidR="007D7FEC" w:rsidRPr="00E54E87">
        <w:rPr>
          <w:b/>
          <w:bCs/>
        </w:rPr>
        <w:t xml:space="preserve"> </w:t>
      </w:r>
      <w:r w:rsidR="0051510B">
        <w:rPr>
          <w:b/>
          <w:bCs/>
        </w:rPr>
        <w:t>–</w:t>
      </w:r>
      <w:r w:rsidR="006D6D84" w:rsidRPr="00E54E87">
        <w:rPr>
          <w:b/>
          <w:bCs/>
        </w:rPr>
        <w:t xml:space="preserve"> izpildīts</w:t>
      </w:r>
      <w:r w:rsidR="0051510B">
        <w:rPr>
          <w:b/>
          <w:bCs/>
        </w:rPr>
        <w:t xml:space="preserve">, noziņots MK 2018. gadā. </w:t>
      </w:r>
    </w:p>
    <w:p w14:paraId="0222E0CA" w14:textId="76703AAE" w:rsidR="0017569A" w:rsidRDefault="0017569A" w:rsidP="002822A5">
      <w:pPr>
        <w:widowControl w:val="0"/>
        <w:autoSpaceDE w:val="0"/>
        <w:autoSpaceDN w:val="0"/>
        <w:adjustRightInd w:val="0"/>
        <w:spacing w:after="120"/>
        <w:contextualSpacing/>
        <w:jc w:val="both"/>
        <w:rPr>
          <w:b/>
        </w:rPr>
      </w:pPr>
    </w:p>
    <w:p w14:paraId="79A9F4F8" w14:textId="77777777" w:rsidR="004A0F24" w:rsidRDefault="00474F26" w:rsidP="002F3089">
      <w:pPr>
        <w:widowControl w:val="0"/>
        <w:autoSpaceDE w:val="0"/>
        <w:autoSpaceDN w:val="0"/>
        <w:adjustRightInd w:val="0"/>
        <w:spacing w:after="120"/>
        <w:ind w:firstLine="851"/>
        <w:contextualSpacing/>
        <w:jc w:val="both"/>
        <w:rPr>
          <w:b/>
          <w:sz w:val="28"/>
        </w:rPr>
      </w:pPr>
      <w:r w:rsidRPr="00D86EF2">
        <w:rPr>
          <w:b/>
          <w:sz w:val="28"/>
        </w:rPr>
        <w:t xml:space="preserve">A.1.2. </w:t>
      </w:r>
      <w:r w:rsidR="00DC780B" w:rsidRPr="00D86EF2">
        <w:rPr>
          <w:b/>
          <w:sz w:val="28"/>
        </w:rPr>
        <w:t>Pasākums</w:t>
      </w:r>
      <w:r w:rsidRPr="00D86EF2">
        <w:rPr>
          <w:b/>
          <w:sz w:val="28"/>
        </w:rPr>
        <w:t xml:space="preserve"> </w:t>
      </w:r>
      <w:r w:rsidR="0035677F" w:rsidRPr="00D86EF2">
        <w:rPr>
          <w:b/>
          <w:sz w:val="28"/>
        </w:rPr>
        <w:t>Nr.2</w:t>
      </w:r>
      <w:r w:rsidR="004A0F24">
        <w:rPr>
          <w:b/>
          <w:sz w:val="28"/>
        </w:rPr>
        <w:t>. Latvijas pārstāvība ES institūcijās</w:t>
      </w:r>
    </w:p>
    <w:p w14:paraId="0827BDAA" w14:textId="0C410D89" w:rsidR="00FF1FE6" w:rsidRPr="0017569A" w:rsidRDefault="00474F26" w:rsidP="002F3089">
      <w:pPr>
        <w:widowControl w:val="0"/>
        <w:autoSpaceDE w:val="0"/>
        <w:autoSpaceDN w:val="0"/>
        <w:adjustRightInd w:val="0"/>
        <w:spacing w:after="120"/>
        <w:ind w:firstLine="851"/>
        <w:contextualSpacing/>
        <w:jc w:val="both"/>
        <w:rPr>
          <w:bCs/>
          <w:i/>
          <w:sz w:val="22"/>
        </w:rPr>
      </w:pPr>
      <w:r w:rsidRPr="0017569A">
        <w:rPr>
          <w:i/>
          <w:sz w:val="22"/>
        </w:rPr>
        <w:t xml:space="preserve">AFCOS pārstāvība un dalība </w:t>
      </w:r>
      <w:r w:rsidR="00E47E28" w:rsidRPr="0017569A">
        <w:rPr>
          <w:i/>
          <w:sz w:val="22"/>
        </w:rPr>
        <w:t>OAFCN</w:t>
      </w:r>
      <w:r w:rsidR="00DD38B5" w:rsidRPr="0017569A">
        <w:rPr>
          <w:i/>
          <w:sz w:val="22"/>
        </w:rPr>
        <w:t xml:space="preserve"> </w:t>
      </w:r>
      <w:r w:rsidRPr="0017569A">
        <w:rPr>
          <w:i/>
          <w:sz w:val="22"/>
        </w:rPr>
        <w:t>un citās OLAF sanāksmēs, nodrošinot nacionālo līdzdalību un pārstāvību attiecīga līmeņa sanāksmēs.</w:t>
      </w:r>
    </w:p>
    <w:p w14:paraId="77A3E810" w14:textId="77777777" w:rsidR="009D1253" w:rsidRPr="0017569A" w:rsidRDefault="00474F26" w:rsidP="002F3089">
      <w:pPr>
        <w:widowControl w:val="0"/>
        <w:autoSpaceDE w:val="0"/>
        <w:autoSpaceDN w:val="0"/>
        <w:adjustRightInd w:val="0"/>
        <w:spacing w:after="120"/>
        <w:ind w:firstLine="851"/>
        <w:contextualSpacing/>
        <w:jc w:val="both"/>
        <w:rPr>
          <w:sz w:val="22"/>
        </w:rPr>
      </w:pPr>
      <w:r w:rsidRPr="0017569A">
        <w:rPr>
          <w:sz w:val="22"/>
        </w:rPr>
        <w:t>Par pasākuma izpildi atbildīgā institūcija –</w:t>
      </w:r>
      <w:r w:rsidR="00BC4F69" w:rsidRPr="0017569A">
        <w:rPr>
          <w:sz w:val="22"/>
        </w:rPr>
        <w:t xml:space="preserve"> </w:t>
      </w:r>
      <w:r w:rsidRPr="0017569A">
        <w:rPr>
          <w:sz w:val="22"/>
        </w:rPr>
        <w:t>AFCOS</w:t>
      </w:r>
      <w:r w:rsidR="009D1253" w:rsidRPr="0017569A">
        <w:rPr>
          <w:sz w:val="22"/>
        </w:rPr>
        <w:t>.</w:t>
      </w:r>
    </w:p>
    <w:p w14:paraId="06C1ADEC" w14:textId="4ECDBA42" w:rsidR="00AB5773" w:rsidRPr="00FF52F0" w:rsidRDefault="00DD38B5" w:rsidP="00FF52F0">
      <w:pPr>
        <w:widowControl w:val="0"/>
        <w:autoSpaceDE w:val="0"/>
        <w:autoSpaceDN w:val="0"/>
        <w:adjustRightInd w:val="0"/>
        <w:spacing w:after="120"/>
        <w:ind w:firstLine="851"/>
        <w:contextualSpacing/>
        <w:jc w:val="both"/>
        <w:rPr>
          <w:sz w:val="22"/>
        </w:rPr>
      </w:pPr>
      <w:r w:rsidRPr="0017569A">
        <w:rPr>
          <w:sz w:val="22"/>
        </w:rPr>
        <w:t xml:space="preserve">Izpildes termiņš - </w:t>
      </w:r>
      <w:r w:rsidR="009D1253" w:rsidRPr="0017569A">
        <w:rPr>
          <w:sz w:val="22"/>
        </w:rPr>
        <w:t>pastāvīgi.</w:t>
      </w:r>
      <w:r w:rsidR="00AD3E15" w:rsidRPr="0017569A">
        <w:rPr>
          <w:sz w:val="22"/>
        </w:rPr>
        <w:t xml:space="preserve"> </w:t>
      </w:r>
    </w:p>
    <w:p w14:paraId="42DC7FF6" w14:textId="77777777" w:rsidR="006A2B25" w:rsidRPr="008C3165" w:rsidRDefault="0034207D" w:rsidP="002F3089">
      <w:pPr>
        <w:widowControl w:val="0"/>
        <w:autoSpaceDE w:val="0"/>
        <w:autoSpaceDN w:val="0"/>
        <w:adjustRightInd w:val="0"/>
        <w:spacing w:after="120"/>
        <w:ind w:firstLine="720"/>
        <w:contextualSpacing/>
        <w:jc w:val="both"/>
      </w:pPr>
      <w:r w:rsidRPr="008C3165">
        <w:t xml:space="preserve">FM </w:t>
      </w:r>
      <w:r w:rsidR="00474F26" w:rsidRPr="008C3165">
        <w:t>AFCOS, sadarbojoties ar naci</w:t>
      </w:r>
      <w:r w:rsidR="003504BD" w:rsidRPr="008C3165">
        <w:t>onālajām institūcijām, nodrošina</w:t>
      </w:r>
      <w:r w:rsidR="00474F26" w:rsidRPr="008C3165">
        <w:t xml:space="preserve"> pārstāvību OLAF</w:t>
      </w:r>
      <w:r w:rsidR="002822A5" w:rsidRPr="008C3165">
        <w:t>/</w:t>
      </w:r>
      <w:r w:rsidR="00E47E28">
        <w:rPr>
          <w:highlight w:val="yellow"/>
        </w:rPr>
        <w:t xml:space="preserve"> </w:t>
      </w:r>
      <w:r w:rsidR="00E47E28" w:rsidRPr="00382658">
        <w:t>EK</w:t>
      </w:r>
      <w:r w:rsidR="00F551B7" w:rsidRPr="00382658">
        <w:t xml:space="preserve"> </w:t>
      </w:r>
      <w:r w:rsidR="00474F26" w:rsidRPr="00382658">
        <w:t>rī</w:t>
      </w:r>
      <w:r w:rsidR="00474F26" w:rsidRPr="008C3165">
        <w:t xml:space="preserve">kotajās sanāksmēs. Saņemot uzaicinājumu piedalīties sanāksmē, </w:t>
      </w:r>
      <w:r w:rsidRPr="008C3165">
        <w:t xml:space="preserve">FM AFCOS </w:t>
      </w:r>
      <w:r w:rsidR="00474F26" w:rsidRPr="008C3165">
        <w:t xml:space="preserve">izvērtē sanāksmes būtību un apspriežamos jautājumus un pēc nepieciešamības aicina nacionālās institūcijas deleģēt </w:t>
      </w:r>
      <w:r w:rsidR="006A2B25" w:rsidRPr="008C3165">
        <w:t>atbilstošus ekspertus</w:t>
      </w:r>
      <w:r w:rsidR="00474F26" w:rsidRPr="008C3165">
        <w:t xml:space="preserve"> dalīb</w:t>
      </w:r>
      <w:r w:rsidR="00522C63" w:rsidRPr="008C3165">
        <w:t>ai.</w:t>
      </w:r>
    </w:p>
    <w:p w14:paraId="2025DB08" w14:textId="342A37C5" w:rsidR="008C3165" w:rsidRDefault="0012454B" w:rsidP="001D26DE">
      <w:pPr>
        <w:widowControl w:val="0"/>
        <w:autoSpaceDE w:val="0"/>
        <w:autoSpaceDN w:val="0"/>
        <w:adjustRightInd w:val="0"/>
        <w:spacing w:after="120"/>
        <w:ind w:firstLine="720"/>
        <w:contextualSpacing/>
        <w:jc w:val="both"/>
      </w:pPr>
      <w:r w:rsidRPr="008C3165">
        <w:t xml:space="preserve">Uz katru </w:t>
      </w:r>
      <w:r w:rsidR="00993F79" w:rsidRPr="008C3165">
        <w:t xml:space="preserve">AFCOS padomes </w:t>
      </w:r>
      <w:r w:rsidRPr="008C3165">
        <w:t>sēdi</w:t>
      </w:r>
      <w:r w:rsidR="00993F79" w:rsidRPr="008C3165">
        <w:t xml:space="preserve"> sekretariāts sagatavo </w:t>
      </w:r>
      <w:r w:rsidRPr="008C3165">
        <w:t>apkopojumu</w:t>
      </w:r>
      <w:r w:rsidR="00993F79" w:rsidRPr="008C3165">
        <w:t xml:space="preserve"> par apmeklētajām sanāksmēm un darba grup</w:t>
      </w:r>
      <w:r w:rsidR="00FE4B4E" w:rsidRPr="008C3165">
        <w:t>ām</w:t>
      </w:r>
      <w:r w:rsidR="000618EB" w:rsidRPr="008C3165">
        <w:t>, tajās pārrunātajiem jautājumiem, pieņemtajiem lēmumiem</w:t>
      </w:r>
      <w:r w:rsidR="00FE4B4E" w:rsidRPr="008C3165">
        <w:t xml:space="preserve"> </w:t>
      </w:r>
      <w:r w:rsidR="00993F79" w:rsidRPr="008C3165">
        <w:t xml:space="preserve">un </w:t>
      </w:r>
      <w:r w:rsidR="00DD38B5" w:rsidRPr="008C3165">
        <w:t>par to sniedz atskaiti</w:t>
      </w:r>
      <w:r w:rsidR="006A302A" w:rsidRPr="008C3165">
        <w:t xml:space="preserve"> AFCOS p</w:t>
      </w:r>
      <w:r w:rsidR="00993F79" w:rsidRPr="008C3165">
        <w:t>adomei</w:t>
      </w:r>
      <w:r w:rsidRPr="008C3165">
        <w:rPr>
          <w:rStyle w:val="FootnoteReference"/>
        </w:rPr>
        <w:footnoteReference w:id="3"/>
      </w:r>
      <w:r w:rsidR="002F3B1D">
        <w:t xml:space="preserve"> (s</w:t>
      </w:r>
      <w:r w:rsidR="00374C16">
        <w:t xml:space="preserve">katīt </w:t>
      </w:r>
      <w:r w:rsidR="004A0F24">
        <w:t>1. pi</w:t>
      </w:r>
      <w:r w:rsidR="002A10F9">
        <w:t>elikumu</w:t>
      </w:r>
      <w:r w:rsidR="002F3B1D">
        <w:t>)</w:t>
      </w:r>
      <w:r w:rsidR="00374C16">
        <w:t>.</w:t>
      </w:r>
    </w:p>
    <w:p w14:paraId="1AF1CD64" w14:textId="77777777" w:rsidR="00253681" w:rsidRDefault="00253681" w:rsidP="002F3B1D">
      <w:pPr>
        <w:jc w:val="both"/>
      </w:pPr>
      <w:r>
        <w:tab/>
      </w:r>
      <w:r w:rsidR="00382658">
        <w:t xml:space="preserve">GAF </w:t>
      </w:r>
      <w:r>
        <w:t xml:space="preserve">sanāksmēs 2018. gada aktuālākie jautājumi bija </w:t>
      </w:r>
      <w:r w:rsidR="00F551B7" w:rsidRPr="008C3165">
        <w:t>Regulas 883/2013</w:t>
      </w:r>
      <w:r w:rsidR="00F551B7" w:rsidRPr="008C3165">
        <w:rPr>
          <w:rStyle w:val="FootnoteReference"/>
        </w:rPr>
        <w:footnoteReference w:id="4"/>
      </w:r>
      <w:r w:rsidR="005A4042" w:rsidRPr="008C3165">
        <w:t xml:space="preserve"> grozījumu projekts</w:t>
      </w:r>
      <w:r w:rsidR="00F551B7" w:rsidRPr="008C3165">
        <w:t xml:space="preserve">, </w:t>
      </w:r>
      <w:r w:rsidR="00DA684D" w:rsidRPr="008C3165">
        <w:t>2021.</w:t>
      </w:r>
      <w:r w:rsidR="00D67163" w:rsidRPr="008C3165">
        <w:t xml:space="preserve"> </w:t>
      </w:r>
      <w:r w:rsidR="00DA684D" w:rsidRPr="008C3165">
        <w:t>-</w:t>
      </w:r>
      <w:r w:rsidR="00D67163" w:rsidRPr="008C3165">
        <w:t xml:space="preserve"> </w:t>
      </w:r>
      <w:r w:rsidR="00DA684D" w:rsidRPr="008C3165">
        <w:t xml:space="preserve">2027. plānošanas periodam izstrādāto </w:t>
      </w:r>
      <w:r w:rsidR="005A4042" w:rsidRPr="008C3165">
        <w:t>regulu projekti</w:t>
      </w:r>
      <w:r w:rsidR="00F551B7" w:rsidRPr="008C3165">
        <w:t xml:space="preserve"> (piemēram, PERICLES programma</w:t>
      </w:r>
      <w:r w:rsidR="00DA684D" w:rsidRPr="008C3165">
        <w:rPr>
          <w:rStyle w:val="FootnoteReference"/>
        </w:rPr>
        <w:footnoteReference w:id="5"/>
      </w:r>
      <w:r w:rsidR="00F551B7" w:rsidRPr="008C3165">
        <w:t xml:space="preserve">, Vienotās </w:t>
      </w:r>
      <w:proofErr w:type="spellStart"/>
      <w:r w:rsidR="00F551B7" w:rsidRPr="008C3165">
        <w:t>pretkrāpšan</w:t>
      </w:r>
      <w:r w:rsidR="00D67163" w:rsidRPr="008C3165">
        <w:t>as</w:t>
      </w:r>
      <w:proofErr w:type="spellEnd"/>
      <w:r w:rsidR="00D67163" w:rsidRPr="008C3165">
        <w:t xml:space="preserve"> programma</w:t>
      </w:r>
      <w:r w:rsidR="00DA684D" w:rsidRPr="008C3165">
        <w:rPr>
          <w:rStyle w:val="FootnoteReference"/>
        </w:rPr>
        <w:footnoteReference w:id="6"/>
      </w:r>
      <w:r w:rsidR="00DA684D" w:rsidRPr="008C3165">
        <w:t>)</w:t>
      </w:r>
      <w:r>
        <w:t>, kā arī citas aktualitātes.</w:t>
      </w:r>
    </w:p>
    <w:p w14:paraId="49612CED" w14:textId="540F39A3" w:rsidR="0022058D" w:rsidRPr="008C3165" w:rsidRDefault="00253681" w:rsidP="00967A12">
      <w:pPr>
        <w:widowControl w:val="0"/>
        <w:autoSpaceDE w:val="0"/>
        <w:autoSpaceDN w:val="0"/>
        <w:adjustRightInd w:val="0"/>
        <w:spacing w:after="120"/>
        <w:ind w:firstLine="720"/>
        <w:contextualSpacing/>
        <w:jc w:val="both"/>
      </w:pPr>
      <w:r w:rsidRPr="00253681">
        <w:t xml:space="preserve">Jāpiebilst, ka Regulas 883/2013 grozījumu projekts ietekmēs turpmāko dalībvalsts sadarbības ietvaru ar OLAF. Tā kā šobrīd nacionālā līmenī ir konstatētas problēmas Regulas 883/2013 piemērošanā (skatīt A.1.3. </w:t>
      </w:r>
      <w:r w:rsidR="00AB5773">
        <w:t>sadaļu</w:t>
      </w:r>
      <w:r w:rsidRPr="00253681">
        <w:t>), būtiski ir sekot līdzi grozījumu izstrādes progresam, sniedzot viedokli par dalībvalstij svarīgiem jautājumiem.</w:t>
      </w:r>
      <w:r>
        <w:t xml:space="preserve"> Regulas 883/2013 projekts un tā precizējumi regulāri tiek izsūtīti AFCOS </w:t>
      </w:r>
      <w:r w:rsidR="00C31955">
        <w:t xml:space="preserve">padomes </w:t>
      </w:r>
      <w:r>
        <w:t>darbā iesaistītajām i</w:t>
      </w:r>
      <w:r w:rsidR="004B57FA">
        <w:t xml:space="preserve">nstitūcijām komentāru sniegšanai, lai tos varētu izmantot diskusiju laikā </w:t>
      </w:r>
      <w:r w:rsidR="00C31955">
        <w:t xml:space="preserve">GAF </w:t>
      </w:r>
      <w:r w:rsidR="004B57FA">
        <w:t xml:space="preserve">sanāksmēs. Latvija atbalstīja Austrijas prezidentūras laikā izstrādāto Regulas 883/2013 grozījumu projektu, taču notika diskusijas saistībā ar citu dalībvalstu pretenzijām atsevišķos jautājumos, piemēram, </w:t>
      </w:r>
      <w:r w:rsidR="004B57FA" w:rsidRPr="002F3B1D">
        <w:rPr>
          <w:b/>
        </w:rPr>
        <w:t>PVN iekļaušanu OLAF mandātā, OLAF tiesībām iegūt bankas kontu informāciju u.c.</w:t>
      </w:r>
      <w:r w:rsidR="004B57FA">
        <w:t xml:space="preserve"> </w:t>
      </w:r>
    </w:p>
    <w:p w14:paraId="30055165" w14:textId="2CE32619" w:rsidR="00253681" w:rsidRDefault="005A1465" w:rsidP="00253681">
      <w:pPr>
        <w:widowControl w:val="0"/>
        <w:autoSpaceDE w:val="0"/>
        <w:autoSpaceDN w:val="0"/>
        <w:adjustRightInd w:val="0"/>
        <w:spacing w:after="120"/>
        <w:ind w:firstLine="720"/>
        <w:contextualSpacing/>
        <w:jc w:val="both"/>
      </w:pPr>
      <w:r>
        <w:t>OAFCN sanāksmēs ti</w:t>
      </w:r>
      <w:r w:rsidR="0022058D">
        <w:t>k</w:t>
      </w:r>
      <w:r>
        <w:t>a</w:t>
      </w:r>
      <w:r w:rsidR="0022058D">
        <w:t xml:space="preserve"> pārrunātas aktualitātes komunikācijas jautājumos. Ņemot vērā</w:t>
      </w:r>
      <w:r w:rsidR="00967A12">
        <w:t xml:space="preserve"> sociāli informatīvās kampaņas #Atkrāpies</w:t>
      </w:r>
      <w:r w:rsidR="00AB1BB8">
        <w:t>!</w:t>
      </w:r>
      <w:r w:rsidR="00967A12">
        <w:t xml:space="preserve"> panākumus</w:t>
      </w:r>
      <w:r w:rsidR="0022058D">
        <w:t xml:space="preserve"> </w:t>
      </w:r>
      <w:r w:rsidR="00967A12">
        <w:t>(skatīt A.3.1.</w:t>
      </w:r>
      <w:r w:rsidR="00AB5773">
        <w:t xml:space="preserve"> sadaļu</w:t>
      </w:r>
      <w:r w:rsidR="00967A12">
        <w:t xml:space="preserve">) gan nacionālā, gan starptautiskā līmenī, </w:t>
      </w:r>
      <w:r w:rsidR="00AB1BB8">
        <w:t xml:space="preserve">OAFCN </w:t>
      </w:r>
      <w:r w:rsidR="00C31955">
        <w:t xml:space="preserve">gan pirmā, gan </w:t>
      </w:r>
      <w:r w:rsidR="00967A12">
        <w:t>otrā semestra sa</w:t>
      </w:r>
      <w:r w:rsidR="002C0B0F">
        <w:t>nāksmē tika sniegta prezentācija</w:t>
      </w:r>
      <w:r w:rsidR="00967A12">
        <w:t xml:space="preserve"> par paveikto kampaņas laikā, kā arī plānotajām darbībām.</w:t>
      </w:r>
    </w:p>
    <w:p w14:paraId="57106C9A" w14:textId="6A4DBF49" w:rsidR="00967A12" w:rsidRDefault="00967A12" w:rsidP="00253681">
      <w:pPr>
        <w:widowControl w:val="0"/>
        <w:autoSpaceDE w:val="0"/>
        <w:autoSpaceDN w:val="0"/>
        <w:adjustRightInd w:val="0"/>
        <w:spacing w:after="120"/>
        <w:ind w:firstLine="720"/>
        <w:contextualSpacing/>
        <w:jc w:val="both"/>
      </w:pPr>
      <w:r w:rsidRPr="00CC5884">
        <w:t xml:space="preserve">COCOLAF </w:t>
      </w:r>
      <w:r>
        <w:t xml:space="preserve">darba grupās tiek pārrunātas aktualitātes ES finanšu interešu aizsardzības jomās, </w:t>
      </w:r>
      <w:r w:rsidR="002C5439">
        <w:t xml:space="preserve">piemēram, OLAF ģenerāldirektora nomaiņa, aktualitātes saistībā ar neatbilstību ziņošanu IMS, statistiskā informācija saistībā </w:t>
      </w:r>
      <w:r w:rsidR="00AB5773">
        <w:t xml:space="preserve">ar </w:t>
      </w:r>
      <w:r w:rsidR="002C5439">
        <w:t>neatbilstību un krāpšanas gadījumu veidiem, kā arī regulāri dalībvalstis</w:t>
      </w:r>
      <w:r w:rsidR="00C31955" w:rsidRPr="00C31955">
        <w:t xml:space="preserve"> </w:t>
      </w:r>
      <w:r w:rsidR="00C31955">
        <w:t>tiek aicinātas</w:t>
      </w:r>
      <w:r w:rsidR="002C5439">
        <w:t xml:space="preserve"> dalīties ar saviem labās prakses piemēriem ES finanšu </w:t>
      </w:r>
      <w:r w:rsidR="002C5439">
        <w:lastRenderedPageBreak/>
        <w:t>interešu aizsardzības jomā. 2018. gadā tikām aicināti noprezentēt sociāli informatīvo kampaņu #Atkrāpies</w:t>
      </w:r>
      <w:r w:rsidR="00CB1E35">
        <w:t>!</w:t>
      </w:r>
      <w:r w:rsidR="002C5439">
        <w:t xml:space="preserve"> kā labās prakses piemēru </w:t>
      </w:r>
      <w:proofErr w:type="spellStart"/>
      <w:r w:rsidR="005A1465">
        <w:t>prevencijas</w:t>
      </w:r>
      <w:proofErr w:type="spellEnd"/>
      <w:r w:rsidR="005A1465">
        <w:t xml:space="preserve"> jomā </w:t>
      </w:r>
      <w:r w:rsidR="002C5439">
        <w:t>(skatīt komentāru pie sadaļas A.3.1.).</w:t>
      </w:r>
    </w:p>
    <w:p w14:paraId="2C2332C7" w14:textId="67E8AA2D" w:rsidR="0022058D" w:rsidRDefault="002C5439" w:rsidP="00253681">
      <w:pPr>
        <w:widowControl w:val="0"/>
        <w:autoSpaceDE w:val="0"/>
        <w:autoSpaceDN w:val="0"/>
        <w:adjustRightInd w:val="0"/>
        <w:spacing w:after="120"/>
        <w:ind w:firstLine="720"/>
        <w:contextualSpacing/>
        <w:jc w:val="both"/>
      </w:pPr>
      <w:r>
        <w:t>Vienu reizi gadā tiek rīkota AFCOS grupas sanāksme, kurā piedalās dalībvalstu AFCOS un OLAF pārstāvji. Sanāksmes laikā AFCOS tiek informēti par aktualitātēm, kā arī aicināti izteikt savu viedokli. Tā, piemēram, 2018. gada sanāksmē AFCOS pārstāvji tika iepazīstināti</w:t>
      </w:r>
      <w:r w:rsidR="002C0B0F">
        <w:t xml:space="preserve"> ar OLAF jauno ģenerāldirektor</w:t>
      </w:r>
      <w:r>
        <w:t xml:space="preserve">u, papildus tam tika diskutēts par horizontālo sadarbību dalībvalstu AFCOS starpā, problemātiku OLAF veikto pārbaužu uz vietas laikā, OLAF gala ziņojumu konfidencialitāti un citiem jautājumiem. </w:t>
      </w:r>
    </w:p>
    <w:p w14:paraId="5D5FC62C" w14:textId="77777777" w:rsidR="002C5439" w:rsidRDefault="002C5439" w:rsidP="00910C7E">
      <w:pPr>
        <w:widowControl w:val="0"/>
        <w:autoSpaceDE w:val="0"/>
        <w:autoSpaceDN w:val="0"/>
        <w:adjustRightInd w:val="0"/>
        <w:spacing w:after="120"/>
        <w:ind w:firstLine="720"/>
        <w:contextualSpacing/>
        <w:jc w:val="both"/>
      </w:pPr>
      <w:r>
        <w:t xml:space="preserve">Jāmin, ka 2018. gadā tika rīkots seminārs par vienotās </w:t>
      </w:r>
      <w:proofErr w:type="spellStart"/>
      <w:r>
        <w:t>pretkrāpšanas</w:t>
      </w:r>
      <w:proofErr w:type="spellEnd"/>
      <w:r>
        <w:t xml:space="preserve"> programmas izveidi. Minētajā seminārā piedalījās AFCOS pārstāvis, kas balstoties uz personīgo pieredzi HERCULE projekta</w:t>
      </w:r>
      <w:r>
        <w:rPr>
          <w:rStyle w:val="FootnoteReference"/>
        </w:rPr>
        <w:footnoteReference w:id="7"/>
      </w:r>
      <w:r>
        <w:t xml:space="preserve"> realizēšanā, sniedz</w:t>
      </w:r>
      <w:r w:rsidR="005A1465">
        <w:t>a</w:t>
      </w:r>
      <w:r>
        <w:t xml:space="preserve"> ieteikumus vienotās </w:t>
      </w:r>
      <w:proofErr w:type="spellStart"/>
      <w:r>
        <w:t>pretkrāpšanas</w:t>
      </w:r>
      <w:proofErr w:type="spellEnd"/>
      <w:r>
        <w:t xml:space="preserve"> programmas izveidei</w:t>
      </w:r>
      <w:r w:rsidR="00910C7E">
        <w:t>.</w:t>
      </w:r>
      <w:r>
        <w:t xml:space="preserve"> 2021. - 2027.</w:t>
      </w:r>
      <w:r w:rsidR="00910C7E" w:rsidRPr="00910C7E">
        <w:t xml:space="preserve"> </w:t>
      </w:r>
      <w:r w:rsidR="00910C7E">
        <w:t xml:space="preserve">plānošanas periodā regula, ar kuru tiks izveidota vienotā </w:t>
      </w:r>
      <w:proofErr w:type="spellStart"/>
      <w:r w:rsidR="00910C7E">
        <w:t>pretkrāpšanas</w:t>
      </w:r>
      <w:proofErr w:type="spellEnd"/>
      <w:r w:rsidR="00910C7E">
        <w:t xml:space="preserve"> programma aptvers līdzfinansējuma piešķiršanu gan HERCULE, gan AFIS </w:t>
      </w:r>
      <w:r w:rsidR="005A1465">
        <w:t>aktivitātēm</w:t>
      </w:r>
      <w:r w:rsidR="00910C7E">
        <w:t>.</w:t>
      </w:r>
    </w:p>
    <w:p w14:paraId="13F2ACDC" w14:textId="318EC925" w:rsidR="00662F9C" w:rsidRPr="008C3165" w:rsidRDefault="00D67163" w:rsidP="009133FA">
      <w:pPr>
        <w:widowControl w:val="0"/>
        <w:autoSpaceDE w:val="0"/>
        <w:autoSpaceDN w:val="0"/>
        <w:adjustRightInd w:val="0"/>
        <w:spacing w:after="120"/>
        <w:ind w:firstLine="720"/>
        <w:contextualSpacing/>
        <w:jc w:val="both"/>
      </w:pPr>
      <w:r w:rsidRPr="008C3165">
        <w:t xml:space="preserve">Lai nodrošinātu darba grupu un sanāksmju laikā </w:t>
      </w:r>
      <w:r w:rsidR="005A4042" w:rsidRPr="008C3165">
        <w:t>pārrunātās informācijas apriti, komandējumu pārskati, kā arī izskatāmie dokumenti tika izsūtīti visām AFCOS padomes darbā iesaistītajām institūcijām izmantošanai savu pienākumu veikšanā.</w:t>
      </w:r>
    </w:p>
    <w:p w14:paraId="6B81CA40" w14:textId="7D5EEE70" w:rsidR="009133FA" w:rsidRPr="003A638C" w:rsidRDefault="00DC780B" w:rsidP="00C31955">
      <w:pPr>
        <w:widowControl w:val="0"/>
        <w:autoSpaceDE w:val="0"/>
        <w:autoSpaceDN w:val="0"/>
        <w:adjustRightInd w:val="0"/>
        <w:spacing w:after="120"/>
        <w:jc w:val="both"/>
      </w:pPr>
      <w:r>
        <w:rPr>
          <w:b/>
          <w:bCs/>
        </w:rPr>
        <w:t>Izpildes statuss</w:t>
      </w:r>
      <w:r w:rsidR="006A2B25" w:rsidRPr="00E54E87">
        <w:rPr>
          <w:b/>
          <w:bCs/>
        </w:rPr>
        <w:t xml:space="preserve">: </w:t>
      </w:r>
      <w:r w:rsidR="00BC4F69" w:rsidRPr="00E54E87">
        <w:rPr>
          <w:b/>
          <w:bCs/>
        </w:rPr>
        <w:t xml:space="preserve">Pasākums Nr. </w:t>
      </w:r>
      <w:r w:rsidR="006D6D84" w:rsidRPr="00E54E87">
        <w:rPr>
          <w:b/>
          <w:bCs/>
        </w:rPr>
        <w:t xml:space="preserve">2 </w:t>
      </w:r>
      <w:r w:rsidR="00BC4F69" w:rsidRPr="00E54E87">
        <w:rPr>
          <w:b/>
          <w:bCs/>
        </w:rPr>
        <w:t xml:space="preserve">- </w:t>
      </w:r>
      <w:r w:rsidR="00D50601" w:rsidRPr="00E54E87">
        <w:rPr>
          <w:b/>
        </w:rPr>
        <w:t xml:space="preserve">tiek pildīts atbilstoši </w:t>
      </w:r>
      <w:r w:rsidR="00D50601" w:rsidRPr="002C456B">
        <w:rPr>
          <w:b/>
          <w:shd w:val="clear" w:color="auto" w:fill="FFFFFF" w:themeFill="background1"/>
        </w:rPr>
        <w:t>pasākumu plānā</w:t>
      </w:r>
      <w:r w:rsidR="00D50601" w:rsidRPr="00E54E87">
        <w:rPr>
          <w:b/>
        </w:rPr>
        <w:t xml:space="preserve"> noteiktajam</w:t>
      </w:r>
      <w:r w:rsidR="00D50601" w:rsidRPr="00E54E87">
        <w:t>.</w:t>
      </w:r>
    </w:p>
    <w:p w14:paraId="1790B0BF" w14:textId="4EE37B65" w:rsidR="004A0F24" w:rsidRDefault="00993F79" w:rsidP="00B37C59">
      <w:pPr>
        <w:widowControl w:val="0"/>
        <w:autoSpaceDE w:val="0"/>
        <w:autoSpaceDN w:val="0"/>
        <w:adjustRightInd w:val="0"/>
        <w:spacing w:after="120"/>
        <w:ind w:firstLine="851"/>
        <w:contextualSpacing/>
        <w:jc w:val="both"/>
        <w:rPr>
          <w:b/>
          <w:sz w:val="28"/>
        </w:rPr>
      </w:pPr>
      <w:r w:rsidRPr="00D86EF2">
        <w:rPr>
          <w:b/>
          <w:sz w:val="28"/>
        </w:rPr>
        <w:t>A</w:t>
      </w:r>
      <w:r w:rsidR="000E1535" w:rsidRPr="00D86EF2">
        <w:rPr>
          <w:b/>
          <w:sz w:val="28"/>
        </w:rPr>
        <w:t>.1.3</w:t>
      </w:r>
      <w:r w:rsidRPr="00D86EF2">
        <w:rPr>
          <w:b/>
          <w:sz w:val="28"/>
        </w:rPr>
        <w:t xml:space="preserve">. </w:t>
      </w:r>
      <w:r w:rsidR="006D6D84" w:rsidRPr="00D86EF2">
        <w:rPr>
          <w:b/>
          <w:sz w:val="28"/>
        </w:rPr>
        <w:t>P</w:t>
      </w:r>
      <w:r w:rsidR="00DC780B" w:rsidRPr="00D86EF2">
        <w:rPr>
          <w:b/>
          <w:sz w:val="28"/>
        </w:rPr>
        <w:t>asākums</w:t>
      </w:r>
      <w:r w:rsidR="004A0F24">
        <w:rPr>
          <w:b/>
          <w:sz w:val="28"/>
        </w:rPr>
        <w:t>. Latvijas normatīvās bāz</w:t>
      </w:r>
      <w:r w:rsidR="00AB5773">
        <w:rPr>
          <w:b/>
          <w:sz w:val="28"/>
        </w:rPr>
        <w:t xml:space="preserve">es </w:t>
      </w:r>
      <w:proofErr w:type="spellStart"/>
      <w:r w:rsidR="00AB5773">
        <w:rPr>
          <w:b/>
          <w:sz w:val="28"/>
        </w:rPr>
        <w:t>iz</w:t>
      </w:r>
      <w:r w:rsidR="004A0F24">
        <w:rPr>
          <w:b/>
          <w:sz w:val="28"/>
        </w:rPr>
        <w:t>vērtējums</w:t>
      </w:r>
      <w:proofErr w:type="spellEnd"/>
    </w:p>
    <w:p w14:paraId="24D93B72" w14:textId="2B09D340" w:rsidR="00474F26" w:rsidRPr="0017569A" w:rsidRDefault="000E1535" w:rsidP="00B37C59">
      <w:pPr>
        <w:widowControl w:val="0"/>
        <w:autoSpaceDE w:val="0"/>
        <w:autoSpaceDN w:val="0"/>
        <w:adjustRightInd w:val="0"/>
        <w:spacing w:after="120"/>
        <w:ind w:firstLine="851"/>
        <w:contextualSpacing/>
        <w:jc w:val="both"/>
        <w:rPr>
          <w:i/>
          <w:sz w:val="22"/>
        </w:rPr>
      </w:pPr>
      <w:r w:rsidRPr="0017569A">
        <w:rPr>
          <w:i/>
          <w:sz w:val="22"/>
        </w:rPr>
        <w:t>Apzināt esošo normatīvo bāzi, veicamās funkcijas un atbildīgās iestādes krāpšanas apkarošanas jomā un noteikt nepieciešamās izmaiņas, lai nodrošinātu Administratīvā sadarbības līguma ar OLAF izpildi.</w:t>
      </w:r>
    </w:p>
    <w:p w14:paraId="3CCA56C3" w14:textId="77777777" w:rsidR="009D1253" w:rsidRPr="0017569A" w:rsidRDefault="009D1253" w:rsidP="00B37C59">
      <w:pPr>
        <w:widowControl w:val="0"/>
        <w:autoSpaceDE w:val="0"/>
        <w:autoSpaceDN w:val="0"/>
        <w:adjustRightInd w:val="0"/>
        <w:spacing w:after="120"/>
        <w:ind w:firstLine="851"/>
        <w:contextualSpacing/>
        <w:jc w:val="both"/>
        <w:rPr>
          <w:sz w:val="22"/>
        </w:rPr>
      </w:pPr>
      <w:r w:rsidRPr="0017569A">
        <w:rPr>
          <w:sz w:val="22"/>
        </w:rPr>
        <w:t>Par pasākuma izpildi atbildīgā institūcija –</w:t>
      </w:r>
      <w:r w:rsidR="00EE4481" w:rsidRPr="0017569A">
        <w:rPr>
          <w:sz w:val="22"/>
        </w:rPr>
        <w:t xml:space="preserve"> </w:t>
      </w:r>
      <w:r w:rsidRPr="0017569A">
        <w:rPr>
          <w:sz w:val="22"/>
        </w:rPr>
        <w:t>AFCOS.</w:t>
      </w:r>
    </w:p>
    <w:p w14:paraId="7C4C2DD7" w14:textId="51C02CD8" w:rsidR="001A5486" w:rsidRPr="00FF52F0" w:rsidRDefault="009D1253" w:rsidP="00FF52F0">
      <w:pPr>
        <w:widowControl w:val="0"/>
        <w:autoSpaceDE w:val="0"/>
        <w:autoSpaceDN w:val="0"/>
        <w:adjustRightInd w:val="0"/>
        <w:spacing w:after="120"/>
        <w:ind w:firstLine="851"/>
        <w:contextualSpacing/>
        <w:jc w:val="both"/>
        <w:rPr>
          <w:sz w:val="22"/>
        </w:rPr>
      </w:pPr>
      <w:r w:rsidRPr="0017569A">
        <w:rPr>
          <w:sz w:val="22"/>
        </w:rPr>
        <w:t>Pasākuma izpildes termiņš – 31.12.2018.</w:t>
      </w:r>
      <w:r w:rsidR="000C478F" w:rsidRPr="0017569A">
        <w:rPr>
          <w:sz w:val="22"/>
        </w:rPr>
        <w:t xml:space="preserve"> </w:t>
      </w:r>
      <w:r w:rsidR="00EE4481" w:rsidRPr="0017569A">
        <w:rPr>
          <w:sz w:val="22"/>
        </w:rPr>
        <w:t>(</w:t>
      </w:r>
      <w:r w:rsidR="000C478F" w:rsidRPr="0017569A">
        <w:rPr>
          <w:sz w:val="22"/>
        </w:rPr>
        <w:t>ar precizitāti līdz pusgadam).</w:t>
      </w:r>
    </w:p>
    <w:p w14:paraId="11878699" w14:textId="77777777" w:rsidR="00C83909" w:rsidRPr="00A55F54" w:rsidRDefault="005A4042" w:rsidP="003201E1">
      <w:pPr>
        <w:widowControl w:val="0"/>
        <w:autoSpaceDE w:val="0"/>
        <w:autoSpaceDN w:val="0"/>
        <w:adjustRightInd w:val="0"/>
        <w:ind w:firstLine="720"/>
        <w:contextualSpacing/>
        <w:jc w:val="both"/>
      </w:pPr>
      <w:r w:rsidRPr="00A55F54">
        <w:t xml:space="preserve">Regulā 883/2013 </w:t>
      </w:r>
      <w:r w:rsidR="005B1570" w:rsidRPr="00A55F54">
        <w:t>noteiktas OLAF pilnvaras veikt administratīvo izmeklēšanu</w:t>
      </w:r>
      <w:r w:rsidR="003A638C" w:rsidRPr="00A55F54">
        <w:rPr>
          <w:rStyle w:val="FootnoteReference"/>
        </w:rPr>
        <w:footnoteReference w:id="8"/>
      </w:r>
      <w:r w:rsidR="005B1570" w:rsidRPr="00A55F54">
        <w:t xml:space="preserve"> saistībā ar iespējamiem krāpnieciskiem vai </w:t>
      </w:r>
      <w:proofErr w:type="spellStart"/>
      <w:r w:rsidR="005B1570" w:rsidRPr="00A55F54">
        <w:t>koruptīviem</w:t>
      </w:r>
      <w:proofErr w:type="spellEnd"/>
      <w:r w:rsidR="005B1570" w:rsidRPr="00A55F54">
        <w:t xml:space="preserve"> noziedzīgiem nodarījumiem ES finanšu līdzekļu izlietojumā.</w:t>
      </w:r>
      <w:r w:rsidR="003A638C" w:rsidRPr="00A55F54">
        <w:t xml:space="preserve"> Turklāt OLAF</w:t>
      </w:r>
      <w:r w:rsidR="00592848" w:rsidRPr="00A55F54">
        <w:t xml:space="preserve"> īsteno pilnvaras, kas ar Regulu</w:t>
      </w:r>
      <w:r w:rsidR="003A638C" w:rsidRPr="00A55F54">
        <w:t xml:space="preserve"> 2185/96</w:t>
      </w:r>
      <w:r w:rsidR="003A638C" w:rsidRPr="00A55F54">
        <w:rPr>
          <w:rStyle w:val="FootnoteReference"/>
        </w:rPr>
        <w:footnoteReference w:id="9"/>
      </w:r>
      <w:r w:rsidR="005B1570" w:rsidRPr="00A55F54">
        <w:t xml:space="preserve"> </w:t>
      </w:r>
      <w:r w:rsidR="003A638C" w:rsidRPr="00A55F54">
        <w:t>uzticētas Eiropas komisijai, lai veiktu pārbaudes uz vietas un inspekcijas dalībvalstīs.</w:t>
      </w:r>
      <w:r w:rsidR="00C83909" w:rsidRPr="00A55F54">
        <w:t xml:space="preserve"> No minētajām regulām</w:t>
      </w:r>
      <w:r w:rsidR="003A638C" w:rsidRPr="00A55F54">
        <w:t xml:space="preserve"> </w:t>
      </w:r>
      <w:r w:rsidR="00C83909" w:rsidRPr="00A55F54">
        <w:t>izriet OLAF</w:t>
      </w:r>
      <w:r w:rsidR="005B1570" w:rsidRPr="00A55F54">
        <w:t xml:space="preserve"> tiesības </w:t>
      </w:r>
      <w:r w:rsidR="00592848" w:rsidRPr="00A55F54">
        <w:t>saņemt</w:t>
      </w:r>
      <w:r w:rsidR="005B1570" w:rsidRPr="00A55F54">
        <w:t xml:space="preserve"> informāciju no dalībvalsts institūcijām, finansējuma saņēmējiem un citām iesaistītajām personām, kā arī veikt pārbaudes uz vietas dalībvalsts teritorijā. </w:t>
      </w:r>
    </w:p>
    <w:p w14:paraId="174347DE" w14:textId="77777777" w:rsidR="00C83909" w:rsidRPr="00A55F54" w:rsidRDefault="00C83909" w:rsidP="003201E1">
      <w:pPr>
        <w:widowControl w:val="0"/>
        <w:autoSpaceDE w:val="0"/>
        <w:autoSpaceDN w:val="0"/>
        <w:adjustRightInd w:val="0"/>
        <w:ind w:firstLine="720"/>
        <w:contextualSpacing/>
        <w:jc w:val="both"/>
      </w:pPr>
      <w:r w:rsidRPr="00A55F54">
        <w:t>Saskaņā ar Regulas</w:t>
      </w:r>
      <w:r w:rsidR="005B1570" w:rsidRPr="00A55F54">
        <w:t xml:space="preserve"> 883/2013 </w:t>
      </w:r>
      <w:r w:rsidRPr="00A55F54">
        <w:t xml:space="preserve">3. pantā un Regulas 2185/96 </w:t>
      </w:r>
      <w:r w:rsidR="00731DE6" w:rsidRPr="00A55F54">
        <w:t xml:space="preserve">7. </w:t>
      </w:r>
      <w:r w:rsidRPr="00A55F54">
        <w:t>pantā noteikto:</w:t>
      </w:r>
    </w:p>
    <w:p w14:paraId="0B28D08A" w14:textId="77777777" w:rsidR="00731DE6" w:rsidRPr="00AB5773" w:rsidRDefault="00C31955" w:rsidP="003201E1">
      <w:pPr>
        <w:pStyle w:val="ListParagraph"/>
        <w:widowControl w:val="0"/>
        <w:numPr>
          <w:ilvl w:val="0"/>
          <w:numId w:val="34"/>
        </w:numPr>
        <w:autoSpaceDE w:val="0"/>
        <w:autoSpaceDN w:val="0"/>
        <w:adjustRightInd w:val="0"/>
        <w:ind w:left="720"/>
        <w:contextualSpacing/>
        <w:jc w:val="both"/>
        <w:rPr>
          <w:rFonts w:ascii="Times New Roman" w:hAnsi="Times New Roman"/>
          <w:i/>
        </w:rPr>
      </w:pPr>
      <w:r w:rsidRPr="00AB5773">
        <w:rPr>
          <w:rFonts w:ascii="Times New Roman" w:hAnsi="Times New Roman"/>
          <w:i/>
        </w:rPr>
        <w:t xml:space="preserve">Dalībvalsts </w:t>
      </w:r>
      <w:r w:rsidR="00731DE6" w:rsidRPr="00AB5773">
        <w:rPr>
          <w:rFonts w:ascii="Times New Roman" w:hAnsi="Times New Roman"/>
          <w:i/>
        </w:rPr>
        <w:t>nodrošina, ka OLAF darbinieki ar tādiem pašiem noteikumiem kā dalībvalsts kompetentās iestādes un ievērojot valsts tiesību aktus piekļūst visai informācijai un dokumentiem, kas saistīti ar izmeklējamo lietu un kas izrādās nepieciešami, lai pārbaudes uz vietas un inspekcijas varētu veikt efektīvi un iedarbīgi.</w:t>
      </w:r>
    </w:p>
    <w:p w14:paraId="37D4FD26" w14:textId="77777777" w:rsidR="00731DE6" w:rsidRPr="00AB5773" w:rsidRDefault="00731DE6" w:rsidP="003201E1">
      <w:pPr>
        <w:pStyle w:val="ListParagraph"/>
        <w:widowControl w:val="0"/>
        <w:numPr>
          <w:ilvl w:val="0"/>
          <w:numId w:val="34"/>
        </w:numPr>
        <w:autoSpaceDE w:val="0"/>
        <w:autoSpaceDN w:val="0"/>
        <w:adjustRightInd w:val="0"/>
        <w:ind w:left="720"/>
        <w:contextualSpacing/>
        <w:jc w:val="both"/>
        <w:rPr>
          <w:rFonts w:ascii="Times New Roman" w:hAnsi="Times New Roman"/>
          <w:i/>
        </w:rPr>
      </w:pPr>
      <w:r w:rsidRPr="00AB5773">
        <w:rPr>
          <w:rFonts w:ascii="Times New Roman" w:hAnsi="Times New Roman"/>
          <w:i/>
        </w:rPr>
        <w:t>Pēc OLAF pie</w:t>
      </w:r>
      <w:r w:rsidR="00592848" w:rsidRPr="00AB5773">
        <w:rPr>
          <w:rFonts w:ascii="Times New Roman" w:hAnsi="Times New Roman"/>
          <w:i/>
        </w:rPr>
        <w:t>prasījuma dalībvalsts kompetentā</w:t>
      </w:r>
      <w:r w:rsidRPr="00AB5773">
        <w:rPr>
          <w:rFonts w:ascii="Times New Roman" w:hAnsi="Times New Roman"/>
          <w:i/>
        </w:rPr>
        <w:t xml:space="preserve"> iestāde</w:t>
      </w:r>
      <w:r w:rsidR="00592848" w:rsidRPr="00AB5773">
        <w:rPr>
          <w:rFonts w:ascii="Times New Roman" w:hAnsi="Times New Roman"/>
          <w:i/>
        </w:rPr>
        <w:t xml:space="preserve"> </w:t>
      </w:r>
      <w:r w:rsidRPr="00AB5773">
        <w:rPr>
          <w:rFonts w:ascii="Times New Roman" w:hAnsi="Times New Roman"/>
          <w:i/>
        </w:rPr>
        <w:t xml:space="preserve">sniedz </w:t>
      </w:r>
      <w:r w:rsidR="00592848" w:rsidRPr="00AB5773">
        <w:rPr>
          <w:rFonts w:ascii="Times New Roman" w:hAnsi="Times New Roman"/>
          <w:i/>
        </w:rPr>
        <w:t>OLAF darbiniekiem palīdzību</w:t>
      </w:r>
      <w:r w:rsidRPr="00AB5773">
        <w:rPr>
          <w:rFonts w:ascii="Times New Roman" w:hAnsi="Times New Roman"/>
          <w:i/>
        </w:rPr>
        <w:t>, kas vajadzīga, lai viņi varētu efektīvi veikt savus uzdevumus. Ja saskaņā ar valsts noteikumiem minētās palīdzības sniegšanai nepieciešams tiesu iestādes pilnvarojums, to lūdz izsniegt.</w:t>
      </w:r>
    </w:p>
    <w:p w14:paraId="01006B6F" w14:textId="77777777" w:rsidR="00F74754" w:rsidRPr="00AB5773" w:rsidRDefault="00731DE6" w:rsidP="003201E1">
      <w:pPr>
        <w:pStyle w:val="ListParagraph"/>
        <w:widowControl w:val="0"/>
        <w:numPr>
          <w:ilvl w:val="0"/>
          <w:numId w:val="34"/>
        </w:numPr>
        <w:autoSpaceDE w:val="0"/>
        <w:autoSpaceDN w:val="0"/>
        <w:adjustRightInd w:val="0"/>
        <w:ind w:left="720"/>
        <w:contextualSpacing/>
        <w:jc w:val="both"/>
        <w:rPr>
          <w:rFonts w:ascii="Times New Roman" w:hAnsi="Times New Roman"/>
          <w:i/>
        </w:rPr>
      </w:pPr>
      <w:r w:rsidRPr="00AB5773">
        <w:rPr>
          <w:rFonts w:ascii="Times New Roman" w:hAnsi="Times New Roman"/>
          <w:i/>
        </w:rPr>
        <w:t>Ja uzņēmēji pretojas apskatēm vai pārbaudēm uz vietas, dalībvalsts saskaņā ar valsts likumiem sniedz OLAF inspektoriem tādu palīdzību, kāda tiem ir vajadzīga, lai tie varētu veikt savu pienākumu, veicot apskati vai pārbaudi uz vietas.</w:t>
      </w:r>
    </w:p>
    <w:p w14:paraId="08261F86" w14:textId="77777777" w:rsidR="00F74754" w:rsidRPr="00AB5773" w:rsidRDefault="00F74754" w:rsidP="003201E1">
      <w:pPr>
        <w:pStyle w:val="ListParagraph"/>
        <w:widowControl w:val="0"/>
        <w:numPr>
          <w:ilvl w:val="0"/>
          <w:numId w:val="34"/>
        </w:numPr>
        <w:autoSpaceDE w:val="0"/>
        <w:autoSpaceDN w:val="0"/>
        <w:adjustRightInd w:val="0"/>
        <w:ind w:left="720"/>
        <w:contextualSpacing/>
        <w:jc w:val="both"/>
        <w:rPr>
          <w:rFonts w:ascii="Times New Roman" w:hAnsi="Times New Roman"/>
          <w:i/>
        </w:rPr>
      </w:pPr>
      <w:r w:rsidRPr="00AB5773">
        <w:rPr>
          <w:rFonts w:ascii="Times New Roman" w:hAnsi="Times New Roman"/>
          <w:i/>
        </w:rPr>
        <w:t>Vajadzības gadījumā pēc OLAF lūguma, jo īpaši lai aizsargātu pierādījumus, dalībvalstīm saskaņā ar valsts likumu jāveic attiecīgi piesardzības pasākumi jeb pierādījumu nodrošināšana.</w:t>
      </w:r>
    </w:p>
    <w:p w14:paraId="399412E0" w14:textId="77777777" w:rsidR="00F74754" w:rsidRPr="00A55F54" w:rsidRDefault="00F74754" w:rsidP="003201E1">
      <w:pPr>
        <w:widowControl w:val="0"/>
        <w:autoSpaceDE w:val="0"/>
        <w:autoSpaceDN w:val="0"/>
        <w:adjustRightInd w:val="0"/>
        <w:ind w:firstLine="720"/>
        <w:contextualSpacing/>
        <w:jc w:val="both"/>
      </w:pPr>
      <w:r w:rsidRPr="00A55F54">
        <w:t>Lai arī regulas ir tieši piemērojami normatīvie akti, atsevišķi aspekti ir atrisināmi nacionālā līmenī. Piemēram, Latvijā netiek veikta “administratīva izmeklēšana”</w:t>
      </w:r>
      <w:r w:rsidR="00617971">
        <w:t>,</w:t>
      </w:r>
      <w:r w:rsidRPr="00A55F54">
        <w:t xml:space="preserve"> kāda tā ir paredzēta Regulās 883/2013 un 2185/96, sevī ietverot gan dokumentu un informācijas iegūšanu, gan iesaistīto personu intervēšanu, gan pierādījumu nodrošināšanu, gan iespēju </w:t>
      </w:r>
      <w:r w:rsidRPr="00A55F54">
        <w:lastRenderedPageBreak/>
        <w:t xml:space="preserve">piekļūt uzņēmumu telpām piespiedu kārtā. Līdz ar to nacionālā līmenī nav izstrādāts normatīvais regulējums, kas būtu piemērojams OLAF veiktajām pārbaudēm </w:t>
      </w:r>
      <w:r w:rsidR="00592848" w:rsidRPr="00A55F54">
        <w:t xml:space="preserve">uz vietas </w:t>
      </w:r>
      <w:r w:rsidRPr="00A55F54">
        <w:t>Latvijā.</w:t>
      </w:r>
    </w:p>
    <w:p w14:paraId="00A4ED63" w14:textId="77777777" w:rsidR="00F74754" w:rsidRPr="00A55F54" w:rsidRDefault="00F74754" w:rsidP="00A55F54">
      <w:pPr>
        <w:widowControl w:val="0"/>
        <w:autoSpaceDE w:val="0"/>
        <w:autoSpaceDN w:val="0"/>
        <w:adjustRightInd w:val="0"/>
        <w:spacing w:after="120"/>
        <w:ind w:firstLine="720"/>
        <w:contextualSpacing/>
        <w:jc w:val="both"/>
      </w:pPr>
      <w:r w:rsidRPr="00A55F54">
        <w:t>Tā kā Latvijā netiek veikta  “administratīva izmeklēšana”</w:t>
      </w:r>
      <w:r w:rsidR="00DD1733" w:rsidRPr="00A55F54">
        <w:t>,</w:t>
      </w:r>
      <w:r w:rsidRPr="00A55F54">
        <w:t xml:space="preserve"> kādu veic OLAF, nav noteikta arī kompetentā iestāde, kas </w:t>
      </w:r>
      <w:r w:rsidR="00833E65" w:rsidRPr="00A55F54">
        <w:t xml:space="preserve">sniedz </w:t>
      </w:r>
      <w:r w:rsidR="00833E65" w:rsidRPr="00A55F54">
        <w:rPr>
          <w:rFonts w:eastAsia="Calibri"/>
        </w:rPr>
        <w:t>nepieciešamo pa</w:t>
      </w:r>
      <w:r w:rsidR="00CF5015" w:rsidRPr="00A55F54">
        <w:rPr>
          <w:rFonts w:eastAsia="Calibri"/>
        </w:rPr>
        <w:t xml:space="preserve">līdzību, lai OLAF izmeklētāji </w:t>
      </w:r>
      <w:r w:rsidRPr="00A55F54">
        <w:rPr>
          <w:rFonts w:eastAsia="Calibri"/>
        </w:rPr>
        <w:t>varētu</w:t>
      </w:r>
      <w:r w:rsidRPr="00A55F54">
        <w:t xml:space="preserve"> efektīvi veikt savus uzdevumus</w:t>
      </w:r>
      <w:r w:rsidR="00CF5015" w:rsidRPr="00A55F54">
        <w:t>.</w:t>
      </w:r>
      <w:r w:rsidR="00547259" w:rsidRPr="00A55F54">
        <w:t xml:space="preserve"> Līdz ar to nav atrisināti jautājumi par to, kā tiek nodrošināta atbalsta sniegšana OLAF organizētajās pārbaudēs uz vietas, piemēram, kādā veidā nacionālā līmenī varētu nodrošināt pierādījumus vai nodrošināt piespiedu piekļuvi telpām, ja tas būtu nepieciešams. </w:t>
      </w:r>
      <w:r w:rsidR="00A55F54" w:rsidRPr="00A55F54">
        <w:t>Jāpiebilst</w:t>
      </w:r>
      <w:r w:rsidR="00DD1733" w:rsidRPr="00A55F54">
        <w:t xml:space="preserve">, ka </w:t>
      </w:r>
      <w:r w:rsidR="00C31955">
        <w:t xml:space="preserve">FM </w:t>
      </w:r>
      <w:r w:rsidR="00DD1733" w:rsidRPr="00A55F54">
        <w:t>AFCOS nevar sniegt nepieciešamo atbalstu, jo tam nav atbilstošu pilnvaru, lai varētu iniciēt vizītes uz uzņēmumiem</w:t>
      </w:r>
      <w:r w:rsidR="000F72F0">
        <w:t xml:space="preserve"> un piekļūt nepieciešamai informācijai</w:t>
      </w:r>
      <w:r w:rsidR="00DD1733" w:rsidRPr="00A55F54">
        <w:t>.</w:t>
      </w:r>
    </w:p>
    <w:p w14:paraId="25B5E30B" w14:textId="77777777" w:rsidR="005C16B3" w:rsidRPr="003E1C7E" w:rsidRDefault="00592848" w:rsidP="005C16B3">
      <w:pPr>
        <w:widowControl w:val="0"/>
        <w:autoSpaceDE w:val="0"/>
        <w:autoSpaceDN w:val="0"/>
        <w:adjustRightInd w:val="0"/>
        <w:spacing w:after="120"/>
        <w:ind w:firstLine="720"/>
        <w:contextualSpacing/>
        <w:jc w:val="both"/>
      </w:pPr>
      <w:r w:rsidRPr="00A55F54">
        <w:t>Lai sakārtotu minēto jomu</w:t>
      </w:r>
      <w:r w:rsidR="0086068D" w:rsidRPr="00A55F54">
        <w:t>,</w:t>
      </w:r>
      <w:r w:rsidRPr="00A55F54">
        <w:t xml:space="preserve"> </w:t>
      </w:r>
      <w:r w:rsidR="00EB5B70" w:rsidRPr="00A55F54">
        <w:t>AFCOS St</w:t>
      </w:r>
      <w:r w:rsidR="0086068D" w:rsidRPr="00A55F54">
        <w:t>r</w:t>
      </w:r>
      <w:r w:rsidR="00EB5B70" w:rsidRPr="00A55F54">
        <w:t>a</w:t>
      </w:r>
      <w:r w:rsidR="0086068D" w:rsidRPr="00A55F54">
        <w:t>tēģijā un pasākumu plānā tika paredzēts izstrādāt</w:t>
      </w:r>
      <w:r w:rsidRPr="00A55F54">
        <w:t xml:space="preserve"> </w:t>
      </w:r>
      <w:r w:rsidR="0086068D" w:rsidRPr="00A55F54">
        <w:t>Administratīvās sadarbības līgumu (ACA</w:t>
      </w:r>
      <w:r w:rsidR="0086068D" w:rsidRPr="00A55F54">
        <w:rPr>
          <w:rStyle w:val="FootnoteReference"/>
        </w:rPr>
        <w:footnoteReference w:id="10"/>
      </w:r>
      <w:r w:rsidR="0086068D" w:rsidRPr="00A55F54">
        <w:t xml:space="preserve">). </w:t>
      </w:r>
      <w:r w:rsidR="000E1535" w:rsidRPr="00A55F54">
        <w:t>Ņemot vērā</w:t>
      </w:r>
      <w:r w:rsidR="00EE4481" w:rsidRPr="00A55F54">
        <w:t xml:space="preserve"> </w:t>
      </w:r>
      <w:r w:rsidR="00547259" w:rsidRPr="00A55F54">
        <w:t xml:space="preserve">augstākminēto un </w:t>
      </w:r>
      <w:r w:rsidR="00EE4481" w:rsidRPr="003E1C7E">
        <w:t>apsvērumus, kas aprakstīti A.2.1. nodaļā</w:t>
      </w:r>
      <w:r w:rsidR="0009606C" w:rsidRPr="003E1C7E">
        <w:t>,</w:t>
      </w:r>
      <w:r w:rsidR="00733538" w:rsidRPr="003E1C7E">
        <w:t xml:space="preserve"> </w:t>
      </w:r>
      <w:r w:rsidR="0009606C" w:rsidRPr="003E1C7E">
        <w:t xml:space="preserve">ACA </w:t>
      </w:r>
      <w:r w:rsidR="00733538" w:rsidRPr="003E1C7E">
        <w:t xml:space="preserve">ar OLAF netika parakstīts. </w:t>
      </w:r>
    </w:p>
    <w:p w14:paraId="2064A1ED" w14:textId="7BBD3C0E" w:rsidR="005C16B3" w:rsidRPr="003E1C7E" w:rsidRDefault="005C16B3" w:rsidP="005C16B3">
      <w:pPr>
        <w:widowControl w:val="0"/>
        <w:autoSpaceDE w:val="0"/>
        <w:autoSpaceDN w:val="0"/>
        <w:adjustRightInd w:val="0"/>
        <w:spacing w:after="120"/>
        <w:ind w:firstLine="720"/>
        <w:contextualSpacing/>
        <w:jc w:val="both"/>
      </w:pPr>
      <w:r w:rsidRPr="003E1C7E">
        <w:t xml:space="preserve">Ņemot vērā minēto, FM AFCOS aptaujāja AFCOS padomes darbā iesaistītās institūcijas, lūdzot sniegt viedokli par to kādā veidā visefektīvāk un lietderīgāk būtu organizēt nacionālā normatīvā regulējuma pilnveidošanu Regulas 883/2013 pilnvērtīgai piemērošanai nacionālā līmenī, proti, (1) izstrādāt atsevišķu Regulas 883/2013 atbalsta likumu, kā to piedāvāja TM vai (2) grozīt iestāžu darbību regulējošos normatīvos aktus. Apkopojot saņemtās atbildes tika secināts, ka Regulas 883/2013 pilnvērtīgai piemērošanai nacionālā līmenī visefektīvāk un lietderīgāk būtu  izstrādāt atsevišķu Regulas 883/2013 atbalsta likumu. Tas tika apstiprināts 31.10.2018 AFCOS padomes sēdē. </w:t>
      </w:r>
    </w:p>
    <w:p w14:paraId="1A30C228" w14:textId="77777777" w:rsidR="001A5486" w:rsidRPr="003E1C7E" w:rsidRDefault="00733538" w:rsidP="00A55F54">
      <w:pPr>
        <w:widowControl w:val="0"/>
        <w:autoSpaceDE w:val="0"/>
        <w:autoSpaceDN w:val="0"/>
        <w:adjustRightInd w:val="0"/>
        <w:spacing w:after="120"/>
        <w:ind w:firstLine="720"/>
        <w:contextualSpacing/>
        <w:jc w:val="both"/>
      </w:pPr>
      <w:r w:rsidRPr="003E1C7E">
        <w:t xml:space="preserve">Šobrīd </w:t>
      </w:r>
      <w:r w:rsidR="0088393F" w:rsidRPr="003E1C7E">
        <w:t>GAF</w:t>
      </w:r>
      <w:r w:rsidRPr="003E1C7E">
        <w:t xml:space="preserve"> dienas kārtībā ir Regulas 883/2013 grozījumu projekta izskatīšana. Līdz ar </w:t>
      </w:r>
      <w:r w:rsidR="00FA37D4" w:rsidRPr="003E1C7E">
        <w:t xml:space="preserve">to </w:t>
      </w:r>
      <w:r w:rsidRPr="003E1C7E">
        <w:t>Regulas 883/2013 atbalsta likuma izstrāde ir jāsaskaņo ar Regulas</w:t>
      </w:r>
      <w:r w:rsidR="0009606C" w:rsidRPr="003E1C7E">
        <w:t xml:space="preserve"> 883/2013</w:t>
      </w:r>
      <w:r w:rsidRPr="003E1C7E">
        <w:t xml:space="preserve"> grozījumu spēkā stāšanos, lai nodrošinātu </w:t>
      </w:r>
      <w:r w:rsidR="008713A7" w:rsidRPr="003E1C7E">
        <w:t>maksimāli kvalitatīvu un efektīvu nacionāl</w:t>
      </w:r>
      <w:r w:rsidR="008A54B1" w:rsidRPr="003E1C7E">
        <w:t>ā normatīvā regulējuma izstrādi</w:t>
      </w:r>
      <w:r w:rsidR="00684F0F" w:rsidRPr="003E1C7E">
        <w:t>.</w:t>
      </w:r>
      <w:r w:rsidR="008A54B1" w:rsidRPr="003E1C7E">
        <w:t xml:space="preserve"> </w:t>
      </w:r>
      <w:r w:rsidR="00684F0F" w:rsidRPr="003E1C7E">
        <w:t xml:space="preserve">OLAF paredz, ka </w:t>
      </w:r>
      <w:r w:rsidR="00CE3681" w:rsidRPr="003E1C7E">
        <w:t xml:space="preserve">tas varētu </w:t>
      </w:r>
      <w:r w:rsidR="00684F0F" w:rsidRPr="003E1C7E">
        <w:t xml:space="preserve">notikt </w:t>
      </w:r>
      <w:r w:rsidR="00CE3681" w:rsidRPr="003E1C7E">
        <w:t xml:space="preserve">2020. </w:t>
      </w:r>
      <w:r w:rsidR="00684F0F" w:rsidRPr="003E1C7E">
        <w:t>gadā</w:t>
      </w:r>
      <w:r w:rsidR="00CE3681" w:rsidRPr="003E1C7E">
        <w:t>.</w:t>
      </w:r>
    </w:p>
    <w:p w14:paraId="5B954B07" w14:textId="24899B18" w:rsidR="00F3038F" w:rsidRPr="003E1C7E" w:rsidRDefault="00997C5B" w:rsidP="00A55F54">
      <w:pPr>
        <w:widowControl w:val="0"/>
        <w:autoSpaceDE w:val="0"/>
        <w:autoSpaceDN w:val="0"/>
        <w:adjustRightInd w:val="0"/>
        <w:spacing w:after="120"/>
        <w:ind w:firstLine="720"/>
        <w:contextualSpacing/>
        <w:jc w:val="both"/>
      </w:pPr>
      <w:r w:rsidRPr="003E1C7E">
        <w:t>Turklāt, izstrādājot Regulas 883/2013 atbalsta likumu</w:t>
      </w:r>
      <w:r w:rsidR="00F3038F" w:rsidRPr="003E1C7E">
        <w:t xml:space="preserve">, dalībvalsts līmenī būs jānostiprina </w:t>
      </w:r>
      <w:r w:rsidR="00EB5B70" w:rsidRPr="003E1C7E">
        <w:t>“</w:t>
      </w:r>
      <w:r w:rsidR="00F3038F" w:rsidRPr="003E1C7E">
        <w:t>administratīvā izmeklēšana</w:t>
      </w:r>
      <w:r w:rsidR="00EB5B70" w:rsidRPr="003E1C7E">
        <w:t>”</w:t>
      </w:r>
      <w:r w:rsidR="00F3038F" w:rsidRPr="003E1C7E">
        <w:t xml:space="preserve">, kāda tā ir noteikta Regulās 883/2013 un </w:t>
      </w:r>
      <w:r w:rsidR="00EB5B70" w:rsidRPr="003E1C7E">
        <w:t xml:space="preserve">2185/96, paredzot tai iespēju mijiedarboties </w:t>
      </w:r>
      <w:r w:rsidR="00FE1FBB" w:rsidRPr="003E1C7E">
        <w:t xml:space="preserve">ar </w:t>
      </w:r>
      <w:r w:rsidR="00EB5B70" w:rsidRPr="003E1C7E">
        <w:t>kriminālprocesu.</w:t>
      </w:r>
    </w:p>
    <w:p w14:paraId="096C24DC" w14:textId="62B59DE2" w:rsidR="009C3482" w:rsidRPr="003E1C7E" w:rsidRDefault="009C3482" w:rsidP="00A55F54">
      <w:pPr>
        <w:widowControl w:val="0"/>
        <w:autoSpaceDE w:val="0"/>
        <w:autoSpaceDN w:val="0"/>
        <w:adjustRightInd w:val="0"/>
        <w:spacing w:after="120"/>
        <w:ind w:firstLine="720"/>
        <w:contextualSpacing/>
        <w:jc w:val="both"/>
      </w:pPr>
      <w:r w:rsidRPr="003E1C7E">
        <w:t>Ņemot vērā augstāk</w:t>
      </w:r>
      <w:r w:rsidR="00167B5A" w:rsidRPr="003E1C7E">
        <w:t xml:space="preserve"> </w:t>
      </w:r>
      <w:r w:rsidRPr="003E1C7E">
        <w:t>minēto, FM ieskatā par Regulas 883/2013 atbalsta likuma izstrādes atbildīgo ministriju būt</w:t>
      </w:r>
      <w:r w:rsidR="00997C5B" w:rsidRPr="003E1C7E">
        <w:t>u jānosaka Tieslietu ministrija</w:t>
      </w:r>
      <w:r w:rsidRPr="003E1C7E">
        <w:t xml:space="preserve">, kas ir ne tikai vadošā valsts pārvaldes iestāde tieslietu (tiesību sistēmas politikas, tiesu sistēmas un tiesu administrēšanas) nozarēs, bet </w:t>
      </w:r>
      <w:r w:rsidR="00997C5B" w:rsidRPr="003E1C7E">
        <w:t xml:space="preserve">tai ir pieredze ar izmeklēšanas jautājumiem </w:t>
      </w:r>
      <w:r w:rsidR="00487F04" w:rsidRPr="003E1C7E">
        <w:t>saistītu</w:t>
      </w:r>
      <w:r w:rsidR="00997C5B" w:rsidRPr="003E1C7E">
        <w:t xml:space="preserve"> normatīvo aktu izstrādē</w:t>
      </w:r>
      <w:r w:rsidR="008E14E2" w:rsidRPr="003E1C7E">
        <w:t xml:space="preserve">, piemēram, tā ir atbildīga par Krimināllikuma un Kriminālprocesa likuma </w:t>
      </w:r>
      <w:r w:rsidR="0095450D" w:rsidRPr="003E1C7E">
        <w:t>aktualizāciju</w:t>
      </w:r>
      <w:r w:rsidR="0088393F" w:rsidRPr="003E1C7E">
        <w:t>.</w:t>
      </w:r>
      <w:r w:rsidR="000F72F0" w:rsidRPr="003E1C7E">
        <w:t xml:space="preserve"> </w:t>
      </w:r>
    </w:p>
    <w:p w14:paraId="4166E6F8" w14:textId="77777777" w:rsidR="00FF52F0" w:rsidRPr="003E1C7E" w:rsidRDefault="00FF52F0" w:rsidP="00FF52F0">
      <w:pPr>
        <w:widowControl w:val="0"/>
        <w:autoSpaceDE w:val="0"/>
        <w:autoSpaceDN w:val="0"/>
        <w:adjustRightInd w:val="0"/>
        <w:spacing w:after="120"/>
        <w:ind w:firstLine="720"/>
        <w:contextualSpacing/>
        <w:jc w:val="both"/>
      </w:pPr>
      <w:r w:rsidRPr="003E1C7E">
        <w:t>21.02.2019. FM AFCOS saņēma TM atzinumu ar iebildumiem. TM ieskatā tā nav nosakāma par atbildīgo ministriju jauna normatīvā akta izstrādē, norādot, ka tas ir FM kompetences jautājums, jo TM nenodrošina sadarbību un informācijas apriti ar OLAF, neveic Eiropas Savienības fondu piešķiršanu un izlietojuma uzraudzību, kā arī tās pakļautībā vai pārraudzībā nav iestādes, kas administrē Eiropas Savienības fondus.</w:t>
      </w:r>
    </w:p>
    <w:p w14:paraId="23B79FB9" w14:textId="0D93507D" w:rsidR="00FF52F0" w:rsidRPr="003E1C7E" w:rsidRDefault="00FF52F0" w:rsidP="00FF52F0">
      <w:pPr>
        <w:widowControl w:val="0"/>
        <w:autoSpaceDE w:val="0"/>
        <w:autoSpaceDN w:val="0"/>
        <w:adjustRightInd w:val="0"/>
        <w:spacing w:after="120"/>
        <w:ind w:firstLine="720"/>
        <w:contextualSpacing/>
        <w:jc w:val="both"/>
      </w:pPr>
      <w:r w:rsidRPr="003E1C7E">
        <w:t xml:space="preserve">Vēršam uzmanību, ka diskusijas par </w:t>
      </w:r>
      <w:bookmarkStart w:id="0" w:name="_Hlk2152789"/>
      <w:r w:rsidRPr="003E1C7E">
        <w:t xml:space="preserve">OLAF izmeklētāju atbalsta </w:t>
      </w:r>
      <w:bookmarkEnd w:id="0"/>
      <w:r w:rsidRPr="003E1C7E">
        <w:t>regulējuma izstrādi Finanšu ministrijas un Tieslietu ministrijas starpā notiek kopš 2017. gada. 2018. gadā pēc ilgstošām, detalizētām diskusijām un vairākām darba grupu sēdēm Tieslietu ministrija aicināja FM izstrādāt OLAF izmeklētāju atbalsta likumu , kurš tiktu veidots pēc līdzības ar Konkurences likumā ietverto tiesisko regulējumu, saskaņā ar kuru tiek nodrošināts nacionālais tiesiskais regulējums Eiropas Komisijas veikto administratīvo izmeklēšanu atbalstam konkurences jomā saskaņā ar Eiropas Padomes 2002. gada 16. decembra Regulu Nr. 1/2003 par to konkurences noteikumu īstenošanu.</w:t>
      </w:r>
    </w:p>
    <w:p w14:paraId="6EF439FC" w14:textId="537E25DE" w:rsidR="00FF52F0" w:rsidRPr="00FF52F0" w:rsidRDefault="00DC780B" w:rsidP="00FF52F0">
      <w:pPr>
        <w:widowControl w:val="0"/>
        <w:autoSpaceDE w:val="0"/>
        <w:autoSpaceDN w:val="0"/>
        <w:adjustRightInd w:val="0"/>
        <w:spacing w:after="120"/>
        <w:contextualSpacing/>
        <w:jc w:val="both"/>
        <w:rPr>
          <w:bCs/>
        </w:rPr>
      </w:pPr>
      <w:r w:rsidRPr="003E1C7E">
        <w:rPr>
          <w:b/>
          <w:bCs/>
        </w:rPr>
        <w:t>Izpildes statuss</w:t>
      </w:r>
      <w:r w:rsidR="001A5486" w:rsidRPr="003E1C7E">
        <w:rPr>
          <w:b/>
          <w:bCs/>
        </w:rPr>
        <w:t xml:space="preserve">: </w:t>
      </w:r>
      <w:r w:rsidR="006D6D84" w:rsidRPr="003E1C7E">
        <w:rPr>
          <w:b/>
          <w:bCs/>
        </w:rPr>
        <w:t xml:space="preserve">Pasākums Nr. 3 – </w:t>
      </w:r>
      <w:r w:rsidR="00CE3681" w:rsidRPr="003E1C7E">
        <w:rPr>
          <w:b/>
          <w:bCs/>
        </w:rPr>
        <w:t>izpildīts</w:t>
      </w:r>
      <w:r w:rsidR="008E14E2" w:rsidRPr="003E1C7E">
        <w:rPr>
          <w:b/>
          <w:bCs/>
        </w:rPr>
        <w:t>, bet rezultāta sasniegšanai nepieciešams jauns uzdevums</w:t>
      </w:r>
      <w:r w:rsidR="00CE3681" w:rsidRPr="003E1C7E">
        <w:rPr>
          <w:b/>
          <w:bCs/>
        </w:rPr>
        <w:t xml:space="preserve">.  </w:t>
      </w:r>
      <w:r w:rsidR="00CE3681" w:rsidRPr="003E1C7E">
        <w:rPr>
          <w:bCs/>
        </w:rPr>
        <w:t>Secināts, ka nepieciešams izstrādāt atse</w:t>
      </w:r>
      <w:r w:rsidR="00FA37D4" w:rsidRPr="003E1C7E">
        <w:rPr>
          <w:bCs/>
        </w:rPr>
        <w:t>višķu R</w:t>
      </w:r>
      <w:r w:rsidR="00CE3681" w:rsidRPr="003E1C7E">
        <w:rPr>
          <w:bCs/>
        </w:rPr>
        <w:t>egulas</w:t>
      </w:r>
      <w:r w:rsidR="00FA37D4" w:rsidRPr="003E1C7E">
        <w:rPr>
          <w:bCs/>
        </w:rPr>
        <w:t xml:space="preserve"> 883/2013</w:t>
      </w:r>
      <w:r w:rsidR="00F3038F" w:rsidRPr="003E1C7E">
        <w:rPr>
          <w:bCs/>
        </w:rPr>
        <w:t xml:space="preserve"> at</w:t>
      </w:r>
      <w:r w:rsidR="00487F04" w:rsidRPr="003E1C7E">
        <w:rPr>
          <w:bCs/>
        </w:rPr>
        <w:t>balsta likumu, lai nodrošinātu R</w:t>
      </w:r>
      <w:r w:rsidR="00F3038F" w:rsidRPr="003E1C7E">
        <w:rPr>
          <w:bCs/>
        </w:rPr>
        <w:t>egul</w:t>
      </w:r>
      <w:r w:rsidR="00130AEA" w:rsidRPr="003E1C7E">
        <w:rPr>
          <w:bCs/>
        </w:rPr>
        <w:t>u</w:t>
      </w:r>
      <w:r w:rsidR="00F3038F" w:rsidRPr="003E1C7E">
        <w:rPr>
          <w:bCs/>
        </w:rPr>
        <w:t xml:space="preserve"> 883/2013 un 2185/96 efektīvu piemērošanu nacionālā līmenī.</w:t>
      </w:r>
      <w:r w:rsidR="00487F04" w:rsidRPr="003E1C7E">
        <w:rPr>
          <w:bCs/>
        </w:rPr>
        <w:t xml:space="preserve"> FM </w:t>
      </w:r>
      <w:r w:rsidR="0017569A" w:rsidRPr="003E1C7E">
        <w:rPr>
          <w:bCs/>
        </w:rPr>
        <w:t>un TM turpinās diskusijas par atbildīgās ministrijas noteikšanu normatīvā akta izstrādei.</w:t>
      </w:r>
    </w:p>
    <w:p w14:paraId="5136EFF0" w14:textId="1781F081" w:rsidR="00FF1FE6" w:rsidRPr="006F503E" w:rsidRDefault="00135F1C" w:rsidP="00B37C59">
      <w:pPr>
        <w:widowControl w:val="0"/>
        <w:autoSpaceDE w:val="0"/>
        <w:autoSpaceDN w:val="0"/>
        <w:adjustRightInd w:val="0"/>
        <w:spacing w:after="120"/>
        <w:ind w:firstLine="851"/>
        <w:contextualSpacing/>
        <w:jc w:val="center"/>
        <w:rPr>
          <w:b/>
          <w:sz w:val="28"/>
        </w:rPr>
      </w:pPr>
      <w:r w:rsidRPr="006F503E">
        <w:rPr>
          <w:b/>
          <w:sz w:val="28"/>
        </w:rPr>
        <w:lastRenderedPageBreak/>
        <w:t>A.2. RĪCĪBAS VIRZIENS</w:t>
      </w:r>
      <w:r w:rsidR="006F503E">
        <w:rPr>
          <w:b/>
          <w:sz w:val="28"/>
        </w:rPr>
        <w:t xml:space="preserve"> </w:t>
      </w:r>
      <w:r w:rsidRPr="006F503E">
        <w:rPr>
          <w:b/>
          <w:sz w:val="28"/>
        </w:rPr>
        <w:t>- IEKŠĒJĀ UN ĀRĒJĀ KOORDINĒŠANA</w:t>
      </w:r>
    </w:p>
    <w:p w14:paraId="439F9FAE" w14:textId="77777777" w:rsidR="00135F1C" w:rsidRPr="00E54E87" w:rsidRDefault="00135F1C" w:rsidP="00B37C59">
      <w:pPr>
        <w:widowControl w:val="0"/>
        <w:autoSpaceDE w:val="0"/>
        <w:autoSpaceDN w:val="0"/>
        <w:adjustRightInd w:val="0"/>
        <w:spacing w:after="120"/>
        <w:ind w:firstLine="851"/>
        <w:contextualSpacing/>
        <w:jc w:val="both"/>
        <w:rPr>
          <w:b/>
        </w:rPr>
      </w:pPr>
    </w:p>
    <w:p w14:paraId="5DBDB9B7" w14:textId="77777777" w:rsidR="000F72F0" w:rsidRDefault="00135F1C" w:rsidP="00B37C59">
      <w:pPr>
        <w:widowControl w:val="0"/>
        <w:autoSpaceDE w:val="0"/>
        <w:autoSpaceDN w:val="0"/>
        <w:adjustRightInd w:val="0"/>
        <w:spacing w:after="120"/>
        <w:ind w:firstLine="851"/>
        <w:contextualSpacing/>
        <w:jc w:val="both"/>
        <w:rPr>
          <w:b/>
          <w:sz w:val="28"/>
        </w:rPr>
      </w:pPr>
      <w:r w:rsidRPr="006F503E">
        <w:rPr>
          <w:b/>
          <w:sz w:val="28"/>
        </w:rPr>
        <w:t>A.2.1</w:t>
      </w:r>
      <w:r w:rsidR="0035677F" w:rsidRPr="006F503E">
        <w:rPr>
          <w:b/>
          <w:sz w:val="28"/>
        </w:rPr>
        <w:t>. P</w:t>
      </w:r>
      <w:r w:rsidRPr="006F503E">
        <w:rPr>
          <w:b/>
          <w:sz w:val="28"/>
        </w:rPr>
        <w:t>asākums Nr.1</w:t>
      </w:r>
      <w:r w:rsidR="000F72F0">
        <w:rPr>
          <w:b/>
          <w:sz w:val="28"/>
        </w:rPr>
        <w:t>. Administratīvās sadarbības līgums ar OLAF</w:t>
      </w:r>
    </w:p>
    <w:p w14:paraId="528A83B6" w14:textId="1FAABAF2" w:rsidR="00FF1FE6" w:rsidRPr="0017569A" w:rsidRDefault="00135F1C" w:rsidP="00B37C59">
      <w:pPr>
        <w:widowControl w:val="0"/>
        <w:autoSpaceDE w:val="0"/>
        <w:autoSpaceDN w:val="0"/>
        <w:adjustRightInd w:val="0"/>
        <w:spacing w:after="120"/>
        <w:ind w:firstLine="851"/>
        <w:contextualSpacing/>
        <w:jc w:val="both"/>
        <w:rPr>
          <w:i/>
          <w:sz w:val="22"/>
        </w:rPr>
      </w:pPr>
      <w:r w:rsidRPr="0017569A">
        <w:rPr>
          <w:i/>
          <w:sz w:val="22"/>
        </w:rPr>
        <w:t>Ad</w:t>
      </w:r>
      <w:r w:rsidR="008A54B1" w:rsidRPr="0017569A">
        <w:rPr>
          <w:i/>
          <w:sz w:val="22"/>
        </w:rPr>
        <w:t xml:space="preserve">ministratīvās sadarbības līguma </w:t>
      </w:r>
      <w:r w:rsidRPr="0017569A">
        <w:rPr>
          <w:i/>
          <w:sz w:val="22"/>
        </w:rPr>
        <w:t xml:space="preserve">ar </w:t>
      </w:r>
      <w:r w:rsidR="00F97192" w:rsidRPr="0017569A">
        <w:rPr>
          <w:i/>
          <w:sz w:val="22"/>
        </w:rPr>
        <w:t>Eiropa</w:t>
      </w:r>
      <w:r w:rsidR="001A167F" w:rsidRPr="0017569A">
        <w:rPr>
          <w:i/>
          <w:sz w:val="22"/>
        </w:rPr>
        <w:t xml:space="preserve">s biroju krāpšanas apkarošanai </w:t>
      </w:r>
      <w:r w:rsidRPr="0017569A">
        <w:rPr>
          <w:i/>
          <w:sz w:val="22"/>
        </w:rPr>
        <w:t>sagatavošana un noslēgšana.</w:t>
      </w:r>
    </w:p>
    <w:p w14:paraId="26EBBBFA" w14:textId="77777777" w:rsidR="009D1253" w:rsidRPr="0017569A" w:rsidRDefault="009D1253" w:rsidP="00B37C59">
      <w:pPr>
        <w:widowControl w:val="0"/>
        <w:autoSpaceDE w:val="0"/>
        <w:autoSpaceDN w:val="0"/>
        <w:adjustRightInd w:val="0"/>
        <w:spacing w:after="120"/>
        <w:ind w:firstLine="851"/>
        <w:contextualSpacing/>
        <w:jc w:val="both"/>
        <w:rPr>
          <w:sz w:val="22"/>
        </w:rPr>
      </w:pPr>
      <w:r w:rsidRPr="0017569A">
        <w:rPr>
          <w:sz w:val="22"/>
        </w:rPr>
        <w:t>Par pasākuma izpildi atbildīgā institūcija –AFCOS.</w:t>
      </w:r>
    </w:p>
    <w:p w14:paraId="3C973E03" w14:textId="77777777" w:rsidR="009D1253" w:rsidRPr="0017569A" w:rsidRDefault="009D1253" w:rsidP="00B37C59">
      <w:pPr>
        <w:widowControl w:val="0"/>
        <w:autoSpaceDE w:val="0"/>
        <w:autoSpaceDN w:val="0"/>
        <w:adjustRightInd w:val="0"/>
        <w:spacing w:after="120"/>
        <w:ind w:firstLine="851"/>
        <w:contextualSpacing/>
        <w:jc w:val="both"/>
        <w:rPr>
          <w:sz w:val="22"/>
        </w:rPr>
      </w:pPr>
      <w:r w:rsidRPr="0017569A">
        <w:rPr>
          <w:sz w:val="22"/>
        </w:rPr>
        <w:t>Pasākuma izpildes termiņš – 31.12.2017.</w:t>
      </w:r>
      <w:r w:rsidR="006D6D84" w:rsidRPr="0017569A">
        <w:rPr>
          <w:sz w:val="22"/>
        </w:rPr>
        <w:t xml:space="preserve"> (ar precizitāti līdz pusgadam).</w:t>
      </w:r>
    </w:p>
    <w:p w14:paraId="1132CAEA" w14:textId="77777777" w:rsidR="004969FF" w:rsidRPr="00E54E87" w:rsidRDefault="004969FF" w:rsidP="004969FF">
      <w:pPr>
        <w:widowControl w:val="0"/>
        <w:autoSpaceDE w:val="0"/>
        <w:autoSpaceDN w:val="0"/>
        <w:adjustRightInd w:val="0"/>
        <w:spacing w:after="120"/>
        <w:contextualSpacing/>
        <w:jc w:val="both"/>
      </w:pPr>
    </w:p>
    <w:p w14:paraId="649F33F8" w14:textId="77777777" w:rsidR="007446EB" w:rsidRPr="0088393F" w:rsidRDefault="003504BD" w:rsidP="005111DF">
      <w:pPr>
        <w:widowControl w:val="0"/>
        <w:shd w:val="clear" w:color="auto" w:fill="FFFFFF" w:themeFill="background1"/>
        <w:autoSpaceDE w:val="0"/>
        <w:autoSpaceDN w:val="0"/>
        <w:adjustRightInd w:val="0"/>
        <w:spacing w:after="120"/>
        <w:ind w:firstLine="720"/>
        <w:contextualSpacing/>
        <w:jc w:val="both"/>
      </w:pPr>
      <w:r w:rsidRPr="0088393F">
        <w:t>ACA izstrādei</w:t>
      </w:r>
      <w:r w:rsidR="003471DA" w:rsidRPr="0088393F">
        <w:t xml:space="preserve"> tika izveidota darba grupa</w:t>
      </w:r>
      <w:r w:rsidR="004969FF" w:rsidRPr="0088393F">
        <w:rPr>
          <w:rStyle w:val="FootnoteReference"/>
        </w:rPr>
        <w:footnoteReference w:id="11"/>
      </w:r>
      <w:r w:rsidR="004969FF" w:rsidRPr="0088393F">
        <w:t>,</w:t>
      </w:r>
      <w:r w:rsidR="005A32BC" w:rsidRPr="0088393F">
        <w:t xml:space="preserve"> </w:t>
      </w:r>
      <w:r w:rsidRPr="0088393F">
        <w:t xml:space="preserve">kas sastāvēja no </w:t>
      </w:r>
      <w:r w:rsidR="000302CC" w:rsidRPr="0088393F">
        <w:t>sešu</w:t>
      </w:r>
      <w:r w:rsidR="00545DDD" w:rsidRPr="0088393F">
        <w:t xml:space="preserve"> </w:t>
      </w:r>
      <w:r w:rsidRPr="0088393F">
        <w:t>dažādu institūciju p</w:t>
      </w:r>
      <w:r w:rsidR="005A32BC" w:rsidRPr="0088393F">
        <w:t>ārstāvjiem</w:t>
      </w:r>
      <w:r w:rsidR="00F071ED" w:rsidRPr="0088393F">
        <w:rPr>
          <w:rStyle w:val="FootnoteReference"/>
        </w:rPr>
        <w:footnoteReference w:id="12"/>
      </w:r>
      <w:r w:rsidR="00545DDD" w:rsidRPr="0088393F">
        <w:t xml:space="preserve">. </w:t>
      </w:r>
      <w:r w:rsidR="005A32BC" w:rsidRPr="0088393F">
        <w:t>AFCOS</w:t>
      </w:r>
      <w:r w:rsidR="000302CC" w:rsidRPr="0088393F">
        <w:t xml:space="preserve"> nodrošināja </w:t>
      </w:r>
      <w:r w:rsidR="005A32BC" w:rsidRPr="0088393F">
        <w:t>darba grupas koordinēšanu un informācijas apkopošanu, kā arī ACA projekta izstrādi.</w:t>
      </w:r>
    </w:p>
    <w:p w14:paraId="4A999D71" w14:textId="77777777" w:rsidR="007446EB" w:rsidRPr="0088393F" w:rsidRDefault="003471DA" w:rsidP="005111DF">
      <w:pPr>
        <w:widowControl w:val="0"/>
        <w:shd w:val="clear" w:color="auto" w:fill="FFFFFF" w:themeFill="background1"/>
        <w:autoSpaceDE w:val="0"/>
        <w:autoSpaceDN w:val="0"/>
        <w:adjustRightInd w:val="0"/>
        <w:spacing w:after="120"/>
        <w:ind w:firstLine="720"/>
        <w:contextualSpacing/>
        <w:jc w:val="both"/>
      </w:pPr>
      <w:r w:rsidRPr="0088393F">
        <w:t xml:space="preserve">Darba grupas ietvaros tika </w:t>
      </w:r>
      <w:r w:rsidR="0018419A" w:rsidRPr="0088393F">
        <w:t xml:space="preserve">rīkotas piecas </w:t>
      </w:r>
      <w:proofErr w:type="spellStart"/>
      <w:r w:rsidRPr="0088393F">
        <w:t>s</w:t>
      </w:r>
      <w:r w:rsidR="000302CC" w:rsidRPr="0088393F">
        <w:t>tarp</w:t>
      </w:r>
      <w:r w:rsidR="006D6D84" w:rsidRPr="0088393F">
        <w:t>institucionālas</w:t>
      </w:r>
      <w:proofErr w:type="spellEnd"/>
      <w:r w:rsidR="006D6D84" w:rsidRPr="0088393F">
        <w:t xml:space="preserve"> </w:t>
      </w:r>
      <w:r w:rsidRPr="0088393F">
        <w:t xml:space="preserve">sanāksmes, lai </w:t>
      </w:r>
      <w:r w:rsidR="000302CC" w:rsidRPr="0088393F">
        <w:t xml:space="preserve">(1) </w:t>
      </w:r>
      <w:r w:rsidRPr="0088393F">
        <w:t>pārrunātu ar ACA izstrādi saistītus jautājumus</w:t>
      </w:r>
      <w:r w:rsidR="000302CC" w:rsidRPr="0088393F">
        <w:t xml:space="preserve">, (2) </w:t>
      </w:r>
      <w:r w:rsidRPr="0088393F">
        <w:t>identi</w:t>
      </w:r>
      <w:r w:rsidR="001A167F" w:rsidRPr="0088393F">
        <w:t>ficētu jomas, kuras nepieciešam</w:t>
      </w:r>
      <w:r w:rsidRPr="0088393F">
        <w:t>s ietvert ACA</w:t>
      </w:r>
      <w:r w:rsidR="006D6D84" w:rsidRPr="0088393F">
        <w:t xml:space="preserve">, kā arī pārrunātu izstrādātā ACA projekta redakciju un </w:t>
      </w:r>
      <w:r w:rsidR="000302CC" w:rsidRPr="0088393F">
        <w:t xml:space="preserve">(3) </w:t>
      </w:r>
      <w:r w:rsidR="006D6D84" w:rsidRPr="0088393F">
        <w:t>vienotos par nepieciešamajiem uzlabojumiem</w:t>
      </w:r>
      <w:r w:rsidRPr="0088393F">
        <w:t xml:space="preserve">. </w:t>
      </w:r>
    </w:p>
    <w:p w14:paraId="0239C48F" w14:textId="77777777" w:rsidR="007446EB" w:rsidRPr="0088393F" w:rsidRDefault="0018419A" w:rsidP="005111DF">
      <w:pPr>
        <w:widowControl w:val="0"/>
        <w:shd w:val="clear" w:color="auto" w:fill="FFFFFF" w:themeFill="background1"/>
        <w:autoSpaceDE w:val="0"/>
        <w:autoSpaceDN w:val="0"/>
        <w:adjustRightInd w:val="0"/>
        <w:spacing w:after="120"/>
        <w:ind w:firstLine="720"/>
        <w:contextualSpacing/>
        <w:jc w:val="both"/>
      </w:pPr>
      <w:r w:rsidRPr="0088393F">
        <w:t>S</w:t>
      </w:r>
      <w:r w:rsidR="008E2C13" w:rsidRPr="0088393F">
        <w:t xml:space="preserve">eptiņu mēnešu laikā </w:t>
      </w:r>
      <w:r w:rsidR="003B53BE" w:rsidRPr="0088393F">
        <w:t>tika</w:t>
      </w:r>
      <w:r w:rsidRPr="0088393F">
        <w:t xml:space="preserve"> panākta vienošanās starp visām iesaistītajām iestādēm un </w:t>
      </w:r>
      <w:r w:rsidR="0056037C" w:rsidRPr="0088393F">
        <w:t>sagatavo</w:t>
      </w:r>
      <w:r w:rsidR="003B53BE" w:rsidRPr="0088393F">
        <w:t>t</w:t>
      </w:r>
      <w:r w:rsidR="0056037C" w:rsidRPr="0088393F">
        <w:t>s ACA projekts</w:t>
      </w:r>
      <w:r w:rsidRPr="0088393F">
        <w:t xml:space="preserve">, kas </w:t>
      </w:r>
      <w:r w:rsidR="008E2C13" w:rsidRPr="0088393F">
        <w:rPr>
          <w:b/>
        </w:rPr>
        <w:t xml:space="preserve">2017.gada 3.novembrī </w:t>
      </w:r>
      <w:r w:rsidR="005111DF" w:rsidRPr="0088393F">
        <w:rPr>
          <w:b/>
        </w:rPr>
        <w:t xml:space="preserve">tika </w:t>
      </w:r>
      <w:r w:rsidR="008E2C13" w:rsidRPr="0088393F">
        <w:rPr>
          <w:b/>
        </w:rPr>
        <w:t xml:space="preserve">nosūtīts </w:t>
      </w:r>
      <w:r w:rsidRPr="0088393F">
        <w:rPr>
          <w:b/>
        </w:rPr>
        <w:t>izskatīšanai</w:t>
      </w:r>
      <w:r w:rsidR="008E2C13" w:rsidRPr="0088393F">
        <w:rPr>
          <w:b/>
        </w:rPr>
        <w:t xml:space="preserve"> OLAF</w:t>
      </w:r>
      <w:r w:rsidR="008E2C13" w:rsidRPr="0088393F">
        <w:t xml:space="preserve"> (pavadraksta Nr. 14-13/7736). </w:t>
      </w:r>
      <w:r w:rsidR="0056037C" w:rsidRPr="0088393F">
        <w:t xml:space="preserve"> </w:t>
      </w:r>
      <w:r w:rsidRPr="0088393F">
        <w:t xml:space="preserve">ACA </w:t>
      </w:r>
      <w:r w:rsidR="005111DF" w:rsidRPr="0088393F">
        <w:t xml:space="preserve">bija plānots </w:t>
      </w:r>
      <w:r w:rsidRPr="0088393F">
        <w:t xml:space="preserve">parakstīt starp </w:t>
      </w:r>
      <w:r w:rsidR="00A86194" w:rsidRPr="0088393F">
        <w:t>FM,</w:t>
      </w:r>
      <w:r w:rsidR="005A32BC" w:rsidRPr="0088393F">
        <w:t xml:space="preserve"> </w:t>
      </w:r>
      <w:r w:rsidR="00F91DE9">
        <w:rPr>
          <w:bCs/>
        </w:rPr>
        <w:t>KNAB</w:t>
      </w:r>
      <w:r w:rsidR="005A32BC" w:rsidRPr="0088393F">
        <w:rPr>
          <w:bCs/>
        </w:rPr>
        <w:t xml:space="preserve">, </w:t>
      </w:r>
      <w:r w:rsidR="00F91DE9">
        <w:rPr>
          <w:bCs/>
        </w:rPr>
        <w:t>ĢP</w:t>
      </w:r>
      <w:r w:rsidR="005A32BC" w:rsidRPr="0088393F">
        <w:rPr>
          <w:bCs/>
        </w:rPr>
        <w:t xml:space="preserve">, </w:t>
      </w:r>
      <w:r w:rsidR="00F91DE9">
        <w:rPr>
          <w:bCs/>
        </w:rPr>
        <w:t>VP</w:t>
      </w:r>
      <w:r w:rsidR="005A32BC" w:rsidRPr="0088393F">
        <w:rPr>
          <w:bCs/>
        </w:rPr>
        <w:t xml:space="preserve">, </w:t>
      </w:r>
      <w:r w:rsidR="00F91DE9">
        <w:t>VID</w:t>
      </w:r>
      <w:r w:rsidR="005A32BC" w:rsidRPr="0088393F">
        <w:t xml:space="preserve"> un OLAF. </w:t>
      </w:r>
    </w:p>
    <w:p w14:paraId="7D364084" w14:textId="77777777" w:rsidR="00DC6776" w:rsidRPr="0088393F" w:rsidRDefault="00F97192" w:rsidP="005111DF">
      <w:pPr>
        <w:widowControl w:val="0"/>
        <w:shd w:val="clear" w:color="auto" w:fill="FFFFFF" w:themeFill="background1"/>
        <w:autoSpaceDE w:val="0"/>
        <w:autoSpaceDN w:val="0"/>
        <w:adjustRightInd w:val="0"/>
        <w:spacing w:after="120"/>
        <w:ind w:firstLine="720"/>
        <w:contextualSpacing/>
        <w:jc w:val="both"/>
      </w:pPr>
      <w:r w:rsidRPr="0088393F">
        <w:rPr>
          <w:b/>
        </w:rPr>
        <w:t>2018.gada 12.janvārī</w:t>
      </w:r>
      <w:r w:rsidR="008A54B1" w:rsidRPr="0088393F">
        <w:rPr>
          <w:b/>
        </w:rPr>
        <w:t xml:space="preserve"> tika </w:t>
      </w:r>
      <w:r w:rsidR="0056037C" w:rsidRPr="0088393F">
        <w:rPr>
          <w:b/>
        </w:rPr>
        <w:t>saņemta Eiro</w:t>
      </w:r>
      <w:r w:rsidR="009D1253" w:rsidRPr="0088393F">
        <w:rPr>
          <w:b/>
        </w:rPr>
        <w:t>p</w:t>
      </w:r>
      <w:r w:rsidR="0056037C" w:rsidRPr="0088393F">
        <w:rPr>
          <w:b/>
        </w:rPr>
        <w:t xml:space="preserve">as Komisijas Budžeta un cilvēkresursu komisāra </w:t>
      </w:r>
      <w:proofErr w:type="spellStart"/>
      <w:r w:rsidR="0056037C" w:rsidRPr="0088393F">
        <w:rPr>
          <w:b/>
        </w:rPr>
        <w:t>Gunther</w:t>
      </w:r>
      <w:proofErr w:type="spellEnd"/>
      <w:r w:rsidR="0056037C" w:rsidRPr="0088393F">
        <w:rPr>
          <w:b/>
        </w:rPr>
        <w:t xml:space="preserve"> </w:t>
      </w:r>
      <w:proofErr w:type="spellStart"/>
      <w:r w:rsidR="0056037C" w:rsidRPr="0088393F">
        <w:rPr>
          <w:b/>
        </w:rPr>
        <w:t>H.Oettinger</w:t>
      </w:r>
      <w:proofErr w:type="spellEnd"/>
      <w:r w:rsidR="0056037C" w:rsidRPr="0088393F">
        <w:t xml:space="preserve"> atbilde</w:t>
      </w:r>
      <w:r w:rsidR="0018419A" w:rsidRPr="0088393F">
        <w:rPr>
          <w:rStyle w:val="FootnoteReference"/>
        </w:rPr>
        <w:footnoteReference w:id="13"/>
      </w:r>
      <w:r w:rsidR="0056037C" w:rsidRPr="0088393F">
        <w:t xml:space="preserve">, </w:t>
      </w:r>
      <w:r w:rsidR="008A54B1" w:rsidRPr="0088393F">
        <w:t>skaidrojot</w:t>
      </w:r>
      <w:r w:rsidRPr="0088393F">
        <w:t xml:space="preserve">, ka OLAF </w:t>
      </w:r>
      <w:r w:rsidR="00494188" w:rsidRPr="0088393F">
        <w:t xml:space="preserve">ir mainījis politiku un tā vairs </w:t>
      </w:r>
      <w:r w:rsidR="0056037C" w:rsidRPr="0088393F">
        <w:rPr>
          <w:b/>
        </w:rPr>
        <w:t>neparedz ACA slēgšanu ar dalībvalstīm</w:t>
      </w:r>
      <w:r w:rsidR="00494188" w:rsidRPr="0088393F">
        <w:t>. FM ministrei adresētajā vēstulē</w:t>
      </w:r>
      <w:r w:rsidR="0056037C" w:rsidRPr="0088393F">
        <w:t xml:space="preserve"> </w:t>
      </w:r>
      <w:r w:rsidR="00FA2185" w:rsidRPr="0088393F">
        <w:t>izteikts piedāvājums</w:t>
      </w:r>
      <w:r w:rsidRPr="0088393F">
        <w:t xml:space="preserve"> tik</w:t>
      </w:r>
      <w:r w:rsidR="00FA2185" w:rsidRPr="0088393F">
        <w:t>ties</w:t>
      </w:r>
      <w:r w:rsidR="0056037C" w:rsidRPr="0088393F">
        <w:t xml:space="preserve"> ar OLAF politikas plānošana</w:t>
      </w:r>
      <w:r w:rsidR="005A32BC" w:rsidRPr="0088393F">
        <w:t xml:space="preserve">s direktorāta vadītāju </w:t>
      </w:r>
      <w:proofErr w:type="spellStart"/>
      <w:r w:rsidR="005A32BC" w:rsidRPr="0088393F">
        <w:t>Margarete</w:t>
      </w:r>
      <w:proofErr w:type="spellEnd"/>
      <w:r w:rsidR="0056037C" w:rsidRPr="0088393F">
        <w:t xml:space="preserve"> </w:t>
      </w:r>
      <w:proofErr w:type="spellStart"/>
      <w:r w:rsidR="0056037C" w:rsidRPr="0088393F">
        <w:t>Hofmann</w:t>
      </w:r>
      <w:proofErr w:type="spellEnd"/>
      <w:r w:rsidR="00F91DE9">
        <w:t xml:space="preserve"> </w:t>
      </w:r>
      <w:r w:rsidR="008A54B1" w:rsidRPr="0088393F">
        <w:t xml:space="preserve">un Latvijas </w:t>
      </w:r>
      <w:r w:rsidR="00F3038F" w:rsidRPr="0088393F">
        <w:t>institūcijām</w:t>
      </w:r>
      <w:r w:rsidR="00FA2185" w:rsidRPr="0088393F">
        <w:t xml:space="preserve"> sadarbības stiprināšanas nolūkā</w:t>
      </w:r>
      <w:r w:rsidR="0056037C" w:rsidRPr="0088393F">
        <w:t>.</w:t>
      </w:r>
    </w:p>
    <w:p w14:paraId="25560C5B" w14:textId="1C0BC2EC" w:rsidR="006A302A" w:rsidRPr="0088393F" w:rsidRDefault="001932C7" w:rsidP="003201E1">
      <w:pPr>
        <w:widowControl w:val="0"/>
        <w:shd w:val="clear" w:color="auto" w:fill="FFFFFF" w:themeFill="background1"/>
        <w:autoSpaceDE w:val="0"/>
        <w:autoSpaceDN w:val="0"/>
        <w:adjustRightInd w:val="0"/>
        <w:spacing w:after="120"/>
        <w:ind w:firstLine="720"/>
        <w:contextualSpacing/>
        <w:jc w:val="both"/>
      </w:pPr>
      <w:r>
        <w:t>Tikšanās p</w:t>
      </w:r>
      <w:r w:rsidR="006A302A" w:rsidRPr="0088393F">
        <w:t xml:space="preserve">iedāvājums tika pieņemts un 2018. gada 19. martā </w:t>
      </w:r>
      <w:r w:rsidR="000F72F0">
        <w:t xml:space="preserve">Rīgā, Finanšu ministrijas telpās </w:t>
      </w:r>
      <w:r>
        <w:t xml:space="preserve">notika </w:t>
      </w:r>
      <w:r w:rsidR="006A302A" w:rsidRPr="0088393F">
        <w:t>sanāksme, kurā piedalījās pārstāvj</w:t>
      </w:r>
      <w:r w:rsidR="008A54B1" w:rsidRPr="0088393F">
        <w:t>i no OLAF un 11</w:t>
      </w:r>
      <w:r w:rsidR="00F91DE9">
        <w:rPr>
          <w:rStyle w:val="FootnoteReference"/>
        </w:rPr>
        <w:footnoteReference w:id="14"/>
      </w:r>
      <w:r w:rsidR="008A54B1" w:rsidRPr="0088393F">
        <w:t xml:space="preserve"> AFCOS padomes darbā</w:t>
      </w:r>
      <w:r w:rsidR="006A302A" w:rsidRPr="0088393F">
        <w:t xml:space="preserve"> i</w:t>
      </w:r>
      <w:r w:rsidR="008A54B1" w:rsidRPr="0088393F">
        <w:t>esaistīt</w:t>
      </w:r>
      <w:r w:rsidR="00487F04">
        <w:t>ajām</w:t>
      </w:r>
      <w:r w:rsidR="008A54B1" w:rsidRPr="0088393F">
        <w:t xml:space="preserve"> </w:t>
      </w:r>
      <w:r w:rsidRPr="0088393F">
        <w:t>iestād</w:t>
      </w:r>
      <w:r w:rsidR="00487F04">
        <w:t>ēm</w:t>
      </w:r>
      <w:r w:rsidR="006A302A" w:rsidRPr="0088393F">
        <w:t xml:space="preserve">. Sanāksmes </w:t>
      </w:r>
      <w:r w:rsidR="00E43D07" w:rsidRPr="0088393F">
        <w:t>laik</w:t>
      </w:r>
      <w:r w:rsidR="006A302A" w:rsidRPr="0088393F">
        <w:t>ā OLAF pārstāvji sniedza īsu prezentāciju par OLAF funkcijām un kompetencēm, kā arī skaidrojumu par OLAF politikas maiņu</w:t>
      </w:r>
      <w:r w:rsidR="003201E1">
        <w:t>.</w:t>
      </w:r>
      <w:r w:rsidR="006A302A" w:rsidRPr="0088393F">
        <w:t xml:space="preserve"> Regula 883/2013 </w:t>
      </w:r>
      <w:r w:rsidR="000F72F0">
        <w:t xml:space="preserve">ir </w:t>
      </w:r>
      <w:r w:rsidR="006A302A" w:rsidRPr="0088393F">
        <w:t>tieš</w:t>
      </w:r>
      <w:r w:rsidR="000F72F0">
        <w:t>i</w:t>
      </w:r>
      <w:r w:rsidR="006A302A" w:rsidRPr="0088393F">
        <w:t xml:space="preserve"> piemēroja</w:t>
      </w:r>
      <w:r w:rsidR="003201E1">
        <w:t>m</w:t>
      </w:r>
      <w:r w:rsidR="000F72F0">
        <w:t>a</w:t>
      </w:r>
      <w:r w:rsidR="003201E1">
        <w:t xml:space="preserve"> </w:t>
      </w:r>
      <w:r w:rsidR="006A302A" w:rsidRPr="0088393F">
        <w:t>atbalsta nodrošināšanai OLAF izmeklētājiem</w:t>
      </w:r>
      <w:r w:rsidR="000F72F0">
        <w:t>. Tika</w:t>
      </w:r>
      <w:r w:rsidR="006A302A" w:rsidRPr="0088393F">
        <w:t xml:space="preserve">  </w:t>
      </w:r>
      <w:r w:rsidR="00E43D07" w:rsidRPr="0088393F">
        <w:t>norādīts</w:t>
      </w:r>
      <w:r w:rsidR="006A302A" w:rsidRPr="0088393F">
        <w:t xml:space="preserve"> uz nepieciešamību grozīt nacionālos normatīvos aktus, ja pastāv kādi ierobežojumi atbalsta nodrošināšanai OLAF. </w:t>
      </w:r>
      <w:r>
        <w:t xml:space="preserve">Tāpat tika uzsvērtas </w:t>
      </w:r>
      <w:r w:rsidR="006A302A" w:rsidRPr="0088393F">
        <w:t>OLAF izmeklētāju pozitīv</w:t>
      </w:r>
      <w:r>
        <w:t>ās</w:t>
      </w:r>
      <w:r w:rsidR="006A302A" w:rsidRPr="0088393F">
        <w:t xml:space="preserve"> </w:t>
      </w:r>
      <w:r w:rsidRPr="0088393F">
        <w:t>atsauksm</w:t>
      </w:r>
      <w:r>
        <w:t>es</w:t>
      </w:r>
      <w:r w:rsidRPr="0088393F">
        <w:t xml:space="preserve"> </w:t>
      </w:r>
      <w:r w:rsidR="006A302A" w:rsidRPr="0088393F">
        <w:t xml:space="preserve">par līdzšinējo sadarbību ar Latviju. </w:t>
      </w:r>
    </w:p>
    <w:p w14:paraId="57552C2B" w14:textId="1C394F54" w:rsidR="003D1BEE" w:rsidRPr="00DB33FE" w:rsidRDefault="008A54B1" w:rsidP="00DD31AC">
      <w:pPr>
        <w:widowControl w:val="0"/>
        <w:autoSpaceDE w:val="0"/>
        <w:autoSpaceDN w:val="0"/>
        <w:adjustRightInd w:val="0"/>
        <w:spacing w:after="120"/>
        <w:ind w:firstLine="720"/>
        <w:contextualSpacing/>
        <w:jc w:val="both"/>
      </w:pPr>
      <w:r w:rsidRPr="00DB33FE">
        <w:t>2018. gada 11. ma</w:t>
      </w:r>
      <w:r>
        <w:t xml:space="preserve">ijā </w:t>
      </w:r>
      <w:r w:rsidR="003D1BEE">
        <w:t>AFCOS padome nolēma, ka efektīvai un pilnvērtīgai Regulas 883/2013 piemērošanai, nepieciešams veikt grozījumus normatīvajos aktos un</w:t>
      </w:r>
      <w:r w:rsidR="00DD31AC">
        <w:t>,</w:t>
      </w:r>
      <w:r w:rsidR="003D1BEE">
        <w:t xml:space="preserve">  ņemot vērā to, ka OLAF darbojas administratīvās izmeklēšanas līmenī, visefektīvāk būtu izstrādāt R</w:t>
      </w:r>
      <w:r w:rsidR="00FE1FBB">
        <w:t>egulas 883/2013 atbalsta likumu</w:t>
      </w:r>
      <w:r w:rsidR="00535517">
        <w:t xml:space="preserve"> (</w:t>
      </w:r>
      <w:r w:rsidR="003201E1">
        <w:t>skatīt sadaļu</w:t>
      </w:r>
      <w:r w:rsidR="00535517">
        <w:t xml:space="preserve"> A.1.3.)</w:t>
      </w:r>
      <w:r w:rsidR="003201E1">
        <w:t>.</w:t>
      </w:r>
    </w:p>
    <w:p w14:paraId="798C5A44" w14:textId="77777777" w:rsidR="000302CC" w:rsidRPr="005111DF" w:rsidRDefault="000302CC" w:rsidP="00535517">
      <w:pPr>
        <w:widowControl w:val="0"/>
        <w:autoSpaceDE w:val="0"/>
        <w:autoSpaceDN w:val="0"/>
        <w:adjustRightInd w:val="0"/>
        <w:spacing w:after="120"/>
        <w:contextualSpacing/>
        <w:jc w:val="both"/>
        <w:rPr>
          <w:b/>
          <w:bCs/>
          <w:color w:val="808080" w:themeColor="background1" w:themeShade="80"/>
          <w:u w:val="single"/>
        </w:rPr>
      </w:pPr>
    </w:p>
    <w:p w14:paraId="186FCB15" w14:textId="68A548FD" w:rsidR="00F97192" w:rsidRPr="005111DF" w:rsidRDefault="00DC780B" w:rsidP="00535517">
      <w:pPr>
        <w:widowControl w:val="0"/>
        <w:autoSpaceDE w:val="0"/>
        <w:autoSpaceDN w:val="0"/>
        <w:adjustRightInd w:val="0"/>
        <w:spacing w:after="120"/>
        <w:ind w:firstLine="720"/>
        <w:contextualSpacing/>
        <w:jc w:val="both"/>
        <w:rPr>
          <w:b/>
        </w:rPr>
      </w:pPr>
      <w:r w:rsidRPr="00487F04">
        <w:rPr>
          <w:b/>
          <w:bCs/>
        </w:rPr>
        <w:t>Izpildes statuss</w:t>
      </w:r>
      <w:r w:rsidR="000302CC" w:rsidRPr="00487F04">
        <w:rPr>
          <w:b/>
          <w:bCs/>
        </w:rPr>
        <w:t xml:space="preserve">: </w:t>
      </w:r>
      <w:r w:rsidR="00F97192" w:rsidRPr="00487F04">
        <w:rPr>
          <w:bCs/>
        </w:rPr>
        <w:t xml:space="preserve">ACA </w:t>
      </w:r>
      <w:r w:rsidR="00DD31AC">
        <w:rPr>
          <w:bCs/>
        </w:rPr>
        <w:t xml:space="preserve">parakstīšana ir atlikta sakarā ar OLAF </w:t>
      </w:r>
      <w:r w:rsidR="003201E1">
        <w:rPr>
          <w:bCs/>
        </w:rPr>
        <w:t>politikas</w:t>
      </w:r>
      <w:r w:rsidR="00DD31AC">
        <w:rPr>
          <w:bCs/>
        </w:rPr>
        <w:t xml:space="preserve"> maiņu. Tā vietā tiek ierosināts izstrādāt jaunu likumu – skatīt A.1.3. sadaļu</w:t>
      </w:r>
      <w:r w:rsidR="003D1BEE" w:rsidRPr="00487F04">
        <w:rPr>
          <w:bCs/>
        </w:rPr>
        <w:t>.</w:t>
      </w:r>
    </w:p>
    <w:p w14:paraId="738BC20E" w14:textId="2F33582E" w:rsidR="003201E1" w:rsidRPr="00E54E87" w:rsidRDefault="003201E1" w:rsidP="003201E1">
      <w:pPr>
        <w:widowControl w:val="0"/>
        <w:autoSpaceDE w:val="0"/>
        <w:autoSpaceDN w:val="0"/>
        <w:adjustRightInd w:val="0"/>
        <w:spacing w:after="120"/>
        <w:contextualSpacing/>
        <w:jc w:val="both"/>
        <w:rPr>
          <w:color w:val="FF0000"/>
        </w:rPr>
      </w:pPr>
    </w:p>
    <w:p w14:paraId="7454B38A" w14:textId="77777777" w:rsidR="00A34A4F" w:rsidRPr="0017569A" w:rsidRDefault="00A34A4F" w:rsidP="00B37C59">
      <w:pPr>
        <w:widowControl w:val="0"/>
        <w:autoSpaceDE w:val="0"/>
        <w:autoSpaceDN w:val="0"/>
        <w:adjustRightInd w:val="0"/>
        <w:spacing w:after="120"/>
        <w:ind w:firstLine="851"/>
        <w:contextualSpacing/>
        <w:jc w:val="both"/>
        <w:rPr>
          <w:i/>
          <w:sz w:val="22"/>
        </w:rPr>
      </w:pPr>
      <w:r w:rsidRPr="000E7C71">
        <w:rPr>
          <w:b/>
          <w:sz w:val="28"/>
        </w:rPr>
        <w:t>A</w:t>
      </w:r>
      <w:r w:rsidR="0035677F" w:rsidRPr="006F503E">
        <w:rPr>
          <w:b/>
          <w:sz w:val="28"/>
        </w:rPr>
        <w:t>.2.2. P</w:t>
      </w:r>
      <w:r w:rsidRPr="006F503E">
        <w:rPr>
          <w:b/>
          <w:sz w:val="28"/>
        </w:rPr>
        <w:t xml:space="preserve">asākums </w:t>
      </w:r>
      <w:r w:rsidR="0035677F" w:rsidRPr="006F503E">
        <w:rPr>
          <w:b/>
          <w:sz w:val="28"/>
        </w:rPr>
        <w:t>Nr.2</w:t>
      </w:r>
      <w:r w:rsidR="006F503E">
        <w:rPr>
          <w:b/>
          <w:sz w:val="28"/>
        </w:rPr>
        <w:t xml:space="preserve"> </w:t>
      </w:r>
      <w:r w:rsidRPr="00E54E87">
        <w:t xml:space="preserve">- </w:t>
      </w:r>
      <w:r w:rsidRPr="0017569A">
        <w:rPr>
          <w:i/>
          <w:sz w:val="22"/>
        </w:rPr>
        <w:t>Komunikācijas un informācijas apmaiņas stiprināšana starp visām kompetentajām institūcijām.</w:t>
      </w:r>
    </w:p>
    <w:p w14:paraId="7078AF0A" w14:textId="77777777" w:rsidR="00535517" w:rsidRDefault="00535517" w:rsidP="003D1BEE">
      <w:pPr>
        <w:widowControl w:val="0"/>
        <w:autoSpaceDE w:val="0"/>
        <w:autoSpaceDN w:val="0"/>
        <w:adjustRightInd w:val="0"/>
        <w:spacing w:after="120"/>
        <w:ind w:firstLine="720"/>
        <w:contextualSpacing/>
        <w:jc w:val="both"/>
        <w:rPr>
          <w:b/>
          <w:bCs/>
        </w:rPr>
      </w:pPr>
    </w:p>
    <w:p w14:paraId="14449706" w14:textId="53BFC4B2" w:rsidR="00313B5B" w:rsidRPr="00044B3A" w:rsidRDefault="003D1BEE" w:rsidP="003201E1">
      <w:pPr>
        <w:widowControl w:val="0"/>
        <w:autoSpaceDE w:val="0"/>
        <w:autoSpaceDN w:val="0"/>
        <w:adjustRightInd w:val="0"/>
        <w:spacing w:after="120"/>
        <w:contextualSpacing/>
        <w:jc w:val="both"/>
        <w:rPr>
          <w:bCs/>
        </w:rPr>
      </w:pPr>
      <w:r>
        <w:rPr>
          <w:b/>
          <w:bCs/>
        </w:rPr>
        <w:t>I</w:t>
      </w:r>
      <w:r w:rsidRPr="00E54E87">
        <w:rPr>
          <w:b/>
          <w:bCs/>
        </w:rPr>
        <w:t>zpildes statuss</w:t>
      </w:r>
      <w:r w:rsidR="00D539F7" w:rsidRPr="00E54E87">
        <w:rPr>
          <w:b/>
          <w:bCs/>
        </w:rPr>
        <w:t xml:space="preserve">: </w:t>
      </w:r>
      <w:r w:rsidRPr="00E54E87">
        <w:rPr>
          <w:b/>
          <w:bCs/>
        </w:rPr>
        <w:t>izpildīts</w:t>
      </w:r>
      <w:r>
        <w:rPr>
          <w:b/>
          <w:bCs/>
        </w:rPr>
        <w:t xml:space="preserve">, noziņots MK 2018. gadā. </w:t>
      </w:r>
    </w:p>
    <w:p w14:paraId="3859CBD5" w14:textId="3B4978F8" w:rsidR="0017569A" w:rsidRDefault="0017569A" w:rsidP="00B37C59">
      <w:pPr>
        <w:widowControl w:val="0"/>
        <w:autoSpaceDE w:val="0"/>
        <w:autoSpaceDN w:val="0"/>
        <w:adjustRightInd w:val="0"/>
        <w:spacing w:after="120"/>
        <w:ind w:firstLine="851"/>
        <w:contextualSpacing/>
        <w:jc w:val="center"/>
        <w:rPr>
          <w:b/>
          <w:sz w:val="28"/>
        </w:rPr>
      </w:pPr>
    </w:p>
    <w:p w14:paraId="0CB2998A" w14:textId="77777777" w:rsidR="00F47244" w:rsidRDefault="00F47244" w:rsidP="00B37C59">
      <w:pPr>
        <w:widowControl w:val="0"/>
        <w:autoSpaceDE w:val="0"/>
        <w:autoSpaceDN w:val="0"/>
        <w:adjustRightInd w:val="0"/>
        <w:spacing w:after="120"/>
        <w:ind w:firstLine="851"/>
        <w:contextualSpacing/>
        <w:jc w:val="center"/>
        <w:rPr>
          <w:b/>
          <w:sz w:val="28"/>
        </w:rPr>
      </w:pPr>
    </w:p>
    <w:p w14:paraId="26627C73" w14:textId="646957CA" w:rsidR="0035677F" w:rsidRPr="006F503E" w:rsidRDefault="0035677F" w:rsidP="00B37C59">
      <w:pPr>
        <w:widowControl w:val="0"/>
        <w:autoSpaceDE w:val="0"/>
        <w:autoSpaceDN w:val="0"/>
        <w:adjustRightInd w:val="0"/>
        <w:spacing w:after="120"/>
        <w:ind w:firstLine="851"/>
        <w:contextualSpacing/>
        <w:jc w:val="center"/>
        <w:rPr>
          <w:b/>
          <w:sz w:val="28"/>
        </w:rPr>
      </w:pPr>
      <w:r w:rsidRPr="006F503E">
        <w:rPr>
          <w:b/>
          <w:sz w:val="28"/>
        </w:rPr>
        <w:lastRenderedPageBreak/>
        <w:t>A.3. RĪCĪBAS VIRZIENS- PREVENTĪVIE PASĀKUMI KRĀPŠANAS NOVĒRŠANAI</w:t>
      </w:r>
    </w:p>
    <w:p w14:paraId="2B4D1541" w14:textId="77777777" w:rsidR="0035677F" w:rsidRPr="00E54E87" w:rsidRDefault="0035677F" w:rsidP="00B37C59">
      <w:pPr>
        <w:widowControl w:val="0"/>
        <w:autoSpaceDE w:val="0"/>
        <w:autoSpaceDN w:val="0"/>
        <w:adjustRightInd w:val="0"/>
        <w:spacing w:after="120"/>
        <w:ind w:firstLine="851"/>
        <w:contextualSpacing/>
        <w:jc w:val="both"/>
        <w:rPr>
          <w:b/>
        </w:rPr>
      </w:pPr>
    </w:p>
    <w:p w14:paraId="47353169" w14:textId="11F70AE8" w:rsidR="00DD31AC" w:rsidRDefault="00673807" w:rsidP="00673807">
      <w:pPr>
        <w:widowControl w:val="0"/>
        <w:autoSpaceDE w:val="0"/>
        <w:autoSpaceDN w:val="0"/>
        <w:adjustRightInd w:val="0"/>
        <w:spacing w:after="120"/>
        <w:ind w:firstLine="851"/>
        <w:contextualSpacing/>
        <w:jc w:val="both"/>
        <w:rPr>
          <w:b/>
          <w:sz w:val="28"/>
        </w:rPr>
      </w:pPr>
      <w:r w:rsidRPr="006F503E">
        <w:rPr>
          <w:b/>
          <w:sz w:val="28"/>
        </w:rPr>
        <w:t>A.3.1. Pasākums Nr.1</w:t>
      </w:r>
      <w:r w:rsidR="00DD31AC">
        <w:rPr>
          <w:b/>
          <w:sz w:val="28"/>
        </w:rPr>
        <w:t>. Sabiedrības informē</w:t>
      </w:r>
      <w:r w:rsidR="003201E1">
        <w:rPr>
          <w:b/>
          <w:sz w:val="28"/>
        </w:rPr>
        <w:t>tība</w:t>
      </w:r>
    </w:p>
    <w:p w14:paraId="5EB557F8" w14:textId="0CDFADB3" w:rsidR="00673807" w:rsidRPr="00641B9A" w:rsidRDefault="00673807" w:rsidP="00673807">
      <w:pPr>
        <w:widowControl w:val="0"/>
        <w:autoSpaceDE w:val="0"/>
        <w:autoSpaceDN w:val="0"/>
        <w:adjustRightInd w:val="0"/>
        <w:spacing w:after="120"/>
        <w:ind w:firstLine="851"/>
        <w:contextualSpacing/>
        <w:jc w:val="both"/>
        <w:rPr>
          <w:i/>
          <w:sz w:val="22"/>
        </w:rPr>
      </w:pPr>
      <w:r w:rsidRPr="00641B9A">
        <w:rPr>
          <w:i/>
          <w:sz w:val="22"/>
        </w:rPr>
        <w:t>Komunikācija par preventīviem pasākumiem ar sabiedrību par krāpšanas apkarošanas jautājumiem saskaņā ar vispārējām komunikatoru tīkla (OAFCN) noteiktajām iniciatīvām.</w:t>
      </w:r>
    </w:p>
    <w:p w14:paraId="6DFCA23A" w14:textId="77777777" w:rsidR="00673807" w:rsidRPr="00641B9A" w:rsidRDefault="00673807" w:rsidP="00673807">
      <w:pPr>
        <w:widowControl w:val="0"/>
        <w:autoSpaceDE w:val="0"/>
        <w:autoSpaceDN w:val="0"/>
        <w:adjustRightInd w:val="0"/>
        <w:spacing w:after="120"/>
        <w:ind w:firstLine="851"/>
        <w:contextualSpacing/>
        <w:jc w:val="both"/>
        <w:rPr>
          <w:sz w:val="22"/>
        </w:rPr>
      </w:pPr>
      <w:r w:rsidRPr="00641B9A">
        <w:rPr>
          <w:sz w:val="22"/>
        </w:rPr>
        <w:t>Par pasākuma izpildi atbildīgā institūcija –</w:t>
      </w:r>
      <w:r w:rsidR="006F503E" w:rsidRPr="00641B9A">
        <w:rPr>
          <w:sz w:val="22"/>
        </w:rPr>
        <w:t xml:space="preserve"> </w:t>
      </w:r>
      <w:r w:rsidRPr="00641B9A">
        <w:rPr>
          <w:sz w:val="22"/>
        </w:rPr>
        <w:t>AFCOS.</w:t>
      </w:r>
    </w:p>
    <w:p w14:paraId="0FE882CF" w14:textId="77777777" w:rsidR="00673807" w:rsidRPr="00641B9A" w:rsidRDefault="00673807" w:rsidP="00673807">
      <w:pPr>
        <w:ind w:left="851"/>
        <w:contextualSpacing/>
        <w:jc w:val="both"/>
        <w:rPr>
          <w:sz w:val="22"/>
        </w:rPr>
      </w:pPr>
      <w:r w:rsidRPr="00641B9A">
        <w:rPr>
          <w:sz w:val="22"/>
        </w:rPr>
        <w:t xml:space="preserve">Pasākuma izpildes termiņš – </w:t>
      </w:r>
      <w:r w:rsidRPr="00641B9A">
        <w:rPr>
          <w:sz w:val="22"/>
          <w:lang w:eastAsia="lv-LV"/>
        </w:rPr>
        <w:t xml:space="preserve">katru gadu līdz 30.jūnijam par plāniem un līdz 31.janvārim par iepriekšējā gadā paveikto </w:t>
      </w:r>
      <w:r w:rsidRPr="00641B9A">
        <w:rPr>
          <w:sz w:val="22"/>
        </w:rPr>
        <w:t>(ar precizitāti līdz pusgadam).</w:t>
      </w:r>
    </w:p>
    <w:p w14:paraId="65EEFCDD" w14:textId="77777777" w:rsidR="00673807" w:rsidRPr="006B2EB3" w:rsidRDefault="00673807" w:rsidP="00673807">
      <w:pPr>
        <w:ind w:left="851"/>
        <w:contextualSpacing/>
        <w:jc w:val="both"/>
      </w:pPr>
    </w:p>
    <w:p w14:paraId="1C6796EF" w14:textId="7FAFE83C" w:rsidR="00673807" w:rsidRPr="00E92867" w:rsidRDefault="00673807" w:rsidP="00646525">
      <w:pPr>
        <w:ind w:firstLine="720"/>
        <w:contextualSpacing/>
        <w:jc w:val="both"/>
      </w:pPr>
      <w:r w:rsidRPr="00E92867">
        <w:t>Atbilstoši 2017.gadā uzsāktajam, izveidots vienots AFCOS Latvija kompetento iestāžu komunikatoru tīkls (AAFCN),</w:t>
      </w:r>
      <w:r>
        <w:t xml:space="preserve"> kas</w:t>
      </w:r>
      <w:r w:rsidRPr="00E92867">
        <w:t xml:space="preserve"> 2018.gadā turpināja darbu, </w:t>
      </w:r>
      <w:r w:rsidR="005A7843">
        <w:t xml:space="preserve">gan </w:t>
      </w:r>
      <w:r w:rsidRPr="00E92867">
        <w:t xml:space="preserve">stiprinot sadarbību </w:t>
      </w:r>
      <w:r>
        <w:t xml:space="preserve">AFCOS </w:t>
      </w:r>
      <w:r w:rsidRPr="00E92867">
        <w:t>k</w:t>
      </w:r>
      <w:r w:rsidR="005A7843">
        <w:t xml:space="preserve">ompetento iestāžu vidū Latvijā, gan </w:t>
      </w:r>
      <w:r>
        <w:t xml:space="preserve">sadarbībā </w:t>
      </w:r>
      <w:r w:rsidR="005A7843">
        <w:t xml:space="preserve">ar OLAF. </w:t>
      </w:r>
    </w:p>
    <w:p w14:paraId="4D1610D6" w14:textId="77777777" w:rsidR="00673807" w:rsidRPr="00E92867" w:rsidRDefault="00673807" w:rsidP="00646525">
      <w:pPr>
        <w:ind w:firstLine="720"/>
        <w:contextualSpacing/>
        <w:jc w:val="both"/>
      </w:pPr>
      <w:r w:rsidRPr="00E92867">
        <w:t xml:space="preserve">AAFCN sadarbībā ar citām iestādēm 2018.gadā turpināja sociāli informatīvo kampaņu </w:t>
      </w:r>
      <w:proofErr w:type="spellStart"/>
      <w:r w:rsidRPr="00E92867">
        <w:rPr>
          <w:b/>
        </w:rPr>
        <w:t>Pretkrāpšanas</w:t>
      </w:r>
      <w:proofErr w:type="spellEnd"/>
      <w:r w:rsidRPr="00E92867">
        <w:rPr>
          <w:b/>
        </w:rPr>
        <w:t xml:space="preserve"> kustība #Atkrāpies!</w:t>
      </w:r>
      <w:r w:rsidR="00F3038F">
        <w:t xml:space="preserve"> 2018.gada kampaņas tēma </w:t>
      </w:r>
      <w:r w:rsidRPr="00E92867">
        <w:t xml:space="preserve">– </w:t>
      </w:r>
      <w:r w:rsidRPr="00E92867">
        <w:rPr>
          <w:b/>
        </w:rPr>
        <w:t>darba attiecību kultūra</w:t>
      </w:r>
      <w:r w:rsidRPr="00E92867">
        <w:rPr>
          <w:rStyle w:val="FootnoteReference"/>
          <w:b/>
        </w:rPr>
        <w:footnoteReference w:id="15"/>
      </w:r>
      <w:r w:rsidRPr="00E92867">
        <w:t>.</w:t>
      </w:r>
      <w:r>
        <w:t xml:space="preserve"> </w:t>
      </w:r>
      <w:r w:rsidRPr="00E92867">
        <w:t xml:space="preserve">Interaktīvā veidā </w:t>
      </w:r>
      <w:r w:rsidR="005A7843">
        <w:t xml:space="preserve">tika </w:t>
      </w:r>
      <w:r w:rsidRPr="00E92867">
        <w:t xml:space="preserve">uzrunāti jaunieši </w:t>
      </w:r>
      <w:r w:rsidRPr="00097BC6">
        <w:rPr>
          <w:b/>
        </w:rPr>
        <w:t>vecuma kategorijā no 16 līdz 24 gadiem</w:t>
      </w:r>
      <w:r w:rsidRPr="00E92867">
        <w:t>. Komunikācija veidota ar piecu praktisku padomu pal</w:t>
      </w:r>
      <w:r w:rsidR="000E7C71">
        <w:t>īdzību, kas jāņem vērā jauniešiem</w:t>
      </w:r>
      <w:r w:rsidRPr="00E92867">
        <w:t xml:space="preserve"> uzsākot pirmās darba tiesiskās attiecības. Sadarbībā ar </w:t>
      </w:r>
      <w:r w:rsidR="005A7843">
        <w:t xml:space="preserve">VID </w:t>
      </w:r>
      <w:r w:rsidRPr="00E92867">
        <w:t xml:space="preserve">un </w:t>
      </w:r>
      <w:r w:rsidR="005A7843">
        <w:t xml:space="preserve">VDI tika </w:t>
      </w:r>
      <w:r w:rsidRPr="00E92867">
        <w:t>izveidots viegli uztverams video</w:t>
      </w:r>
      <w:r w:rsidRPr="00E92867">
        <w:rPr>
          <w:rStyle w:val="FootnoteReference"/>
        </w:rPr>
        <w:footnoteReference w:id="16"/>
      </w:r>
      <w:r w:rsidRPr="00E92867">
        <w:t xml:space="preserve">. Video demonstrēšana un klātienes tikšanās ar jauniešiem notika dažādos </w:t>
      </w:r>
      <w:r w:rsidR="002679D2">
        <w:t xml:space="preserve">izglītojošos un </w:t>
      </w:r>
      <w:r w:rsidRPr="00E92867">
        <w:t xml:space="preserve">vides pasākumos, kā piemēram, </w:t>
      </w:r>
      <w:r w:rsidR="000E7C71">
        <w:t>VIAA</w:t>
      </w:r>
      <w:r w:rsidRPr="00E92867">
        <w:t xml:space="preserve"> karjeras izstādē Ķīpsalā “</w:t>
      </w:r>
      <w:proofErr w:type="spellStart"/>
      <w:r w:rsidRPr="00E92867">
        <w:t>SkillsLatvia</w:t>
      </w:r>
      <w:proofErr w:type="spellEnd"/>
      <w:r w:rsidRPr="00E92867">
        <w:t xml:space="preserve">”, kur kopā ar radošās apvienības “Spiediens” aktieriem tika nodrošināta komunikācija ar jauniešiem ar improvizācijas etīžu palīdzību. Tāpat </w:t>
      </w:r>
      <w:proofErr w:type="spellStart"/>
      <w:r w:rsidR="005A7843" w:rsidRPr="005A7843">
        <w:t>Pretkrāpšanas</w:t>
      </w:r>
      <w:proofErr w:type="spellEnd"/>
      <w:r w:rsidR="005A7843" w:rsidRPr="005A7843">
        <w:t xml:space="preserve"> kustība #Atkrāpies! ņēma dalību</w:t>
      </w:r>
      <w:r w:rsidR="005A7843">
        <w:rPr>
          <w:b/>
        </w:rPr>
        <w:t xml:space="preserve"> </w:t>
      </w:r>
      <w:r w:rsidRPr="00E92867">
        <w:t>aktīvi inteliģenta</w:t>
      </w:r>
      <w:r w:rsidR="005A7843">
        <w:t>jā brīvdabas festivālā “LAMPA” un</w:t>
      </w:r>
      <w:r w:rsidRPr="00E92867">
        <w:t xml:space="preserve"> vides pasāk</w:t>
      </w:r>
      <w:r w:rsidR="005A7843">
        <w:t xml:space="preserve">umā “Lauki ienāk pilsētā”, kur </w:t>
      </w:r>
      <w:r w:rsidRPr="00E92867">
        <w:t xml:space="preserve"> notika izglītojošs darbs ar sabiedrību par godprātīgu vidi, nodokļu nomaksas nepieciešamību un vienoto ES finanšu interešu aizsardzību. </w:t>
      </w:r>
    </w:p>
    <w:p w14:paraId="6290BC8E" w14:textId="77777777" w:rsidR="00673807" w:rsidRPr="00E92867" w:rsidRDefault="00673807" w:rsidP="00646525">
      <w:pPr>
        <w:ind w:firstLine="720"/>
        <w:contextualSpacing/>
        <w:jc w:val="both"/>
      </w:pPr>
      <w:r w:rsidRPr="00E92867">
        <w:t>Sadarbībā ar jauniešu organizāciju</w:t>
      </w:r>
      <w:r w:rsidR="000E7C71">
        <w:t xml:space="preserve"> JAL</w:t>
      </w:r>
      <w:r w:rsidRPr="00E92867">
        <w:t xml:space="preserve">, 2018./2019. </w:t>
      </w:r>
      <w:r>
        <w:t>mācību gadā skolēni</w:t>
      </w:r>
      <w:r w:rsidRPr="00E92867">
        <w:t xml:space="preserve"> Latvijā piedalās konkursā un sagatavo </w:t>
      </w:r>
      <w:r>
        <w:t>“</w:t>
      </w:r>
      <w:r w:rsidRPr="00E92867">
        <w:t>biznesa pasakas ar laimīgām beigām</w:t>
      </w:r>
      <w:r>
        <w:t>”</w:t>
      </w:r>
      <w:r w:rsidRPr="00E92867">
        <w:t xml:space="preserve"> par tēmu “Ja neesi godprātīgs, #Atkrāpies!”. Labāko pasaku autorus un skolotājus apbalvos 2019.gada maijā. Sadarbībā ar JAL </w:t>
      </w:r>
      <w:proofErr w:type="spellStart"/>
      <w:r w:rsidRPr="00E92867">
        <w:t>Pretkrāpšanas</w:t>
      </w:r>
      <w:proofErr w:type="spellEnd"/>
      <w:r w:rsidRPr="00E92867">
        <w:t xml:space="preserve"> kustība #Atkrāpies! piedalījās vērienīgā jauniešu iedvesmas konferencē “Uzdrīksties uzvarēt”.</w:t>
      </w:r>
    </w:p>
    <w:p w14:paraId="659E731E" w14:textId="77777777" w:rsidR="00673807" w:rsidRPr="00E92867" w:rsidRDefault="00673807" w:rsidP="00646525">
      <w:pPr>
        <w:ind w:firstLine="851"/>
        <w:contextualSpacing/>
        <w:jc w:val="both"/>
      </w:pPr>
      <w:r w:rsidRPr="00E92867">
        <w:t>An</w:t>
      </w:r>
      <w:r w:rsidR="00646525">
        <w:t xml:space="preserve">alizējot pasaules tendences un </w:t>
      </w:r>
      <w:r w:rsidRPr="00E92867">
        <w:t xml:space="preserve">Kultūras ministrijas veikto pētījumu par bērnu un jauniešu </w:t>
      </w:r>
      <w:proofErr w:type="spellStart"/>
      <w:r w:rsidRPr="00E92867">
        <w:t>medijpratību</w:t>
      </w:r>
      <w:proofErr w:type="spellEnd"/>
      <w:r w:rsidRPr="00E92867">
        <w:t xml:space="preserve"> Latvijā, tika secināts, ka 2018.gadā #Atk</w:t>
      </w:r>
      <w:r w:rsidR="00EF1B77">
        <w:t>rāpies! izvēlētā mērķauditoriju</w:t>
      </w:r>
      <w:r w:rsidRPr="00E92867">
        <w:t xml:space="preserve"> ir iespējams sasniegt, izmantojot viņiem raksturīgus kanālus un vēstījumus. Kampaņas ietvaros notika sadarbība ar </w:t>
      </w:r>
      <w:proofErr w:type="spellStart"/>
      <w:r w:rsidRPr="00E92867">
        <w:rPr>
          <w:i/>
        </w:rPr>
        <w:t>YouTube</w:t>
      </w:r>
      <w:proofErr w:type="spellEnd"/>
      <w:r w:rsidRPr="00E92867">
        <w:t xml:space="preserve"> vēstnešiem jeb</w:t>
      </w:r>
      <w:r w:rsidR="00646525">
        <w:t xml:space="preserve"> </w:t>
      </w:r>
      <w:proofErr w:type="spellStart"/>
      <w:r w:rsidRPr="00E92867">
        <w:rPr>
          <w:i/>
        </w:rPr>
        <w:t>vlogeriem</w:t>
      </w:r>
      <w:proofErr w:type="spellEnd"/>
      <w:r w:rsidRPr="00E92867">
        <w:t xml:space="preserve">. Tika iesaistīti vairāk nekā 20 mērķauditorijai atpazīstami </w:t>
      </w:r>
      <w:proofErr w:type="spellStart"/>
      <w:r w:rsidRPr="00E92867">
        <w:rPr>
          <w:i/>
        </w:rPr>
        <w:t>YouTube</w:t>
      </w:r>
      <w:proofErr w:type="spellEnd"/>
      <w:r w:rsidRPr="00E92867">
        <w:t xml:space="preserve"> satura veidotāji, kas savos </w:t>
      </w:r>
      <w:proofErr w:type="spellStart"/>
      <w:r w:rsidRPr="00E92867">
        <w:rPr>
          <w:i/>
        </w:rPr>
        <w:t>vlogos</w:t>
      </w:r>
      <w:proofErr w:type="spellEnd"/>
      <w:r w:rsidRPr="00E92867">
        <w:t>, jauniešiem saprotamā veidā un izteiksmē stāstīja par riskiem, kādiem jaunieši var tikt pakļauti uzsākot savas pirmās darba attiecības. Kampaņas vajadzībām t</w:t>
      </w:r>
      <w:r w:rsidR="00646525">
        <w:t>ika izveidoti īpaši džemperi</w:t>
      </w:r>
      <w:r w:rsidRPr="00E92867">
        <w:t xml:space="preserve">, kas kļuva par iekārojamu modes apģērbu jauniešu auditorijas vidū. Džemperi tika izmantoti arī kā balva konkursā, kurā varēja piedalīties atminot vārdu mīklu par tēmu “Darba attiecību kultūra”. Tāpat, līdzīgi kā </w:t>
      </w:r>
      <w:r w:rsidR="00921C03">
        <w:t xml:space="preserve">pērn, tika turpināta sadarbība </w:t>
      </w:r>
      <w:r w:rsidRPr="00E92867">
        <w:t xml:space="preserve">ar jauniešu vidū atpazīstamām </w:t>
      </w:r>
      <w:proofErr w:type="spellStart"/>
      <w:r w:rsidRPr="00E92867">
        <w:rPr>
          <w:i/>
        </w:rPr>
        <w:t>Instagram</w:t>
      </w:r>
      <w:proofErr w:type="spellEnd"/>
      <w:r w:rsidRPr="00E92867">
        <w:t xml:space="preserve"> slavenībām, kas veidoja ierakstus savos sociālajos kontos paužot nostāju par to, ka ir labi būt godīgam darba ņēmējam. </w:t>
      </w:r>
    </w:p>
    <w:p w14:paraId="0AB33672" w14:textId="77777777" w:rsidR="00673807" w:rsidRPr="00E92867" w:rsidRDefault="00673807" w:rsidP="00646525">
      <w:pPr>
        <w:ind w:firstLine="851"/>
        <w:contextualSpacing/>
        <w:jc w:val="both"/>
      </w:pPr>
      <w:proofErr w:type="spellStart"/>
      <w:r w:rsidRPr="00E92867">
        <w:t>Pretkrāpšanas</w:t>
      </w:r>
      <w:proofErr w:type="spellEnd"/>
      <w:r w:rsidRPr="00E92867">
        <w:t xml:space="preserve"> kustībai #Atkrāpies! šogad pievienojās arī vairāki uzņēmēji, no kuriem plašāk zināmie ir “Bite Latvija” un “</w:t>
      </w:r>
      <w:proofErr w:type="spellStart"/>
      <w:r w:rsidRPr="00E92867">
        <w:t>Narvesen</w:t>
      </w:r>
      <w:proofErr w:type="spellEnd"/>
      <w:r w:rsidRPr="00E92867">
        <w:t xml:space="preserve">”. Šobrīd kustībā ir iesaistītas vairāk nekā </w:t>
      </w:r>
      <w:r w:rsidRPr="00097BC6">
        <w:rPr>
          <w:b/>
        </w:rPr>
        <w:t>35 valsts pārvaldes iestādes un zināmas sabiedriskās organizācijas</w:t>
      </w:r>
      <w:r w:rsidRPr="00E92867">
        <w:t xml:space="preserve">. </w:t>
      </w:r>
    </w:p>
    <w:p w14:paraId="183C6026" w14:textId="77777777" w:rsidR="00673807" w:rsidRPr="00E92867" w:rsidRDefault="00673807" w:rsidP="00646525">
      <w:pPr>
        <w:ind w:firstLine="851"/>
        <w:contextualSpacing/>
        <w:jc w:val="both"/>
      </w:pPr>
      <w:r w:rsidRPr="00E92867">
        <w:t>201</w:t>
      </w:r>
      <w:r>
        <w:t>8</w:t>
      </w:r>
      <w:r w:rsidRPr="00E92867">
        <w:t xml:space="preserve">.gadā </w:t>
      </w:r>
      <w:r>
        <w:t xml:space="preserve">par pērn </w:t>
      </w:r>
      <w:r w:rsidRPr="00E92867">
        <w:t>paveikto</w:t>
      </w:r>
      <w:r w:rsidRPr="00E92867">
        <w:rPr>
          <w:rStyle w:val="FootnoteReference"/>
        </w:rPr>
        <w:footnoteReference w:id="17"/>
      </w:r>
      <w:r w:rsidRPr="00E92867">
        <w:t xml:space="preserve"> </w:t>
      </w:r>
      <w:r>
        <w:t>s</w:t>
      </w:r>
      <w:r w:rsidRPr="00E92867">
        <w:t xml:space="preserve">ociāli informatīvā kampaņa </w:t>
      </w:r>
      <w:proofErr w:type="spellStart"/>
      <w:r w:rsidRPr="00E92867">
        <w:t>Pretkrāpšanas</w:t>
      </w:r>
      <w:proofErr w:type="spellEnd"/>
      <w:r w:rsidRPr="00E92867">
        <w:t xml:space="preserve"> kustība #Atkrāpies! ir </w:t>
      </w:r>
      <w:r w:rsidRPr="00AA35BC">
        <w:rPr>
          <w:b/>
        </w:rPr>
        <w:t>ieguvusi trīs pasaules un Eiropas līmeņa godalgas komunikācijas jomā</w:t>
      </w:r>
      <w:r w:rsidRPr="00E92867">
        <w:t>:</w:t>
      </w:r>
    </w:p>
    <w:p w14:paraId="5F415623" w14:textId="77777777" w:rsidR="00673807" w:rsidRPr="00E92867" w:rsidRDefault="00673807" w:rsidP="00646525">
      <w:pPr>
        <w:ind w:left="1418" w:hanging="284"/>
        <w:contextualSpacing/>
        <w:jc w:val="both"/>
      </w:pPr>
      <w:r w:rsidRPr="00E92867">
        <w:t xml:space="preserve">1. Pasaules augstākā komunikācijas balva “Aģentūru kategorijā, kas sadarbojas ar valsts sektoru” - </w:t>
      </w:r>
      <w:r w:rsidRPr="00E92867">
        <w:rPr>
          <w:i/>
        </w:rPr>
        <w:t xml:space="preserve">IPRA </w:t>
      </w:r>
      <w:proofErr w:type="spellStart"/>
      <w:r w:rsidRPr="00E92867">
        <w:rPr>
          <w:i/>
        </w:rPr>
        <w:t>Golden</w:t>
      </w:r>
      <w:proofErr w:type="spellEnd"/>
      <w:r w:rsidRPr="00E92867">
        <w:rPr>
          <w:i/>
        </w:rPr>
        <w:t xml:space="preserve"> </w:t>
      </w:r>
      <w:proofErr w:type="spellStart"/>
      <w:r w:rsidRPr="00E92867">
        <w:rPr>
          <w:i/>
        </w:rPr>
        <w:t>World</w:t>
      </w:r>
      <w:proofErr w:type="spellEnd"/>
      <w:r w:rsidRPr="00E92867">
        <w:rPr>
          <w:i/>
        </w:rPr>
        <w:t xml:space="preserve"> </w:t>
      </w:r>
      <w:proofErr w:type="spellStart"/>
      <w:r w:rsidRPr="00E92867">
        <w:rPr>
          <w:i/>
        </w:rPr>
        <w:t>Awards</w:t>
      </w:r>
      <w:proofErr w:type="spellEnd"/>
      <w:r w:rsidRPr="00E92867">
        <w:rPr>
          <w:i/>
        </w:rPr>
        <w:t xml:space="preserve"> (GWA) 2018</w:t>
      </w:r>
      <w:r w:rsidRPr="00E92867">
        <w:t xml:space="preserve"> ;</w:t>
      </w:r>
    </w:p>
    <w:p w14:paraId="68926FBA" w14:textId="77777777" w:rsidR="00673807" w:rsidRPr="00E92867" w:rsidRDefault="00673807" w:rsidP="00646525">
      <w:pPr>
        <w:ind w:left="1418" w:hanging="284"/>
        <w:contextualSpacing/>
        <w:jc w:val="both"/>
      </w:pPr>
      <w:r w:rsidRPr="00E92867">
        <w:lastRenderedPageBreak/>
        <w:t xml:space="preserve">2. Eiropas komunikācijas balva kategorijā “Pārmaiņu Komunikācija” - </w:t>
      </w:r>
      <w:proofErr w:type="spellStart"/>
      <w:r w:rsidRPr="00E92867">
        <w:rPr>
          <w:i/>
        </w:rPr>
        <w:t>European</w:t>
      </w:r>
      <w:proofErr w:type="spellEnd"/>
      <w:r w:rsidRPr="00E92867">
        <w:rPr>
          <w:i/>
        </w:rPr>
        <w:t xml:space="preserve"> </w:t>
      </w:r>
      <w:proofErr w:type="spellStart"/>
      <w:r w:rsidRPr="00E92867">
        <w:rPr>
          <w:i/>
        </w:rPr>
        <w:t>Excellence</w:t>
      </w:r>
      <w:proofErr w:type="spellEnd"/>
      <w:r w:rsidRPr="00E92867">
        <w:rPr>
          <w:i/>
        </w:rPr>
        <w:t xml:space="preserve"> </w:t>
      </w:r>
      <w:proofErr w:type="spellStart"/>
      <w:r w:rsidRPr="00E92867">
        <w:rPr>
          <w:i/>
        </w:rPr>
        <w:t>Awards</w:t>
      </w:r>
      <w:proofErr w:type="spellEnd"/>
      <w:r w:rsidRPr="00E92867">
        <w:rPr>
          <w:i/>
        </w:rPr>
        <w:t xml:space="preserve"> 2018</w:t>
      </w:r>
      <w:r w:rsidRPr="00E92867">
        <w:t xml:space="preserve"> ;</w:t>
      </w:r>
    </w:p>
    <w:p w14:paraId="54D52BCE" w14:textId="77777777" w:rsidR="00673807" w:rsidRPr="00E92867" w:rsidRDefault="00673807" w:rsidP="00646525">
      <w:pPr>
        <w:ind w:left="1418" w:hanging="284"/>
        <w:contextualSpacing/>
        <w:jc w:val="both"/>
      </w:pPr>
      <w:r w:rsidRPr="00E92867">
        <w:t xml:space="preserve">3. Austrumeiropas komunikācijas balva kategorijā “Sociālais projekts” - </w:t>
      </w:r>
      <w:proofErr w:type="spellStart"/>
      <w:r w:rsidRPr="00E92867">
        <w:rPr>
          <w:i/>
        </w:rPr>
        <w:t>Eventiada</w:t>
      </w:r>
      <w:proofErr w:type="spellEnd"/>
      <w:r w:rsidRPr="00E92867">
        <w:rPr>
          <w:i/>
        </w:rPr>
        <w:t xml:space="preserve"> IPRA </w:t>
      </w:r>
      <w:proofErr w:type="spellStart"/>
      <w:r w:rsidRPr="00E92867">
        <w:rPr>
          <w:i/>
        </w:rPr>
        <w:t>Golden</w:t>
      </w:r>
      <w:proofErr w:type="spellEnd"/>
      <w:r w:rsidRPr="00E92867">
        <w:rPr>
          <w:i/>
        </w:rPr>
        <w:t xml:space="preserve"> </w:t>
      </w:r>
      <w:proofErr w:type="spellStart"/>
      <w:r w:rsidRPr="00E92867">
        <w:rPr>
          <w:i/>
        </w:rPr>
        <w:t>World</w:t>
      </w:r>
      <w:proofErr w:type="spellEnd"/>
      <w:r w:rsidRPr="00E92867">
        <w:rPr>
          <w:i/>
        </w:rPr>
        <w:t xml:space="preserve"> </w:t>
      </w:r>
      <w:proofErr w:type="spellStart"/>
      <w:r w:rsidRPr="00E92867">
        <w:rPr>
          <w:i/>
        </w:rPr>
        <w:t>Awards</w:t>
      </w:r>
      <w:proofErr w:type="spellEnd"/>
      <w:r w:rsidRPr="00E92867">
        <w:rPr>
          <w:i/>
        </w:rPr>
        <w:t xml:space="preserve"> (2018)</w:t>
      </w:r>
      <w:r w:rsidRPr="00E92867">
        <w:t xml:space="preserve"> </w:t>
      </w:r>
      <w:r>
        <w:t>.</w:t>
      </w:r>
    </w:p>
    <w:p w14:paraId="10FE53A2" w14:textId="77777777" w:rsidR="00673807" w:rsidRPr="00E92867" w:rsidRDefault="00673807" w:rsidP="00646525">
      <w:pPr>
        <w:ind w:firstLine="851"/>
        <w:contextualSpacing/>
        <w:jc w:val="both"/>
      </w:pPr>
      <w:r w:rsidRPr="00E92867">
        <w:t xml:space="preserve">Par </w:t>
      </w:r>
      <w:r>
        <w:t xml:space="preserve">Latvijas </w:t>
      </w:r>
      <w:r w:rsidRPr="00E92867">
        <w:t>radošo komunikācijas pieeju</w:t>
      </w:r>
      <w:r>
        <w:t xml:space="preserve"> vienotā</w:t>
      </w:r>
      <w:r w:rsidRPr="00E92867">
        <w:t xml:space="preserve"> ES finanšu interešu aizsardzībā ir </w:t>
      </w:r>
      <w:r w:rsidRPr="00AA35BC">
        <w:rPr>
          <w:b/>
        </w:rPr>
        <w:t>saņemta atzinība no Eiropas Komisijas</w:t>
      </w:r>
      <w:r w:rsidRPr="00E92867">
        <w:t>. 2018. gadā, lai vēstītu par Latvijas paveikto un sasniegumiem, AFCOS pārstāvji</w:t>
      </w:r>
      <w:r w:rsidR="008A0284" w:rsidRPr="008A0284">
        <w:rPr>
          <w:b/>
        </w:rPr>
        <w:t xml:space="preserve"> </w:t>
      </w:r>
      <w:r w:rsidR="008A0284" w:rsidRPr="00AA35BC">
        <w:rPr>
          <w:b/>
        </w:rPr>
        <w:t>trīs reizes</w:t>
      </w:r>
      <w:r w:rsidRPr="00E92867">
        <w:t xml:space="preserve"> </w:t>
      </w:r>
      <w:r w:rsidRPr="00AA35BC">
        <w:rPr>
          <w:b/>
        </w:rPr>
        <w:t xml:space="preserve">tika aicināti sniegt prezentācijas </w:t>
      </w:r>
      <w:r>
        <w:rPr>
          <w:b/>
        </w:rPr>
        <w:t xml:space="preserve">OLAF </w:t>
      </w:r>
      <w:r w:rsidR="008A0284">
        <w:rPr>
          <w:b/>
        </w:rPr>
        <w:t xml:space="preserve">par </w:t>
      </w:r>
      <w:proofErr w:type="spellStart"/>
      <w:r w:rsidR="008A0284">
        <w:rPr>
          <w:b/>
        </w:rPr>
        <w:t>Pretkrāpšanas</w:t>
      </w:r>
      <w:proofErr w:type="spellEnd"/>
      <w:r w:rsidR="008A0284">
        <w:rPr>
          <w:b/>
        </w:rPr>
        <w:t xml:space="preserve"> kustību</w:t>
      </w:r>
      <w:r w:rsidRPr="00AA35BC">
        <w:rPr>
          <w:b/>
        </w:rPr>
        <w:t xml:space="preserve"> #Atkrāpies!</w:t>
      </w:r>
      <w:r w:rsidRPr="00E92867">
        <w:t xml:space="preserve"> </w:t>
      </w:r>
    </w:p>
    <w:p w14:paraId="07DB2082" w14:textId="77777777" w:rsidR="00673807" w:rsidRPr="006B2EB3" w:rsidRDefault="00673807" w:rsidP="00646525">
      <w:pPr>
        <w:ind w:firstLine="851"/>
        <w:contextualSpacing/>
        <w:jc w:val="both"/>
      </w:pPr>
      <w:r w:rsidRPr="00E92867">
        <w:t xml:space="preserve">Lai starptautiskajiem partneriem </w:t>
      </w:r>
      <w:r>
        <w:t>būtu iespējams</w:t>
      </w:r>
      <w:r w:rsidRPr="00E92867">
        <w:t xml:space="preserve"> vēstīt par kampaņu, 2018.gadā ir </w:t>
      </w:r>
      <w:r w:rsidR="008A0284">
        <w:rPr>
          <w:b/>
        </w:rPr>
        <w:t>iztulkota kampaņas mājaslapa</w:t>
      </w:r>
      <w:r w:rsidRPr="00101DF0">
        <w:rPr>
          <w:b/>
        </w:rPr>
        <w:t xml:space="preserve"> angļu valodā</w:t>
      </w:r>
      <w:r>
        <w:t xml:space="preserve"> (</w:t>
      </w:r>
      <w:hyperlink r:id="rId8" w:history="1">
        <w:r w:rsidRPr="005E08B1">
          <w:rPr>
            <w:rStyle w:val="Hyperlink"/>
          </w:rPr>
          <w:t>www.fraudoff.eu</w:t>
        </w:r>
      </w:hyperlink>
      <w:r w:rsidRPr="00E92867">
        <w:t xml:space="preserve">). Šobrīd mājaslapa ir pieejama latviešu, krievu un angļu valodās. Ir izveidots atsevišķs </w:t>
      </w:r>
      <w:proofErr w:type="spellStart"/>
      <w:r w:rsidRPr="008A0284">
        <w:rPr>
          <w:i/>
        </w:rPr>
        <w:t>Twitter</w:t>
      </w:r>
      <w:proofErr w:type="spellEnd"/>
      <w:r w:rsidRPr="00E92867">
        <w:t xml:space="preserve"> konts </w:t>
      </w:r>
      <w:r w:rsidRPr="008A0284">
        <w:rPr>
          <w:i/>
        </w:rPr>
        <w:t>@</w:t>
      </w:r>
      <w:proofErr w:type="spellStart"/>
      <w:r w:rsidRPr="008A0284">
        <w:rPr>
          <w:i/>
        </w:rPr>
        <w:t>FraudOff_LV</w:t>
      </w:r>
      <w:proofErr w:type="spellEnd"/>
      <w:r w:rsidRPr="00E92867">
        <w:t xml:space="preserve">, kurā komunikāciju </w:t>
      </w:r>
      <w:r w:rsidR="002679D2">
        <w:t xml:space="preserve">var </w:t>
      </w:r>
      <w:r w:rsidR="002679D2" w:rsidRPr="00E92867">
        <w:t>nodrošin</w:t>
      </w:r>
      <w:r w:rsidR="002679D2">
        <w:t>āt</w:t>
      </w:r>
      <w:r w:rsidR="002679D2" w:rsidRPr="00E92867">
        <w:t xml:space="preserve"> </w:t>
      </w:r>
      <w:r w:rsidRPr="00E92867">
        <w:t xml:space="preserve">vairākas valsts pārvaldes iestādes saistībā ar tematiku, kas skar </w:t>
      </w:r>
      <w:proofErr w:type="spellStart"/>
      <w:r w:rsidRPr="00E92867">
        <w:t>Pretkrāpšanas</w:t>
      </w:r>
      <w:proofErr w:type="spellEnd"/>
      <w:r w:rsidRPr="00E92867">
        <w:t xml:space="preserve"> kustības #Atkrāpies! jautājumus.</w:t>
      </w:r>
    </w:p>
    <w:p w14:paraId="7C7AC69B" w14:textId="77777777" w:rsidR="00673807" w:rsidRPr="00A74886" w:rsidRDefault="00673807" w:rsidP="00646525">
      <w:pPr>
        <w:ind w:firstLine="720"/>
        <w:jc w:val="both"/>
        <w:rPr>
          <w:b/>
          <w:bCs/>
        </w:rPr>
      </w:pPr>
    </w:p>
    <w:p w14:paraId="0D222F08" w14:textId="77777777" w:rsidR="00673807" w:rsidRPr="006B2EB3" w:rsidRDefault="00673807" w:rsidP="003201E1">
      <w:pPr>
        <w:jc w:val="both"/>
      </w:pPr>
      <w:r w:rsidRPr="00A74886">
        <w:rPr>
          <w:b/>
          <w:bCs/>
        </w:rPr>
        <w:t>Izpildes statuss</w:t>
      </w:r>
      <w:r w:rsidRPr="00A74886">
        <w:rPr>
          <w:b/>
        </w:rPr>
        <w:t>: Pasākums Nr.1</w:t>
      </w:r>
      <w:r w:rsidRPr="00A74886">
        <w:t xml:space="preserve"> – izpildīts atbilstoši 2018.gadā plānotajam un </w:t>
      </w:r>
      <w:r w:rsidRPr="00097BC6">
        <w:t>AFCOS padomes 2018.gada 31.oktobra sēdē lēma</w:t>
      </w:r>
      <w:r w:rsidRPr="00097BC6">
        <w:rPr>
          <w:rStyle w:val="FootnoteReference"/>
        </w:rPr>
        <w:footnoteReference w:id="18"/>
      </w:r>
      <w:r w:rsidRPr="00097BC6">
        <w:t xml:space="preserve"> par iniciatīvas turpināšanu 2019.gadā,</w:t>
      </w:r>
      <w:r w:rsidRPr="00A74886">
        <w:t xml:space="preserve"> komunikācijas fokusā liekot tematu – </w:t>
      </w:r>
      <w:r w:rsidRPr="00A74886">
        <w:rPr>
          <w:b/>
        </w:rPr>
        <w:t>ziņošanas kultūras stiprināšana</w:t>
      </w:r>
      <w:r w:rsidRPr="00A74886">
        <w:t>.</w:t>
      </w:r>
      <w:r w:rsidRPr="006B2EB3">
        <w:t xml:space="preserve"> </w:t>
      </w:r>
    </w:p>
    <w:p w14:paraId="73731028" w14:textId="77777777" w:rsidR="00543BEE" w:rsidRPr="00E54E87" w:rsidRDefault="00543BEE" w:rsidP="00646525">
      <w:pPr>
        <w:widowControl w:val="0"/>
        <w:autoSpaceDE w:val="0"/>
        <w:autoSpaceDN w:val="0"/>
        <w:adjustRightInd w:val="0"/>
        <w:spacing w:after="120"/>
        <w:ind w:firstLine="851"/>
        <w:contextualSpacing/>
        <w:jc w:val="both"/>
        <w:rPr>
          <w:b/>
          <w:color w:val="FF0000"/>
          <w:u w:val="single"/>
        </w:rPr>
      </w:pPr>
    </w:p>
    <w:p w14:paraId="78ABA7E5" w14:textId="5AB09075" w:rsidR="005A7843" w:rsidRPr="00E54E87" w:rsidRDefault="005A7843" w:rsidP="003D7E2D">
      <w:pPr>
        <w:widowControl w:val="0"/>
        <w:autoSpaceDE w:val="0"/>
        <w:autoSpaceDN w:val="0"/>
        <w:adjustRightInd w:val="0"/>
        <w:spacing w:after="120"/>
        <w:contextualSpacing/>
        <w:jc w:val="both"/>
        <w:rPr>
          <w:b/>
          <w:u w:val="single"/>
        </w:rPr>
      </w:pPr>
    </w:p>
    <w:p w14:paraId="6C54E9A9" w14:textId="77777777" w:rsidR="00DD31AC" w:rsidRDefault="00856D23" w:rsidP="00B37C59">
      <w:pPr>
        <w:widowControl w:val="0"/>
        <w:autoSpaceDE w:val="0"/>
        <w:autoSpaceDN w:val="0"/>
        <w:adjustRightInd w:val="0"/>
        <w:spacing w:after="120"/>
        <w:ind w:firstLine="851"/>
        <w:contextualSpacing/>
        <w:jc w:val="both"/>
        <w:rPr>
          <w:b/>
          <w:sz w:val="28"/>
        </w:rPr>
      </w:pPr>
      <w:r w:rsidRPr="00E645C8">
        <w:rPr>
          <w:b/>
          <w:sz w:val="28"/>
        </w:rPr>
        <w:t>A.3.2. Pasākums Nr.2</w:t>
      </w:r>
      <w:r w:rsidR="00DD31AC">
        <w:rPr>
          <w:b/>
          <w:sz w:val="28"/>
        </w:rPr>
        <w:t>. Vienotas izpratnes veidošana starp Latvijas iestādēm</w:t>
      </w:r>
    </w:p>
    <w:p w14:paraId="1094E0C6" w14:textId="703EE712" w:rsidR="00856D23" w:rsidRPr="00641B9A" w:rsidRDefault="00856D23" w:rsidP="00B37C59">
      <w:pPr>
        <w:widowControl w:val="0"/>
        <w:autoSpaceDE w:val="0"/>
        <w:autoSpaceDN w:val="0"/>
        <w:adjustRightInd w:val="0"/>
        <w:spacing w:after="120"/>
        <w:ind w:firstLine="851"/>
        <w:contextualSpacing/>
        <w:jc w:val="both"/>
        <w:rPr>
          <w:i/>
          <w:sz w:val="22"/>
        </w:rPr>
      </w:pPr>
      <w:r w:rsidRPr="00641B9A">
        <w:rPr>
          <w:i/>
          <w:sz w:val="22"/>
        </w:rPr>
        <w:t>Vienotas izpratnes veidošana ES finanšu interešu aizsardzībai/krāpšanas apkarošanai un kapacitātes stiprināšanai.</w:t>
      </w:r>
    </w:p>
    <w:p w14:paraId="3A7FC075" w14:textId="77777777" w:rsidR="00856D23" w:rsidRPr="00641B9A" w:rsidRDefault="00856D23" w:rsidP="00B37C59">
      <w:pPr>
        <w:widowControl w:val="0"/>
        <w:autoSpaceDE w:val="0"/>
        <w:autoSpaceDN w:val="0"/>
        <w:adjustRightInd w:val="0"/>
        <w:spacing w:after="120"/>
        <w:ind w:firstLine="851"/>
        <w:contextualSpacing/>
        <w:jc w:val="both"/>
        <w:rPr>
          <w:sz w:val="22"/>
        </w:rPr>
      </w:pPr>
      <w:r w:rsidRPr="00641B9A">
        <w:rPr>
          <w:sz w:val="22"/>
        </w:rPr>
        <w:t>Par pasākuma izpildi atbildīgā institūcija –AFCOS.</w:t>
      </w:r>
    </w:p>
    <w:p w14:paraId="520708A4" w14:textId="77777777" w:rsidR="00856D23" w:rsidRPr="00641B9A" w:rsidRDefault="00856D23" w:rsidP="00B37C59">
      <w:pPr>
        <w:widowControl w:val="0"/>
        <w:autoSpaceDE w:val="0"/>
        <w:autoSpaceDN w:val="0"/>
        <w:adjustRightInd w:val="0"/>
        <w:spacing w:after="120"/>
        <w:ind w:firstLine="851"/>
        <w:contextualSpacing/>
        <w:jc w:val="both"/>
        <w:rPr>
          <w:sz w:val="22"/>
        </w:rPr>
      </w:pPr>
      <w:r w:rsidRPr="00641B9A">
        <w:rPr>
          <w:sz w:val="22"/>
        </w:rPr>
        <w:t>Pasākuma izpildes termiņš – Pastāvīgi.</w:t>
      </w:r>
    </w:p>
    <w:p w14:paraId="72E367FF" w14:textId="77777777" w:rsidR="00D20E1A" w:rsidRPr="005A7843" w:rsidRDefault="00D20E1A" w:rsidP="00D20E1A">
      <w:pPr>
        <w:widowControl w:val="0"/>
        <w:autoSpaceDE w:val="0"/>
        <w:autoSpaceDN w:val="0"/>
        <w:adjustRightInd w:val="0"/>
        <w:spacing w:after="120"/>
        <w:contextualSpacing/>
        <w:jc w:val="both"/>
      </w:pPr>
    </w:p>
    <w:p w14:paraId="19199B79" w14:textId="58C27262" w:rsidR="003D7E2D" w:rsidRPr="005A7843" w:rsidRDefault="00C61166" w:rsidP="003D7E2D">
      <w:pPr>
        <w:widowControl w:val="0"/>
        <w:autoSpaceDE w:val="0"/>
        <w:autoSpaceDN w:val="0"/>
        <w:adjustRightInd w:val="0"/>
        <w:spacing w:after="120"/>
        <w:ind w:firstLine="720"/>
        <w:contextualSpacing/>
        <w:jc w:val="both"/>
        <w:rPr>
          <w:bCs/>
        </w:rPr>
      </w:pPr>
      <w:r w:rsidRPr="005A7843">
        <w:t xml:space="preserve">FM </w:t>
      </w:r>
      <w:r w:rsidR="00C0065C" w:rsidRPr="005A7843">
        <w:t xml:space="preserve">AFCOS aptaujas veidā </w:t>
      </w:r>
      <w:r w:rsidR="00111AA5" w:rsidRPr="005A7843">
        <w:t xml:space="preserve">apzināja </w:t>
      </w:r>
      <w:r w:rsidRPr="005A7843">
        <w:t>AFCOS padomes darbā</w:t>
      </w:r>
      <w:r w:rsidR="00C0065C" w:rsidRPr="005A7843">
        <w:t xml:space="preserve"> iesaistīto iestāžu </w:t>
      </w:r>
      <w:r w:rsidR="00B220FC" w:rsidRPr="005A7843">
        <w:t xml:space="preserve">apmācības </w:t>
      </w:r>
      <w:r w:rsidR="00C0065C" w:rsidRPr="005A7843">
        <w:t>vajadzības</w:t>
      </w:r>
      <w:r w:rsidR="00AB3BF9" w:rsidRPr="005A7843">
        <w:t>, lai apgūtu</w:t>
      </w:r>
      <w:r w:rsidR="00C0065C" w:rsidRPr="005A7843">
        <w:t xml:space="preserve"> specializētas </w:t>
      </w:r>
      <w:r w:rsidR="00AB3BF9" w:rsidRPr="005A7843">
        <w:t xml:space="preserve">zināšanas un </w:t>
      </w:r>
      <w:r w:rsidR="00C0065C" w:rsidRPr="005A7843">
        <w:t xml:space="preserve">prasmes krāpšanas atklāšanā un izmeklēšanā, atpazītu aizdomīgus gadījumus un </w:t>
      </w:r>
      <w:r w:rsidR="00111AA5" w:rsidRPr="005A7843">
        <w:t xml:space="preserve">sniegtu informāciju </w:t>
      </w:r>
      <w:r w:rsidR="00C0065C" w:rsidRPr="005A7843">
        <w:t xml:space="preserve">par tiem, kā arī </w:t>
      </w:r>
      <w:r w:rsidR="00111AA5" w:rsidRPr="005A7843">
        <w:t xml:space="preserve">noskaidroja </w:t>
      </w:r>
      <w:r w:rsidR="00C0065C" w:rsidRPr="005A7843">
        <w:t>pieredzes apmaiņas iespējas.</w:t>
      </w:r>
      <w:r w:rsidR="00B220FC" w:rsidRPr="005A7843">
        <w:t xml:space="preserve"> </w:t>
      </w:r>
      <w:r w:rsidR="00111AA5" w:rsidRPr="005A7843">
        <w:t xml:space="preserve">Pēc </w:t>
      </w:r>
      <w:r w:rsidR="00B220FC" w:rsidRPr="005A7843">
        <w:t xml:space="preserve">šīs </w:t>
      </w:r>
      <w:r w:rsidR="00111AA5" w:rsidRPr="005A7843">
        <w:t xml:space="preserve">informācijas apkopošanas </w:t>
      </w:r>
      <w:r w:rsidR="00C0065C" w:rsidRPr="005A7843">
        <w:t>AFCOS</w:t>
      </w:r>
      <w:r w:rsidR="00B220FC" w:rsidRPr="005A7843">
        <w:t xml:space="preserve"> </w:t>
      </w:r>
      <w:r w:rsidR="00111AA5" w:rsidRPr="005A7843">
        <w:t>apzināja</w:t>
      </w:r>
      <w:r w:rsidR="00C0065C" w:rsidRPr="005A7843">
        <w:t xml:space="preserve"> </w:t>
      </w:r>
      <w:r w:rsidR="00B220FC" w:rsidRPr="005A7843">
        <w:t xml:space="preserve">arī </w:t>
      </w:r>
      <w:r w:rsidR="00C0065C" w:rsidRPr="005A7843">
        <w:t>speciālistu un pasniedzēju dalības iespējas un to pieejamību.</w:t>
      </w:r>
      <w:r w:rsidR="001B00FF" w:rsidRPr="005A7843">
        <w:t xml:space="preserve"> </w:t>
      </w:r>
      <w:r w:rsidR="00B220FC" w:rsidRPr="005A7843">
        <w:rPr>
          <w:bCs/>
        </w:rPr>
        <w:t>Izri</w:t>
      </w:r>
      <w:r w:rsidR="001B00FF" w:rsidRPr="005A7843">
        <w:rPr>
          <w:bCs/>
        </w:rPr>
        <w:t>e</w:t>
      </w:r>
      <w:r w:rsidR="00B220FC" w:rsidRPr="005A7843">
        <w:rPr>
          <w:bCs/>
        </w:rPr>
        <w:t xml:space="preserve">toši </w:t>
      </w:r>
      <w:r w:rsidR="00111AA5" w:rsidRPr="005A7843">
        <w:rPr>
          <w:bCs/>
        </w:rPr>
        <w:t xml:space="preserve">tika sagatavots </w:t>
      </w:r>
      <w:r w:rsidR="00B220FC" w:rsidRPr="005A7843">
        <w:rPr>
          <w:bCs/>
        </w:rPr>
        <w:t>“</w:t>
      </w:r>
      <w:r w:rsidR="00111AA5" w:rsidRPr="005A7843">
        <w:rPr>
          <w:bCs/>
        </w:rPr>
        <w:t>Apmācību plāns</w:t>
      </w:r>
      <w:r w:rsidR="00B220FC" w:rsidRPr="005A7843">
        <w:rPr>
          <w:bCs/>
        </w:rPr>
        <w:t xml:space="preserve">” </w:t>
      </w:r>
      <w:r w:rsidR="00AB3BF9" w:rsidRPr="005A7843">
        <w:rPr>
          <w:bCs/>
        </w:rPr>
        <w:t>-</w:t>
      </w:r>
      <w:r w:rsidR="00111AA5" w:rsidRPr="005A7843">
        <w:rPr>
          <w:bCs/>
        </w:rPr>
        <w:t xml:space="preserve"> </w:t>
      </w:r>
      <w:r w:rsidR="00C0065C" w:rsidRPr="005A7843">
        <w:t>indikatīvs dokuments</w:t>
      </w:r>
      <w:r w:rsidR="001B00FF" w:rsidRPr="005A7843">
        <w:t xml:space="preserve"> ar</w:t>
      </w:r>
      <w:r w:rsidR="00C0065C" w:rsidRPr="005A7843">
        <w:t xml:space="preserve"> apkop</w:t>
      </w:r>
      <w:r w:rsidR="00170457">
        <w:t>o</w:t>
      </w:r>
      <w:r w:rsidR="00C0065C" w:rsidRPr="005A7843">
        <w:t>t</w:t>
      </w:r>
      <w:r w:rsidR="001B00FF" w:rsidRPr="005A7843">
        <w:t>u informāciju par dažādām</w:t>
      </w:r>
      <w:r w:rsidR="00C0065C" w:rsidRPr="005A7843">
        <w:t xml:space="preserve"> apmācību iespēj</w:t>
      </w:r>
      <w:r w:rsidR="001B00FF" w:rsidRPr="005A7843">
        <w:t>ām</w:t>
      </w:r>
      <w:r w:rsidR="00C0065C" w:rsidRPr="005A7843">
        <w:rPr>
          <w:bCs/>
        </w:rPr>
        <w:t>.</w:t>
      </w:r>
      <w:r w:rsidR="00AB3BF9" w:rsidRPr="005A7843">
        <w:rPr>
          <w:bCs/>
        </w:rPr>
        <w:t xml:space="preserve"> </w:t>
      </w:r>
    </w:p>
    <w:p w14:paraId="066E31EC" w14:textId="77777777" w:rsidR="001E2EFF" w:rsidRPr="00960D5F" w:rsidRDefault="001E2EFF" w:rsidP="00D53386">
      <w:pPr>
        <w:widowControl w:val="0"/>
        <w:autoSpaceDE w:val="0"/>
        <w:autoSpaceDN w:val="0"/>
        <w:adjustRightInd w:val="0"/>
        <w:spacing w:after="120"/>
        <w:ind w:firstLine="720"/>
        <w:contextualSpacing/>
        <w:jc w:val="both"/>
        <w:rPr>
          <w:bCs/>
        </w:rPr>
      </w:pPr>
      <w:r w:rsidRPr="00960D5F">
        <w:t xml:space="preserve">Zemāk </w:t>
      </w:r>
      <w:r w:rsidR="00B220FC" w:rsidRPr="00960D5F">
        <w:t xml:space="preserve">apkopoti </w:t>
      </w:r>
      <w:r w:rsidR="00231B1A" w:rsidRPr="00960D5F">
        <w:t>2018</w:t>
      </w:r>
      <w:r w:rsidRPr="00960D5F">
        <w:t xml:space="preserve">.gadā paveiktie pasākumi vienotas izpratnes </w:t>
      </w:r>
      <w:r w:rsidR="0086565B" w:rsidRPr="00960D5F">
        <w:t>veicināšanai</w:t>
      </w:r>
      <w:r w:rsidRPr="00960D5F">
        <w:t xml:space="preserve"> ES finanšu interešu aizsardzības un krāpšanas apkarošanas jautājumos, kā arī institūciju kapacitātes stiprināšanai:</w:t>
      </w:r>
    </w:p>
    <w:p w14:paraId="4C7DF0B8" w14:textId="77777777" w:rsidR="008A0284" w:rsidRDefault="008A0284" w:rsidP="008A0284">
      <w:pPr>
        <w:numPr>
          <w:ilvl w:val="0"/>
          <w:numId w:val="38"/>
        </w:numPr>
        <w:jc w:val="both"/>
      </w:pPr>
      <w:r w:rsidRPr="003201E1">
        <w:rPr>
          <w:b/>
        </w:rPr>
        <w:t>CFLA</w:t>
      </w:r>
      <w:r w:rsidRPr="008A0284">
        <w:t xml:space="preserve"> organizēja informatīvo semināru “Labā prakse ES fondu projektu īstenošanā”, kas norisinājās Rīgā, Kuldīgā, Rēzeknē, Cēsīs un Jelgavā, kopā izglītojot </w:t>
      </w:r>
      <w:r w:rsidR="00C6231E">
        <w:t>881 dalībnieku.</w:t>
      </w:r>
    </w:p>
    <w:p w14:paraId="16888F59" w14:textId="77777777" w:rsidR="008A0284" w:rsidRDefault="00264310" w:rsidP="008A0284">
      <w:pPr>
        <w:numPr>
          <w:ilvl w:val="0"/>
          <w:numId w:val="38"/>
        </w:numPr>
        <w:jc w:val="both"/>
      </w:pPr>
      <w:r w:rsidRPr="003201E1">
        <w:rPr>
          <w:b/>
        </w:rPr>
        <w:t>IUB</w:t>
      </w:r>
      <w:r>
        <w:t xml:space="preserve"> rīkoja divus </w:t>
      </w:r>
      <w:r w:rsidR="003E0116">
        <w:t>seminārus</w:t>
      </w:r>
      <w:r w:rsidR="008A0284">
        <w:t xml:space="preserve"> </w:t>
      </w:r>
      <w:r w:rsidR="008A0284" w:rsidRPr="00B6194A">
        <w:rPr>
          <w:bCs/>
        </w:rPr>
        <w:t>“</w:t>
      </w:r>
      <w:r w:rsidR="008A0284">
        <w:rPr>
          <w:rStyle w:val="Strong"/>
          <w:b w:val="0"/>
          <w:bCs w:val="0"/>
        </w:rPr>
        <w:t>Publisko iepirkumu regulējuma un prakses aktualitātes</w:t>
      </w:r>
      <w:r w:rsidR="008A0284">
        <w:t xml:space="preserve">”; kopā </w:t>
      </w:r>
      <w:r w:rsidR="003E0116">
        <w:t xml:space="preserve">izglītojot 148 dalībniekus. Papildus, tika organizēts seminārs </w:t>
      </w:r>
      <w:proofErr w:type="spellStart"/>
      <w:r w:rsidR="003E0116">
        <w:t>Iekšlietu</w:t>
      </w:r>
      <w:proofErr w:type="spellEnd"/>
      <w:r w:rsidR="003E0116">
        <w:t xml:space="preserve"> ministrijas darbiniekiem</w:t>
      </w:r>
      <w:r w:rsidR="008A0284">
        <w:t xml:space="preserve"> </w:t>
      </w:r>
      <w:r w:rsidR="008A0284" w:rsidRPr="008A0284">
        <w:rPr>
          <w:color w:val="000000"/>
        </w:rPr>
        <w:t>par publisko iepirkumu aktualitātēm un biežāk pieļautajām kļūd</w:t>
      </w:r>
      <w:r w:rsidR="003E0116">
        <w:rPr>
          <w:color w:val="000000"/>
        </w:rPr>
        <w:t>ām ES fondu projektu iepirkumos, kopā izglītoti 50 dalībnieki. Kā arī</w:t>
      </w:r>
      <w:r w:rsidR="008A0284" w:rsidRPr="008A0284">
        <w:rPr>
          <w:color w:val="000000"/>
        </w:rPr>
        <w:t xml:space="preserve"> </w:t>
      </w:r>
      <w:r w:rsidR="003E0116">
        <w:t>Programmas A</w:t>
      </w:r>
      <w:r w:rsidR="008A0284">
        <w:t xml:space="preserve">pvārsnis 2020 ietvaros </w:t>
      </w:r>
      <w:r w:rsidR="003E0116">
        <w:t xml:space="preserve">IUB </w:t>
      </w:r>
      <w:r w:rsidR="008A0284">
        <w:t>sadarbībā ar SIA “</w:t>
      </w:r>
      <w:proofErr w:type="spellStart"/>
      <w:r w:rsidR="008A0284">
        <w:t>Ekodoma</w:t>
      </w:r>
      <w:proofErr w:type="spellEnd"/>
      <w:r w:rsidR="008A0284">
        <w:t xml:space="preserve">” </w:t>
      </w:r>
      <w:r w:rsidR="003E0116">
        <w:t>rīkoja semināru</w:t>
      </w:r>
      <w:r w:rsidR="008A0284">
        <w:t xml:space="preserve"> Rīgā </w:t>
      </w:r>
      <w:r w:rsidR="008A0284" w:rsidRPr="008A0284">
        <w:rPr>
          <w:color w:val="000000"/>
        </w:rPr>
        <w:t>“Biežāk pieļautās kļūda</w:t>
      </w:r>
      <w:r w:rsidR="003E0116">
        <w:rPr>
          <w:color w:val="000000"/>
        </w:rPr>
        <w:t>s ES fondu projektu iepirkumos”, kopā izglītoti</w:t>
      </w:r>
      <w:r w:rsidR="008A0284" w:rsidRPr="008A0284">
        <w:rPr>
          <w:color w:val="000000"/>
        </w:rPr>
        <w:t xml:space="preserve"> 30 dalībnieki.</w:t>
      </w:r>
    </w:p>
    <w:p w14:paraId="0FF00E45" w14:textId="77777777" w:rsidR="003E0116" w:rsidRDefault="00B755AB" w:rsidP="003E0116">
      <w:pPr>
        <w:numPr>
          <w:ilvl w:val="0"/>
          <w:numId w:val="38"/>
        </w:numPr>
        <w:jc w:val="both"/>
      </w:pPr>
      <w:r w:rsidRPr="003201E1">
        <w:rPr>
          <w:b/>
          <w:bCs/>
        </w:rPr>
        <w:t>KP</w:t>
      </w:r>
      <w:r w:rsidR="0006736A" w:rsidRPr="003201E1">
        <w:rPr>
          <w:b/>
          <w:bCs/>
        </w:rPr>
        <w:t xml:space="preserve">, </w:t>
      </w:r>
      <w:r w:rsidRPr="003201E1">
        <w:rPr>
          <w:b/>
          <w:bCs/>
        </w:rPr>
        <w:t>IUB</w:t>
      </w:r>
      <w:r w:rsidR="0006736A" w:rsidRPr="003201E1">
        <w:rPr>
          <w:b/>
          <w:bCs/>
        </w:rPr>
        <w:t xml:space="preserve"> un KNAB</w:t>
      </w:r>
      <w:r w:rsidR="0006736A" w:rsidRPr="008A0284">
        <w:rPr>
          <w:bCs/>
        </w:rPr>
        <w:t xml:space="preserve"> organizēja kopīgus reģionālos  seminārus</w:t>
      </w:r>
      <w:r w:rsidR="008A0284" w:rsidRPr="008A0284">
        <w:rPr>
          <w:bCs/>
        </w:rPr>
        <w:t xml:space="preserve"> 7 pilsētās</w:t>
      </w:r>
      <w:r w:rsidR="0006736A" w:rsidRPr="008A0284">
        <w:rPr>
          <w:bCs/>
        </w:rPr>
        <w:t xml:space="preserve">, kopā izglītojot </w:t>
      </w:r>
      <w:r w:rsidR="008A0284" w:rsidRPr="008A0284">
        <w:rPr>
          <w:bCs/>
        </w:rPr>
        <w:t>356</w:t>
      </w:r>
      <w:r w:rsidR="0006736A" w:rsidRPr="008A0284">
        <w:rPr>
          <w:bCs/>
        </w:rPr>
        <w:t xml:space="preserve"> dalībniekus par (1) karteļu pazīmēm jeb riskiem publiskajos iepirkumos (2) konkurences tiesībām godīgai uzņēmējdarbībai; (3) godīgas konkurences aspektiem publisko iepirkumu procedūrās; (4) korupcijas izpausmes formām un riskiem publisko i</w:t>
      </w:r>
      <w:r w:rsidR="003E0116">
        <w:rPr>
          <w:bCs/>
        </w:rPr>
        <w:t>epirkumu procedūrās.</w:t>
      </w:r>
    </w:p>
    <w:p w14:paraId="076024BE" w14:textId="77777777" w:rsidR="0076357D" w:rsidRPr="003E0116" w:rsidRDefault="001E2EFF" w:rsidP="003E0116">
      <w:pPr>
        <w:numPr>
          <w:ilvl w:val="0"/>
          <w:numId w:val="38"/>
        </w:numPr>
        <w:jc w:val="both"/>
      </w:pPr>
      <w:r w:rsidRPr="003E0116">
        <w:rPr>
          <w:bCs/>
        </w:rPr>
        <w:lastRenderedPageBreak/>
        <w:t xml:space="preserve">AFCOS realizētā </w:t>
      </w:r>
      <w:r w:rsidRPr="003201E1">
        <w:rPr>
          <w:b/>
          <w:bCs/>
          <w:i/>
        </w:rPr>
        <w:t>HE</w:t>
      </w:r>
      <w:r w:rsidR="00231B1A" w:rsidRPr="003201E1">
        <w:rPr>
          <w:b/>
          <w:bCs/>
          <w:i/>
        </w:rPr>
        <w:t>RCULE III</w:t>
      </w:r>
      <w:r w:rsidR="00231B1A" w:rsidRPr="003E0116">
        <w:rPr>
          <w:bCs/>
        </w:rPr>
        <w:t xml:space="preserve"> projekta ietvaros 2018</w:t>
      </w:r>
      <w:r w:rsidRPr="003E0116">
        <w:rPr>
          <w:bCs/>
        </w:rPr>
        <w:t xml:space="preserve">.gadā tika </w:t>
      </w:r>
      <w:r w:rsidR="00C82F5A" w:rsidRPr="003E0116">
        <w:rPr>
          <w:bCs/>
        </w:rPr>
        <w:t>organizēta viena</w:t>
      </w:r>
      <w:r w:rsidR="00572588" w:rsidRPr="003E0116">
        <w:rPr>
          <w:bCs/>
        </w:rPr>
        <w:t xml:space="preserve"> </w:t>
      </w:r>
      <w:r w:rsidR="00C82F5A" w:rsidRPr="003E0116">
        <w:rPr>
          <w:bCs/>
        </w:rPr>
        <w:t>konference</w:t>
      </w:r>
      <w:r w:rsidR="0071410F" w:rsidRPr="003E0116">
        <w:rPr>
          <w:bCs/>
        </w:rPr>
        <w:t xml:space="preserve"> </w:t>
      </w:r>
      <w:r w:rsidR="00572588" w:rsidRPr="003E0116">
        <w:rPr>
          <w:bCs/>
        </w:rPr>
        <w:t>un viena</w:t>
      </w:r>
      <w:r w:rsidRPr="003E0116">
        <w:rPr>
          <w:bCs/>
        </w:rPr>
        <w:t xml:space="preserve"> pieredzes apmaiņas vizīte</w:t>
      </w:r>
      <w:r w:rsidR="0076357D" w:rsidRPr="003E0116">
        <w:rPr>
          <w:bCs/>
        </w:rPr>
        <w:t>:</w:t>
      </w:r>
    </w:p>
    <w:p w14:paraId="0E6E3EEE" w14:textId="77777777" w:rsidR="00960D5F" w:rsidRPr="002C456B" w:rsidRDefault="00801873" w:rsidP="00D53386">
      <w:pPr>
        <w:pStyle w:val="ListParagraph"/>
        <w:widowControl w:val="0"/>
        <w:numPr>
          <w:ilvl w:val="1"/>
          <w:numId w:val="22"/>
        </w:numPr>
        <w:autoSpaceDE w:val="0"/>
        <w:autoSpaceDN w:val="0"/>
        <w:adjustRightInd w:val="0"/>
        <w:spacing w:before="120" w:after="120"/>
        <w:contextualSpacing/>
        <w:jc w:val="both"/>
        <w:rPr>
          <w:rFonts w:ascii="Times New Roman" w:hAnsi="Times New Roman"/>
          <w:bCs/>
          <w:sz w:val="24"/>
          <w:szCs w:val="24"/>
        </w:rPr>
      </w:pPr>
      <w:r w:rsidRPr="008E0D9B">
        <w:rPr>
          <w:rFonts w:ascii="Times New Roman" w:hAnsi="Times New Roman"/>
          <w:bCs/>
          <w:sz w:val="24"/>
          <w:szCs w:val="24"/>
        </w:rPr>
        <w:t xml:space="preserve">No 2018.gada 22. janvāra līdz 26. janvārim AFCOS, </w:t>
      </w:r>
      <w:r w:rsidR="00646525">
        <w:rPr>
          <w:rFonts w:ascii="Times New Roman" w:hAnsi="Times New Roman"/>
          <w:bCs/>
          <w:sz w:val="24"/>
          <w:szCs w:val="24"/>
        </w:rPr>
        <w:t>VP</w:t>
      </w:r>
      <w:r>
        <w:rPr>
          <w:rFonts w:ascii="Times New Roman" w:hAnsi="Times New Roman"/>
          <w:bCs/>
          <w:sz w:val="24"/>
          <w:szCs w:val="24"/>
        </w:rPr>
        <w:t xml:space="preserve">, </w:t>
      </w:r>
      <w:r w:rsidR="00646525">
        <w:rPr>
          <w:rFonts w:ascii="Times New Roman" w:hAnsi="Times New Roman"/>
          <w:bCs/>
          <w:sz w:val="24"/>
          <w:szCs w:val="24"/>
        </w:rPr>
        <w:t>KNAB</w:t>
      </w:r>
      <w:r w:rsidRPr="008E0D9B">
        <w:rPr>
          <w:rFonts w:ascii="Times New Roman" w:hAnsi="Times New Roman"/>
          <w:bCs/>
          <w:sz w:val="24"/>
          <w:szCs w:val="24"/>
        </w:rPr>
        <w:t xml:space="preserve">, </w:t>
      </w:r>
      <w:r w:rsidR="00646525">
        <w:rPr>
          <w:rFonts w:ascii="Times New Roman" w:hAnsi="Times New Roman"/>
          <w:bCs/>
          <w:sz w:val="24"/>
          <w:szCs w:val="24"/>
        </w:rPr>
        <w:t>TM</w:t>
      </w:r>
      <w:r w:rsidRPr="008E0D9B">
        <w:rPr>
          <w:rFonts w:ascii="Times New Roman" w:hAnsi="Times New Roman"/>
          <w:bCs/>
          <w:sz w:val="24"/>
          <w:szCs w:val="24"/>
        </w:rPr>
        <w:t xml:space="preserve">, </w:t>
      </w:r>
      <w:r w:rsidR="00646525">
        <w:rPr>
          <w:rFonts w:ascii="Times New Roman" w:hAnsi="Times New Roman"/>
          <w:bCs/>
          <w:sz w:val="24"/>
          <w:szCs w:val="24"/>
        </w:rPr>
        <w:t>VID</w:t>
      </w:r>
      <w:r w:rsidRPr="008E0D9B">
        <w:rPr>
          <w:rFonts w:ascii="Times New Roman" w:hAnsi="Times New Roman"/>
          <w:bCs/>
          <w:sz w:val="24"/>
          <w:szCs w:val="24"/>
        </w:rPr>
        <w:t xml:space="preserve">, </w:t>
      </w:r>
      <w:r w:rsidR="00646525">
        <w:rPr>
          <w:rFonts w:ascii="Times New Roman" w:hAnsi="Times New Roman"/>
          <w:bCs/>
          <w:sz w:val="24"/>
          <w:szCs w:val="24"/>
        </w:rPr>
        <w:t>KP</w:t>
      </w:r>
      <w:r w:rsidRPr="008E0D9B">
        <w:rPr>
          <w:rFonts w:ascii="Times New Roman" w:hAnsi="Times New Roman"/>
          <w:bCs/>
          <w:sz w:val="24"/>
          <w:szCs w:val="24"/>
        </w:rPr>
        <w:t xml:space="preserve"> un </w:t>
      </w:r>
      <w:r w:rsidR="00646525">
        <w:rPr>
          <w:rFonts w:ascii="Times New Roman" w:hAnsi="Times New Roman"/>
          <w:bCs/>
          <w:sz w:val="24"/>
          <w:szCs w:val="24"/>
        </w:rPr>
        <w:t>ĢP</w:t>
      </w:r>
      <w:r w:rsidRPr="008E0D9B">
        <w:rPr>
          <w:rFonts w:ascii="Times New Roman" w:hAnsi="Times New Roman"/>
          <w:bCs/>
          <w:sz w:val="24"/>
          <w:szCs w:val="24"/>
        </w:rPr>
        <w:t xml:space="preserve"> pārstāvji piedalījās pieredzes apmaiņas vizītē starp OLAF, Antverpenes muitas struktūru, Beļģijas federālo policiju, Beļģijas AFCOS un Latvijas kompetentajām iestādēm izmeklēšanas jomā. Pieredzes apmaiņas vizīte norisinājās Briselē un Antverpenē, Beļģijā. Tās laikā iesaistītās institūcijas sniedza ieskatu savā ikdienas darbā, kā arī apmainījās ar labās prakses piemēriem ES finanšu interešu aizsardzības jomā</w:t>
      </w:r>
      <w:r>
        <w:rPr>
          <w:rFonts w:ascii="Times New Roman" w:hAnsi="Times New Roman"/>
          <w:bCs/>
          <w:sz w:val="24"/>
          <w:szCs w:val="24"/>
        </w:rPr>
        <w:t>.</w:t>
      </w:r>
      <w:r w:rsidR="00CE7EFD">
        <w:rPr>
          <w:rFonts w:ascii="Times New Roman" w:hAnsi="Times New Roman"/>
          <w:bCs/>
          <w:sz w:val="24"/>
          <w:szCs w:val="24"/>
        </w:rPr>
        <w:t xml:space="preserve"> </w:t>
      </w:r>
      <w:r w:rsidR="00CE7EFD" w:rsidRPr="002C456B">
        <w:rPr>
          <w:rFonts w:ascii="Times New Roman" w:hAnsi="Times New Roman"/>
          <w:bCs/>
          <w:sz w:val="24"/>
          <w:szCs w:val="24"/>
        </w:rPr>
        <w:t>Būtiski, vizītes laikā, tika stiprināts dialogs starp OLAF un Latvijas tiesībaizsardzības iestādēm, abpusēji skaidrojot izmeklēšanas</w:t>
      </w:r>
      <w:r w:rsidR="006310D0" w:rsidRPr="002C456B">
        <w:rPr>
          <w:rFonts w:ascii="Times New Roman" w:hAnsi="Times New Roman"/>
          <w:bCs/>
          <w:sz w:val="24"/>
          <w:szCs w:val="24"/>
        </w:rPr>
        <w:t xml:space="preserve"> un darba</w:t>
      </w:r>
      <w:r w:rsidR="00CE7EFD" w:rsidRPr="002C456B">
        <w:rPr>
          <w:rFonts w:ascii="Times New Roman" w:hAnsi="Times New Roman"/>
          <w:bCs/>
          <w:sz w:val="24"/>
          <w:szCs w:val="24"/>
        </w:rPr>
        <w:t xml:space="preserve"> specifiku. Vizītes rezultātā </w:t>
      </w:r>
      <w:r w:rsidR="00DC0FB0">
        <w:rPr>
          <w:rFonts w:ascii="Times New Roman" w:hAnsi="Times New Roman"/>
          <w:bCs/>
          <w:sz w:val="24"/>
          <w:szCs w:val="24"/>
        </w:rPr>
        <w:t xml:space="preserve">šobrīd </w:t>
      </w:r>
      <w:r w:rsidR="00CE7EFD" w:rsidRPr="002C456B">
        <w:rPr>
          <w:rFonts w:ascii="Times New Roman" w:hAnsi="Times New Roman"/>
          <w:bCs/>
          <w:sz w:val="24"/>
          <w:szCs w:val="24"/>
        </w:rPr>
        <w:t xml:space="preserve">notiek ciešāka sadarbība ar OLAF </w:t>
      </w:r>
      <w:r w:rsidR="006310D0" w:rsidRPr="002C456B">
        <w:rPr>
          <w:rFonts w:ascii="Times New Roman" w:hAnsi="Times New Roman"/>
          <w:bCs/>
          <w:sz w:val="24"/>
          <w:szCs w:val="24"/>
        </w:rPr>
        <w:t xml:space="preserve">krāpšanas </w:t>
      </w:r>
      <w:r w:rsidR="003E0116">
        <w:rPr>
          <w:rFonts w:ascii="Times New Roman" w:hAnsi="Times New Roman"/>
          <w:bCs/>
          <w:sz w:val="24"/>
          <w:szCs w:val="24"/>
        </w:rPr>
        <w:t>izmeklēšanas jomā.</w:t>
      </w:r>
    </w:p>
    <w:p w14:paraId="3670E2E3" w14:textId="77777777" w:rsidR="00960D5F" w:rsidRPr="002C456B" w:rsidRDefault="00801873" w:rsidP="00D53386">
      <w:pPr>
        <w:pStyle w:val="ListParagraph"/>
        <w:widowControl w:val="0"/>
        <w:numPr>
          <w:ilvl w:val="1"/>
          <w:numId w:val="22"/>
        </w:numPr>
        <w:autoSpaceDE w:val="0"/>
        <w:autoSpaceDN w:val="0"/>
        <w:adjustRightInd w:val="0"/>
        <w:spacing w:before="120" w:after="120"/>
        <w:contextualSpacing/>
        <w:jc w:val="both"/>
        <w:rPr>
          <w:rFonts w:ascii="Times New Roman" w:hAnsi="Times New Roman"/>
          <w:bCs/>
          <w:sz w:val="24"/>
          <w:szCs w:val="24"/>
        </w:rPr>
      </w:pPr>
      <w:r w:rsidRPr="002C456B">
        <w:rPr>
          <w:rFonts w:ascii="Times New Roman" w:hAnsi="Times New Roman"/>
          <w:bCs/>
          <w:sz w:val="24"/>
          <w:szCs w:val="24"/>
        </w:rPr>
        <w:t xml:space="preserve">No 2018. gada 22.februāra līdz 23.februārim norisinājās divu dienu starptautiska konference – seminārs </w:t>
      </w:r>
      <w:r w:rsidRPr="002C456B">
        <w:rPr>
          <w:rFonts w:ascii="Times New Roman" w:hAnsi="Times New Roman"/>
          <w:bCs/>
          <w:i/>
          <w:sz w:val="24"/>
          <w:szCs w:val="24"/>
        </w:rPr>
        <w:t>“</w:t>
      </w:r>
      <w:r w:rsidRPr="002C456B">
        <w:rPr>
          <w:rFonts w:ascii="Times New Roman" w:hAnsi="Times New Roman"/>
          <w:bCs/>
          <w:i/>
          <w:sz w:val="24"/>
          <w:szCs w:val="24"/>
          <w:lang w:val="en-US"/>
        </w:rPr>
        <w:t>Raising of awareness as an effective tool to prevent fraud and corruption</w:t>
      </w:r>
      <w:r w:rsidRPr="002C456B">
        <w:rPr>
          <w:rFonts w:ascii="Times New Roman" w:hAnsi="Times New Roman"/>
          <w:bCs/>
          <w:i/>
          <w:sz w:val="24"/>
          <w:szCs w:val="24"/>
        </w:rPr>
        <w:t>”(</w:t>
      </w:r>
      <w:r w:rsidR="006310D0" w:rsidRPr="002C456B">
        <w:rPr>
          <w:rFonts w:ascii="Times New Roman" w:hAnsi="Times New Roman"/>
          <w:bCs/>
          <w:i/>
          <w:sz w:val="24"/>
          <w:szCs w:val="24"/>
        </w:rPr>
        <w:t>“</w:t>
      </w:r>
      <w:r w:rsidRPr="002C456B">
        <w:rPr>
          <w:rFonts w:ascii="Times New Roman" w:hAnsi="Times New Roman"/>
          <w:bCs/>
          <w:i/>
          <w:sz w:val="24"/>
          <w:szCs w:val="24"/>
        </w:rPr>
        <w:t xml:space="preserve">Sabiedrības informētība kā efektīvs rīks krāpšanas un korupcijas novēršanai”). </w:t>
      </w:r>
      <w:r w:rsidRPr="002C456B">
        <w:rPr>
          <w:rFonts w:ascii="Times New Roman" w:hAnsi="Times New Roman"/>
          <w:bCs/>
          <w:sz w:val="24"/>
          <w:szCs w:val="24"/>
        </w:rPr>
        <w:t>Starptautiskajā konferencē - seminārā piedalījās 68</w:t>
      </w:r>
      <w:r w:rsidRPr="002C456B">
        <w:rPr>
          <w:rFonts w:ascii="Times New Roman" w:hAnsi="Times New Roman"/>
          <w:bCs/>
          <w:color w:val="FF0000"/>
          <w:sz w:val="24"/>
          <w:szCs w:val="24"/>
        </w:rPr>
        <w:t xml:space="preserve"> </w:t>
      </w:r>
      <w:r w:rsidRPr="002C456B">
        <w:rPr>
          <w:rFonts w:ascii="Times New Roman" w:hAnsi="Times New Roman"/>
          <w:bCs/>
          <w:sz w:val="24"/>
          <w:szCs w:val="24"/>
        </w:rPr>
        <w:t>dalībnieki no Latvijas, Lietuvas, Igaunijas, Maltas, Ho</w:t>
      </w:r>
      <w:r w:rsidR="006310D0" w:rsidRPr="002C456B">
        <w:rPr>
          <w:rFonts w:ascii="Times New Roman" w:hAnsi="Times New Roman"/>
          <w:bCs/>
          <w:sz w:val="24"/>
          <w:szCs w:val="24"/>
        </w:rPr>
        <w:t>rvātijas, Bulgārijas un Serbijas</w:t>
      </w:r>
      <w:r w:rsidRPr="002C456B">
        <w:rPr>
          <w:rFonts w:ascii="Times New Roman" w:hAnsi="Times New Roman"/>
          <w:bCs/>
          <w:sz w:val="24"/>
          <w:szCs w:val="24"/>
        </w:rPr>
        <w:t xml:space="preserve"> kā arī pārstāvji no OLAF un </w:t>
      </w:r>
      <w:r w:rsidR="00D53386">
        <w:rPr>
          <w:rFonts w:ascii="Times New Roman" w:hAnsi="Times New Roman"/>
          <w:bCs/>
          <w:sz w:val="24"/>
          <w:szCs w:val="24"/>
        </w:rPr>
        <w:t>OCCRP</w:t>
      </w:r>
      <w:r w:rsidRPr="002C456B">
        <w:rPr>
          <w:rStyle w:val="FootnoteReference"/>
          <w:rFonts w:ascii="Times New Roman" w:hAnsi="Times New Roman"/>
          <w:bCs/>
          <w:sz w:val="24"/>
          <w:szCs w:val="24"/>
        </w:rPr>
        <w:footnoteReference w:id="19"/>
      </w:r>
      <w:r w:rsidRPr="002C456B">
        <w:rPr>
          <w:rFonts w:ascii="Times New Roman" w:hAnsi="Times New Roman"/>
          <w:bCs/>
          <w:sz w:val="24"/>
          <w:szCs w:val="24"/>
        </w:rPr>
        <w:t>. Semināra laikā tika diskutēts par mediju un izmeklēšanas iestāžu līdzāspastāvēšanu ekonomisko noziegumu atklāšanas un apkarošanas jomā, par komunikācijas problēmām kā arī labās prakses piemēriem.</w:t>
      </w:r>
      <w:r w:rsidR="006310D0" w:rsidRPr="002C456B">
        <w:rPr>
          <w:rFonts w:ascii="Times New Roman" w:hAnsi="Times New Roman"/>
          <w:bCs/>
          <w:sz w:val="24"/>
          <w:szCs w:val="24"/>
        </w:rPr>
        <w:t xml:space="preserve"> No semināra izrietošie secinājumi un ieteikumi tu</w:t>
      </w:r>
      <w:r w:rsidR="002109B2" w:rsidRPr="002C456B">
        <w:rPr>
          <w:rFonts w:ascii="Times New Roman" w:hAnsi="Times New Roman"/>
          <w:bCs/>
          <w:sz w:val="24"/>
          <w:szCs w:val="24"/>
        </w:rPr>
        <w:t>rpmākam darbam 2019</w:t>
      </w:r>
      <w:r w:rsidR="006310D0" w:rsidRPr="002C456B">
        <w:rPr>
          <w:rFonts w:ascii="Times New Roman" w:hAnsi="Times New Roman"/>
          <w:bCs/>
          <w:sz w:val="24"/>
          <w:szCs w:val="24"/>
        </w:rPr>
        <w:t>.gadā</w:t>
      </w:r>
      <w:r w:rsidR="00D53386" w:rsidRPr="00D53386">
        <w:rPr>
          <w:rFonts w:ascii="Times New Roman" w:hAnsi="Times New Roman"/>
          <w:bCs/>
          <w:sz w:val="24"/>
          <w:szCs w:val="24"/>
        </w:rPr>
        <w:t xml:space="preserve"> </w:t>
      </w:r>
      <w:r w:rsidR="00D53386" w:rsidRPr="002C456B">
        <w:rPr>
          <w:rFonts w:ascii="Times New Roman" w:hAnsi="Times New Roman"/>
          <w:bCs/>
          <w:sz w:val="24"/>
          <w:szCs w:val="24"/>
        </w:rPr>
        <w:t>tiks nodoti</w:t>
      </w:r>
      <w:r w:rsidR="006310D0" w:rsidRPr="002C456B">
        <w:rPr>
          <w:rFonts w:ascii="Times New Roman" w:hAnsi="Times New Roman"/>
          <w:bCs/>
          <w:sz w:val="24"/>
          <w:szCs w:val="24"/>
        </w:rPr>
        <w:t xml:space="preserve"> </w:t>
      </w:r>
      <w:r w:rsidR="009238C4">
        <w:rPr>
          <w:rFonts w:ascii="Times New Roman" w:hAnsi="Times New Roman"/>
          <w:bCs/>
          <w:sz w:val="24"/>
          <w:szCs w:val="24"/>
        </w:rPr>
        <w:t>VAS</w:t>
      </w:r>
      <w:r w:rsidR="006310D0" w:rsidRPr="002C456B">
        <w:rPr>
          <w:rFonts w:ascii="Times New Roman" w:hAnsi="Times New Roman"/>
          <w:bCs/>
          <w:sz w:val="24"/>
          <w:szCs w:val="24"/>
        </w:rPr>
        <w:t xml:space="preserve"> ar mērķi izvērtēt, vai šādas diskusijas būtu iespējams turpināt, ņemot vērā augsto pieprasījumu un pozitīvās atsauksmes no dalībniekiem.</w:t>
      </w:r>
    </w:p>
    <w:p w14:paraId="23BD01AC" w14:textId="77777777" w:rsidR="003E0116" w:rsidRDefault="00231B1A" w:rsidP="003E0116">
      <w:pPr>
        <w:pStyle w:val="ListParagraph"/>
        <w:widowControl w:val="0"/>
        <w:numPr>
          <w:ilvl w:val="0"/>
          <w:numId w:val="38"/>
        </w:numPr>
        <w:autoSpaceDE w:val="0"/>
        <w:autoSpaceDN w:val="0"/>
        <w:adjustRightInd w:val="0"/>
        <w:spacing w:before="120" w:after="120"/>
        <w:contextualSpacing/>
        <w:jc w:val="both"/>
        <w:rPr>
          <w:rFonts w:ascii="Times New Roman" w:hAnsi="Times New Roman"/>
          <w:bCs/>
          <w:sz w:val="24"/>
          <w:szCs w:val="24"/>
        </w:rPr>
      </w:pPr>
      <w:r w:rsidRPr="003E0116">
        <w:rPr>
          <w:rFonts w:ascii="Times New Roman" w:hAnsi="Times New Roman"/>
          <w:sz w:val="24"/>
          <w:szCs w:val="24"/>
        </w:rPr>
        <w:t xml:space="preserve">2018.gada 7. novembrī, </w:t>
      </w:r>
      <w:r w:rsidRPr="003201E1">
        <w:rPr>
          <w:rFonts w:ascii="Times New Roman" w:hAnsi="Times New Roman"/>
          <w:b/>
          <w:sz w:val="24"/>
          <w:szCs w:val="24"/>
        </w:rPr>
        <w:t>AFCOS</w:t>
      </w:r>
      <w:r w:rsidRPr="003E0116">
        <w:rPr>
          <w:rFonts w:ascii="Times New Roman" w:hAnsi="Times New Roman"/>
          <w:sz w:val="24"/>
          <w:szCs w:val="24"/>
        </w:rPr>
        <w:t xml:space="preserve"> sadarbojoties ar </w:t>
      </w:r>
      <w:r w:rsidR="00D53386" w:rsidRPr="003201E1">
        <w:rPr>
          <w:rFonts w:ascii="Times New Roman" w:hAnsi="Times New Roman"/>
          <w:b/>
          <w:bCs/>
          <w:sz w:val="24"/>
          <w:szCs w:val="24"/>
        </w:rPr>
        <w:t>KNAB</w:t>
      </w:r>
      <w:r w:rsidRPr="003201E1">
        <w:rPr>
          <w:rFonts w:ascii="Times New Roman" w:hAnsi="Times New Roman"/>
          <w:b/>
          <w:sz w:val="24"/>
          <w:szCs w:val="24"/>
        </w:rPr>
        <w:t xml:space="preserve">, </w:t>
      </w:r>
      <w:r w:rsidR="00D53386" w:rsidRPr="003201E1">
        <w:rPr>
          <w:rFonts w:ascii="Times New Roman" w:hAnsi="Times New Roman"/>
          <w:b/>
          <w:bCs/>
          <w:sz w:val="24"/>
          <w:szCs w:val="24"/>
        </w:rPr>
        <w:t>VP</w:t>
      </w:r>
      <w:r w:rsidRPr="003201E1">
        <w:rPr>
          <w:rFonts w:ascii="Times New Roman" w:hAnsi="Times New Roman"/>
          <w:b/>
          <w:sz w:val="24"/>
          <w:szCs w:val="24"/>
        </w:rPr>
        <w:t xml:space="preserve"> un </w:t>
      </w:r>
      <w:r w:rsidR="00314E2D" w:rsidRPr="003201E1">
        <w:rPr>
          <w:rFonts w:ascii="Times New Roman" w:hAnsi="Times New Roman"/>
          <w:b/>
          <w:sz w:val="24"/>
          <w:szCs w:val="24"/>
        </w:rPr>
        <w:t>VAS</w:t>
      </w:r>
      <w:r w:rsidR="00772ADC" w:rsidRPr="003E0116">
        <w:rPr>
          <w:rFonts w:ascii="Times New Roman" w:hAnsi="Times New Roman"/>
          <w:sz w:val="24"/>
          <w:szCs w:val="24"/>
        </w:rPr>
        <w:t xml:space="preserve"> </w:t>
      </w:r>
      <w:r w:rsidRPr="003E0116">
        <w:rPr>
          <w:rFonts w:ascii="Times New Roman" w:hAnsi="Times New Roman"/>
          <w:sz w:val="24"/>
          <w:szCs w:val="24"/>
        </w:rPr>
        <w:t xml:space="preserve">pārstāvjiem organizēja </w:t>
      </w:r>
      <w:r w:rsidR="00772ADC" w:rsidRPr="003E0116">
        <w:rPr>
          <w:rFonts w:ascii="Times New Roman" w:hAnsi="Times New Roman"/>
          <w:sz w:val="24"/>
          <w:szCs w:val="24"/>
        </w:rPr>
        <w:t>“</w:t>
      </w:r>
      <w:r w:rsidRPr="003E0116">
        <w:rPr>
          <w:rFonts w:ascii="Times New Roman" w:hAnsi="Times New Roman"/>
          <w:sz w:val="24"/>
          <w:szCs w:val="24"/>
        </w:rPr>
        <w:t>Mācīb</w:t>
      </w:r>
      <w:r w:rsidR="00C82F5A" w:rsidRPr="003E0116">
        <w:rPr>
          <w:rFonts w:ascii="Times New Roman" w:hAnsi="Times New Roman"/>
          <w:sz w:val="24"/>
          <w:szCs w:val="24"/>
        </w:rPr>
        <w:t>u un pieredzes apmaiņas semināru</w:t>
      </w:r>
      <w:r w:rsidRPr="003E0116">
        <w:rPr>
          <w:rFonts w:ascii="Times New Roman" w:hAnsi="Times New Roman"/>
          <w:sz w:val="24"/>
          <w:szCs w:val="24"/>
        </w:rPr>
        <w:t xml:space="preserve"> par krāpniecisku un ar korupciju saistītu nodarījumu pazīmēm ES fondu ieviešanas ietvaros”</w:t>
      </w:r>
      <w:r w:rsidR="00C82F5A" w:rsidRPr="003E0116">
        <w:rPr>
          <w:rFonts w:ascii="Times New Roman" w:hAnsi="Times New Roman"/>
          <w:sz w:val="24"/>
          <w:szCs w:val="24"/>
        </w:rPr>
        <w:t xml:space="preserve">. Seminārā piedalījās 80 dalībnieki no FM revīzijas iestādes un </w:t>
      </w:r>
      <w:r w:rsidR="00314E2D" w:rsidRPr="003E0116">
        <w:rPr>
          <w:rFonts w:ascii="Times New Roman" w:hAnsi="Times New Roman"/>
          <w:sz w:val="24"/>
          <w:szCs w:val="24"/>
        </w:rPr>
        <w:t>CFLA</w:t>
      </w:r>
      <w:r w:rsidR="00C82F5A" w:rsidRPr="003E0116">
        <w:rPr>
          <w:rFonts w:ascii="Times New Roman" w:hAnsi="Times New Roman"/>
          <w:sz w:val="24"/>
          <w:szCs w:val="24"/>
        </w:rPr>
        <w:t xml:space="preserve">. Semināra laikā </w:t>
      </w:r>
      <w:r w:rsidR="00314E2D" w:rsidRPr="003E0116">
        <w:rPr>
          <w:rFonts w:ascii="Times New Roman" w:hAnsi="Times New Roman"/>
          <w:bCs/>
          <w:sz w:val="24"/>
          <w:szCs w:val="24"/>
        </w:rPr>
        <w:t>KNAB</w:t>
      </w:r>
      <w:r w:rsidR="00C82F5A" w:rsidRPr="003E0116">
        <w:rPr>
          <w:rFonts w:ascii="Times New Roman" w:hAnsi="Times New Roman"/>
          <w:sz w:val="24"/>
          <w:szCs w:val="24"/>
        </w:rPr>
        <w:t xml:space="preserve"> pārstāvji sniedza inf</w:t>
      </w:r>
      <w:r w:rsidR="00DC0FB0" w:rsidRPr="003E0116">
        <w:rPr>
          <w:rFonts w:ascii="Times New Roman" w:hAnsi="Times New Roman"/>
          <w:sz w:val="24"/>
          <w:szCs w:val="24"/>
        </w:rPr>
        <w:t>ormāciju par interešu konfliktu un</w:t>
      </w:r>
      <w:r w:rsidR="00C82F5A" w:rsidRPr="003E0116">
        <w:rPr>
          <w:rFonts w:ascii="Times New Roman" w:hAnsi="Times New Roman"/>
          <w:sz w:val="24"/>
          <w:szCs w:val="24"/>
        </w:rPr>
        <w:t xml:space="preserve"> ar korupciju saistītiem nodarījumiem, savukārt, </w:t>
      </w:r>
      <w:r w:rsidR="00314E2D" w:rsidRPr="003E0116">
        <w:rPr>
          <w:rFonts w:ascii="Times New Roman" w:hAnsi="Times New Roman"/>
          <w:bCs/>
          <w:sz w:val="24"/>
          <w:szCs w:val="24"/>
        </w:rPr>
        <w:t>VP</w:t>
      </w:r>
      <w:r w:rsidR="00C82F5A" w:rsidRPr="003E0116">
        <w:rPr>
          <w:rFonts w:ascii="Times New Roman" w:hAnsi="Times New Roman"/>
          <w:sz w:val="24"/>
          <w:szCs w:val="24"/>
        </w:rPr>
        <w:t xml:space="preserve"> kolēģi skaidroja krāpšanas pazīmju konstatēšanu fondu ieviešanas ietvaros, sniedzot gan ieteikumus pārbaužu veikšanā, gan demonstrējot labās prakses piemērus veiksmīgai sadarbībai starp ES līdzfinansējumu administrējošām institūcijām un izmeklēšanas iestādēm. Tāpat semināra laikā tika diskutēts par svarīgiem sadarbības un informācijas apmaiņas aspektiem.</w:t>
      </w:r>
      <w:r w:rsidR="00960D5F" w:rsidRPr="003E0116">
        <w:rPr>
          <w:rFonts w:ascii="Times New Roman" w:hAnsi="Times New Roman"/>
          <w:bCs/>
          <w:sz w:val="24"/>
          <w:szCs w:val="24"/>
        </w:rPr>
        <w:t xml:space="preserve"> </w:t>
      </w:r>
    </w:p>
    <w:p w14:paraId="24F5E9D8" w14:textId="77777777" w:rsidR="006F503E" w:rsidRPr="003201E1" w:rsidRDefault="00C82F5A" w:rsidP="003E0116">
      <w:pPr>
        <w:pStyle w:val="ListParagraph"/>
        <w:widowControl w:val="0"/>
        <w:autoSpaceDE w:val="0"/>
        <w:autoSpaceDN w:val="0"/>
        <w:adjustRightInd w:val="0"/>
        <w:spacing w:before="120" w:after="120"/>
        <w:ind w:firstLine="698"/>
        <w:contextualSpacing/>
        <w:jc w:val="both"/>
        <w:rPr>
          <w:rFonts w:ascii="Times New Roman" w:hAnsi="Times New Roman"/>
          <w:sz w:val="24"/>
          <w:szCs w:val="24"/>
        </w:rPr>
      </w:pPr>
      <w:r w:rsidRPr="003201E1">
        <w:rPr>
          <w:rFonts w:ascii="Times New Roman" w:hAnsi="Times New Roman"/>
          <w:sz w:val="24"/>
          <w:szCs w:val="24"/>
        </w:rPr>
        <w:t>Minētais seminārs tika organizēts kā pilotprojekts ar mērķi to attīstīt, uzlabot un organizēt lielākā mērogā, gan paplašinot to institūciju skaitu, kas var</w:t>
      </w:r>
      <w:r w:rsidR="00960D5F" w:rsidRPr="003201E1">
        <w:rPr>
          <w:rFonts w:ascii="Times New Roman" w:hAnsi="Times New Roman"/>
          <w:sz w:val="24"/>
          <w:szCs w:val="24"/>
        </w:rPr>
        <w:t>ēs</w:t>
      </w:r>
      <w:r w:rsidRPr="003201E1">
        <w:rPr>
          <w:rFonts w:ascii="Times New Roman" w:hAnsi="Times New Roman"/>
          <w:sz w:val="24"/>
          <w:szCs w:val="24"/>
        </w:rPr>
        <w:t xml:space="preserve"> apmeklēt seminārus</w:t>
      </w:r>
      <w:r w:rsidR="00772ADC" w:rsidRPr="003201E1">
        <w:rPr>
          <w:rFonts w:ascii="Times New Roman" w:hAnsi="Times New Roman"/>
          <w:sz w:val="24"/>
          <w:szCs w:val="24"/>
        </w:rPr>
        <w:t>, gan</w:t>
      </w:r>
      <w:r w:rsidRPr="003201E1">
        <w:rPr>
          <w:rFonts w:ascii="Times New Roman" w:hAnsi="Times New Roman"/>
          <w:sz w:val="24"/>
          <w:szCs w:val="24"/>
        </w:rPr>
        <w:t xml:space="preserve"> apsverot iespēju mācības organizēt arī reģionos.</w:t>
      </w:r>
    </w:p>
    <w:p w14:paraId="17682E79" w14:textId="7DC83C67" w:rsidR="00231B1A" w:rsidRDefault="003201E1" w:rsidP="004625BB">
      <w:pPr>
        <w:pStyle w:val="ListParagraph"/>
        <w:widowControl w:val="0"/>
        <w:numPr>
          <w:ilvl w:val="0"/>
          <w:numId w:val="38"/>
        </w:numPr>
        <w:autoSpaceDE w:val="0"/>
        <w:autoSpaceDN w:val="0"/>
        <w:adjustRightInd w:val="0"/>
        <w:spacing w:before="120" w:after="120"/>
        <w:contextualSpacing/>
        <w:jc w:val="both"/>
        <w:rPr>
          <w:rFonts w:ascii="Times New Roman" w:hAnsi="Times New Roman"/>
          <w:bCs/>
          <w:sz w:val="24"/>
          <w:szCs w:val="24"/>
        </w:rPr>
      </w:pPr>
      <w:r>
        <w:rPr>
          <w:rFonts w:ascii="Times New Roman" w:hAnsi="Times New Roman"/>
          <w:bCs/>
          <w:sz w:val="24"/>
          <w:szCs w:val="24"/>
        </w:rPr>
        <w:t xml:space="preserve">FM </w:t>
      </w:r>
      <w:r w:rsidR="001839D7" w:rsidRPr="003201E1">
        <w:rPr>
          <w:rFonts w:ascii="Times New Roman" w:hAnsi="Times New Roman"/>
          <w:bCs/>
          <w:sz w:val="24"/>
          <w:szCs w:val="24"/>
        </w:rPr>
        <w:t>AFCOS</w:t>
      </w:r>
      <w:r>
        <w:rPr>
          <w:rFonts w:ascii="Times New Roman" w:hAnsi="Times New Roman"/>
          <w:bCs/>
          <w:sz w:val="24"/>
          <w:szCs w:val="24"/>
        </w:rPr>
        <w:t xml:space="preserve"> un CFLA</w:t>
      </w:r>
      <w:r w:rsidR="001839D7" w:rsidRPr="003201E1">
        <w:rPr>
          <w:rFonts w:ascii="Times New Roman" w:hAnsi="Times New Roman"/>
          <w:bCs/>
          <w:sz w:val="24"/>
          <w:szCs w:val="24"/>
        </w:rPr>
        <w:t xml:space="preserve"> pārstāvji </w:t>
      </w:r>
      <w:r w:rsidR="00D47725" w:rsidRPr="003201E1">
        <w:rPr>
          <w:rFonts w:ascii="Times New Roman" w:hAnsi="Times New Roman"/>
          <w:bCs/>
          <w:sz w:val="24"/>
          <w:szCs w:val="24"/>
        </w:rPr>
        <w:t>aktīvi</w:t>
      </w:r>
      <w:r w:rsidR="001839D7" w:rsidRPr="003201E1">
        <w:rPr>
          <w:rFonts w:ascii="Times New Roman" w:hAnsi="Times New Roman"/>
          <w:bCs/>
          <w:sz w:val="24"/>
          <w:szCs w:val="24"/>
        </w:rPr>
        <w:t xml:space="preserve"> piedalījās Itālijas organizētajos </w:t>
      </w:r>
      <w:proofErr w:type="spellStart"/>
      <w:r w:rsidR="001839D7" w:rsidRPr="003201E1">
        <w:rPr>
          <w:rFonts w:ascii="Times New Roman" w:hAnsi="Times New Roman"/>
          <w:bCs/>
          <w:i/>
          <w:sz w:val="24"/>
          <w:szCs w:val="24"/>
        </w:rPr>
        <w:t>Hercule</w:t>
      </w:r>
      <w:proofErr w:type="spellEnd"/>
      <w:r>
        <w:rPr>
          <w:rFonts w:ascii="Times New Roman" w:hAnsi="Times New Roman"/>
          <w:bCs/>
          <w:i/>
          <w:sz w:val="24"/>
          <w:szCs w:val="24"/>
        </w:rPr>
        <w:t xml:space="preserve"> III </w:t>
      </w:r>
      <w:r w:rsidRPr="003201E1">
        <w:rPr>
          <w:rFonts w:ascii="Times New Roman" w:hAnsi="Times New Roman"/>
          <w:bCs/>
          <w:sz w:val="24"/>
          <w:szCs w:val="24"/>
        </w:rPr>
        <w:t xml:space="preserve">līdzfinansētajos </w:t>
      </w:r>
      <w:r w:rsidR="001839D7" w:rsidRPr="003201E1">
        <w:rPr>
          <w:rFonts w:ascii="Times New Roman" w:hAnsi="Times New Roman"/>
          <w:bCs/>
          <w:sz w:val="24"/>
          <w:szCs w:val="24"/>
        </w:rPr>
        <w:t xml:space="preserve">semināros </w:t>
      </w:r>
      <w:r w:rsidRPr="003201E1">
        <w:rPr>
          <w:rFonts w:ascii="Times New Roman" w:hAnsi="Times New Roman"/>
          <w:bCs/>
          <w:sz w:val="24"/>
          <w:szCs w:val="24"/>
        </w:rPr>
        <w:t>par krāpšanas novēršanas rīkiem</w:t>
      </w:r>
      <w:r>
        <w:rPr>
          <w:rFonts w:ascii="Times New Roman" w:hAnsi="Times New Roman"/>
          <w:bCs/>
          <w:sz w:val="24"/>
          <w:szCs w:val="24"/>
        </w:rPr>
        <w:t xml:space="preserve">, kas norisinājās Milānā, Itālijā un Tbilisi, Gruzijā. Semināru ietvaros dalībnieki </w:t>
      </w:r>
      <w:r w:rsidR="001839D7" w:rsidRPr="003201E1">
        <w:rPr>
          <w:rFonts w:ascii="Times New Roman" w:hAnsi="Times New Roman"/>
          <w:bCs/>
          <w:sz w:val="24"/>
          <w:szCs w:val="24"/>
        </w:rPr>
        <w:t>ieguva jaunu pieredzi un dalījās ar savējo.</w:t>
      </w:r>
    </w:p>
    <w:p w14:paraId="05C22D2A" w14:textId="77777777" w:rsidR="00641B9A" w:rsidRPr="004625BB" w:rsidRDefault="00641B9A" w:rsidP="00641B9A">
      <w:pPr>
        <w:pStyle w:val="ListParagraph"/>
        <w:widowControl w:val="0"/>
        <w:autoSpaceDE w:val="0"/>
        <w:autoSpaceDN w:val="0"/>
        <w:adjustRightInd w:val="0"/>
        <w:spacing w:before="120" w:after="120"/>
        <w:contextualSpacing/>
        <w:jc w:val="both"/>
        <w:rPr>
          <w:rFonts w:ascii="Times New Roman" w:hAnsi="Times New Roman"/>
          <w:bCs/>
          <w:sz w:val="24"/>
          <w:szCs w:val="24"/>
        </w:rPr>
      </w:pPr>
    </w:p>
    <w:p w14:paraId="12CB9181" w14:textId="77777777" w:rsidR="00856D23" w:rsidRPr="00E54E87" w:rsidRDefault="008E38F4" w:rsidP="003201E1">
      <w:pPr>
        <w:contextualSpacing/>
        <w:jc w:val="both"/>
        <w:rPr>
          <w:bCs/>
        </w:rPr>
      </w:pPr>
      <w:r w:rsidRPr="00231B1A">
        <w:rPr>
          <w:b/>
          <w:bCs/>
        </w:rPr>
        <w:t>Izpildes statuss</w:t>
      </w:r>
      <w:r w:rsidR="00474311" w:rsidRPr="00231B1A">
        <w:rPr>
          <w:b/>
          <w:bCs/>
        </w:rPr>
        <w:t xml:space="preserve">: </w:t>
      </w:r>
      <w:r w:rsidR="001867C1" w:rsidRPr="00231B1A">
        <w:rPr>
          <w:b/>
          <w:bCs/>
        </w:rPr>
        <w:t xml:space="preserve">Pasākums Nr. 2 – </w:t>
      </w:r>
      <w:r w:rsidR="006C6818" w:rsidRPr="00231B1A">
        <w:rPr>
          <w:b/>
          <w:bCs/>
        </w:rPr>
        <w:t>tiek pildīts atbilstoši AFCOS darbības stratēģijā</w:t>
      </w:r>
      <w:r w:rsidR="00AB3BF9" w:rsidRPr="00231B1A">
        <w:rPr>
          <w:b/>
          <w:bCs/>
        </w:rPr>
        <w:t xml:space="preserve"> un pasākumā plānā</w:t>
      </w:r>
      <w:r w:rsidR="006C6818" w:rsidRPr="00231B1A">
        <w:rPr>
          <w:b/>
          <w:bCs/>
        </w:rPr>
        <w:t xml:space="preserve"> paredzētajam. </w:t>
      </w:r>
    </w:p>
    <w:p w14:paraId="2699C886" w14:textId="77777777" w:rsidR="00313B5B" w:rsidRDefault="00313B5B" w:rsidP="00B37C59">
      <w:pPr>
        <w:ind w:firstLine="851"/>
        <w:contextualSpacing/>
        <w:jc w:val="both"/>
        <w:rPr>
          <w:bCs/>
        </w:rPr>
      </w:pPr>
    </w:p>
    <w:p w14:paraId="74AE7B2B" w14:textId="17360571" w:rsidR="00313B5B" w:rsidRDefault="00313B5B" w:rsidP="00B37C59">
      <w:pPr>
        <w:ind w:firstLine="851"/>
        <w:contextualSpacing/>
        <w:jc w:val="both"/>
        <w:rPr>
          <w:bCs/>
        </w:rPr>
      </w:pPr>
    </w:p>
    <w:p w14:paraId="0E7B6C69" w14:textId="2D5A90CD" w:rsidR="00641B9A" w:rsidRDefault="00641B9A" w:rsidP="00B37C59">
      <w:pPr>
        <w:ind w:firstLine="851"/>
        <w:contextualSpacing/>
        <w:jc w:val="both"/>
        <w:rPr>
          <w:bCs/>
        </w:rPr>
      </w:pPr>
    </w:p>
    <w:p w14:paraId="0671CDA3" w14:textId="51C28CE0" w:rsidR="00641B9A" w:rsidRDefault="00641B9A" w:rsidP="00B37C59">
      <w:pPr>
        <w:ind w:firstLine="851"/>
        <w:contextualSpacing/>
        <w:jc w:val="both"/>
        <w:rPr>
          <w:bCs/>
        </w:rPr>
      </w:pPr>
    </w:p>
    <w:p w14:paraId="2FA35467" w14:textId="77777777" w:rsidR="00641B9A" w:rsidRPr="00E54E87" w:rsidRDefault="00641B9A" w:rsidP="00B37C59">
      <w:pPr>
        <w:ind w:firstLine="851"/>
        <w:contextualSpacing/>
        <w:jc w:val="both"/>
        <w:rPr>
          <w:bCs/>
        </w:rPr>
      </w:pPr>
    </w:p>
    <w:p w14:paraId="64B80D31" w14:textId="77777777" w:rsidR="00D47725" w:rsidRDefault="00063645" w:rsidP="00063645">
      <w:pPr>
        <w:widowControl w:val="0"/>
        <w:autoSpaceDE w:val="0"/>
        <w:autoSpaceDN w:val="0"/>
        <w:adjustRightInd w:val="0"/>
        <w:spacing w:after="120"/>
        <w:ind w:firstLine="851"/>
        <w:contextualSpacing/>
        <w:jc w:val="both"/>
        <w:rPr>
          <w:b/>
          <w:sz w:val="28"/>
        </w:rPr>
      </w:pPr>
      <w:r w:rsidRPr="006F503E">
        <w:rPr>
          <w:b/>
          <w:sz w:val="28"/>
        </w:rPr>
        <w:lastRenderedPageBreak/>
        <w:t>A.3.3. Pasākums Nr.3</w:t>
      </w:r>
      <w:r w:rsidR="00D47725">
        <w:rPr>
          <w:b/>
          <w:sz w:val="28"/>
        </w:rPr>
        <w:t>. Sabiedrības viedokļa noskaidrošana un turpmāko darbības virzienu noteikšana</w:t>
      </w:r>
    </w:p>
    <w:p w14:paraId="03DEF249" w14:textId="3AA9D720" w:rsidR="00063645" w:rsidRPr="00641B9A" w:rsidRDefault="00063645" w:rsidP="00063645">
      <w:pPr>
        <w:widowControl w:val="0"/>
        <w:autoSpaceDE w:val="0"/>
        <w:autoSpaceDN w:val="0"/>
        <w:adjustRightInd w:val="0"/>
        <w:spacing w:after="120"/>
        <w:ind w:firstLine="851"/>
        <w:contextualSpacing/>
        <w:jc w:val="both"/>
        <w:rPr>
          <w:i/>
          <w:sz w:val="22"/>
          <w:lang w:eastAsia="lv-LV"/>
        </w:rPr>
      </w:pPr>
      <w:r w:rsidRPr="00641B9A">
        <w:rPr>
          <w:i/>
          <w:sz w:val="22"/>
          <w:lang w:eastAsia="lv-LV"/>
        </w:rPr>
        <w:t xml:space="preserve">Noskaidrot sabiedrības izpratni un informētības līmeni, kā arī iespējamo krāpšanas līmeni Latvijā, lai noteiktu turpmākos rīcības virzienus krāpšanas </w:t>
      </w:r>
      <w:proofErr w:type="spellStart"/>
      <w:r w:rsidRPr="00641B9A">
        <w:rPr>
          <w:i/>
          <w:sz w:val="22"/>
          <w:lang w:eastAsia="lv-LV"/>
        </w:rPr>
        <w:t>prevencijai</w:t>
      </w:r>
      <w:proofErr w:type="spellEnd"/>
      <w:r w:rsidRPr="00641B9A">
        <w:rPr>
          <w:i/>
          <w:sz w:val="22"/>
          <w:lang w:eastAsia="lv-LV"/>
        </w:rPr>
        <w:t>.</w:t>
      </w:r>
    </w:p>
    <w:p w14:paraId="1B019A10" w14:textId="77777777" w:rsidR="00063645" w:rsidRPr="00641B9A" w:rsidRDefault="00063645" w:rsidP="00063645">
      <w:pPr>
        <w:widowControl w:val="0"/>
        <w:autoSpaceDE w:val="0"/>
        <w:autoSpaceDN w:val="0"/>
        <w:adjustRightInd w:val="0"/>
        <w:spacing w:after="120"/>
        <w:ind w:firstLine="851"/>
        <w:contextualSpacing/>
        <w:jc w:val="both"/>
        <w:rPr>
          <w:sz w:val="22"/>
        </w:rPr>
      </w:pPr>
      <w:r w:rsidRPr="00641B9A">
        <w:rPr>
          <w:sz w:val="22"/>
        </w:rPr>
        <w:t>Par pasākuma izpildi atbildīgā institūcija –AFCOS.</w:t>
      </w:r>
    </w:p>
    <w:p w14:paraId="27800C7D" w14:textId="77777777" w:rsidR="00063645" w:rsidRPr="00641B9A" w:rsidRDefault="00063645" w:rsidP="00063645">
      <w:pPr>
        <w:widowControl w:val="0"/>
        <w:autoSpaceDE w:val="0"/>
        <w:autoSpaceDN w:val="0"/>
        <w:adjustRightInd w:val="0"/>
        <w:spacing w:after="120"/>
        <w:ind w:firstLine="851"/>
        <w:contextualSpacing/>
        <w:jc w:val="both"/>
        <w:rPr>
          <w:sz w:val="22"/>
        </w:rPr>
      </w:pPr>
      <w:r w:rsidRPr="00641B9A">
        <w:rPr>
          <w:sz w:val="22"/>
        </w:rPr>
        <w:t>Pasākuma izpildes termiņš – 31.12.2018.</w:t>
      </w:r>
    </w:p>
    <w:p w14:paraId="766BE57C" w14:textId="77777777" w:rsidR="00063645" w:rsidRPr="001B78A3" w:rsidRDefault="00063645" w:rsidP="00063645">
      <w:pPr>
        <w:contextualSpacing/>
        <w:jc w:val="both"/>
      </w:pPr>
    </w:p>
    <w:p w14:paraId="244FAA3A" w14:textId="77777777" w:rsidR="00063645" w:rsidRPr="00BB19CC" w:rsidRDefault="00063645" w:rsidP="00314E2D">
      <w:pPr>
        <w:ind w:firstLine="633"/>
        <w:contextualSpacing/>
        <w:jc w:val="both"/>
      </w:pPr>
      <w:r w:rsidRPr="001B78A3">
        <w:t xml:space="preserve">Ik gadu </w:t>
      </w:r>
      <w:r w:rsidR="00314E2D">
        <w:t>FM</w:t>
      </w:r>
      <w:r w:rsidRPr="001B78A3">
        <w:t xml:space="preserve"> īsteno sabiedriskās domas pētījumu </w:t>
      </w:r>
      <w:r w:rsidRPr="00314E2D">
        <w:t xml:space="preserve">par iedzīvotāju informētību un izpratni par Eiropas Savienības fondiem. </w:t>
      </w:r>
      <w:r w:rsidRPr="001B78A3">
        <w:t>201</w:t>
      </w:r>
      <w:r>
        <w:t>8</w:t>
      </w:r>
      <w:r w:rsidRPr="001B78A3">
        <w:t>.gada pētījuma rezultāti norāda, ka:</w:t>
      </w:r>
    </w:p>
    <w:p w14:paraId="1F42475E" w14:textId="77777777" w:rsidR="00063645" w:rsidRPr="005D3F21" w:rsidRDefault="00063645" w:rsidP="00314E2D">
      <w:pPr>
        <w:pStyle w:val="ListParagraph"/>
        <w:numPr>
          <w:ilvl w:val="0"/>
          <w:numId w:val="27"/>
        </w:numPr>
        <w:ind w:left="993"/>
        <w:contextualSpacing/>
        <w:jc w:val="both"/>
        <w:rPr>
          <w:rFonts w:ascii="Times New Roman" w:eastAsia="Times New Roman" w:hAnsi="Times New Roman"/>
          <w:sz w:val="24"/>
          <w:szCs w:val="24"/>
        </w:rPr>
      </w:pPr>
      <w:r w:rsidRPr="00BB19CC">
        <w:rPr>
          <w:rFonts w:ascii="Times New Roman" w:eastAsia="Times New Roman" w:hAnsi="Times New Roman"/>
          <w:sz w:val="24"/>
          <w:szCs w:val="24"/>
        </w:rPr>
        <w:t xml:space="preserve">21% sabiedrības uzskata, ka </w:t>
      </w:r>
      <w:r w:rsidRPr="003201E1">
        <w:rPr>
          <w:rFonts w:ascii="Times New Roman" w:eastAsia="Times New Roman" w:hAnsi="Times New Roman"/>
          <w:sz w:val="24"/>
          <w:szCs w:val="24"/>
        </w:rPr>
        <w:t>stingrāk un efektīvāk būtu jāsoda krāpšana ES fondu jomā</w:t>
      </w:r>
      <w:r w:rsidRPr="00D47725">
        <w:rPr>
          <w:rFonts w:ascii="Times New Roman" w:eastAsia="Times New Roman" w:hAnsi="Times New Roman"/>
          <w:sz w:val="24"/>
          <w:szCs w:val="24"/>
        </w:rPr>
        <w:t>, t</w:t>
      </w:r>
      <w:r w:rsidRPr="00BB19CC">
        <w:rPr>
          <w:rFonts w:ascii="Times New Roman" w:eastAsia="Times New Roman" w:hAnsi="Times New Roman"/>
          <w:sz w:val="24"/>
          <w:szCs w:val="24"/>
        </w:rPr>
        <w:t>omēr salīdzinājumā ar 2017.gadu, šī tendence ir kritusies par 4% (bija 25%)</w:t>
      </w:r>
      <w:r w:rsidRPr="005D3F21">
        <w:rPr>
          <w:rFonts w:ascii="Times New Roman" w:eastAsia="Times New Roman" w:hAnsi="Times New Roman"/>
          <w:sz w:val="24"/>
          <w:szCs w:val="24"/>
        </w:rPr>
        <w:t xml:space="preserve">, bet attiecībā pret 2016.gadu, </w:t>
      </w:r>
      <w:r w:rsidRPr="00FF3AE6">
        <w:rPr>
          <w:rFonts w:ascii="Times New Roman" w:eastAsia="Times New Roman" w:hAnsi="Times New Roman"/>
          <w:sz w:val="24"/>
          <w:szCs w:val="24"/>
        </w:rPr>
        <w:t>kritusies par 7%</w:t>
      </w:r>
      <w:r w:rsidRPr="003201E1">
        <w:rPr>
          <w:rFonts w:ascii="Times New Roman" w:eastAsia="Times New Roman" w:hAnsi="Times New Roman"/>
          <w:b/>
          <w:sz w:val="24"/>
          <w:szCs w:val="24"/>
        </w:rPr>
        <w:t xml:space="preserve"> </w:t>
      </w:r>
      <w:r w:rsidRPr="005D3F21">
        <w:rPr>
          <w:rFonts w:ascii="Times New Roman" w:eastAsia="Times New Roman" w:hAnsi="Times New Roman"/>
          <w:sz w:val="24"/>
          <w:szCs w:val="24"/>
        </w:rPr>
        <w:t xml:space="preserve">(bija 28%). </w:t>
      </w:r>
    </w:p>
    <w:p w14:paraId="4CB8A1E3" w14:textId="6247D790" w:rsidR="00063645" w:rsidRPr="006D0F8D" w:rsidRDefault="00063645" w:rsidP="00314E2D">
      <w:pPr>
        <w:pStyle w:val="ListParagraph"/>
        <w:numPr>
          <w:ilvl w:val="0"/>
          <w:numId w:val="27"/>
        </w:numPr>
        <w:ind w:left="993"/>
        <w:contextualSpacing/>
        <w:jc w:val="both"/>
        <w:rPr>
          <w:rFonts w:ascii="Times New Roman" w:eastAsia="Times New Roman" w:hAnsi="Times New Roman"/>
          <w:sz w:val="24"/>
          <w:szCs w:val="24"/>
        </w:rPr>
      </w:pPr>
      <w:r w:rsidRPr="006D0F8D">
        <w:rPr>
          <w:rFonts w:ascii="Times New Roman" w:eastAsia="Times New Roman" w:hAnsi="Times New Roman"/>
          <w:sz w:val="24"/>
          <w:szCs w:val="24"/>
        </w:rPr>
        <w:t>Domājot par ES fondu godprātīgu līdzekļu izmantošanu iedzīvotāji vismazāk uzticas valsts pārvaldei</w:t>
      </w:r>
      <w:r w:rsidR="009F2AFF" w:rsidRPr="006D0F8D">
        <w:rPr>
          <w:rFonts w:ascii="Times New Roman" w:eastAsia="Times New Roman" w:hAnsi="Times New Roman"/>
          <w:sz w:val="24"/>
          <w:szCs w:val="24"/>
        </w:rPr>
        <w:t xml:space="preserve"> (43%)</w:t>
      </w:r>
      <w:r w:rsidRPr="006D0F8D">
        <w:rPr>
          <w:rFonts w:ascii="Times New Roman" w:eastAsia="Times New Roman" w:hAnsi="Times New Roman"/>
          <w:sz w:val="24"/>
          <w:szCs w:val="24"/>
        </w:rPr>
        <w:t xml:space="preserve">. </w:t>
      </w:r>
      <w:r w:rsidR="009F2AFF" w:rsidRPr="006D0F8D">
        <w:rPr>
          <w:rFonts w:ascii="Times New Roman" w:eastAsia="Times New Roman" w:hAnsi="Times New Roman"/>
          <w:sz w:val="24"/>
          <w:szCs w:val="24"/>
        </w:rPr>
        <w:t xml:space="preserve">Savukārt, </w:t>
      </w:r>
      <w:r w:rsidR="00314E2D" w:rsidRPr="006D0F8D">
        <w:rPr>
          <w:rFonts w:ascii="Times New Roman" w:eastAsia="Times New Roman" w:hAnsi="Times New Roman"/>
          <w:sz w:val="24"/>
          <w:szCs w:val="24"/>
        </w:rPr>
        <w:t>visvairāk uzticas p</w:t>
      </w:r>
      <w:r w:rsidRPr="006D0F8D">
        <w:rPr>
          <w:rFonts w:ascii="Times New Roman" w:eastAsia="Times New Roman" w:hAnsi="Times New Roman"/>
          <w:sz w:val="24"/>
          <w:szCs w:val="24"/>
        </w:rPr>
        <w:t xml:space="preserve">ašvaldībām (54%), teju līdzvērtīgi kā uzņēmējdarbības videi (53%). </w:t>
      </w:r>
      <w:r w:rsidR="009F2AFF" w:rsidRPr="006D0F8D">
        <w:rPr>
          <w:rFonts w:ascii="Times New Roman" w:eastAsia="Times New Roman" w:hAnsi="Times New Roman"/>
          <w:sz w:val="24"/>
          <w:szCs w:val="24"/>
        </w:rPr>
        <w:t>Ja salīdzina ar iepriekšējo gadu, v</w:t>
      </w:r>
      <w:r w:rsidRPr="006D0F8D">
        <w:rPr>
          <w:rFonts w:ascii="Times New Roman" w:eastAsia="Times New Roman" w:hAnsi="Times New Roman"/>
          <w:sz w:val="24"/>
          <w:szCs w:val="24"/>
        </w:rPr>
        <w:t xml:space="preserve">islielākais uzticības pieaugums ir uzņēmējdarbības videi - par 7%, valsts pārvaldei </w:t>
      </w:r>
      <w:r w:rsidR="00314E2D" w:rsidRPr="006D0F8D">
        <w:rPr>
          <w:rFonts w:ascii="Times New Roman" w:eastAsia="Times New Roman" w:hAnsi="Times New Roman"/>
          <w:sz w:val="24"/>
          <w:szCs w:val="24"/>
        </w:rPr>
        <w:t xml:space="preserve">- </w:t>
      </w:r>
      <w:r w:rsidRPr="006D0F8D">
        <w:rPr>
          <w:rFonts w:ascii="Times New Roman" w:eastAsia="Times New Roman" w:hAnsi="Times New Roman"/>
          <w:sz w:val="24"/>
          <w:szCs w:val="24"/>
        </w:rPr>
        <w:t xml:space="preserve">par 6%, pašvaldībām </w:t>
      </w:r>
      <w:r w:rsidR="00314E2D" w:rsidRPr="006D0F8D">
        <w:rPr>
          <w:rFonts w:ascii="Times New Roman" w:eastAsia="Times New Roman" w:hAnsi="Times New Roman"/>
          <w:sz w:val="24"/>
          <w:szCs w:val="24"/>
        </w:rPr>
        <w:t xml:space="preserve">– par </w:t>
      </w:r>
      <w:r w:rsidRPr="006D0F8D">
        <w:rPr>
          <w:rFonts w:ascii="Times New Roman" w:eastAsia="Times New Roman" w:hAnsi="Times New Roman"/>
          <w:sz w:val="24"/>
          <w:szCs w:val="24"/>
        </w:rPr>
        <w:t xml:space="preserve">3% </w:t>
      </w:r>
      <w:r w:rsidR="00314E2D" w:rsidRPr="006D0F8D">
        <w:rPr>
          <w:rFonts w:ascii="Times New Roman" w:eastAsia="Times New Roman" w:hAnsi="Times New Roman"/>
          <w:sz w:val="24"/>
          <w:szCs w:val="24"/>
        </w:rPr>
        <w:t>.</w:t>
      </w:r>
    </w:p>
    <w:p w14:paraId="622758E8" w14:textId="77777777" w:rsidR="00063645" w:rsidRDefault="00063645" w:rsidP="00DC0FB0">
      <w:pPr>
        <w:pStyle w:val="ListParagraph"/>
        <w:numPr>
          <w:ilvl w:val="0"/>
          <w:numId w:val="27"/>
        </w:numPr>
        <w:ind w:left="993"/>
        <w:contextualSpacing/>
        <w:jc w:val="both"/>
        <w:rPr>
          <w:rFonts w:ascii="Times New Roman" w:eastAsia="Times New Roman" w:hAnsi="Times New Roman"/>
          <w:sz w:val="24"/>
          <w:szCs w:val="24"/>
        </w:rPr>
      </w:pPr>
      <w:r w:rsidRPr="005D3F21">
        <w:rPr>
          <w:rFonts w:ascii="Times New Roman" w:eastAsia="Times New Roman" w:hAnsi="Times New Roman"/>
          <w:sz w:val="24"/>
          <w:szCs w:val="24"/>
        </w:rPr>
        <w:t xml:space="preserve">97% sabiedrības nav bijuši nedz </w:t>
      </w:r>
      <w:r w:rsidRPr="001B78A3">
        <w:rPr>
          <w:rFonts w:ascii="Times New Roman" w:eastAsia="Times New Roman" w:hAnsi="Times New Roman"/>
          <w:sz w:val="24"/>
          <w:szCs w:val="24"/>
        </w:rPr>
        <w:t>liecinieki, nedz paši bijuši iesaistīti E</w:t>
      </w:r>
      <w:r>
        <w:rPr>
          <w:rFonts w:ascii="Times New Roman" w:eastAsia="Times New Roman" w:hAnsi="Times New Roman"/>
          <w:sz w:val="24"/>
          <w:szCs w:val="24"/>
        </w:rPr>
        <w:t>S fondu nelikumīgā izmantošanā.</w:t>
      </w:r>
    </w:p>
    <w:p w14:paraId="1A8A9526" w14:textId="77777777" w:rsidR="00063645" w:rsidRDefault="00063645" w:rsidP="00DC0FB0">
      <w:pPr>
        <w:pStyle w:val="ListParagraph"/>
        <w:numPr>
          <w:ilvl w:val="0"/>
          <w:numId w:val="27"/>
        </w:numPr>
        <w:ind w:left="993"/>
        <w:contextualSpacing/>
        <w:jc w:val="both"/>
        <w:rPr>
          <w:rFonts w:ascii="Times New Roman" w:eastAsia="Times New Roman" w:hAnsi="Times New Roman"/>
          <w:sz w:val="24"/>
          <w:szCs w:val="24"/>
        </w:rPr>
      </w:pPr>
      <w:r w:rsidRPr="001B78A3">
        <w:rPr>
          <w:rFonts w:ascii="Times New Roman" w:eastAsia="Times New Roman" w:hAnsi="Times New Roman"/>
          <w:b/>
          <w:sz w:val="24"/>
          <w:szCs w:val="24"/>
        </w:rPr>
        <w:t>3%, kam nācies s</w:t>
      </w:r>
      <w:r w:rsidR="00314E2D">
        <w:rPr>
          <w:rFonts w:ascii="Times New Roman" w:eastAsia="Times New Roman" w:hAnsi="Times New Roman"/>
          <w:b/>
          <w:sz w:val="24"/>
          <w:szCs w:val="24"/>
        </w:rPr>
        <w:t>askarties ar nelikumībām, par t</w:t>
      </w:r>
      <w:r w:rsidRPr="001B78A3">
        <w:rPr>
          <w:rFonts w:ascii="Times New Roman" w:eastAsia="Times New Roman" w:hAnsi="Times New Roman"/>
          <w:b/>
          <w:sz w:val="24"/>
          <w:szCs w:val="24"/>
        </w:rPr>
        <w:t>o nav ziņojuši</w:t>
      </w:r>
      <w:r w:rsidRPr="001B78A3">
        <w:rPr>
          <w:rFonts w:ascii="Times New Roman" w:eastAsia="Times New Roman" w:hAnsi="Times New Roman"/>
          <w:sz w:val="24"/>
          <w:szCs w:val="24"/>
        </w:rPr>
        <w:t xml:space="preserve">, </w:t>
      </w:r>
      <w:r w:rsidR="00DC0FB0">
        <w:rPr>
          <w:rFonts w:ascii="Times New Roman" w:eastAsia="Times New Roman" w:hAnsi="Times New Roman"/>
          <w:sz w:val="24"/>
          <w:szCs w:val="24"/>
        </w:rPr>
        <w:t>jo</w:t>
      </w:r>
      <w:r w:rsidR="00DC0FB0" w:rsidRPr="00DC0FB0">
        <w:rPr>
          <w:rFonts w:ascii="Times New Roman" w:eastAsia="Times New Roman" w:hAnsi="Times New Roman"/>
          <w:sz w:val="24"/>
          <w:szCs w:val="24"/>
        </w:rPr>
        <w:t xml:space="preserve"> </w:t>
      </w:r>
      <w:r w:rsidR="00DC0FB0">
        <w:rPr>
          <w:rFonts w:ascii="Times New Roman" w:eastAsia="Times New Roman" w:hAnsi="Times New Roman"/>
          <w:sz w:val="24"/>
          <w:szCs w:val="24"/>
        </w:rPr>
        <w:t xml:space="preserve">nav </w:t>
      </w:r>
      <w:r w:rsidR="00DC0FB0" w:rsidRPr="001B78A3">
        <w:rPr>
          <w:rFonts w:ascii="Times New Roman" w:eastAsia="Times New Roman" w:hAnsi="Times New Roman"/>
          <w:sz w:val="24"/>
          <w:szCs w:val="24"/>
        </w:rPr>
        <w:t>zināju</w:t>
      </w:r>
      <w:r w:rsidR="00DC0FB0">
        <w:rPr>
          <w:rFonts w:ascii="Times New Roman" w:eastAsia="Times New Roman" w:hAnsi="Times New Roman"/>
          <w:sz w:val="24"/>
          <w:szCs w:val="24"/>
        </w:rPr>
        <w:t>ši</w:t>
      </w:r>
      <w:r w:rsidR="00DC0FB0" w:rsidRPr="001B78A3">
        <w:rPr>
          <w:rFonts w:ascii="Times New Roman" w:eastAsia="Times New Roman" w:hAnsi="Times New Roman"/>
          <w:sz w:val="24"/>
          <w:szCs w:val="24"/>
        </w:rPr>
        <w:t xml:space="preserve"> par šādu iespēju</w:t>
      </w:r>
      <w:r w:rsidR="00DC0FB0">
        <w:rPr>
          <w:rFonts w:ascii="Times New Roman" w:eastAsia="Times New Roman" w:hAnsi="Times New Roman"/>
          <w:sz w:val="24"/>
          <w:szCs w:val="24"/>
        </w:rPr>
        <w:t xml:space="preserve"> (</w:t>
      </w:r>
      <w:r>
        <w:rPr>
          <w:rFonts w:ascii="Times New Roman" w:eastAsia="Times New Roman" w:hAnsi="Times New Roman"/>
          <w:sz w:val="24"/>
          <w:szCs w:val="24"/>
        </w:rPr>
        <w:t>22%</w:t>
      </w:r>
      <w:r w:rsidR="00DC0FB0">
        <w:rPr>
          <w:rFonts w:ascii="Times New Roman" w:eastAsia="Times New Roman" w:hAnsi="Times New Roman"/>
          <w:sz w:val="24"/>
          <w:szCs w:val="24"/>
        </w:rPr>
        <w:t>) vai nav zinājuši, kur jāziņo</w:t>
      </w:r>
      <w:r w:rsidRPr="001B78A3">
        <w:rPr>
          <w:rFonts w:ascii="Times New Roman" w:eastAsia="Times New Roman" w:hAnsi="Times New Roman"/>
          <w:sz w:val="24"/>
          <w:szCs w:val="24"/>
        </w:rPr>
        <w:t xml:space="preserve"> </w:t>
      </w:r>
      <w:r w:rsidR="00DC0FB0">
        <w:rPr>
          <w:rFonts w:ascii="Times New Roman" w:eastAsia="Times New Roman" w:hAnsi="Times New Roman"/>
          <w:sz w:val="24"/>
          <w:szCs w:val="24"/>
        </w:rPr>
        <w:t>(</w:t>
      </w:r>
      <w:r w:rsidRPr="00A72BB0">
        <w:rPr>
          <w:rFonts w:ascii="Times New Roman" w:eastAsia="Times New Roman" w:hAnsi="Times New Roman"/>
          <w:sz w:val="24"/>
          <w:szCs w:val="24"/>
        </w:rPr>
        <w:t>7%</w:t>
      </w:r>
      <w:r w:rsidR="00DC0FB0" w:rsidRPr="00DC0FB0">
        <w:rPr>
          <w:rFonts w:ascii="Times New Roman" w:eastAsia="Times New Roman" w:hAnsi="Times New Roman"/>
          <w:sz w:val="24"/>
          <w:szCs w:val="24"/>
        </w:rPr>
        <w:t>)</w:t>
      </w:r>
      <w:r w:rsidRPr="00A72BB0">
        <w:rPr>
          <w:rFonts w:ascii="Times New Roman" w:eastAsia="Times New Roman" w:hAnsi="Times New Roman"/>
          <w:sz w:val="24"/>
          <w:szCs w:val="24"/>
        </w:rPr>
        <w:t>.</w:t>
      </w:r>
      <w:r>
        <w:rPr>
          <w:rFonts w:ascii="Times New Roman" w:eastAsia="Times New Roman" w:hAnsi="Times New Roman"/>
          <w:sz w:val="24"/>
          <w:szCs w:val="24"/>
        </w:rPr>
        <w:t xml:space="preserve"> Šie rezultāti ir līdzīgi kā 2017. un 2016.gadā.</w:t>
      </w:r>
    </w:p>
    <w:p w14:paraId="5188969D" w14:textId="77777777" w:rsidR="00063645" w:rsidRPr="00EC25B2" w:rsidRDefault="00063645" w:rsidP="00DC0FB0">
      <w:pPr>
        <w:spacing w:before="120"/>
        <w:ind w:left="635"/>
        <w:contextualSpacing/>
        <w:jc w:val="both"/>
      </w:pPr>
      <w:r w:rsidRPr="00EC25B2">
        <w:rPr>
          <w:b/>
          <w:u w:val="single"/>
        </w:rPr>
        <w:t>Secinājums</w:t>
      </w:r>
      <w:r>
        <w:t xml:space="preserve">: nepieciešams organizēt sociāli </w:t>
      </w:r>
      <w:r w:rsidR="00EF1B77">
        <w:t>informatīvo kampaņu #Atkrāpies</w:t>
      </w:r>
      <w:r w:rsidR="00EF1B77" w:rsidRPr="00DC0FB0">
        <w:t>! (AFCOS Stratēģijas un pasākumu plānā iekļauts uzdevums (skat. A.3.1. sadaļu)</w:t>
      </w:r>
      <w:r w:rsidR="00DC0FB0">
        <w:t xml:space="preserve"> un veicināt uzticību valsts pārvaldei.</w:t>
      </w:r>
      <w:r w:rsidRPr="00DC0FB0">
        <w:t xml:space="preserve"> </w:t>
      </w:r>
      <w:r w:rsidR="00EF1B77" w:rsidRPr="00DC0FB0">
        <w:t>K</w:t>
      </w:r>
      <w:r>
        <w:t xml:space="preserve">ampaņas ietvaros 2019.gadā, </w:t>
      </w:r>
      <w:r w:rsidR="00DC0FB0">
        <w:t xml:space="preserve">galvenais uzsvars jāliek uz informācijas izplatīšanu </w:t>
      </w:r>
      <w:r>
        <w:t>par ziņošanas iespējām</w:t>
      </w:r>
      <w:r w:rsidR="00EF1B77">
        <w:t>, kas netiešā veidā veicinās uzticību valsts pārvaldei</w:t>
      </w:r>
      <w:r>
        <w:t>.</w:t>
      </w:r>
    </w:p>
    <w:p w14:paraId="0006EDA4" w14:textId="77777777" w:rsidR="00063645" w:rsidRPr="001B78A3" w:rsidRDefault="00063645" w:rsidP="0006622C">
      <w:pPr>
        <w:pStyle w:val="ListParagraph"/>
        <w:ind w:left="993"/>
        <w:contextualSpacing/>
        <w:jc w:val="both"/>
        <w:rPr>
          <w:rFonts w:ascii="Times New Roman" w:eastAsia="Times New Roman" w:hAnsi="Times New Roman"/>
          <w:sz w:val="24"/>
          <w:szCs w:val="24"/>
        </w:rPr>
      </w:pPr>
    </w:p>
    <w:p w14:paraId="24D74F92" w14:textId="77777777" w:rsidR="00063645" w:rsidRPr="001B78A3" w:rsidRDefault="00063645" w:rsidP="0006622C">
      <w:pPr>
        <w:widowControl w:val="0"/>
        <w:autoSpaceDE w:val="0"/>
        <w:autoSpaceDN w:val="0"/>
        <w:adjustRightInd w:val="0"/>
        <w:spacing w:after="120"/>
        <w:ind w:firstLine="633"/>
        <w:contextualSpacing/>
        <w:jc w:val="both"/>
        <w:rPr>
          <w:b/>
        </w:rPr>
      </w:pPr>
      <w:r>
        <w:t>L</w:t>
      </w:r>
      <w:r w:rsidRPr="001B78A3">
        <w:t xml:space="preserve">ai sekmīgi īstenotu </w:t>
      </w:r>
      <w:r w:rsidR="00314E2D" w:rsidRPr="00E92867">
        <w:t xml:space="preserve">sociāli informatīvo kampaņu </w:t>
      </w:r>
      <w:proofErr w:type="spellStart"/>
      <w:r w:rsidR="00314E2D" w:rsidRPr="00314E2D">
        <w:t>Pretkrāpšanas</w:t>
      </w:r>
      <w:proofErr w:type="spellEnd"/>
      <w:r w:rsidR="00314E2D" w:rsidRPr="00314E2D">
        <w:t xml:space="preserve"> kustība #Atkrāpies!</w:t>
      </w:r>
      <w:r w:rsidR="006B5401">
        <w:t xml:space="preserve"> un novērtētu 2017.gada rezultātus un kampaņas ietekmi</w:t>
      </w:r>
      <w:r w:rsidRPr="00314E2D">
        <w:t>,</w:t>
      </w:r>
      <w:r w:rsidRPr="001B78A3">
        <w:t xml:space="preserve"> </w:t>
      </w:r>
      <w:r w:rsidR="00314E2D">
        <w:t xml:space="preserve">2018.gadā </w:t>
      </w:r>
      <w:r w:rsidRPr="001B78A3">
        <w:t xml:space="preserve">tika </w:t>
      </w:r>
      <w:r>
        <w:t xml:space="preserve">atkārtots </w:t>
      </w:r>
      <w:r w:rsidRPr="001B78A3">
        <w:t xml:space="preserve">sabiedriskās domas pētījums </w:t>
      </w:r>
      <w:r w:rsidRPr="00676794">
        <w:rPr>
          <w:b/>
        </w:rPr>
        <w:t>par iedzīvotāju attieksmi pret negodīgu rīcību</w:t>
      </w:r>
      <w:r w:rsidRPr="001B78A3">
        <w:rPr>
          <w:rStyle w:val="FootnoteReference"/>
        </w:rPr>
        <w:footnoteReference w:id="20"/>
      </w:r>
      <w:r w:rsidRPr="001B78A3">
        <w:t>:</w:t>
      </w:r>
    </w:p>
    <w:p w14:paraId="73146735" w14:textId="48B82BE5" w:rsidR="00063645" w:rsidRPr="006D0F8D" w:rsidRDefault="00063645" w:rsidP="0006622C">
      <w:pPr>
        <w:pStyle w:val="ListParagraph"/>
        <w:numPr>
          <w:ilvl w:val="0"/>
          <w:numId w:val="31"/>
        </w:numPr>
        <w:ind w:left="709" w:hanging="426"/>
        <w:contextualSpacing/>
        <w:jc w:val="both"/>
        <w:rPr>
          <w:rFonts w:ascii="Times New Roman" w:hAnsi="Times New Roman"/>
          <w:sz w:val="24"/>
          <w:szCs w:val="24"/>
        </w:rPr>
      </w:pPr>
      <w:r w:rsidRPr="006D0F8D">
        <w:rPr>
          <w:rFonts w:ascii="Times New Roman" w:hAnsi="Times New Roman"/>
          <w:sz w:val="24"/>
          <w:szCs w:val="24"/>
        </w:rPr>
        <w:t>2017.gadā</w:t>
      </w:r>
      <w:r w:rsidR="00FB7DD4" w:rsidRPr="006D0F8D">
        <w:rPr>
          <w:rFonts w:ascii="Times New Roman" w:hAnsi="Times New Roman"/>
          <w:sz w:val="24"/>
          <w:szCs w:val="24"/>
        </w:rPr>
        <w:t xml:space="preserve"> </w:t>
      </w:r>
      <w:r w:rsidRPr="006D0F8D">
        <w:rPr>
          <w:rFonts w:ascii="Times New Roman" w:hAnsi="Times New Roman"/>
          <w:sz w:val="24"/>
          <w:szCs w:val="24"/>
        </w:rPr>
        <w:t>66%</w:t>
      </w:r>
      <w:r w:rsidR="00FB7DD4" w:rsidRPr="006D0F8D">
        <w:rPr>
          <w:rFonts w:ascii="Times New Roman" w:hAnsi="Times New Roman"/>
          <w:sz w:val="24"/>
          <w:szCs w:val="24"/>
        </w:rPr>
        <w:t xml:space="preserve"> respondentu norādīja, ka, viņuprāt, kopējais </w:t>
      </w:r>
      <w:proofErr w:type="spellStart"/>
      <w:r w:rsidR="00FB7DD4" w:rsidRPr="006D0F8D">
        <w:rPr>
          <w:rFonts w:ascii="Times New Roman" w:hAnsi="Times New Roman"/>
          <w:sz w:val="24"/>
          <w:szCs w:val="24"/>
        </w:rPr>
        <w:t>negodprātības</w:t>
      </w:r>
      <w:proofErr w:type="spellEnd"/>
      <w:r w:rsidR="00FB7DD4" w:rsidRPr="006D0F8D">
        <w:rPr>
          <w:rFonts w:ascii="Times New Roman" w:hAnsi="Times New Roman"/>
          <w:sz w:val="24"/>
          <w:szCs w:val="24"/>
        </w:rPr>
        <w:t xml:space="preserve"> līmenis Latvijā ir augsts</w:t>
      </w:r>
      <w:r w:rsidRPr="006D0F8D">
        <w:rPr>
          <w:rFonts w:ascii="Times New Roman" w:hAnsi="Times New Roman"/>
          <w:sz w:val="24"/>
          <w:szCs w:val="24"/>
        </w:rPr>
        <w:t>. Atkārtoti</w:t>
      </w:r>
      <w:r w:rsidR="00314E2D" w:rsidRPr="006D0F8D">
        <w:rPr>
          <w:rFonts w:ascii="Times New Roman" w:hAnsi="Times New Roman"/>
          <w:sz w:val="24"/>
          <w:szCs w:val="24"/>
        </w:rPr>
        <w:t>,</w:t>
      </w:r>
      <w:r w:rsidRPr="006D0F8D">
        <w:rPr>
          <w:rFonts w:ascii="Times New Roman" w:hAnsi="Times New Roman"/>
          <w:sz w:val="24"/>
          <w:szCs w:val="24"/>
        </w:rPr>
        <w:t xml:space="preserve"> pēc kampaņas īstenošanas</w:t>
      </w:r>
      <w:r w:rsidR="00314E2D" w:rsidRPr="006D0F8D">
        <w:rPr>
          <w:rFonts w:ascii="Times New Roman" w:hAnsi="Times New Roman"/>
          <w:sz w:val="24"/>
          <w:szCs w:val="24"/>
        </w:rPr>
        <w:t>,</w:t>
      </w:r>
      <w:r w:rsidRPr="006D0F8D">
        <w:rPr>
          <w:rFonts w:ascii="Times New Roman" w:hAnsi="Times New Roman"/>
          <w:sz w:val="24"/>
          <w:szCs w:val="24"/>
        </w:rPr>
        <w:t xml:space="preserve"> 2018. gadā veiktajā pētījumā šis rādītājs </w:t>
      </w:r>
      <w:r w:rsidRPr="006D0F8D">
        <w:rPr>
          <w:rFonts w:ascii="Times New Roman" w:hAnsi="Times New Roman"/>
          <w:b/>
          <w:sz w:val="24"/>
          <w:szCs w:val="24"/>
        </w:rPr>
        <w:t>samazinājās par 7% (uz 59%), kas ir pozitīvs iznākums</w:t>
      </w:r>
      <w:r w:rsidRPr="006D0F8D">
        <w:rPr>
          <w:rFonts w:ascii="Times New Roman" w:hAnsi="Times New Roman"/>
          <w:sz w:val="24"/>
          <w:szCs w:val="24"/>
        </w:rPr>
        <w:t xml:space="preserve">. </w:t>
      </w:r>
    </w:p>
    <w:p w14:paraId="70C85B8E" w14:textId="77777777" w:rsidR="00063645" w:rsidRDefault="00314E2D" w:rsidP="0006622C">
      <w:pPr>
        <w:pStyle w:val="ListParagraph"/>
        <w:numPr>
          <w:ilvl w:val="0"/>
          <w:numId w:val="31"/>
        </w:numPr>
        <w:ind w:left="709" w:hanging="426"/>
        <w:contextualSpacing/>
        <w:jc w:val="both"/>
        <w:rPr>
          <w:rFonts w:ascii="Times New Roman" w:eastAsia="Times New Roman" w:hAnsi="Times New Roman"/>
          <w:sz w:val="24"/>
          <w:szCs w:val="24"/>
        </w:rPr>
      </w:pPr>
      <w:r>
        <w:rPr>
          <w:rFonts w:ascii="Times New Roman" w:eastAsia="Times New Roman" w:hAnsi="Times New Roman"/>
          <w:sz w:val="24"/>
          <w:szCs w:val="24"/>
        </w:rPr>
        <w:t>81% sabiedrības uzskatīja</w:t>
      </w:r>
      <w:r w:rsidR="00063645" w:rsidRPr="001B78A3">
        <w:rPr>
          <w:rFonts w:ascii="Times New Roman" w:eastAsia="Times New Roman" w:hAnsi="Times New Roman"/>
          <w:sz w:val="24"/>
          <w:szCs w:val="24"/>
        </w:rPr>
        <w:t xml:space="preserve">, ka negodprātīga rīcība ir būtiska problēma, īpaši, </w:t>
      </w:r>
      <w:r w:rsidR="00063645">
        <w:rPr>
          <w:rFonts w:ascii="Times New Roman" w:eastAsia="Times New Roman" w:hAnsi="Times New Roman"/>
          <w:sz w:val="24"/>
          <w:szCs w:val="24"/>
        </w:rPr>
        <w:t>kontrabanda</w:t>
      </w:r>
      <w:r w:rsidR="00063645" w:rsidRPr="001B78A3">
        <w:rPr>
          <w:rFonts w:ascii="Times New Roman" w:eastAsia="Times New Roman" w:hAnsi="Times New Roman"/>
          <w:sz w:val="24"/>
          <w:szCs w:val="24"/>
        </w:rPr>
        <w:t xml:space="preserve"> un viltot</w:t>
      </w:r>
      <w:r w:rsidR="00063645">
        <w:rPr>
          <w:rFonts w:ascii="Times New Roman" w:eastAsia="Times New Roman" w:hAnsi="Times New Roman"/>
          <w:sz w:val="24"/>
          <w:szCs w:val="24"/>
        </w:rPr>
        <w:t>as</w:t>
      </w:r>
      <w:r w:rsidR="00063645" w:rsidRPr="001B78A3">
        <w:rPr>
          <w:rFonts w:ascii="Times New Roman" w:eastAsia="Times New Roman" w:hAnsi="Times New Roman"/>
          <w:sz w:val="24"/>
          <w:szCs w:val="24"/>
        </w:rPr>
        <w:t xml:space="preserve"> prec</w:t>
      </w:r>
      <w:r w:rsidR="00063645">
        <w:rPr>
          <w:rFonts w:ascii="Times New Roman" w:eastAsia="Times New Roman" w:hAnsi="Times New Roman"/>
          <w:sz w:val="24"/>
          <w:szCs w:val="24"/>
        </w:rPr>
        <w:t>es</w:t>
      </w:r>
      <w:r w:rsidR="00063645" w:rsidRPr="001B78A3">
        <w:rPr>
          <w:rFonts w:ascii="Times New Roman" w:eastAsia="Times New Roman" w:hAnsi="Times New Roman"/>
          <w:sz w:val="24"/>
          <w:szCs w:val="24"/>
        </w:rPr>
        <w:t xml:space="preserve">. </w:t>
      </w:r>
      <w:r w:rsidR="00063645">
        <w:rPr>
          <w:rFonts w:ascii="Times New Roman" w:eastAsia="Times New Roman" w:hAnsi="Times New Roman"/>
          <w:sz w:val="24"/>
          <w:szCs w:val="24"/>
        </w:rPr>
        <w:t>Kā l</w:t>
      </w:r>
      <w:r w:rsidR="00063645" w:rsidRPr="001B78A3">
        <w:rPr>
          <w:rFonts w:ascii="Times New Roman" w:eastAsia="Times New Roman" w:hAnsi="Times New Roman"/>
          <w:sz w:val="24"/>
          <w:szCs w:val="24"/>
        </w:rPr>
        <w:t>ielākās</w:t>
      </w:r>
      <w:r w:rsidR="00063645">
        <w:rPr>
          <w:rFonts w:ascii="Times New Roman" w:eastAsia="Times New Roman" w:hAnsi="Times New Roman"/>
          <w:sz w:val="24"/>
          <w:szCs w:val="24"/>
        </w:rPr>
        <w:t xml:space="preserve"> šīs jomas</w:t>
      </w:r>
      <w:r w:rsidR="00063645" w:rsidRPr="001B78A3">
        <w:rPr>
          <w:rFonts w:ascii="Times New Roman" w:eastAsia="Times New Roman" w:hAnsi="Times New Roman"/>
          <w:sz w:val="24"/>
          <w:szCs w:val="24"/>
        </w:rPr>
        <w:t xml:space="preserve"> problēmas, kuras pārsniedza 25% būtiskuma slieksni</w:t>
      </w:r>
      <w:r w:rsidR="00063645">
        <w:rPr>
          <w:rFonts w:ascii="Times New Roman" w:eastAsia="Times New Roman" w:hAnsi="Times New Roman"/>
          <w:sz w:val="24"/>
          <w:szCs w:val="24"/>
        </w:rPr>
        <w:t>, tiek minētas</w:t>
      </w:r>
      <w:r w:rsidR="00063645" w:rsidRPr="001B78A3">
        <w:rPr>
          <w:rFonts w:ascii="Times New Roman" w:eastAsia="Times New Roman" w:hAnsi="Times New Roman"/>
          <w:sz w:val="24"/>
          <w:szCs w:val="24"/>
        </w:rPr>
        <w:t xml:space="preserve"> </w:t>
      </w:r>
      <w:proofErr w:type="spellStart"/>
      <w:r w:rsidR="00063645" w:rsidRPr="001B78A3">
        <w:rPr>
          <w:rFonts w:ascii="Times New Roman" w:eastAsia="Times New Roman" w:hAnsi="Times New Roman"/>
          <w:sz w:val="24"/>
          <w:szCs w:val="24"/>
        </w:rPr>
        <w:t>akcizētās</w:t>
      </w:r>
      <w:proofErr w:type="spellEnd"/>
      <w:r w:rsidR="00063645" w:rsidRPr="001B78A3">
        <w:rPr>
          <w:rFonts w:ascii="Times New Roman" w:eastAsia="Times New Roman" w:hAnsi="Times New Roman"/>
          <w:sz w:val="24"/>
          <w:szCs w:val="24"/>
        </w:rPr>
        <w:t xml:space="preserve"> preces (cigaretes (5</w:t>
      </w:r>
      <w:r w:rsidR="00063645">
        <w:rPr>
          <w:rFonts w:ascii="Times New Roman" w:eastAsia="Times New Roman" w:hAnsi="Times New Roman"/>
          <w:sz w:val="24"/>
          <w:szCs w:val="24"/>
        </w:rPr>
        <w:t>8</w:t>
      </w:r>
      <w:r w:rsidR="00063645" w:rsidRPr="001B78A3">
        <w:rPr>
          <w:rFonts w:ascii="Times New Roman" w:eastAsia="Times New Roman" w:hAnsi="Times New Roman"/>
          <w:sz w:val="24"/>
          <w:szCs w:val="24"/>
        </w:rPr>
        <w:t>%</w:t>
      </w:r>
      <w:r w:rsidR="00063645">
        <w:rPr>
          <w:rFonts w:ascii="Times New Roman" w:eastAsia="Times New Roman" w:hAnsi="Times New Roman"/>
          <w:sz w:val="24"/>
          <w:szCs w:val="24"/>
        </w:rPr>
        <w:t>; pieaugums par 7% salīdzinājumā ar 2017.gadu</w:t>
      </w:r>
      <w:r w:rsidR="00063645" w:rsidRPr="001B78A3">
        <w:rPr>
          <w:rFonts w:ascii="Times New Roman" w:eastAsia="Times New Roman" w:hAnsi="Times New Roman"/>
          <w:sz w:val="24"/>
          <w:szCs w:val="24"/>
        </w:rPr>
        <w:t>), alkoholiskie dzērieni (5</w:t>
      </w:r>
      <w:r w:rsidR="00063645">
        <w:rPr>
          <w:rFonts w:ascii="Times New Roman" w:eastAsia="Times New Roman" w:hAnsi="Times New Roman"/>
          <w:sz w:val="24"/>
          <w:szCs w:val="24"/>
        </w:rPr>
        <w:t>1</w:t>
      </w:r>
      <w:r w:rsidR="00063645" w:rsidRPr="001B78A3">
        <w:rPr>
          <w:rFonts w:ascii="Times New Roman" w:eastAsia="Times New Roman" w:hAnsi="Times New Roman"/>
          <w:sz w:val="24"/>
          <w:szCs w:val="24"/>
        </w:rPr>
        <w:t>%</w:t>
      </w:r>
      <w:r w:rsidR="00063645">
        <w:rPr>
          <w:rFonts w:ascii="Times New Roman" w:eastAsia="Times New Roman" w:hAnsi="Times New Roman"/>
          <w:sz w:val="24"/>
          <w:szCs w:val="24"/>
        </w:rPr>
        <w:t>; pieaugums par 1%</w:t>
      </w:r>
      <w:r w:rsidR="00063645" w:rsidRPr="001B78A3">
        <w:rPr>
          <w:rFonts w:ascii="Times New Roman" w:eastAsia="Times New Roman" w:hAnsi="Times New Roman"/>
          <w:sz w:val="24"/>
          <w:szCs w:val="24"/>
        </w:rPr>
        <w:t>), degviela (</w:t>
      </w:r>
      <w:r w:rsidR="00063645">
        <w:rPr>
          <w:rFonts w:ascii="Times New Roman" w:eastAsia="Times New Roman" w:hAnsi="Times New Roman"/>
          <w:sz w:val="24"/>
          <w:szCs w:val="24"/>
        </w:rPr>
        <w:t>37%, pieaugums par 9</w:t>
      </w:r>
      <w:r w:rsidR="00063645" w:rsidRPr="001B78A3">
        <w:rPr>
          <w:rFonts w:ascii="Times New Roman" w:eastAsia="Times New Roman" w:hAnsi="Times New Roman"/>
          <w:sz w:val="24"/>
          <w:szCs w:val="24"/>
        </w:rPr>
        <w:t>%)), apģērbs un apavi (3</w:t>
      </w:r>
      <w:r w:rsidR="00063645">
        <w:rPr>
          <w:rFonts w:ascii="Times New Roman" w:eastAsia="Times New Roman" w:hAnsi="Times New Roman"/>
          <w:sz w:val="24"/>
          <w:szCs w:val="24"/>
        </w:rPr>
        <w:t>1</w:t>
      </w:r>
      <w:r w:rsidR="00063645" w:rsidRPr="001B78A3">
        <w:rPr>
          <w:rFonts w:ascii="Times New Roman" w:eastAsia="Times New Roman" w:hAnsi="Times New Roman"/>
          <w:sz w:val="24"/>
          <w:szCs w:val="24"/>
        </w:rPr>
        <w:t>%</w:t>
      </w:r>
      <w:r w:rsidR="00063645">
        <w:rPr>
          <w:rFonts w:ascii="Times New Roman" w:eastAsia="Times New Roman" w:hAnsi="Times New Roman"/>
          <w:sz w:val="24"/>
          <w:szCs w:val="24"/>
        </w:rPr>
        <w:t>; pieaugums par 1%</w:t>
      </w:r>
      <w:r w:rsidR="00063645" w:rsidRPr="001B78A3">
        <w:rPr>
          <w:rFonts w:ascii="Times New Roman" w:eastAsia="Times New Roman" w:hAnsi="Times New Roman"/>
          <w:sz w:val="24"/>
          <w:szCs w:val="24"/>
        </w:rPr>
        <w:t>) un pārtika (</w:t>
      </w:r>
      <w:r w:rsidR="00063645">
        <w:rPr>
          <w:rFonts w:ascii="Times New Roman" w:eastAsia="Times New Roman" w:hAnsi="Times New Roman"/>
          <w:sz w:val="24"/>
          <w:szCs w:val="24"/>
        </w:rPr>
        <w:t>31</w:t>
      </w:r>
      <w:r w:rsidR="00063645" w:rsidRPr="001B78A3">
        <w:rPr>
          <w:rFonts w:ascii="Times New Roman" w:eastAsia="Times New Roman" w:hAnsi="Times New Roman"/>
          <w:sz w:val="24"/>
          <w:szCs w:val="24"/>
        </w:rPr>
        <w:t>%</w:t>
      </w:r>
      <w:r w:rsidR="00063645">
        <w:rPr>
          <w:rFonts w:ascii="Times New Roman" w:eastAsia="Times New Roman" w:hAnsi="Times New Roman"/>
          <w:sz w:val="24"/>
          <w:szCs w:val="24"/>
        </w:rPr>
        <w:t>; pieaugums par 5%</w:t>
      </w:r>
      <w:r w:rsidR="00063645" w:rsidRPr="001B78A3">
        <w:rPr>
          <w:rFonts w:ascii="Times New Roman" w:eastAsia="Times New Roman" w:hAnsi="Times New Roman"/>
          <w:sz w:val="24"/>
          <w:szCs w:val="24"/>
        </w:rPr>
        <w:t xml:space="preserve">). </w:t>
      </w:r>
    </w:p>
    <w:p w14:paraId="516D47CD" w14:textId="77777777" w:rsidR="00063645" w:rsidRDefault="00063645" w:rsidP="0006622C">
      <w:pPr>
        <w:pStyle w:val="ListParagraph"/>
        <w:numPr>
          <w:ilvl w:val="0"/>
          <w:numId w:val="31"/>
        </w:numPr>
        <w:ind w:left="709" w:hanging="426"/>
        <w:contextualSpacing/>
        <w:jc w:val="both"/>
        <w:rPr>
          <w:rFonts w:ascii="Times New Roman" w:eastAsia="Times New Roman" w:hAnsi="Times New Roman"/>
          <w:sz w:val="24"/>
          <w:szCs w:val="24"/>
        </w:rPr>
      </w:pPr>
      <w:r>
        <w:rPr>
          <w:rFonts w:ascii="Times New Roman" w:eastAsia="Times New Roman" w:hAnsi="Times New Roman"/>
          <w:sz w:val="24"/>
          <w:szCs w:val="24"/>
        </w:rPr>
        <w:t>Pēc 2017.gada komunikācijas kampaņas ir mainījusies izpratne par kvalit</w:t>
      </w:r>
      <w:r w:rsidR="00CF5EDB">
        <w:rPr>
          <w:rFonts w:ascii="Times New Roman" w:eastAsia="Times New Roman" w:hAnsi="Times New Roman"/>
          <w:sz w:val="24"/>
          <w:szCs w:val="24"/>
        </w:rPr>
        <w:t>atīviem un drošiem medikamentiem</w:t>
      </w:r>
      <w:r w:rsidR="00314E2D">
        <w:rPr>
          <w:rFonts w:ascii="Times New Roman" w:eastAsia="Times New Roman" w:hAnsi="Times New Roman"/>
          <w:sz w:val="24"/>
          <w:szCs w:val="24"/>
        </w:rPr>
        <w:t xml:space="preserve">. 2018. gadā </w:t>
      </w:r>
      <w:r>
        <w:rPr>
          <w:rFonts w:ascii="Times New Roman" w:eastAsia="Times New Roman" w:hAnsi="Times New Roman"/>
          <w:sz w:val="24"/>
          <w:szCs w:val="24"/>
        </w:rPr>
        <w:t>23%</w:t>
      </w:r>
      <w:r w:rsidR="00314E2D">
        <w:rPr>
          <w:rFonts w:ascii="Times New Roman" w:eastAsia="Times New Roman" w:hAnsi="Times New Roman"/>
          <w:sz w:val="24"/>
          <w:szCs w:val="24"/>
        </w:rPr>
        <w:t xml:space="preserve"> respondentu uzskatīja</w:t>
      </w:r>
      <w:r>
        <w:rPr>
          <w:rFonts w:ascii="Times New Roman" w:eastAsia="Times New Roman" w:hAnsi="Times New Roman"/>
          <w:sz w:val="24"/>
          <w:szCs w:val="24"/>
        </w:rPr>
        <w:t xml:space="preserve"> to par bū</w:t>
      </w:r>
      <w:r w:rsidR="00314E2D">
        <w:rPr>
          <w:rFonts w:ascii="Times New Roman" w:eastAsia="Times New Roman" w:hAnsi="Times New Roman"/>
          <w:sz w:val="24"/>
          <w:szCs w:val="24"/>
        </w:rPr>
        <w:t>tisku problēmu Latvijā (pieaugums p</w:t>
      </w:r>
      <w:r>
        <w:rPr>
          <w:rFonts w:ascii="Times New Roman" w:eastAsia="Times New Roman" w:hAnsi="Times New Roman"/>
          <w:sz w:val="24"/>
          <w:szCs w:val="24"/>
        </w:rPr>
        <w:t>ar 6%). Tāpat 23% respondentu atzina, ka audio, videoieraksti un datorprogrammas ir būtiska problēma Latvijā (pieaugums par 6%). Konkrēto produktu viltojumi tika akcentēti kampaņas laikā, izg</w:t>
      </w:r>
      <w:r w:rsidR="00314E2D">
        <w:rPr>
          <w:rFonts w:ascii="Times New Roman" w:eastAsia="Times New Roman" w:hAnsi="Times New Roman"/>
          <w:sz w:val="24"/>
          <w:szCs w:val="24"/>
        </w:rPr>
        <w:t>lītojot sabiedrību par riskiem</w:t>
      </w:r>
      <w:r>
        <w:rPr>
          <w:rFonts w:ascii="Times New Roman" w:eastAsia="Times New Roman" w:hAnsi="Times New Roman"/>
          <w:sz w:val="24"/>
          <w:szCs w:val="24"/>
        </w:rPr>
        <w:t>,</w:t>
      </w:r>
      <w:r w:rsidR="00314E2D">
        <w:rPr>
          <w:rFonts w:ascii="Times New Roman" w:eastAsia="Times New Roman" w:hAnsi="Times New Roman"/>
          <w:sz w:val="24"/>
          <w:szCs w:val="24"/>
        </w:rPr>
        <w:t xml:space="preserve"> kādi var rasties,</w:t>
      </w:r>
      <w:r>
        <w:rPr>
          <w:rFonts w:ascii="Times New Roman" w:eastAsia="Times New Roman" w:hAnsi="Times New Roman"/>
          <w:sz w:val="24"/>
          <w:szCs w:val="24"/>
        </w:rPr>
        <w:t xml:space="preserve"> nonākot saskarsmē ar tiem. </w:t>
      </w:r>
    </w:p>
    <w:p w14:paraId="68686EFE" w14:textId="77777777" w:rsidR="00063645" w:rsidRPr="001B78A3" w:rsidRDefault="0006622C" w:rsidP="0006622C">
      <w:pPr>
        <w:pStyle w:val="ListParagraph"/>
        <w:numPr>
          <w:ilvl w:val="0"/>
          <w:numId w:val="31"/>
        </w:numPr>
        <w:ind w:left="709" w:hanging="426"/>
        <w:contextualSpacing/>
        <w:jc w:val="both"/>
        <w:rPr>
          <w:rFonts w:ascii="Times New Roman" w:eastAsia="Times New Roman" w:hAnsi="Times New Roman"/>
          <w:sz w:val="24"/>
          <w:szCs w:val="24"/>
        </w:rPr>
      </w:pPr>
      <w:r>
        <w:rPr>
          <w:rFonts w:ascii="Times New Roman" w:eastAsia="Times New Roman" w:hAnsi="Times New Roman"/>
          <w:sz w:val="24"/>
          <w:szCs w:val="24"/>
        </w:rPr>
        <w:t>Kā galvenie iemesli</w:t>
      </w:r>
      <w:r w:rsidR="00063645">
        <w:rPr>
          <w:rFonts w:ascii="Times New Roman" w:eastAsia="Times New Roman" w:hAnsi="Times New Roman"/>
          <w:sz w:val="24"/>
          <w:szCs w:val="24"/>
        </w:rPr>
        <w:t xml:space="preserve"> viltoto un k</w:t>
      </w:r>
      <w:r>
        <w:rPr>
          <w:rFonts w:ascii="Times New Roman" w:eastAsia="Times New Roman" w:hAnsi="Times New Roman"/>
          <w:sz w:val="24"/>
          <w:szCs w:val="24"/>
        </w:rPr>
        <w:t>ontrabandas preču izplatībai ti</w:t>
      </w:r>
      <w:r w:rsidR="00063645">
        <w:rPr>
          <w:rFonts w:ascii="Times New Roman" w:eastAsia="Times New Roman" w:hAnsi="Times New Roman"/>
          <w:sz w:val="24"/>
          <w:szCs w:val="24"/>
        </w:rPr>
        <w:t>k</w:t>
      </w:r>
      <w:r>
        <w:rPr>
          <w:rFonts w:ascii="Times New Roman" w:eastAsia="Times New Roman" w:hAnsi="Times New Roman"/>
          <w:sz w:val="24"/>
          <w:szCs w:val="24"/>
        </w:rPr>
        <w:t>a minēti</w:t>
      </w:r>
      <w:r w:rsidR="00063645">
        <w:rPr>
          <w:rFonts w:ascii="Times New Roman" w:eastAsia="Times New Roman" w:hAnsi="Times New Roman"/>
          <w:sz w:val="24"/>
          <w:szCs w:val="24"/>
        </w:rPr>
        <w:t xml:space="preserve"> – cilvēku na</w:t>
      </w:r>
      <w:r>
        <w:rPr>
          <w:rFonts w:ascii="Times New Roman" w:eastAsia="Times New Roman" w:hAnsi="Times New Roman"/>
          <w:sz w:val="24"/>
          <w:szCs w:val="24"/>
        </w:rPr>
        <w:t xml:space="preserve">badzība un mazie ienākumi (71%; </w:t>
      </w:r>
      <w:r w:rsidR="00063645">
        <w:rPr>
          <w:rFonts w:ascii="Times New Roman" w:eastAsia="Times New Roman" w:hAnsi="Times New Roman"/>
          <w:sz w:val="24"/>
          <w:szCs w:val="24"/>
        </w:rPr>
        <w:t xml:space="preserve">2017.gadā </w:t>
      </w:r>
      <w:r>
        <w:rPr>
          <w:rFonts w:ascii="Times New Roman" w:eastAsia="Times New Roman" w:hAnsi="Times New Roman"/>
          <w:sz w:val="24"/>
          <w:szCs w:val="24"/>
        </w:rPr>
        <w:t xml:space="preserve">- </w:t>
      </w:r>
      <w:r w:rsidR="00063645">
        <w:rPr>
          <w:rFonts w:ascii="Times New Roman" w:eastAsia="Times New Roman" w:hAnsi="Times New Roman"/>
          <w:sz w:val="24"/>
          <w:szCs w:val="24"/>
        </w:rPr>
        <w:t xml:space="preserve">73%), </w:t>
      </w:r>
      <w:r w:rsidR="00063645" w:rsidRPr="00EF1B77">
        <w:rPr>
          <w:rFonts w:ascii="Times New Roman" w:eastAsia="Times New Roman" w:hAnsi="Times New Roman"/>
          <w:sz w:val="24"/>
          <w:szCs w:val="24"/>
        </w:rPr>
        <w:t xml:space="preserve">amatpersonu korupcija (43%, </w:t>
      </w:r>
      <w:r w:rsidR="00EF1B77" w:rsidRPr="00EF1B77">
        <w:rPr>
          <w:rFonts w:ascii="Times New Roman" w:eastAsia="Times New Roman" w:hAnsi="Times New Roman"/>
          <w:sz w:val="24"/>
          <w:szCs w:val="24"/>
        </w:rPr>
        <w:lastRenderedPageBreak/>
        <w:t>tāpat kā</w:t>
      </w:r>
      <w:r w:rsidR="00063645" w:rsidRPr="00EF1B77">
        <w:rPr>
          <w:rFonts w:ascii="Times New Roman" w:eastAsia="Times New Roman" w:hAnsi="Times New Roman"/>
          <w:sz w:val="24"/>
          <w:szCs w:val="24"/>
        </w:rPr>
        <w:t xml:space="preserve"> 2017.gadā)</w:t>
      </w:r>
      <w:r w:rsidR="00063645">
        <w:rPr>
          <w:rFonts w:ascii="Times New Roman" w:eastAsia="Times New Roman" w:hAnsi="Times New Roman"/>
          <w:sz w:val="24"/>
          <w:szCs w:val="24"/>
        </w:rPr>
        <w:t xml:space="preserve"> un valsts nevēlēšanās vai nespēja cīnīties ar šo prob</w:t>
      </w:r>
      <w:r>
        <w:rPr>
          <w:rFonts w:ascii="Times New Roman" w:eastAsia="Times New Roman" w:hAnsi="Times New Roman"/>
          <w:sz w:val="24"/>
          <w:szCs w:val="24"/>
        </w:rPr>
        <w:t>lēmu (39%;</w:t>
      </w:r>
      <w:r w:rsidR="00063645">
        <w:rPr>
          <w:rFonts w:ascii="Times New Roman" w:eastAsia="Times New Roman" w:hAnsi="Times New Roman"/>
          <w:sz w:val="24"/>
          <w:szCs w:val="24"/>
        </w:rPr>
        <w:t xml:space="preserve"> 2017.gadā</w:t>
      </w:r>
      <w:r>
        <w:rPr>
          <w:rFonts w:ascii="Times New Roman" w:eastAsia="Times New Roman" w:hAnsi="Times New Roman"/>
          <w:sz w:val="24"/>
          <w:szCs w:val="24"/>
        </w:rPr>
        <w:t xml:space="preserve"> -</w:t>
      </w:r>
      <w:r w:rsidR="00063645">
        <w:rPr>
          <w:rFonts w:ascii="Times New Roman" w:eastAsia="Times New Roman" w:hAnsi="Times New Roman"/>
          <w:sz w:val="24"/>
          <w:szCs w:val="24"/>
        </w:rPr>
        <w:t xml:space="preserve"> 38%).</w:t>
      </w:r>
    </w:p>
    <w:p w14:paraId="0976F938" w14:textId="77777777" w:rsidR="00063645" w:rsidRPr="003201E1" w:rsidRDefault="00063645" w:rsidP="0006622C">
      <w:pPr>
        <w:pStyle w:val="ListParagraph"/>
        <w:numPr>
          <w:ilvl w:val="0"/>
          <w:numId w:val="31"/>
        </w:numPr>
        <w:ind w:left="709" w:hanging="426"/>
        <w:contextualSpacing/>
        <w:jc w:val="both"/>
        <w:rPr>
          <w:rFonts w:ascii="Times New Roman" w:eastAsia="Times New Roman" w:hAnsi="Times New Roman"/>
          <w:b/>
          <w:sz w:val="24"/>
          <w:szCs w:val="24"/>
        </w:rPr>
      </w:pPr>
      <w:r w:rsidRPr="001B78A3">
        <w:rPr>
          <w:rFonts w:ascii="Times New Roman" w:eastAsia="Times New Roman" w:hAnsi="Times New Roman"/>
          <w:sz w:val="24"/>
          <w:szCs w:val="24"/>
        </w:rPr>
        <w:t>5</w:t>
      </w:r>
      <w:r>
        <w:rPr>
          <w:rFonts w:ascii="Times New Roman" w:eastAsia="Times New Roman" w:hAnsi="Times New Roman"/>
          <w:sz w:val="24"/>
          <w:szCs w:val="24"/>
        </w:rPr>
        <w:t>7</w:t>
      </w:r>
      <w:r w:rsidRPr="001B78A3">
        <w:rPr>
          <w:rFonts w:ascii="Times New Roman" w:eastAsia="Times New Roman" w:hAnsi="Times New Roman"/>
          <w:sz w:val="24"/>
          <w:szCs w:val="24"/>
        </w:rPr>
        <w:t xml:space="preserve">% sabiedrības </w:t>
      </w:r>
      <w:r>
        <w:rPr>
          <w:rFonts w:ascii="Times New Roman" w:eastAsia="Times New Roman" w:hAnsi="Times New Roman"/>
          <w:sz w:val="24"/>
          <w:szCs w:val="24"/>
        </w:rPr>
        <w:t xml:space="preserve">(pieaugums par 2% salīdzinājumā ar 2017.gadu) </w:t>
      </w:r>
      <w:r w:rsidRPr="001B78A3">
        <w:rPr>
          <w:rFonts w:ascii="Times New Roman" w:eastAsia="Times New Roman" w:hAnsi="Times New Roman"/>
          <w:sz w:val="24"/>
          <w:szCs w:val="24"/>
        </w:rPr>
        <w:t xml:space="preserve">ir nācies saskarties ar negodīgu rīcību pēdējo 3 gadu laikā. Jāatzīmē, ka daļa sabiedrības izvēlas neziņot par dažādiem pārkāpumiem </w:t>
      </w:r>
      <w:r w:rsidR="0006622C">
        <w:rPr>
          <w:rFonts w:ascii="Times New Roman" w:eastAsia="Times New Roman" w:hAnsi="Times New Roman"/>
          <w:sz w:val="24"/>
          <w:szCs w:val="24"/>
        </w:rPr>
        <w:t>to argumentējot</w:t>
      </w:r>
      <w:r>
        <w:rPr>
          <w:rFonts w:ascii="Times New Roman" w:eastAsia="Times New Roman" w:hAnsi="Times New Roman"/>
          <w:sz w:val="24"/>
          <w:szCs w:val="24"/>
        </w:rPr>
        <w:t xml:space="preserve">: </w:t>
      </w:r>
      <w:r w:rsidRPr="001B78A3">
        <w:rPr>
          <w:rFonts w:ascii="Times New Roman" w:eastAsia="Times New Roman" w:hAnsi="Times New Roman"/>
          <w:sz w:val="24"/>
          <w:szCs w:val="24"/>
        </w:rPr>
        <w:t xml:space="preserve">(1) par šādu gadījumu novēršanu ir jārūpējas </w:t>
      </w:r>
      <w:proofErr w:type="spellStart"/>
      <w:r w:rsidRPr="001B78A3">
        <w:rPr>
          <w:rFonts w:ascii="Times New Roman" w:eastAsia="Times New Roman" w:hAnsi="Times New Roman"/>
          <w:sz w:val="24"/>
          <w:szCs w:val="24"/>
        </w:rPr>
        <w:t>tiesībsargājošām</w:t>
      </w:r>
      <w:proofErr w:type="spellEnd"/>
      <w:r w:rsidRPr="001B78A3">
        <w:rPr>
          <w:rFonts w:ascii="Times New Roman" w:eastAsia="Times New Roman" w:hAnsi="Times New Roman"/>
          <w:sz w:val="24"/>
          <w:szCs w:val="24"/>
        </w:rPr>
        <w:t xml:space="preserve"> iestādēm (3</w:t>
      </w:r>
      <w:r>
        <w:rPr>
          <w:rFonts w:ascii="Times New Roman" w:eastAsia="Times New Roman" w:hAnsi="Times New Roman"/>
          <w:sz w:val="24"/>
          <w:szCs w:val="24"/>
        </w:rPr>
        <w:t>7</w:t>
      </w:r>
      <w:r w:rsidRPr="001B78A3">
        <w:rPr>
          <w:rFonts w:ascii="Times New Roman" w:eastAsia="Times New Roman" w:hAnsi="Times New Roman"/>
          <w:sz w:val="24"/>
          <w:szCs w:val="24"/>
        </w:rPr>
        <w:t>%</w:t>
      </w:r>
      <w:r w:rsidR="0006622C">
        <w:rPr>
          <w:rFonts w:ascii="Times New Roman" w:eastAsia="Times New Roman" w:hAnsi="Times New Roman"/>
          <w:sz w:val="24"/>
          <w:szCs w:val="24"/>
        </w:rPr>
        <w:t>; 2017.gadā</w:t>
      </w:r>
      <w:r>
        <w:rPr>
          <w:rFonts w:ascii="Times New Roman" w:eastAsia="Times New Roman" w:hAnsi="Times New Roman"/>
          <w:sz w:val="24"/>
          <w:szCs w:val="24"/>
        </w:rPr>
        <w:t xml:space="preserve"> – 33%</w:t>
      </w:r>
      <w:r w:rsidRPr="001B78A3">
        <w:rPr>
          <w:rFonts w:ascii="Times New Roman" w:eastAsia="Times New Roman" w:hAnsi="Times New Roman"/>
          <w:sz w:val="24"/>
          <w:szCs w:val="24"/>
        </w:rPr>
        <w:t xml:space="preserve">), (2) </w:t>
      </w:r>
      <w:r w:rsidRPr="003201E1">
        <w:rPr>
          <w:rFonts w:ascii="Times New Roman" w:eastAsia="Times New Roman" w:hAnsi="Times New Roman"/>
          <w:b/>
          <w:sz w:val="24"/>
          <w:szCs w:val="24"/>
        </w:rPr>
        <w:t>neviens tik un tā netiks sodīts par to (</w:t>
      </w:r>
      <w:r w:rsidR="0006622C" w:rsidRPr="003201E1">
        <w:rPr>
          <w:rFonts w:ascii="Times New Roman" w:eastAsia="Times New Roman" w:hAnsi="Times New Roman"/>
          <w:b/>
          <w:sz w:val="24"/>
          <w:szCs w:val="24"/>
        </w:rPr>
        <w:t>32%; 2017.gadā</w:t>
      </w:r>
      <w:r w:rsidRPr="003201E1">
        <w:rPr>
          <w:rFonts w:ascii="Times New Roman" w:eastAsia="Times New Roman" w:hAnsi="Times New Roman"/>
          <w:b/>
          <w:sz w:val="24"/>
          <w:szCs w:val="24"/>
        </w:rPr>
        <w:t xml:space="preserve"> - 30%),</w:t>
      </w:r>
      <w:r w:rsidRPr="001B78A3">
        <w:rPr>
          <w:rFonts w:ascii="Times New Roman" w:eastAsia="Times New Roman" w:hAnsi="Times New Roman"/>
          <w:sz w:val="24"/>
          <w:szCs w:val="24"/>
        </w:rPr>
        <w:t xml:space="preserve"> </w:t>
      </w:r>
      <w:r>
        <w:rPr>
          <w:rFonts w:ascii="Times New Roman" w:eastAsia="Times New Roman" w:hAnsi="Times New Roman"/>
          <w:sz w:val="24"/>
          <w:szCs w:val="24"/>
        </w:rPr>
        <w:t>(3) iespējama atriebība vai nepatikšanas, ko radītu persona, par kuru tiek ziņots</w:t>
      </w:r>
      <w:r w:rsidRPr="001B78A3">
        <w:rPr>
          <w:rFonts w:ascii="Times New Roman" w:eastAsia="Times New Roman" w:hAnsi="Times New Roman"/>
          <w:sz w:val="24"/>
          <w:szCs w:val="24"/>
        </w:rPr>
        <w:t xml:space="preserve"> (</w:t>
      </w:r>
      <w:r w:rsidR="0006622C">
        <w:rPr>
          <w:rFonts w:ascii="Times New Roman" w:eastAsia="Times New Roman" w:hAnsi="Times New Roman"/>
          <w:sz w:val="24"/>
          <w:szCs w:val="24"/>
        </w:rPr>
        <w:t xml:space="preserve">28%; 2017.gadā </w:t>
      </w:r>
      <w:r>
        <w:rPr>
          <w:rFonts w:ascii="Times New Roman" w:eastAsia="Times New Roman" w:hAnsi="Times New Roman"/>
          <w:sz w:val="24"/>
          <w:szCs w:val="24"/>
        </w:rPr>
        <w:t xml:space="preserve">- </w:t>
      </w:r>
      <w:r w:rsidRPr="001B78A3">
        <w:rPr>
          <w:rFonts w:ascii="Times New Roman" w:eastAsia="Times New Roman" w:hAnsi="Times New Roman"/>
          <w:sz w:val="24"/>
          <w:szCs w:val="24"/>
        </w:rPr>
        <w:t xml:space="preserve">26%), nevēlēšanās </w:t>
      </w:r>
      <w:r>
        <w:rPr>
          <w:rFonts w:ascii="Times New Roman" w:eastAsia="Times New Roman" w:hAnsi="Times New Roman"/>
          <w:sz w:val="24"/>
          <w:szCs w:val="24"/>
        </w:rPr>
        <w:t>sagādāt sev neērtības</w:t>
      </w:r>
      <w:r w:rsidRPr="001B78A3">
        <w:rPr>
          <w:rFonts w:ascii="Times New Roman" w:eastAsia="Times New Roman" w:hAnsi="Times New Roman"/>
          <w:sz w:val="24"/>
          <w:szCs w:val="24"/>
        </w:rPr>
        <w:t xml:space="preserve"> (2</w:t>
      </w:r>
      <w:r>
        <w:rPr>
          <w:rFonts w:ascii="Times New Roman" w:eastAsia="Times New Roman" w:hAnsi="Times New Roman"/>
          <w:sz w:val="24"/>
          <w:szCs w:val="24"/>
        </w:rPr>
        <w:t>7</w:t>
      </w:r>
      <w:r w:rsidRPr="001B78A3">
        <w:rPr>
          <w:rFonts w:ascii="Times New Roman" w:eastAsia="Times New Roman" w:hAnsi="Times New Roman"/>
          <w:sz w:val="24"/>
          <w:szCs w:val="24"/>
        </w:rPr>
        <w:t>%</w:t>
      </w:r>
      <w:r w:rsidR="0006622C">
        <w:rPr>
          <w:rFonts w:ascii="Times New Roman" w:eastAsia="Times New Roman" w:hAnsi="Times New Roman"/>
          <w:sz w:val="24"/>
          <w:szCs w:val="24"/>
        </w:rPr>
        <w:t>; 2017.gadā</w:t>
      </w:r>
      <w:r>
        <w:rPr>
          <w:rFonts w:ascii="Times New Roman" w:eastAsia="Times New Roman" w:hAnsi="Times New Roman"/>
          <w:sz w:val="24"/>
          <w:szCs w:val="24"/>
        </w:rPr>
        <w:t xml:space="preserve"> – 26%</w:t>
      </w:r>
      <w:r w:rsidRPr="001B78A3">
        <w:rPr>
          <w:rFonts w:ascii="Times New Roman" w:eastAsia="Times New Roman" w:hAnsi="Times New Roman"/>
          <w:sz w:val="24"/>
          <w:szCs w:val="24"/>
        </w:rPr>
        <w:t xml:space="preserve">) un </w:t>
      </w:r>
      <w:r w:rsidRPr="003201E1">
        <w:rPr>
          <w:rFonts w:ascii="Times New Roman" w:eastAsia="Times New Roman" w:hAnsi="Times New Roman"/>
          <w:b/>
          <w:sz w:val="24"/>
          <w:szCs w:val="24"/>
        </w:rPr>
        <w:t>informācijas trūkums par to, kur ir iespējams ziņot (</w:t>
      </w:r>
      <w:r w:rsidR="0006622C" w:rsidRPr="003201E1">
        <w:rPr>
          <w:rFonts w:ascii="Times New Roman" w:eastAsia="Times New Roman" w:hAnsi="Times New Roman"/>
          <w:b/>
          <w:sz w:val="24"/>
          <w:szCs w:val="24"/>
        </w:rPr>
        <w:t xml:space="preserve">25%; 2017.gadā </w:t>
      </w:r>
      <w:r w:rsidRPr="003201E1">
        <w:rPr>
          <w:rFonts w:ascii="Times New Roman" w:eastAsia="Times New Roman" w:hAnsi="Times New Roman"/>
          <w:b/>
          <w:sz w:val="24"/>
          <w:szCs w:val="24"/>
        </w:rPr>
        <w:t>- 23%)</w:t>
      </w:r>
      <w:r w:rsidRPr="003201E1">
        <w:rPr>
          <w:rFonts w:ascii="Times New Roman" w:eastAsia="Times New Roman" w:hAnsi="Times New Roman"/>
          <w:b/>
          <w:color w:val="FF0000"/>
          <w:sz w:val="24"/>
          <w:szCs w:val="24"/>
        </w:rPr>
        <w:t xml:space="preserve">. </w:t>
      </w:r>
    </w:p>
    <w:p w14:paraId="34437EE2" w14:textId="77777777" w:rsidR="00063645" w:rsidRPr="00ED4EA9" w:rsidRDefault="0006622C" w:rsidP="00DC0FB0">
      <w:pPr>
        <w:pStyle w:val="ListParagraph"/>
        <w:numPr>
          <w:ilvl w:val="0"/>
          <w:numId w:val="31"/>
        </w:numPr>
        <w:contextualSpacing/>
        <w:jc w:val="both"/>
        <w:rPr>
          <w:rFonts w:ascii="Times New Roman" w:eastAsia="Times New Roman" w:hAnsi="Times New Roman"/>
          <w:sz w:val="24"/>
          <w:szCs w:val="24"/>
        </w:rPr>
      </w:pPr>
      <w:r>
        <w:rPr>
          <w:rFonts w:ascii="Times New Roman" w:eastAsia="Times New Roman" w:hAnsi="Times New Roman"/>
          <w:sz w:val="24"/>
          <w:szCs w:val="24"/>
        </w:rPr>
        <w:t>2018. gada p</w:t>
      </w:r>
      <w:r w:rsidR="00063645">
        <w:rPr>
          <w:rFonts w:ascii="Times New Roman" w:eastAsia="Times New Roman" w:hAnsi="Times New Roman"/>
          <w:sz w:val="24"/>
          <w:szCs w:val="24"/>
        </w:rPr>
        <w:t>ētījumā tika noskaidrots, ka</w:t>
      </w:r>
      <w:r>
        <w:rPr>
          <w:rFonts w:ascii="Times New Roman" w:eastAsia="Times New Roman" w:hAnsi="Times New Roman"/>
          <w:sz w:val="24"/>
          <w:szCs w:val="24"/>
        </w:rPr>
        <w:t xml:space="preserve"> sabiedrības ieskatā</w:t>
      </w:r>
      <w:r w:rsidR="00063645">
        <w:rPr>
          <w:rFonts w:ascii="Times New Roman" w:eastAsia="Times New Roman" w:hAnsi="Times New Roman"/>
          <w:sz w:val="24"/>
          <w:szCs w:val="24"/>
        </w:rPr>
        <w:t xml:space="preserve"> vispieņemamākais</w:t>
      </w:r>
      <w:r w:rsidR="00063645" w:rsidRPr="001B78A3">
        <w:rPr>
          <w:rFonts w:ascii="Times New Roman" w:eastAsia="Times New Roman" w:hAnsi="Times New Roman"/>
          <w:sz w:val="24"/>
          <w:szCs w:val="24"/>
        </w:rPr>
        <w:t xml:space="preserve"> pārkāpum</w:t>
      </w:r>
      <w:r w:rsidR="00063645">
        <w:rPr>
          <w:rFonts w:ascii="Times New Roman" w:eastAsia="Times New Roman" w:hAnsi="Times New Roman"/>
          <w:sz w:val="24"/>
          <w:szCs w:val="24"/>
        </w:rPr>
        <w:t>s</w:t>
      </w:r>
      <w:r w:rsidR="00063645" w:rsidRPr="001B78A3">
        <w:rPr>
          <w:rFonts w:ascii="Times New Roman" w:eastAsia="Times New Roman" w:hAnsi="Times New Roman"/>
          <w:sz w:val="24"/>
          <w:szCs w:val="24"/>
        </w:rPr>
        <w:t>, par kur</w:t>
      </w:r>
      <w:r w:rsidR="00063645">
        <w:rPr>
          <w:rFonts w:ascii="Times New Roman" w:eastAsia="Times New Roman" w:hAnsi="Times New Roman"/>
          <w:sz w:val="24"/>
          <w:szCs w:val="24"/>
        </w:rPr>
        <w:t>u</w:t>
      </w:r>
      <w:r w:rsidR="00063645" w:rsidRPr="001B78A3">
        <w:rPr>
          <w:rFonts w:ascii="Times New Roman" w:eastAsia="Times New Roman" w:hAnsi="Times New Roman"/>
          <w:sz w:val="24"/>
          <w:szCs w:val="24"/>
        </w:rPr>
        <w:t xml:space="preserve"> var neziņot, </w:t>
      </w:r>
      <w:r w:rsidR="00063645">
        <w:rPr>
          <w:rFonts w:ascii="Times New Roman" w:eastAsia="Times New Roman" w:hAnsi="Times New Roman"/>
          <w:sz w:val="24"/>
          <w:szCs w:val="24"/>
        </w:rPr>
        <w:t xml:space="preserve">līdzīgi kā pērn, </w:t>
      </w:r>
      <w:r w:rsidR="00063645" w:rsidRPr="001B78A3">
        <w:rPr>
          <w:rFonts w:ascii="Times New Roman" w:eastAsia="Times New Roman" w:hAnsi="Times New Roman"/>
          <w:sz w:val="24"/>
          <w:szCs w:val="24"/>
        </w:rPr>
        <w:t xml:space="preserve">ir </w:t>
      </w:r>
      <w:r>
        <w:rPr>
          <w:rFonts w:ascii="Times New Roman" w:eastAsia="Times New Roman" w:hAnsi="Times New Roman"/>
          <w:sz w:val="24"/>
          <w:szCs w:val="24"/>
        </w:rPr>
        <w:t xml:space="preserve">pirkumi vai pakalpojumi, par kuriem </w:t>
      </w:r>
      <w:r w:rsidR="00063645" w:rsidRPr="001B78A3">
        <w:rPr>
          <w:rFonts w:ascii="Times New Roman" w:eastAsia="Times New Roman" w:hAnsi="Times New Roman"/>
          <w:sz w:val="24"/>
          <w:szCs w:val="24"/>
        </w:rPr>
        <w:t>netiek izsniegts čeks</w:t>
      </w:r>
      <w:r w:rsidR="00063645">
        <w:rPr>
          <w:rFonts w:ascii="Times New Roman" w:eastAsia="Times New Roman" w:hAnsi="Times New Roman"/>
          <w:sz w:val="24"/>
          <w:szCs w:val="24"/>
        </w:rPr>
        <w:t xml:space="preserve">. Salīdzinājumā ar 2017.gadu ir redzams, ka </w:t>
      </w:r>
      <w:r w:rsidR="00063645" w:rsidRPr="001B78A3">
        <w:rPr>
          <w:rFonts w:ascii="Times New Roman" w:eastAsia="Times New Roman" w:hAnsi="Times New Roman"/>
          <w:sz w:val="24"/>
          <w:szCs w:val="24"/>
        </w:rPr>
        <w:t xml:space="preserve">sabiedrība ir </w:t>
      </w:r>
      <w:r w:rsidR="00063645">
        <w:rPr>
          <w:rFonts w:ascii="Times New Roman" w:eastAsia="Times New Roman" w:hAnsi="Times New Roman"/>
          <w:sz w:val="24"/>
          <w:szCs w:val="24"/>
        </w:rPr>
        <w:t xml:space="preserve">kļuvusi </w:t>
      </w:r>
      <w:r>
        <w:rPr>
          <w:rFonts w:ascii="Times New Roman" w:eastAsia="Times New Roman" w:hAnsi="Times New Roman"/>
          <w:sz w:val="24"/>
          <w:szCs w:val="24"/>
        </w:rPr>
        <w:t xml:space="preserve">iecietīgāka pret </w:t>
      </w:r>
      <w:r w:rsidR="00063645">
        <w:rPr>
          <w:rFonts w:ascii="Times New Roman" w:eastAsia="Times New Roman" w:hAnsi="Times New Roman"/>
          <w:sz w:val="24"/>
          <w:szCs w:val="24"/>
        </w:rPr>
        <w:t xml:space="preserve">gadījumiem, kad </w:t>
      </w:r>
      <w:r w:rsidR="00063645" w:rsidRPr="001B78A3">
        <w:rPr>
          <w:rFonts w:ascii="Times New Roman" w:eastAsia="Times New Roman" w:hAnsi="Times New Roman"/>
          <w:sz w:val="24"/>
          <w:szCs w:val="24"/>
        </w:rPr>
        <w:t xml:space="preserve">notiek nelegāla </w:t>
      </w:r>
      <w:proofErr w:type="spellStart"/>
      <w:r w:rsidR="00063645" w:rsidRPr="001B78A3">
        <w:rPr>
          <w:rFonts w:ascii="Times New Roman" w:eastAsia="Times New Roman" w:hAnsi="Times New Roman"/>
          <w:sz w:val="24"/>
          <w:szCs w:val="24"/>
        </w:rPr>
        <w:t>akcizēto</w:t>
      </w:r>
      <w:proofErr w:type="spellEnd"/>
      <w:r w:rsidR="00063645" w:rsidRPr="001B78A3">
        <w:rPr>
          <w:rFonts w:ascii="Times New Roman" w:eastAsia="Times New Roman" w:hAnsi="Times New Roman"/>
          <w:sz w:val="24"/>
          <w:szCs w:val="24"/>
        </w:rPr>
        <w:t xml:space="preserve"> preču tirdzniecība un tiek nodarbināti darbinieki, </w:t>
      </w:r>
      <w:r w:rsidR="00063645" w:rsidRPr="005A35E5">
        <w:rPr>
          <w:rFonts w:ascii="Times New Roman" w:eastAsia="Times New Roman" w:hAnsi="Times New Roman"/>
          <w:sz w:val="24"/>
          <w:szCs w:val="24"/>
        </w:rPr>
        <w:t xml:space="preserve">neievērojot Darba likuma prasības. </w:t>
      </w:r>
      <w:r w:rsidR="00DC0FB0">
        <w:rPr>
          <w:rFonts w:ascii="Times New Roman" w:eastAsia="Times New Roman" w:hAnsi="Times New Roman"/>
          <w:sz w:val="24"/>
          <w:szCs w:val="24"/>
        </w:rPr>
        <w:t>Darba kultūra bija sociāli informatīvās kampaņas</w:t>
      </w:r>
      <w:r w:rsidR="00DC0FB0" w:rsidRPr="00DC0FB0">
        <w:rPr>
          <w:rFonts w:ascii="Times New Roman" w:eastAsia="Times New Roman" w:hAnsi="Times New Roman"/>
          <w:sz w:val="24"/>
          <w:szCs w:val="24"/>
        </w:rPr>
        <w:t xml:space="preserve"> </w:t>
      </w:r>
      <w:proofErr w:type="spellStart"/>
      <w:r w:rsidR="00DC0FB0" w:rsidRPr="00DC0FB0">
        <w:rPr>
          <w:rFonts w:ascii="Times New Roman" w:eastAsia="Times New Roman" w:hAnsi="Times New Roman"/>
          <w:sz w:val="24"/>
          <w:szCs w:val="24"/>
        </w:rPr>
        <w:t>Pretkrāpšanas</w:t>
      </w:r>
      <w:proofErr w:type="spellEnd"/>
      <w:r w:rsidR="00DC0FB0" w:rsidRPr="00DC0FB0">
        <w:rPr>
          <w:rFonts w:ascii="Times New Roman" w:eastAsia="Times New Roman" w:hAnsi="Times New Roman"/>
          <w:sz w:val="24"/>
          <w:szCs w:val="24"/>
        </w:rPr>
        <w:t xml:space="preserve"> kustība #Atkrāpies!</w:t>
      </w:r>
      <w:r w:rsidR="00DC0FB0">
        <w:rPr>
          <w:rFonts w:ascii="Times New Roman" w:eastAsia="Times New Roman" w:hAnsi="Times New Roman"/>
          <w:sz w:val="24"/>
          <w:szCs w:val="24"/>
        </w:rPr>
        <w:t xml:space="preserve"> 2018. gada fokusa tēma (skatīt komen</w:t>
      </w:r>
      <w:r w:rsidR="00DA286E">
        <w:rPr>
          <w:rFonts w:ascii="Times New Roman" w:eastAsia="Times New Roman" w:hAnsi="Times New Roman"/>
          <w:sz w:val="24"/>
          <w:szCs w:val="24"/>
        </w:rPr>
        <w:t>tāru</w:t>
      </w:r>
      <w:r w:rsidR="00C43F4A">
        <w:rPr>
          <w:rFonts w:ascii="Times New Roman" w:eastAsia="Times New Roman" w:hAnsi="Times New Roman"/>
          <w:sz w:val="24"/>
          <w:szCs w:val="24"/>
        </w:rPr>
        <w:t xml:space="preserve"> pie sadaļas A.3.1.)</w:t>
      </w:r>
    </w:p>
    <w:p w14:paraId="1C677E05" w14:textId="77777777" w:rsidR="00063645" w:rsidRDefault="00063645" w:rsidP="00C43F4A">
      <w:pPr>
        <w:spacing w:before="120"/>
        <w:ind w:left="352"/>
        <w:contextualSpacing/>
        <w:jc w:val="both"/>
      </w:pPr>
      <w:r w:rsidRPr="00ED4EA9">
        <w:rPr>
          <w:b/>
          <w:u w:val="single"/>
        </w:rPr>
        <w:t>Secinājum</w:t>
      </w:r>
      <w:r>
        <w:rPr>
          <w:b/>
          <w:u w:val="single"/>
        </w:rPr>
        <w:t>i</w:t>
      </w:r>
      <w:r w:rsidRPr="00ED4EA9">
        <w:rPr>
          <w:b/>
          <w:u w:val="single"/>
        </w:rPr>
        <w:t>:</w:t>
      </w:r>
      <w:r w:rsidRPr="007813DA">
        <w:t xml:space="preserve"> </w:t>
      </w:r>
    </w:p>
    <w:p w14:paraId="495A3818" w14:textId="77777777" w:rsidR="00063645" w:rsidRDefault="00063645" w:rsidP="00C43F4A">
      <w:pPr>
        <w:pStyle w:val="ListParagraph"/>
        <w:numPr>
          <w:ilvl w:val="0"/>
          <w:numId w:val="33"/>
        </w:numPr>
        <w:contextualSpacing/>
        <w:jc w:val="both"/>
        <w:rPr>
          <w:rFonts w:ascii="Times New Roman" w:eastAsia="Times New Roman" w:hAnsi="Times New Roman"/>
          <w:sz w:val="24"/>
          <w:szCs w:val="24"/>
        </w:rPr>
      </w:pPr>
      <w:r w:rsidRPr="007813DA">
        <w:rPr>
          <w:rFonts w:ascii="Times New Roman" w:eastAsia="Times New Roman" w:hAnsi="Times New Roman"/>
          <w:sz w:val="24"/>
          <w:szCs w:val="24"/>
        </w:rPr>
        <w:t>Komunicējot par viltotām un kontrabandas precēm</w:t>
      </w:r>
      <w:r w:rsidR="00C43F4A">
        <w:rPr>
          <w:rFonts w:ascii="Times New Roman" w:eastAsia="Times New Roman" w:hAnsi="Times New Roman"/>
          <w:sz w:val="24"/>
          <w:szCs w:val="24"/>
        </w:rPr>
        <w:t>, sociāli informatīvās kampaņas</w:t>
      </w:r>
      <w:r w:rsidRPr="007813DA">
        <w:rPr>
          <w:rFonts w:ascii="Times New Roman" w:eastAsia="Times New Roman" w:hAnsi="Times New Roman"/>
          <w:sz w:val="24"/>
          <w:szCs w:val="24"/>
        </w:rPr>
        <w:t xml:space="preserve"> </w:t>
      </w:r>
      <w:r w:rsidR="00C43F4A">
        <w:rPr>
          <w:rFonts w:ascii="Times New Roman" w:eastAsia="Times New Roman" w:hAnsi="Times New Roman"/>
          <w:sz w:val="24"/>
          <w:szCs w:val="24"/>
        </w:rPr>
        <w:t>ietvaros, tika novērots, ka sabiedrībā aug</w:t>
      </w:r>
      <w:r w:rsidRPr="007813DA">
        <w:rPr>
          <w:rFonts w:ascii="Times New Roman" w:eastAsia="Times New Roman" w:hAnsi="Times New Roman"/>
          <w:sz w:val="24"/>
          <w:szCs w:val="24"/>
        </w:rPr>
        <w:t xml:space="preserve"> izpratne par riskiem dažādu preču grupās, kam pakļauti iedzīvotāji gadījumos, kad tiek izvēlēta viltota vai</w:t>
      </w:r>
      <w:r w:rsidR="007D05CE">
        <w:rPr>
          <w:rFonts w:ascii="Times New Roman" w:eastAsia="Times New Roman" w:hAnsi="Times New Roman"/>
          <w:sz w:val="24"/>
          <w:szCs w:val="24"/>
        </w:rPr>
        <w:t xml:space="preserve"> kontrabandas prece, nevis īsta</w:t>
      </w:r>
      <w:r>
        <w:rPr>
          <w:rFonts w:ascii="Times New Roman" w:eastAsia="Times New Roman" w:hAnsi="Times New Roman"/>
          <w:sz w:val="24"/>
          <w:szCs w:val="24"/>
        </w:rPr>
        <w:t xml:space="preserve">. </w:t>
      </w:r>
    </w:p>
    <w:p w14:paraId="2526C5FD" w14:textId="77777777" w:rsidR="00063645" w:rsidRDefault="00C43F4A" w:rsidP="00C43F4A">
      <w:pPr>
        <w:pStyle w:val="ListParagraph"/>
        <w:numPr>
          <w:ilvl w:val="0"/>
          <w:numId w:val="33"/>
        </w:numPr>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Komunicējot par valstij būtiskiem jautājumiem, jāņem vērā pētījumu rezultātā secinātais - </w:t>
      </w:r>
      <w:r w:rsidR="007D05CE">
        <w:rPr>
          <w:rFonts w:ascii="Times New Roman" w:eastAsia="Times New Roman" w:hAnsi="Times New Roman"/>
          <w:sz w:val="24"/>
          <w:szCs w:val="24"/>
        </w:rPr>
        <w:t xml:space="preserve">iedzīvotāji uzskata, ka nabadzība, amatpersonu korupcija un </w:t>
      </w:r>
      <w:r w:rsidR="00063645">
        <w:rPr>
          <w:rFonts w:ascii="Times New Roman" w:eastAsia="Times New Roman" w:hAnsi="Times New Roman"/>
          <w:sz w:val="24"/>
          <w:szCs w:val="24"/>
        </w:rPr>
        <w:t>politiskās gribas trūkums, īpaši, tiesiskuma jomā</w:t>
      </w:r>
      <w:r w:rsidR="007D05CE">
        <w:rPr>
          <w:rFonts w:ascii="Times New Roman" w:eastAsia="Times New Roman" w:hAnsi="Times New Roman"/>
          <w:sz w:val="24"/>
          <w:szCs w:val="24"/>
        </w:rPr>
        <w:t xml:space="preserve"> ir galvenie iemesli viltotu </w:t>
      </w:r>
      <w:r>
        <w:rPr>
          <w:rFonts w:ascii="Times New Roman" w:eastAsia="Times New Roman" w:hAnsi="Times New Roman"/>
          <w:sz w:val="24"/>
          <w:szCs w:val="24"/>
        </w:rPr>
        <w:t>un kontrabandas preču izplatībā</w:t>
      </w:r>
      <w:r w:rsidR="00063645">
        <w:rPr>
          <w:rFonts w:ascii="Times New Roman" w:eastAsia="Times New Roman" w:hAnsi="Times New Roman"/>
          <w:sz w:val="24"/>
          <w:szCs w:val="24"/>
        </w:rPr>
        <w:t xml:space="preserve">. Pētījuma rezultāti </w:t>
      </w:r>
      <w:r w:rsidR="007D05CE">
        <w:rPr>
          <w:rFonts w:ascii="Times New Roman" w:eastAsia="Times New Roman" w:hAnsi="Times New Roman"/>
          <w:sz w:val="24"/>
          <w:szCs w:val="24"/>
        </w:rPr>
        <w:t>nodot</w:t>
      </w:r>
      <w:r w:rsidR="00063645">
        <w:rPr>
          <w:rFonts w:ascii="Times New Roman" w:eastAsia="Times New Roman" w:hAnsi="Times New Roman"/>
          <w:sz w:val="24"/>
          <w:szCs w:val="24"/>
        </w:rPr>
        <w:t>i atbildīgajām iestādēm</w:t>
      </w:r>
      <w:r w:rsidR="00063645">
        <w:rPr>
          <w:rStyle w:val="FootnoteReference"/>
          <w:rFonts w:ascii="Times New Roman" w:eastAsia="Times New Roman" w:hAnsi="Times New Roman"/>
          <w:sz w:val="24"/>
          <w:szCs w:val="24"/>
        </w:rPr>
        <w:footnoteReference w:id="21"/>
      </w:r>
      <w:r w:rsidR="00063645">
        <w:rPr>
          <w:rFonts w:ascii="Times New Roman" w:eastAsia="Times New Roman" w:hAnsi="Times New Roman"/>
          <w:sz w:val="24"/>
          <w:szCs w:val="24"/>
        </w:rPr>
        <w:t>.</w:t>
      </w:r>
    </w:p>
    <w:p w14:paraId="5B864982" w14:textId="77777777" w:rsidR="00063645" w:rsidRDefault="00063645" w:rsidP="00C43F4A">
      <w:pPr>
        <w:pStyle w:val="ListParagraph"/>
        <w:numPr>
          <w:ilvl w:val="0"/>
          <w:numId w:val="33"/>
        </w:numPr>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Plānojot 2019.gada </w:t>
      </w:r>
      <w:r w:rsidR="00C43F4A">
        <w:rPr>
          <w:rFonts w:ascii="Times New Roman" w:eastAsia="Times New Roman" w:hAnsi="Times New Roman"/>
          <w:sz w:val="24"/>
          <w:szCs w:val="24"/>
        </w:rPr>
        <w:t>sociāli informatīvās kampaņas</w:t>
      </w:r>
      <w:r w:rsidR="00C43F4A" w:rsidRPr="00DC0FB0">
        <w:rPr>
          <w:rFonts w:ascii="Times New Roman" w:eastAsia="Times New Roman" w:hAnsi="Times New Roman"/>
          <w:sz w:val="24"/>
          <w:szCs w:val="24"/>
        </w:rPr>
        <w:t xml:space="preserve"> </w:t>
      </w:r>
      <w:proofErr w:type="spellStart"/>
      <w:r w:rsidR="00C43F4A" w:rsidRPr="00DC0FB0">
        <w:rPr>
          <w:rFonts w:ascii="Times New Roman" w:eastAsia="Times New Roman" w:hAnsi="Times New Roman"/>
          <w:sz w:val="24"/>
          <w:szCs w:val="24"/>
        </w:rPr>
        <w:t>Pretkrāpšanas</w:t>
      </w:r>
      <w:proofErr w:type="spellEnd"/>
      <w:r w:rsidR="00C43F4A" w:rsidRPr="00DC0FB0">
        <w:rPr>
          <w:rFonts w:ascii="Times New Roman" w:eastAsia="Times New Roman" w:hAnsi="Times New Roman"/>
          <w:sz w:val="24"/>
          <w:szCs w:val="24"/>
        </w:rPr>
        <w:t xml:space="preserve"> kustība #Atkrāpies!</w:t>
      </w:r>
      <w:r w:rsidR="00C43F4A">
        <w:rPr>
          <w:rFonts w:ascii="Times New Roman" w:eastAsia="Times New Roman" w:hAnsi="Times New Roman"/>
          <w:sz w:val="24"/>
          <w:szCs w:val="24"/>
        </w:rPr>
        <w:t xml:space="preserve"> </w:t>
      </w:r>
      <w:r>
        <w:rPr>
          <w:rFonts w:ascii="Times New Roman" w:eastAsia="Times New Roman" w:hAnsi="Times New Roman"/>
          <w:sz w:val="24"/>
          <w:szCs w:val="24"/>
        </w:rPr>
        <w:t xml:space="preserve">komunikācijas vēstījumus, </w:t>
      </w:r>
      <w:r w:rsidR="00C43F4A">
        <w:rPr>
          <w:rFonts w:ascii="Times New Roman" w:eastAsia="Times New Roman" w:hAnsi="Times New Roman"/>
          <w:sz w:val="24"/>
          <w:szCs w:val="24"/>
        </w:rPr>
        <w:t>par fokusa tēmu jānosaka</w:t>
      </w:r>
      <w:r w:rsidR="007D05CE">
        <w:rPr>
          <w:rFonts w:ascii="Times New Roman" w:eastAsia="Times New Roman" w:hAnsi="Times New Roman"/>
          <w:sz w:val="24"/>
          <w:szCs w:val="24"/>
        </w:rPr>
        <w:t xml:space="preserve"> </w:t>
      </w:r>
      <w:r>
        <w:rPr>
          <w:rFonts w:ascii="Times New Roman" w:eastAsia="Times New Roman" w:hAnsi="Times New Roman"/>
          <w:sz w:val="24"/>
          <w:szCs w:val="24"/>
        </w:rPr>
        <w:t>ziņošanas kultūras stiprināšan</w:t>
      </w:r>
      <w:r w:rsidR="00C43F4A">
        <w:rPr>
          <w:rFonts w:ascii="Times New Roman" w:eastAsia="Times New Roman" w:hAnsi="Times New Roman"/>
          <w:sz w:val="24"/>
          <w:szCs w:val="24"/>
        </w:rPr>
        <w:t>a</w:t>
      </w:r>
      <w:r w:rsidR="007D05CE">
        <w:rPr>
          <w:rFonts w:ascii="Times New Roman" w:eastAsia="Times New Roman" w:hAnsi="Times New Roman"/>
          <w:sz w:val="24"/>
          <w:szCs w:val="24"/>
        </w:rPr>
        <w:t xml:space="preserve"> </w:t>
      </w:r>
      <w:r>
        <w:rPr>
          <w:rStyle w:val="FootnoteReference"/>
          <w:rFonts w:ascii="Times New Roman" w:eastAsia="Times New Roman" w:hAnsi="Times New Roman"/>
          <w:sz w:val="24"/>
          <w:szCs w:val="24"/>
        </w:rPr>
        <w:footnoteReference w:id="22"/>
      </w:r>
      <w:r>
        <w:rPr>
          <w:rFonts w:ascii="Times New Roman" w:eastAsia="Times New Roman" w:hAnsi="Times New Roman"/>
          <w:sz w:val="24"/>
          <w:szCs w:val="24"/>
        </w:rPr>
        <w:t xml:space="preserve">. </w:t>
      </w:r>
    </w:p>
    <w:p w14:paraId="49BEEED2" w14:textId="77777777" w:rsidR="00900530" w:rsidRPr="007813DA" w:rsidRDefault="00900530" w:rsidP="00C43F4A">
      <w:pPr>
        <w:pStyle w:val="ListParagraph"/>
        <w:numPr>
          <w:ilvl w:val="0"/>
          <w:numId w:val="33"/>
        </w:numPr>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Saskaņā ar </w:t>
      </w:r>
      <w:r w:rsidR="00C43F4A">
        <w:rPr>
          <w:rFonts w:ascii="Times New Roman" w:eastAsia="Times New Roman" w:hAnsi="Times New Roman"/>
          <w:sz w:val="24"/>
          <w:szCs w:val="24"/>
        </w:rPr>
        <w:t>AFCOS S</w:t>
      </w:r>
      <w:r>
        <w:rPr>
          <w:rFonts w:ascii="Times New Roman" w:eastAsia="Times New Roman" w:hAnsi="Times New Roman"/>
          <w:sz w:val="24"/>
          <w:szCs w:val="24"/>
        </w:rPr>
        <w:t xml:space="preserve">tratēģiju </w:t>
      </w:r>
      <w:r w:rsidR="00C43F4A">
        <w:rPr>
          <w:rFonts w:ascii="Times New Roman" w:eastAsia="Times New Roman" w:hAnsi="Times New Roman"/>
          <w:sz w:val="24"/>
          <w:szCs w:val="24"/>
        </w:rPr>
        <w:t xml:space="preserve">un pasākumu plānu </w:t>
      </w:r>
      <w:r>
        <w:rPr>
          <w:rFonts w:ascii="Times New Roman" w:eastAsia="Times New Roman" w:hAnsi="Times New Roman"/>
          <w:sz w:val="24"/>
          <w:szCs w:val="24"/>
        </w:rPr>
        <w:t xml:space="preserve">2019. gadā noslēdzas </w:t>
      </w:r>
      <w:r w:rsidR="00C43F4A">
        <w:rPr>
          <w:rFonts w:ascii="Times New Roman" w:eastAsia="Times New Roman" w:hAnsi="Times New Roman"/>
          <w:sz w:val="24"/>
          <w:szCs w:val="24"/>
        </w:rPr>
        <w:t>sociāli informatīvās kampaņas</w:t>
      </w:r>
      <w:r>
        <w:rPr>
          <w:rFonts w:ascii="Times New Roman" w:eastAsia="Times New Roman" w:hAnsi="Times New Roman"/>
          <w:sz w:val="24"/>
          <w:szCs w:val="24"/>
        </w:rPr>
        <w:t xml:space="preserve"> īstenošanas periods, pēc kura būtu nepieciešams izvērtēt iespēju veikt pilnīgu sabiedriskās domas pētījumu, iekļaujot visus pētījumu jautājumus, kas tika mērīti </w:t>
      </w:r>
      <w:r w:rsidR="00C43F4A">
        <w:rPr>
          <w:rFonts w:ascii="Times New Roman" w:eastAsia="Times New Roman" w:hAnsi="Times New Roman"/>
          <w:sz w:val="24"/>
          <w:szCs w:val="24"/>
        </w:rPr>
        <w:t xml:space="preserve">kampaņas vajadzībām </w:t>
      </w:r>
      <w:r>
        <w:rPr>
          <w:rFonts w:ascii="Times New Roman" w:eastAsia="Times New Roman" w:hAnsi="Times New Roman"/>
          <w:sz w:val="24"/>
          <w:szCs w:val="24"/>
        </w:rPr>
        <w:t>periodā no 2017. gada – 2019. gadam</w:t>
      </w:r>
      <w:r w:rsidR="00074AFA">
        <w:rPr>
          <w:rFonts w:ascii="Times New Roman" w:eastAsia="Times New Roman" w:hAnsi="Times New Roman"/>
          <w:sz w:val="24"/>
          <w:szCs w:val="24"/>
        </w:rPr>
        <w:t>.</w:t>
      </w:r>
    </w:p>
    <w:p w14:paraId="3CDCCC06" w14:textId="77777777" w:rsidR="00063645" w:rsidRDefault="00063645" w:rsidP="00C43F4A">
      <w:pPr>
        <w:contextualSpacing/>
        <w:jc w:val="both"/>
      </w:pPr>
    </w:p>
    <w:p w14:paraId="7D8BE4EF" w14:textId="77777777" w:rsidR="00063645" w:rsidRPr="00EC25B2" w:rsidRDefault="00063645" w:rsidP="006A5261">
      <w:pPr>
        <w:ind w:firstLine="349"/>
        <w:contextualSpacing/>
        <w:jc w:val="both"/>
      </w:pPr>
      <w:r>
        <w:t>L</w:t>
      </w:r>
      <w:r w:rsidRPr="001B78A3">
        <w:t xml:space="preserve">ai sekmīgi īstenotu </w:t>
      </w:r>
      <w:r w:rsidR="006A5261" w:rsidRPr="00E92867">
        <w:t xml:space="preserve">sociāli informatīvo kampaņu </w:t>
      </w:r>
      <w:proofErr w:type="spellStart"/>
      <w:r w:rsidR="006A5261" w:rsidRPr="00314E2D">
        <w:t>Pretkrāpšanas</w:t>
      </w:r>
      <w:proofErr w:type="spellEnd"/>
      <w:r w:rsidR="006A5261" w:rsidRPr="00314E2D">
        <w:t xml:space="preserve"> kustība #Atkrāpies!</w:t>
      </w:r>
      <w:r w:rsidR="006A5261">
        <w:t xml:space="preserve"> </w:t>
      </w:r>
      <w:r>
        <w:t>2018.gadā, akcentējot “Darba attiecību kultūru”</w:t>
      </w:r>
      <w:r w:rsidRPr="001B78A3">
        <w:t xml:space="preserve">, tika </w:t>
      </w:r>
      <w:r>
        <w:t xml:space="preserve">īstenots </w:t>
      </w:r>
      <w:r w:rsidRPr="001B78A3">
        <w:t xml:space="preserve">sabiedriskās domas pētījums </w:t>
      </w:r>
      <w:r w:rsidRPr="003201E1">
        <w:t>par iedzīvotāju informētību</w:t>
      </w:r>
      <w:r w:rsidRPr="00676794">
        <w:rPr>
          <w:b/>
        </w:rPr>
        <w:t xml:space="preserve"> par darba attiecībām un noskaidrotu to attieksmi pret krāpšanos</w:t>
      </w:r>
      <w:r w:rsidRPr="001B78A3">
        <w:rPr>
          <w:rStyle w:val="FootnoteReference"/>
        </w:rPr>
        <w:footnoteReference w:id="23"/>
      </w:r>
      <w:r>
        <w:t>:</w:t>
      </w:r>
    </w:p>
    <w:p w14:paraId="7ADA8E18" w14:textId="77777777" w:rsidR="00063645" w:rsidRDefault="00063645" w:rsidP="006A5261">
      <w:pPr>
        <w:pStyle w:val="ListParagraph"/>
        <w:numPr>
          <w:ilvl w:val="0"/>
          <w:numId w:val="32"/>
        </w:numPr>
        <w:contextualSpacing/>
        <w:jc w:val="both"/>
        <w:rPr>
          <w:rFonts w:ascii="Times New Roman" w:eastAsia="Times New Roman" w:hAnsi="Times New Roman"/>
          <w:color w:val="FF0000"/>
          <w:sz w:val="24"/>
          <w:szCs w:val="24"/>
        </w:rPr>
      </w:pPr>
      <w:r w:rsidRPr="00267FD7">
        <w:rPr>
          <w:rFonts w:ascii="Times New Roman" w:eastAsia="Times New Roman" w:hAnsi="Times New Roman"/>
          <w:sz w:val="24"/>
          <w:szCs w:val="24"/>
        </w:rPr>
        <w:t>2018.gadā tika pētīts jautājums, par to, cik liela sabiedrības daļa ir gatav</w:t>
      </w:r>
      <w:r>
        <w:rPr>
          <w:rFonts w:ascii="Times New Roman" w:eastAsia="Times New Roman" w:hAnsi="Times New Roman"/>
          <w:sz w:val="24"/>
          <w:szCs w:val="24"/>
        </w:rPr>
        <w:t>a demonstrēt striktu attieksmi, pret negodprātīgām darbībām</w:t>
      </w:r>
      <w:r w:rsidR="003C4E05">
        <w:rPr>
          <w:rFonts w:ascii="Times New Roman" w:eastAsia="Times New Roman" w:hAnsi="Times New Roman"/>
          <w:sz w:val="24"/>
          <w:szCs w:val="24"/>
        </w:rPr>
        <w:t>, sakot: “Ja neesi godprātīgs, A</w:t>
      </w:r>
      <w:r>
        <w:rPr>
          <w:rFonts w:ascii="Times New Roman" w:eastAsia="Times New Roman" w:hAnsi="Times New Roman"/>
          <w:sz w:val="24"/>
          <w:szCs w:val="24"/>
        </w:rPr>
        <w:t xml:space="preserve">tkrāpies!”. 41% respondentu </w:t>
      </w:r>
      <w:r w:rsidR="006A5261">
        <w:rPr>
          <w:rFonts w:ascii="Times New Roman" w:eastAsia="Times New Roman" w:hAnsi="Times New Roman"/>
          <w:sz w:val="24"/>
          <w:szCs w:val="24"/>
        </w:rPr>
        <w:t>bija gatavi</w:t>
      </w:r>
      <w:r>
        <w:rPr>
          <w:rFonts w:ascii="Times New Roman" w:eastAsia="Times New Roman" w:hAnsi="Times New Roman"/>
          <w:sz w:val="24"/>
          <w:szCs w:val="24"/>
        </w:rPr>
        <w:t xml:space="preserve"> demonstrēt šādu nostāju, </w:t>
      </w:r>
      <w:r w:rsidR="006A5261">
        <w:rPr>
          <w:rFonts w:ascii="Times New Roman" w:eastAsia="Times New Roman" w:hAnsi="Times New Roman"/>
          <w:sz w:val="24"/>
          <w:szCs w:val="24"/>
        </w:rPr>
        <w:t xml:space="preserve">savukārt, </w:t>
      </w:r>
      <w:r>
        <w:rPr>
          <w:rFonts w:ascii="Times New Roman" w:eastAsia="Times New Roman" w:hAnsi="Times New Roman"/>
          <w:sz w:val="24"/>
          <w:szCs w:val="24"/>
        </w:rPr>
        <w:t xml:space="preserve">38% </w:t>
      </w:r>
      <w:r w:rsidR="006A5261">
        <w:rPr>
          <w:rFonts w:ascii="Times New Roman" w:eastAsia="Times New Roman" w:hAnsi="Times New Roman"/>
          <w:sz w:val="24"/>
          <w:szCs w:val="24"/>
        </w:rPr>
        <w:t xml:space="preserve">šādu nostāju </w:t>
      </w:r>
      <w:r>
        <w:rPr>
          <w:rFonts w:ascii="Times New Roman" w:eastAsia="Times New Roman" w:hAnsi="Times New Roman"/>
          <w:sz w:val="24"/>
          <w:szCs w:val="24"/>
        </w:rPr>
        <w:t xml:space="preserve">nav gatavi demonstrēt. 31% respondentu bija grūti atbildēt uz šo jautājumu, </w:t>
      </w:r>
      <w:r w:rsidR="00C43F4A">
        <w:rPr>
          <w:rFonts w:ascii="Times New Roman" w:eastAsia="Times New Roman" w:hAnsi="Times New Roman"/>
          <w:sz w:val="24"/>
          <w:szCs w:val="24"/>
        </w:rPr>
        <w:t>kas norāda uz to, ka šī ir neizlēmusī sabiedrības daļa</w:t>
      </w:r>
      <w:r>
        <w:rPr>
          <w:rFonts w:ascii="Times New Roman" w:eastAsia="Times New Roman" w:hAnsi="Times New Roman"/>
          <w:sz w:val="24"/>
          <w:szCs w:val="24"/>
        </w:rPr>
        <w:t xml:space="preserve">, uz kuru </w:t>
      </w:r>
      <w:r w:rsidR="00C43F4A">
        <w:rPr>
          <w:rFonts w:ascii="Times New Roman" w:eastAsia="Times New Roman" w:hAnsi="Times New Roman"/>
          <w:sz w:val="24"/>
          <w:szCs w:val="24"/>
        </w:rPr>
        <w:t xml:space="preserve">jākoncentrē </w:t>
      </w:r>
      <w:r>
        <w:rPr>
          <w:rFonts w:ascii="Times New Roman" w:eastAsia="Times New Roman" w:hAnsi="Times New Roman"/>
          <w:sz w:val="24"/>
          <w:szCs w:val="24"/>
        </w:rPr>
        <w:t>2019.</w:t>
      </w:r>
      <w:r w:rsidR="00C43F4A">
        <w:rPr>
          <w:rFonts w:ascii="Times New Roman" w:eastAsia="Times New Roman" w:hAnsi="Times New Roman"/>
          <w:sz w:val="24"/>
          <w:szCs w:val="24"/>
        </w:rPr>
        <w:t xml:space="preserve"> </w:t>
      </w:r>
      <w:r>
        <w:rPr>
          <w:rFonts w:ascii="Times New Roman" w:eastAsia="Times New Roman" w:hAnsi="Times New Roman"/>
          <w:sz w:val="24"/>
          <w:szCs w:val="24"/>
        </w:rPr>
        <w:t xml:space="preserve">gadā vēstījums. Analizējot atbilžu demogrāfiju, noskaidrojās, </w:t>
      </w:r>
      <w:r w:rsidRPr="003201E1">
        <w:rPr>
          <w:rFonts w:ascii="Times New Roman" w:eastAsia="Times New Roman" w:hAnsi="Times New Roman"/>
          <w:b/>
          <w:sz w:val="24"/>
          <w:szCs w:val="24"/>
        </w:rPr>
        <w:t xml:space="preserve">ka viena no </w:t>
      </w:r>
      <w:r w:rsidR="00C43F4A" w:rsidRPr="003201E1">
        <w:rPr>
          <w:rFonts w:ascii="Times New Roman" w:eastAsia="Times New Roman" w:hAnsi="Times New Roman"/>
          <w:b/>
          <w:sz w:val="24"/>
          <w:szCs w:val="24"/>
        </w:rPr>
        <w:t xml:space="preserve">lielākajām </w:t>
      </w:r>
      <w:r w:rsidR="00900530" w:rsidRPr="003201E1">
        <w:rPr>
          <w:rFonts w:ascii="Times New Roman" w:eastAsia="Times New Roman" w:hAnsi="Times New Roman"/>
          <w:b/>
          <w:sz w:val="24"/>
          <w:szCs w:val="24"/>
        </w:rPr>
        <w:t>neizlēmušās</w:t>
      </w:r>
      <w:r w:rsidR="00C43F4A" w:rsidRPr="003201E1">
        <w:rPr>
          <w:rFonts w:ascii="Times New Roman" w:eastAsia="Times New Roman" w:hAnsi="Times New Roman"/>
          <w:b/>
          <w:sz w:val="24"/>
          <w:szCs w:val="24"/>
        </w:rPr>
        <w:t xml:space="preserve"> sabiedrības daļām </w:t>
      </w:r>
      <w:r w:rsidRPr="003201E1">
        <w:rPr>
          <w:rFonts w:ascii="Times New Roman" w:eastAsia="Times New Roman" w:hAnsi="Times New Roman"/>
          <w:b/>
          <w:sz w:val="24"/>
          <w:szCs w:val="24"/>
        </w:rPr>
        <w:t xml:space="preserve">ir respondenti </w:t>
      </w:r>
      <w:r w:rsidR="00C43F4A" w:rsidRPr="003201E1">
        <w:rPr>
          <w:rFonts w:ascii="Times New Roman" w:eastAsia="Times New Roman" w:hAnsi="Times New Roman"/>
          <w:b/>
          <w:sz w:val="24"/>
          <w:szCs w:val="24"/>
        </w:rPr>
        <w:t>vecuma grupā</w:t>
      </w:r>
      <w:r w:rsidRPr="003201E1">
        <w:rPr>
          <w:rFonts w:ascii="Times New Roman" w:eastAsia="Times New Roman" w:hAnsi="Times New Roman"/>
          <w:b/>
          <w:sz w:val="24"/>
          <w:szCs w:val="24"/>
        </w:rPr>
        <w:t xml:space="preserve"> no 25 līdz 34 gadiem.</w:t>
      </w:r>
    </w:p>
    <w:p w14:paraId="2D8A36DD" w14:textId="77777777" w:rsidR="00063645" w:rsidRPr="00771E2C" w:rsidRDefault="00063645" w:rsidP="006A5261">
      <w:pPr>
        <w:pStyle w:val="ListParagraph"/>
        <w:numPr>
          <w:ilvl w:val="0"/>
          <w:numId w:val="32"/>
        </w:numPr>
        <w:ind w:left="709"/>
        <w:contextualSpacing/>
        <w:jc w:val="both"/>
        <w:rPr>
          <w:rFonts w:ascii="Times New Roman" w:eastAsia="Times New Roman" w:hAnsi="Times New Roman"/>
          <w:color w:val="FF0000"/>
          <w:sz w:val="24"/>
          <w:szCs w:val="24"/>
        </w:rPr>
      </w:pPr>
      <w:r>
        <w:rPr>
          <w:rFonts w:ascii="Times New Roman" w:eastAsia="Times New Roman" w:hAnsi="Times New Roman"/>
          <w:sz w:val="24"/>
          <w:szCs w:val="24"/>
        </w:rPr>
        <w:t>2018.gadā tika aptaujāti respondenti par dažādām situācijām, kas saistītas ar darba attiecībām un no pētījuma secināms, ka 33% apzinā</w:t>
      </w:r>
      <w:r w:rsidR="006A5261">
        <w:rPr>
          <w:rFonts w:ascii="Times New Roman" w:eastAsia="Times New Roman" w:hAnsi="Times New Roman"/>
          <w:sz w:val="24"/>
          <w:szCs w:val="24"/>
        </w:rPr>
        <w:t>jā</w:t>
      </w:r>
      <w:r>
        <w:rPr>
          <w:rFonts w:ascii="Times New Roman" w:eastAsia="Times New Roman" w:hAnsi="Times New Roman"/>
          <w:sz w:val="24"/>
          <w:szCs w:val="24"/>
        </w:rPr>
        <w:t>s, ka bez rakstiska darba līguma nav garantijas, ka darba devējs pil</w:t>
      </w:r>
      <w:r w:rsidR="006A5261">
        <w:rPr>
          <w:rFonts w:ascii="Times New Roman" w:eastAsia="Times New Roman" w:hAnsi="Times New Roman"/>
          <w:sz w:val="24"/>
          <w:szCs w:val="24"/>
        </w:rPr>
        <w:t>dīs solīto; 29% iedzīvotāju zināja</w:t>
      </w:r>
      <w:r>
        <w:rPr>
          <w:rFonts w:ascii="Times New Roman" w:eastAsia="Times New Roman" w:hAnsi="Times New Roman"/>
          <w:sz w:val="24"/>
          <w:szCs w:val="24"/>
        </w:rPr>
        <w:t xml:space="preserve"> kur un kā var pārbaudīt vai par darbinieku tiks maksāti nodokļi; 25% respondentu </w:t>
      </w:r>
      <w:r w:rsidR="006A5261">
        <w:rPr>
          <w:rFonts w:ascii="Times New Roman" w:eastAsia="Times New Roman" w:hAnsi="Times New Roman"/>
          <w:sz w:val="24"/>
          <w:szCs w:val="24"/>
        </w:rPr>
        <w:t>norādīja, ka ir</w:t>
      </w:r>
      <w:r>
        <w:rPr>
          <w:rFonts w:ascii="Times New Roman" w:eastAsia="Times New Roman" w:hAnsi="Times New Roman"/>
          <w:sz w:val="24"/>
          <w:szCs w:val="24"/>
        </w:rPr>
        <w:t xml:space="preserve"> svarīga darba devēja reputācija; 24% iedzīvotāju </w:t>
      </w:r>
      <w:r w:rsidR="006A5261">
        <w:rPr>
          <w:rFonts w:ascii="Times New Roman" w:eastAsia="Times New Roman" w:hAnsi="Times New Roman"/>
          <w:sz w:val="24"/>
          <w:szCs w:val="24"/>
        </w:rPr>
        <w:t xml:space="preserve">norādīja, ka </w:t>
      </w:r>
      <w:r>
        <w:rPr>
          <w:rFonts w:ascii="Times New Roman" w:eastAsia="Times New Roman" w:hAnsi="Times New Roman"/>
          <w:sz w:val="24"/>
          <w:szCs w:val="24"/>
        </w:rPr>
        <w:t>uzticas savam da</w:t>
      </w:r>
      <w:r w:rsidR="00230762">
        <w:rPr>
          <w:rFonts w:ascii="Times New Roman" w:eastAsia="Times New Roman" w:hAnsi="Times New Roman"/>
          <w:sz w:val="24"/>
          <w:szCs w:val="24"/>
        </w:rPr>
        <w:t>r</w:t>
      </w:r>
      <w:r>
        <w:rPr>
          <w:rFonts w:ascii="Times New Roman" w:eastAsia="Times New Roman" w:hAnsi="Times New Roman"/>
          <w:sz w:val="24"/>
          <w:szCs w:val="24"/>
        </w:rPr>
        <w:t xml:space="preserve">ba </w:t>
      </w:r>
      <w:r>
        <w:rPr>
          <w:rFonts w:ascii="Times New Roman" w:eastAsia="Times New Roman" w:hAnsi="Times New Roman"/>
          <w:sz w:val="24"/>
          <w:szCs w:val="24"/>
        </w:rPr>
        <w:lastRenderedPageBreak/>
        <w:t>devēja</w:t>
      </w:r>
      <w:r w:rsidR="006A5261">
        <w:rPr>
          <w:rFonts w:ascii="Times New Roman" w:eastAsia="Times New Roman" w:hAnsi="Times New Roman"/>
          <w:sz w:val="24"/>
          <w:szCs w:val="24"/>
        </w:rPr>
        <w:t>m un 24% respondentu atzīmēja, ka ir</w:t>
      </w:r>
      <w:r>
        <w:rPr>
          <w:rFonts w:ascii="Times New Roman" w:eastAsia="Times New Roman" w:hAnsi="Times New Roman"/>
          <w:sz w:val="24"/>
          <w:szCs w:val="24"/>
        </w:rPr>
        <w:t xml:space="preserve"> svarīgi, lai darba devējs apm</w:t>
      </w:r>
      <w:r w:rsidR="00900530">
        <w:rPr>
          <w:rFonts w:ascii="Times New Roman" w:eastAsia="Times New Roman" w:hAnsi="Times New Roman"/>
          <w:sz w:val="24"/>
          <w:szCs w:val="24"/>
        </w:rPr>
        <w:t>āca, kā droši veikt darbu u.c.</w:t>
      </w:r>
    </w:p>
    <w:p w14:paraId="2A6797C6" w14:textId="77777777" w:rsidR="00063645" w:rsidRPr="001B78A3" w:rsidRDefault="00063645" w:rsidP="00C43F4A">
      <w:pPr>
        <w:spacing w:before="120"/>
        <w:ind w:firstLine="357"/>
        <w:contextualSpacing/>
        <w:jc w:val="both"/>
      </w:pPr>
      <w:r w:rsidRPr="00ED4EA9">
        <w:rPr>
          <w:b/>
          <w:u w:val="single"/>
        </w:rPr>
        <w:t>Secinājumi</w:t>
      </w:r>
      <w:r w:rsidRPr="009F6046">
        <w:rPr>
          <w:b/>
          <w:u w:val="single"/>
        </w:rPr>
        <w:t>:</w:t>
      </w:r>
    </w:p>
    <w:p w14:paraId="63365873" w14:textId="77777777" w:rsidR="00063645" w:rsidRDefault="00063645" w:rsidP="00C43F4A">
      <w:pPr>
        <w:pStyle w:val="ListParagraph"/>
        <w:numPr>
          <w:ilvl w:val="0"/>
          <w:numId w:val="29"/>
        </w:numPr>
        <w:contextualSpacing/>
        <w:jc w:val="both"/>
        <w:rPr>
          <w:rFonts w:ascii="Times New Roman" w:eastAsia="Times New Roman" w:hAnsi="Times New Roman"/>
          <w:sz w:val="24"/>
          <w:szCs w:val="24"/>
        </w:rPr>
      </w:pPr>
      <w:r>
        <w:rPr>
          <w:rFonts w:ascii="Times New Roman" w:eastAsia="Times New Roman" w:hAnsi="Times New Roman"/>
          <w:sz w:val="24"/>
          <w:szCs w:val="24"/>
        </w:rPr>
        <w:t>2019.gadā kam</w:t>
      </w:r>
      <w:r w:rsidR="006A5261">
        <w:rPr>
          <w:rFonts w:ascii="Times New Roman" w:eastAsia="Times New Roman" w:hAnsi="Times New Roman"/>
          <w:sz w:val="24"/>
          <w:szCs w:val="24"/>
        </w:rPr>
        <w:t>paņas vēstījumu mērķauditorijā jāiekļauj</w:t>
      </w:r>
      <w:r>
        <w:rPr>
          <w:rFonts w:ascii="Times New Roman" w:eastAsia="Times New Roman" w:hAnsi="Times New Roman"/>
          <w:sz w:val="24"/>
          <w:szCs w:val="24"/>
        </w:rPr>
        <w:t xml:space="preserve"> vecuma grupu </w:t>
      </w:r>
      <w:r w:rsidR="006B5401">
        <w:rPr>
          <w:rFonts w:ascii="Times New Roman" w:eastAsia="Times New Roman" w:hAnsi="Times New Roman"/>
          <w:sz w:val="24"/>
          <w:szCs w:val="24"/>
        </w:rPr>
        <w:t xml:space="preserve">vismaz </w:t>
      </w:r>
      <w:r>
        <w:rPr>
          <w:rFonts w:ascii="Times New Roman" w:eastAsia="Times New Roman" w:hAnsi="Times New Roman"/>
          <w:sz w:val="24"/>
          <w:szCs w:val="24"/>
        </w:rPr>
        <w:t xml:space="preserve">no 25 līdz 34 gadiem. </w:t>
      </w:r>
    </w:p>
    <w:p w14:paraId="36EC2598" w14:textId="77777777" w:rsidR="00900530" w:rsidRPr="00C43F4A" w:rsidRDefault="00900530" w:rsidP="00C43F4A">
      <w:pPr>
        <w:pStyle w:val="ListParagraph"/>
        <w:numPr>
          <w:ilvl w:val="0"/>
          <w:numId w:val="29"/>
        </w:numPr>
        <w:contextualSpacing/>
        <w:jc w:val="both"/>
        <w:rPr>
          <w:rFonts w:ascii="Times New Roman" w:eastAsia="Times New Roman" w:hAnsi="Times New Roman"/>
          <w:sz w:val="24"/>
          <w:szCs w:val="24"/>
        </w:rPr>
      </w:pPr>
      <w:r w:rsidRPr="00C43F4A">
        <w:rPr>
          <w:rFonts w:ascii="Times New Roman" w:eastAsia="Times New Roman" w:hAnsi="Times New Roman"/>
          <w:sz w:val="24"/>
          <w:szCs w:val="24"/>
        </w:rPr>
        <w:t>2019.gadā</w:t>
      </w:r>
      <w:r w:rsidR="00C43F4A">
        <w:rPr>
          <w:rFonts w:ascii="Times New Roman" w:eastAsia="Times New Roman" w:hAnsi="Times New Roman"/>
          <w:sz w:val="24"/>
          <w:szCs w:val="24"/>
        </w:rPr>
        <w:t xml:space="preserve"> jāveic atkārtots pētījums iekļaujot jautājumus</w:t>
      </w:r>
      <w:r w:rsidRPr="00C43F4A">
        <w:rPr>
          <w:rFonts w:ascii="Times New Roman" w:eastAsia="Times New Roman" w:hAnsi="Times New Roman"/>
          <w:sz w:val="24"/>
          <w:szCs w:val="24"/>
        </w:rPr>
        <w:t xml:space="preserve">, kas saistīti ar uzskatiem par </w:t>
      </w:r>
      <w:r w:rsidR="00C43F4A">
        <w:rPr>
          <w:rFonts w:ascii="Times New Roman" w:eastAsia="Times New Roman" w:hAnsi="Times New Roman"/>
          <w:sz w:val="24"/>
          <w:szCs w:val="24"/>
        </w:rPr>
        <w:t>iecietību  pret dažādām negodīgām rīcībām</w:t>
      </w:r>
      <w:r w:rsidR="009417B0">
        <w:rPr>
          <w:rFonts w:ascii="Times New Roman" w:eastAsia="Times New Roman" w:hAnsi="Times New Roman"/>
          <w:sz w:val="24"/>
          <w:szCs w:val="24"/>
        </w:rPr>
        <w:t xml:space="preserve"> un ņ</w:t>
      </w:r>
      <w:r w:rsidRPr="00C43F4A">
        <w:rPr>
          <w:rFonts w:ascii="Times New Roman" w:eastAsia="Times New Roman" w:hAnsi="Times New Roman"/>
          <w:sz w:val="24"/>
          <w:szCs w:val="24"/>
        </w:rPr>
        <w:t>emot vērā</w:t>
      </w:r>
      <w:r w:rsidR="00C43F4A">
        <w:rPr>
          <w:rFonts w:ascii="Times New Roman" w:eastAsia="Times New Roman" w:hAnsi="Times New Roman"/>
          <w:sz w:val="24"/>
          <w:szCs w:val="24"/>
        </w:rPr>
        <w:t xml:space="preserve"> to</w:t>
      </w:r>
      <w:r w:rsidRPr="00C43F4A">
        <w:rPr>
          <w:rFonts w:ascii="Times New Roman" w:eastAsia="Times New Roman" w:hAnsi="Times New Roman"/>
          <w:sz w:val="24"/>
          <w:szCs w:val="24"/>
        </w:rPr>
        <w:t>, ka 2018.gada komunikācijas temats bija “Darba attiecību kultūra”</w:t>
      </w:r>
      <w:r w:rsidR="009417B0">
        <w:rPr>
          <w:rFonts w:ascii="Times New Roman" w:eastAsia="Times New Roman" w:hAnsi="Times New Roman"/>
          <w:sz w:val="24"/>
          <w:szCs w:val="24"/>
        </w:rPr>
        <w:t>, pētījuma laikā jāizvērtē</w:t>
      </w:r>
      <w:r w:rsidRPr="00C43F4A">
        <w:rPr>
          <w:rFonts w:ascii="Times New Roman" w:eastAsia="Times New Roman" w:hAnsi="Times New Roman"/>
          <w:sz w:val="24"/>
          <w:szCs w:val="24"/>
        </w:rPr>
        <w:t xml:space="preserve"> vai un kā sabiedrība ir mainījusi </w:t>
      </w:r>
      <w:r w:rsidR="009417B0">
        <w:rPr>
          <w:rFonts w:ascii="Times New Roman" w:eastAsia="Times New Roman" w:hAnsi="Times New Roman"/>
          <w:sz w:val="24"/>
          <w:szCs w:val="24"/>
        </w:rPr>
        <w:t xml:space="preserve">savu attieksmi pret šiem jautājumiem. </w:t>
      </w:r>
    </w:p>
    <w:p w14:paraId="521F40F1" w14:textId="1F5857B8" w:rsidR="00063645" w:rsidRDefault="00063645" w:rsidP="006D0F8D">
      <w:pPr>
        <w:contextualSpacing/>
        <w:jc w:val="both"/>
        <w:rPr>
          <w:highlight w:val="yellow"/>
        </w:rPr>
      </w:pPr>
    </w:p>
    <w:p w14:paraId="140B3093" w14:textId="77777777" w:rsidR="00063645" w:rsidRPr="001B78A3" w:rsidRDefault="00063645" w:rsidP="00C43F4A">
      <w:pPr>
        <w:ind w:firstLine="360"/>
        <w:contextualSpacing/>
        <w:jc w:val="both"/>
      </w:pPr>
      <w:r>
        <w:t>V</w:t>
      </w:r>
      <w:r w:rsidR="00900530">
        <w:t>isi pētījumu rezu</w:t>
      </w:r>
      <w:r w:rsidR="009417B0">
        <w:t>ltātā iegūtie dati un izdarītie</w:t>
      </w:r>
      <w:r>
        <w:t xml:space="preserve"> s</w:t>
      </w:r>
      <w:r w:rsidRPr="00706C4D">
        <w:t>ecinājum</w:t>
      </w:r>
      <w:r w:rsidR="00900530">
        <w:t>i</w:t>
      </w:r>
      <w:r w:rsidRPr="00706C4D">
        <w:t xml:space="preserve">, </w:t>
      </w:r>
      <w:r w:rsidR="009417B0">
        <w:t>tiek</w:t>
      </w:r>
      <w:r w:rsidR="00900530">
        <w:t xml:space="preserve"> </w:t>
      </w:r>
      <w:r>
        <w:t>izmantot</w:t>
      </w:r>
      <w:r w:rsidR="00900530">
        <w:t>i</w:t>
      </w:r>
      <w:r w:rsidRPr="00706C4D">
        <w:t xml:space="preserve"> </w:t>
      </w:r>
      <w:r w:rsidR="009417B0">
        <w:t xml:space="preserve">sociāli informatīvās kampaņas </w:t>
      </w:r>
      <w:proofErr w:type="spellStart"/>
      <w:r w:rsidR="009417B0">
        <w:t>P</w:t>
      </w:r>
      <w:r w:rsidRPr="00706C4D">
        <w:t>retkrāpšanas</w:t>
      </w:r>
      <w:proofErr w:type="spellEnd"/>
      <w:r w:rsidRPr="00706C4D">
        <w:t xml:space="preserve"> kustības #Atkrāpies! vēstījumu izveidē un informācijas analīzes procesā, lai mainītu sabiedrības attieksmi pret krāpšanu un negodīgu rīcību. </w:t>
      </w:r>
      <w:r w:rsidR="009417B0">
        <w:t>Veiktie pētījumi ir publiski pieejami</w:t>
      </w:r>
      <w:r>
        <w:rPr>
          <w:rStyle w:val="FootnoteReference"/>
        </w:rPr>
        <w:footnoteReference w:id="24"/>
      </w:r>
      <w:r>
        <w:t xml:space="preserve">. </w:t>
      </w:r>
      <w:r w:rsidR="009417B0">
        <w:t>Iegūtie dati</w:t>
      </w:r>
      <w:r w:rsidRPr="00706C4D">
        <w:t xml:space="preserve"> arī turpmāk</w:t>
      </w:r>
      <w:r w:rsidR="009417B0">
        <w:t xml:space="preserve"> tiks</w:t>
      </w:r>
      <w:r w:rsidRPr="00706C4D">
        <w:t xml:space="preserve"> izmantoti </w:t>
      </w:r>
      <w:r w:rsidR="009417B0">
        <w:t xml:space="preserve">FM </w:t>
      </w:r>
      <w:r w:rsidRPr="00706C4D">
        <w:t>AFCOS komunikācijas veidošanā, lai nepieciešamības  gadījumā vērstu uzmanību</w:t>
      </w:r>
      <w:r w:rsidR="009417B0">
        <w:t xml:space="preserve"> uz</w:t>
      </w:r>
      <w:r w:rsidRPr="00706C4D">
        <w:t xml:space="preserve"> aktuālākajiem tematiem krāpšanas apkarošanas jomā.</w:t>
      </w:r>
    </w:p>
    <w:p w14:paraId="0C5334C6" w14:textId="77777777" w:rsidR="00063645" w:rsidRPr="001B78A3" w:rsidRDefault="00063645" w:rsidP="00C43F4A">
      <w:pPr>
        <w:ind w:firstLine="360"/>
        <w:contextualSpacing/>
        <w:jc w:val="both"/>
      </w:pPr>
    </w:p>
    <w:p w14:paraId="6F1C3A56" w14:textId="77777777" w:rsidR="00A2268A" w:rsidRPr="00063645" w:rsidRDefault="00063645" w:rsidP="003201E1">
      <w:pPr>
        <w:widowControl w:val="0"/>
        <w:autoSpaceDE w:val="0"/>
        <w:autoSpaceDN w:val="0"/>
        <w:adjustRightInd w:val="0"/>
        <w:spacing w:after="120"/>
        <w:contextualSpacing/>
        <w:jc w:val="both"/>
        <w:rPr>
          <w:bCs/>
        </w:rPr>
      </w:pPr>
      <w:r w:rsidRPr="001B78A3">
        <w:rPr>
          <w:b/>
          <w:bCs/>
        </w:rPr>
        <w:t xml:space="preserve">Izpildes statuss: Pasākums Nr. 3 – tiek pildīts atbilstoši AFCOS darbības stratēģijā un pasākumā plānā paredzētajam. </w:t>
      </w:r>
    </w:p>
    <w:p w14:paraId="28F6EE1A" w14:textId="77777777" w:rsidR="00D04F77" w:rsidRDefault="00D04F77" w:rsidP="002C456B">
      <w:pPr>
        <w:shd w:val="clear" w:color="auto" w:fill="FFFFFF" w:themeFill="background1"/>
        <w:spacing w:after="240"/>
        <w:contextualSpacing/>
        <w:jc w:val="both"/>
        <w:rPr>
          <w:bCs/>
        </w:rPr>
      </w:pPr>
    </w:p>
    <w:p w14:paraId="241934D6" w14:textId="77777777" w:rsidR="00C563CA" w:rsidRDefault="00C563CA" w:rsidP="00C37FD4">
      <w:pPr>
        <w:spacing w:after="240"/>
        <w:contextualSpacing/>
        <w:jc w:val="both"/>
        <w:rPr>
          <w:bCs/>
        </w:rPr>
      </w:pPr>
    </w:p>
    <w:p w14:paraId="760CC3F7" w14:textId="77777777" w:rsidR="00044B3A" w:rsidRDefault="00044B3A" w:rsidP="00C37FD4">
      <w:pPr>
        <w:spacing w:after="240"/>
        <w:contextualSpacing/>
        <w:jc w:val="both"/>
        <w:rPr>
          <w:bCs/>
        </w:rPr>
      </w:pPr>
    </w:p>
    <w:p w14:paraId="62C6CCD8" w14:textId="77777777" w:rsidR="00960D5F" w:rsidRDefault="00960D5F" w:rsidP="006A5261">
      <w:pPr>
        <w:rPr>
          <w:bCs/>
        </w:rPr>
      </w:pPr>
    </w:p>
    <w:p w14:paraId="7FAD6CE1" w14:textId="77777777" w:rsidR="006A5261" w:rsidRDefault="006A5261" w:rsidP="006A5261">
      <w:pPr>
        <w:rPr>
          <w:b/>
          <w:bCs/>
          <w:color w:val="FF0000"/>
          <w:highlight w:val="yellow"/>
        </w:rPr>
      </w:pPr>
    </w:p>
    <w:p w14:paraId="3B3701F4" w14:textId="77777777" w:rsidR="00313B5B" w:rsidRDefault="00313B5B" w:rsidP="006A5261">
      <w:pPr>
        <w:rPr>
          <w:b/>
          <w:bCs/>
          <w:color w:val="FF0000"/>
          <w:highlight w:val="yellow"/>
        </w:rPr>
      </w:pPr>
    </w:p>
    <w:p w14:paraId="4852BE30" w14:textId="77777777" w:rsidR="00313B5B" w:rsidRDefault="00313B5B" w:rsidP="006A5261">
      <w:pPr>
        <w:rPr>
          <w:b/>
          <w:bCs/>
          <w:color w:val="FF0000"/>
          <w:highlight w:val="yellow"/>
        </w:rPr>
      </w:pPr>
    </w:p>
    <w:p w14:paraId="29571B65" w14:textId="77777777" w:rsidR="00313B5B" w:rsidRDefault="00313B5B" w:rsidP="006A5261">
      <w:pPr>
        <w:rPr>
          <w:b/>
          <w:bCs/>
          <w:color w:val="FF0000"/>
          <w:highlight w:val="yellow"/>
        </w:rPr>
      </w:pPr>
    </w:p>
    <w:p w14:paraId="0DC2B102" w14:textId="77777777" w:rsidR="00313B5B" w:rsidRDefault="00313B5B" w:rsidP="006A5261">
      <w:pPr>
        <w:rPr>
          <w:b/>
          <w:bCs/>
          <w:color w:val="FF0000"/>
          <w:highlight w:val="yellow"/>
        </w:rPr>
      </w:pPr>
    </w:p>
    <w:p w14:paraId="010D5FDD" w14:textId="77777777" w:rsidR="00313B5B" w:rsidRDefault="00313B5B" w:rsidP="006A5261">
      <w:pPr>
        <w:rPr>
          <w:b/>
          <w:bCs/>
          <w:color w:val="FF0000"/>
          <w:highlight w:val="yellow"/>
        </w:rPr>
      </w:pPr>
    </w:p>
    <w:p w14:paraId="7923555B" w14:textId="77777777" w:rsidR="00313B5B" w:rsidRDefault="00313B5B" w:rsidP="006A5261">
      <w:pPr>
        <w:rPr>
          <w:b/>
          <w:bCs/>
          <w:color w:val="FF0000"/>
          <w:highlight w:val="yellow"/>
        </w:rPr>
      </w:pPr>
    </w:p>
    <w:p w14:paraId="5B8E8D7A" w14:textId="77777777" w:rsidR="00313B5B" w:rsidRDefault="00313B5B" w:rsidP="006A5261">
      <w:pPr>
        <w:rPr>
          <w:b/>
          <w:bCs/>
          <w:color w:val="FF0000"/>
          <w:highlight w:val="yellow"/>
        </w:rPr>
      </w:pPr>
    </w:p>
    <w:p w14:paraId="06D66BA6" w14:textId="77777777" w:rsidR="00313B5B" w:rsidRDefault="00313B5B" w:rsidP="006A5261">
      <w:pPr>
        <w:rPr>
          <w:b/>
          <w:bCs/>
          <w:color w:val="FF0000"/>
          <w:highlight w:val="yellow"/>
        </w:rPr>
      </w:pPr>
    </w:p>
    <w:p w14:paraId="6AEC691D" w14:textId="77777777" w:rsidR="00313B5B" w:rsidRDefault="00313B5B" w:rsidP="006A5261">
      <w:pPr>
        <w:rPr>
          <w:b/>
          <w:bCs/>
          <w:color w:val="FF0000"/>
          <w:highlight w:val="yellow"/>
        </w:rPr>
      </w:pPr>
    </w:p>
    <w:p w14:paraId="0A896504" w14:textId="77777777" w:rsidR="00313B5B" w:rsidRDefault="00313B5B" w:rsidP="006A5261">
      <w:pPr>
        <w:rPr>
          <w:b/>
          <w:bCs/>
          <w:color w:val="FF0000"/>
          <w:highlight w:val="yellow"/>
        </w:rPr>
      </w:pPr>
    </w:p>
    <w:p w14:paraId="53F4F815" w14:textId="77777777" w:rsidR="00313B5B" w:rsidRDefault="00313B5B" w:rsidP="006A5261">
      <w:pPr>
        <w:rPr>
          <w:b/>
          <w:bCs/>
          <w:color w:val="FF0000"/>
          <w:highlight w:val="yellow"/>
        </w:rPr>
      </w:pPr>
    </w:p>
    <w:p w14:paraId="77DE2F38" w14:textId="77777777" w:rsidR="00313B5B" w:rsidRDefault="00313B5B" w:rsidP="006A5261">
      <w:pPr>
        <w:rPr>
          <w:b/>
          <w:bCs/>
          <w:color w:val="FF0000"/>
          <w:highlight w:val="yellow"/>
        </w:rPr>
      </w:pPr>
    </w:p>
    <w:p w14:paraId="21C65F45" w14:textId="77777777" w:rsidR="00313B5B" w:rsidRDefault="00313B5B" w:rsidP="006A5261">
      <w:pPr>
        <w:rPr>
          <w:b/>
          <w:bCs/>
          <w:color w:val="FF0000"/>
          <w:highlight w:val="yellow"/>
        </w:rPr>
      </w:pPr>
    </w:p>
    <w:p w14:paraId="3133EFCD" w14:textId="010FF356" w:rsidR="00900530" w:rsidRDefault="00900530" w:rsidP="006A5261">
      <w:pPr>
        <w:rPr>
          <w:b/>
          <w:bCs/>
          <w:color w:val="FF0000"/>
          <w:highlight w:val="yellow"/>
        </w:rPr>
      </w:pPr>
    </w:p>
    <w:p w14:paraId="5BF6E2A9" w14:textId="43F8F1CE" w:rsidR="004625BB" w:rsidRDefault="004625BB" w:rsidP="006A5261">
      <w:pPr>
        <w:rPr>
          <w:b/>
          <w:bCs/>
          <w:color w:val="FF0000"/>
          <w:highlight w:val="yellow"/>
        </w:rPr>
      </w:pPr>
    </w:p>
    <w:p w14:paraId="40615350" w14:textId="04C3EA06" w:rsidR="004625BB" w:rsidRDefault="004625BB" w:rsidP="006A5261">
      <w:pPr>
        <w:rPr>
          <w:b/>
          <w:bCs/>
          <w:color w:val="FF0000"/>
          <w:highlight w:val="yellow"/>
        </w:rPr>
      </w:pPr>
    </w:p>
    <w:p w14:paraId="6AF58D6B" w14:textId="7956C74F" w:rsidR="006D0F8D" w:rsidRDefault="006D0F8D" w:rsidP="006A5261">
      <w:pPr>
        <w:rPr>
          <w:b/>
          <w:bCs/>
          <w:color w:val="FF0000"/>
          <w:highlight w:val="yellow"/>
        </w:rPr>
      </w:pPr>
    </w:p>
    <w:p w14:paraId="11291E4F" w14:textId="493CF563" w:rsidR="006D0F8D" w:rsidRDefault="006D0F8D" w:rsidP="006A5261">
      <w:pPr>
        <w:rPr>
          <w:b/>
          <w:bCs/>
          <w:color w:val="FF0000"/>
          <w:highlight w:val="yellow"/>
        </w:rPr>
      </w:pPr>
    </w:p>
    <w:p w14:paraId="429EAF9B" w14:textId="07BCBD37" w:rsidR="006D0F8D" w:rsidRDefault="006D0F8D" w:rsidP="006A5261">
      <w:pPr>
        <w:rPr>
          <w:b/>
          <w:bCs/>
          <w:color w:val="FF0000"/>
          <w:highlight w:val="yellow"/>
        </w:rPr>
      </w:pPr>
    </w:p>
    <w:p w14:paraId="6EB3A9E4" w14:textId="738DAA9E" w:rsidR="006D0F8D" w:rsidRDefault="006D0F8D" w:rsidP="006A5261">
      <w:pPr>
        <w:rPr>
          <w:b/>
          <w:bCs/>
          <w:color w:val="FF0000"/>
          <w:highlight w:val="yellow"/>
        </w:rPr>
      </w:pPr>
    </w:p>
    <w:p w14:paraId="1CD7583A" w14:textId="056EAB23" w:rsidR="006D0F8D" w:rsidRDefault="006D0F8D" w:rsidP="006A5261">
      <w:pPr>
        <w:rPr>
          <w:b/>
          <w:bCs/>
          <w:color w:val="FF0000"/>
          <w:highlight w:val="yellow"/>
        </w:rPr>
      </w:pPr>
    </w:p>
    <w:p w14:paraId="01A82114" w14:textId="35216050" w:rsidR="006D0F8D" w:rsidRDefault="006D0F8D" w:rsidP="006A5261">
      <w:pPr>
        <w:rPr>
          <w:b/>
          <w:bCs/>
          <w:color w:val="FF0000"/>
          <w:highlight w:val="yellow"/>
        </w:rPr>
      </w:pPr>
    </w:p>
    <w:p w14:paraId="5C78B6AD" w14:textId="26297E18" w:rsidR="006D0F8D" w:rsidRDefault="006D0F8D" w:rsidP="006A5261">
      <w:pPr>
        <w:rPr>
          <w:b/>
          <w:bCs/>
          <w:color w:val="FF0000"/>
          <w:highlight w:val="yellow"/>
        </w:rPr>
      </w:pPr>
    </w:p>
    <w:p w14:paraId="20D72B5F" w14:textId="678AE932" w:rsidR="006D0F8D" w:rsidRDefault="006D0F8D" w:rsidP="006A5261">
      <w:pPr>
        <w:rPr>
          <w:b/>
          <w:bCs/>
          <w:color w:val="FF0000"/>
          <w:highlight w:val="yellow"/>
        </w:rPr>
      </w:pPr>
    </w:p>
    <w:p w14:paraId="5721017F" w14:textId="77777777" w:rsidR="006D0F8D" w:rsidRDefault="006D0F8D" w:rsidP="006A5261">
      <w:pPr>
        <w:rPr>
          <w:b/>
          <w:bCs/>
          <w:color w:val="FF0000"/>
          <w:highlight w:val="yellow"/>
        </w:rPr>
      </w:pPr>
    </w:p>
    <w:p w14:paraId="6E73A946" w14:textId="77777777" w:rsidR="003201E1" w:rsidRDefault="003201E1" w:rsidP="006A5261">
      <w:pPr>
        <w:rPr>
          <w:b/>
          <w:bCs/>
          <w:color w:val="FF0000"/>
          <w:highlight w:val="yellow"/>
        </w:rPr>
      </w:pPr>
    </w:p>
    <w:p w14:paraId="30835DBF" w14:textId="77777777" w:rsidR="00044B3A" w:rsidRPr="00C62585" w:rsidRDefault="00D9544D" w:rsidP="00E645C8">
      <w:pPr>
        <w:widowControl w:val="0"/>
        <w:autoSpaceDE w:val="0"/>
        <w:autoSpaceDN w:val="0"/>
        <w:adjustRightInd w:val="0"/>
        <w:spacing w:after="240"/>
        <w:contextualSpacing/>
        <w:jc w:val="center"/>
        <w:rPr>
          <w:b/>
          <w:sz w:val="32"/>
          <w:szCs w:val="32"/>
        </w:rPr>
      </w:pPr>
      <w:r w:rsidRPr="00C62585">
        <w:rPr>
          <w:b/>
          <w:bCs/>
          <w:sz w:val="32"/>
          <w:szCs w:val="32"/>
        </w:rPr>
        <w:lastRenderedPageBreak/>
        <w:t>B</w:t>
      </w:r>
      <w:r w:rsidRPr="00C62585">
        <w:rPr>
          <w:b/>
          <w:bCs/>
          <w:color w:val="FF0000"/>
        </w:rPr>
        <w:t xml:space="preserve"> </w:t>
      </w:r>
      <w:r w:rsidR="00044B3A" w:rsidRPr="00C62585">
        <w:rPr>
          <w:b/>
          <w:sz w:val="32"/>
          <w:szCs w:val="32"/>
        </w:rPr>
        <w:t>DAĻA</w:t>
      </w:r>
    </w:p>
    <w:p w14:paraId="3AB02CCC" w14:textId="77777777" w:rsidR="00EA47D6" w:rsidRPr="00E645C8" w:rsidRDefault="00595733" w:rsidP="00E645C8">
      <w:pPr>
        <w:spacing w:after="240"/>
        <w:contextualSpacing/>
        <w:jc w:val="center"/>
        <w:rPr>
          <w:b/>
          <w:bCs/>
          <w:sz w:val="28"/>
        </w:rPr>
      </w:pPr>
      <w:r w:rsidRPr="00E645C8">
        <w:rPr>
          <w:b/>
          <w:bCs/>
          <w:sz w:val="28"/>
        </w:rPr>
        <w:t xml:space="preserve">BŪTISKĀKIE PLĀNOTIE </w:t>
      </w:r>
      <w:r w:rsidR="00B12F42">
        <w:rPr>
          <w:b/>
          <w:bCs/>
          <w:sz w:val="28"/>
        </w:rPr>
        <w:t xml:space="preserve">AFCOS </w:t>
      </w:r>
      <w:r w:rsidRPr="00E645C8">
        <w:rPr>
          <w:b/>
          <w:bCs/>
          <w:sz w:val="28"/>
        </w:rPr>
        <w:t>PASĀKUMI 201</w:t>
      </w:r>
      <w:r w:rsidR="00A74727" w:rsidRPr="00E645C8">
        <w:rPr>
          <w:b/>
          <w:bCs/>
          <w:sz w:val="28"/>
        </w:rPr>
        <w:t>9</w:t>
      </w:r>
      <w:r w:rsidRPr="00E645C8">
        <w:rPr>
          <w:b/>
          <w:bCs/>
          <w:sz w:val="28"/>
        </w:rPr>
        <w:t>. GADĀ</w:t>
      </w:r>
    </w:p>
    <w:p w14:paraId="13B361BB" w14:textId="68938DA9" w:rsidR="00595733" w:rsidRPr="00E54E87" w:rsidRDefault="00B852AE" w:rsidP="00E645C8">
      <w:pPr>
        <w:spacing w:before="240" w:after="240"/>
        <w:ind w:firstLine="851"/>
        <w:jc w:val="right"/>
        <w:rPr>
          <w:bCs/>
          <w:i/>
        </w:rPr>
      </w:pPr>
      <w:r>
        <w:rPr>
          <w:bCs/>
          <w:i/>
        </w:rPr>
        <w:t>1</w:t>
      </w:r>
      <w:r w:rsidR="00595733" w:rsidRPr="00E54E87">
        <w:rPr>
          <w:bCs/>
          <w:i/>
        </w:rPr>
        <w:t>.tabula: Būtiskākie plānotie pasākumi 201</w:t>
      </w:r>
      <w:r w:rsidR="00960D5F">
        <w:rPr>
          <w:bCs/>
          <w:i/>
        </w:rPr>
        <w:t>9</w:t>
      </w:r>
      <w:r w:rsidR="00595733" w:rsidRPr="00E54E87">
        <w:rPr>
          <w:bCs/>
          <w:i/>
        </w:rPr>
        <w:t>. gadā</w:t>
      </w:r>
    </w:p>
    <w:tbl>
      <w:tblPr>
        <w:tblStyle w:val="TableGrid"/>
        <w:tblW w:w="9498" w:type="dxa"/>
        <w:tblInd w:w="-431" w:type="dxa"/>
        <w:tblLook w:val="04A0" w:firstRow="1" w:lastRow="0" w:firstColumn="1" w:lastColumn="0" w:noHBand="0" w:noVBand="1"/>
      </w:tblPr>
      <w:tblGrid>
        <w:gridCol w:w="603"/>
        <w:gridCol w:w="2996"/>
        <w:gridCol w:w="5899"/>
      </w:tblGrid>
      <w:tr w:rsidR="000E4A3C" w:rsidRPr="00B853FA" w14:paraId="7E591D74" w14:textId="77777777" w:rsidTr="000F39F1">
        <w:trPr>
          <w:trHeight w:val="623"/>
        </w:trPr>
        <w:tc>
          <w:tcPr>
            <w:tcW w:w="603" w:type="dxa"/>
            <w:shd w:val="clear" w:color="auto" w:fill="F2F2F2" w:themeFill="background1" w:themeFillShade="F2"/>
          </w:tcPr>
          <w:p w14:paraId="63B911AE" w14:textId="77777777" w:rsidR="000E4A3C" w:rsidRPr="00B853FA" w:rsidRDefault="000E4A3C" w:rsidP="00E645C8">
            <w:pPr>
              <w:spacing w:before="240" w:after="240"/>
              <w:jc w:val="both"/>
              <w:rPr>
                <w:b/>
                <w:bCs/>
                <w:sz w:val="24"/>
              </w:rPr>
            </w:pPr>
            <w:r w:rsidRPr="00B853FA">
              <w:rPr>
                <w:b/>
                <w:bCs/>
                <w:sz w:val="24"/>
              </w:rPr>
              <w:t>Nr. p.k.</w:t>
            </w:r>
          </w:p>
        </w:tc>
        <w:tc>
          <w:tcPr>
            <w:tcW w:w="2996" w:type="dxa"/>
            <w:shd w:val="clear" w:color="auto" w:fill="F2F2F2" w:themeFill="background1" w:themeFillShade="F2"/>
          </w:tcPr>
          <w:p w14:paraId="4DE83CBE" w14:textId="77777777" w:rsidR="000E4A3C" w:rsidRPr="00B853FA" w:rsidRDefault="00F714DC" w:rsidP="00E645C8">
            <w:pPr>
              <w:spacing w:before="240" w:after="240"/>
              <w:jc w:val="center"/>
              <w:rPr>
                <w:b/>
                <w:bCs/>
                <w:sz w:val="24"/>
              </w:rPr>
            </w:pPr>
            <w:r w:rsidRPr="00B853FA">
              <w:rPr>
                <w:b/>
                <w:bCs/>
                <w:sz w:val="24"/>
              </w:rPr>
              <w:t>Plānotā darbība</w:t>
            </w:r>
          </w:p>
        </w:tc>
        <w:tc>
          <w:tcPr>
            <w:tcW w:w="5899" w:type="dxa"/>
            <w:shd w:val="clear" w:color="auto" w:fill="F2F2F2" w:themeFill="background1" w:themeFillShade="F2"/>
          </w:tcPr>
          <w:p w14:paraId="616F1A84" w14:textId="77777777" w:rsidR="000E4A3C" w:rsidRPr="00B853FA" w:rsidRDefault="000E4A3C" w:rsidP="00E645C8">
            <w:pPr>
              <w:spacing w:before="240" w:after="240"/>
              <w:ind w:firstLine="851"/>
              <w:jc w:val="both"/>
              <w:rPr>
                <w:b/>
                <w:bCs/>
                <w:sz w:val="24"/>
              </w:rPr>
            </w:pPr>
            <w:r w:rsidRPr="00B853FA">
              <w:rPr>
                <w:b/>
                <w:bCs/>
                <w:sz w:val="24"/>
              </w:rPr>
              <w:t>Apraksts par plānotajām darbībām</w:t>
            </w:r>
          </w:p>
        </w:tc>
      </w:tr>
      <w:tr w:rsidR="00057757" w:rsidRPr="00B853FA" w14:paraId="3E2A6313" w14:textId="77777777" w:rsidTr="006C4962">
        <w:tc>
          <w:tcPr>
            <w:tcW w:w="603" w:type="dxa"/>
          </w:tcPr>
          <w:p w14:paraId="56280FEB" w14:textId="77777777" w:rsidR="00EB3E63" w:rsidRPr="00EB3E63" w:rsidRDefault="00EB3E63" w:rsidP="00EB3E63">
            <w:pPr>
              <w:spacing w:before="240" w:after="240"/>
              <w:contextualSpacing/>
              <w:rPr>
                <w:b/>
                <w:bCs/>
              </w:rPr>
            </w:pPr>
          </w:p>
          <w:p w14:paraId="18F8D757" w14:textId="77777777" w:rsidR="00EB3E63" w:rsidRPr="00EB3E63" w:rsidRDefault="00EB3E63" w:rsidP="00EB3E63">
            <w:pPr>
              <w:spacing w:before="240" w:after="240"/>
              <w:contextualSpacing/>
              <w:rPr>
                <w:b/>
                <w:bCs/>
              </w:rPr>
            </w:pPr>
          </w:p>
          <w:p w14:paraId="1CF7179A" w14:textId="77777777" w:rsidR="00EB3E63" w:rsidRPr="00EB3E63" w:rsidRDefault="00EB3E63" w:rsidP="00EB3E63">
            <w:pPr>
              <w:spacing w:before="240" w:after="240"/>
              <w:contextualSpacing/>
              <w:rPr>
                <w:b/>
                <w:bCs/>
              </w:rPr>
            </w:pPr>
          </w:p>
          <w:p w14:paraId="78FFF4EE" w14:textId="77777777" w:rsidR="00EB3E63" w:rsidRPr="00EB3E63" w:rsidRDefault="00EB3E63" w:rsidP="00EB3E63">
            <w:pPr>
              <w:spacing w:before="240" w:after="240"/>
              <w:contextualSpacing/>
              <w:rPr>
                <w:b/>
                <w:bCs/>
              </w:rPr>
            </w:pPr>
          </w:p>
          <w:p w14:paraId="3A7D0D51" w14:textId="77777777" w:rsidR="00EB3E63" w:rsidRPr="00EB3E63" w:rsidRDefault="00EB3E63" w:rsidP="00EB3E63">
            <w:pPr>
              <w:spacing w:before="240" w:after="240"/>
              <w:contextualSpacing/>
              <w:rPr>
                <w:b/>
                <w:bCs/>
              </w:rPr>
            </w:pPr>
          </w:p>
          <w:p w14:paraId="017513C8" w14:textId="77777777" w:rsidR="00EB3E63" w:rsidRPr="00EB3E63" w:rsidRDefault="00EB3E63" w:rsidP="00EB3E63">
            <w:pPr>
              <w:spacing w:before="240" w:after="240"/>
              <w:contextualSpacing/>
              <w:rPr>
                <w:b/>
                <w:bCs/>
              </w:rPr>
            </w:pPr>
          </w:p>
          <w:p w14:paraId="3BCBF3BC" w14:textId="6AFEA8BD" w:rsidR="00057757" w:rsidRPr="00EB3E63" w:rsidRDefault="00057757" w:rsidP="00EB3E63">
            <w:pPr>
              <w:spacing w:before="240" w:after="240"/>
              <w:contextualSpacing/>
              <w:rPr>
                <w:b/>
                <w:bCs/>
              </w:rPr>
            </w:pPr>
            <w:r w:rsidRPr="00EB3E63">
              <w:rPr>
                <w:b/>
                <w:bCs/>
              </w:rPr>
              <w:t>1.</w:t>
            </w:r>
          </w:p>
        </w:tc>
        <w:tc>
          <w:tcPr>
            <w:tcW w:w="2996" w:type="dxa"/>
          </w:tcPr>
          <w:p w14:paraId="1A52523C" w14:textId="279D7D2C" w:rsidR="00057757" w:rsidRPr="00EB3E63" w:rsidRDefault="00057757" w:rsidP="006C4962">
            <w:pPr>
              <w:spacing w:before="240" w:after="240"/>
              <w:jc w:val="both"/>
              <w:rPr>
                <w:b/>
                <w:bCs/>
              </w:rPr>
            </w:pPr>
          </w:p>
          <w:p w14:paraId="5FD7B9B4" w14:textId="77777777" w:rsidR="00EB3E63" w:rsidRPr="00EB3E63" w:rsidRDefault="00EB3E63" w:rsidP="006C4962">
            <w:pPr>
              <w:spacing w:before="240" w:after="240"/>
              <w:jc w:val="both"/>
              <w:rPr>
                <w:b/>
                <w:bCs/>
              </w:rPr>
            </w:pPr>
          </w:p>
          <w:p w14:paraId="63298097" w14:textId="77777777" w:rsidR="00057757" w:rsidRPr="00EB3E63" w:rsidRDefault="00057757" w:rsidP="006C4962">
            <w:pPr>
              <w:spacing w:before="240" w:after="240"/>
              <w:jc w:val="both"/>
              <w:rPr>
                <w:bCs/>
              </w:rPr>
            </w:pPr>
            <w:r w:rsidRPr="00EB3E63">
              <w:rPr>
                <w:b/>
                <w:bCs/>
              </w:rPr>
              <w:t>Jauna normatīvā akta izstrāde</w:t>
            </w:r>
            <w:r w:rsidRPr="00EB3E63">
              <w:rPr>
                <w:bCs/>
              </w:rPr>
              <w:t>, lai nodrošinātu Regulā 883/2013 ietverto pienākumu  izpildi</w:t>
            </w:r>
          </w:p>
        </w:tc>
        <w:tc>
          <w:tcPr>
            <w:tcW w:w="5899" w:type="dxa"/>
          </w:tcPr>
          <w:p w14:paraId="4A3714EB" w14:textId="77777777" w:rsidR="00057757" w:rsidRPr="00EB3E63" w:rsidRDefault="00057757" w:rsidP="006C4962">
            <w:pPr>
              <w:spacing w:before="240" w:after="240"/>
              <w:jc w:val="both"/>
              <w:rPr>
                <w:bCs/>
                <w:sz w:val="24"/>
              </w:rPr>
            </w:pPr>
            <w:r w:rsidRPr="00EB3E63">
              <w:rPr>
                <w:bCs/>
                <w:sz w:val="24"/>
              </w:rPr>
              <w:t>2018. gada 31. oktobra AFCOS padomes sēdē tika pieņemts lēmums, ka pilnvērtīgai un efektīvai Regulā 883/2013 ietverto pienākumu nodrošināšanai nepieciešams izstrādāt jaunu normatīvo aktu – Regulas 883/2013 atbalsta likumu. Ņemot vērā to, ka Eiropas Padome šobrīd izskata Regulas 883/2013 grozījumu projektu, jauna normatīvā akta izstrāde jāsaskaņo ar Regulas grozījumu spēkā stāšanās brīdi, kas provizoriski varētu būt 2020. gads. Papildus tam normatīvā akta izstrādes gaitā jāņem vērā arī Regulā 2185/96</w:t>
            </w:r>
            <w:r w:rsidRPr="00EB3E63">
              <w:rPr>
                <w:rStyle w:val="FootnoteReference"/>
                <w:bCs/>
                <w:sz w:val="24"/>
              </w:rPr>
              <w:footnoteReference w:id="25"/>
            </w:r>
            <w:r w:rsidRPr="00EB3E63">
              <w:rPr>
                <w:bCs/>
                <w:sz w:val="24"/>
              </w:rPr>
              <w:t xml:space="preserve"> noteiktās prasības. Lai nodrošinātu savlaicīgu normatīvā akta izstrādes gaitu, 2019. gadā būtu jāuzsāk darbs pie tā  izstrādes. FM ieskatā par atbildīgo institūciju minētā normatīvā akta izstrādē būtu jānosaka TM. (Skatīt arī A.1.3.)</w:t>
            </w:r>
          </w:p>
        </w:tc>
      </w:tr>
      <w:tr w:rsidR="000E4A3C" w:rsidRPr="00B853FA" w14:paraId="526C0E66" w14:textId="77777777" w:rsidTr="000F39F1">
        <w:tc>
          <w:tcPr>
            <w:tcW w:w="603" w:type="dxa"/>
          </w:tcPr>
          <w:p w14:paraId="78A86C61" w14:textId="77777777" w:rsidR="00EB3E63" w:rsidRPr="00EB3E63" w:rsidRDefault="00EB3E63" w:rsidP="00EB3E63">
            <w:pPr>
              <w:spacing w:before="240" w:after="240"/>
              <w:ind w:left="118" w:hanging="84"/>
              <w:contextualSpacing/>
              <w:jc w:val="center"/>
              <w:rPr>
                <w:b/>
                <w:bCs/>
              </w:rPr>
            </w:pPr>
          </w:p>
          <w:p w14:paraId="7B4B6333" w14:textId="77777777" w:rsidR="00EB3E63" w:rsidRPr="00EB3E63" w:rsidRDefault="00EB3E63" w:rsidP="00EB3E63">
            <w:pPr>
              <w:spacing w:before="240" w:after="240"/>
              <w:ind w:left="118" w:hanging="84"/>
              <w:contextualSpacing/>
              <w:jc w:val="center"/>
              <w:rPr>
                <w:b/>
                <w:bCs/>
              </w:rPr>
            </w:pPr>
          </w:p>
          <w:p w14:paraId="5EEBCC95" w14:textId="77777777" w:rsidR="00EB3E63" w:rsidRPr="00EB3E63" w:rsidRDefault="00EB3E63" w:rsidP="00EB3E63">
            <w:pPr>
              <w:spacing w:before="240" w:after="240"/>
              <w:ind w:left="118" w:hanging="84"/>
              <w:contextualSpacing/>
              <w:jc w:val="center"/>
              <w:rPr>
                <w:b/>
                <w:bCs/>
              </w:rPr>
            </w:pPr>
          </w:p>
          <w:p w14:paraId="4D162593" w14:textId="77777777" w:rsidR="00EB3E63" w:rsidRPr="00EB3E63" w:rsidRDefault="00EB3E63" w:rsidP="00EB3E63">
            <w:pPr>
              <w:spacing w:before="240" w:after="240"/>
              <w:ind w:left="118" w:hanging="84"/>
              <w:contextualSpacing/>
              <w:jc w:val="center"/>
              <w:rPr>
                <w:b/>
                <w:bCs/>
              </w:rPr>
            </w:pPr>
          </w:p>
          <w:p w14:paraId="120AE311" w14:textId="77777777" w:rsidR="00EB3E63" w:rsidRPr="00EB3E63" w:rsidRDefault="00EB3E63" w:rsidP="00EB3E63">
            <w:pPr>
              <w:spacing w:before="240" w:after="240"/>
              <w:ind w:left="118" w:hanging="84"/>
              <w:contextualSpacing/>
              <w:jc w:val="center"/>
              <w:rPr>
                <w:b/>
                <w:bCs/>
              </w:rPr>
            </w:pPr>
          </w:p>
          <w:p w14:paraId="40D7D75E" w14:textId="77777777" w:rsidR="00EB3E63" w:rsidRPr="00EB3E63" w:rsidRDefault="00EB3E63" w:rsidP="00EB3E63">
            <w:pPr>
              <w:spacing w:before="240" w:after="240"/>
              <w:ind w:left="118" w:hanging="84"/>
              <w:contextualSpacing/>
              <w:jc w:val="center"/>
              <w:rPr>
                <w:b/>
                <w:bCs/>
              </w:rPr>
            </w:pPr>
          </w:p>
          <w:p w14:paraId="1C4A0EB9" w14:textId="77777777" w:rsidR="00EB3E63" w:rsidRPr="00EB3E63" w:rsidRDefault="00EB3E63" w:rsidP="00EB3E63">
            <w:pPr>
              <w:spacing w:before="240" w:after="240"/>
              <w:ind w:left="118" w:hanging="84"/>
              <w:contextualSpacing/>
              <w:jc w:val="center"/>
              <w:rPr>
                <w:b/>
                <w:bCs/>
              </w:rPr>
            </w:pPr>
          </w:p>
          <w:p w14:paraId="771308CC" w14:textId="77777777" w:rsidR="00EB3E63" w:rsidRPr="00EB3E63" w:rsidRDefault="00EB3E63" w:rsidP="00EB3E63">
            <w:pPr>
              <w:spacing w:before="240" w:after="240"/>
              <w:ind w:left="118" w:hanging="84"/>
              <w:contextualSpacing/>
              <w:jc w:val="center"/>
              <w:rPr>
                <w:b/>
                <w:bCs/>
              </w:rPr>
            </w:pPr>
          </w:p>
          <w:p w14:paraId="60BBF5C0" w14:textId="77777777" w:rsidR="00EB3E63" w:rsidRPr="00EB3E63" w:rsidRDefault="00EB3E63" w:rsidP="00EB3E63">
            <w:pPr>
              <w:spacing w:before="240" w:after="240"/>
              <w:ind w:left="118" w:hanging="84"/>
              <w:contextualSpacing/>
              <w:jc w:val="center"/>
              <w:rPr>
                <w:b/>
                <w:bCs/>
              </w:rPr>
            </w:pPr>
          </w:p>
          <w:p w14:paraId="2910C8FD" w14:textId="77777777" w:rsidR="00EB3E63" w:rsidRPr="00EB3E63" w:rsidRDefault="00EB3E63" w:rsidP="00EB3E63">
            <w:pPr>
              <w:spacing w:before="240" w:after="240"/>
              <w:ind w:left="118" w:hanging="84"/>
              <w:contextualSpacing/>
              <w:jc w:val="center"/>
              <w:rPr>
                <w:b/>
                <w:bCs/>
              </w:rPr>
            </w:pPr>
          </w:p>
          <w:p w14:paraId="7B27925C" w14:textId="2D4772ED" w:rsidR="000E4A3C" w:rsidRPr="00EB3E63" w:rsidRDefault="00057757" w:rsidP="00EB3E63">
            <w:pPr>
              <w:spacing w:before="240" w:after="240"/>
              <w:ind w:left="118" w:hanging="84"/>
              <w:contextualSpacing/>
              <w:jc w:val="center"/>
              <w:rPr>
                <w:b/>
                <w:bCs/>
              </w:rPr>
            </w:pPr>
            <w:r w:rsidRPr="00EB3E63">
              <w:rPr>
                <w:b/>
                <w:bCs/>
              </w:rPr>
              <w:t>2</w:t>
            </w:r>
            <w:r w:rsidR="00A74727" w:rsidRPr="00EB3E63">
              <w:rPr>
                <w:b/>
                <w:bCs/>
              </w:rPr>
              <w:t>.</w:t>
            </w:r>
          </w:p>
        </w:tc>
        <w:tc>
          <w:tcPr>
            <w:tcW w:w="2996" w:type="dxa"/>
          </w:tcPr>
          <w:p w14:paraId="3826D80C" w14:textId="77777777" w:rsidR="00C3182F" w:rsidRPr="00EB3E63" w:rsidRDefault="00C3182F" w:rsidP="00E645C8">
            <w:pPr>
              <w:widowControl w:val="0"/>
              <w:autoSpaceDE w:val="0"/>
              <w:autoSpaceDN w:val="0"/>
              <w:adjustRightInd w:val="0"/>
              <w:spacing w:after="120"/>
              <w:jc w:val="both"/>
              <w:rPr>
                <w:b/>
                <w:bCs/>
                <w:sz w:val="24"/>
                <w:u w:val="single"/>
              </w:rPr>
            </w:pPr>
          </w:p>
          <w:p w14:paraId="453B0B51" w14:textId="77777777" w:rsidR="00AB36C4" w:rsidRPr="00EB3E63" w:rsidRDefault="00AB36C4" w:rsidP="00E645C8">
            <w:pPr>
              <w:widowControl w:val="0"/>
              <w:autoSpaceDE w:val="0"/>
              <w:autoSpaceDN w:val="0"/>
              <w:adjustRightInd w:val="0"/>
              <w:spacing w:after="120"/>
              <w:jc w:val="both"/>
              <w:rPr>
                <w:b/>
                <w:bCs/>
                <w:sz w:val="24"/>
                <w:u w:val="single"/>
              </w:rPr>
            </w:pPr>
          </w:p>
          <w:p w14:paraId="052DFCCB" w14:textId="77777777" w:rsidR="00900530" w:rsidRPr="00EB3E63" w:rsidRDefault="00900530" w:rsidP="00E645C8">
            <w:pPr>
              <w:widowControl w:val="0"/>
              <w:autoSpaceDE w:val="0"/>
              <w:autoSpaceDN w:val="0"/>
              <w:adjustRightInd w:val="0"/>
              <w:spacing w:after="120"/>
              <w:jc w:val="both"/>
              <w:rPr>
                <w:b/>
                <w:bCs/>
                <w:sz w:val="24"/>
                <w:u w:val="single"/>
              </w:rPr>
            </w:pPr>
          </w:p>
          <w:p w14:paraId="5047AD78" w14:textId="77777777" w:rsidR="00900530" w:rsidRPr="00EB3E63" w:rsidRDefault="00900530" w:rsidP="00E645C8">
            <w:pPr>
              <w:widowControl w:val="0"/>
              <w:autoSpaceDE w:val="0"/>
              <w:autoSpaceDN w:val="0"/>
              <w:adjustRightInd w:val="0"/>
              <w:spacing w:after="120"/>
              <w:jc w:val="both"/>
              <w:rPr>
                <w:b/>
                <w:bCs/>
                <w:sz w:val="24"/>
                <w:u w:val="single"/>
              </w:rPr>
            </w:pPr>
          </w:p>
          <w:p w14:paraId="68D6B77F" w14:textId="77777777" w:rsidR="00900530" w:rsidRPr="00EB3E63" w:rsidRDefault="00900530" w:rsidP="00E645C8">
            <w:pPr>
              <w:widowControl w:val="0"/>
              <w:autoSpaceDE w:val="0"/>
              <w:autoSpaceDN w:val="0"/>
              <w:adjustRightInd w:val="0"/>
              <w:spacing w:after="120"/>
              <w:jc w:val="both"/>
              <w:rPr>
                <w:b/>
                <w:bCs/>
                <w:sz w:val="24"/>
                <w:u w:val="single"/>
              </w:rPr>
            </w:pPr>
          </w:p>
          <w:p w14:paraId="104A7A5A" w14:textId="77777777" w:rsidR="00900530" w:rsidRPr="00EB3E63" w:rsidRDefault="00900530" w:rsidP="00E645C8">
            <w:pPr>
              <w:widowControl w:val="0"/>
              <w:autoSpaceDE w:val="0"/>
              <w:autoSpaceDN w:val="0"/>
              <w:adjustRightInd w:val="0"/>
              <w:spacing w:after="120"/>
              <w:jc w:val="both"/>
              <w:rPr>
                <w:b/>
                <w:bCs/>
                <w:sz w:val="24"/>
                <w:u w:val="single"/>
              </w:rPr>
            </w:pPr>
          </w:p>
          <w:p w14:paraId="144481CD" w14:textId="77777777" w:rsidR="00900530" w:rsidRPr="00EB3E63" w:rsidRDefault="00900530" w:rsidP="00E645C8">
            <w:pPr>
              <w:widowControl w:val="0"/>
              <w:autoSpaceDE w:val="0"/>
              <w:autoSpaceDN w:val="0"/>
              <w:adjustRightInd w:val="0"/>
              <w:spacing w:after="120"/>
              <w:jc w:val="both"/>
              <w:rPr>
                <w:b/>
                <w:bCs/>
                <w:sz w:val="24"/>
                <w:u w:val="single"/>
              </w:rPr>
            </w:pPr>
          </w:p>
          <w:p w14:paraId="2334444E" w14:textId="77777777" w:rsidR="000E4A3C" w:rsidRPr="00EB3E63" w:rsidRDefault="008808DE" w:rsidP="00E645C8">
            <w:pPr>
              <w:widowControl w:val="0"/>
              <w:autoSpaceDE w:val="0"/>
              <w:autoSpaceDN w:val="0"/>
              <w:adjustRightInd w:val="0"/>
              <w:spacing w:after="120"/>
              <w:jc w:val="both"/>
              <w:rPr>
                <w:b/>
                <w:bCs/>
                <w:sz w:val="24"/>
                <w:u w:val="single"/>
              </w:rPr>
            </w:pPr>
            <w:r w:rsidRPr="00EB3E63">
              <w:rPr>
                <w:bCs/>
                <w:u w:val="single"/>
              </w:rPr>
              <w:t>S</w:t>
            </w:r>
            <w:r w:rsidR="000E4A3C" w:rsidRPr="00EB3E63">
              <w:rPr>
                <w:bCs/>
                <w:u w:val="single"/>
              </w:rPr>
              <w:t>ociāli informatīvā kampa</w:t>
            </w:r>
            <w:r w:rsidRPr="00EB3E63">
              <w:rPr>
                <w:bCs/>
                <w:u w:val="single"/>
              </w:rPr>
              <w:t>ņ</w:t>
            </w:r>
            <w:r w:rsidR="000E4A3C" w:rsidRPr="00EB3E63">
              <w:rPr>
                <w:bCs/>
                <w:u w:val="single"/>
              </w:rPr>
              <w:t>a</w:t>
            </w:r>
            <w:r w:rsidRPr="00EB3E63">
              <w:rPr>
                <w:bCs/>
                <w:u w:val="single"/>
              </w:rPr>
              <w:t xml:space="preserve"> “</w:t>
            </w:r>
            <w:proofErr w:type="spellStart"/>
            <w:r w:rsidRPr="00EB3E63">
              <w:rPr>
                <w:bCs/>
                <w:u w:val="single"/>
              </w:rPr>
              <w:t>Pretkrāpšanas</w:t>
            </w:r>
            <w:proofErr w:type="spellEnd"/>
            <w:r w:rsidRPr="00EB3E63">
              <w:rPr>
                <w:bCs/>
                <w:u w:val="single"/>
              </w:rPr>
              <w:t xml:space="preserve"> kustība </w:t>
            </w:r>
            <w:r w:rsidR="000E4A3C" w:rsidRPr="00EB3E63">
              <w:rPr>
                <w:bCs/>
                <w:u w:val="single"/>
              </w:rPr>
              <w:t xml:space="preserve"> </w:t>
            </w:r>
            <w:r w:rsidR="000E4A3C" w:rsidRPr="00EB3E63">
              <w:rPr>
                <w:b/>
                <w:bCs/>
                <w:sz w:val="24"/>
                <w:u w:val="single"/>
              </w:rPr>
              <w:t>#ATKRĀPIES</w:t>
            </w:r>
            <w:r w:rsidRPr="00EB3E63">
              <w:rPr>
                <w:b/>
                <w:bCs/>
                <w:sz w:val="24"/>
                <w:u w:val="single"/>
              </w:rPr>
              <w:t>!”</w:t>
            </w:r>
          </w:p>
          <w:p w14:paraId="272D2BF8" w14:textId="77777777" w:rsidR="000E4A3C" w:rsidRPr="00EB3E63" w:rsidRDefault="00B12F42" w:rsidP="00E645C8">
            <w:pPr>
              <w:widowControl w:val="0"/>
              <w:autoSpaceDE w:val="0"/>
              <w:autoSpaceDN w:val="0"/>
              <w:adjustRightInd w:val="0"/>
              <w:spacing w:after="120"/>
              <w:ind w:firstLine="851"/>
              <w:jc w:val="both"/>
              <w:rPr>
                <w:bCs/>
                <w:sz w:val="24"/>
                <w:u w:val="single"/>
              </w:rPr>
            </w:pPr>
            <w:r w:rsidRPr="00EB3E63">
              <w:rPr>
                <w:b/>
                <w:bCs/>
                <w:sz w:val="24"/>
                <w:u w:val="single"/>
              </w:rPr>
              <w:t>3. gads</w:t>
            </w:r>
          </w:p>
        </w:tc>
        <w:tc>
          <w:tcPr>
            <w:tcW w:w="5899" w:type="dxa"/>
          </w:tcPr>
          <w:p w14:paraId="0AFC9573" w14:textId="1944C2B8" w:rsidR="008808DE" w:rsidRPr="00EB3E63" w:rsidRDefault="001A1926" w:rsidP="00E645C8">
            <w:pPr>
              <w:widowControl w:val="0"/>
              <w:autoSpaceDE w:val="0"/>
              <w:autoSpaceDN w:val="0"/>
              <w:adjustRightInd w:val="0"/>
              <w:spacing w:after="120"/>
              <w:jc w:val="both"/>
              <w:rPr>
                <w:bCs/>
                <w:sz w:val="24"/>
              </w:rPr>
            </w:pPr>
            <w:r w:rsidRPr="00EB3E63">
              <w:rPr>
                <w:b/>
                <w:bCs/>
                <w:sz w:val="24"/>
              </w:rPr>
              <w:t>201</w:t>
            </w:r>
            <w:r w:rsidR="008808DE" w:rsidRPr="00EB3E63">
              <w:rPr>
                <w:b/>
                <w:bCs/>
                <w:sz w:val="24"/>
              </w:rPr>
              <w:t>8</w:t>
            </w:r>
            <w:r w:rsidRPr="00EB3E63">
              <w:rPr>
                <w:b/>
                <w:bCs/>
                <w:sz w:val="24"/>
              </w:rPr>
              <w:t xml:space="preserve">. gada kampaņas centrālā tēma bija </w:t>
            </w:r>
            <w:r w:rsidR="008808DE" w:rsidRPr="00EB3E63">
              <w:rPr>
                <w:b/>
                <w:bCs/>
                <w:sz w:val="24"/>
              </w:rPr>
              <w:t>“Darba attiecību kultūra”</w:t>
            </w:r>
            <w:r w:rsidR="008808DE" w:rsidRPr="00EB3E63">
              <w:rPr>
                <w:bCs/>
                <w:sz w:val="24"/>
              </w:rPr>
              <w:t xml:space="preserve">. Kampaņas 2018.gada centrālā vēstījuma ietekme un izmaiņas sabiedriskajā domā </w:t>
            </w:r>
            <w:r w:rsidR="00E645C8" w:rsidRPr="00EB3E63">
              <w:rPr>
                <w:bCs/>
                <w:sz w:val="24"/>
              </w:rPr>
              <w:t xml:space="preserve">ar pētījuma palīdzību </w:t>
            </w:r>
            <w:r w:rsidR="008808DE" w:rsidRPr="00EB3E63">
              <w:rPr>
                <w:bCs/>
                <w:sz w:val="24"/>
              </w:rPr>
              <w:t xml:space="preserve">jāmēra 2019.gadā. </w:t>
            </w:r>
          </w:p>
          <w:p w14:paraId="16FE13C7" w14:textId="77777777" w:rsidR="008808DE" w:rsidRPr="00EB3E63" w:rsidRDefault="008808DE" w:rsidP="00E645C8">
            <w:pPr>
              <w:widowControl w:val="0"/>
              <w:autoSpaceDE w:val="0"/>
              <w:autoSpaceDN w:val="0"/>
              <w:adjustRightInd w:val="0"/>
              <w:spacing w:after="120"/>
              <w:jc w:val="both"/>
              <w:rPr>
                <w:bCs/>
                <w:sz w:val="24"/>
              </w:rPr>
            </w:pPr>
            <w:r w:rsidRPr="00EB3E63">
              <w:rPr>
                <w:bCs/>
                <w:sz w:val="24"/>
              </w:rPr>
              <w:t>Izvērtējot pētījumos pieejamo informāciju</w:t>
            </w:r>
            <w:r w:rsidR="00E645C8" w:rsidRPr="00EB3E63">
              <w:rPr>
                <w:bCs/>
                <w:sz w:val="24"/>
              </w:rPr>
              <w:t>,</w:t>
            </w:r>
            <w:r w:rsidRPr="00EB3E63">
              <w:rPr>
                <w:bCs/>
                <w:sz w:val="24"/>
              </w:rPr>
              <w:t xml:space="preserve"> </w:t>
            </w:r>
            <w:r w:rsidR="007B533D" w:rsidRPr="00EB3E63">
              <w:rPr>
                <w:b/>
                <w:bCs/>
                <w:sz w:val="24"/>
              </w:rPr>
              <w:t>201</w:t>
            </w:r>
            <w:r w:rsidRPr="00EB3E63">
              <w:rPr>
                <w:b/>
                <w:bCs/>
                <w:sz w:val="24"/>
              </w:rPr>
              <w:t>9</w:t>
            </w:r>
            <w:r w:rsidR="007B533D" w:rsidRPr="00EB3E63">
              <w:rPr>
                <w:b/>
                <w:bCs/>
                <w:sz w:val="24"/>
              </w:rPr>
              <w:t xml:space="preserve">.gadā </w:t>
            </w:r>
            <w:r w:rsidRPr="00EB3E63">
              <w:rPr>
                <w:b/>
                <w:bCs/>
                <w:sz w:val="24"/>
              </w:rPr>
              <w:t>par noslēdzošo kampaņas tēmu jāizvēlas “Ziņošanas kultūras stiprināšanas jautājumi”</w:t>
            </w:r>
            <w:r w:rsidRPr="00EB3E63">
              <w:rPr>
                <w:bCs/>
                <w:sz w:val="24"/>
              </w:rPr>
              <w:t xml:space="preserve">, kas ne tikai atspoguļojas socioloģiskajās aptaujās, kā temats, kam jāpievērš vērība, bet vienlaikus tas sasaucas ar Valsts </w:t>
            </w:r>
            <w:r w:rsidR="00A919A8" w:rsidRPr="00EB3E63">
              <w:rPr>
                <w:bCs/>
                <w:sz w:val="24"/>
              </w:rPr>
              <w:t>Kancelejas izstrādāto un Saeimā</w:t>
            </w:r>
            <w:r w:rsidRPr="00EB3E63">
              <w:rPr>
                <w:bCs/>
                <w:sz w:val="24"/>
              </w:rPr>
              <w:t xml:space="preserve"> apstiprināto Trauksmes </w:t>
            </w:r>
            <w:r w:rsidR="00A919A8" w:rsidRPr="00EB3E63">
              <w:rPr>
                <w:bCs/>
                <w:sz w:val="24"/>
              </w:rPr>
              <w:t>celšanas</w:t>
            </w:r>
            <w:r w:rsidRPr="00EB3E63">
              <w:rPr>
                <w:bCs/>
                <w:sz w:val="24"/>
              </w:rPr>
              <w:t xml:space="preserve"> likumu</w:t>
            </w:r>
            <w:r w:rsidR="00A919A8" w:rsidRPr="00EB3E63">
              <w:rPr>
                <w:rStyle w:val="FootnoteReference"/>
                <w:bCs/>
                <w:sz w:val="24"/>
              </w:rPr>
              <w:footnoteReference w:id="26"/>
            </w:r>
            <w:r w:rsidRPr="00EB3E63">
              <w:rPr>
                <w:bCs/>
                <w:sz w:val="24"/>
              </w:rPr>
              <w:t>, kas stāsies spēkā 2019.gada 1. maijā.</w:t>
            </w:r>
          </w:p>
          <w:p w14:paraId="2C497935" w14:textId="77777777" w:rsidR="008808DE" w:rsidRPr="00EB3E63" w:rsidRDefault="000E4A3C" w:rsidP="00E645C8">
            <w:pPr>
              <w:widowControl w:val="0"/>
              <w:autoSpaceDE w:val="0"/>
              <w:autoSpaceDN w:val="0"/>
              <w:adjustRightInd w:val="0"/>
              <w:spacing w:after="120"/>
              <w:jc w:val="both"/>
              <w:rPr>
                <w:bCs/>
                <w:sz w:val="24"/>
              </w:rPr>
            </w:pPr>
            <w:r w:rsidRPr="00EB3E63">
              <w:rPr>
                <w:bCs/>
                <w:sz w:val="24"/>
              </w:rPr>
              <w:t xml:space="preserve">Kampaņas turpmākais plāns paredz </w:t>
            </w:r>
            <w:r w:rsidR="008062D2" w:rsidRPr="00EB3E63">
              <w:rPr>
                <w:bCs/>
                <w:sz w:val="24"/>
              </w:rPr>
              <w:t xml:space="preserve">integrētus pasākumus arī </w:t>
            </w:r>
            <w:r w:rsidRPr="00EB3E63">
              <w:rPr>
                <w:bCs/>
                <w:sz w:val="24"/>
              </w:rPr>
              <w:t>201</w:t>
            </w:r>
            <w:r w:rsidR="008808DE" w:rsidRPr="00EB3E63">
              <w:rPr>
                <w:bCs/>
                <w:sz w:val="24"/>
              </w:rPr>
              <w:t>9</w:t>
            </w:r>
            <w:r w:rsidRPr="00EB3E63">
              <w:rPr>
                <w:bCs/>
                <w:sz w:val="24"/>
              </w:rPr>
              <w:t>. gad</w:t>
            </w:r>
            <w:r w:rsidR="008062D2" w:rsidRPr="00EB3E63">
              <w:rPr>
                <w:bCs/>
                <w:sz w:val="24"/>
              </w:rPr>
              <w:t xml:space="preserve">ā. </w:t>
            </w:r>
            <w:r w:rsidR="008808DE" w:rsidRPr="00EB3E63">
              <w:rPr>
                <w:bCs/>
                <w:sz w:val="24"/>
              </w:rPr>
              <w:t xml:space="preserve">Kopā ar AFCOS padomes </w:t>
            </w:r>
            <w:r w:rsidR="00E645C8" w:rsidRPr="00EB3E63">
              <w:rPr>
                <w:bCs/>
                <w:sz w:val="24"/>
              </w:rPr>
              <w:t xml:space="preserve">darbā iesaistītajām iestādēm </w:t>
            </w:r>
            <w:r w:rsidR="008808DE" w:rsidRPr="00EB3E63">
              <w:rPr>
                <w:bCs/>
                <w:sz w:val="24"/>
              </w:rPr>
              <w:t>un AAFCN tīklā iekļautajām iestādēm</w:t>
            </w:r>
            <w:r w:rsidR="00E645C8" w:rsidRPr="00EB3E63">
              <w:rPr>
                <w:bCs/>
                <w:sz w:val="24"/>
              </w:rPr>
              <w:t>,</w:t>
            </w:r>
            <w:r w:rsidR="008808DE" w:rsidRPr="00EB3E63">
              <w:rPr>
                <w:bCs/>
                <w:sz w:val="24"/>
              </w:rPr>
              <w:t xml:space="preserve"> nepieciešams plānot dažādus komunikācijas pasākumus un aktivitātes</w:t>
            </w:r>
            <w:r w:rsidR="008062D2" w:rsidRPr="00EB3E63">
              <w:rPr>
                <w:bCs/>
                <w:sz w:val="24"/>
              </w:rPr>
              <w:t xml:space="preserve"> pēc līdzības </w:t>
            </w:r>
            <w:r w:rsidR="008808DE" w:rsidRPr="00EB3E63">
              <w:rPr>
                <w:bCs/>
                <w:sz w:val="24"/>
              </w:rPr>
              <w:t>ar</w:t>
            </w:r>
            <w:r w:rsidR="008062D2" w:rsidRPr="00EB3E63">
              <w:rPr>
                <w:bCs/>
                <w:sz w:val="24"/>
              </w:rPr>
              <w:t xml:space="preserve"> 2017.</w:t>
            </w:r>
            <w:r w:rsidR="008808DE" w:rsidRPr="00EB3E63">
              <w:rPr>
                <w:bCs/>
                <w:sz w:val="24"/>
              </w:rPr>
              <w:t xml:space="preserve"> un 2018. </w:t>
            </w:r>
            <w:r w:rsidR="008062D2" w:rsidRPr="00EB3E63">
              <w:rPr>
                <w:bCs/>
                <w:sz w:val="24"/>
              </w:rPr>
              <w:t>gadā iesākto</w:t>
            </w:r>
            <w:r w:rsidR="008808DE" w:rsidRPr="00EB3E63">
              <w:rPr>
                <w:bCs/>
                <w:sz w:val="24"/>
              </w:rPr>
              <w:t xml:space="preserve"> komunikācijas praksi</w:t>
            </w:r>
            <w:r w:rsidRPr="00EB3E63">
              <w:rPr>
                <w:bCs/>
                <w:sz w:val="24"/>
              </w:rPr>
              <w:t xml:space="preserve">. </w:t>
            </w:r>
          </w:p>
          <w:p w14:paraId="19BBBDC6" w14:textId="61C37369" w:rsidR="000E4A3C" w:rsidRPr="00EB3E63" w:rsidRDefault="008808DE" w:rsidP="00E645C8">
            <w:pPr>
              <w:widowControl w:val="0"/>
              <w:autoSpaceDE w:val="0"/>
              <w:autoSpaceDN w:val="0"/>
              <w:adjustRightInd w:val="0"/>
              <w:spacing w:after="120"/>
              <w:jc w:val="both"/>
              <w:rPr>
                <w:b/>
                <w:bCs/>
                <w:sz w:val="24"/>
                <w:u w:val="single"/>
              </w:rPr>
            </w:pPr>
            <w:r w:rsidRPr="00EB3E63">
              <w:rPr>
                <w:bCs/>
                <w:sz w:val="24"/>
              </w:rPr>
              <w:t xml:space="preserve">Atbilstoši 2019.gada tematikai nepieciešams </w:t>
            </w:r>
            <w:r w:rsidR="008062D2" w:rsidRPr="00EB3E63">
              <w:rPr>
                <w:bCs/>
                <w:sz w:val="24"/>
              </w:rPr>
              <w:t xml:space="preserve">aktualizēt arī </w:t>
            </w:r>
            <w:r w:rsidR="000E4A3C" w:rsidRPr="00EB3E63">
              <w:rPr>
                <w:bCs/>
                <w:sz w:val="24"/>
              </w:rPr>
              <w:t>mājaslapas satur</w:t>
            </w:r>
            <w:r w:rsidR="008062D2" w:rsidRPr="00EB3E63">
              <w:rPr>
                <w:bCs/>
                <w:sz w:val="24"/>
              </w:rPr>
              <w:t>u</w:t>
            </w:r>
            <w:r w:rsidR="000E4A3C" w:rsidRPr="00EB3E63">
              <w:rPr>
                <w:bCs/>
                <w:sz w:val="24"/>
              </w:rPr>
              <w:t xml:space="preserve"> un </w:t>
            </w:r>
            <w:r w:rsidRPr="00EB3E63">
              <w:rPr>
                <w:bCs/>
                <w:sz w:val="24"/>
              </w:rPr>
              <w:t xml:space="preserve">īstenot </w:t>
            </w:r>
            <w:r w:rsidR="008062D2" w:rsidRPr="00EB3E63">
              <w:rPr>
                <w:bCs/>
                <w:sz w:val="24"/>
              </w:rPr>
              <w:t>pētīju</w:t>
            </w:r>
            <w:r w:rsidRPr="00EB3E63">
              <w:rPr>
                <w:bCs/>
                <w:sz w:val="24"/>
              </w:rPr>
              <w:t>mus, lai novērtētu iespējamu kampaņas ietekmi</w:t>
            </w:r>
            <w:r w:rsidR="00B12F42" w:rsidRPr="00EB3E63">
              <w:rPr>
                <w:bCs/>
                <w:sz w:val="24"/>
              </w:rPr>
              <w:t xml:space="preserve"> (skatīt arī A.3.1. sadaļu)</w:t>
            </w:r>
            <w:r w:rsidR="00EB3E63">
              <w:rPr>
                <w:bCs/>
                <w:sz w:val="24"/>
              </w:rPr>
              <w:t>.</w:t>
            </w:r>
          </w:p>
        </w:tc>
      </w:tr>
      <w:tr w:rsidR="00B12F42" w:rsidRPr="00B853FA" w14:paraId="68D07170" w14:textId="77777777" w:rsidTr="006C4962">
        <w:tc>
          <w:tcPr>
            <w:tcW w:w="603" w:type="dxa"/>
          </w:tcPr>
          <w:p w14:paraId="1671451C" w14:textId="77777777" w:rsidR="00B12F42" w:rsidRPr="00EB3E63" w:rsidRDefault="00B12F42" w:rsidP="00EB3E63">
            <w:pPr>
              <w:spacing w:before="240" w:after="240"/>
              <w:ind w:left="118" w:hanging="84"/>
              <w:contextualSpacing/>
              <w:jc w:val="center"/>
              <w:rPr>
                <w:b/>
                <w:bCs/>
              </w:rPr>
            </w:pPr>
          </w:p>
          <w:p w14:paraId="127505C9" w14:textId="77777777" w:rsidR="00B12F42" w:rsidRPr="00EB3E63" w:rsidRDefault="00B12F42" w:rsidP="00EB3E63">
            <w:pPr>
              <w:spacing w:before="240" w:after="240"/>
              <w:ind w:left="118" w:hanging="84"/>
              <w:contextualSpacing/>
              <w:jc w:val="center"/>
              <w:rPr>
                <w:b/>
                <w:bCs/>
              </w:rPr>
            </w:pPr>
          </w:p>
          <w:p w14:paraId="2E6BB5DB" w14:textId="77777777" w:rsidR="00B12F42" w:rsidRPr="00EB3E63" w:rsidRDefault="00B12F42" w:rsidP="00EB3E63">
            <w:pPr>
              <w:spacing w:before="240" w:after="240"/>
              <w:ind w:left="118" w:hanging="84"/>
              <w:contextualSpacing/>
              <w:jc w:val="center"/>
              <w:rPr>
                <w:b/>
                <w:bCs/>
              </w:rPr>
            </w:pPr>
          </w:p>
          <w:p w14:paraId="30AFB178" w14:textId="77777777" w:rsidR="00EB3E63" w:rsidRPr="00EB3E63" w:rsidRDefault="00EB3E63" w:rsidP="00EB3E63">
            <w:pPr>
              <w:spacing w:before="240" w:after="240"/>
              <w:ind w:left="118" w:hanging="84"/>
              <w:contextualSpacing/>
              <w:jc w:val="center"/>
              <w:rPr>
                <w:b/>
                <w:bCs/>
              </w:rPr>
            </w:pPr>
          </w:p>
          <w:p w14:paraId="53561CF0" w14:textId="77777777" w:rsidR="00EB3E63" w:rsidRPr="00EB3E63" w:rsidRDefault="00EB3E63" w:rsidP="00EB3E63">
            <w:pPr>
              <w:spacing w:before="240" w:after="240"/>
              <w:ind w:left="118" w:hanging="84"/>
              <w:contextualSpacing/>
              <w:jc w:val="center"/>
              <w:rPr>
                <w:b/>
                <w:bCs/>
              </w:rPr>
            </w:pPr>
          </w:p>
          <w:p w14:paraId="752C511F" w14:textId="2F907144" w:rsidR="00B12F42" w:rsidRPr="00EB3E63" w:rsidRDefault="00057757" w:rsidP="00EB3E63">
            <w:pPr>
              <w:spacing w:before="240" w:after="240"/>
              <w:ind w:left="118" w:hanging="84"/>
              <w:contextualSpacing/>
              <w:jc w:val="center"/>
              <w:rPr>
                <w:b/>
                <w:bCs/>
              </w:rPr>
            </w:pPr>
            <w:r w:rsidRPr="00EB3E63">
              <w:rPr>
                <w:b/>
                <w:bCs/>
              </w:rPr>
              <w:t>3</w:t>
            </w:r>
            <w:r w:rsidR="00B12F42" w:rsidRPr="00EB3E63">
              <w:rPr>
                <w:b/>
                <w:bCs/>
              </w:rPr>
              <w:t>.</w:t>
            </w:r>
          </w:p>
        </w:tc>
        <w:tc>
          <w:tcPr>
            <w:tcW w:w="2996" w:type="dxa"/>
            <w:vAlign w:val="center"/>
          </w:tcPr>
          <w:p w14:paraId="403105CD" w14:textId="77777777" w:rsidR="00B12F42" w:rsidRPr="00EB3E63" w:rsidRDefault="00B12F42" w:rsidP="006C4962">
            <w:pPr>
              <w:spacing w:before="240" w:after="240"/>
              <w:jc w:val="both"/>
              <w:rPr>
                <w:sz w:val="24"/>
              </w:rPr>
            </w:pPr>
            <w:r w:rsidRPr="00EB3E63">
              <w:lastRenderedPageBreak/>
              <w:t xml:space="preserve">Sniegt priekšlikumu MK par turpmāku sociāli informatīvās kampaņas </w:t>
            </w:r>
            <w:proofErr w:type="spellStart"/>
            <w:r w:rsidRPr="00EB3E63">
              <w:t>Pretkrāpšanas</w:t>
            </w:r>
            <w:proofErr w:type="spellEnd"/>
            <w:r w:rsidRPr="00EB3E63">
              <w:t xml:space="preserve"> kustība </w:t>
            </w:r>
            <w:r w:rsidRPr="00EB3E63">
              <w:rPr>
                <w:b/>
              </w:rPr>
              <w:lastRenderedPageBreak/>
              <w:t>#Atkrāpies! attīstību pēc 2019.gada</w:t>
            </w:r>
            <w:r w:rsidRPr="00EB3E63">
              <w:t>, kā arī atskaitīties par 3 gados paveikto. Pamatot ar pētījuma rezultātiem.</w:t>
            </w:r>
          </w:p>
        </w:tc>
        <w:tc>
          <w:tcPr>
            <w:tcW w:w="5899" w:type="dxa"/>
            <w:shd w:val="clear" w:color="auto" w:fill="auto"/>
          </w:tcPr>
          <w:p w14:paraId="33B866E9" w14:textId="77777777" w:rsidR="00B12F42" w:rsidRPr="00EB3E63" w:rsidRDefault="00B12F42" w:rsidP="006C4962">
            <w:pPr>
              <w:widowControl w:val="0"/>
              <w:autoSpaceDE w:val="0"/>
              <w:autoSpaceDN w:val="0"/>
              <w:adjustRightInd w:val="0"/>
              <w:spacing w:after="120"/>
              <w:jc w:val="both"/>
              <w:rPr>
                <w:bCs/>
                <w:sz w:val="24"/>
              </w:rPr>
            </w:pPr>
            <w:r w:rsidRPr="00EB3E63">
              <w:rPr>
                <w:bCs/>
                <w:sz w:val="24"/>
              </w:rPr>
              <w:lastRenderedPageBreak/>
              <w:t xml:space="preserve">2020.gadā, kad būs noslēgusies pirmā AFCOS stratēģija un pasākumu plāns par periodu 2017. - 2019.gadam un tiks īstenoti visi pasākumu plānā iekļautie pasākumi, būs </w:t>
            </w:r>
            <w:r w:rsidRPr="00EB3E63">
              <w:rPr>
                <w:bCs/>
                <w:sz w:val="24"/>
              </w:rPr>
              <w:lastRenderedPageBreak/>
              <w:t xml:space="preserve">iespējams izvērtēt pasākumu lietderību un ieviešanas gaitu, kā arī grūtības. </w:t>
            </w:r>
          </w:p>
          <w:p w14:paraId="4450BF87" w14:textId="77777777" w:rsidR="00B12F42" w:rsidRPr="00EB3E63" w:rsidRDefault="00B12F42" w:rsidP="006C4962">
            <w:pPr>
              <w:widowControl w:val="0"/>
              <w:autoSpaceDE w:val="0"/>
              <w:autoSpaceDN w:val="0"/>
              <w:adjustRightInd w:val="0"/>
              <w:spacing w:after="120"/>
              <w:jc w:val="both"/>
              <w:rPr>
                <w:bCs/>
                <w:sz w:val="24"/>
              </w:rPr>
            </w:pPr>
            <w:r w:rsidRPr="00EB3E63">
              <w:rPr>
                <w:bCs/>
                <w:sz w:val="24"/>
              </w:rPr>
              <w:t>Ir plānots apkopot visus praktiskos secinājumus par īstenotajiem pasākumiem, kā arī veikt izvērstu analīzi par kampaņas vajadzībām veiktajiem pētījumiem, novērtējot jomas un jautājumus, kuros ir notikušas gan pozitīvas pārmaiņas, gan arī tās, kur būs vēl nepieciešams paredzēt citus pilnveides pasākumus.</w:t>
            </w:r>
          </w:p>
        </w:tc>
      </w:tr>
      <w:tr w:rsidR="00B12F42" w:rsidRPr="00B853FA" w14:paraId="09A66F48" w14:textId="77777777" w:rsidTr="006C4962">
        <w:tc>
          <w:tcPr>
            <w:tcW w:w="603" w:type="dxa"/>
          </w:tcPr>
          <w:p w14:paraId="1508377C" w14:textId="77777777" w:rsidR="00EB3E63" w:rsidRPr="00EB3E63" w:rsidRDefault="00EB3E63" w:rsidP="00EB3E63">
            <w:pPr>
              <w:spacing w:before="240" w:after="240"/>
              <w:ind w:left="360"/>
              <w:contextualSpacing/>
              <w:jc w:val="center"/>
              <w:rPr>
                <w:b/>
                <w:bCs/>
              </w:rPr>
            </w:pPr>
          </w:p>
          <w:p w14:paraId="3C9D6CD9" w14:textId="77777777" w:rsidR="00EB3E63" w:rsidRPr="00EB3E63" w:rsidRDefault="00EB3E63" w:rsidP="00EB3E63">
            <w:pPr>
              <w:spacing w:before="240" w:after="240"/>
              <w:ind w:left="360"/>
              <w:contextualSpacing/>
              <w:jc w:val="center"/>
              <w:rPr>
                <w:b/>
                <w:bCs/>
              </w:rPr>
            </w:pPr>
          </w:p>
          <w:p w14:paraId="1BCC1272" w14:textId="77777777" w:rsidR="00EB3E63" w:rsidRPr="00EB3E63" w:rsidRDefault="00EB3E63" w:rsidP="00EB3E63">
            <w:pPr>
              <w:spacing w:before="240" w:after="240"/>
              <w:ind w:left="360"/>
              <w:contextualSpacing/>
              <w:jc w:val="center"/>
              <w:rPr>
                <w:b/>
                <w:bCs/>
              </w:rPr>
            </w:pPr>
          </w:p>
          <w:p w14:paraId="3CEEB81A" w14:textId="77777777" w:rsidR="00EB3E63" w:rsidRPr="00EB3E63" w:rsidRDefault="00EB3E63" w:rsidP="00EB3E63">
            <w:pPr>
              <w:spacing w:before="240" w:after="240"/>
              <w:ind w:left="360"/>
              <w:contextualSpacing/>
              <w:jc w:val="center"/>
              <w:rPr>
                <w:b/>
                <w:bCs/>
              </w:rPr>
            </w:pPr>
          </w:p>
          <w:p w14:paraId="128E6CAF" w14:textId="77777777" w:rsidR="00EB3E63" w:rsidRPr="00EB3E63" w:rsidRDefault="00EB3E63" w:rsidP="00EB3E63">
            <w:pPr>
              <w:spacing w:before="240" w:after="240"/>
              <w:ind w:left="360"/>
              <w:contextualSpacing/>
              <w:jc w:val="center"/>
              <w:rPr>
                <w:b/>
                <w:bCs/>
              </w:rPr>
            </w:pPr>
          </w:p>
          <w:p w14:paraId="3FA35790" w14:textId="77777777" w:rsidR="00EB3E63" w:rsidRPr="00EB3E63" w:rsidRDefault="00EB3E63" w:rsidP="00EB3E63">
            <w:pPr>
              <w:spacing w:before="240" w:after="240"/>
              <w:ind w:left="360"/>
              <w:contextualSpacing/>
              <w:jc w:val="center"/>
              <w:rPr>
                <w:b/>
                <w:bCs/>
              </w:rPr>
            </w:pPr>
          </w:p>
          <w:p w14:paraId="1F9CB5E6" w14:textId="29ED4BC3" w:rsidR="00B12F42" w:rsidRPr="00EB3E63" w:rsidRDefault="00057757" w:rsidP="00EB3E63">
            <w:pPr>
              <w:spacing w:before="240" w:after="240"/>
              <w:contextualSpacing/>
              <w:rPr>
                <w:b/>
                <w:bCs/>
              </w:rPr>
            </w:pPr>
            <w:r w:rsidRPr="00EB3E63">
              <w:rPr>
                <w:b/>
                <w:bCs/>
              </w:rPr>
              <w:t>4.</w:t>
            </w:r>
          </w:p>
        </w:tc>
        <w:tc>
          <w:tcPr>
            <w:tcW w:w="2996" w:type="dxa"/>
            <w:vAlign w:val="center"/>
          </w:tcPr>
          <w:p w14:paraId="59FAF4B9" w14:textId="77777777" w:rsidR="00B12F42" w:rsidRPr="00EB3E63" w:rsidRDefault="00B12F42" w:rsidP="006C4962">
            <w:pPr>
              <w:spacing w:before="240" w:after="240"/>
              <w:jc w:val="both"/>
              <w:rPr>
                <w:sz w:val="24"/>
              </w:rPr>
            </w:pPr>
            <w:r w:rsidRPr="00EB3E63">
              <w:t xml:space="preserve">Izvērtēt iespējas nacionālā līmenī ieviest </w:t>
            </w:r>
            <w:r w:rsidRPr="00EB3E63">
              <w:rPr>
                <w:b/>
              </w:rPr>
              <w:t>vienotu ziņošanas mehānismu</w:t>
            </w:r>
            <w:r w:rsidRPr="00EB3E63">
              <w:t xml:space="preserve"> / platformu. Vajadzības, iespējas, nepieciešamā kapacitāte izveidei. Uzturēšanai, apstrādei un finansējuma piesaiste.</w:t>
            </w:r>
          </w:p>
        </w:tc>
        <w:tc>
          <w:tcPr>
            <w:tcW w:w="5899" w:type="dxa"/>
          </w:tcPr>
          <w:p w14:paraId="0B8B3194" w14:textId="77777777" w:rsidR="00B12F42" w:rsidRPr="00EB3E63" w:rsidRDefault="00B12F42" w:rsidP="006C4962">
            <w:pPr>
              <w:widowControl w:val="0"/>
              <w:autoSpaceDE w:val="0"/>
              <w:autoSpaceDN w:val="0"/>
              <w:adjustRightInd w:val="0"/>
              <w:spacing w:after="120"/>
              <w:jc w:val="both"/>
              <w:rPr>
                <w:sz w:val="24"/>
              </w:rPr>
            </w:pPr>
            <w:r w:rsidRPr="00EB3E63">
              <w:rPr>
                <w:sz w:val="24"/>
              </w:rPr>
              <w:t xml:space="preserve">Balstoties uz AFCOS pasūtītajiem sabiedriskās domas pētījumiem ir secināms, ka sabiedrībā pastāv nepilnīga izpratne par ziņošanas iespējām. Tāpēc www.atkrāpies.lv mājaslapā ir apkopota informācija par dažādām iestādēm, kurās iespējams ziņot par pārkāpumiem. </w:t>
            </w:r>
          </w:p>
          <w:p w14:paraId="75F9C278" w14:textId="77777777" w:rsidR="00B12F42" w:rsidRPr="00EB3E63" w:rsidRDefault="00B12F42" w:rsidP="006C4962">
            <w:pPr>
              <w:widowControl w:val="0"/>
              <w:autoSpaceDE w:val="0"/>
              <w:autoSpaceDN w:val="0"/>
              <w:adjustRightInd w:val="0"/>
              <w:spacing w:after="120"/>
              <w:jc w:val="both"/>
              <w:rPr>
                <w:sz w:val="24"/>
              </w:rPr>
            </w:pPr>
            <w:r w:rsidRPr="00EB3E63">
              <w:rPr>
                <w:sz w:val="24"/>
              </w:rPr>
              <w:t xml:space="preserve">Lai iespējami vienkāršotu un padarītu efektīvāku ziņošanas mehānismu, nodrošinot “vienas pogas pieturas principu”, FM AFCOS veiks izpēti par iespējamu ziņošanas kanālu apvienošanu vienotā platformā, kā arī sadarbībā ar KNAB un Valsts kanceleju pārrunās iespējas apvienot esošos un plānotos ziņošanas mehānismus vienā informācijas tehnoloģiju vietnē. </w:t>
            </w:r>
          </w:p>
        </w:tc>
      </w:tr>
      <w:tr w:rsidR="000E4A3C" w:rsidRPr="00B853FA" w14:paraId="79765D24" w14:textId="77777777" w:rsidTr="000F39F1">
        <w:tc>
          <w:tcPr>
            <w:tcW w:w="603" w:type="dxa"/>
          </w:tcPr>
          <w:p w14:paraId="1564EF62" w14:textId="77777777" w:rsidR="00EB3E63" w:rsidRPr="00EB3E63" w:rsidRDefault="00EB3E63" w:rsidP="00EB3E63">
            <w:pPr>
              <w:spacing w:before="240" w:after="240"/>
              <w:ind w:left="118" w:hanging="84"/>
              <w:contextualSpacing/>
              <w:jc w:val="center"/>
              <w:rPr>
                <w:b/>
                <w:bCs/>
              </w:rPr>
            </w:pPr>
          </w:p>
          <w:p w14:paraId="0BD3D5A6" w14:textId="77777777" w:rsidR="00EB3E63" w:rsidRPr="00EB3E63" w:rsidRDefault="00EB3E63" w:rsidP="00EB3E63">
            <w:pPr>
              <w:spacing w:before="240" w:after="240"/>
              <w:ind w:left="118" w:hanging="84"/>
              <w:contextualSpacing/>
              <w:jc w:val="center"/>
              <w:rPr>
                <w:b/>
                <w:bCs/>
              </w:rPr>
            </w:pPr>
          </w:p>
          <w:p w14:paraId="07C4DBA1" w14:textId="77777777" w:rsidR="00EB3E63" w:rsidRPr="00EB3E63" w:rsidRDefault="00EB3E63" w:rsidP="00EB3E63">
            <w:pPr>
              <w:spacing w:before="240" w:after="240"/>
              <w:ind w:left="118" w:hanging="84"/>
              <w:contextualSpacing/>
              <w:jc w:val="center"/>
              <w:rPr>
                <w:b/>
                <w:bCs/>
              </w:rPr>
            </w:pPr>
          </w:p>
          <w:p w14:paraId="5107D008" w14:textId="0E525649" w:rsidR="000E4A3C" w:rsidRPr="00EB3E63" w:rsidRDefault="00057757" w:rsidP="00EB3E63">
            <w:pPr>
              <w:spacing w:before="240" w:after="240"/>
              <w:ind w:left="118" w:hanging="84"/>
              <w:contextualSpacing/>
              <w:jc w:val="center"/>
              <w:rPr>
                <w:b/>
                <w:bCs/>
              </w:rPr>
            </w:pPr>
            <w:r w:rsidRPr="00EB3E63">
              <w:rPr>
                <w:b/>
                <w:bCs/>
              </w:rPr>
              <w:t>5</w:t>
            </w:r>
            <w:r w:rsidR="00D04F77" w:rsidRPr="00EB3E63">
              <w:rPr>
                <w:b/>
                <w:bCs/>
              </w:rPr>
              <w:t>.</w:t>
            </w:r>
          </w:p>
        </w:tc>
        <w:tc>
          <w:tcPr>
            <w:tcW w:w="2996" w:type="dxa"/>
          </w:tcPr>
          <w:p w14:paraId="248AB8B2" w14:textId="77777777" w:rsidR="00EB3E63" w:rsidRDefault="00EB3E63" w:rsidP="00E645C8">
            <w:pPr>
              <w:spacing w:before="240" w:after="240"/>
              <w:jc w:val="both"/>
              <w:rPr>
                <w:b/>
                <w:bCs/>
              </w:rPr>
            </w:pPr>
          </w:p>
          <w:p w14:paraId="33C4A98F" w14:textId="59B8E088" w:rsidR="000E4A3C" w:rsidRPr="00EB3E63" w:rsidRDefault="000E4A3C" w:rsidP="00E645C8">
            <w:pPr>
              <w:spacing w:before="240" w:after="240"/>
              <w:jc w:val="both"/>
              <w:rPr>
                <w:bCs/>
                <w:sz w:val="24"/>
              </w:rPr>
            </w:pPr>
            <w:r w:rsidRPr="00EB3E63">
              <w:rPr>
                <w:b/>
                <w:bCs/>
              </w:rPr>
              <w:t>Dokumentu platformas izveide</w:t>
            </w:r>
            <w:r w:rsidRPr="00EB3E63">
              <w:rPr>
                <w:bCs/>
              </w:rPr>
              <w:t xml:space="preserve"> un izmantošana AFCOS </w:t>
            </w:r>
            <w:r w:rsidR="00CE524D" w:rsidRPr="00EB3E63">
              <w:rPr>
                <w:bCs/>
              </w:rPr>
              <w:t xml:space="preserve">padomes </w:t>
            </w:r>
            <w:r w:rsidRPr="00EB3E63">
              <w:rPr>
                <w:bCs/>
              </w:rPr>
              <w:t xml:space="preserve">ikdienas saziņā </w:t>
            </w:r>
          </w:p>
        </w:tc>
        <w:tc>
          <w:tcPr>
            <w:tcW w:w="5899" w:type="dxa"/>
          </w:tcPr>
          <w:p w14:paraId="1AA9A6F2" w14:textId="77777777" w:rsidR="000E4A3C" w:rsidRPr="00EB3E63" w:rsidRDefault="000E4A3C" w:rsidP="00057757">
            <w:pPr>
              <w:widowControl w:val="0"/>
              <w:autoSpaceDE w:val="0"/>
              <w:autoSpaceDN w:val="0"/>
              <w:adjustRightInd w:val="0"/>
              <w:spacing w:after="120"/>
              <w:jc w:val="both"/>
              <w:rPr>
                <w:bCs/>
                <w:sz w:val="24"/>
              </w:rPr>
            </w:pPr>
            <w:r w:rsidRPr="00EB3E63">
              <w:rPr>
                <w:bCs/>
                <w:sz w:val="24"/>
              </w:rPr>
              <w:t xml:space="preserve">Ņemot vērā lielo informāciju apjomu, kas tiek sūtīts AFCOS </w:t>
            </w:r>
            <w:r w:rsidR="00CE524D" w:rsidRPr="00EB3E63">
              <w:rPr>
                <w:bCs/>
                <w:sz w:val="24"/>
              </w:rPr>
              <w:t>padomes darbā iesaistītajām institūcijām</w:t>
            </w:r>
            <w:r w:rsidRPr="00EB3E63">
              <w:rPr>
                <w:bCs/>
                <w:sz w:val="24"/>
              </w:rPr>
              <w:t xml:space="preserve">, tika nolemts izstrādāt dokumentu platformu, kas paredzēta informācijas </w:t>
            </w:r>
            <w:r w:rsidR="00CE524D" w:rsidRPr="00EB3E63">
              <w:rPr>
                <w:bCs/>
                <w:sz w:val="24"/>
              </w:rPr>
              <w:t xml:space="preserve">vienkāršākai un ātrākai </w:t>
            </w:r>
            <w:r w:rsidRPr="00EB3E63">
              <w:rPr>
                <w:bCs/>
                <w:sz w:val="24"/>
              </w:rPr>
              <w:t xml:space="preserve">apmaiņai. </w:t>
            </w:r>
            <w:r w:rsidR="00960D5F" w:rsidRPr="00EB3E63">
              <w:rPr>
                <w:bCs/>
                <w:sz w:val="24"/>
              </w:rPr>
              <w:t xml:space="preserve">Dokumentu platformas tehniskais risinājums ir izstrādāts un </w:t>
            </w:r>
            <w:r w:rsidR="00A74727" w:rsidRPr="00EB3E63">
              <w:rPr>
                <w:bCs/>
                <w:sz w:val="24"/>
              </w:rPr>
              <w:t>tā pielietošanas uzsākšana plānota 2019. gadā.</w:t>
            </w:r>
            <w:r w:rsidRPr="00EB3E63">
              <w:rPr>
                <w:bCs/>
                <w:sz w:val="24"/>
              </w:rPr>
              <w:t xml:space="preserve">   </w:t>
            </w:r>
          </w:p>
        </w:tc>
      </w:tr>
      <w:tr w:rsidR="000E4A3C" w:rsidRPr="00B853FA" w14:paraId="4455C999" w14:textId="77777777" w:rsidTr="000F39F1">
        <w:tc>
          <w:tcPr>
            <w:tcW w:w="603" w:type="dxa"/>
          </w:tcPr>
          <w:p w14:paraId="759E7F77" w14:textId="77777777" w:rsidR="00EB3E63" w:rsidRPr="00EB3E63" w:rsidRDefault="00EB3E63" w:rsidP="00EB3E63">
            <w:pPr>
              <w:spacing w:before="240" w:after="240"/>
              <w:ind w:left="118" w:hanging="84"/>
              <w:contextualSpacing/>
              <w:jc w:val="center"/>
              <w:rPr>
                <w:b/>
                <w:bCs/>
              </w:rPr>
            </w:pPr>
          </w:p>
          <w:p w14:paraId="40DD1E24" w14:textId="5EE0EAD9" w:rsidR="000E4A3C" w:rsidRPr="00EB3E63" w:rsidRDefault="00057757" w:rsidP="00EB3E63">
            <w:pPr>
              <w:spacing w:before="240" w:after="240"/>
              <w:ind w:left="118" w:hanging="84"/>
              <w:contextualSpacing/>
              <w:jc w:val="center"/>
              <w:rPr>
                <w:b/>
                <w:bCs/>
              </w:rPr>
            </w:pPr>
            <w:r w:rsidRPr="00EB3E63">
              <w:rPr>
                <w:b/>
                <w:bCs/>
              </w:rPr>
              <w:t>6</w:t>
            </w:r>
            <w:r w:rsidR="00D04F77" w:rsidRPr="00EB3E63">
              <w:rPr>
                <w:b/>
                <w:bCs/>
              </w:rPr>
              <w:t>.</w:t>
            </w:r>
          </w:p>
        </w:tc>
        <w:tc>
          <w:tcPr>
            <w:tcW w:w="2996" w:type="dxa"/>
          </w:tcPr>
          <w:p w14:paraId="7DDA1661" w14:textId="3231599E" w:rsidR="000E4A3C" w:rsidRPr="00EB3E63" w:rsidRDefault="000E4A3C" w:rsidP="00E645C8">
            <w:pPr>
              <w:spacing w:before="240" w:after="240"/>
              <w:jc w:val="both"/>
              <w:rPr>
                <w:bCs/>
                <w:sz w:val="24"/>
              </w:rPr>
            </w:pPr>
            <w:r w:rsidRPr="00EB3E63">
              <w:rPr>
                <w:b/>
                <w:bCs/>
              </w:rPr>
              <w:t>AFCOS Nolikuma</w:t>
            </w:r>
            <w:r w:rsidRPr="00EB3E63">
              <w:rPr>
                <w:rStyle w:val="FootnoteReference"/>
                <w:b/>
                <w:bCs/>
              </w:rPr>
              <w:footnoteReference w:id="27"/>
            </w:r>
            <w:r w:rsidRPr="00EB3E63">
              <w:rPr>
                <w:bCs/>
              </w:rPr>
              <w:t xml:space="preserve"> grozījumi</w:t>
            </w:r>
          </w:p>
        </w:tc>
        <w:tc>
          <w:tcPr>
            <w:tcW w:w="5899" w:type="dxa"/>
          </w:tcPr>
          <w:p w14:paraId="32997622" w14:textId="77777777" w:rsidR="000E4A3C" w:rsidRPr="00EB3E63" w:rsidRDefault="00A74727" w:rsidP="00E645C8">
            <w:pPr>
              <w:widowControl w:val="0"/>
              <w:autoSpaceDE w:val="0"/>
              <w:autoSpaceDN w:val="0"/>
              <w:adjustRightInd w:val="0"/>
              <w:spacing w:after="120"/>
              <w:jc w:val="both"/>
              <w:rPr>
                <w:bCs/>
                <w:sz w:val="24"/>
              </w:rPr>
            </w:pPr>
            <w:r w:rsidRPr="00EB3E63">
              <w:rPr>
                <w:bCs/>
                <w:sz w:val="24"/>
              </w:rPr>
              <w:t>2019. gadā plānots uzsākt darbu pie AFCOS Nolikuma grozījumu izstrādes, ņemot vēr</w:t>
            </w:r>
            <w:r w:rsidR="00924B0A" w:rsidRPr="00EB3E63">
              <w:rPr>
                <w:bCs/>
                <w:sz w:val="24"/>
              </w:rPr>
              <w:t xml:space="preserve">ā </w:t>
            </w:r>
            <w:r w:rsidRPr="00EB3E63">
              <w:rPr>
                <w:bCs/>
                <w:sz w:val="24"/>
              </w:rPr>
              <w:t>Regulas 883/2013 grozījumu</w:t>
            </w:r>
            <w:r w:rsidR="00924B0A" w:rsidRPr="00EB3E63">
              <w:rPr>
                <w:bCs/>
                <w:sz w:val="24"/>
              </w:rPr>
              <w:t xml:space="preserve">s, kā arī </w:t>
            </w:r>
            <w:r w:rsidRPr="00EB3E63">
              <w:rPr>
                <w:bCs/>
                <w:sz w:val="24"/>
              </w:rPr>
              <w:t xml:space="preserve"> </w:t>
            </w:r>
            <w:r w:rsidR="00924B0A" w:rsidRPr="00EB3E63">
              <w:rPr>
                <w:bCs/>
                <w:sz w:val="24"/>
              </w:rPr>
              <w:t>jauna nacionālā normatīvā akta izstrādi.</w:t>
            </w:r>
          </w:p>
        </w:tc>
      </w:tr>
    </w:tbl>
    <w:p w14:paraId="27FD7351" w14:textId="77777777" w:rsidR="009B68A0" w:rsidRDefault="009B68A0" w:rsidP="009B68A0">
      <w:pPr>
        <w:widowControl w:val="0"/>
        <w:autoSpaceDE w:val="0"/>
        <w:autoSpaceDN w:val="0"/>
        <w:adjustRightInd w:val="0"/>
        <w:spacing w:after="240"/>
        <w:jc w:val="center"/>
        <w:rPr>
          <w:b/>
          <w:bCs/>
          <w:sz w:val="28"/>
        </w:rPr>
      </w:pPr>
    </w:p>
    <w:p w14:paraId="158F9482" w14:textId="77777777" w:rsidR="009B68A0" w:rsidRDefault="009B68A0" w:rsidP="009B68A0">
      <w:pPr>
        <w:widowControl w:val="0"/>
        <w:autoSpaceDE w:val="0"/>
        <w:autoSpaceDN w:val="0"/>
        <w:adjustRightInd w:val="0"/>
        <w:spacing w:after="240"/>
        <w:jc w:val="center"/>
        <w:rPr>
          <w:b/>
          <w:bCs/>
          <w:sz w:val="28"/>
        </w:rPr>
      </w:pPr>
    </w:p>
    <w:p w14:paraId="06A91DD7" w14:textId="77777777" w:rsidR="009B68A0" w:rsidRDefault="009B68A0" w:rsidP="009B68A0">
      <w:pPr>
        <w:widowControl w:val="0"/>
        <w:autoSpaceDE w:val="0"/>
        <w:autoSpaceDN w:val="0"/>
        <w:adjustRightInd w:val="0"/>
        <w:spacing w:after="240"/>
        <w:jc w:val="center"/>
        <w:rPr>
          <w:b/>
          <w:bCs/>
          <w:sz w:val="28"/>
        </w:rPr>
      </w:pPr>
    </w:p>
    <w:p w14:paraId="2A26267A" w14:textId="77777777" w:rsidR="009B68A0" w:rsidRDefault="009B68A0" w:rsidP="009B68A0">
      <w:pPr>
        <w:widowControl w:val="0"/>
        <w:autoSpaceDE w:val="0"/>
        <w:autoSpaceDN w:val="0"/>
        <w:adjustRightInd w:val="0"/>
        <w:spacing w:after="240"/>
        <w:jc w:val="center"/>
        <w:rPr>
          <w:b/>
          <w:bCs/>
          <w:sz w:val="28"/>
        </w:rPr>
      </w:pPr>
    </w:p>
    <w:p w14:paraId="488D90FF" w14:textId="77777777" w:rsidR="009B68A0" w:rsidRDefault="009B68A0" w:rsidP="009B68A0">
      <w:pPr>
        <w:widowControl w:val="0"/>
        <w:autoSpaceDE w:val="0"/>
        <w:autoSpaceDN w:val="0"/>
        <w:adjustRightInd w:val="0"/>
        <w:spacing w:after="240"/>
        <w:jc w:val="center"/>
        <w:rPr>
          <w:b/>
          <w:bCs/>
          <w:sz w:val="28"/>
        </w:rPr>
      </w:pPr>
    </w:p>
    <w:p w14:paraId="02A703F6" w14:textId="77777777" w:rsidR="009B68A0" w:rsidRDefault="009B68A0" w:rsidP="009B68A0">
      <w:pPr>
        <w:widowControl w:val="0"/>
        <w:autoSpaceDE w:val="0"/>
        <w:autoSpaceDN w:val="0"/>
        <w:adjustRightInd w:val="0"/>
        <w:spacing w:after="240"/>
        <w:jc w:val="center"/>
        <w:rPr>
          <w:b/>
          <w:bCs/>
          <w:sz w:val="28"/>
        </w:rPr>
      </w:pPr>
    </w:p>
    <w:p w14:paraId="5C48E43B" w14:textId="77777777" w:rsidR="009B68A0" w:rsidRDefault="009B68A0" w:rsidP="009B68A0">
      <w:pPr>
        <w:widowControl w:val="0"/>
        <w:autoSpaceDE w:val="0"/>
        <w:autoSpaceDN w:val="0"/>
        <w:adjustRightInd w:val="0"/>
        <w:spacing w:after="240"/>
        <w:jc w:val="center"/>
        <w:rPr>
          <w:b/>
          <w:bCs/>
          <w:sz w:val="28"/>
        </w:rPr>
      </w:pPr>
    </w:p>
    <w:p w14:paraId="3DDA1FFF" w14:textId="77777777" w:rsidR="006D0F8D" w:rsidRDefault="006D0F8D" w:rsidP="00E8117E">
      <w:pPr>
        <w:widowControl w:val="0"/>
        <w:autoSpaceDE w:val="0"/>
        <w:autoSpaceDN w:val="0"/>
        <w:adjustRightInd w:val="0"/>
        <w:spacing w:after="240"/>
        <w:contextualSpacing/>
        <w:jc w:val="center"/>
        <w:rPr>
          <w:b/>
          <w:bCs/>
          <w:sz w:val="32"/>
        </w:rPr>
      </w:pPr>
    </w:p>
    <w:p w14:paraId="52AE53CC" w14:textId="77777777" w:rsidR="006D0F8D" w:rsidRDefault="006D0F8D" w:rsidP="00E8117E">
      <w:pPr>
        <w:widowControl w:val="0"/>
        <w:autoSpaceDE w:val="0"/>
        <w:autoSpaceDN w:val="0"/>
        <w:adjustRightInd w:val="0"/>
        <w:spacing w:after="240"/>
        <w:contextualSpacing/>
        <w:jc w:val="center"/>
        <w:rPr>
          <w:b/>
          <w:bCs/>
          <w:sz w:val="32"/>
        </w:rPr>
      </w:pPr>
    </w:p>
    <w:p w14:paraId="3D0B5FEC" w14:textId="77777777" w:rsidR="006D0F8D" w:rsidRDefault="006D0F8D" w:rsidP="00E8117E">
      <w:pPr>
        <w:widowControl w:val="0"/>
        <w:autoSpaceDE w:val="0"/>
        <w:autoSpaceDN w:val="0"/>
        <w:adjustRightInd w:val="0"/>
        <w:spacing w:after="240"/>
        <w:contextualSpacing/>
        <w:jc w:val="center"/>
        <w:rPr>
          <w:b/>
          <w:bCs/>
          <w:sz w:val="32"/>
        </w:rPr>
      </w:pPr>
    </w:p>
    <w:p w14:paraId="1EF47DF2" w14:textId="27713502" w:rsidR="009B68A0" w:rsidRPr="00E8117E" w:rsidRDefault="009B68A0" w:rsidP="00E8117E">
      <w:pPr>
        <w:widowControl w:val="0"/>
        <w:autoSpaceDE w:val="0"/>
        <w:autoSpaceDN w:val="0"/>
        <w:adjustRightInd w:val="0"/>
        <w:spacing w:after="240"/>
        <w:contextualSpacing/>
        <w:jc w:val="center"/>
        <w:rPr>
          <w:b/>
          <w:bCs/>
          <w:sz w:val="32"/>
        </w:rPr>
      </w:pPr>
      <w:r w:rsidRPr="00E8117E">
        <w:rPr>
          <w:b/>
          <w:bCs/>
          <w:sz w:val="32"/>
        </w:rPr>
        <w:lastRenderedPageBreak/>
        <w:t>C DAĻA</w:t>
      </w:r>
    </w:p>
    <w:p w14:paraId="24906689" w14:textId="77777777" w:rsidR="009B68A0" w:rsidRPr="004F526C" w:rsidRDefault="009B68A0" w:rsidP="00E8117E">
      <w:pPr>
        <w:widowControl w:val="0"/>
        <w:autoSpaceDE w:val="0"/>
        <w:autoSpaceDN w:val="0"/>
        <w:adjustRightInd w:val="0"/>
        <w:spacing w:after="120"/>
        <w:ind w:firstLine="851"/>
        <w:contextualSpacing/>
        <w:jc w:val="center"/>
        <w:rPr>
          <w:b/>
          <w:bCs/>
          <w:sz w:val="28"/>
        </w:rPr>
      </w:pPr>
      <w:r w:rsidRPr="004F526C">
        <w:rPr>
          <w:b/>
          <w:bCs/>
          <w:sz w:val="28"/>
        </w:rPr>
        <w:t>INFORMATĪVS PĀRSKATS UN STATISTIKAS DATI</w:t>
      </w:r>
    </w:p>
    <w:p w14:paraId="52BA6365" w14:textId="289856CD" w:rsidR="009B68A0" w:rsidRDefault="009B68A0" w:rsidP="00E8117E">
      <w:pPr>
        <w:widowControl w:val="0"/>
        <w:autoSpaceDE w:val="0"/>
        <w:autoSpaceDN w:val="0"/>
        <w:adjustRightInd w:val="0"/>
        <w:spacing w:after="240"/>
        <w:ind w:firstLine="851"/>
        <w:contextualSpacing/>
        <w:jc w:val="center"/>
        <w:rPr>
          <w:b/>
          <w:bCs/>
          <w:sz w:val="28"/>
        </w:rPr>
      </w:pPr>
      <w:r w:rsidRPr="00313B5B">
        <w:rPr>
          <w:b/>
          <w:bCs/>
          <w:sz w:val="28"/>
        </w:rPr>
        <w:t xml:space="preserve">par konstatētajām neatbilstībām </w:t>
      </w:r>
      <w:r>
        <w:rPr>
          <w:b/>
          <w:bCs/>
          <w:sz w:val="28"/>
        </w:rPr>
        <w:t>ES finanšu instrumentu ietvaros</w:t>
      </w:r>
    </w:p>
    <w:p w14:paraId="7746CC0A" w14:textId="77777777" w:rsidR="00E8117E" w:rsidRPr="00F83121" w:rsidRDefault="00E8117E" w:rsidP="00E8117E">
      <w:pPr>
        <w:widowControl w:val="0"/>
        <w:autoSpaceDE w:val="0"/>
        <w:autoSpaceDN w:val="0"/>
        <w:adjustRightInd w:val="0"/>
        <w:spacing w:after="240"/>
        <w:ind w:firstLine="851"/>
        <w:contextualSpacing/>
        <w:jc w:val="center"/>
        <w:rPr>
          <w:b/>
          <w:bCs/>
          <w:sz w:val="28"/>
        </w:rPr>
      </w:pPr>
    </w:p>
    <w:p w14:paraId="2F3F618D" w14:textId="77777777" w:rsidR="0078371C" w:rsidRPr="004F526C" w:rsidRDefault="0078371C" w:rsidP="0078371C">
      <w:pPr>
        <w:widowControl w:val="0"/>
        <w:autoSpaceDE w:val="0"/>
        <w:autoSpaceDN w:val="0"/>
        <w:adjustRightInd w:val="0"/>
        <w:spacing w:after="120"/>
        <w:ind w:firstLine="851"/>
        <w:jc w:val="both"/>
        <w:rPr>
          <w:b/>
        </w:rPr>
      </w:pPr>
      <w:r w:rsidRPr="004F526C">
        <w:rPr>
          <w:b/>
        </w:rPr>
        <w:t>C.1. Neatbilstību tendences sadalījumā pa ES finanšu instrumentiem 2018.</w:t>
      </w:r>
      <w:r>
        <w:rPr>
          <w:b/>
        </w:rPr>
        <w:t> </w:t>
      </w:r>
      <w:r w:rsidRPr="004F526C">
        <w:rPr>
          <w:b/>
        </w:rPr>
        <w:t>gadā</w:t>
      </w:r>
    </w:p>
    <w:p w14:paraId="2D8E1FB6" w14:textId="77777777" w:rsidR="0078371C" w:rsidRDefault="0078371C" w:rsidP="0078371C">
      <w:pPr>
        <w:widowControl w:val="0"/>
        <w:autoSpaceDE w:val="0"/>
        <w:autoSpaceDN w:val="0"/>
        <w:adjustRightInd w:val="0"/>
        <w:spacing w:after="120"/>
        <w:ind w:firstLine="851"/>
        <w:contextualSpacing/>
        <w:jc w:val="both"/>
        <w:rPr>
          <w:bCs/>
        </w:rPr>
      </w:pPr>
      <w:r>
        <w:rPr>
          <w:bCs/>
        </w:rPr>
        <w:t>2018</w:t>
      </w:r>
      <w:r w:rsidRPr="00E83A0F">
        <w:rPr>
          <w:bCs/>
        </w:rPr>
        <w:t>. gadā 2014.</w:t>
      </w:r>
      <w:r>
        <w:rPr>
          <w:bCs/>
        </w:rPr>
        <w:t xml:space="preserve"> </w:t>
      </w:r>
      <w:r w:rsidRPr="00E83A0F">
        <w:rPr>
          <w:bCs/>
        </w:rPr>
        <w:t>-</w:t>
      </w:r>
      <w:r>
        <w:rPr>
          <w:bCs/>
        </w:rPr>
        <w:t xml:space="preserve"> 2020. plānošanas periodā</w:t>
      </w:r>
      <w:r w:rsidRPr="00E83A0F">
        <w:rPr>
          <w:bCs/>
        </w:rPr>
        <w:t xml:space="preserve"> ES fondu izlietojumā konstatētas </w:t>
      </w:r>
      <w:r>
        <w:rPr>
          <w:bCs/>
        </w:rPr>
        <w:t>1238</w:t>
      </w:r>
      <w:r w:rsidRPr="00E83A0F">
        <w:rPr>
          <w:bCs/>
        </w:rPr>
        <w:t xml:space="preserve"> neatbilstības par kopējo summu </w:t>
      </w:r>
      <w:r>
        <w:rPr>
          <w:bCs/>
        </w:rPr>
        <w:t>2 720 693,00</w:t>
      </w:r>
      <w:r w:rsidRPr="00E83A0F">
        <w:rPr>
          <w:bCs/>
        </w:rPr>
        <w:t xml:space="preserve"> EUR, līdz ar to, salīdzinot ar kopējiem attiecināmiem izdevumiem</w:t>
      </w:r>
      <w:r w:rsidRPr="00E83A0F">
        <w:rPr>
          <w:rStyle w:val="FootnoteReference"/>
          <w:bCs/>
        </w:rPr>
        <w:footnoteReference w:id="28"/>
      </w:r>
      <w:r>
        <w:rPr>
          <w:bCs/>
        </w:rPr>
        <w:t>, kopējais 2018</w:t>
      </w:r>
      <w:r w:rsidRPr="00E83A0F">
        <w:rPr>
          <w:bCs/>
        </w:rPr>
        <w:t>.</w:t>
      </w:r>
      <w:r>
        <w:rPr>
          <w:bCs/>
        </w:rPr>
        <w:t> </w:t>
      </w:r>
      <w:r w:rsidRPr="00E83A0F">
        <w:rPr>
          <w:bCs/>
        </w:rPr>
        <w:t>gadā konstatēto neatbilstību summas īpatsvars veido 0,15 %.</w:t>
      </w:r>
      <w:r>
        <w:rPr>
          <w:bCs/>
        </w:rPr>
        <w:t xml:space="preserve"> Jāpiemin, ka salīdzinājumam ar 2017. gadu, kad neatbilstību summa, bija krietni zemāka nekā 2018. gadā, kopējais </w:t>
      </w:r>
      <w:r w:rsidRPr="00E83A0F">
        <w:rPr>
          <w:bCs/>
        </w:rPr>
        <w:t xml:space="preserve">konstatēto neatbilstību summas īpatsvars </w:t>
      </w:r>
      <w:r>
        <w:rPr>
          <w:bCs/>
        </w:rPr>
        <w:t>ir palicis nemainīgs, t.i.,</w:t>
      </w:r>
      <w:r w:rsidRPr="00E83A0F">
        <w:rPr>
          <w:bCs/>
        </w:rPr>
        <w:t xml:space="preserve"> 0,15 </w:t>
      </w:r>
      <w:r w:rsidRPr="00F83121">
        <w:rPr>
          <w:bCs/>
        </w:rPr>
        <w:t xml:space="preserve">%. Tas izskaidrojams ar to, ka 2018. gadā ir notikusi intensīvāka projektu realizācija, </w:t>
      </w:r>
      <w:r>
        <w:rPr>
          <w:bCs/>
        </w:rPr>
        <w:t xml:space="preserve">līdz ar to </w:t>
      </w:r>
      <w:r w:rsidRPr="00F83121">
        <w:rPr>
          <w:bCs/>
        </w:rPr>
        <w:t>kopējo attiecināmo izdevumu summa 2018. gadā bija divas reizes lielāka nekā 2017. gadā (2017. gadā -  908 473</w:t>
      </w:r>
      <w:r>
        <w:rPr>
          <w:bCs/>
        </w:rPr>
        <w:t> </w:t>
      </w:r>
      <w:r w:rsidRPr="00F83121">
        <w:rPr>
          <w:bCs/>
        </w:rPr>
        <w:t>608</w:t>
      </w:r>
      <w:r>
        <w:rPr>
          <w:bCs/>
        </w:rPr>
        <w:t>,</w:t>
      </w:r>
      <w:r w:rsidRPr="00F83121">
        <w:rPr>
          <w:bCs/>
        </w:rPr>
        <w:t>52 EUR; 2018. gadā</w:t>
      </w:r>
      <w:r>
        <w:rPr>
          <w:bCs/>
        </w:rPr>
        <w:t xml:space="preserve"> </w:t>
      </w:r>
      <w:r w:rsidRPr="00F83121">
        <w:rPr>
          <w:bCs/>
        </w:rPr>
        <w:t>- 1 872 398</w:t>
      </w:r>
      <w:r>
        <w:rPr>
          <w:bCs/>
        </w:rPr>
        <w:t> </w:t>
      </w:r>
      <w:r w:rsidRPr="00F83121">
        <w:rPr>
          <w:bCs/>
        </w:rPr>
        <w:t>964</w:t>
      </w:r>
      <w:r>
        <w:rPr>
          <w:bCs/>
        </w:rPr>
        <w:t>,</w:t>
      </w:r>
      <w:r w:rsidRPr="00F83121">
        <w:rPr>
          <w:bCs/>
        </w:rPr>
        <w:t xml:space="preserve">11 EUR). </w:t>
      </w:r>
      <w:r>
        <w:rPr>
          <w:bCs/>
        </w:rPr>
        <w:t>Summas pieaugums tādējādi ir izskaidrojams un</w:t>
      </w:r>
      <w:r w:rsidRPr="00F83121">
        <w:rPr>
          <w:bCs/>
        </w:rPr>
        <w:t xml:space="preserve"> 2018. gadā konstatēto neatbilstību summas palielinājums neietekmē kopējo konstatēto neatbilstību summas īpatsvaru salīdzinājumā</w:t>
      </w:r>
      <w:r>
        <w:rPr>
          <w:bCs/>
        </w:rPr>
        <w:t xml:space="preserve"> ar attiecināmo izdevumu summu (detalizētu informācijas apkopojumu skatīt 2. pielikumā).</w:t>
      </w:r>
    </w:p>
    <w:p w14:paraId="40635984" w14:textId="77777777" w:rsidR="0078371C" w:rsidRDefault="0078371C" w:rsidP="0078371C">
      <w:pPr>
        <w:widowControl w:val="0"/>
        <w:autoSpaceDE w:val="0"/>
        <w:autoSpaceDN w:val="0"/>
        <w:adjustRightInd w:val="0"/>
        <w:spacing w:after="120"/>
        <w:ind w:firstLine="851"/>
        <w:contextualSpacing/>
        <w:jc w:val="both"/>
        <w:rPr>
          <w:bCs/>
        </w:rPr>
      </w:pPr>
      <w:r w:rsidRPr="00777856">
        <w:rPr>
          <w:bCs/>
        </w:rPr>
        <w:t xml:space="preserve">Salīdzinājumam 2007. – 2013. </w:t>
      </w:r>
      <w:r>
        <w:rPr>
          <w:bCs/>
        </w:rPr>
        <w:t xml:space="preserve">plānošanas </w:t>
      </w:r>
      <w:r w:rsidRPr="00777856">
        <w:rPr>
          <w:bCs/>
        </w:rPr>
        <w:t>perioda piektajā ieviešanas gadā (2011.</w:t>
      </w:r>
      <w:r>
        <w:rPr>
          <w:bCs/>
        </w:rPr>
        <w:t> gads</w:t>
      </w:r>
      <w:r w:rsidRPr="00777856">
        <w:rPr>
          <w:bCs/>
        </w:rPr>
        <w:t>) ERAF, ESF, KF, EZF, ELFLA un ELGF fondos, kopējais konstatēto neatbilstību skaits bija 2097 neatbilstības par kopējo summu 3 115</w:t>
      </w:r>
      <w:r>
        <w:rPr>
          <w:bCs/>
        </w:rPr>
        <w:t> </w:t>
      </w:r>
      <w:r w:rsidRPr="00777856">
        <w:rPr>
          <w:bCs/>
        </w:rPr>
        <w:t>742</w:t>
      </w:r>
      <w:r>
        <w:rPr>
          <w:bCs/>
        </w:rPr>
        <w:t>,</w:t>
      </w:r>
      <w:r w:rsidRPr="00777856">
        <w:rPr>
          <w:bCs/>
        </w:rPr>
        <w:t>33 EUR, līdz ar to, salīdzinot ar kopējiem attiecināmiem izdevumiem, kopējais 2011.</w:t>
      </w:r>
      <w:r>
        <w:rPr>
          <w:bCs/>
        </w:rPr>
        <w:t> </w:t>
      </w:r>
      <w:r w:rsidRPr="00777856">
        <w:rPr>
          <w:bCs/>
        </w:rPr>
        <w:t>gadā konstatēto neatbilstību</w:t>
      </w:r>
      <w:r>
        <w:rPr>
          <w:bCs/>
        </w:rPr>
        <w:t xml:space="preserve"> summas īpatsvars veidoja 0,26% (detalizētu informācijas apkopojumu par fondos konstatētajām neatbilstībām sadalījumā pa fondiem skatīt 2. pielikumā).</w:t>
      </w:r>
    </w:p>
    <w:p w14:paraId="3E6DF2F9" w14:textId="77777777" w:rsidR="0078371C" w:rsidRPr="00E83A0F" w:rsidRDefault="0078371C" w:rsidP="0078371C">
      <w:pPr>
        <w:widowControl w:val="0"/>
        <w:autoSpaceDE w:val="0"/>
        <w:autoSpaceDN w:val="0"/>
        <w:adjustRightInd w:val="0"/>
        <w:spacing w:after="120"/>
        <w:ind w:firstLine="851"/>
        <w:jc w:val="both"/>
        <w:rPr>
          <w:bCs/>
        </w:rPr>
      </w:pPr>
    </w:p>
    <w:p w14:paraId="3CD73EAD" w14:textId="1B0F0204" w:rsidR="009B68A0" w:rsidRPr="00E54E87" w:rsidRDefault="0078371C" w:rsidP="0078371C">
      <w:pPr>
        <w:widowControl w:val="0"/>
        <w:autoSpaceDE w:val="0"/>
        <w:autoSpaceDN w:val="0"/>
        <w:adjustRightInd w:val="0"/>
        <w:spacing w:after="120"/>
        <w:ind w:firstLine="851"/>
        <w:jc w:val="right"/>
        <w:rPr>
          <w:bCs/>
          <w:i/>
        </w:rPr>
      </w:pPr>
      <w:r>
        <w:rPr>
          <w:bCs/>
          <w:i/>
        </w:rPr>
        <w:t>2</w:t>
      </w:r>
      <w:r w:rsidRPr="00B852AE">
        <w:rPr>
          <w:bCs/>
          <w:i/>
        </w:rPr>
        <w:t>.</w:t>
      </w:r>
      <w:r w:rsidRPr="00E54E87">
        <w:rPr>
          <w:bCs/>
          <w:i/>
        </w:rPr>
        <w:t xml:space="preserve"> tabula “Neatbilstību skaits </w:t>
      </w:r>
      <w:r>
        <w:rPr>
          <w:bCs/>
          <w:i/>
        </w:rPr>
        <w:t xml:space="preserve">un summas </w:t>
      </w:r>
      <w:r w:rsidRPr="00E54E87">
        <w:rPr>
          <w:bCs/>
          <w:i/>
        </w:rPr>
        <w:t>2014.-2020. plānošanas periodā visos ES finanšu instrumentos kopā”</w:t>
      </w:r>
      <w:r w:rsidR="009B68A0" w:rsidRPr="00E54E87">
        <w:rPr>
          <w:bCs/>
          <w:i/>
          <w:noProof/>
          <w:lang w:eastAsia="lv-LV"/>
        </w:rPr>
        <w:drawing>
          <wp:inline distT="0" distB="0" distL="0" distR="0" wp14:anchorId="4A4B4F76" wp14:editId="463451A9">
            <wp:extent cx="6004560" cy="3068515"/>
            <wp:effectExtent l="0" t="0" r="1524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8C554E" w14:textId="77777777" w:rsidR="009B68A0" w:rsidRPr="00707DB9" w:rsidRDefault="009B68A0" w:rsidP="009B68A0">
      <w:pPr>
        <w:widowControl w:val="0"/>
        <w:autoSpaceDE w:val="0"/>
        <w:autoSpaceDN w:val="0"/>
        <w:adjustRightInd w:val="0"/>
        <w:spacing w:after="120"/>
        <w:ind w:firstLine="851"/>
        <w:contextualSpacing/>
        <w:jc w:val="both"/>
        <w:rPr>
          <w:bCs/>
          <w:i/>
        </w:rPr>
      </w:pPr>
      <w:r w:rsidRPr="00707DB9">
        <w:rPr>
          <w:bCs/>
        </w:rPr>
        <w:t>Lielais kāpums neatbilstību apjomā 2016. gadā ir skaidrojams ar EK audita konstatēto sistēmisko pārkāpumu iepirkumos būvniecības jomā 2007. - 2013. plānošanas periodā noslēgtiem līgumiem KF un ERAF ietvaros, kam bija arī sistēmiska ietekme uz līgumiem, kas bija jau noslēgti 2014. - 2020. plānošanas perioda ietvaros.</w:t>
      </w:r>
      <w:r w:rsidRPr="00707DB9">
        <w:rPr>
          <w:bCs/>
          <w:i/>
        </w:rPr>
        <w:t xml:space="preserve"> </w:t>
      </w:r>
    </w:p>
    <w:p w14:paraId="2AB15EBD" w14:textId="33398E57" w:rsidR="009B68A0" w:rsidRPr="00155773" w:rsidRDefault="00155773" w:rsidP="00155773">
      <w:pPr>
        <w:ind w:firstLine="851"/>
        <w:contextualSpacing/>
        <w:jc w:val="both"/>
      </w:pPr>
      <w:r w:rsidRPr="006D0F8D">
        <w:rPr>
          <w:bCs/>
        </w:rPr>
        <w:lastRenderedPageBreak/>
        <w:t xml:space="preserve">Savukārt, neatbilstību skaita kāpums 2017. gadā izskaidrojums ar ELFLA un ELGF fondu specifiku, proti, </w:t>
      </w:r>
      <w:r w:rsidRPr="006D0F8D">
        <w:t xml:space="preserve">šajos fondos ir ļoti liels iesniegto pieteikumu/projekta iesniegumu un atbalsta saņēmēju skaits (ELGF ietvaros aptuveni 60 tūkst. atbalsta saņēmēju ik gadus un ELFLA ietvaros jau 22 tūkst.). Tādējādi salīdzinājumā ar citiem ES fondiem tieši ELFLA un ELGF ietvaros šo konstatēto neatbilstību skaits ikgadēji ir liels, </w:t>
      </w:r>
      <w:r w:rsidRPr="006D0F8D">
        <w:rPr>
          <w:bCs/>
        </w:rPr>
        <w:t>ar mazu finansiālo ietekmi</w:t>
      </w:r>
      <w:r w:rsidR="009B68A0" w:rsidRPr="006D0F8D">
        <w:rPr>
          <w:bCs/>
        </w:rPr>
        <w:t>.</w:t>
      </w:r>
    </w:p>
    <w:p w14:paraId="718C447C" w14:textId="77777777" w:rsidR="009B68A0" w:rsidRPr="00EB6AA7" w:rsidRDefault="009B68A0" w:rsidP="009B68A0">
      <w:pPr>
        <w:spacing w:before="120" w:after="120"/>
        <w:rPr>
          <w:b/>
        </w:rPr>
      </w:pPr>
    </w:p>
    <w:p w14:paraId="2D2C425B" w14:textId="4E1034AD" w:rsidR="009B68A0" w:rsidRPr="00F83121" w:rsidRDefault="00B852AE" w:rsidP="009B68A0">
      <w:pPr>
        <w:widowControl w:val="0"/>
        <w:autoSpaceDE w:val="0"/>
        <w:autoSpaceDN w:val="0"/>
        <w:adjustRightInd w:val="0"/>
        <w:spacing w:after="120"/>
        <w:ind w:firstLine="851"/>
        <w:jc w:val="right"/>
        <w:rPr>
          <w:bCs/>
          <w:i/>
        </w:rPr>
      </w:pPr>
      <w:r w:rsidRPr="00B852AE">
        <w:rPr>
          <w:bCs/>
          <w:i/>
        </w:rPr>
        <w:t>3</w:t>
      </w:r>
      <w:r w:rsidR="009B68A0" w:rsidRPr="00B852AE">
        <w:rPr>
          <w:bCs/>
          <w:i/>
        </w:rPr>
        <w:t>.</w:t>
      </w:r>
      <w:r w:rsidR="009B68A0" w:rsidRPr="00E54E87">
        <w:rPr>
          <w:bCs/>
          <w:i/>
        </w:rPr>
        <w:t xml:space="preserve"> tabula “Neatbilstību skaits </w:t>
      </w:r>
      <w:r w:rsidR="0078371C">
        <w:rPr>
          <w:bCs/>
          <w:i/>
        </w:rPr>
        <w:t xml:space="preserve">un summas </w:t>
      </w:r>
      <w:r w:rsidR="009B68A0" w:rsidRPr="00E54E87">
        <w:rPr>
          <w:bCs/>
          <w:i/>
        </w:rPr>
        <w:t xml:space="preserve">2014.-2020. plānošanas periodā </w:t>
      </w:r>
      <w:r w:rsidR="009B68A0">
        <w:rPr>
          <w:bCs/>
          <w:i/>
        </w:rPr>
        <w:t xml:space="preserve">2018. gadā sadalījumā </w:t>
      </w:r>
      <w:r w:rsidR="009B68A0" w:rsidRPr="00E54E87">
        <w:rPr>
          <w:bCs/>
          <w:i/>
        </w:rPr>
        <w:t xml:space="preserve">pa </w:t>
      </w:r>
      <w:r w:rsidR="009B68A0">
        <w:rPr>
          <w:bCs/>
          <w:i/>
        </w:rPr>
        <w:t>ES finanšu instrumentu veidiem”</w:t>
      </w:r>
    </w:p>
    <w:p w14:paraId="15FA79E6" w14:textId="77777777" w:rsidR="009B68A0" w:rsidRDefault="009B68A0" w:rsidP="009B68A0">
      <w:pPr>
        <w:spacing w:before="120" w:after="120"/>
        <w:jc w:val="center"/>
        <w:rPr>
          <w:b/>
          <w:color w:val="FF0000"/>
        </w:rPr>
      </w:pPr>
      <w:r w:rsidRPr="00E54E87">
        <w:rPr>
          <w:noProof/>
          <w:lang w:eastAsia="lv-LV"/>
        </w:rPr>
        <w:drawing>
          <wp:inline distT="0" distB="0" distL="0" distR="0" wp14:anchorId="602D9A88" wp14:editId="73849F35">
            <wp:extent cx="6153785" cy="3147646"/>
            <wp:effectExtent l="0" t="0" r="18415"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23220E" w14:textId="59AED530" w:rsidR="009B68A0" w:rsidRDefault="009B68A0" w:rsidP="009B68A0">
      <w:pPr>
        <w:widowControl w:val="0"/>
        <w:autoSpaceDE w:val="0"/>
        <w:autoSpaceDN w:val="0"/>
        <w:adjustRightInd w:val="0"/>
        <w:spacing w:after="120"/>
        <w:ind w:firstLine="851"/>
        <w:contextualSpacing/>
        <w:jc w:val="both"/>
        <w:rPr>
          <w:bCs/>
        </w:rPr>
      </w:pPr>
      <w:r w:rsidRPr="00EB6AA7">
        <w:rPr>
          <w:bCs/>
        </w:rPr>
        <w:t xml:space="preserve">Izvērtējot neatbilstības sadalījumā pa ES finanšu instrumentiem (skatīt </w:t>
      </w:r>
      <w:r w:rsidR="00B852AE">
        <w:rPr>
          <w:bCs/>
        </w:rPr>
        <w:t>3</w:t>
      </w:r>
      <w:r>
        <w:rPr>
          <w:bCs/>
        </w:rPr>
        <w:t>.</w:t>
      </w:r>
      <w:r w:rsidR="004E0D9E">
        <w:rPr>
          <w:bCs/>
        </w:rPr>
        <w:t xml:space="preserve"> </w:t>
      </w:r>
      <w:r>
        <w:rPr>
          <w:bCs/>
        </w:rPr>
        <w:t>tabulu), konstatējams, ka 2018</w:t>
      </w:r>
      <w:r w:rsidRPr="00EB6AA7">
        <w:rPr>
          <w:bCs/>
        </w:rPr>
        <w:t>.</w:t>
      </w:r>
      <w:r w:rsidR="004E0D9E">
        <w:rPr>
          <w:bCs/>
        </w:rPr>
        <w:t xml:space="preserve"> </w:t>
      </w:r>
      <w:r w:rsidRPr="00EB6AA7">
        <w:rPr>
          <w:bCs/>
        </w:rPr>
        <w:t xml:space="preserve">gadā visvairāk neatbilstību, salīdzinot pret kopējo neatbilstību </w:t>
      </w:r>
      <w:r>
        <w:rPr>
          <w:bCs/>
        </w:rPr>
        <w:t>skaitu</w:t>
      </w:r>
      <w:r w:rsidRPr="00EB6AA7">
        <w:rPr>
          <w:bCs/>
        </w:rPr>
        <w:t>, tika atklātas ELFLA (</w:t>
      </w:r>
      <w:r>
        <w:rPr>
          <w:bCs/>
        </w:rPr>
        <w:t>51,94</w:t>
      </w:r>
      <w:r w:rsidRPr="00EB6AA7">
        <w:rPr>
          <w:bCs/>
        </w:rPr>
        <w:t xml:space="preserve"> %) ietvaros, kam seko neatbilstības ELGF (</w:t>
      </w:r>
      <w:r>
        <w:rPr>
          <w:bCs/>
        </w:rPr>
        <w:t xml:space="preserve">23,34 </w:t>
      </w:r>
      <w:r w:rsidRPr="00EB6AA7">
        <w:rPr>
          <w:bCs/>
        </w:rPr>
        <w:t>%)</w:t>
      </w:r>
      <w:r>
        <w:rPr>
          <w:bCs/>
        </w:rPr>
        <w:t xml:space="preserve"> un </w:t>
      </w:r>
      <w:r w:rsidRPr="00EB6AA7">
        <w:rPr>
          <w:bCs/>
        </w:rPr>
        <w:t>ERAF (</w:t>
      </w:r>
      <w:r>
        <w:rPr>
          <w:bCs/>
        </w:rPr>
        <w:t>8,16</w:t>
      </w:r>
      <w:r w:rsidRPr="00EB6AA7">
        <w:rPr>
          <w:bCs/>
        </w:rPr>
        <w:t xml:space="preserve"> %) ietvaros. Savukārt, v</w:t>
      </w:r>
      <w:r>
        <w:rPr>
          <w:bCs/>
        </w:rPr>
        <w:t xml:space="preserve">islielākais neatbilstību apjoms, </w:t>
      </w:r>
      <w:r w:rsidRPr="00EB6AA7">
        <w:rPr>
          <w:bCs/>
        </w:rPr>
        <w:t xml:space="preserve">salīdzinot pret kopējo neatbilstību </w:t>
      </w:r>
      <w:r>
        <w:rPr>
          <w:bCs/>
        </w:rPr>
        <w:t>summu 2018. gadā</w:t>
      </w:r>
      <w:r w:rsidRPr="00EB6AA7">
        <w:rPr>
          <w:bCs/>
        </w:rPr>
        <w:t xml:space="preserve"> tika konstatēts KF (</w:t>
      </w:r>
      <w:r>
        <w:rPr>
          <w:bCs/>
        </w:rPr>
        <w:t xml:space="preserve">34,90 </w:t>
      </w:r>
      <w:r w:rsidRPr="00EB6AA7">
        <w:rPr>
          <w:bCs/>
        </w:rPr>
        <w:t>%) ietvaros, kam seko neatbilstības</w:t>
      </w:r>
      <w:r w:rsidRPr="008571D7">
        <w:rPr>
          <w:bCs/>
        </w:rPr>
        <w:t xml:space="preserve"> </w:t>
      </w:r>
      <w:r w:rsidRPr="00EB6AA7">
        <w:rPr>
          <w:bCs/>
        </w:rPr>
        <w:t>ERAF (</w:t>
      </w:r>
      <w:r>
        <w:rPr>
          <w:bCs/>
        </w:rPr>
        <w:t>26,44 %) un ELFLA (24,27 %).</w:t>
      </w:r>
    </w:p>
    <w:p w14:paraId="6FDE4115" w14:textId="2F029E45" w:rsidR="009B68A0" w:rsidRPr="00EB6AA7" w:rsidRDefault="009B68A0" w:rsidP="009B68A0">
      <w:pPr>
        <w:widowControl w:val="0"/>
        <w:autoSpaceDE w:val="0"/>
        <w:autoSpaceDN w:val="0"/>
        <w:adjustRightInd w:val="0"/>
        <w:spacing w:after="120"/>
        <w:ind w:firstLine="851"/>
        <w:contextualSpacing/>
        <w:jc w:val="both"/>
        <w:rPr>
          <w:bCs/>
        </w:rPr>
      </w:pPr>
      <w:r w:rsidRPr="00EB6AA7">
        <w:rPr>
          <w:bCs/>
        </w:rPr>
        <w:t xml:space="preserve"> ELFLA izteikti lielākais neatbilstību skaits, kā arī ELGF ietvaros konstatētais neatbilstību skaits ir skaidrojams ar šo fondu specifiku, proti, lielākā daļa no neatbilstībām ir atklātas platību maksājumu atbalsta pasākumu ietvaros, kā arī jāņe</w:t>
      </w:r>
      <w:r>
        <w:rPr>
          <w:bCs/>
        </w:rPr>
        <w:t xml:space="preserve">m vērā tas, ka šajos fondos ir </w:t>
      </w:r>
      <w:r w:rsidRPr="00EB6AA7">
        <w:rPr>
          <w:bCs/>
        </w:rPr>
        <w:t>ļoti liels iesniegto pieteikumu/projekta iesniegumu un atbalsta saņēmēju skaits</w:t>
      </w:r>
      <w:r>
        <w:rPr>
          <w:bCs/>
        </w:rPr>
        <w:t>, taču summas ir salīdzinoši nelielas</w:t>
      </w:r>
      <w:r w:rsidRPr="00EB6AA7">
        <w:rPr>
          <w:bCs/>
        </w:rPr>
        <w:t xml:space="preserve">. </w:t>
      </w:r>
      <w:r w:rsidRPr="006D0F8D">
        <w:rPr>
          <w:bCs/>
        </w:rPr>
        <w:t>Tāpēc, salīdzinot neatbilstību konstatēšanas tendences gadu griezumā, redzams, ka lauksaimniecības fondos (EL</w:t>
      </w:r>
      <w:r w:rsidR="00155773" w:rsidRPr="006D0F8D">
        <w:rPr>
          <w:bCs/>
        </w:rPr>
        <w:t xml:space="preserve">FLA un ELGF) tās ir pastāvīgas </w:t>
      </w:r>
      <w:r w:rsidRPr="006D0F8D">
        <w:rPr>
          <w:bCs/>
        </w:rPr>
        <w:t>un vidējais vienas neatbilstības apjoms ir ļoti zems (detalizētu informāciju skatīt C</w:t>
      </w:r>
      <w:r w:rsidR="00B852AE" w:rsidRPr="006D0F8D">
        <w:rPr>
          <w:bCs/>
        </w:rPr>
        <w:t>.1.2</w:t>
      </w:r>
      <w:r w:rsidRPr="006D0F8D">
        <w:rPr>
          <w:bCs/>
        </w:rPr>
        <w:t>.sadaļā).</w:t>
      </w:r>
      <w:r w:rsidRPr="00EB6AA7">
        <w:t xml:space="preserve"> </w:t>
      </w:r>
    </w:p>
    <w:p w14:paraId="3C73C634" w14:textId="274DEDB3" w:rsidR="009B68A0" w:rsidRPr="00805EE2" w:rsidRDefault="009B68A0" w:rsidP="00B852AE">
      <w:pPr>
        <w:spacing w:before="120" w:after="120"/>
        <w:ind w:firstLine="851"/>
        <w:jc w:val="both"/>
      </w:pPr>
      <w:r w:rsidRPr="00805EE2">
        <w:t xml:space="preserve">Savukārt, KF lielais neatbilstību summas apjoms skaidrojams ar to, ka </w:t>
      </w:r>
      <w:r>
        <w:t xml:space="preserve">KF ietvaros tiek realizēti </w:t>
      </w:r>
      <w:r w:rsidR="004E0D9E">
        <w:t>finansiālā</w:t>
      </w:r>
      <w:r>
        <w:t xml:space="preserve"> ziņā apjomīgākie projekti, kamēr projektu skaits ir salīdzinoši neliels, līdz ar to arī atklātās neatbilstības skaita ziņā nav daudz, taču ar lielu finansiālo ietekmi.</w:t>
      </w:r>
    </w:p>
    <w:p w14:paraId="4087913B" w14:textId="77777777" w:rsidR="009B68A0" w:rsidRDefault="009B68A0" w:rsidP="009B68A0">
      <w:pPr>
        <w:spacing w:before="120" w:after="120"/>
        <w:jc w:val="both"/>
        <w:rPr>
          <w:b/>
        </w:rPr>
      </w:pPr>
    </w:p>
    <w:p w14:paraId="63443640" w14:textId="2BC23049" w:rsidR="00B852AE" w:rsidRDefault="00B852AE" w:rsidP="009B68A0">
      <w:pPr>
        <w:spacing w:before="120" w:after="120"/>
        <w:jc w:val="both"/>
        <w:rPr>
          <w:b/>
        </w:rPr>
      </w:pPr>
    </w:p>
    <w:p w14:paraId="53C33377" w14:textId="038C250A" w:rsidR="00B852AE" w:rsidRDefault="00B852AE" w:rsidP="009B68A0">
      <w:pPr>
        <w:spacing w:before="120" w:after="120"/>
        <w:jc w:val="both"/>
        <w:rPr>
          <w:b/>
        </w:rPr>
      </w:pPr>
    </w:p>
    <w:p w14:paraId="3275AC34" w14:textId="140EF4B4" w:rsidR="00E8117E" w:rsidRDefault="00E8117E" w:rsidP="009B68A0">
      <w:pPr>
        <w:spacing w:before="120" w:after="120"/>
        <w:jc w:val="both"/>
        <w:rPr>
          <w:b/>
        </w:rPr>
      </w:pPr>
    </w:p>
    <w:p w14:paraId="1CCE6C25" w14:textId="77777777" w:rsidR="006D0F8D" w:rsidRPr="00F83121" w:rsidRDefault="006D0F8D" w:rsidP="009B68A0">
      <w:pPr>
        <w:spacing w:before="120" w:after="120"/>
        <w:jc w:val="both"/>
        <w:rPr>
          <w:b/>
        </w:rPr>
      </w:pPr>
    </w:p>
    <w:p w14:paraId="61CA9DAA" w14:textId="77777777" w:rsidR="004E0D9E" w:rsidRPr="006D0F8D" w:rsidRDefault="004E0D9E" w:rsidP="004E0D9E">
      <w:pPr>
        <w:pStyle w:val="ListParagraph"/>
        <w:ind w:left="0" w:firstLine="851"/>
        <w:jc w:val="both"/>
        <w:rPr>
          <w:rFonts w:ascii="Times New Roman" w:hAnsi="Times New Roman"/>
          <w:b/>
          <w:sz w:val="24"/>
          <w:szCs w:val="24"/>
        </w:rPr>
      </w:pPr>
      <w:r w:rsidRPr="006D0F8D">
        <w:rPr>
          <w:rFonts w:ascii="Times New Roman" w:hAnsi="Times New Roman"/>
          <w:b/>
          <w:sz w:val="24"/>
          <w:szCs w:val="24"/>
        </w:rPr>
        <w:lastRenderedPageBreak/>
        <w:t>C.1.1. Eiropas Sociālais fonds (ESF), Eiropas Reģionālās attīstības fonds (ERAF) un Kohēzijas fonds (KF) (2014.-2020.plānošanas periods)</w:t>
      </w:r>
    </w:p>
    <w:p w14:paraId="350F72C7" w14:textId="77777777" w:rsidR="004E0D9E" w:rsidRPr="006D0F8D" w:rsidRDefault="004E0D9E" w:rsidP="004E0D9E">
      <w:pPr>
        <w:pStyle w:val="ListParagraph"/>
        <w:ind w:left="0" w:firstLine="851"/>
        <w:jc w:val="both"/>
        <w:rPr>
          <w:rFonts w:ascii="Times New Roman" w:hAnsi="Times New Roman"/>
          <w:b/>
          <w:sz w:val="24"/>
          <w:szCs w:val="24"/>
        </w:rPr>
      </w:pPr>
    </w:p>
    <w:p w14:paraId="2CB304FA" w14:textId="77777777" w:rsidR="004E0D9E" w:rsidRPr="006D0F8D" w:rsidRDefault="004E0D9E" w:rsidP="004E0D9E">
      <w:pPr>
        <w:tabs>
          <w:tab w:val="left" w:pos="6740"/>
        </w:tabs>
        <w:ind w:firstLine="851"/>
        <w:jc w:val="both"/>
      </w:pPr>
      <w:r w:rsidRPr="006D0F8D">
        <w:t>2018. gadā ERAF finansētos projektos konstatēta 101 neatbilstība par kopējo summu 719 229,38 EUR; ESF finansētos projektos – 64 neatbilstības par kopējo summu 115 203,97 EUR (tai skaitā JNI</w:t>
      </w:r>
      <w:r w:rsidRPr="006D0F8D">
        <w:rPr>
          <w:rStyle w:val="FootnoteReference"/>
        </w:rPr>
        <w:footnoteReference w:id="29"/>
      </w:r>
      <w:r w:rsidRPr="006D0F8D">
        <w:t xml:space="preserve"> projekta ietvaros konstatētās 7 neatbilstības par kopējo summu 9 069,98 EUR) un KF finansētos projektos – 14 neatbilstības par kopējo summu 949 450,64 EUR.</w:t>
      </w:r>
    </w:p>
    <w:p w14:paraId="6AD2A5A3" w14:textId="77777777" w:rsidR="004E0D9E" w:rsidRPr="006D0F8D" w:rsidRDefault="004E0D9E" w:rsidP="004E0D9E">
      <w:pPr>
        <w:tabs>
          <w:tab w:val="left" w:pos="6740"/>
        </w:tabs>
        <w:ind w:firstLine="851"/>
        <w:jc w:val="both"/>
      </w:pPr>
      <w:r w:rsidRPr="006D0F8D">
        <w:t>Analītiskā informācija par pārskata perioda neatbilstībām tiek iekļauta regulārajā Finanšu ministrijas informatīvajā pusgada ziņojumā par ES fondu aktualitātēm 6.sadaļā</w:t>
      </w:r>
      <w:r w:rsidRPr="006D0F8D">
        <w:rPr>
          <w:rStyle w:val="FootnoteReference"/>
        </w:rPr>
        <w:footnoteReference w:id="30"/>
      </w:r>
      <w:r w:rsidRPr="006D0F8D">
        <w:t>.</w:t>
      </w:r>
    </w:p>
    <w:p w14:paraId="2E294E9C" w14:textId="376F15AC" w:rsidR="004E0D9E" w:rsidRPr="006D0F8D" w:rsidRDefault="004E0D9E" w:rsidP="004E0D9E">
      <w:pPr>
        <w:tabs>
          <w:tab w:val="left" w:pos="6740"/>
        </w:tabs>
        <w:ind w:firstLine="851"/>
        <w:jc w:val="both"/>
      </w:pPr>
      <w:r w:rsidRPr="006D0F8D">
        <w:t>2018. gadā tika konstatēti trīs gadījumi par aizdomām par krāpšanu ES fondu ietvaros (ESF – 2 gab. un ERAF – 1 gab.). 2 gadījumos informācija nosūtīta KP ar aizdomām par konkurences normu pārkāpumiem (iespējama aizliegta vienošanās Konkurences likuma 11. panta izpratnē) un vienā gadījumā – informācija nosūtīta VP izmeklēšanas veikšanai.</w:t>
      </w:r>
    </w:p>
    <w:p w14:paraId="0874B042" w14:textId="2DC2ECA2" w:rsidR="0021043A" w:rsidRDefault="0021043A" w:rsidP="0021043A">
      <w:pPr>
        <w:tabs>
          <w:tab w:val="left" w:pos="6740"/>
        </w:tabs>
        <w:ind w:firstLine="851"/>
        <w:jc w:val="both"/>
      </w:pPr>
      <w:r w:rsidRPr="006D0F8D">
        <w:t xml:space="preserve">Vienā no gadījumiem KP pieņēma lēmumu izbeigt lietas izpēti, jo nav konstatēti Konkurences likuma 11. panta pārkāpumi, otrā gadījumā – tika saņemta informācija no KP, ka veikta gan uzņēmumu </w:t>
      </w:r>
      <w:proofErr w:type="spellStart"/>
      <w:r w:rsidRPr="006D0F8D">
        <w:t>prevencija</w:t>
      </w:r>
      <w:proofErr w:type="spellEnd"/>
      <w:r w:rsidRPr="006D0F8D">
        <w:t>, gan arī iepirkumu organizētāju izglītošana, norādot gan tās pazīmes, kas liecina uz iespējamu pārkāpumu, gan skaidrotas konkurences tiesību normas. Šajā gadījumā VP ir uzsākusi kriminālprocesu, pamatojoties uz saņemto informāciju un tā tiek pārbaudīta izmeklēšanas ietvaros.</w:t>
      </w:r>
    </w:p>
    <w:p w14:paraId="2B293047" w14:textId="77777777" w:rsidR="009B68A0" w:rsidRDefault="009B68A0" w:rsidP="009B68A0">
      <w:pPr>
        <w:pStyle w:val="ListParagraph"/>
        <w:spacing w:before="120" w:after="120"/>
        <w:ind w:left="0" w:firstLine="851"/>
        <w:jc w:val="both"/>
        <w:rPr>
          <w:rFonts w:ascii="Times New Roman" w:hAnsi="Times New Roman"/>
          <w:b/>
          <w:sz w:val="24"/>
          <w:szCs w:val="24"/>
        </w:rPr>
      </w:pPr>
    </w:p>
    <w:p w14:paraId="662DDFD8" w14:textId="77777777" w:rsidR="009B68A0" w:rsidRPr="009F3BA8" w:rsidRDefault="009B68A0" w:rsidP="009B68A0">
      <w:pPr>
        <w:pStyle w:val="ListParagraph"/>
        <w:spacing w:before="240" w:after="120"/>
        <w:ind w:left="0" w:firstLine="851"/>
        <w:jc w:val="both"/>
        <w:rPr>
          <w:rFonts w:ascii="Times New Roman" w:hAnsi="Times New Roman"/>
          <w:b/>
          <w:sz w:val="24"/>
          <w:szCs w:val="24"/>
        </w:rPr>
      </w:pPr>
      <w:r>
        <w:rPr>
          <w:rFonts w:ascii="Times New Roman" w:hAnsi="Times New Roman"/>
          <w:b/>
          <w:sz w:val="24"/>
          <w:szCs w:val="24"/>
        </w:rPr>
        <w:t>C.1</w:t>
      </w:r>
      <w:r w:rsidRPr="00E54E87">
        <w:rPr>
          <w:rFonts w:ascii="Times New Roman" w:hAnsi="Times New Roman"/>
          <w:b/>
          <w:sz w:val="24"/>
          <w:szCs w:val="24"/>
        </w:rPr>
        <w:t>.2. Eiropas Lauksaimniecības fonds lauku attīstībai (ELFLA) un Eiropas Lauksaimniecības garantiju fonds (ELGF)</w:t>
      </w:r>
      <w:r>
        <w:rPr>
          <w:rFonts w:ascii="Times New Roman" w:hAnsi="Times New Roman"/>
          <w:b/>
          <w:sz w:val="24"/>
          <w:szCs w:val="24"/>
        </w:rPr>
        <w:t xml:space="preserve"> (2014.-2020.plānošanas periods)</w:t>
      </w:r>
    </w:p>
    <w:p w14:paraId="08F14953" w14:textId="6FC94E0D" w:rsidR="009B68A0" w:rsidRPr="00074900" w:rsidRDefault="009B68A0" w:rsidP="009B68A0">
      <w:pPr>
        <w:ind w:firstLine="720"/>
        <w:jc w:val="both"/>
      </w:pPr>
      <w:r>
        <w:t>2014. - 2020. gada plānošanas periodā ES fondu ieviešana turpinās un arvien vairāk tiek īstenoti arī ELFLA investīciju veida projekti. Izvērtējot ELFLA un ELGF īstenošanas progresu, secināts, ka ELFLA ietvaros uzņemtas saistības jau par 88% un izmaksāts finansējums atbalsta saņēmējiem 56</w:t>
      </w:r>
      <w:r w:rsidR="004E0D9E">
        <w:t xml:space="preserve"> </w:t>
      </w:r>
      <w:r>
        <w:t xml:space="preserve">% no pieejamā finansējuma. Lielākā daļa no neatbilstībām, kas ir atklātas ELGF un ELFLA ietvaros - pamatā platību maksājumu atbalsta pasākumu ietvaros - neatbilstības/pārkāpumi saistīti ar platību </w:t>
      </w:r>
      <w:proofErr w:type="spellStart"/>
      <w:r>
        <w:t>pārdeklarāciju</w:t>
      </w:r>
      <w:proofErr w:type="spellEnd"/>
      <w:r>
        <w:t>, savstarpējo atbilstību nosacījumu pārkāpumiem un atbalsta pretendenta pieļautajām kļūdām. Kopā 2018. gadā ELFLA konstatētas 643 neatbilstības par kopējo summu 660 275,00 EUR un ELGF</w:t>
      </w:r>
      <w:r w:rsidRPr="00074900">
        <w:t xml:space="preserve"> </w:t>
      </w:r>
      <w:r>
        <w:t>konstatētas 289 neatbilstības par kopējo summu 75 137,00 EUR.</w:t>
      </w:r>
    </w:p>
    <w:p w14:paraId="2B969F30" w14:textId="0E3AF969" w:rsidR="009B68A0" w:rsidRDefault="009B68A0" w:rsidP="009B68A0">
      <w:pPr>
        <w:ind w:firstLine="720"/>
        <w:jc w:val="both"/>
      </w:pPr>
      <w:r>
        <w:t>Izvērtējot informāciju par 2018. gadu, secināms, ka vidējais vienas neatbilstības apjoms ELFLA ietvaros veido 1 027 EUR un ELGF – 260 EUR. Savukārt kopējais neatbilstoši veikto izdevumu apjoms no izmaksātā finansējuma atbalsta</w:t>
      </w:r>
      <w:r w:rsidR="004E0D9E">
        <w:t xml:space="preserve"> saņēmējiem ELFLA ietvaros ir 0,</w:t>
      </w:r>
      <w:r>
        <w:t>24</w:t>
      </w:r>
      <w:r w:rsidR="004E0D9E">
        <w:t xml:space="preserve"> %, ELGF ietvaros 0,</w:t>
      </w:r>
      <w:r>
        <w:t>03</w:t>
      </w:r>
      <w:r w:rsidR="004E0D9E">
        <w:t xml:space="preserve"> </w:t>
      </w:r>
      <w:r>
        <w:t>%, kas ir ievērojami zem 2% kļūdas īpatsvara būtiskuma sliekšņa.</w:t>
      </w:r>
    </w:p>
    <w:p w14:paraId="4C65CA74" w14:textId="5DAFF1D7" w:rsidR="009B68A0" w:rsidRDefault="009B68A0" w:rsidP="009B68A0">
      <w:pPr>
        <w:ind w:firstLine="720"/>
        <w:jc w:val="both"/>
        <w:rPr>
          <w:szCs w:val="22"/>
        </w:rPr>
      </w:pPr>
      <w:r>
        <w:t xml:space="preserve"> Faktiski atgūtais fin</w:t>
      </w:r>
      <w:r w:rsidR="00155773">
        <w:t xml:space="preserve">ansējums ELFLA ietvaros veido </w:t>
      </w:r>
      <w:r w:rsidR="00155773" w:rsidRPr="006D0F8D">
        <w:t>89</w:t>
      </w:r>
      <w:r w:rsidR="004E0D9E" w:rsidRPr="006D0F8D">
        <w:t xml:space="preserve"> </w:t>
      </w:r>
      <w:r w:rsidRPr="006D0F8D">
        <w:t>%</w:t>
      </w:r>
      <w:r>
        <w:t xml:space="preserve"> un ELGF ietvaros 95</w:t>
      </w:r>
      <w:r w:rsidR="004E0D9E">
        <w:t xml:space="preserve"> </w:t>
      </w:r>
      <w:r>
        <w:t xml:space="preserve">%. ELFLA un ELGF gadījumā neatbilstoši veikto izdevumu atgūšanas īpatsvars ir tik augsts, jo neatbilstības ir pamatā konstatētas platību maksājumu atbalsta pasākumu ietvaros un šajos gadījumos ir lielākas iespējas šos neatbilstoši veiktos izdevumus ieturēt no turpmākajiem maksājumiem, kā arī vienas neatbilstības apjoms ir samērā mazs. </w:t>
      </w:r>
    </w:p>
    <w:p w14:paraId="7814B20F" w14:textId="77777777" w:rsidR="009B68A0" w:rsidRDefault="009B68A0" w:rsidP="009B68A0">
      <w:pPr>
        <w:ind w:firstLine="720"/>
        <w:jc w:val="both"/>
      </w:pPr>
      <w:r w:rsidRPr="00052F07">
        <w:rPr>
          <w:color w:val="000000"/>
        </w:rPr>
        <w:t xml:space="preserve">2018. gadā netika konstatēts neviens krāpšanas/ aizdomu par krāpšanos gadījums </w:t>
      </w:r>
      <w:r>
        <w:t xml:space="preserve">ELFLA un ELGF projektos. </w:t>
      </w:r>
    </w:p>
    <w:p w14:paraId="4CFFD532" w14:textId="62027F4B" w:rsidR="009B68A0" w:rsidRDefault="009B68A0" w:rsidP="009B68A0">
      <w:pPr>
        <w:jc w:val="both"/>
      </w:pPr>
    </w:p>
    <w:p w14:paraId="14DA45DA" w14:textId="65B6EBAE" w:rsidR="006D0F8D" w:rsidRDefault="006D0F8D" w:rsidP="009B68A0">
      <w:pPr>
        <w:jc w:val="both"/>
      </w:pPr>
    </w:p>
    <w:p w14:paraId="357C6CA5" w14:textId="77777777" w:rsidR="006D0F8D" w:rsidRPr="009552CD" w:rsidRDefault="006D0F8D" w:rsidP="009B68A0">
      <w:pPr>
        <w:jc w:val="both"/>
      </w:pPr>
    </w:p>
    <w:p w14:paraId="0DA2C0CD" w14:textId="77777777" w:rsidR="009B68A0" w:rsidRDefault="009B68A0" w:rsidP="009B68A0">
      <w:pPr>
        <w:pStyle w:val="ListParagraph"/>
        <w:spacing w:before="240" w:after="120"/>
        <w:ind w:left="0" w:firstLine="851"/>
        <w:jc w:val="both"/>
        <w:rPr>
          <w:rFonts w:ascii="Times New Roman" w:hAnsi="Times New Roman"/>
          <w:b/>
          <w:sz w:val="24"/>
          <w:szCs w:val="24"/>
        </w:rPr>
      </w:pPr>
      <w:r>
        <w:rPr>
          <w:rFonts w:ascii="Times New Roman" w:hAnsi="Times New Roman"/>
          <w:b/>
          <w:sz w:val="24"/>
          <w:szCs w:val="24"/>
        </w:rPr>
        <w:lastRenderedPageBreak/>
        <w:t>C.1</w:t>
      </w:r>
      <w:r w:rsidRPr="00E54E87">
        <w:rPr>
          <w:rFonts w:ascii="Times New Roman" w:hAnsi="Times New Roman"/>
          <w:b/>
          <w:sz w:val="24"/>
          <w:szCs w:val="24"/>
        </w:rPr>
        <w:t>.3. Eiropas Jūrlietu un zivsaimniecības fonds (EJZF</w:t>
      </w:r>
      <w:r>
        <w:rPr>
          <w:rFonts w:ascii="Times New Roman" w:hAnsi="Times New Roman"/>
          <w:b/>
          <w:sz w:val="24"/>
          <w:szCs w:val="24"/>
        </w:rPr>
        <w:t xml:space="preserve">) </w:t>
      </w:r>
      <w:r w:rsidRPr="00E54E87">
        <w:rPr>
          <w:rFonts w:ascii="Times New Roman" w:hAnsi="Times New Roman"/>
          <w:b/>
          <w:sz w:val="24"/>
          <w:szCs w:val="24"/>
        </w:rPr>
        <w:t>(2014.-2020.plānošanas periods)</w:t>
      </w:r>
    </w:p>
    <w:p w14:paraId="37CB1F96" w14:textId="77777777" w:rsidR="009B68A0" w:rsidRPr="00074900" w:rsidRDefault="009B68A0" w:rsidP="009B68A0">
      <w:pPr>
        <w:pStyle w:val="ListParagraph"/>
        <w:spacing w:before="240" w:after="120"/>
        <w:ind w:left="0" w:firstLine="851"/>
        <w:contextualSpacing/>
        <w:jc w:val="both"/>
        <w:rPr>
          <w:rFonts w:ascii="Times New Roman" w:hAnsi="Times New Roman"/>
          <w:sz w:val="24"/>
          <w:szCs w:val="24"/>
        </w:rPr>
      </w:pPr>
      <w:r w:rsidRPr="00074900">
        <w:rPr>
          <w:rFonts w:ascii="Times New Roman" w:hAnsi="Times New Roman"/>
          <w:sz w:val="24"/>
          <w:szCs w:val="24"/>
        </w:rPr>
        <w:t xml:space="preserve">EJZF ietvaros 2018. gadā tika konstatētas četras neatbilstības par kopējo summu </w:t>
      </w:r>
      <w:r>
        <w:rPr>
          <w:rFonts w:ascii="Times New Roman" w:hAnsi="Times New Roman"/>
          <w:sz w:val="24"/>
          <w:szCs w:val="24"/>
        </w:rPr>
        <w:t xml:space="preserve">          </w:t>
      </w:r>
      <w:r w:rsidRPr="00074900">
        <w:rPr>
          <w:rFonts w:ascii="Times New Roman" w:hAnsi="Times New Roman"/>
          <w:sz w:val="24"/>
          <w:szCs w:val="24"/>
        </w:rPr>
        <w:t>86</w:t>
      </w:r>
      <w:r>
        <w:rPr>
          <w:rFonts w:ascii="Times New Roman" w:hAnsi="Times New Roman"/>
          <w:sz w:val="24"/>
          <w:szCs w:val="24"/>
        </w:rPr>
        <w:t xml:space="preserve"> </w:t>
      </w:r>
      <w:r w:rsidRPr="00074900">
        <w:rPr>
          <w:rFonts w:ascii="Times New Roman" w:hAnsi="Times New Roman"/>
          <w:sz w:val="24"/>
          <w:szCs w:val="24"/>
        </w:rPr>
        <w:t>162,00</w:t>
      </w:r>
      <w:r>
        <w:rPr>
          <w:rFonts w:ascii="Times New Roman" w:hAnsi="Times New Roman"/>
          <w:sz w:val="24"/>
          <w:szCs w:val="24"/>
        </w:rPr>
        <w:t xml:space="preserve"> EUR</w:t>
      </w:r>
      <w:r w:rsidRPr="00074900">
        <w:rPr>
          <w:rFonts w:ascii="Times New Roman" w:hAnsi="Times New Roman"/>
          <w:sz w:val="24"/>
          <w:szCs w:val="24"/>
        </w:rPr>
        <w:t>.</w:t>
      </w:r>
    </w:p>
    <w:p w14:paraId="47F0F895" w14:textId="4FB991B5" w:rsidR="00155773" w:rsidRPr="00155773" w:rsidRDefault="00155773" w:rsidP="00155773">
      <w:pPr>
        <w:pStyle w:val="ListParagraph"/>
        <w:spacing w:before="240" w:after="120"/>
        <w:ind w:left="0" w:firstLine="851"/>
        <w:contextualSpacing/>
        <w:jc w:val="both"/>
        <w:rPr>
          <w:rFonts w:ascii="Times New Roman" w:hAnsi="Times New Roman"/>
          <w:sz w:val="24"/>
          <w:szCs w:val="24"/>
        </w:rPr>
      </w:pPr>
      <w:r w:rsidRPr="00155773">
        <w:rPr>
          <w:rFonts w:ascii="Times New Roman" w:hAnsi="Times New Roman"/>
          <w:sz w:val="24"/>
          <w:szCs w:val="24"/>
        </w:rPr>
        <w:t>Izvērtējot EJZF īstenošanas progresu, secināts, ka</w:t>
      </w:r>
      <w:r w:rsidRPr="00155773">
        <w:t xml:space="preserve"> </w:t>
      </w:r>
      <w:r w:rsidRPr="00155773">
        <w:rPr>
          <w:rFonts w:ascii="Times New Roman" w:hAnsi="Times New Roman"/>
          <w:sz w:val="24"/>
          <w:szCs w:val="24"/>
        </w:rPr>
        <w:t>EJZF ietvaros – uzņemtas saistības par 52</w:t>
      </w:r>
      <w:r w:rsidR="0065796B">
        <w:rPr>
          <w:rFonts w:ascii="Times New Roman" w:hAnsi="Times New Roman"/>
          <w:sz w:val="24"/>
          <w:szCs w:val="24"/>
        </w:rPr>
        <w:t xml:space="preserve"> </w:t>
      </w:r>
      <w:r w:rsidRPr="00155773">
        <w:rPr>
          <w:rFonts w:ascii="Times New Roman" w:hAnsi="Times New Roman"/>
          <w:sz w:val="24"/>
          <w:szCs w:val="24"/>
        </w:rPr>
        <w:t>% un izmaksāts finansējums 25</w:t>
      </w:r>
      <w:r w:rsidR="0065796B">
        <w:rPr>
          <w:rFonts w:ascii="Times New Roman" w:hAnsi="Times New Roman"/>
          <w:sz w:val="24"/>
          <w:szCs w:val="24"/>
        </w:rPr>
        <w:t xml:space="preserve"> </w:t>
      </w:r>
      <w:r w:rsidRPr="00155773">
        <w:rPr>
          <w:rFonts w:ascii="Times New Roman" w:hAnsi="Times New Roman"/>
          <w:sz w:val="24"/>
          <w:szCs w:val="24"/>
        </w:rPr>
        <w:t>% (salīdzinājumam - noslēdzot 2017. gadu - EJZF ietvaros – bija uzņemtas saistības par 44</w:t>
      </w:r>
      <w:r w:rsidR="0065796B">
        <w:rPr>
          <w:rFonts w:ascii="Times New Roman" w:hAnsi="Times New Roman"/>
          <w:sz w:val="24"/>
          <w:szCs w:val="24"/>
        </w:rPr>
        <w:t xml:space="preserve"> </w:t>
      </w:r>
      <w:r w:rsidRPr="00155773">
        <w:rPr>
          <w:rFonts w:ascii="Times New Roman" w:hAnsi="Times New Roman"/>
          <w:sz w:val="24"/>
          <w:szCs w:val="24"/>
        </w:rPr>
        <w:t>% un izmaksāts finansējums 11,2</w:t>
      </w:r>
      <w:r w:rsidR="0065796B">
        <w:rPr>
          <w:rFonts w:ascii="Times New Roman" w:hAnsi="Times New Roman"/>
          <w:sz w:val="24"/>
          <w:szCs w:val="24"/>
        </w:rPr>
        <w:t xml:space="preserve"> </w:t>
      </w:r>
      <w:r w:rsidRPr="00155773">
        <w:rPr>
          <w:rFonts w:ascii="Times New Roman" w:hAnsi="Times New Roman"/>
          <w:sz w:val="24"/>
          <w:szCs w:val="24"/>
        </w:rPr>
        <w:t xml:space="preserve">%). </w:t>
      </w:r>
    </w:p>
    <w:p w14:paraId="027D3C4E" w14:textId="590F557C" w:rsidR="00155773" w:rsidRDefault="00155773" w:rsidP="00155773">
      <w:pPr>
        <w:pStyle w:val="ListParagraph"/>
        <w:spacing w:before="240" w:after="120"/>
        <w:ind w:left="0" w:firstLine="851"/>
        <w:contextualSpacing/>
        <w:jc w:val="both"/>
        <w:rPr>
          <w:rFonts w:ascii="Times New Roman" w:hAnsi="Times New Roman"/>
          <w:sz w:val="24"/>
          <w:szCs w:val="24"/>
        </w:rPr>
      </w:pPr>
      <w:r w:rsidRPr="00155773">
        <w:rPr>
          <w:rFonts w:ascii="Times New Roman" w:hAnsi="Times New Roman"/>
          <w:sz w:val="24"/>
          <w:szCs w:val="24"/>
        </w:rPr>
        <w:t>Savukārt kopējais neatbilstoši veikto izdevumu apjoms no izmaksātā finansējuma atbalsta saņēmējiem EJZF</w:t>
      </w:r>
      <w:r w:rsidRPr="00155773">
        <w:rPr>
          <w:sz w:val="24"/>
          <w:szCs w:val="24"/>
        </w:rPr>
        <w:t xml:space="preserve"> </w:t>
      </w:r>
      <w:r w:rsidRPr="00155773">
        <w:rPr>
          <w:rFonts w:ascii="Times New Roman" w:hAnsi="Times New Roman"/>
          <w:sz w:val="24"/>
          <w:szCs w:val="24"/>
        </w:rPr>
        <w:t>ietvaros</w:t>
      </w:r>
      <w:r w:rsidRPr="00155773">
        <w:rPr>
          <w:sz w:val="24"/>
          <w:szCs w:val="24"/>
        </w:rPr>
        <w:t xml:space="preserve"> </w:t>
      </w:r>
      <w:r w:rsidRPr="00155773">
        <w:rPr>
          <w:rFonts w:ascii="Times New Roman" w:hAnsi="Times New Roman"/>
          <w:sz w:val="24"/>
          <w:szCs w:val="24"/>
        </w:rPr>
        <w:t xml:space="preserve">veido </w:t>
      </w:r>
      <w:r w:rsidR="0065796B">
        <w:rPr>
          <w:rFonts w:ascii="Times New Roman" w:hAnsi="Times New Roman"/>
          <w:sz w:val="24"/>
          <w:szCs w:val="24"/>
        </w:rPr>
        <w:t>0,</w:t>
      </w:r>
      <w:r w:rsidRPr="00155773">
        <w:rPr>
          <w:rFonts w:ascii="Times New Roman" w:hAnsi="Times New Roman"/>
          <w:sz w:val="24"/>
          <w:szCs w:val="24"/>
        </w:rPr>
        <w:t>35</w:t>
      </w:r>
      <w:r w:rsidR="0065796B">
        <w:rPr>
          <w:rFonts w:ascii="Times New Roman" w:hAnsi="Times New Roman"/>
          <w:sz w:val="24"/>
          <w:szCs w:val="24"/>
        </w:rPr>
        <w:t xml:space="preserve"> </w:t>
      </w:r>
      <w:r w:rsidRPr="00155773">
        <w:rPr>
          <w:rFonts w:ascii="Times New Roman" w:hAnsi="Times New Roman"/>
          <w:sz w:val="24"/>
          <w:szCs w:val="24"/>
        </w:rPr>
        <w:t>%, kas ir ievērojami zem 2</w:t>
      </w:r>
      <w:r w:rsidR="0065796B">
        <w:rPr>
          <w:rFonts w:ascii="Times New Roman" w:hAnsi="Times New Roman"/>
          <w:sz w:val="24"/>
          <w:szCs w:val="24"/>
        </w:rPr>
        <w:t xml:space="preserve"> </w:t>
      </w:r>
      <w:r w:rsidRPr="00155773">
        <w:rPr>
          <w:rFonts w:ascii="Times New Roman" w:hAnsi="Times New Roman"/>
          <w:sz w:val="24"/>
          <w:szCs w:val="24"/>
        </w:rPr>
        <w:t>% kļūdas būtiskuma sliekšņa.</w:t>
      </w:r>
    </w:p>
    <w:p w14:paraId="24943DE4" w14:textId="77777777" w:rsidR="009B68A0" w:rsidRPr="00052F07" w:rsidRDefault="009B68A0" w:rsidP="009B68A0">
      <w:pPr>
        <w:pStyle w:val="ListParagraph"/>
        <w:spacing w:before="240" w:after="120"/>
        <w:ind w:left="0" w:firstLine="851"/>
        <w:contextualSpacing/>
        <w:jc w:val="both"/>
        <w:rPr>
          <w:rFonts w:ascii="Times New Roman" w:hAnsi="Times New Roman"/>
          <w:sz w:val="28"/>
          <w:szCs w:val="24"/>
        </w:rPr>
      </w:pPr>
      <w:r w:rsidRPr="00052F07">
        <w:rPr>
          <w:rFonts w:ascii="Times New Roman" w:hAnsi="Times New Roman"/>
          <w:color w:val="000000"/>
          <w:sz w:val="24"/>
        </w:rPr>
        <w:t xml:space="preserve">2018. gadā netika konstatēts neviens krāpšanas/ aizdomu par krāpšanos gadījums </w:t>
      </w:r>
      <w:r>
        <w:rPr>
          <w:rFonts w:ascii="Times New Roman" w:hAnsi="Times New Roman"/>
          <w:sz w:val="24"/>
          <w:szCs w:val="24"/>
        </w:rPr>
        <w:t>EJZF projektos.</w:t>
      </w:r>
    </w:p>
    <w:p w14:paraId="66172533" w14:textId="77777777" w:rsidR="009B68A0" w:rsidRDefault="009B68A0" w:rsidP="009B68A0">
      <w:pPr>
        <w:pStyle w:val="ListParagraph"/>
        <w:spacing w:before="240" w:after="120"/>
        <w:ind w:left="0" w:firstLine="851"/>
        <w:jc w:val="both"/>
        <w:rPr>
          <w:rFonts w:ascii="Times New Roman" w:hAnsi="Times New Roman"/>
          <w:sz w:val="24"/>
          <w:szCs w:val="24"/>
        </w:rPr>
      </w:pPr>
    </w:p>
    <w:p w14:paraId="20FAF969" w14:textId="77777777" w:rsidR="009B68A0" w:rsidRPr="007A5553" w:rsidRDefault="009B68A0" w:rsidP="009B68A0">
      <w:pPr>
        <w:ind w:firstLine="720"/>
        <w:jc w:val="both"/>
        <w:rPr>
          <w:szCs w:val="22"/>
        </w:rPr>
      </w:pPr>
      <w:r>
        <w:rPr>
          <w:b/>
        </w:rPr>
        <w:t>C.1.4</w:t>
      </w:r>
      <w:r w:rsidRPr="00E54E87">
        <w:rPr>
          <w:b/>
        </w:rPr>
        <w:t>. Eiropas teritoriālās sadarbības (ETS) programmas</w:t>
      </w:r>
      <w:r w:rsidRPr="00E54E87">
        <w:t xml:space="preserve"> </w:t>
      </w:r>
      <w:r>
        <w:rPr>
          <w:b/>
        </w:rPr>
        <w:t>(2014.-2020.plānošanas periods)</w:t>
      </w:r>
    </w:p>
    <w:p w14:paraId="573EE97D" w14:textId="3AC301F9" w:rsidR="009B68A0" w:rsidRPr="00A43BB2" w:rsidRDefault="009B68A0" w:rsidP="009B68A0">
      <w:pPr>
        <w:ind w:right="11" w:firstLine="720"/>
        <w:jc w:val="both"/>
      </w:pPr>
      <w:r w:rsidRPr="009B60D2">
        <w:t>VARAM kā ETS programmu Finanšu kontroles institūcija 2018.</w:t>
      </w:r>
      <w:r w:rsidR="005F7326">
        <w:t xml:space="preserve"> </w:t>
      </w:r>
      <w:r w:rsidRPr="009B60D2">
        <w:t>gadā Latvijas finansējuma saņēmēju projektos ir konstatējusi 72 neattiecināmo izdevumu gadījumus par kopējo summu 103 451, 00 EUR. Konstatētie neattiecināmie izdevumi netika deklarēti Eiropas Komisijai. Salīdzinot ar iepriekšējo gadu, ir secināms, ka neattiecināmo izdevumu gadījumu skaits pieaug plānošanas perioda ietvaros, kas skaidrojams ar to, ka palielinās īstenojamo un pabeigto projektu skaits, t.sk. infrastruktūras objektu skaits.  ETS programmu Revīzijas iestādes (VARAM Audita departamenta Revīzijas nodaļa un ārpakalpojuma revidenti), kas veic projektu otrā līmeņa auditu, 2018.</w:t>
      </w:r>
      <w:r w:rsidR="005F7326">
        <w:t xml:space="preserve"> </w:t>
      </w:r>
      <w:r w:rsidRPr="009B60D2">
        <w:t>gadā nav konstatējušās neatbilstoši veikto izdevumu gadījumus Latvijas finansējuma saņēmēju projektos.</w:t>
      </w:r>
      <w:r w:rsidRPr="004C727D">
        <w:t xml:space="preserve"> </w:t>
      </w:r>
    </w:p>
    <w:p w14:paraId="23905108" w14:textId="7C3137CA" w:rsidR="009B68A0" w:rsidRPr="004C727D" w:rsidRDefault="009B68A0" w:rsidP="009B68A0">
      <w:pPr>
        <w:ind w:right="11" w:firstLine="720"/>
        <w:jc w:val="both"/>
      </w:pPr>
      <w:r>
        <w:t>Neattiecināmo</w:t>
      </w:r>
      <w:r w:rsidRPr="004C727D">
        <w:t xml:space="preserve"> i</w:t>
      </w:r>
      <w:r>
        <w:t>zdevumu gadījumu īpatsvars (0,56</w:t>
      </w:r>
      <w:r w:rsidR="005F7326">
        <w:t xml:space="preserve"> </w:t>
      </w:r>
      <w:r w:rsidRPr="004C727D">
        <w:t xml:space="preserve">%) </w:t>
      </w:r>
      <w:r>
        <w:t xml:space="preserve">attiecībā pret ETS projektu kopējo attiecināmo izdevumu summu, liecina, ka </w:t>
      </w:r>
      <w:r w:rsidRPr="004C727D">
        <w:t>ETS programmu vadības un kontroles sistēma 2014.-2020.</w:t>
      </w:r>
      <w:r w:rsidR="005F7326">
        <w:t xml:space="preserve"> </w:t>
      </w:r>
      <w:r w:rsidRPr="004C727D">
        <w:t xml:space="preserve">gada plānošanas periodā darbojas veiksmīgi. </w:t>
      </w:r>
    </w:p>
    <w:p w14:paraId="7281539B" w14:textId="08802908" w:rsidR="009B68A0" w:rsidRDefault="009B68A0" w:rsidP="009B68A0">
      <w:pPr>
        <w:ind w:right="11" w:firstLine="720"/>
        <w:jc w:val="both"/>
      </w:pPr>
      <w:r>
        <w:t>S</w:t>
      </w:r>
      <w:r w:rsidRPr="00F6722B">
        <w:t>askaņā ar Ministru kabineta 2015.</w:t>
      </w:r>
      <w:r w:rsidR="005F7326">
        <w:t xml:space="preserve"> </w:t>
      </w:r>
      <w:r w:rsidRPr="00F6722B">
        <w:t>gada 10.</w:t>
      </w:r>
      <w:r w:rsidR="005F7326">
        <w:t xml:space="preserve"> </w:t>
      </w:r>
      <w:r w:rsidRPr="00F6722B">
        <w:t xml:space="preserve">marta noteikumiem Nr.124 “Eiropas Strukturālo un investīciju fondu mērķa „Eiropas teritoriālā sadarbība” programmu finansēto projektu finanšu kontroles veikšanas kārtība” VARAM kā Finanšu kontroles institūcija veic projekta ietvaros plānoto iepirkumu izlases veida pārbaudes attiecībā uz iepirkuma dokumentāciju pēc iepirkuma izsludināšanas un iepirkuma procedūras norisi pirms līguma noslēgšanas. Tas papildus projekta ietvaros piemēroto procedūru atbilstības pārbaudēm un pārbaudēm attiecībā uz veikto izmaksu uzskaiti un atbilstību projekta aktivitātēm ļauj </w:t>
      </w:r>
      <w:r>
        <w:t>savlaicīgi novērst</w:t>
      </w:r>
      <w:r w:rsidRPr="00F6722B">
        <w:t xml:space="preserve"> pārkāpumus finansējuma saņēmēju rīkotajās iepirkumu procedūrās pirms iepirkumu līgumu noslēgšanas, tādējādi mazinot neatbilstību rašanās risku Latvijas finansējuma saņēmējiem ETS programmās 2014.</w:t>
      </w:r>
      <w:r>
        <w:t xml:space="preserve"> </w:t>
      </w:r>
      <w:r w:rsidRPr="00F6722B">
        <w:t>-</w:t>
      </w:r>
      <w:r>
        <w:t xml:space="preserve"> </w:t>
      </w:r>
      <w:r w:rsidRPr="00F6722B">
        <w:t>2020.</w:t>
      </w:r>
      <w:r w:rsidR="005F7326">
        <w:t xml:space="preserve"> </w:t>
      </w:r>
      <w:r w:rsidRPr="00F6722B">
        <w:t xml:space="preserve">gada plānošanas periodā. </w:t>
      </w:r>
    </w:p>
    <w:p w14:paraId="667147E2" w14:textId="77777777" w:rsidR="009B68A0" w:rsidRDefault="009B68A0" w:rsidP="009B68A0">
      <w:pPr>
        <w:ind w:firstLine="720"/>
        <w:jc w:val="both"/>
      </w:pPr>
      <w:r w:rsidRPr="00052F07">
        <w:rPr>
          <w:color w:val="000000"/>
        </w:rPr>
        <w:t xml:space="preserve">2018. gadā netika konstatēts neviens krāpšanas/ aizdomu par krāpšanos gadījums </w:t>
      </w:r>
      <w:r>
        <w:t xml:space="preserve">ETS programmu projektos. </w:t>
      </w:r>
    </w:p>
    <w:p w14:paraId="22DF9C91" w14:textId="66C2E860" w:rsidR="009B68A0" w:rsidRDefault="009B68A0" w:rsidP="009B68A0">
      <w:pPr>
        <w:ind w:firstLine="720"/>
        <w:jc w:val="both"/>
        <w:rPr>
          <w:color w:val="000000"/>
        </w:rPr>
      </w:pPr>
      <w:r>
        <w:t xml:space="preserve">Papildus </w:t>
      </w:r>
      <w:r w:rsidRPr="00F6722B">
        <w:t>2018.</w:t>
      </w:r>
      <w:r w:rsidR="005F7326">
        <w:t xml:space="preserve"> </w:t>
      </w:r>
      <w:r w:rsidRPr="00F6722B">
        <w:t xml:space="preserve">gadā VARAM kā Finanšu kontroles institūcija informēja Latvijas finansējuma saņēmējus par ETS programmu, Eiropas Savienības un Latvijas normatīvo aktu prasībām projektu izmaksu </w:t>
      </w:r>
      <w:proofErr w:type="spellStart"/>
      <w:r w:rsidRPr="00F6722B">
        <w:t>attiecināmībai</w:t>
      </w:r>
      <w:proofErr w:type="spellEnd"/>
      <w:r w:rsidRPr="00F6722B">
        <w:t xml:space="preserve"> 5 semināros un 2 informatīvās darba sanāksmēs, kā arī izsniedza 58 atzinumus par iepirkumu dokumentācijas pārbaudi un/vai iepirkumu norises pārbaudi</w:t>
      </w:r>
      <w:r>
        <w:t>, lai preventīvi mazinātu neatbilstību risku</w:t>
      </w:r>
      <w:r w:rsidRPr="00F6722B">
        <w:t>.</w:t>
      </w:r>
      <w:r w:rsidRPr="00BF4CA7">
        <w:rPr>
          <w:color w:val="000000"/>
        </w:rPr>
        <w:t xml:space="preserve"> </w:t>
      </w:r>
    </w:p>
    <w:p w14:paraId="2225D5E2" w14:textId="2C923629" w:rsidR="009B68A0" w:rsidRDefault="009B68A0" w:rsidP="009B68A0">
      <w:pPr>
        <w:jc w:val="both"/>
        <w:rPr>
          <w:color w:val="000000"/>
        </w:rPr>
      </w:pPr>
    </w:p>
    <w:p w14:paraId="00348CA1" w14:textId="5BE0592C" w:rsidR="006D0F8D" w:rsidRDefault="006D0F8D" w:rsidP="009B68A0">
      <w:pPr>
        <w:jc w:val="both"/>
        <w:rPr>
          <w:color w:val="000000"/>
        </w:rPr>
      </w:pPr>
    </w:p>
    <w:p w14:paraId="48C9DC67" w14:textId="1A78E857" w:rsidR="006D0F8D" w:rsidRDefault="006D0F8D" w:rsidP="009B68A0">
      <w:pPr>
        <w:jc w:val="both"/>
        <w:rPr>
          <w:color w:val="000000"/>
        </w:rPr>
      </w:pPr>
    </w:p>
    <w:p w14:paraId="2B760F93" w14:textId="224D369E" w:rsidR="006D0F8D" w:rsidRDefault="006D0F8D" w:rsidP="009B68A0">
      <w:pPr>
        <w:jc w:val="both"/>
        <w:rPr>
          <w:color w:val="000000"/>
        </w:rPr>
      </w:pPr>
    </w:p>
    <w:p w14:paraId="073506E5" w14:textId="77777777" w:rsidR="006D0F8D" w:rsidRPr="009552CD" w:rsidRDefault="006D0F8D" w:rsidP="009B68A0">
      <w:pPr>
        <w:jc w:val="both"/>
        <w:rPr>
          <w:color w:val="000000"/>
        </w:rPr>
      </w:pPr>
    </w:p>
    <w:p w14:paraId="7DC7E77E" w14:textId="54F3872C" w:rsidR="00B852AE" w:rsidRDefault="00B852AE" w:rsidP="009B68A0">
      <w:pPr>
        <w:pStyle w:val="ListParagraph"/>
        <w:ind w:left="0" w:firstLine="851"/>
        <w:jc w:val="both"/>
        <w:rPr>
          <w:rFonts w:ascii="Times New Roman" w:hAnsi="Times New Roman"/>
          <w:b/>
          <w:sz w:val="24"/>
          <w:szCs w:val="24"/>
        </w:rPr>
      </w:pPr>
    </w:p>
    <w:p w14:paraId="208B10B3" w14:textId="5F488FF7" w:rsidR="009B68A0" w:rsidRPr="009552CD" w:rsidRDefault="009B68A0" w:rsidP="009B68A0">
      <w:pPr>
        <w:pStyle w:val="ListParagraph"/>
        <w:ind w:left="0" w:firstLine="851"/>
        <w:jc w:val="both"/>
        <w:rPr>
          <w:rFonts w:ascii="Times New Roman" w:hAnsi="Times New Roman"/>
          <w:b/>
          <w:sz w:val="24"/>
          <w:szCs w:val="24"/>
        </w:rPr>
      </w:pPr>
      <w:r w:rsidRPr="009552CD">
        <w:rPr>
          <w:rFonts w:ascii="Times New Roman" w:hAnsi="Times New Roman"/>
          <w:b/>
          <w:sz w:val="24"/>
          <w:szCs w:val="24"/>
        </w:rPr>
        <w:lastRenderedPageBreak/>
        <w:t>C.1.5. Eiropas atbalsta fonds vistrūcīgākajām personām (EAFVP) (2014.-2020.plānošanas periods)</w:t>
      </w:r>
    </w:p>
    <w:p w14:paraId="120C7574" w14:textId="77777777" w:rsidR="009B68A0" w:rsidRPr="00E54E87" w:rsidRDefault="009B68A0" w:rsidP="009B68A0">
      <w:pPr>
        <w:ind w:firstLine="851"/>
        <w:jc w:val="both"/>
      </w:pPr>
    </w:p>
    <w:p w14:paraId="03028F21" w14:textId="57B1979D" w:rsidR="009B68A0" w:rsidRDefault="009B68A0" w:rsidP="009B68A0">
      <w:pPr>
        <w:ind w:firstLine="851"/>
        <w:jc w:val="both"/>
      </w:pPr>
      <w:r w:rsidRPr="009B60D2">
        <w:t xml:space="preserve">Pārskata periodā konstatēti 12 neatbilstību </w:t>
      </w:r>
      <w:r w:rsidR="005F7326">
        <w:t>gadījumi par kopējo summu 1 690,</w:t>
      </w:r>
      <w:r w:rsidRPr="009B60D2">
        <w:t xml:space="preserve">67 </w:t>
      </w:r>
      <w:r>
        <w:t>EUR, kuri atgūti no kārtējiem maksājuma pieprasījumiem. Neatbilstību summas īpatsvars 0,03</w:t>
      </w:r>
      <w:r w:rsidR="005F7326">
        <w:t xml:space="preserve"> </w:t>
      </w:r>
      <w:r>
        <w:t>% pret kopējo attiecināmo izdevumu summu.</w:t>
      </w:r>
    </w:p>
    <w:p w14:paraId="14398A02" w14:textId="77777777" w:rsidR="009B68A0" w:rsidRDefault="009B68A0" w:rsidP="009B68A0">
      <w:pPr>
        <w:ind w:firstLine="851"/>
        <w:jc w:val="both"/>
      </w:pPr>
      <w:r>
        <w:t>Vērtējot pārskata perioda informāciju par EAFVP īstenošanā atklātajām neatbilstībām pret datiem par 2017. gadu (kopējā summa – 2642,21 EUR, konstatēti 13 neatbilstību gadījumi, t.sk. 60% gadījumu veido atšķirības starp normatīvajā regulējumā noteikto izdalāmo pārtikas apmēru un gala saņēmējam izdalīto), vērojams:</w:t>
      </w:r>
    </w:p>
    <w:p w14:paraId="7E7017DC" w14:textId="77777777" w:rsidR="009B68A0" w:rsidRDefault="009B68A0" w:rsidP="009B68A0">
      <w:pPr>
        <w:ind w:left="851" w:hanging="284"/>
        <w:jc w:val="both"/>
      </w:pPr>
      <w:r>
        <w:t>- neatbilstību skaita samazinājums par vienu gadījumu;</w:t>
      </w:r>
    </w:p>
    <w:p w14:paraId="2D505F6A" w14:textId="44DD69D1" w:rsidR="009B68A0" w:rsidRDefault="009B68A0" w:rsidP="009B68A0">
      <w:pPr>
        <w:ind w:left="851" w:hanging="284"/>
        <w:jc w:val="both"/>
      </w:pPr>
      <w:r>
        <w:t>- neatbilstību summas samazinājums par 36</w:t>
      </w:r>
      <w:r w:rsidR="005F7326">
        <w:t xml:space="preserve"> </w:t>
      </w:r>
      <w:r>
        <w:t>%;</w:t>
      </w:r>
    </w:p>
    <w:p w14:paraId="7F692F29" w14:textId="62D3AC29" w:rsidR="009B68A0" w:rsidRDefault="009B68A0" w:rsidP="009B68A0">
      <w:pPr>
        <w:ind w:left="851" w:hanging="284"/>
        <w:jc w:val="both"/>
      </w:pPr>
      <w:r>
        <w:t>- neatbilstību summas īpatsvara pret kopējo attiecināmo izdevumu summu samazinājums par 0,02</w:t>
      </w:r>
      <w:r w:rsidR="005F7326">
        <w:t xml:space="preserve"> </w:t>
      </w:r>
      <w:r>
        <w:t>%;</w:t>
      </w:r>
    </w:p>
    <w:p w14:paraId="014326F1" w14:textId="1F9A3A97" w:rsidR="009B68A0" w:rsidRDefault="009B68A0" w:rsidP="009B68A0">
      <w:pPr>
        <w:ind w:left="851" w:hanging="284"/>
        <w:jc w:val="both"/>
      </w:pPr>
      <w:r>
        <w:t>- samazinājies neatbilstību gadījumu skaits (33</w:t>
      </w:r>
      <w:r w:rsidR="005F7326">
        <w:t xml:space="preserve"> </w:t>
      </w:r>
      <w:r>
        <w:t>%) attiecībā uz atšķirībām starp normatīvajā regulējumā noteikto izdalāmo pārtikas apmēru un gala saņēmējam izdalīto.</w:t>
      </w:r>
      <w:r>
        <w:tab/>
      </w:r>
    </w:p>
    <w:p w14:paraId="0839A686" w14:textId="77777777" w:rsidR="009B68A0" w:rsidRDefault="009B68A0" w:rsidP="009B68A0">
      <w:pPr>
        <w:ind w:firstLine="720"/>
        <w:jc w:val="both"/>
      </w:pPr>
      <w:r w:rsidRPr="00052F07">
        <w:rPr>
          <w:color w:val="000000"/>
        </w:rPr>
        <w:t xml:space="preserve">2018. gadā netika konstatēts neviens krāpšanas/ aizdomu par krāpšanos gadījums </w:t>
      </w:r>
      <w:r w:rsidRPr="00BF4CA7">
        <w:t>EAFVP</w:t>
      </w:r>
      <w:r>
        <w:t xml:space="preserve"> programmu projektos. </w:t>
      </w:r>
      <w:r>
        <w:tab/>
      </w:r>
    </w:p>
    <w:p w14:paraId="3234FCF0" w14:textId="3095AECD" w:rsidR="009B68A0" w:rsidRPr="008E38F4" w:rsidRDefault="009B68A0" w:rsidP="009B68A0">
      <w:pPr>
        <w:jc w:val="both"/>
        <w:rPr>
          <w:b/>
        </w:rPr>
      </w:pPr>
    </w:p>
    <w:p w14:paraId="35D85F2A" w14:textId="77777777" w:rsidR="009B68A0" w:rsidRPr="00E54E87" w:rsidRDefault="009B68A0" w:rsidP="009B68A0">
      <w:pPr>
        <w:pStyle w:val="ListParagraph"/>
        <w:spacing w:before="120" w:after="120"/>
        <w:ind w:left="0" w:firstLine="851"/>
        <w:jc w:val="both"/>
        <w:rPr>
          <w:rFonts w:ascii="Times New Roman" w:hAnsi="Times New Roman"/>
          <w:b/>
          <w:sz w:val="24"/>
          <w:szCs w:val="24"/>
        </w:rPr>
      </w:pPr>
      <w:r>
        <w:rPr>
          <w:rFonts w:ascii="Times New Roman" w:hAnsi="Times New Roman"/>
          <w:b/>
          <w:sz w:val="24"/>
          <w:szCs w:val="24"/>
        </w:rPr>
        <w:t>C.1.6.</w:t>
      </w:r>
      <w:r w:rsidRPr="00E54E87">
        <w:rPr>
          <w:rFonts w:ascii="Times New Roman" w:hAnsi="Times New Roman"/>
          <w:b/>
          <w:sz w:val="24"/>
          <w:szCs w:val="24"/>
        </w:rPr>
        <w:t xml:space="preserve"> Iekšējās drošības fonds  (IDF) (2014.-2020.plānošanas periods) </w:t>
      </w:r>
    </w:p>
    <w:p w14:paraId="48C79387" w14:textId="77777777" w:rsidR="009B68A0" w:rsidRDefault="009B68A0" w:rsidP="009B68A0">
      <w:pPr>
        <w:ind w:firstLine="720"/>
        <w:jc w:val="both"/>
        <w:rPr>
          <w:color w:val="000000"/>
        </w:rPr>
      </w:pPr>
      <w:r>
        <w:rPr>
          <w:color w:val="000000"/>
        </w:rPr>
        <w:t xml:space="preserve">IDF ietvaros 2018. gadā tika īstenoti 11 projekti, galvenokārt apjomīgas specifisku iekārtu, autotransportu un aprīkojuma iegādes. 80% iepirkumu tika veiktas </w:t>
      </w:r>
      <w:proofErr w:type="spellStart"/>
      <w:r>
        <w:rPr>
          <w:color w:val="000000"/>
        </w:rPr>
        <w:t>pirmspārbaudes</w:t>
      </w:r>
      <w:proofErr w:type="spellEnd"/>
      <w:r>
        <w:rPr>
          <w:color w:val="000000"/>
        </w:rPr>
        <w:t xml:space="preserve">, līdz ar to samazinot iespējamo finanšu korekciju risku pēc izdevumu rašanās. </w:t>
      </w:r>
    </w:p>
    <w:p w14:paraId="2B738C4B" w14:textId="77777777" w:rsidR="009B68A0" w:rsidRDefault="009B68A0" w:rsidP="009B68A0">
      <w:pPr>
        <w:ind w:firstLine="720"/>
        <w:jc w:val="both"/>
        <w:rPr>
          <w:color w:val="000000"/>
        </w:rPr>
      </w:pPr>
      <w:r>
        <w:rPr>
          <w:color w:val="000000"/>
        </w:rPr>
        <w:t>2018. gadā IDF projektos konstatētas 5 neatbilstības par kopējo summu 6 511,71 EUR. Lielākās neatbilstības tika konstatētas, veicot pārbaudes projektu īstenošanas vietās, kad tika konstatēta iepirkumu nepamatota sadalīšana un nekorektu apdrošināšanas summu aprēķināšana par vēl neiegādātu aprīkojumu.</w:t>
      </w:r>
    </w:p>
    <w:p w14:paraId="0AD9E274" w14:textId="77777777" w:rsidR="009B68A0" w:rsidRPr="000352A8" w:rsidRDefault="009B68A0" w:rsidP="009B68A0">
      <w:pPr>
        <w:ind w:firstLine="720"/>
        <w:jc w:val="both"/>
        <w:rPr>
          <w:color w:val="000000"/>
        </w:rPr>
      </w:pPr>
      <w:r>
        <w:rPr>
          <w:color w:val="000000"/>
        </w:rPr>
        <w:t xml:space="preserve">2018. gadā netika konstatēts neviens krāpšanas/ aizdomu par krāpšanos gadījums </w:t>
      </w:r>
      <w:r>
        <w:t>IDF</w:t>
      </w:r>
      <w:r w:rsidRPr="000352A8">
        <w:t xml:space="preserve"> projektos.</w:t>
      </w:r>
    </w:p>
    <w:p w14:paraId="63D1415F" w14:textId="77777777" w:rsidR="009B68A0" w:rsidRPr="009874E5" w:rsidRDefault="009B68A0" w:rsidP="009B68A0">
      <w:pPr>
        <w:jc w:val="both"/>
      </w:pPr>
      <w:r>
        <w:tab/>
      </w:r>
      <w:r>
        <w:tab/>
      </w:r>
      <w:r>
        <w:tab/>
      </w:r>
    </w:p>
    <w:p w14:paraId="6DC5D36B" w14:textId="77777777" w:rsidR="009B68A0" w:rsidRPr="00E54E87" w:rsidRDefault="009B68A0" w:rsidP="009B68A0">
      <w:pPr>
        <w:pStyle w:val="ListParagraph"/>
        <w:spacing w:before="120" w:after="120"/>
        <w:ind w:left="0" w:firstLine="851"/>
        <w:jc w:val="both"/>
        <w:rPr>
          <w:rFonts w:ascii="Times New Roman" w:hAnsi="Times New Roman"/>
          <w:b/>
          <w:sz w:val="24"/>
          <w:szCs w:val="24"/>
        </w:rPr>
      </w:pPr>
      <w:r>
        <w:rPr>
          <w:rFonts w:ascii="Times New Roman" w:hAnsi="Times New Roman"/>
          <w:b/>
          <w:sz w:val="24"/>
          <w:szCs w:val="24"/>
        </w:rPr>
        <w:t>C.1.7.</w:t>
      </w:r>
      <w:r w:rsidRPr="00E54E87">
        <w:rPr>
          <w:rFonts w:ascii="Times New Roman" w:hAnsi="Times New Roman"/>
          <w:b/>
          <w:sz w:val="24"/>
          <w:szCs w:val="24"/>
        </w:rPr>
        <w:t xml:space="preserve"> Patvēruma, migrācijas un integrācijas fonds (PMIF) (2014.-2020.plānošanas periods)</w:t>
      </w:r>
    </w:p>
    <w:p w14:paraId="594C9E04" w14:textId="77777777" w:rsidR="009B68A0" w:rsidRDefault="009B68A0" w:rsidP="009B68A0">
      <w:pPr>
        <w:ind w:firstLine="720"/>
        <w:jc w:val="both"/>
        <w:rPr>
          <w:color w:val="000000"/>
        </w:rPr>
      </w:pPr>
      <w:r>
        <w:rPr>
          <w:color w:val="000000"/>
        </w:rPr>
        <w:t>PMIF ietvaros 2018. gadā tika īstenoti 20 projekti (salīdzinājumam – 2017. gadā – 20, 2016. gadā - 9).</w:t>
      </w:r>
    </w:p>
    <w:p w14:paraId="6B56D9E4" w14:textId="77777777" w:rsidR="009B68A0" w:rsidRDefault="009B68A0" w:rsidP="009B68A0">
      <w:pPr>
        <w:ind w:firstLine="720"/>
        <w:jc w:val="both"/>
        <w:rPr>
          <w:color w:val="000000"/>
        </w:rPr>
      </w:pPr>
      <w:r>
        <w:rPr>
          <w:color w:val="000000"/>
        </w:rPr>
        <w:t>2018. gadā fonda ietvaros tika konstatēti 34 neatbilstību gadījumi par kopējo summu 3 582,01  EUR. Galvenās neatbilstības tika konstatētas administratīvo pārbaužu ietvaros un tās bija - nepareizi aprēķināts atalgojums (t.sk., atvaļinājuma aprēķins), attiecinātas</w:t>
      </w:r>
      <w:r w:rsidRPr="004D68AD">
        <w:rPr>
          <w:color w:val="000000"/>
        </w:rPr>
        <w:t xml:space="preserve"> </w:t>
      </w:r>
      <w:r>
        <w:rPr>
          <w:color w:val="000000"/>
        </w:rPr>
        <w:t>izmaksas par periodu, kas neatbilst projekta īstenošanas laikam vai projekta mērķim.</w:t>
      </w:r>
    </w:p>
    <w:p w14:paraId="5F290656" w14:textId="742DB40B" w:rsidR="009B68A0" w:rsidRDefault="009B68A0" w:rsidP="009B68A0">
      <w:pPr>
        <w:ind w:firstLine="720"/>
        <w:jc w:val="both"/>
        <w:rPr>
          <w:color w:val="000000"/>
        </w:rPr>
      </w:pPr>
      <w:r>
        <w:rPr>
          <w:color w:val="000000"/>
        </w:rPr>
        <w:t xml:space="preserve">2018. gadā netika konstatēts neviens krāpšanas/ aizdomu par krāpšanos gadījums </w:t>
      </w:r>
      <w:r>
        <w:t>PMIF</w:t>
      </w:r>
      <w:r w:rsidRPr="000352A8">
        <w:t xml:space="preserve"> projektos.</w:t>
      </w:r>
    </w:p>
    <w:p w14:paraId="1860FD2A" w14:textId="77777777" w:rsidR="009B68A0" w:rsidRPr="009B68A0" w:rsidRDefault="009B68A0" w:rsidP="009B68A0">
      <w:pPr>
        <w:ind w:firstLine="720"/>
        <w:jc w:val="both"/>
        <w:rPr>
          <w:color w:val="000000"/>
        </w:rPr>
      </w:pPr>
    </w:p>
    <w:p w14:paraId="43E4F69F" w14:textId="77777777" w:rsidR="009B68A0" w:rsidRPr="00E54E87" w:rsidRDefault="009B68A0" w:rsidP="009B68A0">
      <w:pPr>
        <w:widowControl w:val="0"/>
        <w:autoSpaceDE w:val="0"/>
        <w:autoSpaceDN w:val="0"/>
        <w:adjustRightInd w:val="0"/>
        <w:spacing w:after="120"/>
        <w:ind w:firstLine="851"/>
        <w:jc w:val="center"/>
        <w:rPr>
          <w:b/>
        </w:rPr>
      </w:pPr>
      <w:r>
        <w:rPr>
          <w:b/>
        </w:rPr>
        <w:t>C.2.</w:t>
      </w:r>
      <w:r w:rsidRPr="00E54E87">
        <w:rPr>
          <w:b/>
        </w:rPr>
        <w:t xml:space="preserve"> Neatbilstību tendences 201</w:t>
      </w:r>
      <w:r>
        <w:rPr>
          <w:b/>
        </w:rPr>
        <w:t>4.-2020. plānošanas periodā 2018.gadā (piektais</w:t>
      </w:r>
      <w:r w:rsidRPr="00E54E87">
        <w:rPr>
          <w:b/>
        </w:rPr>
        <w:t xml:space="preserve"> plānošanas perioda gads) salīdzinājumā ar 2007.-2013. p</w:t>
      </w:r>
      <w:r>
        <w:rPr>
          <w:b/>
        </w:rPr>
        <w:t>lānošanas perioda tendencēm 2011</w:t>
      </w:r>
      <w:r w:rsidRPr="00E54E87">
        <w:rPr>
          <w:b/>
        </w:rPr>
        <w:t>. gadā (</w:t>
      </w:r>
      <w:r>
        <w:rPr>
          <w:b/>
        </w:rPr>
        <w:t>piektais</w:t>
      </w:r>
      <w:r w:rsidRPr="00E54E87">
        <w:rPr>
          <w:b/>
        </w:rPr>
        <w:t xml:space="preserve"> plānošanas perioda gads)</w:t>
      </w:r>
    </w:p>
    <w:p w14:paraId="41D60263" w14:textId="77777777" w:rsidR="009B68A0" w:rsidRPr="008164B9" w:rsidRDefault="009B68A0" w:rsidP="009B68A0">
      <w:pPr>
        <w:widowControl w:val="0"/>
        <w:autoSpaceDE w:val="0"/>
        <w:autoSpaceDN w:val="0"/>
        <w:adjustRightInd w:val="0"/>
        <w:spacing w:after="120"/>
        <w:ind w:firstLine="851"/>
        <w:contextualSpacing/>
        <w:jc w:val="both"/>
        <w:rPr>
          <w:b/>
          <w:color w:val="AEAAAA" w:themeColor="background2" w:themeShade="BF"/>
        </w:rPr>
      </w:pPr>
    </w:p>
    <w:p w14:paraId="3F78FE09" w14:textId="3FF823FC" w:rsidR="004625BB" w:rsidRPr="00BF4CA7" w:rsidRDefault="009B68A0" w:rsidP="006D0F8D">
      <w:pPr>
        <w:widowControl w:val="0"/>
        <w:autoSpaceDE w:val="0"/>
        <w:autoSpaceDN w:val="0"/>
        <w:adjustRightInd w:val="0"/>
        <w:spacing w:after="120"/>
        <w:ind w:firstLine="851"/>
        <w:contextualSpacing/>
        <w:jc w:val="both"/>
      </w:pPr>
      <w:r w:rsidRPr="008164B9">
        <w:rPr>
          <w:color w:val="AEAAAA" w:themeColor="background2" w:themeShade="BF"/>
        </w:rPr>
        <w:t xml:space="preserve"> </w:t>
      </w:r>
      <w:r w:rsidRPr="005C5BD4">
        <w:t xml:space="preserve">Administrēšanas un uzraudzības efektivitātes salīdzināšanas nolūkos tika sagatavota informācija par </w:t>
      </w:r>
      <w:r>
        <w:t xml:space="preserve">2014. – 2020. plānošanas perioda un </w:t>
      </w:r>
      <w:r w:rsidRPr="005C5BD4">
        <w:t>iepriekšējā plānošana</w:t>
      </w:r>
      <w:r>
        <w:t>s perioda (2007. – 2013. gads) piektā ieviešanas gada (2011.</w:t>
      </w:r>
      <w:r w:rsidR="005F7326">
        <w:t>g.</w:t>
      </w:r>
      <w:r>
        <w:t xml:space="preserve"> un 2018. g.) </w:t>
      </w:r>
      <w:r w:rsidRPr="005C5BD4">
        <w:t>ERAF, ESF</w:t>
      </w:r>
      <w:r>
        <w:t>, KF, EJZF/EZF, ELFLA, ELGF un ETS projektos konstatētajām</w:t>
      </w:r>
      <w:r w:rsidRPr="005C5BD4">
        <w:t xml:space="preserve"> neatbilstīb</w:t>
      </w:r>
      <w:r>
        <w:t>ām ( skatīt tabulas Nr</w:t>
      </w:r>
      <w:r w:rsidR="00B852AE">
        <w:t>.5</w:t>
      </w:r>
      <w:r>
        <w:t xml:space="preserve"> un Nr</w:t>
      </w:r>
      <w:r w:rsidR="00B852AE">
        <w:t>.6</w:t>
      </w:r>
      <w:r>
        <w:t>).</w:t>
      </w:r>
    </w:p>
    <w:p w14:paraId="7FB74309" w14:textId="730F524E" w:rsidR="009B68A0" w:rsidRPr="00B852AE" w:rsidRDefault="00B852AE" w:rsidP="00B852AE">
      <w:pPr>
        <w:widowControl w:val="0"/>
        <w:autoSpaceDE w:val="0"/>
        <w:autoSpaceDN w:val="0"/>
        <w:adjustRightInd w:val="0"/>
        <w:spacing w:after="120"/>
        <w:ind w:firstLine="851"/>
        <w:jc w:val="right"/>
        <w:rPr>
          <w:bCs/>
          <w:i/>
        </w:rPr>
      </w:pPr>
      <w:r w:rsidRPr="00B852AE">
        <w:rPr>
          <w:bCs/>
          <w:i/>
        </w:rPr>
        <w:lastRenderedPageBreak/>
        <w:t>4</w:t>
      </w:r>
      <w:r w:rsidR="009B68A0" w:rsidRPr="00E54E87">
        <w:rPr>
          <w:bCs/>
          <w:i/>
        </w:rPr>
        <w:t>. tabula “</w:t>
      </w:r>
      <w:r w:rsidR="009B68A0">
        <w:rPr>
          <w:bCs/>
          <w:i/>
        </w:rPr>
        <w:t xml:space="preserve">Kopējo attiecināmo izdevumu summa </w:t>
      </w:r>
      <w:r w:rsidR="009B68A0" w:rsidRPr="00E54E87">
        <w:rPr>
          <w:bCs/>
          <w:i/>
        </w:rPr>
        <w:t xml:space="preserve"> 2007.-2013 un 2014.-2020. plānošanas periodu </w:t>
      </w:r>
      <w:r w:rsidR="009B68A0">
        <w:rPr>
          <w:bCs/>
          <w:i/>
        </w:rPr>
        <w:t>piektajos gados, t.i., 2011. un 2018</w:t>
      </w:r>
      <w:r w:rsidR="009B68A0" w:rsidRPr="00E54E87">
        <w:rPr>
          <w:bCs/>
          <w:i/>
        </w:rPr>
        <w:t>. gadā”</w:t>
      </w:r>
    </w:p>
    <w:p w14:paraId="3493A515" w14:textId="77777777" w:rsidR="009B68A0" w:rsidRDefault="009B68A0" w:rsidP="009B68A0">
      <w:pPr>
        <w:widowControl w:val="0"/>
        <w:autoSpaceDE w:val="0"/>
        <w:autoSpaceDN w:val="0"/>
        <w:adjustRightInd w:val="0"/>
        <w:spacing w:after="120"/>
        <w:contextualSpacing/>
        <w:jc w:val="both"/>
      </w:pPr>
      <w:r>
        <w:rPr>
          <w:noProof/>
          <w:lang w:eastAsia="lv-LV"/>
        </w:rPr>
        <w:drawing>
          <wp:inline distT="0" distB="0" distL="0" distR="0" wp14:anchorId="7C5E998B" wp14:editId="61C4B9F8">
            <wp:extent cx="5700584" cy="3262183"/>
            <wp:effectExtent l="0" t="0" r="1460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30F75D" w14:textId="77777777" w:rsidR="009B68A0" w:rsidRDefault="009B68A0" w:rsidP="009B68A0">
      <w:pPr>
        <w:widowControl w:val="0"/>
        <w:autoSpaceDE w:val="0"/>
        <w:autoSpaceDN w:val="0"/>
        <w:adjustRightInd w:val="0"/>
        <w:spacing w:after="120"/>
        <w:ind w:firstLine="851"/>
        <w:contextualSpacing/>
        <w:jc w:val="both"/>
      </w:pPr>
    </w:p>
    <w:p w14:paraId="348E715E" w14:textId="0B93E6CD" w:rsidR="009B68A0" w:rsidRDefault="009B68A0" w:rsidP="009B68A0">
      <w:pPr>
        <w:widowControl w:val="0"/>
        <w:autoSpaceDE w:val="0"/>
        <w:autoSpaceDN w:val="0"/>
        <w:adjustRightInd w:val="0"/>
        <w:spacing w:after="120"/>
        <w:ind w:firstLine="851"/>
        <w:contextualSpacing/>
        <w:jc w:val="both"/>
      </w:pPr>
      <w:r>
        <w:t>Kā redzams tabulā Nr</w:t>
      </w:r>
      <w:r w:rsidR="00B852AE">
        <w:t>.4</w:t>
      </w:r>
      <w:r>
        <w:t xml:space="preserve">  kopējā attiecināmo izdevumu summa, jeb atbalsta saņēmējiem izmaksātais finansējums 2018. gadā gandrīz visos fondos, izņemot EJZF ir lielāks nekā 2011. gadā. No minētā var secināt, ka 2014.-2020. plānošanas perioda piektais gads ir veiksmīgāks ES </w:t>
      </w:r>
      <w:r w:rsidR="00F57A28">
        <w:t>fondu investīciju ieguldīšanā</w:t>
      </w:r>
      <w:r>
        <w:t xml:space="preserve"> nekā iepriekšējā plānošanas perioda piektais gads.</w:t>
      </w:r>
    </w:p>
    <w:p w14:paraId="41F07B15" w14:textId="3969A383" w:rsidR="009B68A0" w:rsidRDefault="009B68A0" w:rsidP="009B68A0">
      <w:pPr>
        <w:widowControl w:val="0"/>
        <w:autoSpaceDE w:val="0"/>
        <w:autoSpaceDN w:val="0"/>
        <w:adjustRightInd w:val="0"/>
        <w:spacing w:after="120"/>
        <w:ind w:firstLine="851"/>
        <w:contextualSpacing/>
        <w:jc w:val="both"/>
      </w:pPr>
      <w:r>
        <w:t>Papildus informat</w:t>
      </w:r>
      <w:r w:rsidR="00F57A28">
        <w:t>īvā ziņojuma 3</w:t>
      </w:r>
      <w:r w:rsidR="00155773">
        <w:t>.pielikumā redzam</w:t>
      </w:r>
      <w:r>
        <w:t>s kopējais ES līdzfinansējuma pie</w:t>
      </w:r>
      <w:r w:rsidR="00B852AE">
        <w:t>šķīrums sadalījumā pa fondiem</w:t>
      </w:r>
      <w:r>
        <w:t>.</w:t>
      </w:r>
    </w:p>
    <w:p w14:paraId="41AEB07E" w14:textId="77777777" w:rsidR="009B68A0" w:rsidRPr="00F83121" w:rsidRDefault="009B68A0" w:rsidP="009B68A0">
      <w:pPr>
        <w:widowControl w:val="0"/>
        <w:autoSpaceDE w:val="0"/>
        <w:autoSpaceDN w:val="0"/>
        <w:adjustRightInd w:val="0"/>
        <w:spacing w:after="120"/>
        <w:contextualSpacing/>
        <w:jc w:val="both"/>
      </w:pPr>
    </w:p>
    <w:p w14:paraId="054DDDE4" w14:textId="77777777" w:rsidR="00B852AE" w:rsidRDefault="00B852AE" w:rsidP="00B852AE">
      <w:pPr>
        <w:jc w:val="right"/>
        <w:rPr>
          <w:bCs/>
          <w:i/>
        </w:rPr>
      </w:pPr>
      <w:r w:rsidRPr="00B852AE">
        <w:rPr>
          <w:bCs/>
          <w:i/>
        </w:rPr>
        <w:t>5</w:t>
      </w:r>
      <w:r w:rsidR="009B68A0" w:rsidRPr="00E54E87">
        <w:rPr>
          <w:bCs/>
          <w:i/>
        </w:rPr>
        <w:t xml:space="preserve">.tabula “Neatbilstību </w:t>
      </w:r>
      <w:r w:rsidR="009B68A0" w:rsidRPr="00DF2A55">
        <w:rPr>
          <w:b/>
          <w:bCs/>
          <w:i/>
        </w:rPr>
        <w:t>summas</w:t>
      </w:r>
      <w:r w:rsidR="009B68A0" w:rsidRPr="00E54E87">
        <w:rPr>
          <w:bCs/>
          <w:i/>
        </w:rPr>
        <w:t xml:space="preserve"> EUR 2007.-2013 un 2014.-2020. plānošanas periodu </w:t>
      </w:r>
      <w:r w:rsidR="009B68A0">
        <w:rPr>
          <w:bCs/>
          <w:i/>
        </w:rPr>
        <w:t>piektajos gados, t.i., 2011. un 2018</w:t>
      </w:r>
      <w:r w:rsidR="009B68A0" w:rsidRPr="00E54E87">
        <w:rPr>
          <w:bCs/>
          <w:i/>
        </w:rPr>
        <w:t>. gadā”</w:t>
      </w:r>
    </w:p>
    <w:p w14:paraId="03BF4C25" w14:textId="2FA5C39B" w:rsidR="009B68A0" w:rsidRPr="00B852AE" w:rsidRDefault="009B68A0" w:rsidP="00B852AE">
      <w:pPr>
        <w:jc w:val="right"/>
        <w:rPr>
          <w:bCs/>
          <w:i/>
        </w:rPr>
      </w:pPr>
      <w:r w:rsidRPr="00E54E87">
        <w:rPr>
          <w:b/>
          <w:noProof/>
          <w:lang w:eastAsia="lv-LV"/>
        </w:rPr>
        <w:drawing>
          <wp:inline distT="0" distB="0" distL="0" distR="0" wp14:anchorId="1EA0BB29" wp14:editId="18476568">
            <wp:extent cx="5552302" cy="2973860"/>
            <wp:effectExtent l="0" t="0" r="1079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D7C985" w14:textId="33E3AF6E" w:rsidR="0072058A" w:rsidRPr="006D0F8D" w:rsidRDefault="009B68A0" w:rsidP="006D0F8D">
      <w:pPr>
        <w:shd w:val="clear" w:color="auto" w:fill="FFFFFF" w:themeFill="background1"/>
        <w:ind w:firstLine="720"/>
        <w:jc w:val="both"/>
      </w:pPr>
      <w:r w:rsidRPr="006D0F8D">
        <w:t xml:space="preserve">Neatbilstību summas 2018. gadā ERAF, KF, EZF ir lielākas nekā 2011. gadā. ERAF, KF un EZF tai pat laikā neatbilstību skaits ir būtiski samazinājies, ko varētu skaidrot ar to, ka </w:t>
      </w:r>
      <w:r w:rsidR="00A176D9" w:rsidRPr="006D0F8D">
        <w:lastRenderedPageBreak/>
        <w:t>2014. – 2020. gada</w:t>
      </w:r>
      <w:r w:rsidRPr="006D0F8D">
        <w:t xml:space="preserve"> plānošanas periodā tiek realizēti lielāki projekti un projektu ietvaros tiek sl</w:t>
      </w:r>
      <w:r w:rsidR="0072058A" w:rsidRPr="006D0F8D">
        <w:t>ēgti līgumi par lielākām summām</w:t>
      </w:r>
      <w:r w:rsidRPr="006D0F8D">
        <w:t xml:space="preserve">. </w:t>
      </w:r>
    </w:p>
    <w:p w14:paraId="00D64376" w14:textId="43F44254" w:rsidR="0072058A" w:rsidRDefault="0072058A" w:rsidP="006D0F8D">
      <w:pPr>
        <w:shd w:val="clear" w:color="auto" w:fill="FFFFFF" w:themeFill="background1"/>
        <w:ind w:firstLine="720"/>
        <w:jc w:val="both"/>
      </w:pPr>
      <w:r w:rsidRPr="006D0F8D">
        <w:t>Savukārt ETS gadījumā 2018.gada dati atspoguļo neattiecināmo izdevumu kopsummu, ko konstatēja finanšu kontrole un kas netika deklarēti Eiropas Komisijai. ETS efektīvi strādā divu līmeņu kontroles sistēma. Finanšu kontroles (1.līmenis) konstatējumi palīdz būtiski samazināt neatbilstību skaitu, kas 2018.gadā netika konstatētas.</w:t>
      </w:r>
    </w:p>
    <w:p w14:paraId="5CD8D96B" w14:textId="3C541FD3" w:rsidR="009B68A0" w:rsidRPr="00534802" w:rsidRDefault="009B68A0" w:rsidP="009B68A0">
      <w:pPr>
        <w:ind w:firstLine="720"/>
        <w:jc w:val="both"/>
      </w:pPr>
      <w:r>
        <w:t xml:space="preserve">To apliecina arī </w:t>
      </w:r>
      <w:r w:rsidR="00B852AE">
        <w:t>tabula Nr.6</w:t>
      </w:r>
      <w:r>
        <w:t>.</w:t>
      </w:r>
    </w:p>
    <w:p w14:paraId="0619BDA2" w14:textId="77777777" w:rsidR="009B68A0" w:rsidRDefault="009B68A0" w:rsidP="009B68A0">
      <w:pPr>
        <w:widowControl w:val="0"/>
        <w:tabs>
          <w:tab w:val="left" w:pos="1425"/>
        </w:tabs>
        <w:autoSpaceDE w:val="0"/>
        <w:autoSpaceDN w:val="0"/>
        <w:adjustRightInd w:val="0"/>
        <w:spacing w:after="240"/>
        <w:rPr>
          <w:b/>
        </w:rPr>
      </w:pPr>
    </w:p>
    <w:p w14:paraId="248CA893" w14:textId="10FA09B9" w:rsidR="009B68A0" w:rsidRPr="00E54E87" w:rsidRDefault="00B852AE" w:rsidP="009B68A0">
      <w:pPr>
        <w:widowControl w:val="0"/>
        <w:autoSpaceDE w:val="0"/>
        <w:autoSpaceDN w:val="0"/>
        <w:adjustRightInd w:val="0"/>
        <w:spacing w:after="120"/>
        <w:ind w:firstLine="851"/>
        <w:jc w:val="right"/>
        <w:rPr>
          <w:bCs/>
          <w:i/>
        </w:rPr>
      </w:pPr>
      <w:r w:rsidRPr="00B852AE">
        <w:rPr>
          <w:bCs/>
          <w:i/>
        </w:rPr>
        <w:t>6</w:t>
      </w:r>
      <w:r w:rsidR="009B68A0" w:rsidRPr="00B852AE">
        <w:rPr>
          <w:bCs/>
          <w:i/>
        </w:rPr>
        <w:t>.</w:t>
      </w:r>
      <w:r w:rsidR="009B68A0" w:rsidRPr="00E54E87">
        <w:rPr>
          <w:bCs/>
          <w:i/>
        </w:rPr>
        <w:t xml:space="preserve"> tabula “Neatbilstību </w:t>
      </w:r>
      <w:r w:rsidR="009B68A0" w:rsidRPr="00DF2A55">
        <w:rPr>
          <w:b/>
          <w:bCs/>
          <w:i/>
        </w:rPr>
        <w:t>skaits</w:t>
      </w:r>
      <w:r w:rsidR="009B68A0" w:rsidRPr="00E54E87">
        <w:rPr>
          <w:bCs/>
          <w:i/>
        </w:rPr>
        <w:t xml:space="preserve"> gab. 2007.-2013 un 2014.-2020. plānošanas periodu </w:t>
      </w:r>
      <w:r w:rsidR="009B68A0">
        <w:rPr>
          <w:bCs/>
          <w:i/>
        </w:rPr>
        <w:t>piektajos, t.i., 2011. un 2018</w:t>
      </w:r>
      <w:r w:rsidR="009B68A0" w:rsidRPr="00E54E87">
        <w:rPr>
          <w:bCs/>
          <w:i/>
        </w:rPr>
        <w:t>. gadā”</w:t>
      </w:r>
    </w:p>
    <w:p w14:paraId="432BD623" w14:textId="77777777" w:rsidR="009B68A0" w:rsidRPr="00E54E87" w:rsidRDefault="009B68A0" w:rsidP="009B68A0">
      <w:pPr>
        <w:widowControl w:val="0"/>
        <w:tabs>
          <w:tab w:val="left" w:pos="1425"/>
        </w:tabs>
        <w:autoSpaceDE w:val="0"/>
        <w:autoSpaceDN w:val="0"/>
        <w:adjustRightInd w:val="0"/>
        <w:spacing w:after="240"/>
        <w:jc w:val="center"/>
        <w:rPr>
          <w:b/>
        </w:rPr>
      </w:pPr>
      <w:r w:rsidRPr="00E54E87">
        <w:rPr>
          <w:b/>
          <w:noProof/>
          <w:lang w:eastAsia="lv-LV"/>
        </w:rPr>
        <w:drawing>
          <wp:inline distT="0" distB="0" distL="0" distR="0" wp14:anchorId="7B16D8B8" wp14:editId="06F00DE4">
            <wp:extent cx="5560540" cy="3138616"/>
            <wp:effectExtent l="0" t="0" r="254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C2C22D" w14:textId="4B3BDCF7" w:rsidR="009B68A0" w:rsidRPr="006D0F8D" w:rsidRDefault="0072058A" w:rsidP="009B68A0">
      <w:pPr>
        <w:ind w:firstLine="720"/>
        <w:jc w:val="both"/>
      </w:pPr>
      <w:r w:rsidRPr="006D0F8D">
        <w:t>N</w:t>
      </w:r>
      <w:r w:rsidR="009B68A0" w:rsidRPr="006D0F8D">
        <w:t xml:space="preserve">eatbilstību skaits 2014. – 2020.  gadu plānošanas perioda piektajā ieviešanas gadā ir mazāks, nekā 2011. gadā (kas ir analoģiski – piektais projektu ieviešanas gads 2007. -2013. gadu plānošanas perioda ietvaros). To varētu skaidrot ar ieviešanas sistēmas </w:t>
      </w:r>
      <w:proofErr w:type="spellStart"/>
      <w:r w:rsidR="009B68A0" w:rsidRPr="006D0F8D">
        <w:t>efektivizēšanu</w:t>
      </w:r>
      <w:proofErr w:type="spellEnd"/>
      <w:r w:rsidR="009B68A0" w:rsidRPr="006D0F8D">
        <w:t xml:space="preserve"> – finansējuma piešķiršanu mazākam skaitam, bet lielākiem projektiem.</w:t>
      </w:r>
    </w:p>
    <w:p w14:paraId="19F1E175" w14:textId="77777777" w:rsidR="0072058A" w:rsidRDefault="0072058A" w:rsidP="0072058A">
      <w:pPr>
        <w:ind w:firstLine="720"/>
        <w:jc w:val="both"/>
      </w:pPr>
      <w:r w:rsidRPr="006D0F8D">
        <w:t>ETS gadījumā 2018.gada dati atspoguļo konstatēto neattiecināmo izdevumu gadījumu skaitu. Neatbilstības ETS  2018.gadā netika konstatētas.</w:t>
      </w:r>
    </w:p>
    <w:p w14:paraId="6F630125" w14:textId="77777777" w:rsidR="0072058A" w:rsidRDefault="0072058A" w:rsidP="0072058A">
      <w:pPr>
        <w:widowControl w:val="0"/>
        <w:autoSpaceDE w:val="0"/>
        <w:autoSpaceDN w:val="0"/>
        <w:adjustRightInd w:val="0"/>
        <w:spacing w:after="120"/>
        <w:rPr>
          <w:bCs/>
          <w:i/>
        </w:rPr>
      </w:pPr>
    </w:p>
    <w:p w14:paraId="619FFA6F" w14:textId="77777777" w:rsidR="009B68A0" w:rsidRDefault="009B68A0" w:rsidP="009B68A0">
      <w:pPr>
        <w:widowControl w:val="0"/>
        <w:autoSpaceDE w:val="0"/>
        <w:autoSpaceDN w:val="0"/>
        <w:adjustRightInd w:val="0"/>
        <w:spacing w:after="120"/>
        <w:rPr>
          <w:bCs/>
          <w:i/>
        </w:rPr>
      </w:pPr>
    </w:p>
    <w:p w14:paraId="5157561B" w14:textId="77777777" w:rsidR="009B68A0" w:rsidRDefault="009B68A0" w:rsidP="009B68A0">
      <w:pPr>
        <w:ind w:firstLine="720"/>
        <w:jc w:val="both"/>
      </w:pPr>
    </w:p>
    <w:p w14:paraId="1E8F2539" w14:textId="77777777" w:rsidR="009B68A0" w:rsidRDefault="009B68A0" w:rsidP="009B68A0">
      <w:pPr>
        <w:ind w:firstLine="720"/>
        <w:jc w:val="both"/>
      </w:pPr>
    </w:p>
    <w:p w14:paraId="7493C642" w14:textId="77777777" w:rsidR="009B68A0" w:rsidRPr="005950FF" w:rsidRDefault="009B68A0" w:rsidP="009B68A0">
      <w:r w:rsidRPr="005950FF">
        <w:br w:type="page"/>
      </w:r>
    </w:p>
    <w:p w14:paraId="6429C7E9" w14:textId="77777777" w:rsidR="009B68A0" w:rsidRPr="004F526C" w:rsidRDefault="009B68A0" w:rsidP="00E8117E">
      <w:pPr>
        <w:widowControl w:val="0"/>
        <w:tabs>
          <w:tab w:val="left" w:pos="1425"/>
        </w:tabs>
        <w:autoSpaceDE w:val="0"/>
        <w:autoSpaceDN w:val="0"/>
        <w:adjustRightInd w:val="0"/>
        <w:spacing w:after="240"/>
        <w:ind w:firstLine="851"/>
        <w:contextualSpacing/>
        <w:jc w:val="center"/>
        <w:rPr>
          <w:b/>
          <w:sz w:val="32"/>
          <w:szCs w:val="32"/>
        </w:rPr>
      </w:pPr>
      <w:r w:rsidRPr="004F526C">
        <w:rPr>
          <w:b/>
          <w:sz w:val="32"/>
          <w:szCs w:val="32"/>
        </w:rPr>
        <w:lastRenderedPageBreak/>
        <w:t>D DAĻA</w:t>
      </w:r>
    </w:p>
    <w:p w14:paraId="31E73240" w14:textId="77777777" w:rsidR="009B68A0" w:rsidRPr="00E8117E" w:rsidRDefault="009B68A0" w:rsidP="00E8117E">
      <w:pPr>
        <w:widowControl w:val="0"/>
        <w:tabs>
          <w:tab w:val="left" w:pos="1425"/>
        </w:tabs>
        <w:autoSpaceDE w:val="0"/>
        <w:autoSpaceDN w:val="0"/>
        <w:adjustRightInd w:val="0"/>
        <w:spacing w:after="120"/>
        <w:ind w:firstLine="851"/>
        <w:contextualSpacing/>
        <w:jc w:val="center"/>
        <w:rPr>
          <w:b/>
          <w:bCs/>
          <w:sz w:val="28"/>
        </w:rPr>
      </w:pPr>
      <w:r w:rsidRPr="00E8117E">
        <w:rPr>
          <w:b/>
          <w:sz w:val="28"/>
        </w:rPr>
        <w:t>INFORMATĪVS PĀRSKATS UN STATISTIKAS DATI</w:t>
      </w:r>
    </w:p>
    <w:p w14:paraId="73D22E80" w14:textId="592704A1" w:rsidR="009B68A0" w:rsidRDefault="009B68A0" w:rsidP="00E8117E">
      <w:pPr>
        <w:widowControl w:val="0"/>
        <w:tabs>
          <w:tab w:val="left" w:pos="1425"/>
        </w:tabs>
        <w:autoSpaceDE w:val="0"/>
        <w:autoSpaceDN w:val="0"/>
        <w:adjustRightInd w:val="0"/>
        <w:spacing w:after="120"/>
        <w:ind w:firstLine="851"/>
        <w:jc w:val="center"/>
        <w:rPr>
          <w:b/>
          <w:bCs/>
        </w:rPr>
      </w:pPr>
      <w:r w:rsidRPr="004F526C">
        <w:rPr>
          <w:b/>
          <w:bCs/>
        </w:rPr>
        <w:t>par 2018 .gadā saņemtajiem iesniegumiem par iespējamām krāpnieciskām un citām nelikumīgām darbībām ES finanšu instrumentu ietvaros, kā arī sadarbību ar OLAF un citām Eiropas institūcijām</w:t>
      </w:r>
    </w:p>
    <w:p w14:paraId="48E972BF" w14:textId="77777777" w:rsidR="00E8117E" w:rsidRPr="000A31A6" w:rsidRDefault="00E8117E" w:rsidP="00E8117E">
      <w:pPr>
        <w:widowControl w:val="0"/>
        <w:tabs>
          <w:tab w:val="left" w:pos="1425"/>
        </w:tabs>
        <w:autoSpaceDE w:val="0"/>
        <w:autoSpaceDN w:val="0"/>
        <w:adjustRightInd w:val="0"/>
        <w:spacing w:after="120"/>
        <w:ind w:firstLine="851"/>
        <w:jc w:val="center"/>
        <w:rPr>
          <w:b/>
          <w:bCs/>
        </w:rPr>
      </w:pPr>
    </w:p>
    <w:p w14:paraId="614EC71B" w14:textId="77777777" w:rsidR="009B68A0" w:rsidRPr="000A31A6" w:rsidRDefault="009B68A0" w:rsidP="009B68A0">
      <w:pPr>
        <w:ind w:firstLine="851"/>
        <w:contextualSpacing/>
        <w:rPr>
          <w:b/>
        </w:rPr>
      </w:pPr>
      <w:r w:rsidRPr="000A31A6">
        <w:rPr>
          <w:b/>
        </w:rPr>
        <w:t>D.1. Izmeklēšanas iestādēs saņemto iesniegumu statistika</w:t>
      </w:r>
    </w:p>
    <w:p w14:paraId="26393226" w14:textId="77777777" w:rsidR="009B68A0" w:rsidRPr="000A31A6" w:rsidRDefault="009B68A0" w:rsidP="009B68A0">
      <w:pPr>
        <w:ind w:firstLine="851"/>
        <w:contextualSpacing/>
        <w:rPr>
          <w:b/>
        </w:rPr>
      </w:pPr>
    </w:p>
    <w:p w14:paraId="7B459F63" w14:textId="77777777" w:rsidR="009B68A0" w:rsidRPr="006D0F8D" w:rsidRDefault="009B68A0" w:rsidP="009B68A0">
      <w:pPr>
        <w:widowControl w:val="0"/>
        <w:tabs>
          <w:tab w:val="left" w:pos="1425"/>
        </w:tabs>
        <w:autoSpaceDE w:val="0"/>
        <w:autoSpaceDN w:val="0"/>
        <w:adjustRightInd w:val="0"/>
        <w:spacing w:before="120" w:after="120"/>
        <w:ind w:firstLine="851"/>
        <w:contextualSpacing/>
        <w:jc w:val="both"/>
      </w:pPr>
      <w:r w:rsidRPr="006D0F8D">
        <w:t xml:space="preserve">2018.gadā </w:t>
      </w:r>
      <w:proofErr w:type="spellStart"/>
      <w:r w:rsidRPr="006D0F8D">
        <w:t>tiesībsargājošās</w:t>
      </w:r>
      <w:proofErr w:type="spellEnd"/>
      <w:r w:rsidRPr="006D0F8D">
        <w:t xml:space="preserve"> iestādēs tika saņemti 14 iesniegumi par iespējamām krāpnieciskām un citām nelikumīgām darbībām ES finanšu instrumentu ietvaros un ir uzsākti 3 kriminālprocesi pēc izmeklēšanas iestādes pašu iniciatīvas.</w:t>
      </w:r>
    </w:p>
    <w:p w14:paraId="39009306" w14:textId="2450A9D8" w:rsidR="009B68A0" w:rsidRPr="006D0F8D" w:rsidRDefault="009B68A0" w:rsidP="009B68A0">
      <w:pPr>
        <w:widowControl w:val="0"/>
        <w:tabs>
          <w:tab w:val="left" w:pos="1425"/>
        </w:tabs>
        <w:autoSpaceDE w:val="0"/>
        <w:autoSpaceDN w:val="0"/>
        <w:adjustRightInd w:val="0"/>
        <w:spacing w:before="120" w:after="120"/>
        <w:ind w:firstLine="851"/>
        <w:contextualSpacing/>
        <w:jc w:val="both"/>
      </w:pPr>
      <w:r w:rsidRPr="006D0F8D">
        <w:t xml:space="preserve">2018. gadā VP saņēma 11 iesniegumus, no kuriem 5 gadījumos tika pieņemts lēmums par atteikumu uzsākt kriminālprocesu, 1 gadījumā vēl joprojām norisinās </w:t>
      </w:r>
      <w:proofErr w:type="spellStart"/>
      <w:r w:rsidRPr="006D0F8D">
        <w:t>resoriskā</w:t>
      </w:r>
      <w:proofErr w:type="spellEnd"/>
      <w:r w:rsidRPr="006D0F8D">
        <w:t xml:space="preserve"> pārbaude</w:t>
      </w:r>
      <w:r w:rsidR="00555A91" w:rsidRPr="006D0F8D">
        <w:t>. Kopā 2018. gadā VP uzsākusi 11</w:t>
      </w:r>
      <w:r w:rsidRPr="006D0F8D">
        <w:t xml:space="preserve"> kriminālprocesus saistībā ar iespējamiem noziedzīgiem nodarījumiem ES finanšu izlietojumā (5 gadījumos kriminālprocess uzsākts, pamatojoties uz saņemtu iesniegumu, 3 gadījumos – pēc pašu iniciatīvas un </w:t>
      </w:r>
      <w:r w:rsidR="00555A91" w:rsidRPr="006D0F8D">
        <w:t>3</w:t>
      </w:r>
      <w:r w:rsidRPr="006D0F8D">
        <w:t xml:space="preserve"> gadījumos – pēc citu izmeklēšanas iestāžu pārsūtītas informācijas).</w:t>
      </w:r>
    </w:p>
    <w:p w14:paraId="661522F8" w14:textId="5331E822" w:rsidR="009B68A0" w:rsidRPr="006D0F8D" w:rsidRDefault="009B68A0" w:rsidP="009B68A0">
      <w:pPr>
        <w:widowControl w:val="0"/>
        <w:tabs>
          <w:tab w:val="left" w:pos="1425"/>
        </w:tabs>
        <w:autoSpaceDE w:val="0"/>
        <w:autoSpaceDN w:val="0"/>
        <w:adjustRightInd w:val="0"/>
        <w:spacing w:before="120" w:after="120"/>
        <w:ind w:firstLine="851"/>
        <w:contextualSpacing/>
        <w:jc w:val="both"/>
      </w:pPr>
      <w:r w:rsidRPr="006D0F8D">
        <w:t>KNAB 2018. gadā saņēma 1 iesniegumu, kas tika pārsūtīts pēc piekritības VP</w:t>
      </w:r>
      <w:r w:rsidR="00555A91" w:rsidRPr="006D0F8D">
        <w:t>. Kriminālprocess ir uzsākts.</w:t>
      </w:r>
    </w:p>
    <w:p w14:paraId="53EB8379" w14:textId="762654EB" w:rsidR="009B68A0" w:rsidRDefault="009B68A0" w:rsidP="009B68A0">
      <w:pPr>
        <w:widowControl w:val="0"/>
        <w:tabs>
          <w:tab w:val="left" w:pos="1425"/>
        </w:tabs>
        <w:autoSpaceDE w:val="0"/>
        <w:autoSpaceDN w:val="0"/>
        <w:adjustRightInd w:val="0"/>
        <w:spacing w:before="120" w:after="120"/>
        <w:ind w:firstLine="851"/>
        <w:contextualSpacing/>
        <w:jc w:val="both"/>
      </w:pPr>
      <w:r w:rsidRPr="006D0F8D">
        <w:t xml:space="preserve">Papildus jāmin, ka </w:t>
      </w:r>
      <w:r w:rsidR="0042739D" w:rsidRPr="006D0F8D">
        <w:t>prokuratūra 2018.gadā saņēma 2 sūdzības par Valsts policijas pieņemtajiem lēmumiem, ar kuriem atteikts uzsākt kriminālprocesu par iespējamām krāpnieciskām vai citām nelikumīgām darbībām ES finanšu instrumentu ietvaros. Pārsūdzības kārtībā abi lēmumi par atteikšanos uzsākt kriminālprocesu atcelti, prokuratūrā uzsākti kriminālprocesi, kas nosūtīti izmeklēšanas veikšanai Valsts policijai.</w:t>
      </w:r>
      <w:r>
        <w:t xml:space="preserve"> </w:t>
      </w:r>
    </w:p>
    <w:p w14:paraId="0D1F8AB5" w14:textId="01E88CE2" w:rsidR="009B68A0" w:rsidRPr="00F65312" w:rsidRDefault="00B852AE" w:rsidP="00B852AE">
      <w:pPr>
        <w:pStyle w:val="PlainText"/>
        <w:numPr>
          <w:ilvl w:val="0"/>
          <w:numId w:val="31"/>
        </w:numPr>
        <w:spacing w:after="120"/>
        <w:jc w:val="right"/>
        <w:rPr>
          <w:rFonts w:cs="Times New Roman"/>
          <w:szCs w:val="24"/>
        </w:rPr>
      </w:pPr>
      <w:r>
        <w:rPr>
          <w:i/>
        </w:rPr>
        <w:t>t</w:t>
      </w:r>
      <w:r w:rsidR="009B68A0" w:rsidRPr="00F65312">
        <w:rPr>
          <w:i/>
        </w:rPr>
        <w:t xml:space="preserve">abula </w:t>
      </w:r>
      <w:r>
        <w:rPr>
          <w:i/>
        </w:rPr>
        <w:t>“</w:t>
      </w:r>
      <w:r w:rsidR="009B68A0" w:rsidRPr="0094718E">
        <w:rPr>
          <w:rFonts w:cs="Times New Roman"/>
          <w:i/>
          <w:szCs w:val="24"/>
        </w:rPr>
        <w:t xml:space="preserve">Kopsavilkums </w:t>
      </w:r>
      <w:r w:rsidR="009B68A0">
        <w:rPr>
          <w:rFonts w:cs="Times New Roman"/>
          <w:i/>
          <w:szCs w:val="24"/>
        </w:rPr>
        <w:t>par VP un KNAB saņemtajiem iesniegumiem 2018.gadā</w:t>
      </w:r>
      <w:r w:rsidR="009B68A0" w:rsidRPr="0094718E">
        <w:rPr>
          <w:rFonts w:cs="Times New Roman"/>
          <w:i/>
          <w:szCs w:val="24"/>
        </w:rPr>
        <w:t xml:space="preserve"> salīdzinājumā ar </w:t>
      </w:r>
      <w:r w:rsidR="009B68A0">
        <w:rPr>
          <w:rFonts w:cs="Times New Roman"/>
          <w:i/>
          <w:szCs w:val="24"/>
        </w:rPr>
        <w:t xml:space="preserve">2017., 2016., </w:t>
      </w:r>
      <w:r w:rsidR="009B68A0" w:rsidRPr="0094718E">
        <w:rPr>
          <w:rFonts w:cs="Times New Roman"/>
          <w:i/>
          <w:szCs w:val="24"/>
        </w:rPr>
        <w:t>2015., 2014., 2013.</w:t>
      </w:r>
      <w:r w:rsidR="009B68A0">
        <w:rPr>
          <w:rFonts w:cs="Times New Roman"/>
          <w:i/>
          <w:szCs w:val="24"/>
        </w:rPr>
        <w:t>gada datiem</w:t>
      </w:r>
      <w:r>
        <w:rPr>
          <w:rFonts w:cs="Times New Roman"/>
          <w:i/>
          <w:szCs w:val="24"/>
        </w:rPr>
        <w:t>”</w:t>
      </w:r>
    </w:p>
    <w:tbl>
      <w:tblPr>
        <w:tblStyle w:val="TableGrid"/>
        <w:tblW w:w="8591" w:type="dxa"/>
        <w:tblInd w:w="426" w:type="dxa"/>
        <w:tblLook w:val="04A0" w:firstRow="1" w:lastRow="0" w:firstColumn="1" w:lastColumn="0" w:noHBand="0" w:noVBand="1"/>
      </w:tblPr>
      <w:tblGrid>
        <w:gridCol w:w="3601"/>
        <w:gridCol w:w="678"/>
        <w:gridCol w:w="782"/>
        <w:gridCol w:w="781"/>
        <w:gridCol w:w="781"/>
        <w:gridCol w:w="957"/>
        <w:gridCol w:w="1011"/>
      </w:tblGrid>
      <w:tr w:rsidR="009B68A0" w:rsidRPr="0094718E" w14:paraId="6C6CA3AF" w14:textId="77777777" w:rsidTr="00E8117E">
        <w:trPr>
          <w:trHeight w:val="310"/>
        </w:trPr>
        <w:tc>
          <w:tcPr>
            <w:tcW w:w="3601" w:type="dxa"/>
            <w:vMerge w:val="restart"/>
            <w:shd w:val="clear" w:color="auto" w:fill="BDD6EE" w:themeFill="accent1" w:themeFillTint="66"/>
          </w:tcPr>
          <w:p w14:paraId="0E18FBC0" w14:textId="77777777" w:rsidR="009B68A0" w:rsidRPr="00E8117E" w:rsidRDefault="009B68A0" w:rsidP="00B852AE">
            <w:pPr>
              <w:pStyle w:val="PlainText"/>
              <w:spacing w:after="120"/>
              <w:jc w:val="center"/>
              <w:rPr>
                <w:rFonts w:cs="Times New Roman"/>
                <w:b/>
                <w:szCs w:val="20"/>
              </w:rPr>
            </w:pPr>
            <w:r w:rsidRPr="00E8117E">
              <w:rPr>
                <w:rFonts w:cs="Times New Roman"/>
                <w:b/>
                <w:szCs w:val="20"/>
              </w:rPr>
              <w:t>Veiktās darbības</w:t>
            </w:r>
          </w:p>
        </w:tc>
        <w:tc>
          <w:tcPr>
            <w:tcW w:w="4990" w:type="dxa"/>
            <w:gridSpan w:val="6"/>
            <w:shd w:val="clear" w:color="auto" w:fill="BDD6EE" w:themeFill="accent1" w:themeFillTint="66"/>
          </w:tcPr>
          <w:p w14:paraId="6F7EBEDA" w14:textId="77777777" w:rsidR="009B68A0" w:rsidRPr="00E8117E" w:rsidRDefault="009B68A0" w:rsidP="00B852AE">
            <w:pPr>
              <w:pStyle w:val="PlainText"/>
              <w:spacing w:after="120"/>
              <w:jc w:val="center"/>
              <w:rPr>
                <w:rFonts w:cs="Times New Roman"/>
                <w:b/>
                <w:szCs w:val="20"/>
              </w:rPr>
            </w:pPr>
            <w:r w:rsidRPr="00E8117E">
              <w:rPr>
                <w:rFonts w:cs="Times New Roman"/>
                <w:b/>
                <w:szCs w:val="20"/>
              </w:rPr>
              <w:t>Gadījumu skaits</w:t>
            </w:r>
          </w:p>
        </w:tc>
      </w:tr>
      <w:tr w:rsidR="009B68A0" w:rsidRPr="0094718E" w14:paraId="210B205A" w14:textId="77777777" w:rsidTr="00E8117E">
        <w:trPr>
          <w:trHeight w:val="310"/>
        </w:trPr>
        <w:tc>
          <w:tcPr>
            <w:tcW w:w="3601" w:type="dxa"/>
            <w:vMerge/>
            <w:shd w:val="clear" w:color="auto" w:fill="BDD6EE" w:themeFill="accent1" w:themeFillTint="66"/>
          </w:tcPr>
          <w:p w14:paraId="1ED05F65" w14:textId="77777777" w:rsidR="009B68A0" w:rsidRPr="00E8117E" w:rsidRDefault="009B68A0" w:rsidP="00B852AE">
            <w:pPr>
              <w:pStyle w:val="PlainText"/>
              <w:spacing w:after="120"/>
              <w:jc w:val="both"/>
              <w:rPr>
                <w:rFonts w:cs="Times New Roman"/>
                <w:b/>
                <w:szCs w:val="20"/>
              </w:rPr>
            </w:pPr>
          </w:p>
        </w:tc>
        <w:tc>
          <w:tcPr>
            <w:tcW w:w="678" w:type="dxa"/>
            <w:shd w:val="clear" w:color="auto" w:fill="BDD6EE" w:themeFill="accent1" w:themeFillTint="66"/>
          </w:tcPr>
          <w:p w14:paraId="3AE8720B" w14:textId="77777777" w:rsidR="009B68A0" w:rsidRPr="00E8117E" w:rsidRDefault="009B68A0" w:rsidP="00B852AE">
            <w:pPr>
              <w:pStyle w:val="PlainText"/>
              <w:spacing w:after="120"/>
              <w:jc w:val="center"/>
              <w:rPr>
                <w:rFonts w:cs="Times New Roman"/>
                <w:b/>
                <w:szCs w:val="20"/>
              </w:rPr>
            </w:pPr>
            <w:r w:rsidRPr="00E8117E">
              <w:rPr>
                <w:rFonts w:cs="Times New Roman"/>
                <w:b/>
                <w:szCs w:val="20"/>
              </w:rPr>
              <w:t>2018</w:t>
            </w:r>
          </w:p>
        </w:tc>
        <w:tc>
          <w:tcPr>
            <w:tcW w:w="782" w:type="dxa"/>
            <w:shd w:val="clear" w:color="auto" w:fill="BDD6EE" w:themeFill="accent1" w:themeFillTint="66"/>
          </w:tcPr>
          <w:p w14:paraId="026BED5C" w14:textId="77777777" w:rsidR="009B68A0" w:rsidRPr="00E8117E" w:rsidRDefault="009B68A0" w:rsidP="00B852AE">
            <w:pPr>
              <w:pStyle w:val="PlainText"/>
              <w:spacing w:after="120"/>
              <w:jc w:val="center"/>
              <w:rPr>
                <w:rFonts w:cs="Times New Roman"/>
                <w:b/>
                <w:szCs w:val="20"/>
              </w:rPr>
            </w:pPr>
            <w:r w:rsidRPr="00E8117E">
              <w:rPr>
                <w:rFonts w:cs="Times New Roman"/>
                <w:b/>
                <w:szCs w:val="20"/>
              </w:rPr>
              <w:t>2017</w:t>
            </w:r>
          </w:p>
        </w:tc>
        <w:tc>
          <w:tcPr>
            <w:tcW w:w="781" w:type="dxa"/>
            <w:shd w:val="clear" w:color="auto" w:fill="BDD6EE" w:themeFill="accent1" w:themeFillTint="66"/>
          </w:tcPr>
          <w:p w14:paraId="017DA257" w14:textId="77777777" w:rsidR="009B68A0" w:rsidRPr="00E8117E" w:rsidRDefault="009B68A0" w:rsidP="00B852AE">
            <w:pPr>
              <w:pStyle w:val="PlainText"/>
              <w:spacing w:after="120"/>
              <w:jc w:val="center"/>
              <w:rPr>
                <w:rFonts w:cs="Times New Roman"/>
                <w:b/>
                <w:szCs w:val="20"/>
              </w:rPr>
            </w:pPr>
            <w:r w:rsidRPr="00E8117E">
              <w:rPr>
                <w:rFonts w:cs="Times New Roman"/>
                <w:b/>
                <w:szCs w:val="20"/>
              </w:rPr>
              <w:t>2016</w:t>
            </w:r>
          </w:p>
        </w:tc>
        <w:tc>
          <w:tcPr>
            <w:tcW w:w="781" w:type="dxa"/>
            <w:shd w:val="clear" w:color="auto" w:fill="BDD6EE" w:themeFill="accent1" w:themeFillTint="66"/>
          </w:tcPr>
          <w:p w14:paraId="4BC994C3" w14:textId="77777777" w:rsidR="009B68A0" w:rsidRPr="00E8117E" w:rsidRDefault="009B68A0" w:rsidP="00B852AE">
            <w:pPr>
              <w:pStyle w:val="PlainText"/>
              <w:spacing w:after="120"/>
              <w:jc w:val="center"/>
              <w:rPr>
                <w:rFonts w:cs="Times New Roman"/>
                <w:b/>
                <w:szCs w:val="20"/>
              </w:rPr>
            </w:pPr>
            <w:r w:rsidRPr="00E8117E">
              <w:rPr>
                <w:rFonts w:cs="Times New Roman"/>
                <w:b/>
                <w:szCs w:val="20"/>
              </w:rPr>
              <w:t>2015</w:t>
            </w:r>
          </w:p>
        </w:tc>
        <w:tc>
          <w:tcPr>
            <w:tcW w:w="957" w:type="dxa"/>
            <w:shd w:val="clear" w:color="auto" w:fill="BDD6EE" w:themeFill="accent1" w:themeFillTint="66"/>
          </w:tcPr>
          <w:p w14:paraId="0F5CCD4F" w14:textId="77777777" w:rsidR="009B68A0" w:rsidRPr="00E8117E" w:rsidRDefault="009B68A0" w:rsidP="00B852AE">
            <w:pPr>
              <w:pStyle w:val="PlainText"/>
              <w:spacing w:after="120"/>
              <w:jc w:val="center"/>
              <w:rPr>
                <w:rFonts w:cs="Times New Roman"/>
                <w:b/>
                <w:szCs w:val="20"/>
              </w:rPr>
            </w:pPr>
            <w:r w:rsidRPr="00E8117E">
              <w:rPr>
                <w:rFonts w:cs="Times New Roman"/>
                <w:b/>
                <w:szCs w:val="20"/>
              </w:rPr>
              <w:t>2014</w:t>
            </w:r>
          </w:p>
        </w:tc>
        <w:tc>
          <w:tcPr>
            <w:tcW w:w="1007" w:type="dxa"/>
            <w:shd w:val="clear" w:color="auto" w:fill="BDD6EE" w:themeFill="accent1" w:themeFillTint="66"/>
          </w:tcPr>
          <w:p w14:paraId="763D1993" w14:textId="77777777" w:rsidR="009B68A0" w:rsidRPr="00E8117E" w:rsidRDefault="009B68A0" w:rsidP="00B852AE">
            <w:pPr>
              <w:pStyle w:val="PlainText"/>
              <w:spacing w:after="120"/>
              <w:jc w:val="center"/>
              <w:rPr>
                <w:rFonts w:cs="Times New Roman"/>
                <w:b/>
                <w:szCs w:val="20"/>
              </w:rPr>
            </w:pPr>
            <w:r w:rsidRPr="00E8117E">
              <w:rPr>
                <w:rFonts w:cs="Times New Roman"/>
                <w:b/>
                <w:szCs w:val="20"/>
              </w:rPr>
              <w:t>2013</w:t>
            </w:r>
          </w:p>
        </w:tc>
      </w:tr>
      <w:tr w:rsidR="009B68A0" w:rsidRPr="0094718E" w14:paraId="5A4218B8" w14:textId="77777777" w:rsidTr="00E8117E">
        <w:trPr>
          <w:trHeight w:val="310"/>
        </w:trPr>
        <w:tc>
          <w:tcPr>
            <w:tcW w:w="3601" w:type="dxa"/>
          </w:tcPr>
          <w:p w14:paraId="42E4F197" w14:textId="77777777" w:rsidR="009B68A0" w:rsidRPr="00E8117E" w:rsidRDefault="009B68A0" w:rsidP="00B852AE">
            <w:pPr>
              <w:pStyle w:val="PlainText"/>
              <w:spacing w:after="120"/>
              <w:jc w:val="both"/>
              <w:rPr>
                <w:rFonts w:cs="Times New Roman"/>
                <w:szCs w:val="20"/>
              </w:rPr>
            </w:pPr>
            <w:r w:rsidRPr="00E8117E">
              <w:rPr>
                <w:rFonts w:cs="Times New Roman"/>
                <w:szCs w:val="20"/>
              </w:rPr>
              <w:t>VP saņemti  iesniegumi</w:t>
            </w:r>
          </w:p>
        </w:tc>
        <w:tc>
          <w:tcPr>
            <w:tcW w:w="678" w:type="dxa"/>
          </w:tcPr>
          <w:p w14:paraId="6414FFFA" w14:textId="77777777" w:rsidR="009B68A0" w:rsidRPr="00E8117E" w:rsidRDefault="009B68A0" w:rsidP="00B852AE">
            <w:pPr>
              <w:pStyle w:val="PlainText"/>
              <w:spacing w:after="120"/>
              <w:jc w:val="center"/>
              <w:rPr>
                <w:rFonts w:cs="Times New Roman"/>
                <w:szCs w:val="20"/>
              </w:rPr>
            </w:pPr>
            <w:r w:rsidRPr="00E8117E">
              <w:rPr>
                <w:rFonts w:cs="Times New Roman"/>
                <w:szCs w:val="20"/>
              </w:rPr>
              <w:t>11</w:t>
            </w:r>
          </w:p>
        </w:tc>
        <w:tc>
          <w:tcPr>
            <w:tcW w:w="782" w:type="dxa"/>
          </w:tcPr>
          <w:p w14:paraId="14ACF6A9" w14:textId="77777777" w:rsidR="009B68A0" w:rsidRPr="00E8117E" w:rsidRDefault="009B68A0" w:rsidP="00B852AE">
            <w:pPr>
              <w:pStyle w:val="PlainText"/>
              <w:spacing w:after="120"/>
              <w:jc w:val="center"/>
              <w:rPr>
                <w:rFonts w:cs="Times New Roman"/>
                <w:szCs w:val="20"/>
              </w:rPr>
            </w:pPr>
            <w:r w:rsidRPr="00E8117E">
              <w:rPr>
                <w:rFonts w:cs="Times New Roman"/>
                <w:szCs w:val="20"/>
              </w:rPr>
              <w:t>6</w:t>
            </w:r>
          </w:p>
        </w:tc>
        <w:tc>
          <w:tcPr>
            <w:tcW w:w="781" w:type="dxa"/>
          </w:tcPr>
          <w:p w14:paraId="4A7F66E5" w14:textId="77777777" w:rsidR="009B68A0" w:rsidRPr="00E8117E" w:rsidRDefault="009B68A0" w:rsidP="00B852AE">
            <w:pPr>
              <w:pStyle w:val="PlainText"/>
              <w:spacing w:after="120"/>
              <w:jc w:val="center"/>
              <w:rPr>
                <w:rFonts w:cs="Times New Roman"/>
                <w:szCs w:val="20"/>
              </w:rPr>
            </w:pPr>
            <w:r w:rsidRPr="00E8117E">
              <w:rPr>
                <w:rFonts w:cs="Times New Roman"/>
                <w:szCs w:val="20"/>
              </w:rPr>
              <w:t>32</w:t>
            </w:r>
          </w:p>
        </w:tc>
        <w:tc>
          <w:tcPr>
            <w:tcW w:w="781" w:type="dxa"/>
          </w:tcPr>
          <w:p w14:paraId="149B2D32" w14:textId="77777777" w:rsidR="009B68A0" w:rsidRPr="00E8117E" w:rsidRDefault="009B68A0" w:rsidP="00B852AE">
            <w:pPr>
              <w:pStyle w:val="PlainText"/>
              <w:spacing w:after="120"/>
              <w:jc w:val="center"/>
              <w:rPr>
                <w:rFonts w:cs="Times New Roman"/>
                <w:szCs w:val="20"/>
              </w:rPr>
            </w:pPr>
            <w:r w:rsidRPr="00E8117E">
              <w:rPr>
                <w:rFonts w:cs="Times New Roman"/>
                <w:szCs w:val="20"/>
              </w:rPr>
              <w:t>21</w:t>
            </w:r>
          </w:p>
        </w:tc>
        <w:tc>
          <w:tcPr>
            <w:tcW w:w="957" w:type="dxa"/>
          </w:tcPr>
          <w:p w14:paraId="20218E04" w14:textId="77777777" w:rsidR="009B68A0" w:rsidRPr="00E8117E" w:rsidRDefault="009B68A0" w:rsidP="00B852AE">
            <w:pPr>
              <w:pStyle w:val="PlainText"/>
              <w:spacing w:after="120"/>
              <w:jc w:val="center"/>
              <w:rPr>
                <w:rFonts w:cs="Times New Roman"/>
                <w:szCs w:val="20"/>
              </w:rPr>
            </w:pPr>
            <w:r w:rsidRPr="00E8117E">
              <w:rPr>
                <w:rFonts w:cs="Times New Roman"/>
                <w:szCs w:val="20"/>
              </w:rPr>
              <w:t>40</w:t>
            </w:r>
          </w:p>
        </w:tc>
        <w:tc>
          <w:tcPr>
            <w:tcW w:w="1007" w:type="dxa"/>
          </w:tcPr>
          <w:p w14:paraId="4251E16E" w14:textId="77777777" w:rsidR="009B68A0" w:rsidRPr="00E8117E" w:rsidRDefault="009B68A0" w:rsidP="00B852AE">
            <w:pPr>
              <w:pStyle w:val="PlainText"/>
              <w:spacing w:after="120"/>
              <w:jc w:val="center"/>
              <w:rPr>
                <w:rFonts w:cs="Times New Roman"/>
                <w:szCs w:val="20"/>
              </w:rPr>
            </w:pPr>
            <w:r w:rsidRPr="00E8117E">
              <w:rPr>
                <w:rFonts w:cs="Times New Roman"/>
                <w:szCs w:val="20"/>
              </w:rPr>
              <w:t>25</w:t>
            </w:r>
          </w:p>
        </w:tc>
      </w:tr>
      <w:tr w:rsidR="009B68A0" w:rsidRPr="0094718E" w14:paraId="52657961" w14:textId="77777777" w:rsidTr="00E8117E">
        <w:trPr>
          <w:trHeight w:val="310"/>
        </w:trPr>
        <w:tc>
          <w:tcPr>
            <w:tcW w:w="3601" w:type="dxa"/>
          </w:tcPr>
          <w:p w14:paraId="34BB29EE" w14:textId="77777777" w:rsidR="009B68A0" w:rsidRPr="00E8117E" w:rsidRDefault="009B68A0" w:rsidP="00B852AE">
            <w:pPr>
              <w:pStyle w:val="PlainText"/>
              <w:spacing w:after="120"/>
              <w:jc w:val="both"/>
              <w:rPr>
                <w:rFonts w:cs="Times New Roman"/>
                <w:szCs w:val="20"/>
              </w:rPr>
            </w:pPr>
            <w:r w:rsidRPr="00E8117E">
              <w:rPr>
                <w:rFonts w:cs="Times New Roman"/>
                <w:szCs w:val="20"/>
              </w:rPr>
              <w:t>KNAB saņemti  iesniegumi</w:t>
            </w:r>
          </w:p>
        </w:tc>
        <w:tc>
          <w:tcPr>
            <w:tcW w:w="678" w:type="dxa"/>
          </w:tcPr>
          <w:p w14:paraId="0B445632" w14:textId="77777777" w:rsidR="009B68A0" w:rsidRPr="00E8117E" w:rsidRDefault="009B68A0" w:rsidP="00B852AE">
            <w:pPr>
              <w:pStyle w:val="PlainText"/>
              <w:spacing w:after="120"/>
              <w:jc w:val="center"/>
              <w:rPr>
                <w:rFonts w:cs="Times New Roman"/>
                <w:szCs w:val="20"/>
              </w:rPr>
            </w:pPr>
            <w:r w:rsidRPr="00E8117E">
              <w:rPr>
                <w:rFonts w:cs="Times New Roman"/>
                <w:szCs w:val="20"/>
              </w:rPr>
              <w:t>1</w:t>
            </w:r>
          </w:p>
        </w:tc>
        <w:tc>
          <w:tcPr>
            <w:tcW w:w="782" w:type="dxa"/>
          </w:tcPr>
          <w:p w14:paraId="57AB819F" w14:textId="77777777" w:rsidR="009B68A0" w:rsidRPr="00E8117E" w:rsidRDefault="009B68A0" w:rsidP="00B852AE">
            <w:pPr>
              <w:pStyle w:val="PlainText"/>
              <w:spacing w:after="120"/>
              <w:jc w:val="center"/>
              <w:rPr>
                <w:rFonts w:cs="Times New Roman"/>
                <w:szCs w:val="20"/>
              </w:rPr>
            </w:pPr>
            <w:r w:rsidRPr="00E8117E">
              <w:rPr>
                <w:rFonts w:cs="Times New Roman"/>
                <w:szCs w:val="20"/>
              </w:rPr>
              <w:t>4</w:t>
            </w:r>
          </w:p>
        </w:tc>
        <w:tc>
          <w:tcPr>
            <w:tcW w:w="781" w:type="dxa"/>
          </w:tcPr>
          <w:p w14:paraId="69989936" w14:textId="77777777" w:rsidR="009B68A0" w:rsidRPr="00E8117E" w:rsidRDefault="009B68A0" w:rsidP="00B852AE">
            <w:pPr>
              <w:pStyle w:val="PlainText"/>
              <w:spacing w:after="120"/>
              <w:jc w:val="center"/>
              <w:rPr>
                <w:rFonts w:cs="Times New Roman"/>
                <w:szCs w:val="20"/>
              </w:rPr>
            </w:pPr>
            <w:r w:rsidRPr="00E8117E">
              <w:rPr>
                <w:rFonts w:cs="Times New Roman"/>
                <w:szCs w:val="20"/>
              </w:rPr>
              <w:t>3</w:t>
            </w:r>
          </w:p>
        </w:tc>
        <w:tc>
          <w:tcPr>
            <w:tcW w:w="781" w:type="dxa"/>
          </w:tcPr>
          <w:p w14:paraId="1E3A8E67" w14:textId="77777777" w:rsidR="009B68A0" w:rsidRPr="00E8117E" w:rsidRDefault="009B68A0" w:rsidP="00B852AE">
            <w:pPr>
              <w:pStyle w:val="PlainText"/>
              <w:spacing w:after="120"/>
              <w:jc w:val="center"/>
              <w:rPr>
                <w:rFonts w:cs="Times New Roman"/>
                <w:szCs w:val="20"/>
              </w:rPr>
            </w:pPr>
            <w:r w:rsidRPr="00E8117E">
              <w:rPr>
                <w:rFonts w:cs="Times New Roman"/>
                <w:szCs w:val="20"/>
              </w:rPr>
              <w:t>5</w:t>
            </w:r>
          </w:p>
        </w:tc>
        <w:tc>
          <w:tcPr>
            <w:tcW w:w="957" w:type="dxa"/>
          </w:tcPr>
          <w:p w14:paraId="4775BA78" w14:textId="77777777" w:rsidR="009B68A0" w:rsidRPr="00E8117E" w:rsidRDefault="009B68A0" w:rsidP="00B852AE">
            <w:pPr>
              <w:pStyle w:val="PlainText"/>
              <w:spacing w:after="120"/>
              <w:jc w:val="center"/>
              <w:rPr>
                <w:rFonts w:cs="Times New Roman"/>
                <w:szCs w:val="20"/>
              </w:rPr>
            </w:pPr>
            <w:r w:rsidRPr="00E8117E">
              <w:rPr>
                <w:rFonts w:cs="Times New Roman"/>
                <w:szCs w:val="20"/>
              </w:rPr>
              <w:t>-</w:t>
            </w:r>
          </w:p>
        </w:tc>
        <w:tc>
          <w:tcPr>
            <w:tcW w:w="1007" w:type="dxa"/>
          </w:tcPr>
          <w:p w14:paraId="0A7F5827" w14:textId="77777777" w:rsidR="009B68A0" w:rsidRPr="00E8117E" w:rsidRDefault="009B68A0" w:rsidP="00B852AE">
            <w:pPr>
              <w:pStyle w:val="PlainText"/>
              <w:spacing w:after="120"/>
              <w:jc w:val="center"/>
              <w:rPr>
                <w:rFonts w:cs="Times New Roman"/>
                <w:szCs w:val="20"/>
              </w:rPr>
            </w:pPr>
            <w:r w:rsidRPr="00E8117E">
              <w:rPr>
                <w:rFonts w:cs="Times New Roman"/>
                <w:szCs w:val="20"/>
              </w:rPr>
              <w:t>-</w:t>
            </w:r>
          </w:p>
        </w:tc>
      </w:tr>
      <w:tr w:rsidR="009B68A0" w:rsidRPr="0094718E" w14:paraId="58311AA6" w14:textId="77777777" w:rsidTr="00E8117E">
        <w:trPr>
          <w:trHeight w:val="1411"/>
        </w:trPr>
        <w:tc>
          <w:tcPr>
            <w:tcW w:w="3601" w:type="dxa"/>
          </w:tcPr>
          <w:p w14:paraId="19EE5455" w14:textId="77777777" w:rsidR="009B68A0" w:rsidRPr="00E8117E" w:rsidRDefault="009B68A0" w:rsidP="00B852AE">
            <w:pPr>
              <w:pStyle w:val="PlainText"/>
              <w:spacing w:after="120"/>
              <w:rPr>
                <w:rFonts w:cs="Times New Roman"/>
                <w:szCs w:val="20"/>
              </w:rPr>
            </w:pPr>
            <w:r w:rsidRPr="00E8117E">
              <w:rPr>
                <w:rFonts w:cs="Times New Roman"/>
                <w:szCs w:val="20"/>
              </w:rPr>
              <w:t xml:space="preserve">Lēmums par kriminālprocesa uzsākšanu </w:t>
            </w:r>
          </w:p>
          <w:p w14:paraId="67260F67" w14:textId="77777777" w:rsidR="009B68A0" w:rsidRPr="00E8117E" w:rsidRDefault="009B68A0" w:rsidP="00B852AE">
            <w:pPr>
              <w:pStyle w:val="PlainText"/>
              <w:numPr>
                <w:ilvl w:val="2"/>
                <w:numId w:val="2"/>
              </w:numPr>
              <w:spacing w:after="120"/>
              <w:ind w:left="2010" w:hanging="284"/>
              <w:jc w:val="both"/>
              <w:rPr>
                <w:rFonts w:cs="Times New Roman"/>
                <w:szCs w:val="20"/>
              </w:rPr>
            </w:pPr>
            <w:r w:rsidRPr="00E8117E">
              <w:rPr>
                <w:rFonts w:cs="Times New Roman"/>
                <w:szCs w:val="20"/>
              </w:rPr>
              <w:t xml:space="preserve">VP </w:t>
            </w:r>
          </w:p>
          <w:p w14:paraId="3A29CA0B" w14:textId="77777777" w:rsidR="009B68A0" w:rsidRPr="00E8117E" w:rsidRDefault="009B68A0" w:rsidP="00B852AE">
            <w:pPr>
              <w:pStyle w:val="PlainText"/>
              <w:numPr>
                <w:ilvl w:val="2"/>
                <w:numId w:val="2"/>
              </w:numPr>
              <w:spacing w:after="120"/>
              <w:ind w:left="2010" w:hanging="284"/>
              <w:jc w:val="both"/>
              <w:rPr>
                <w:rFonts w:cs="Times New Roman"/>
                <w:szCs w:val="20"/>
              </w:rPr>
            </w:pPr>
            <w:r w:rsidRPr="00E8117E">
              <w:rPr>
                <w:rFonts w:cs="Times New Roman"/>
                <w:szCs w:val="20"/>
              </w:rPr>
              <w:t>KNAB**</w:t>
            </w:r>
          </w:p>
        </w:tc>
        <w:tc>
          <w:tcPr>
            <w:tcW w:w="678" w:type="dxa"/>
          </w:tcPr>
          <w:p w14:paraId="7038E9DA" w14:textId="77777777" w:rsidR="009B68A0" w:rsidRPr="00E8117E" w:rsidRDefault="009B68A0" w:rsidP="00B852AE">
            <w:pPr>
              <w:pStyle w:val="PlainText"/>
              <w:spacing w:after="120"/>
              <w:jc w:val="center"/>
              <w:rPr>
                <w:rFonts w:cs="Times New Roman"/>
                <w:szCs w:val="20"/>
              </w:rPr>
            </w:pPr>
          </w:p>
          <w:p w14:paraId="52703293" w14:textId="77777777" w:rsidR="009B68A0" w:rsidRPr="00E8117E" w:rsidRDefault="009B68A0" w:rsidP="00B852AE">
            <w:pPr>
              <w:pStyle w:val="PlainText"/>
              <w:spacing w:after="120"/>
              <w:jc w:val="center"/>
              <w:rPr>
                <w:rFonts w:cs="Times New Roman"/>
                <w:szCs w:val="20"/>
              </w:rPr>
            </w:pPr>
          </w:p>
          <w:p w14:paraId="35511E46" w14:textId="77777777" w:rsidR="009B68A0" w:rsidRPr="00E8117E" w:rsidRDefault="009B68A0" w:rsidP="00B852AE">
            <w:pPr>
              <w:pStyle w:val="PlainText"/>
              <w:spacing w:after="120"/>
              <w:jc w:val="center"/>
              <w:rPr>
                <w:rFonts w:cs="Times New Roman"/>
                <w:szCs w:val="20"/>
              </w:rPr>
            </w:pPr>
            <w:r w:rsidRPr="00E8117E">
              <w:rPr>
                <w:rFonts w:cs="Times New Roman"/>
                <w:szCs w:val="20"/>
              </w:rPr>
              <w:t>10</w:t>
            </w:r>
          </w:p>
          <w:p w14:paraId="04033A5A" w14:textId="77777777" w:rsidR="009B68A0" w:rsidRPr="00E8117E" w:rsidRDefault="009B68A0" w:rsidP="00B852AE">
            <w:pPr>
              <w:pStyle w:val="PlainText"/>
              <w:spacing w:after="120"/>
              <w:jc w:val="center"/>
              <w:rPr>
                <w:rFonts w:cs="Times New Roman"/>
                <w:szCs w:val="20"/>
              </w:rPr>
            </w:pPr>
            <w:r w:rsidRPr="00E8117E">
              <w:rPr>
                <w:rFonts w:cs="Times New Roman"/>
                <w:szCs w:val="20"/>
              </w:rPr>
              <w:t>0</w:t>
            </w:r>
          </w:p>
        </w:tc>
        <w:tc>
          <w:tcPr>
            <w:tcW w:w="782" w:type="dxa"/>
          </w:tcPr>
          <w:p w14:paraId="0AE236C9" w14:textId="77777777" w:rsidR="009B68A0" w:rsidRPr="00E8117E" w:rsidRDefault="009B68A0" w:rsidP="00B852AE">
            <w:pPr>
              <w:pStyle w:val="PlainText"/>
              <w:spacing w:after="120"/>
              <w:jc w:val="center"/>
              <w:rPr>
                <w:rFonts w:cs="Times New Roman"/>
                <w:szCs w:val="20"/>
              </w:rPr>
            </w:pPr>
          </w:p>
          <w:p w14:paraId="235C7751" w14:textId="77777777" w:rsidR="009B68A0" w:rsidRPr="00E8117E" w:rsidRDefault="009B68A0" w:rsidP="00B852AE">
            <w:pPr>
              <w:pStyle w:val="PlainText"/>
              <w:spacing w:after="120"/>
              <w:jc w:val="center"/>
              <w:rPr>
                <w:rFonts w:cs="Times New Roman"/>
                <w:szCs w:val="20"/>
              </w:rPr>
            </w:pPr>
          </w:p>
          <w:p w14:paraId="2D5A1E0B" w14:textId="77777777" w:rsidR="009B68A0" w:rsidRPr="00E8117E" w:rsidRDefault="009B68A0" w:rsidP="00B852AE">
            <w:pPr>
              <w:pStyle w:val="PlainText"/>
              <w:spacing w:after="120"/>
              <w:jc w:val="center"/>
              <w:rPr>
                <w:rFonts w:cs="Times New Roman"/>
                <w:szCs w:val="20"/>
              </w:rPr>
            </w:pPr>
            <w:r w:rsidRPr="00E8117E">
              <w:rPr>
                <w:rFonts w:cs="Times New Roman"/>
                <w:szCs w:val="20"/>
              </w:rPr>
              <w:t>3</w:t>
            </w:r>
          </w:p>
          <w:p w14:paraId="753F47A3" w14:textId="77777777" w:rsidR="009B68A0" w:rsidRPr="00E8117E" w:rsidRDefault="009B68A0" w:rsidP="00B852AE">
            <w:pPr>
              <w:pStyle w:val="PlainText"/>
              <w:spacing w:after="120"/>
              <w:jc w:val="center"/>
              <w:rPr>
                <w:rFonts w:cs="Times New Roman"/>
                <w:szCs w:val="20"/>
              </w:rPr>
            </w:pPr>
            <w:r w:rsidRPr="00E8117E">
              <w:rPr>
                <w:rFonts w:cs="Times New Roman"/>
                <w:szCs w:val="20"/>
              </w:rPr>
              <w:t>0</w:t>
            </w:r>
          </w:p>
          <w:p w14:paraId="17AC2889" w14:textId="77777777" w:rsidR="009B68A0" w:rsidRPr="00E8117E" w:rsidRDefault="009B68A0" w:rsidP="00B852AE">
            <w:pPr>
              <w:pStyle w:val="PlainText"/>
              <w:spacing w:after="120"/>
              <w:jc w:val="center"/>
              <w:rPr>
                <w:rFonts w:cs="Times New Roman"/>
                <w:szCs w:val="20"/>
              </w:rPr>
            </w:pPr>
          </w:p>
        </w:tc>
        <w:tc>
          <w:tcPr>
            <w:tcW w:w="781" w:type="dxa"/>
          </w:tcPr>
          <w:p w14:paraId="429BCE09" w14:textId="77777777" w:rsidR="009B68A0" w:rsidRPr="00E8117E" w:rsidRDefault="009B68A0" w:rsidP="00B852AE">
            <w:pPr>
              <w:pStyle w:val="PlainText"/>
              <w:spacing w:after="120"/>
              <w:jc w:val="center"/>
              <w:rPr>
                <w:rFonts w:cs="Times New Roman"/>
                <w:szCs w:val="20"/>
              </w:rPr>
            </w:pPr>
          </w:p>
          <w:p w14:paraId="6E3C06EF" w14:textId="77777777" w:rsidR="009B68A0" w:rsidRPr="00E8117E" w:rsidRDefault="009B68A0" w:rsidP="00B852AE">
            <w:pPr>
              <w:pStyle w:val="PlainText"/>
              <w:spacing w:after="120"/>
              <w:jc w:val="center"/>
              <w:rPr>
                <w:rFonts w:cs="Times New Roman"/>
                <w:szCs w:val="20"/>
              </w:rPr>
            </w:pPr>
          </w:p>
          <w:p w14:paraId="0FE2EC99" w14:textId="77777777" w:rsidR="009B68A0" w:rsidRPr="00E8117E" w:rsidRDefault="009B68A0" w:rsidP="00B852AE">
            <w:pPr>
              <w:pStyle w:val="PlainText"/>
              <w:spacing w:after="120"/>
              <w:jc w:val="center"/>
              <w:rPr>
                <w:rFonts w:cs="Times New Roman"/>
                <w:szCs w:val="20"/>
              </w:rPr>
            </w:pPr>
            <w:r w:rsidRPr="00E8117E">
              <w:rPr>
                <w:rFonts w:cs="Times New Roman"/>
                <w:szCs w:val="20"/>
              </w:rPr>
              <w:t>19</w:t>
            </w:r>
          </w:p>
          <w:p w14:paraId="0F9B611B" w14:textId="77777777" w:rsidR="009B68A0" w:rsidRPr="00E8117E" w:rsidRDefault="009B68A0" w:rsidP="00B852AE">
            <w:pPr>
              <w:pStyle w:val="PlainText"/>
              <w:spacing w:after="120"/>
              <w:jc w:val="center"/>
              <w:rPr>
                <w:rFonts w:cs="Times New Roman"/>
                <w:szCs w:val="20"/>
              </w:rPr>
            </w:pPr>
            <w:r w:rsidRPr="00E8117E">
              <w:rPr>
                <w:rFonts w:cs="Times New Roman"/>
                <w:szCs w:val="20"/>
              </w:rPr>
              <w:t>0</w:t>
            </w:r>
          </w:p>
        </w:tc>
        <w:tc>
          <w:tcPr>
            <w:tcW w:w="781" w:type="dxa"/>
          </w:tcPr>
          <w:p w14:paraId="56E91323" w14:textId="77777777" w:rsidR="009B68A0" w:rsidRPr="00E8117E" w:rsidRDefault="009B68A0" w:rsidP="00B852AE">
            <w:pPr>
              <w:pStyle w:val="PlainText"/>
              <w:spacing w:after="120"/>
              <w:jc w:val="center"/>
              <w:rPr>
                <w:rFonts w:cs="Times New Roman"/>
                <w:szCs w:val="20"/>
              </w:rPr>
            </w:pPr>
          </w:p>
          <w:p w14:paraId="469006BF" w14:textId="77777777" w:rsidR="009B68A0" w:rsidRPr="00E8117E" w:rsidRDefault="009B68A0" w:rsidP="00B852AE">
            <w:pPr>
              <w:pStyle w:val="PlainText"/>
              <w:spacing w:after="120"/>
              <w:jc w:val="center"/>
              <w:rPr>
                <w:rFonts w:cs="Times New Roman"/>
                <w:szCs w:val="20"/>
              </w:rPr>
            </w:pPr>
          </w:p>
          <w:p w14:paraId="1E5FAFD8" w14:textId="77777777" w:rsidR="009B68A0" w:rsidRPr="00E8117E" w:rsidRDefault="009B68A0" w:rsidP="00B852AE">
            <w:pPr>
              <w:pStyle w:val="PlainText"/>
              <w:spacing w:after="120"/>
              <w:jc w:val="center"/>
              <w:rPr>
                <w:rFonts w:cs="Times New Roman"/>
                <w:szCs w:val="20"/>
              </w:rPr>
            </w:pPr>
            <w:r w:rsidRPr="00E8117E">
              <w:rPr>
                <w:rFonts w:cs="Times New Roman"/>
                <w:szCs w:val="20"/>
              </w:rPr>
              <w:t>18</w:t>
            </w:r>
          </w:p>
          <w:p w14:paraId="57E9BEDE" w14:textId="77777777" w:rsidR="009B68A0" w:rsidRPr="00E8117E" w:rsidRDefault="009B68A0" w:rsidP="00B852AE">
            <w:pPr>
              <w:pStyle w:val="PlainText"/>
              <w:spacing w:after="120"/>
              <w:jc w:val="center"/>
              <w:rPr>
                <w:rFonts w:cs="Times New Roman"/>
                <w:szCs w:val="20"/>
              </w:rPr>
            </w:pPr>
            <w:r w:rsidRPr="00E8117E">
              <w:rPr>
                <w:rFonts w:cs="Times New Roman"/>
                <w:szCs w:val="20"/>
              </w:rPr>
              <w:t>6</w:t>
            </w:r>
          </w:p>
        </w:tc>
        <w:tc>
          <w:tcPr>
            <w:tcW w:w="957" w:type="dxa"/>
          </w:tcPr>
          <w:p w14:paraId="3D4C3CD7" w14:textId="77777777" w:rsidR="009B68A0" w:rsidRPr="00E8117E" w:rsidRDefault="009B68A0" w:rsidP="00B852AE">
            <w:pPr>
              <w:pStyle w:val="PlainText"/>
              <w:spacing w:after="120"/>
              <w:jc w:val="center"/>
              <w:rPr>
                <w:rFonts w:cs="Times New Roman"/>
                <w:szCs w:val="20"/>
              </w:rPr>
            </w:pPr>
          </w:p>
          <w:p w14:paraId="30C6D70D" w14:textId="77777777" w:rsidR="009B68A0" w:rsidRPr="00E8117E" w:rsidRDefault="009B68A0" w:rsidP="00B852AE">
            <w:pPr>
              <w:pStyle w:val="PlainText"/>
              <w:spacing w:after="120"/>
              <w:jc w:val="center"/>
              <w:rPr>
                <w:rFonts w:cs="Times New Roman"/>
                <w:szCs w:val="20"/>
              </w:rPr>
            </w:pPr>
          </w:p>
          <w:p w14:paraId="5734EA7C" w14:textId="77777777" w:rsidR="009B68A0" w:rsidRPr="00E8117E" w:rsidRDefault="009B68A0" w:rsidP="00B852AE">
            <w:pPr>
              <w:pStyle w:val="PlainText"/>
              <w:spacing w:after="120"/>
              <w:jc w:val="center"/>
              <w:rPr>
                <w:szCs w:val="20"/>
              </w:rPr>
            </w:pPr>
            <w:r w:rsidRPr="00E8117E">
              <w:rPr>
                <w:rFonts w:cs="Times New Roman"/>
                <w:szCs w:val="20"/>
              </w:rPr>
              <w:t>32 (VP un KNAB)</w:t>
            </w:r>
          </w:p>
        </w:tc>
        <w:tc>
          <w:tcPr>
            <w:tcW w:w="1007" w:type="dxa"/>
          </w:tcPr>
          <w:p w14:paraId="24146BF1" w14:textId="77777777" w:rsidR="009B68A0" w:rsidRPr="00E8117E" w:rsidRDefault="009B68A0" w:rsidP="00B852AE">
            <w:pPr>
              <w:pStyle w:val="PlainText"/>
              <w:spacing w:after="120"/>
              <w:jc w:val="center"/>
              <w:rPr>
                <w:rFonts w:cs="Times New Roman"/>
                <w:szCs w:val="20"/>
              </w:rPr>
            </w:pPr>
          </w:p>
          <w:p w14:paraId="3E7DCEAC" w14:textId="77777777" w:rsidR="009B68A0" w:rsidRPr="00E8117E" w:rsidRDefault="009B68A0" w:rsidP="00B852AE">
            <w:pPr>
              <w:pStyle w:val="PlainText"/>
              <w:spacing w:after="120"/>
              <w:jc w:val="center"/>
              <w:rPr>
                <w:rFonts w:cs="Times New Roman"/>
                <w:szCs w:val="20"/>
              </w:rPr>
            </w:pPr>
          </w:p>
          <w:p w14:paraId="7B6E7951" w14:textId="77777777" w:rsidR="009B68A0" w:rsidRPr="00E8117E" w:rsidRDefault="009B68A0" w:rsidP="00B852AE">
            <w:pPr>
              <w:pStyle w:val="PlainText"/>
              <w:spacing w:after="120"/>
              <w:jc w:val="center"/>
              <w:rPr>
                <w:rFonts w:cs="Times New Roman"/>
                <w:szCs w:val="20"/>
              </w:rPr>
            </w:pPr>
            <w:r w:rsidRPr="00E8117E">
              <w:rPr>
                <w:rFonts w:cs="Times New Roman"/>
                <w:szCs w:val="20"/>
              </w:rPr>
              <w:t>11 (VP un KNAB)</w:t>
            </w:r>
          </w:p>
        </w:tc>
      </w:tr>
      <w:tr w:rsidR="009B68A0" w:rsidRPr="0094718E" w14:paraId="45B967AE" w14:textId="77777777" w:rsidTr="00E8117E">
        <w:trPr>
          <w:trHeight w:val="919"/>
        </w:trPr>
        <w:tc>
          <w:tcPr>
            <w:tcW w:w="3601" w:type="dxa"/>
          </w:tcPr>
          <w:p w14:paraId="6ED846D1" w14:textId="77777777" w:rsidR="009B68A0" w:rsidRPr="00E8117E" w:rsidRDefault="009B68A0" w:rsidP="00B852AE">
            <w:pPr>
              <w:pStyle w:val="PlainText"/>
              <w:spacing w:after="120"/>
              <w:rPr>
                <w:rFonts w:cs="Times New Roman"/>
                <w:szCs w:val="20"/>
              </w:rPr>
            </w:pPr>
            <w:r w:rsidRPr="00E8117E">
              <w:rPr>
                <w:rFonts w:cs="Times New Roman"/>
                <w:szCs w:val="20"/>
              </w:rPr>
              <w:t>Atteikums uzsākt kriminālprocesu</w:t>
            </w:r>
          </w:p>
          <w:p w14:paraId="7A21AB12" w14:textId="77777777" w:rsidR="009B68A0" w:rsidRPr="00E8117E" w:rsidRDefault="009B68A0" w:rsidP="00B852AE">
            <w:pPr>
              <w:pStyle w:val="PlainText"/>
              <w:numPr>
                <w:ilvl w:val="2"/>
                <w:numId w:val="2"/>
              </w:numPr>
              <w:spacing w:after="120"/>
              <w:ind w:left="1868" w:hanging="284"/>
              <w:jc w:val="both"/>
              <w:rPr>
                <w:rFonts w:cs="Times New Roman"/>
                <w:szCs w:val="20"/>
              </w:rPr>
            </w:pPr>
            <w:r w:rsidRPr="00E8117E">
              <w:rPr>
                <w:rFonts w:cs="Times New Roman"/>
                <w:szCs w:val="20"/>
              </w:rPr>
              <w:t xml:space="preserve">VP </w:t>
            </w:r>
          </w:p>
          <w:p w14:paraId="78ACC826" w14:textId="77777777" w:rsidR="009B68A0" w:rsidRPr="00E8117E" w:rsidRDefault="009B68A0" w:rsidP="00B852AE">
            <w:pPr>
              <w:pStyle w:val="PlainText"/>
              <w:numPr>
                <w:ilvl w:val="2"/>
                <w:numId w:val="2"/>
              </w:numPr>
              <w:spacing w:after="120"/>
              <w:ind w:left="1868" w:hanging="284"/>
              <w:jc w:val="both"/>
              <w:rPr>
                <w:rFonts w:cs="Times New Roman"/>
                <w:szCs w:val="20"/>
              </w:rPr>
            </w:pPr>
            <w:r w:rsidRPr="00E8117E">
              <w:rPr>
                <w:rFonts w:cs="Times New Roman"/>
                <w:szCs w:val="20"/>
              </w:rPr>
              <w:t>KNAB**</w:t>
            </w:r>
          </w:p>
        </w:tc>
        <w:tc>
          <w:tcPr>
            <w:tcW w:w="678" w:type="dxa"/>
          </w:tcPr>
          <w:p w14:paraId="17874854" w14:textId="77777777" w:rsidR="009B68A0" w:rsidRPr="00E8117E" w:rsidRDefault="009B68A0" w:rsidP="00B852AE">
            <w:pPr>
              <w:pStyle w:val="PlainText"/>
              <w:spacing w:after="120"/>
              <w:jc w:val="center"/>
              <w:rPr>
                <w:rFonts w:cs="Times New Roman"/>
                <w:szCs w:val="20"/>
              </w:rPr>
            </w:pPr>
          </w:p>
          <w:p w14:paraId="3BEE6EFF" w14:textId="77777777" w:rsidR="009B68A0" w:rsidRPr="00E8117E" w:rsidRDefault="009B68A0" w:rsidP="00B852AE">
            <w:pPr>
              <w:pStyle w:val="PlainText"/>
              <w:spacing w:after="120"/>
              <w:jc w:val="center"/>
              <w:rPr>
                <w:rFonts w:cs="Times New Roman"/>
                <w:szCs w:val="20"/>
              </w:rPr>
            </w:pPr>
            <w:r w:rsidRPr="00E8117E">
              <w:rPr>
                <w:rFonts w:cs="Times New Roman"/>
                <w:szCs w:val="20"/>
              </w:rPr>
              <w:t>5</w:t>
            </w:r>
          </w:p>
          <w:p w14:paraId="4524F41E" w14:textId="77777777" w:rsidR="009B68A0" w:rsidRPr="00E8117E" w:rsidRDefault="009B68A0" w:rsidP="00B852AE">
            <w:pPr>
              <w:pStyle w:val="PlainText"/>
              <w:spacing w:after="120"/>
              <w:jc w:val="center"/>
              <w:rPr>
                <w:rFonts w:cs="Times New Roman"/>
                <w:szCs w:val="20"/>
              </w:rPr>
            </w:pPr>
            <w:r w:rsidRPr="00E8117E">
              <w:rPr>
                <w:rFonts w:cs="Times New Roman"/>
                <w:szCs w:val="20"/>
              </w:rPr>
              <w:t>0</w:t>
            </w:r>
          </w:p>
        </w:tc>
        <w:tc>
          <w:tcPr>
            <w:tcW w:w="782" w:type="dxa"/>
          </w:tcPr>
          <w:p w14:paraId="35B607AE" w14:textId="77777777" w:rsidR="009B68A0" w:rsidRPr="00E8117E" w:rsidRDefault="009B68A0" w:rsidP="00B852AE">
            <w:pPr>
              <w:pStyle w:val="PlainText"/>
              <w:spacing w:after="120"/>
              <w:jc w:val="center"/>
              <w:rPr>
                <w:rFonts w:cs="Times New Roman"/>
                <w:szCs w:val="20"/>
              </w:rPr>
            </w:pPr>
          </w:p>
          <w:p w14:paraId="23515D74" w14:textId="77777777" w:rsidR="009B68A0" w:rsidRPr="00E8117E" w:rsidRDefault="009B68A0" w:rsidP="00B852AE">
            <w:pPr>
              <w:pStyle w:val="PlainText"/>
              <w:spacing w:after="120"/>
              <w:jc w:val="center"/>
              <w:rPr>
                <w:rFonts w:cs="Times New Roman"/>
                <w:szCs w:val="20"/>
              </w:rPr>
            </w:pPr>
            <w:r w:rsidRPr="00E8117E">
              <w:rPr>
                <w:rFonts w:cs="Times New Roman"/>
                <w:szCs w:val="20"/>
              </w:rPr>
              <w:t>0</w:t>
            </w:r>
          </w:p>
          <w:p w14:paraId="037AEA4F" w14:textId="77777777" w:rsidR="009B68A0" w:rsidRPr="00E8117E" w:rsidRDefault="009B68A0" w:rsidP="00B852AE">
            <w:pPr>
              <w:pStyle w:val="PlainText"/>
              <w:spacing w:after="120"/>
              <w:rPr>
                <w:rFonts w:cs="Times New Roman"/>
                <w:szCs w:val="20"/>
              </w:rPr>
            </w:pPr>
            <w:r w:rsidRPr="00E8117E">
              <w:rPr>
                <w:rFonts w:cs="Times New Roman"/>
                <w:szCs w:val="20"/>
              </w:rPr>
              <w:t xml:space="preserve">    0</w:t>
            </w:r>
          </w:p>
        </w:tc>
        <w:tc>
          <w:tcPr>
            <w:tcW w:w="781" w:type="dxa"/>
          </w:tcPr>
          <w:p w14:paraId="1D7B90E6" w14:textId="77777777" w:rsidR="009B68A0" w:rsidRPr="00E8117E" w:rsidRDefault="009B68A0" w:rsidP="00B852AE">
            <w:pPr>
              <w:pStyle w:val="PlainText"/>
              <w:spacing w:after="120"/>
              <w:jc w:val="center"/>
              <w:rPr>
                <w:rFonts w:cs="Times New Roman"/>
                <w:szCs w:val="20"/>
              </w:rPr>
            </w:pPr>
          </w:p>
          <w:p w14:paraId="287283E0" w14:textId="77777777" w:rsidR="009B68A0" w:rsidRPr="00E8117E" w:rsidRDefault="009B68A0" w:rsidP="00B852AE">
            <w:pPr>
              <w:pStyle w:val="PlainText"/>
              <w:spacing w:after="120"/>
              <w:jc w:val="center"/>
              <w:rPr>
                <w:rFonts w:cs="Times New Roman"/>
                <w:szCs w:val="20"/>
              </w:rPr>
            </w:pPr>
            <w:r w:rsidRPr="00E8117E">
              <w:rPr>
                <w:rFonts w:cs="Times New Roman"/>
                <w:szCs w:val="20"/>
              </w:rPr>
              <w:t>2</w:t>
            </w:r>
          </w:p>
          <w:p w14:paraId="4C39E451" w14:textId="77777777" w:rsidR="009B68A0" w:rsidRPr="00E8117E" w:rsidRDefault="009B68A0" w:rsidP="00B852AE">
            <w:pPr>
              <w:pStyle w:val="PlainText"/>
              <w:spacing w:after="120"/>
              <w:jc w:val="center"/>
              <w:rPr>
                <w:rFonts w:cs="Times New Roman"/>
                <w:szCs w:val="20"/>
              </w:rPr>
            </w:pPr>
            <w:r w:rsidRPr="00E8117E">
              <w:rPr>
                <w:rFonts w:cs="Times New Roman"/>
                <w:szCs w:val="20"/>
              </w:rPr>
              <w:t>3</w:t>
            </w:r>
          </w:p>
        </w:tc>
        <w:tc>
          <w:tcPr>
            <w:tcW w:w="781" w:type="dxa"/>
          </w:tcPr>
          <w:p w14:paraId="63F8DD40" w14:textId="77777777" w:rsidR="009B68A0" w:rsidRPr="00E8117E" w:rsidRDefault="009B68A0" w:rsidP="00B852AE">
            <w:pPr>
              <w:pStyle w:val="PlainText"/>
              <w:spacing w:after="120"/>
              <w:jc w:val="center"/>
              <w:rPr>
                <w:rFonts w:cs="Times New Roman"/>
                <w:szCs w:val="20"/>
              </w:rPr>
            </w:pPr>
          </w:p>
          <w:p w14:paraId="5D4CDAAE" w14:textId="77777777" w:rsidR="009B68A0" w:rsidRPr="00E8117E" w:rsidRDefault="009B68A0" w:rsidP="00B852AE">
            <w:pPr>
              <w:pStyle w:val="PlainText"/>
              <w:spacing w:after="120"/>
              <w:jc w:val="center"/>
              <w:rPr>
                <w:rFonts w:cs="Times New Roman"/>
                <w:szCs w:val="20"/>
              </w:rPr>
            </w:pPr>
            <w:r w:rsidRPr="00E8117E">
              <w:rPr>
                <w:rFonts w:cs="Times New Roman"/>
                <w:szCs w:val="20"/>
              </w:rPr>
              <w:t>7</w:t>
            </w:r>
          </w:p>
          <w:p w14:paraId="686E3DC5" w14:textId="77777777" w:rsidR="009B68A0" w:rsidRPr="00E8117E" w:rsidRDefault="009B68A0" w:rsidP="00B852AE">
            <w:pPr>
              <w:pStyle w:val="PlainText"/>
              <w:spacing w:after="120"/>
              <w:jc w:val="center"/>
              <w:rPr>
                <w:rFonts w:cs="Times New Roman"/>
                <w:szCs w:val="20"/>
              </w:rPr>
            </w:pPr>
            <w:r w:rsidRPr="00E8117E">
              <w:rPr>
                <w:rFonts w:cs="Times New Roman"/>
                <w:szCs w:val="20"/>
              </w:rPr>
              <w:t>5</w:t>
            </w:r>
          </w:p>
        </w:tc>
        <w:tc>
          <w:tcPr>
            <w:tcW w:w="957" w:type="dxa"/>
          </w:tcPr>
          <w:p w14:paraId="6844925E" w14:textId="77777777" w:rsidR="009B68A0" w:rsidRPr="00E8117E" w:rsidRDefault="009B68A0" w:rsidP="00B852AE">
            <w:pPr>
              <w:pStyle w:val="PlainText"/>
              <w:spacing w:after="120"/>
              <w:jc w:val="center"/>
              <w:rPr>
                <w:rFonts w:cs="Times New Roman"/>
                <w:szCs w:val="20"/>
              </w:rPr>
            </w:pPr>
          </w:p>
          <w:p w14:paraId="29B01E41" w14:textId="77777777" w:rsidR="009B68A0" w:rsidRPr="00E8117E" w:rsidRDefault="009B68A0" w:rsidP="00B852AE">
            <w:pPr>
              <w:pStyle w:val="PlainText"/>
              <w:spacing w:after="120"/>
              <w:jc w:val="center"/>
              <w:rPr>
                <w:rFonts w:cs="Times New Roman"/>
                <w:szCs w:val="20"/>
              </w:rPr>
            </w:pPr>
            <w:r w:rsidRPr="00E8117E">
              <w:rPr>
                <w:rFonts w:cs="Times New Roman"/>
                <w:szCs w:val="20"/>
              </w:rPr>
              <w:t>*</w:t>
            </w:r>
          </w:p>
        </w:tc>
        <w:tc>
          <w:tcPr>
            <w:tcW w:w="1007" w:type="dxa"/>
          </w:tcPr>
          <w:p w14:paraId="648571FD" w14:textId="77777777" w:rsidR="009B68A0" w:rsidRPr="00E8117E" w:rsidRDefault="009B68A0" w:rsidP="00B852AE">
            <w:pPr>
              <w:pStyle w:val="PlainText"/>
              <w:spacing w:after="120"/>
              <w:jc w:val="center"/>
              <w:rPr>
                <w:rFonts w:cs="Times New Roman"/>
                <w:szCs w:val="20"/>
              </w:rPr>
            </w:pPr>
          </w:p>
          <w:p w14:paraId="6E72D099" w14:textId="77777777" w:rsidR="009B68A0" w:rsidRPr="00E8117E" w:rsidRDefault="009B68A0" w:rsidP="00B852AE">
            <w:pPr>
              <w:pStyle w:val="PlainText"/>
              <w:spacing w:after="120"/>
              <w:jc w:val="center"/>
              <w:rPr>
                <w:rFonts w:cs="Times New Roman"/>
                <w:szCs w:val="20"/>
              </w:rPr>
            </w:pPr>
            <w:r w:rsidRPr="00E8117E">
              <w:rPr>
                <w:rFonts w:cs="Times New Roman"/>
                <w:szCs w:val="20"/>
              </w:rPr>
              <w:t>*</w:t>
            </w:r>
          </w:p>
        </w:tc>
      </w:tr>
      <w:tr w:rsidR="009B68A0" w:rsidRPr="0094718E" w14:paraId="5B2E6B79" w14:textId="77777777" w:rsidTr="00E8117E">
        <w:trPr>
          <w:trHeight w:val="310"/>
        </w:trPr>
        <w:tc>
          <w:tcPr>
            <w:tcW w:w="3601" w:type="dxa"/>
          </w:tcPr>
          <w:p w14:paraId="74CB5FD7" w14:textId="77777777" w:rsidR="009B68A0" w:rsidRPr="00E8117E" w:rsidRDefault="009B68A0" w:rsidP="00B852AE">
            <w:pPr>
              <w:pStyle w:val="PlainText"/>
              <w:spacing w:after="120"/>
              <w:jc w:val="both"/>
              <w:rPr>
                <w:rFonts w:cs="Times New Roman"/>
                <w:szCs w:val="20"/>
              </w:rPr>
            </w:pPr>
            <w:r w:rsidRPr="00E8117E">
              <w:rPr>
                <w:rFonts w:cs="Times New Roman"/>
                <w:szCs w:val="20"/>
              </w:rPr>
              <w:t>Pārsūdzēti lēmumi</w:t>
            </w:r>
          </w:p>
        </w:tc>
        <w:tc>
          <w:tcPr>
            <w:tcW w:w="678" w:type="dxa"/>
          </w:tcPr>
          <w:p w14:paraId="3928AEF2" w14:textId="44613A54" w:rsidR="009B68A0" w:rsidRPr="00E8117E" w:rsidRDefault="0042739D" w:rsidP="00B852AE">
            <w:pPr>
              <w:pStyle w:val="PlainText"/>
              <w:spacing w:after="120"/>
              <w:jc w:val="center"/>
              <w:rPr>
                <w:rFonts w:cs="Times New Roman"/>
                <w:szCs w:val="20"/>
              </w:rPr>
            </w:pPr>
            <w:r w:rsidRPr="006D0F8D">
              <w:rPr>
                <w:rFonts w:cs="Times New Roman"/>
                <w:szCs w:val="20"/>
              </w:rPr>
              <w:t>2</w:t>
            </w:r>
          </w:p>
        </w:tc>
        <w:tc>
          <w:tcPr>
            <w:tcW w:w="782" w:type="dxa"/>
          </w:tcPr>
          <w:p w14:paraId="68CC4CDC" w14:textId="77777777" w:rsidR="009B68A0" w:rsidRPr="00E8117E" w:rsidRDefault="009B68A0" w:rsidP="00B852AE">
            <w:pPr>
              <w:pStyle w:val="PlainText"/>
              <w:spacing w:after="120"/>
              <w:jc w:val="center"/>
              <w:rPr>
                <w:rFonts w:cs="Times New Roman"/>
                <w:szCs w:val="20"/>
              </w:rPr>
            </w:pPr>
            <w:r w:rsidRPr="00E8117E">
              <w:rPr>
                <w:rFonts w:cs="Times New Roman"/>
                <w:szCs w:val="20"/>
              </w:rPr>
              <w:t>0</w:t>
            </w:r>
          </w:p>
        </w:tc>
        <w:tc>
          <w:tcPr>
            <w:tcW w:w="781" w:type="dxa"/>
          </w:tcPr>
          <w:p w14:paraId="00AD70B0" w14:textId="77777777" w:rsidR="009B68A0" w:rsidRPr="00E8117E" w:rsidRDefault="009B68A0" w:rsidP="00B852AE">
            <w:pPr>
              <w:pStyle w:val="PlainText"/>
              <w:spacing w:after="120"/>
              <w:jc w:val="center"/>
              <w:rPr>
                <w:rFonts w:cs="Times New Roman"/>
                <w:szCs w:val="20"/>
              </w:rPr>
            </w:pPr>
            <w:r w:rsidRPr="00E8117E">
              <w:rPr>
                <w:rFonts w:cs="Times New Roman"/>
                <w:szCs w:val="20"/>
              </w:rPr>
              <w:t>-</w:t>
            </w:r>
          </w:p>
        </w:tc>
        <w:tc>
          <w:tcPr>
            <w:tcW w:w="781" w:type="dxa"/>
          </w:tcPr>
          <w:p w14:paraId="18C8BE78" w14:textId="77777777" w:rsidR="009B68A0" w:rsidRPr="00E8117E" w:rsidRDefault="009B68A0" w:rsidP="00B852AE">
            <w:pPr>
              <w:pStyle w:val="PlainText"/>
              <w:spacing w:after="120"/>
              <w:jc w:val="center"/>
              <w:rPr>
                <w:rFonts w:cs="Times New Roman"/>
                <w:szCs w:val="20"/>
              </w:rPr>
            </w:pPr>
            <w:r w:rsidRPr="00E8117E">
              <w:rPr>
                <w:rFonts w:cs="Times New Roman"/>
                <w:szCs w:val="20"/>
              </w:rPr>
              <w:t>3</w:t>
            </w:r>
          </w:p>
        </w:tc>
        <w:tc>
          <w:tcPr>
            <w:tcW w:w="957" w:type="dxa"/>
          </w:tcPr>
          <w:p w14:paraId="683FD3B7" w14:textId="77777777" w:rsidR="009B68A0" w:rsidRPr="00E8117E" w:rsidRDefault="009B68A0" w:rsidP="00B852AE">
            <w:pPr>
              <w:pStyle w:val="PlainText"/>
              <w:spacing w:after="120"/>
              <w:jc w:val="center"/>
              <w:rPr>
                <w:rFonts w:cs="Times New Roman"/>
                <w:szCs w:val="20"/>
              </w:rPr>
            </w:pPr>
            <w:r w:rsidRPr="00E8117E">
              <w:rPr>
                <w:rFonts w:cs="Times New Roman"/>
                <w:szCs w:val="20"/>
              </w:rPr>
              <w:t xml:space="preserve">* </w:t>
            </w:r>
          </w:p>
        </w:tc>
        <w:tc>
          <w:tcPr>
            <w:tcW w:w="1007" w:type="dxa"/>
          </w:tcPr>
          <w:p w14:paraId="73A9FBD1" w14:textId="77777777" w:rsidR="009B68A0" w:rsidRPr="00E8117E" w:rsidRDefault="009B68A0" w:rsidP="00B852AE">
            <w:pPr>
              <w:pStyle w:val="PlainText"/>
              <w:spacing w:after="120"/>
              <w:jc w:val="center"/>
              <w:rPr>
                <w:rFonts w:cs="Times New Roman"/>
                <w:szCs w:val="20"/>
              </w:rPr>
            </w:pPr>
            <w:r w:rsidRPr="00E8117E">
              <w:rPr>
                <w:rFonts w:cs="Times New Roman"/>
                <w:szCs w:val="20"/>
              </w:rPr>
              <w:t xml:space="preserve">* </w:t>
            </w:r>
          </w:p>
        </w:tc>
      </w:tr>
      <w:tr w:rsidR="009B68A0" w:rsidRPr="0094718E" w14:paraId="7BF6C073" w14:textId="77777777" w:rsidTr="00E8117E">
        <w:trPr>
          <w:trHeight w:val="310"/>
        </w:trPr>
        <w:tc>
          <w:tcPr>
            <w:tcW w:w="3601" w:type="dxa"/>
          </w:tcPr>
          <w:p w14:paraId="1EDDE630" w14:textId="77777777" w:rsidR="009B68A0" w:rsidRPr="00E8117E" w:rsidRDefault="009B68A0" w:rsidP="00B852AE">
            <w:pPr>
              <w:pStyle w:val="PlainText"/>
              <w:spacing w:after="120"/>
              <w:jc w:val="both"/>
              <w:rPr>
                <w:rFonts w:cs="Times New Roman"/>
                <w:szCs w:val="20"/>
              </w:rPr>
            </w:pPr>
            <w:r w:rsidRPr="00E8117E">
              <w:rPr>
                <w:rFonts w:cs="Times New Roman"/>
                <w:szCs w:val="20"/>
              </w:rPr>
              <w:t>Pārsūtītie iesniegumi</w:t>
            </w:r>
          </w:p>
        </w:tc>
        <w:tc>
          <w:tcPr>
            <w:tcW w:w="678" w:type="dxa"/>
          </w:tcPr>
          <w:p w14:paraId="41D48220" w14:textId="77777777" w:rsidR="009B68A0" w:rsidRPr="00E8117E" w:rsidRDefault="009B68A0" w:rsidP="00B852AE">
            <w:pPr>
              <w:pStyle w:val="PlainText"/>
              <w:spacing w:after="120"/>
              <w:jc w:val="center"/>
              <w:rPr>
                <w:rFonts w:cs="Times New Roman"/>
                <w:szCs w:val="20"/>
              </w:rPr>
            </w:pPr>
            <w:r w:rsidRPr="00E8117E">
              <w:rPr>
                <w:rFonts w:cs="Times New Roman"/>
                <w:szCs w:val="20"/>
              </w:rPr>
              <w:t>3</w:t>
            </w:r>
          </w:p>
        </w:tc>
        <w:tc>
          <w:tcPr>
            <w:tcW w:w="782" w:type="dxa"/>
          </w:tcPr>
          <w:p w14:paraId="1090D26E" w14:textId="77777777" w:rsidR="009B68A0" w:rsidRPr="00E8117E" w:rsidRDefault="009B68A0" w:rsidP="00B852AE">
            <w:pPr>
              <w:pStyle w:val="PlainText"/>
              <w:spacing w:after="120"/>
              <w:jc w:val="center"/>
              <w:rPr>
                <w:rFonts w:cs="Times New Roman"/>
                <w:szCs w:val="20"/>
              </w:rPr>
            </w:pPr>
            <w:r w:rsidRPr="00E8117E">
              <w:rPr>
                <w:rFonts w:cs="Times New Roman"/>
                <w:szCs w:val="20"/>
              </w:rPr>
              <w:t>1</w:t>
            </w:r>
          </w:p>
        </w:tc>
        <w:tc>
          <w:tcPr>
            <w:tcW w:w="781" w:type="dxa"/>
          </w:tcPr>
          <w:p w14:paraId="1EE58068" w14:textId="77777777" w:rsidR="009B68A0" w:rsidRPr="00E8117E" w:rsidRDefault="009B68A0" w:rsidP="00B852AE">
            <w:pPr>
              <w:pStyle w:val="PlainText"/>
              <w:spacing w:after="120"/>
              <w:jc w:val="center"/>
              <w:rPr>
                <w:rFonts w:cs="Times New Roman"/>
                <w:szCs w:val="20"/>
              </w:rPr>
            </w:pPr>
            <w:r w:rsidRPr="00E8117E">
              <w:rPr>
                <w:rFonts w:cs="Times New Roman"/>
                <w:szCs w:val="20"/>
              </w:rPr>
              <w:t>10</w:t>
            </w:r>
          </w:p>
        </w:tc>
        <w:tc>
          <w:tcPr>
            <w:tcW w:w="781" w:type="dxa"/>
          </w:tcPr>
          <w:p w14:paraId="657BE354" w14:textId="77777777" w:rsidR="009B68A0" w:rsidRPr="00E8117E" w:rsidRDefault="009B68A0" w:rsidP="00B852AE">
            <w:pPr>
              <w:pStyle w:val="PlainText"/>
              <w:spacing w:after="120"/>
              <w:jc w:val="center"/>
              <w:rPr>
                <w:rFonts w:cs="Times New Roman"/>
                <w:szCs w:val="20"/>
              </w:rPr>
            </w:pPr>
            <w:r w:rsidRPr="00E8117E">
              <w:rPr>
                <w:rFonts w:cs="Times New Roman"/>
                <w:szCs w:val="20"/>
              </w:rPr>
              <w:t>-</w:t>
            </w:r>
          </w:p>
        </w:tc>
        <w:tc>
          <w:tcPr>
            <w:tcW w:w="957" w:type="dxa"/>
          </w:tcPr>
          <w:p w14:paraId="5CCD0DA4" w14:textId="77777777" w:rsidR="009B68A0" w:rsidRPr="00E8117E" w:rsidRDefault="009B68A0" w:rsidP="00B852AE">
            <w:pPr>
              <w:pStyle w:val="PlainText"/>
              <w:spacing w:after="120"/>
              <w:jc w:val="center"/>
              <w:rPr>
                <w:rFonts w:cs="Times New Roman"/>
                <w:szCs w:val="20"/>
              </w:rPr>
            </w:pPr>
            <w:r w:rsidRPr="00E8117E">
              <w:rPr>
                <w:rFonts w:cs="Times New Roman"/>
                <w:szCs w:val="20"/>
              </w:rPr>
              <w:t xml:space="preserve">* </w:t>
            </w:r>
          </w:p>
        </w:tc>
        <w:tc>
          <w:tcPr>
            <w:tcW w:w="1007" w:type="dxa"/>
          </w:tcPr>
          <w:p w14:paraId="41913DA5" w14:textId="77777777" w:rsidR="009B68A0" w:rsidRPr="00E8117E" w:rsidRDefault="009B68A0" w:rsidP="00B852AE">
            <w:pPr>
              <w:pStyle w:val="PlainText"/>
              <w:spacing w:after="120"/>
              <w:jc w:val="center"/>
              <w:rPr>
                <w:rFonts w:cs="Times New Roman"/>
                <w:szCs w:val="20"/>
              </w:rPr>
            </w:pPr>
            <w:r w:rsidRPr="00E8117E">
              <w:rPr>
                <w:rFonts w:cs="Times New Roman"/>
                <w:szCs w:val="20"/>
              </w:rPr>
              <w:t xml:space="preserve">* </w:t>
            </w:r>
          </w:p>
        </w:tc>
      </w:tr>
      <w:tr w:rsidR="009B68A0" w:rsidRPr="0094718E" w14:paraId="1FF16551" w14:textId="77777777" w:rsidTr="00E8117E">
        <w:trPr>
          <w:trHeight w:val="609"/>
        </w:trPr>
        <w:tc>
          <w:tcPr>
            <w:tcW w:w="8591" w:type="dxa"/>
            <w:gridSpan w:val="7"/>
          </w:tcPr>
          <w:p w14:paraId="4441EFFE" w14:textId="77777777" w:rsidR="009B68A0" w:rsidRPr="00E8117E" w:rsidRDefault="009B68A0" w:rsidP="00B852AE">
            <w:pPr>
              <w:pStyle w:val="PlainText"/>
              <w:spacing w:after="120"/>
              <w:rPr>
                <w:rFonts w:cs="Times New Roman"/>
                <w:szCs w:val="20"/>
              </w:rPr>
            </w:pPr>
            <w:r w:rsidRPr="00E8117E">
              <w:rPr>
                <w:rFonts w:cs="Times New Roman"/>
                <w:szCs w:val="20"/>
              </w:rPr>
              <w:t>* informācija nav pieejama</w:t>
            </w:r>
          </w:p>
          <w:p w14:paraId="30A0B2A0" w14:textId="77777777" w:rsidR="009B68A0" w:rsidRPr="00E8117E" w:rsidRDefault="009B68A0" w:rsidP="00B852AE">
            <w:pPr>
              <w:pStyle w:val="PlainText"/>
              <w:spacing w:after="120"/>
              <w:rPr>
                <w:rFonts w:cs="Times New Roman"/>
                <w:szCs w:val="20"/>
              </w:rPr>
            </w:pPr>
            <w:r w:rsidRPr="00E8117E">
              <w:rPr>
                <w:rFonts w:cs="Times New Roman"/>
                <w:szCs w:val="20"/>
              </w:rPr>
              <w:t>** Dati pieejami tikai par 2016. gada I pusgadu</w:t>
            </w:r>
          </w:p>
        </w:tc>
      </w:tr>
    </w:tbl>
    <w:p w14:paraId="0AC888F4" w14:textId="77777777" w:rsidR="009B68A0" w:rsidRPr="000A31A6" w:rsidRDefault="009B68A0" w:rsidP="00E8117E">
      <w:pPr>
        <w:widowControl w:val="0"/>
        <w:tabs>
          <w:tab w:val="left" w:pos="1425"/>
        </w:tabs>
        <w:autoSpaceDE w:val="0"/>
        <w:autoSpaceDN w:val="0"/>
        <w:adjustRightInd w:val="0"/>
        <w:spacing w:before="120" w:after="120"/>
        <w:contextualSpacing/>
        <w:jc w:val="both"/>
      </w:pPr>
    </w:p>
    <w:p w14:paraId="4A3AB8C7" w14:textId="77777777" w:rsidR="009B68A0" w:rsidRDefault="009B68A0" w:rsidP="00E8117E">
      <w:pPr>
        <w:widowControl w:val="0"/>
        <w:tabs>
          <w:tab w:val="left" w:pos="993"/>
        </w:tabs>
        <w:autoSpaceDE w:val="0"/>
        <w:autoSpaceDN w:val="0"/>
        <w:adjustRightInd w:val="0"/>
        <w:spacing w:after="120"/>
        <w:ind w:firstLine="851"/>
        <w:contextualSpacing/>
        <w:jc w:val="both"/>
      </w:pPr>
      <w:r>
        <w:t>No visa augstākminētā secināms, ka 2018. gadā VP strādāja ar 17 materiāliem, kas skar ES finanšu intereses.</w:t>
      </w:r>
    </w:p>
    <w:p w14:paraId="49CF96B7" w14:textId="24EC6E8C" w:rsidR="009B68A0" w:rsidRPr="004F526C" w:rsidRDefault="009B68A0" w:rsidP="00E8117E">
      <w:pPr>
        <w:widowControl w:val="0"/>
        <w:tabs>
          <w:tab w:val="left" w:pos="993"/>
        </w:tabs>
        <w:autoSpaceDE w:val="0"/>
        <w:autoSpaceDN w:val="0"/>
        <w:adjustRightInd w:val="0"/>
        <w:spacing w:after="120"/>
        <w:ind w:firstLine="851"/>
        <w:contextualSpacing/>
        <w:jc w:val="both"/>
        <w:rPr>
          <w:lang w:eastAsia="lv-LV"/>
        </w:rPr>
      </w:pPr>
      <w:r w:rsidRPr="004F526C">
        <w:lastRenderedPageBreak/>
        <w:t xml:space="preserve">Papildus informējam, ka </w:t>
      </w:r>
      <w:r w:rsidRPr="004F526C">
        <w:rPr>
          <w:lang w:eastAsia="lv-LV"/>
        </w:rPr>
        <w:t xml:space="preserve">FM AFCOS 2018.gadā ir saņēmis 16 signālus par iespējamiem pārkāpumiem ES fondu izlietojumā. Minētie signāli saņemti oficiālu iesniegumu, kā arī elektronisku un anonīmu ziņojumu viedā. Ar </w:t>
      </w:r>
      <w:r w:rsidR="000F4BD7">
        <w:rPr>
          <w:lang w:eastAsia="lv-LV"/>
        </w:rPr>
        <w:t xml:space="preserve">FM </w:t>
      </w:r>
      <w:r w:rsidRPr="004F526C">
        <w:rPr>
          <w:lang w:eastAsia="lv-LV"/>
        </w:rPr>
        <w:t xml:space="preserve">AFCOS starpniecību, iesaistot kompetentās institūcijas – vadošās iestādes, sadarbības iestādes, kā arī izmeklēšanas iestādes, visi signāli tika vai šobrīd tiek pārbaudīti. </w:t>
      </w:r>
    </w:p>
    <w:p w14:paraId="3BD5BDF3" w14:textId="77777777" w:rsidR="009B68A0" w:rsidRDefault="009B68A0" w:rsidP="009B68A0">
      <w:pPr>
        <w:widowControl w:val="0"/>
        <w:tabs>
          <w:tab w:val="left" w:pos="993"/>
        </w:tabs>
        <w:autoSpaceDE w:val="0"/>
        <w:autoSpaceDN w:val="0"/>
        <w:adjustRightInd w:val="0"/>
        <w:spacing w:after="120"/>
        <w:ind w:firstLine="851"/>
        <w:contextualSpacing/>
        <w:jc w:val="both"/>
      </w:pPr>
      <w:r w:rsidRPr="004F526C">
        <w:rPr>
          <w:lang w:eastAsia="lv-LV"/>
        </w:rPr>
        <w:t>7 gadījumos, pārbaudot saņemto informāciju, nav konstatēti pārkāpumi, 9 gadījumos vēl notiek pārbaudes process. Visos gadījumos saņemtā informācija tiek iekļauta uzraugošu iestāžu risku reģistros, tiek nodrošināta pastiprināta kontrole attiecīgajiem projektiem, atsevišķos gadījumos tiek veiktas arī papildus pārbaudes. Turklāt 2018. gadā saņemti 2 iesniegumu ar lūgumu skaidrot normatīvo aktu piemērošanu ES fondu uzraudzībā, jo personām bija radušās aizdomas par iespējamiem pārkāpumiem normatīvo aktu piemērošanā un interpretācijā, kas liecina par sabiedrības pastiprinātu interesi ES fondu tiesiskā izlietojumā</w:t>
      </w:r>
      <w:r>
        <w:rPr>
          <w:lang w:eastAsia="lv-LV"/>
        </w:rPr>
        <w:t>.</w:t>
      </w:r>
    </w:p>
    <w:p w14:paraId="11E4FA75" w14:textId="77777777" w:rsidR="009B68A0" w:rsidRPr="00721068" w:rsidRDefault="009B68A0" w:rsidP="009B68A0">
      <w:pPr>
        <w:widowControl w:val="0"/>
        <w:tabs>
          <w:tab w:val="left" w:pos="993"/>
        </w:tabs>
        <w:autoSpaceDE w:val="0"/>
        <w:autoSpaceDN w:val="0"/>
        <w:adjustRightInd w:val="0"/>
        <w:spacing w:after="120"/>
        <w:ind w:firstLine="851"/>
        <w:contextualSpacing/>
        <w:jc w:val="both"/>
      </w:pPr>
      <w:r w:rsidRPr="00721068">
        <w:t xml:space="preserve">Ņemot vērā to, ka šajā ziņojumā ir iekļauta informācija tikai par </w:t>
      </w:r>
      <w:r>
        <w:t>zināmajiem</w:t>
      </w:r>
      <w:r w:rsidRPr="00721068">
        <w:t xml:space="preserve"> krāpšanas</w:t>
      </w:r>
      <w:r>
        <w:t xml:space="preserve"> (korupcijas)</w:t>
      </w:r>
      <w:r w:rsidRPr="00721068">
        <w:t xml:space="preserve"> vai aizdomu par krāpšanu</w:t>
      </w:r>
      <w:r>
        <w:t xml:space="preserve"> (korupciju)</w:t>
      </w:r>
      <w:r w:rsidRPr="00721068">
        <w:t xml:space="preserve"> gadījumiem, nav iespējams izvērtēt informāciju, cik liels ir patiesais krāpšanas gadījumu skaits, ieskaitot neatklāto krāpšanu. </w:t>
      </w:r>
    </w:p>
    <w:p w14:paraId="1869128E" w14:textId="77777777" w:rsidR="009B68A0" w:rsidRPr="00721068" w:rsidRDefault="009B68A0" w:rsidP="009B68A0">
      <w:pPr>
        <w:widowControl w:val="0"/>
        <w:tabs>
          <w:tab w:val="left" w:pos="993"/>
        </w:tabs>
        <w:autoSpaceDE w:val="0"/>
        <w:autoSpaceDN w:val="0"/>
        <w:adjustRightInd w:val="0"/>
        <w:spacing w:after="120"/>
        <w:ind w:firstLine="851"/>
        <w:contextualSpacing/>
        <w:jc w:val="both"/>
      </w:pPr>
      <w:r w:rsidRPr="00721068">
        <w:t xml:space="preserve">Jāpiemin, ka </w:t>
      </w:r>
      <w:r w:rsidRPr="00D625C2">
        <w:t>Eiropas Revīzijas palāta</w:t>
      </w:r>
      <w:r w:rsidRPr="00721068">
        <w:t xml:space="preserve"> 2019. gada sākumā ir publicējusi īpašo ziņojumu Nr. 01/2019 </w:t>
      </w:r>
      <w:r w:rsidRPr="00721068">
        <w:rPr>
          <w:i/>
        </w:rPr>
        <w:t>“Cīņa pret krāpšanu ES līdzekļu izlietojuma jomā: ir jārīkojas”</w:t>
      </w:r>
      <w:r>
        <w:rPr>
          <w:rStyle w:val="FootnoteReference"/>
          <w:i/>
        </w:rPr>
        <w:footnoteReference w:id="31"/>
      </w:r>
      <w:r w:rsidRPr="00721068">
        <w:rPr>
          <w:i/>
        </w:rPr>
        <w:t>.</w:t>
      </w:r>
      <w:r w:rsidRPr="00721068">
        <w:t xml:space="preserve"> Minētajā ziņojumā konstatēts, ka EK nav priekšstata par to</w:t>
      </w:r>
      <w:r>
        <w:t>,</w:t>
      </w:r>
      <w:r w:rsidRPr="00721068">
        <w:t xml:space="preserve"> kāds ir neatklātais krāpšanas līmenis</w:t>
      </w:r>
      <w:r>
        <w:t xml:space="preserve"> dalībvalstīs, jo nav mēģināts šo rādījumu izmērīt. ERP ierosināja izvērtēt šo jomu, līdzīgi kā to </w:t>
      </w:r>
      <w:r w:rsidRPr="00721068">
        <w:t xml:space="preserve"> </w:t>
      </w:r>
      <w:r>
        <w:t>dara</w:t>
      </w:r>
      <w:r w:rsidRPr="00721068">
        <w:t xml:space="preserve"> </w:t>
      </w:r>
      <w:proofErr w:type="spellStart"/>
      <w:r w:rsidRPr="00721068">
        <w:rPr>
          <w:i/>
        </w:rPr>
        <w:t>Tranparency</w:t>
      </w:r>
      <w:proofErr w:type="spellEnd"/>
      <w:r w:rsidRPr="00721068">
        <w:rPr>
          <w:i/>
        </w:rPr>
        <w:t xml:space="preserve"> </w:t>
      </w:r>
      <w:proofErr w:type="spellStart"/>
      <w:r w:rsidRPr="00721068">
        <w:rPr>
          <w:i/>
        </w:rPr>
        <w:t>International</w:t>
      </w:r>
      <w:proofErr w:type="spellEnd"/>
      <w:r>
        <w:rPr>
          <w:i/>
        </w:rPr>
        <w:t>,</w:t>
      </w:r>
      <w:r w:rsidRPr="00721068">
        <w:t xml:space="preserve"> m</w:t>
      </w:r>
      <w:r>
        <w:t>ērot</w:t>
      </w:r>
      <w:r w:rsidRPr="00721068">
        <w:t xml:space="preserve"> Korupcijas </w:t>
      </w:r>
      <w:r>
        <w:t>uztveres</w:t>
      </w:r>
      <w:r w:rsidRPr="00721068">
        <w:t xml:space="preserve"> indeksu</w:t>
      </w:r>
      <w:r>
        <w:rPr>
          <w:rStyle w:val="FootnoteReference"/>
        </w:rPr>
        <w:footnoteReference w:id="32"/>
      </w:r>
      <w:r w:rsidRPr="00721068">
        <w:t>, t.i., izmantojot uz pieredzi un uztveri balstītus pētījumus.</w:t>
      </w:r>
    </w:p>
    <w:p w14:paraId="11F97FF8" w14:textId="77777777" w:rsidR="009B68A0" w:rsidRDefault="009B68A0" w:rsidP="009B68A0">
      <w:pPr>
        <w:widowControl w:val="0"/>
        <w:tabs>
          <w:tab w:val="left" w:pos="993"/>
        </w:tabs>
        <w:autoSpaceDE w:val="0"/>
        <w:autoSpaceDN w:val="0"/>
        <w:adjustRightInd w:val="0"/>
        <w:spacing w:after="120"/>
        <w:ind w:firstLine="851"/>
        <w:contextualSpacing/>
        <w:jc w:val="both"/>
      </w:pPr>
      <w:r>
        <w:t>Kamēr šāda veida pētījumi EK līmenī nav paredzēti, AFCOS stratēģija un pasākumu plāns</w:t>
      </w:r>
      <w:r w:rsidRPr="00721068">
        <w:t xml:space="preserve"> paredz turpināt komunikāciju ar sabiedrību, lai iegūtu plašāku redzējumu par patieso krāpšanas līmeni</w:t>
      </w:r>
      <w:r>
        <w:t xml:space="preserve"> un attieksmi pret to</w:t>
      </w:r>
      <w:r w:rsidRPr="00721068">
        <w:t xml:space="preserve">. </w:t>
      </w:r>
      <w:r>
        <w:t>Plānots turpināt darbu sabiedrību informējot par valstī notiekošajiem procesiem kā arī kopīgo atbildību pārkāpumu novēršanā, kā arī veikt pētījumus, lai izmērītu vai notiek sabiedriskās domas maiņa.</w:t>
      </w:r>
    </w:p>
    <w:p w14:paraId="2BAF1148" w14:textId="77777777" w:rsidR="009B68A0" w:rsidRDefault="009B68A0" w:rsidP="009B68A0">
      <w:pPr>
        <w:widowControl w:val="0"/>
        <w:tabs>
          <w:tab w:val="left" w:pos="993"/>
        </w:tabs>
        <w:autoSpaceDE w:val="0"/>
        <w:autoSpaceDN w:val="0"/>
        <w:adjustRightInd w:val="0"/>
        <w:spacing w:after="120"/>
        <w:contextualSpacing/>
        <w:jc w:val="both"/>
        <w:rPr>
          <w:b/>
          <w:bCs/>
          <w:u w:val="single"/>
        </w:rPr>
      </w:pPr>
    </w:p>
    <w:p w14:paraId="61B239FC" w14:textId="77777777" w:rsidR="00E8117E" w:rsidRDefault="00E8117E" w:rsidP="00E8117E">
      <w:pPr>
        <w:contextualSpacing/>
        <w:rPr>
          <w:b/>
          <w:bCs/>
          <w:u w:val="single"/>
        </w:rPr>
      </w:pPr>
    </w:p>
    <w:p w14:paraId="6A2A8352" w14:textId="2FB22E98" w:rsidR="009B68A0" w:rsidRPr="000A31A6" w:rsidRDefault="009B68A0" w:rsidP="00E8117E">
      <w:pPr>
        <w:contextualSpacing/>
        <w:rPr>
          <w:b/>
        </w:rPr>
      </w:pPr>
      <w:r w:rsidRPr="000A31A6">
        <w:rPr>
          <w:b/>
        </w:rPr>
        <w:t>D.2. Sadarbība ar OLAF krāpšanas izmeklēšanas jautājumos</w:t>
      </w:r>
    </w:p>
    <w:p w14:paraId="7BFCE123" w14:textId="77777777" w:rsidR="009B68A0" w:rsidRPr="000A31A6" w:rsidRDefault="009B68A0" w:rsidP="009B68A0">
      <w:pPr>
        <w:contextualSpacing/>
        <w:jc w:val="both"/>
        <w:rPr>
          <w:b/>
          <w:bCs/>
          <w:u w:val="single"/>
        </w:rPr>
      </w:pPr>
    </w:p>
    <w:p w14:paraId="2F5601B0" w14:textId="77777777" w:rsidR="009B68A0" w:rsidRDefault="009B68A0" w:rsidP="009B68A0">
      <w:pPr>
        <w:widowControl w:val="0"/>
        <w:tabs>
          <w:tab w:val="left" w:pos="993"/>
        </w:tabs>
        <w:autoSpaceDE w:val="0"/>
        <w:autoSpaceDN w:val="0"/>
        <w:adjustRightInd w:val="0"/>
        <w:contextualSpacing/>
        <w:jc w:val="both"/>
        <w:rPr>
          <w:bCs/>
        </w:rPr>
      </w:pPr>
      <w:r>
        <w:rPr>
          <w:bCs/>
        </w:rPr>
        <w:tab/>
        <w:t xml:space="preserve">Ņemot vērā FM AFCOS organizētās mācības, pieredzes apmaiņas braucienu un sanāksmes, kurās piedalījās arī OLAF pārstāvji (skatīt sadaļas Nr. A.2.1. un A.3.2.), 2018. gadā ir uzlabojusies sadarbība ar OLAF. </w:t>
      </w:r>
    </w:p>
    <w:p w14:paraId="118B8E17" w14:textId="5BEF3181" w:rsidR="009B68A0" w:rsidRPr="00B852AE" w:rsidRDefault="00B852AE" w:rsidP="00B852AE">
      <w:pPr>
        <w:pStyle w:val="ListParagraph"/>
        <w:widowControl w:val="0"/>
        <w:numPr>
          <w:ilvl w:val="0"/>
          <w:numId w:val="31"/>
        </w:numPr>
        <w:tabs>
          <w:tab w:val="left" w:pos="993"/>
        </w:tabs>
        <w:autoSpaceDE w:val="0"/>
        <w:autoSpaceDN w:val="0"/>
        <w:adjustRightInd w:val="0"/>
        <w:contextualSpacing/>
        <w:jc w:val="right"/>
        <w:rPr>
          <w:rFonts w:ascii="Times New Roman" w:hAnsi="Times New Roman"/>
          <w:bCs/>
          <w:i/>
          <w:sz w:val="24"/>
        </w:rPr>
      </w:pPr>
      <w:r w:rsidRPr="00B852AE">
        <w:rPr>
          <w:rFonts w:ascii="Times New Roman" w:hAnsi="Times New Roman"/>
          <w:bCs/>
          <w:i/>
          <w:sz w:val="24"/>
        </w:rPr>
        <w:t>t</w:t>
      </w:r>
      <w:r w:rsidR="009B68A0" w:rsidRPr="00B852AE">
        <w:rPr>
          <w:rFonts w:ascii="Times New Roman" w:hAnsi="Times New Roman"/>
          <w:bCs/>
          <w:i/>
          <w:sz w:val="24"/>
        </w:rPr>
        <w:t>abula Sadarbība ar OLAF 2018. gadā</w:t>
      </w:r>
    </w:p>
    <w:tbl>
      <w:tblPr>
        <w:tblStyle w:val="TableGrid"/>
        <w:tblW w:w="9140" w:type="dxa"/>
        <w:tblLook w:val="04A0" w:firstRow="1" w:lastRow="0" w:firstColumn="1" w:lastColumn="0" w:noHBand="0" w:noVBand="1"/>
      </w:tblPr>
      <w:tblGrid>
        <w:gridCol w:w="2717"/>
        <w:gridCol w:w="2948"/>
        <w:gridCol w:w="3475"/>
      </w:tblGrid>
      <w:tr w:rsidR="009B68A0" w:rsidRPr="002914BD" w14:paraId="144FDECE" w14:textId="77777777" w:rsidTr="00B852AE">
        <w:trPr>
          <w:trHeight w:val="317"/>
        </w:trPr>
        <w:tc>
          <w:tcPr>
            <w:tcW w:w="9140" w:type="dxa"/>
            <w:gridSpan w:val="3"/>
            <w:shd w:val="clear" w:color="auto" w:fill="BDD6EE" w:themeFill="accent1" w:themeFillTint="66"/>
          </w:tcPr>
          <w:p w14:paraId="31D6B0F8" w14:textId="77777777" w:rsidR="009B68A0" w:rsidRPr="002914BD" w:rsidRDefault="009B68A0" w:rsidP="00B852AE">
            <w:pPr>
              <w:jc w:val="center"/>
              <w:rPr>
                <w:b/>
              </w:rPr>
            </w:pPr>
            <w:r w:rsidRPr="002914BD">
              <w:rPr>
                <w:b/>
                <w:sz w:val="28"/>
              </w:rPr>
              <w:t>Sadarbība ar OLAF 2018. gadā</w:t>
            </w:r>
          </w:p>
        </w:tc>
      </w:tr>
      <w:tr w:rsidR="009B68A0" w:rsidRPr="002914BD" w14:paraId="70F25FC3" w14:textId="77777777" w:rsidTr="00E8117E">
        <w:trPr>
          <w:trHeight w:val="409"/>
        </w:trPr>
        <w:tc>
          <w:tcPr>
            <w:tcW w:w="2717" w:type="dxa"/>
            <w:shd w:val="clear" w:color="auto" w:fill="DEEAF6" w:themeFill="accent1" w:themeFillTint="33"/>
          </w:tcPr>
          <w:p w14:paraId="57234DF7" w14:textId="77777777" w:rsidR="009B68A0" w:rsidRPr="002914BD" w:rsidRDefault="009B68A0" w:rsidP="00B852AE">
            <w:pPr>
              <w:jc w:val="center"/>
              <w:rPr>
                <w:b/>
              </w:rPr>
            </w:pPr>
            <w:r w:rsidRPr="002914BD">
              <w:rPr>
                <w:b/>
              </w:rPr>
              <w:t>Datums</w:t>
            </w:r>
          </w:p>
        </w:tc>
        <w:tc>
          <w:tcPr>
            <w:tcW w:w="2948" w:type="dxa"/>
            <w:shd w:val="clear" w:color="auto" w:fill="DEEAF6" w:themeFill="accent1" w:themeFillTint="33"/>
          </w:tcPr>
          <w:p w14:paraId="0072E15D" w14:textId="77777777" w:rsidR="009B68A0" w:rsidRPr="002914BD" w:rsidRDefault="009B68A0" w:rsidP="00B852AE">
            <w:pPr>
              <w:jc w:val="center"/>
              <w:rPr>
                <w:b/>
              </w:rPr>
            </w:pPr>
            <w:r>
              <w:rPr>
                <w:b/>
              </w:rPr>
              <w:t>Veids</w:t>
            </w:r>
          </w:p>
        </w:tc>
        <w:tc>
          <w:tcPr>
            <w:tcW w:w="3475" w:type="dxa"/>
            <w:shd w:val="clear" w:color="auto" w:fill="DEEAF6" w:themeFill="accent1" w:themeFillTint="33"/>
          </w:tcPr>
          <w:p w14:paraId="523C5E16" w14:textId="77777777" w:rsidR="009B68A0" w:rsidRPr="002914BD" w:rsidRDefault="009B68A0" w:rsidP="00B852AE">
            <w:pPr>
              <w:jc w:val="center"/>
              <w:rPr>
                <w:b/>
              </w:rPr>
            </w:pPr>
            <w:r w:rsidRPr="002914BD">
              <w:rPr>
                <w:b/>
              </w:rPr>
              <w:t>Iesaistītās institūcijas</w:t>
            </w:r>
          </w:p>
        </w:tc>
      </w:tr>
      <w:tr w:rsidR="009B68A0" w14:paraId="79C90BA8" w14:textId="77777777" w:rsidTr="00E8117E">
        <w:trPr>
          <w:trHeight w:val="539"/>
        </w:trPr>
        <w:tc>
          <w:tcPr>
            <w:tcW w:w="2717" w:type="dxa"/>
          </w:tcPr>
          <w:p w14:paraId="1D50A51E" w14:textId="77777777" w:rsidR="009B68A0" w:rsidRDefault="009B68A0" w:rsidP="00B852AE">
            <w:pPr>
              <w:jc w:val="center"/>
            </w:pPr>
            <w:r>
              <w:t>10.01.2018. - 11.01.2018.</w:t>
            </w:r>
          </w:p>
        </w:tc>
        <w:tc>
          <w:tcPr>
            <w:tcW w:w="2948" w:type="dxa"/>
          </w:tcPr>
          <w:p w14:paraId="39DB2B51" w14:textId="77777777" w:rsidR="009B68A0" w:rsidRDefault="009B68A0" w:rsidP="00B852AE">
            <w:pPr>
              <w:jc w:val="center"/>
            </w:pPr>
            <w:r>
              <w:t>Organizatoriskā tikšanās LV</w:t>
            </w:r>
          </w:p>
        </w:tc>
        <w:tc>
          <w:tcPr>
            <w:tcW w:w="3475" w:type="dxa"/>
          </w:tcPr>
          <w:p w14:paraId="28199DD7" w14:textId="77777777" w:rsidR="009B68A0" w:rsidRDefault="009B68A0" w:rsidP="00B852AE">
            <w:pPr>
              <w:jc w:val="center"/>
            </w:pPr>
            <w:r>
              <w:t>AFCOS,  VP ENAP, LIAA, OLAF</w:t>
            </w:r>
          </w:p>
        </w:tc>
      </w:tr>
      <w:tr w:rsidR="009B68A0" w14:paraId="63EAEE89" w14:textId="77777777" w:rsidTr="00E8117E">
        <w:trPr>
          <w:trHeight w:val="295"/>
        </w:trPr>
        <w:tc>
          <w:tcPr>
            <w:tcW w:w="2717" w:type="dxa"/>
          </w:tcPr>
          <w:p w14:paraId="30D121F8" w14:textId="77777777" w:rsidR="009B68A0" w:rsidRDefault="009B68A0" w:rsidP="00B852AE">
            <w:pPr>
              <w:jc w:val="center"/>
            </w:pPr>
          </w:p>
          <w:p w14:paraId="6210FD56" w14:textId="77777777" w:rsidR="009B68A0" w:rsidRDefault="009B68A0" w:rsidP="00B852AE">
            <w:pPr>
              <w:jc w:val="center"/>
            </w:pPr>
            <w:r>
              <w:t>19.03.2018.</w:t>
            </w:r>
          </w:p>
        </w:tc>
        <w:tc>
          <w:tcPr>
            <w:tcW w:w="2948" w:type="dxa"/>
          </w:tcPr>
          <w:p w14:paraId="40D3A8B4" w14:textId="77777777" w:rsidR="009B68A0" w:rsidRDefault="009B68A0" w:rsidP="00B852AE">
            <w:pPr>
              <w:jc w:val="center"/>
            </w:pPr>
            <w:r>
              <w:t>AFCOS tikšanās ar OLAF Politikas plānošanas direktorātu Rīgā</w:t>
            </w:r>
          </w:p>
        </w:tc>
        <w:tc>
          <w:tcPr>
            <w:tcW w:w="3475" w:type="dxa"/>
          </w:tcPr>
          <w:p w14:paraId="12FBE0C7" w14:textId="77777777" w:rsidR="009B68A0" w:rsidRDefault="009B68A0" w:rsidP="00B852AE">
            <w:pPr>
              <w:jc w:val="center"/>
            </w:pPr>
            <w:r>
              <w:t>FM, FM AFCOS, VID, TM, IUB, CFLA, LM, VARAM, KP, ĢP, VP, OLAF</w:t>
            </w:r>
          </w:p>
        </w:tc>
      </w:tr>
      <w:tr w:rsidR="009B68A0" w14:paraId="502E95B4" w14:textId="77777777" w:rsidTr="00E8117E">
        <w:trPr>
          <w:trHeight w:val="276"/>
        </w:trPr>
        <w:tc>
          <w:tcPr>
            <w:tcW w:w="2717" w:type="dxa"/>
          </w:tcPr>
          <w:p w14:paraId="46CDD91B" w14:textId="77777777" w:rsidR="009B68A0" w:rsidRDefault="009B68A0" w:rsidP="00B852AE">
            <w:pPr>
              <w:jc w:val="center"/>
            </w:pPr>
            <w:r>
              <w:t>03.07.2018. - 04.07.2018.</w:t>
            </w:r>
          </w:p>
        </w:tc>
        <w:tc>
          <w:tcPr>
            <w:tcW w:w="2948" w:type="dxa"/>
          </w:tcPr>
          <w:p w14:paraId="620ECAC1" w14:textId="77777777" w:rsidR="009B68A0" w:rsidRDefault="009B68A0" w:rsidP="00B852AE">
            <w:pPr>
              <w:jc w:val="center"/>
            </w:pPr>
            <w:r>
              <w:t>Pārbaudes uz vietas LV</w:t>
            </w:r>
          </w:p>
        </w:tc>
        <w:tc>
          <w:tcPr>
            <w:tcW w:w="3475" w:type="dxa"/>
          </w:tcPr>
          <w:p w14:paraId="6C85482B" w14:textId="77777777" w:rsidR="009B68A0" w:rsidRDefault="009B68A0" w:rsidP="00B852AE">
            <w:pPr>
              <w:jc w:val="center"/>
            </w:pPr>
            <w:r>
              <w:t>AFCOS, VID, OLAF</w:t>
            </w:r>
          </w:p>
        </w:tc>
      </w:tr>
      <w:tr w:rsidR="009B68A0" w14:paraId="559583AA" w14:textId="77777777" w:rsidTr="00E8117E">
        <w:trPr>
          <w:trHeight w:val="276"/>
        </w:trPr>
        <w:tc>
          <w:tcPr>
            <w:tcW w:w="2717" w:type="dxa"/>
          </w:tcPr>
          <w:p w14:paraId="2631EC70" w14:textId="77777777" w:rsidR="009B68A0" w:rsidRDefault="009B68A0" w:rsidP="00B852AE">
            <w:pPr>
              <w:jc w:val="center"/>
            </w:pPr>
            <w:r>
              <w:t>31.08.2018.</w:t>
            </w:r>
          </w:p>
        </w:tc>
        <w:tc>
          <w:tcPr>
            <w:tcW w:w="2948" w:type="dxa"/>
          </w:tcPr>
          <w:p w14:paraId="64485A8E" w14:textId="77777777" w:rsidR="009B68A0" w:rsidRDefault="009B68A0" w:rsidP="00B852AE">
            <w:pPr>
              <w:jc w:val="center"/>
            </w:pPr>
            <w:r>
              <w:t>Videokonference ar OLAF</w:t>
            </w:r>
          </w:p>
        </w:tc>
        <w:tc>
          <w:tcPr>
            <w:tcW w:w="3475" w:type="dxa"/>
          </w:tcPr>
          <w:p w14:paraId="46C6D992" w14:textId="77777777" w:rsidR="009B68A0" w:rsidRDefault="009B68A0" w:rsidP="00B852AE">
            <w:pPr>
              <w:jc w:val="center"/>
            </w:pPr>
            <w:r>
              <w:t>AFCOS,  VP ENAP, OLAF</w:t>
            </w:r>
          </w:p>
        </w:tc>
      </w:tr>
      <w:tr w:rsidR="009B68A0" w14:paraId="78892B51" w14:textId="77777777" w:rsidTr="00E8117E">
        <w:trPr>
          <w:trHeight w:val="262"/>
        </w:trPr>
        <w:tc>
          <w:tcPr>
            <w:tcW w:w="2717" w:type="dxa"/>
          </w:tcPr>
          <w:p w14:paraId="63E8F17D" w14:textId="77777777" w:rsidR="009B68A0" w:rsidRDefault="009B68A0" w:rsidP="00B852AE">
            <w:pPr>
              <w:jc w:val="center"/>
            </w:pPr>
            <w:r>
              <w:t>21.09.2018.</w:t>
            </w:r>
          </w:p>
        </w:tc>
        <w:tc>
          <w:tcPr>
            <w:tcW w:w="2948" w:type="dxa"/>
          </w:tcPr>
          <w:p w14:paraId="7A85355A" w14:textId="77777777" w:rsidR="009B68A0" w:rsidRDefault="009B68A0" w:rsidP="00B852AE">
            <w:pPr>
              <w:jc w:val="center"/>
            </w:pPr>
            <w:r>
              <w:t>Organizatoriskā tikšanās LV</w:t>
            </w:r>
          </w:p>
        </w:tc>
        <w:tc>
          <w:tcPr>
            <w:tcW w:w="3475" w:type="dxa"/>
          </w:tcPr>
          <w:p w14:paraId="635CC1F1" w14:textId="77777777" w:rsidR="009B68A0" w:rsidRDefault="009B68A0" w:rsidP="00B852AE">
            <w:pPr>
              <w:jc w:val="center"/>
            </w:pPr>
            <w:r>
              <w:t>VP ENAP, OLAF</w:t>
            </w:r>
          </w:p>
        </w:tc>
      </w:tr>
      <w:tr w:rsidR="009B68A0" w14:paraId="3A339F40" w14:textId="77777777" w:rsidTr="00E8117E">
        <w:trPr>
          <w:trHeight w:val="276"/>
        </w:trPr>
        <w:tc>
          <w:tcPr>
            <w:tcW w:w="2717" w:type="dxa"/>
          </w:tcPr>
          <w:p w14:paraId="414FAA6D" w14:textId="77777777" w:rsidR="009B68A0" w:rsidRDefault="009B68A0" w:rsidP="00B852AE">
            <w:pPr>
              <w:jc w:val="center"/>
            </w:pPr>
            <w:r>
              <w:t>15.10.2018. - 19.10.2018.</w:t>
            </w:r>
          </w:p>
        </w:tc>
        <w:tc>
          <w:tcPr>
            <w:tcW w:w="2948" w:type="dxa"/>
          </w:tcPr>
          <w:p w14:paraId="2849F5EF" w14:textId="77777777" w:rsidR="009B68A0" w:rsidRDefault="009B68A0" w:rsidP="00B852AE">
            <w:pPr>
              <w:jc w:val="center"/>
            </w:pPr>
            <w:r>
              <w:t>Pārbaudes uz vietas LV</w:t>
            </w:r>
          </w:p>
        </w:tc>
        <w:tc>
          <w:tcPr>
            <w:tcW w:w="3475" w:type="dxa"/>
          </w:tcPr>
          <w:p w14:paraId="386C9F9A" w14:textId="77777777" w:rsidR="009B68A0" w:rsidRDefault="009B68A0" w:rsidP="00B852AE">
            <w:pPr>
              <w:jc w:val="center"/>
            </w:pPr>
            <w:r>
              <w:t>AFCOS, VID, OLAF</w:t>
            </w:r>
          </w:p>
        </w:tc>
      </w:tr>
      <w:tr w:rsidR="009B68A0" w14:paraId="3743A574" w14:textId="77777777" w:rsidTr="00E8117E">
        <w:trPr>
          <w:trHeight w:val="262"/>
        </w:trPr>
        <w:tc>
          <w:tcPr>
            <w:tcW w:w="2717" w:type="dxa"/>
          </w:tcPr>
          <w:p w14:paraId="69713EF4" w14:textId="77777777" w:rsidR="009B68A0" w:rsidRDefault="009B68A0" w:rsidP="00B852AE">
            <w:pPr>
              <w:jc w:val="center"/>
            </w:pPr>
            <w:r>
              <w:t>03.12.2018. - 07.12.2018.</w:t>
            </w:r>
          </w:p>
        </w:tc>
        <w:tc>
          <w:tcPr>
            <w:tcW w:w="2948" w:type="dxa"/>
          </w:tcPr>
          <w:p w14:paraId="3888F547" w14:textId="77777777" w:rsidR="009B68A0" w:rsidRDefault="009B68A0" w:rsidP="00B852AE">
            <w:pPr>
              <w:jc w:val="center"/>
            </w:pPr>
            <w:r>
              <w:t>Pārbaudes uz vietas LV</w:t>
            </w:r>
          </w:p>
        </w:tc>
        <w:tc>
          <w:tcPr>
            <w:tcW w:w="3475" w:type="dxa"/>
          </w:tcPr>
          <w:p w14:paraId="79366813" w14:textId="77777777" w:rsidR="009B68A0" w:rsidRDefault="009B68A0" w:rsidP="00B852AE">
            <w:pPr>
              <w:jc w:val="center"/>
            </w:pPr>
            <w:r>
              <w:t>AFCOS, VID, LAD, VP ENAP, OLAF</w:t>
            </w:r>
          </w:p>
        </w:tc>
      </w:tr>
    </w:tbl>
    <w:p w14:paraId="5DFAD79A" w14:textId="7D1752D3" w:rsidR="009B68A0" w:rsidRDefault="00E8117E" w:rsidP="009B68A0">
      <w:pPr>
        <w:widowControl w:val="0"/>
        <w:tabs>
          <w:tab w:val="left" w:pos="993"/>
        </w:tabs>
        <w:autoSpaceDE w:val="0"/>
        <w:autoSpaceDN w:val="0"/>
        <w:adjustRightInd w:val="0"/>
        <w:contextualSpacing/>
        <w:jc w:val="both"/>
        <w:rPr>
          <w:bCs/>
        </w:rPr>
      </w:pPr>
      <w:r>
        <w:rPr>
          <w:bCs/>
        </w:rPr>
        <w:lastRenderedPageBreak/>
        <w:tab/>
        <w:t>8. t</w:t>
      </w:r>
      <w:r w:rsidR="009B68A0">
        <w:rPr>
          <w:bCs/>
        </w:rPr>
        <w:t>abulā augstāk redzama sadarbība ar OLAF klātienē, bet papildus tam FM AFCOS sadarbībā ar AFCOS Padomes darbā iesaistītajām institūcijām atbalstīja OLAF – sniedza informāciju aptauju un anketu veidā, piedalījās dažādās darba grupās un semināros, prezentēja labās prakses piemērus, sniedza informāciju (gan informatīvos materiālus, gan operatīva rakstura dokumentus).</w:t>
      </w:r>
    </w:p>
    <w:p w14:paraId="7B2E0EC6" w14:textId="15FA9AB6" w:rsidR="009B68A0" w:rsidRDefault="009B68A0" w:rsidP="009B68A0">
      <w:pPr>
        <w:widowControl w:val="0"/>
        <w:tabs>
          <w:tab w:val="left" w:pos="993"/>
        </w:tabs>
        <w:autoSpaceDE w:val="0"/>
        <w:autoSpaceDN w:val="0"/>
        <w:adjustRightInd w:val="0"/>
        <w:contextualSpacing/>
        <w:jc w:val="both"/>
        <w:rPr>
          <w:bCs/>
        </w:rPr>
      </w:pPr>
      <w:r>
        <w:rPr>
          <w:bCs/>
        </w:rPr>
        <w:tab/>
        <w:t>2018.</w:t>
      </w:r>
      <w:r w:rsidR="000F4BD7">
        <w:rPr>
          <w:bCs/>
        </w:rPr>
        <w:t>gadā</w:t>
      </w:r>
      <w:r>
        <w:rPr>
          <w:bCs/>
        </w:rPr>
        <w:t xml:space="preserve"> iestādes pēc vairāku gadu diskusijām iezīmēja skaidru problemātiku nacionālā līmenī, respektīvi normatīvā regulējuma trūkumu atbalsta sniegšanai OLAF izmeklētājiem to veiktajās pārbaudēs uz vietas Latvijā (skatīt sadaļu A.1.3). FM AFCOS, pamatojoties uz esošo normatīvo regulējumu un iestāžu atsaucību, koordinēja atbalsta sniegšanas procesu OLAF izmeklētājiem. FM AFCOS piedalījās pārbaudēs uz vietas;  organizēja citu institūciju pārstāvju dalību pārbaudēs uz vietas; organizēja sanāksmes; ieguva nepieciešamo informāciju no nacionālajām institūcijām; atbalstīja tulkošanas jautājumos u.tml. </w:t>
      </w:r>
    </w:p>
    <w:p w14:paraId="30F9CE59" w14:textId="77777777" w:rsidR="009B68A0" w:rsidRDefault="009B68A0" w:rsidP="009B68A0">
      <w:pPr>
        <w:jc w:val="both"/>
      </w:pPr>
      <w:r>
        <w:tab/>
        <w:t xml:space="preserve">Rezumējot augstākminēto, sadarbība ar OLAF uzlabojas un intensificējas, kas ir vērtējams kā pozitīvs aspekts ES finanšu interešu aizsardzības jomā. Taču tas skaidri norāda uz trūkumiem un nepieciešamību veikt uzlabojumus nacionālajā normatīvajā regulējumā, lai nodrošinātu Regulās 883/2013 un 2185/96 noteikto prasību izpildi nacionālā līmenī </w:t>
      </w:r>
      <w:r>
        <w:rPr>
          <w:bCs/>
        </w:rPr>
        <w:t>(skatīt sadaļu A.1.3)</w:t>
      </w:r>
      <w:r>
        <w:t>.</w:t>
      </w:r>
    </w:p>
    <w:p w14:paraId="7A6DEF17" w14:textId="77777777" w:rsidR="009B68A0" w:rsidRDefault="009B68A0" w:rsidP="009B68A0"/>
    <w:p w14:paraId="667A3F7D" w14:textId="77777777" w:rsidR="009B68A0" w:rsidRPr="000A31A6" w:rsidRDefault="009B68A0" w:rsidP="009B68A0">
      <w:pPr>
        <w:ind w:firstLine="851"/>
        <w:contextualSpacing/>
        <w:rPr>
          <w:b/>
        </w:rPr>
      </w:pPr>
      <w:r>
        <w:rPr>
          <w:b/>
        </w:rPr>
        <w:t>D.3</w:t>
      </w:r>
      <w:r w:rsidRPr="000A31A6">
        <w:rPr>
          <w:b/>
        </w:rPr>
        <w:t xml:space="preserve">. </w:t>
      </w:r>
      <w:r>
        <w:rPr>
          <w:b/>
        </w:rPr>
        <w:t xml:space="preserve">Eiropas revīzijas palātas audits par </w:t>
      </w:r>
      <w:proofErr w:type="spellStart"/>
      <w:r>
        <w:rPr>
          <w:b/>
        </w:rPr>
        <w:t>pretkrāpšanas</w:t>
      </w:r>
      <w:proofErr w:type="spellEnd"/>
      <w:r>
        <w:rPr>
          <w:b/>
        </w:rPr>
        <w:t xml:space="preserve"> pasākumiem Latvijā</w:t>
      </w:r>
    </w:p>
    <w:p w14:paraId="7AE27B3E" w14:textId="77777777" w:rsidR="009B68A0" w:rsidRDefault="009B68A0" w:rsidP="009B68A0"/>
    <w:p w14:paraId="736DBF99" w14:textId="77777777" w:rsidR="002130FC" w:rsidRDefault="009B68A0" w:rsidP="002130FC">
      <w:pPr>
        <w:widowControl w:val="0"/>
        <w:tabs>
          <w:tab w:val="left" w:pos="993"/>
        </w:tabs>
        <w:autoSpaceDE w:val="0"/>
        <w:autoSpaceDN w:val="0"/>
        <w:adjustRightInd w:val="0"/>
        <w:contextualSpacing/>
        <w:jc w:val="both"/>
        <w:rPr>
          <w:bCs/>
        </w:rPr>
      </w:pPr>
      <w:r>
        <w:rPr>
          <w:bCs/>
        </w:rPr>
        <w:tab/>
      </w:r>
      <w:r w:rsidR="002130FC">
        <w:rPr>
          <w:bCs/>
        </w:rPr>
        <w:t>No 2018. gada 26. februāra līdz 2. martam misijā Latvijā bija ieradušies Eiropas Revīzijas palātas auditori, kuri veica pārbaudes lietderības revīzijas saistībā ar pasākumiem krāpšanas novēršanai un apkarošanai ES Kohēzijas politikas finansēto fondu projektu izdevumos (</w:t>
      </w:r>
      <w:r w:rsidR="002130FC" w:rsidRPr="004F526C">
        <w:rPr>
          <w:bCs/>
          <w:i/>
        </w:rPr>
        <w:t>Anti-</w:t>
      </w:r>
      <w:proofErr w:type="spellStart"/>
      <w:r w:rsidR="002130FC" w:rsidRPr="004F526C">
        <w:rPr>
          <w:bCs/>
          <w:i/>
        </w:rPr>
        <w:t>fraud</w:t>
      </w:r>
      <w:proofErr w:type="spellEnd"/>
      <w:r w:rsidR="002130FC" w:rsidRPr="004F526C">
        <w:rPr>
          <w:bCs/>
          <w:i/>
        </w:rPr>
        <w:t xml:space="preserve"> </w:t>
      </w:r>
      <w:proofErr w:type="spellStart"/>
      <w:r w:rsidR="002130FC" w:rsidRPr="004F526C">
        <w:rPr>
          <w:bCs/>
          <w:i/>
        </w:rPr>
        <w:t>measures</w:t>
      </w:r>
      <w:proofErr w:type="spellEnd"/>
      <w:r w:rsidR="002130FC" w:rsidRPr="004F526C">
        <w:rPr>
          <w:bCs/>
          <w:i/>
        </w:rPr>
        <w:t xml:space="preserve"> </w:t>
      </w:r>
      <w:proofErr w:type="spellStart"/>
      <w:r w:rsidR="002130FC" w:rsidRPr="004F526C">
        <w:rPr>
          <w:bCs/>
          <w:i/>
        </w:rPr>
        <w:t>in</w:t>
      </w:r>
      <w:proofErr w:type="spellEnd"/>
      <w:r w:rsidR="002130FC" w:rsidRPr="004F526C">
        <w:rPr>
          <w:bCs/>
          <w:i/>
        </w:rPr>
        <w:t xml:space="preserve"> EU </w:t>
      </w:r>
      <w:proofErr w:type="spellStart"/>
      <w:r w:rsidR="002130FC" w:rsidRPr="004F526C">
        <w:rPr>
          <w:bCs/>
          <w:i/>
        </w:rPr>
        <w:t>Cohesion</w:t>
      </w:r>
      <w:proofErr w:type="spellEnd"/>
      <w:r w:rsidR="002130FC" w:rsidRPr="004F526C">
        <w:rPr>
          <w:bCs/>
          <w:i/>
        </w:rPr>
        <w:t xml:space="preserve"> </w:t>
      </w:r>
      <w:proofErr w:type="spellStart"/>
      <w:r w:rsidR="002130FC" w:rsidRPr="004F526C">
        <w:rPr>
          <w:bCs/>
          <w:i/>
        </w:rPr>
        <w:t>Policy</w:t>
      </w:r>
      <w:proofErr w:type="spellEnd"/>
      <w:r w:rsidR="002130FC" w:rsidRPr="004F526C">
        <w:rPr>
          <w:bCs/>
          <w:i/>
        </w:rPr>
        <w:t xml:space="preserve"> </w:t>
      </w:r>
      <w:proofErr w:type="spellStart"/>
      <w:r w:rsidR="002130FC" w:rsidRPr="004F526C">
        <w:rPr>
          <w:bCs/>
          <w:i/>
        </w:rPr>
        <w:t>spending</w:t>
      </w:r>
      <w:proofErr w:type="spellEnd"/>
      <w:r w:rsidR="002130FC">
        <w:rPr>
          <w:bCs/>
        </w:rPr>
        <w:t xml:space="preserve">) ietvaros. </w:t>
      </w:r>
    </w:p>
    <w:p w14:paraId="545C507C" w14:textId="77777777" w:rsidR="002130FC" w:rsidRDefault="002130FC" w:rsidP="002130FC">
      <w:pPr>
        <w:widowControl w:val="0"/>
        <w:tabs>
          <w:tab w:val="left" w:pos="993"/>
        </w:tabs>
        <w:autoSpaceDE w:val="0"/>
        <w:autoSpaceDN w:val="0"/>
        <w:adjustRightInd w:val="0"/>
        <w:contextualSpacing/>
        <w:jc w:val="both"/>
        <w:rPr>
          <w:bCs/>
        </w:rPr>
      </w:pPr>
      <w:r>
        <w:rPr>
          <w:bCs/>
        </w:rPr>
        <w:tab/>
        <w:t>Pārbaužu laikā ERP auditori tikās ar FM Revīzijas iestādes, FM AFCOS, FM Vadošās iestādes, Sabiedrības par atklātību – DELNA, Prokuratūras, LIAA, VP, CFLA, KP, VID un KNAB pārstāvjiem, lai iegūtu revīzijai nepieciešamo informāciju, kā arī gūtu priekšstatu par Latvijā izveidoto sistēmu krāpšanas novēršanai un apkarošanai ES Kohēzijas politikas finansēto fondu projektu izdevumos. Detalizēti tika izskatīti individuālie krāpšanas aizdomu gadījumi un to tālākā virzība.</w:t>
      </w:r>
    </w:p>
    <w:p w14:paraId="74888148" w14:textId="77777777" w:rsidR="002130FC" w:rsidRDefault="002130FC" w:rsidP="002130FC">
      <w:pPr>
        <w:widowControl w:val="0"/>
        <w:tabs>
          <w:tab w:val="left" w:pos="993"/>
        </w:tabs>
        <w:autoSpaceDE w:val="0"/>
        <w:autoSpaceDN w:val="0"/>
        <w:adjustRightInd w:val="0"/>
        <w:contextualSpacing/>
        <w:jc w:val="both"/>
        <w:rPr>
          <w:bCs/>
        </w:rPr>
      </w:pPr>
      <w:r>
        <w:rPr>
          <w:bCs/>
        </w:rPr>
        <w:tab/>
        <w:t>Jāpiemin, ka ziņojuma projekta daļa, kurā tika analizēta informācija par Latviju, tika sūtīta Latvijas institūcijām komentāru sniegšanai. Latvijas institūciju komentāri un papildinājumi 2018. gada septembrī tika iesniegti ERP.</w:t>
      </w:r>
      <w:r w:rsidRPr="00847FE9">
        <w:rPr>
          <w:bCs/>
        </w:rPr>
        <w:t xml:space="preserve"> </w:t>
      </w:r>
      <w:r>
        <w:rPr>
          <w:bCs/>
        </w:rPr>
        <w:t>Plānots, ka ERP galaziņojums par izdarītajiem secinājumiem revīzijas laikā augstāk minētajā auditā būs pieejams 2019. gadā.</w:t>
      </w:r>
    </w:p>
    <w:p w14:paraId="1F48B57E" w14:textId="50AC0CA4" w:rsidR="009B68A0" w:rsidRDefault="009B68A0" w:rsidP="002130FC">
      <w:pPr>
        <w:widowControl w:val="0"/>
        <w:tabs>
          <w:tab w:val="left" w:pos="993"/>
        </w:tabs>
        <w:autoSpaceDE w:val="0"/>
        <w:autoSpaceDN w:val="0"/>
        <w:adjustRightInd w:val="0"/>
        <w:contextualSpacing/>
        <w:jc w:val="both"/>
        <w:rPr>
          <w:bCs/>
        </w:rPr>
      </w:pPr>
    </w:p>
    <w:p w14:paraId="45544CB0" w14:textId="2AC5B5A0" w:rsidR="009B68A0" w:rsidRPr="00E8117E" w:rsidRDefault="009B68A0" w:rsidP="00E8117E">
      <w:pPr>
        <w:widowControl w:val="0"/>
        <w:tabs>
          <w:tab w:val="left" w:pos="993"/>
        </w:tabs>
        <w:autoSpaceDE w:val="0"/>
        <w:autoSpaceDN w:val="0"/>
        <w:adjustRightInd w:val="0"/>
        <w:contextualSpacing/>
        <w:jc w:val="both"/>
        <w:rPr>
          <w:bCs/>
        </w:rPr>
      </w:pPr>
    </w:p>
    <w:p w14:paraId="4E34255F" w14:textId="19347C20" w:rsidR="009B68A0" w:rsidRDefault="009B68A0" w:rsidP="009B68A0">
      <w:pPr>
        <w:widowControl w:val="0"/>
        <w:tabs>
          <w:tab w:val="left" w:pos="993"/>
        </w:tabs>
        <w:autoSpaceDE w:val="0"/>
        <w:autoSpaceDN w:val="0"/>
        <w:adjustRightInd w:val="0"/>
        <w:ind w:firstLine="851"/>
        <w:jc w:val="both"/>
      </w:pPr>
    </w:p>
    <w:p w14:paraId="0D8AAA0D" w14:textId="0719A6DB" w:rsidR="00C0366B" w:rsidRDefault="00C0366B" w:rsidP="009B68A0">
      <w:pPr>
        <w:widowControl w:val="0"/>
        <w:tabs>
          <w:tab w:val="left" w:pos="993"/>
        </w:tabs>
        <w:autoSpaceDE w:val="0"/>
        <w:autoSpaceDN w:val="0"/>
        <w:adjustRightInd w:val="0"/>
        <w:ind w:firstLine="851"/>
        <w:jc w:val="both"/>
      </w:pPr>
    </w:p>
    <w:p w14:paraId="7E22C864" w14:textId="77777777" w:rsidR="00C0366B" w:rsidRPr="008D72B8" w:rsidRDefault="00C0366B" w:rsidP="009B68A0">
      <w:pPr>
        <w:widowControl w:val="0"/>
        <w:tabs>
          <w:tab w:val="left" w:pos="993"/>
        </w:tabs>
        <w:autoSpaceDE w:val="0"/>
        <w:autoSpaceDN w:val="0"/>
        <w:adjustRightInd w:val="0"/>
        <w:ind w:firstLine="851"/>
        <w:jc w:val="both"/>
      </w:pPr>
    </w:p>
    <w:p w14:paraId="424E93C1" w14:textId="3073F602" w:rsidR="009B68A0" w:rsidRDefault="009B68A0" w:rsidP="0005572E">
      <w:pPr>
        <w:widowControl w:val="0"/>
        <w:tabs>
          <w:tab w:val="left" w:pos="993"/>
        </w:tabs>
        <w:autoSpaceDE w:val="0"/>
        <w:autoSpaceDN w:val="0"/>
        <w:adjustRightInd w:val="0"/>
        <w:jc w:val="both"/>
        <w:rPr>
          <w:highlight w:val="lightGray"/>
        </w:rPr>
      </w:pPr>
    </w:p>
    <w:p w14:paraId="6BB17D5F" w14:textId="010D23AF" w:rsidR="00F47244" w:rsidRDefault="00F47244" w:rsidP="0005572E">
      <w:pPr>
        <w:widowControl w:val="0"/>
        <w:tabs>
          <w:tab w:val="left" w:pos="993"/>
        </w:tabs>
        <w:autoSpaceDE w:val="0"/>
        <w:autoSpaceDN w:val="0"/>
        <w:adjustRightInd w:val="0"/>
        <w:jc w:val="both"/>
        <w:rPr>
          <w:highlight w:val="lightGray"/>
        </w:rPr>
      </w:pPr>
    </w:p>
    <w:p w14:paraId="701EB1D6" w14:textId="77777777" w:rsidR="00F47244" w:rsidRPr="00E54E87" w:rsidRDefault="00F47244" w:rsidP="0005572E">
      <w:pPr>
        <w:widowControl w:val="0"/>
        <w:tabs>
          <w:tab w:val="left" w:pos="993"/>
        </w:tabs>
        <w:autoSpaceDE w:val="0"/>
        <w:autoSpaceDN w:val="0"/>
        <w:adjustRightInd w:val="0"/>
        <w:jc w:val="both"/>
        <w:rPr>
          <w:highlight w:val="lightGray"/>
        </w:rPr>
      </w:pPr>
    </w:p>
    <w:p w14:paraId="5B873AD0" w14:textId="77777777" w:rsidR="009B68A0" w:rsidRDefault="009B68A0" w:rsidP="009B68A0">
      <w:pPr>
        <w:widowControl w:val="0"/>
        <w:tabs>
          <w:tab w:val="left" w:pos="993"/>
          <w:tab w:val="right" w:pos="9214"/>
        </w:tabs>
        <w:autoSpaceDE w:val="0"/>
        <w:autoSpaceDN w:val="0"/>
        <w:adjustRightInd w:val="0"/>
        <w:spacing w:after="120"/>
        <w:jc w:val="both"/>
      </w:pPr>
      <w:r>
        <w:t>Finanšu ministrs</w:t>
      </w:r>
      <w:r>
        <w:tab/>
        <w:t>J. Reirs</w:t>
      </w:r>
    </w:p>
    <w:p w14:paraId="7F8790FA" w14:textId="677A4954" w:rsidR="009B68A0" w:rsidRDefault="009B68A0" w:rsidP="009B68A0">
      <w:pPr>
        <w:widowControl w:val="0"/>
        <w:tabs>
          <w:tab w:val="left" w:pos="993"/>
          <w:tab w:val="right" w:pos="9214"/>
        </w:tabs>
        <w:autoSpaceDE w:val="0"/>
        <w:autoSpaceDN w:val="0"/>
        <w:adjustRightInd w:val="0"/>
        <w:spacing w:after="120"/>
        <w:jc w:val="both"/>
        <w:rPr>
          <w:sz w:val="22"/>
          <w:szCs w:val="22"/>
        </w:rPr>
      </w:pPr>
    </w:p>
    <w:p w14:paraId="4E09A079" w14:textId="0389EF0B" w:rsidR="00B772A6" w:rsidRPr="00CC04E1" w:rsidRDefault="00B772A6" w:rsidP="00B772A6">
      <w:pPr>
        <w:widowControl w:val="0"/>
        <w:tabs>
          <w:tab w:val="left" w:pos="993"/>
          <w:tab w:val="right" w:pos="9214"/>
        </w:tabs>
        <w:autoSpaceDE w:val="0"/>
        <w:autoSpaceDN w:val="0"/>
        <w:adjustRightInd w:val="0"/>
        <w:spacing w:after="120"/>
        <w:contextualSpacing/>
        <w:jc w:val="both"/>
        <w:rPr>
          <w:sz w:val="20"/>
          <w:szCs w:val="20"/>
        </w:rPr>
      </w:pPr>
      <w:bookmarkStart w:id="1" w:name="_GoBack"/>
      <w:bookmarkEnd w:id="1"/>
    </w:p>
    <w:sectPr w:rsidR="00B772A6" w:rsidRPr="00CC04E1" w:rsidSect="0017569A">
      <w:headerReference w:type="even" r:id="rId14"/>
      <w:headerReference w:type="default" r:id="rId15"/>
      <w:footerReference w:type="default" r:id="rId16"/>
      <w:headerReference w:type="first" r:id="rId17"/>
      <w:footerReference w:type="first" r:id="rId18"/>
      <w:pgSz w:w="11907" w:h="16839" w:code="9"/>
      <w:pgMar w:top="1135" w:right="1134" w:bottom="1134" w:left="1701" w:header="720" w:footer="47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6F15" w14:textId="77777777" w:rsidR="00F4338B" w:rsidRDefault="00F4338B" w:rsidP="00595733">
      <w:r>
        <w:separator/>
      </w:r>
    </w:p>
  </w:endnote>
  <w:endnote w:type="continuationSeparator" w:id="0">
    <w:p w14:paraId="5CCCB545" w14:textId="77777777" w:rsidR="00F4338B" w:rsidRDefault="00F4338B" w:rsidP="0059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2FC8" w14:textId="77777777" w:rsidR="00F4338B" w:rsidRDefault="00F4338B" w:rsidP="003F71A1">
    <w:pPr>
      <w:pStyle w:val="Footer"/>
      <w:jc w:val="both"/>
      <w:rPr>
        <w:sz w:val="20"/>
        <w:szCs w:val="18"/>
        <w:lang w:val="lv-LV"/>
      </w:rPr>
    </w:pPr>
  </w:p>
  <w:p w14:paraId="7FAD2F3A" w14:textId="03B14EF5" w:rsidR="00F4338B" w:rsidRPr="007E5C41" w:rsidRDefault="00F4338B" w:rsidP="003F71A1">
    <w:pPr>
      <w:pStyle w:val="Footer"/>
      <w:jc w:val="both"/>
      <w:rPr>
        <w:sz w:val="20"/>
        <w:szCs w:val="18"/>
        <w:lang w:val="lv-LV"/>
      </w:rPr>
    </w:pPr>
    <w:r>
      <w:rPr>
        <w:sz w:val="20"/>
        <w:szCs w:val="18"/>
        <w:lang w:val="lv-LV"/>
      </w:rPr>
      <w:t>FMZin_2019_AFCOS.docx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DF13" w14:textId="77777777" w:rsidR="00F4338B" w:rsidRDefault="00F4338B" w:rsidP="003F71A1">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A361" w14:textId="77777777" w:rsidR="00F4338B" w:rsidRDefault="00F4338B" w:rsidP="00595733">
      <w:r>
        <w:separator/>
      </w:r>
    </w:p>
  </w:footnote>
  <w:footnote w:type="continuationSeparator" w:id="0">
    <w:p w14:paraId="7C44CB28" w14:textId="77777777" w:rsidR="00F4338B" w:rsidRDefault="00F4338B" w:rsidP="00595733">
      <w:r>
        <w:continuationSeparator/>
      </w:r>
    </w:p>
  </w:footnote>
  <w:footnote w:id="1">
    <w:p w14:paraId="562B2D92" w14:textId="74C19D0C" w:rsidR="00F4338B" w:rsidRPr="007446EB" w:rsidRDefault="00F4338B" w:rsidP="00C52D1F">
      <w:pPr>
        <w:widowControl w:val="0"/>
        <w:autoSpaceDE w:val="0"/>
        <w:autoSpaceDN w:val="0"/>
        <w:adjustRightInd w:val="0"/>
        <w:spacing w:after="120"/>
        <w:jc w:val="both"/>
      </w:pPr>
      <w:r w:rsidRPr="007446EB">
        <w:rPr>
          <w:rStyle w:val="FootnoteReference"/>
          <w:sz w:val="20"/>
          <w:szCs w:val="20"/>
        </w:rPr>
        <w:footnoteRef/>
      </w:r>
      <w:r w:rsidRPr="007446EB">
        <w:rPr>
          <w:sz w:val="20"/>
          <w:szCs w:val="20"/>
        </w:rPr>
        <w:t xml:space="preserve"> AFCOS darbības stratēģija un pasākumu plāns 2017.-2019.gadam ir dokuments, </w:t>
      </w:r>
      <w:r>
        <w:rPr>
          <w:sz w:val="20"/>
          <w:szCs w:val="20"/>
        </w:rPr>
        <w:t>kas tika izstrādāts</w:t>
      </w:r>
      <w:r w:rsidRPr="007446EB">
        <w:rPr>
          <w:sz w:val="20"/>
          <w:szCs w:val="20"/>
        </w:rPr>
        <w:t>, lai nodrošinātu vienotu</w:t>
      </w:r>
      <w:r>
        <w:rPr>
          <w:sz w:val="20"/>
          <w:szCs w:val="20"/>
        </w:rPr>
        <w:t>s</w:t>
      </w:r>
      <w:r w:rsidRPr="007446EB">
        <w:rPr>
          <w:sz w:val="20"/>
          <w:szCs w:val="20"/>
        </w:rPr>
        <w:t xml:space="preserve"> krāpšanas apkarošanas pasākumus ES finanšu interešu aizsardzībai. Šādas stratēģijas izstrāde ir katras dalībvalsts iniciatīva.</w:t>
      </w:r>
    </w:p>
  </w:footnote>
  <w:footnote w:id="2">
    <w:p w14:paraId="51800FFB" w14:textId="77777777" w:rsidR="00F4338B" w:rsidRPr="007446EB" w:rsidRDefault="00F4338B" w:rsidP="00595733">
      <w:pPr>
        <w:pStyle w:val="FootnoteText"/>
        <w:rPr>
          <w:lang w:val="lv-LV"/>
        </w:rPr>
      </w:pPr>
      <w:r w:rsidRPr="007446EB">
        <w:rPr>
          <w:rStyle w:val="FootnoteReference"/>
        </w:rPr>
        <w:footnoteRef/>
      </w:r>
      <w:hyperlink r:id="rId1" w:history="1">
        <w:r w:rsidRPr="007446EB">
          <w:rPr>
            <w:rStyle w:val="Hyperlink"/>
            <w:lang w:val="lv-LV"/>
          </w:rPr>
          <w:t>http://www.fm.gov.lv/lv/sadalas/es_un_es_budzets/es_finansu_interesu_aizsardziba/normativie_akti/afcos_dokumenti/</w:t>
        </w:r>
      </w:hyperlink>
      <w:r w:rsidRPr="007446EB">
        <w:rPr>
          <w:lang w:val="lv-LV"/>
        </w:rPr>
        <w:t xml:space="preserve"> </w:t>
      </w:r>
    </w:p>
  </w:footnote>
  <w:footnote w:id="3">
    <w:p w14:paraId="38F1F723" w14:textId="77777777" w:rsidR="00F4338B" w:rsidRPr="00F551B7" w:rsidRDefault="00F4338B" w:rsidP="00DA684D">
      <w:pPr>
        <w:widowControl w:val="0"/>
        <w:autoSpaceDE w:val="0"/>
        <w:autoSpaceDN w:val="0"/>
        <w:adjustRightInd w:val="0"/>
        <w:spacing w:after="120"/>
        <w:contextualSpacing/>
        <w:jc w:val="both"/>
        <w:rPr>
          <w:sz w:val="20"/>
          <w:szCs w:val="20"/>
        </w:rPr>
      </w:pPr>
      <w:r w:rsidRPr="00F551B7">
        <w:rPr>
          <w:rStyle w:val="FootnoteReference"/>
          <w:sz w:val="20"/>
          <w:szCs w:val="20"/>
        </w:rPr>
        <w:footnoteRef/>
      </w:r>
      <w:r w:rsidRPr="00F551B7">
        <w:rPr>
          <w:sz w:val="20"/>
          <w:szCs w:val="20"/>
        </w:rPr>
        <w:t xml:space="preserve"> </w:t>
      </w:r>
      <w:r w:rsidRPr="00F551B7">
        <w:rPr>
          <w:sz w:val="20"/>
          <w:szCs w:val="20"/>
        </w:rPr>
        <w:t xml:space="preserve">Par periodā no 06.12.2017. līdz 26.04.2018. apmeklētajām OLAF/EK sanāksmēm un darba grupām noziņots 2018.gada 11.maija AFCOS Padomes sēdē (AFCOS Padomes sēdes protokola 4.1. </w:t>
      </w:r>
      <w:proofErr w:type="spellStart"/>
      <w:r w:rsidRPr="00F551B7">
        <w:rPr>
          <w:sz w:val="20"/>
          <w:szCs w:val="20"/>
        </w:rPr>
        <w:t>pt</w:t>
      </w:r>
      <w:proofErr w:type="spellEnd"/>
      <w:r w:rsidRPr="00F551B7">
        <w:rPr>
          <w:sz w:val="20"/>
          <w:szCs w:val="20"/>
        </w:rPr>
        <w:t>.</w:t>
      </w:r>
      <w:r>
        <w:rPr>
          <w:sz w:val="20"/>
          <w:szCs w:val="20"/>
        </w:rPr>
        <w:t xml:space="preserve"> </w:t>
      </w:r>
      <w:r w:rsidRPr="00F551B7">
        <w:rPr>
          <w:sz w:val="20"/>
          <w:szCs w:val="20"/>
        </w:rPr>
        <w:t xml:space="preserve">). Savukārt, par periodā no 24.05.2018. līdz 29.10.2018. apmeklētajām sanāksmēm, noziņots 2018.gada 31.oktobra AFCOS Padomes sēdē (AFCOS Padomes sēdes protokola 2.1. </w:t>
      </w:r>
      <w:proofErr w:type="spellStart"/>
      <w:r w:rsidRPr="00F551B7">
        <w:rPr>
          <w:sz w:val="20"/>
          <w:szCs w:val="20"/>
        </w:rPr>
        <w:t>pt</w:t>
      </w:r>
      <w:proofErr w:type="spellEnd"/>
      <w:r w:rsidRPr="00F551B7">
        <w:rPr>
          <w:sz w:val="20"/>
          <w:szCs w:val="20"/>
        </w:rPr>
        <w:t>.). Pēdējā AFCOS Padomes sēdē tika sniegta informācija arī par plānotajām sanāksmēm 2018.gada nogalē.</w:t>
      </w:r>
    </w:p>
  </w:footnote>
  <w:footnote w:id="4">
    <w:p w14:paraId="35A2C338" w14:textId="77777777" w:rsidR="00F4338B" w:rsidRPr="005A1465" w:rsidRDefault="00F4338B" w:rsidP="00DA684D">
      <w:pPr>
        <w:pStyle w:val="FootnoteText"/>
        <w:contextualSpacing/>
        <w:jc w:val="both"/>
        <w:rPr>
          <w:lang w:val="lv-LV"/>
        </w:rPr>
      </w:pPr>
      <w:r w:rsidRPr="00F551B7">
        <w:rPr>
          <w:rStyle w:val="FootnoteReference"/>
        </w:rPr>
        <w:footnoteRef/>
      </w:r>
      <w:r w:rsidRPr="00F551B7">
        <w:t xml:space="preserve"> </w:t>
      </w:r>
      <w:r w:rsidRPr="005A1465">
        <w:rPr>
          <w:lang w:val="lv-LV"/>
        </w:rPr>
        <w:t>Eiropas Parlamenta un Padomes Regula (ES, Euratom) Nr. 883/2013 (2013. gada 11. septembris) par izmeklēšanu, ko veic Eiropas Birojs krāpšanas apkarošanai (OLAF), un ar ko atceļ Eiropas Parlamenta un Padomes Regulu (EK) Nr. 1073/1999 un Padomes Regulu (Euratom) Nr. 1074/1999</w:t>
      </w:r>
    </w:p>
  </w:footnote>
  <w:footnote w:id="5">
    <w:p w14:paraId="40281C73" w14:textId="77777777" w:rsidR="00F4338B" w:rsidRPr="00DA684D" w:rsidRDefault="00F4338B" w:rsidP="00DA684D">
      <w:pPr>
        <w:pStyle w:val="FootnoteText"/>
        <w:contextualSpacing/>
        <w:jc w:val="both"/>
        <w:rPr>
          <w:lang w:val="lv-LV"/>
        </w:rPr>
      </w:pPr>
      <w:r>
        <w:rPr>
          <w:rStyle w:val="FootnoteReference"/>
        </w:rPr>
        <w:footnoteRef/>
      </w:r>
      <w:r>
        <w:t xml:space="preserve"> </w:t>
      </w:r>
      <w:r>
        <w:rPr>
          <w:lang w:val="lv-LV"/>
        </w:rPr>
        <w:t xml:space="preserve">Vairāk informācijas par PERICLES programmu - </w:t>
      </w:r>
      <w:hyperlink r:id="rId2" w:history="1">
        <w:r w:rsidRPr="003C47D1">
          <w:rPr>
            <w:rStyle w:val="Hyperlink"/>
            <w:lang w:val="lv-LV"/>
          </w:rPr>
          <w:t>https://ec.europa.eu/info/business-economy-euro/euro-area/euro/anti-counterfeiting/pericles-2020-programme-exchanges-assistance-training_en</w:t>
        </w:r>
      </w:hyperlink>
      <w:r>
        <w:rPr>
          <w:lang w:val="lv-LV"/>
        </w:rPr>
        <w:t xml:space="preserve"> </w:t>
      </w:r>
    </w:p>
  </w:footnote>
  <w:footnote w:id="6">
    <w:p w14:paraId="5DD85133" w14:textId="77777777" w:rsidR="00F4338B" w:rsidRPr="00DA684D" w:rsidRDefault="00F4338B" w:rsidP="00DA684D">
      <w:pPr>
        <w:pStyle w:val="FootnoteText"/>
        <w:contextualSpacing/>
        <w:jc w:val="both"/>
        <w:rPr>
          <w:lang w:val="lv-LV"/>
        </w:rPr>
      </w:pPr>
      <w:r>
        <w:rPr>
          <w:rStyle w:val="FootnoteReference"/>
        </w:rPr>
        <w:footnoteRef/>
      </w:r>
      <w:r>
        <w:t xml:space="preserve"> </w:t>
      </w:r>
      <w:r>
        <w:rPr>
          <w:lang w:val="lv-LV"/>
        </w:rPr>
        <w:t xml:space="preserve">Vairāk informācijas par vienoto </w:t>
      </w:r>
      <w:proofErr w:type="spellStart"/>
      <w:r>
        <w:rPr>
          <w:lang w:val="lv-LV"/>
        </w:rPr>
        <w:t>pretkrāpšanas</w:t>
      </w:r>
      <w:proofErr w:type="spellEnd"/>
      <w:r>
        <w:rPr>
          <w:lang w:val="lv-LV"/>
        </w:rPr>
        <w:t xml:space="preserve"> programmu - </w:t>
      </w:r>
      <w:hyperlink r:id="rId3" w:history="1">
        <w:r w:rsidRPr="003C47D1">
          <w:rPr>
            <w:rStyle w:val="Hyperlink"/>
            <w:lang w:val="lv-LV"/>
          </w:rPr>
          <w:t>http://www.europarl.europa.eu/legislative-train/theme-new-boost-for-jobs-growth-and-investment/file-mff-eu-anti-fraud-programme</w:t>
        </w:r>
      </w:hyperlink>
      <w:r>
        <w:rPr>
          <w:lang w:val="lv-LV"/>
        </w:rPr>
        <w:t xml:space="preserve"> </w:t>
      </w:r>
    </w:p>
  </w:footnote>
  <w:footnote w:id="7">
    <w:p w14:paraId="4EB0012C" w14:textId="77777777" w:rsidR="00F4338B" w:rsidRPr="002C5439" w:rsidRDefault="00F4338B">
      <w:pPr>
        <w:pStyle w:val="FootnoteText"/>
        <w:rPr>
          <w:lang w:val="lv-LV"/>
        </w:rPr>
      </w:pPr>
      <w:r w:rsidRPr="009F2AFF">
        <w:rPr>
          <w:rStyle w:val="FootnoteReference"/>
          <w:lang w:val="lv-LV"/>
        </w:rPr>
        <w:footnoteRef/>
      </w:r>
      <w:r w:rsidRPr="009F2AFF">
        <w:rPr>
          <w:lang w:val="lv-LV"/>
        </w:rPr>
        <w:t xml:space="preserve"> </w:t>
      </w:r>
      <w:r w:rsidRPr="009F2AFF">
        <w:rPr>
          <w:lang w:val="lv-LV"/>
        </w:rPr>
        <w:t>Vairāk informācijas par HERCULE</w:t>
      </w:r>
      <w:r>
        <w:t xml:space="preserve"> - </w:t>
      </w:r>
      <w:hyperlink r:id="rId4" w:history="1">
        <w:r w:rsidRPr="001C3390">
          <w:rPr>
            <w:rStyle w:val="Hyperlink"/>
          </w:rPr>
          <w:t>https://ec.europa.eu/anti-fraud/policy/hercule_en</w:t>
        </w:r>
      </w:hyperlink>
      <w:r>
        <w:t xml:space="preserve"> </w:t>
      </w:r>
    </w:p>
  </w:footnote>
  <w:footnote w:id="8">
    <w:p w14:paraId="5129C130" w14:textId="77777777" w:rsidR="00F4338B" w:rsidRPr="003A638C" w:rsidRDefault="00F4338B" w:rsidP="003A638C">
      <w:pPr>
        <w:pStyle w:val="FootnoteText"/>
        <w:jc w:val="both"/>
        <w:rPr>
          <w:lang w:val="lv-LV"/>
        </w:rPr>
      </w:pPr>
      <w:r>
        <w:rPr>
          <w:rStyle w:val="FootnoteReference"/>
        </w:rPr>
        <w:footnoteRef/>
      </w:r>
      <w:r>
        <w:t xml:space="preserve"> </w:t>
      </w:r>
      <w:r>
        <w:rPr>
          <w:lang w:val="lv-LV"/>
        </w:rPr>
        <w:t xml:space="preserve">“Administratīvā izmeklēšana” - </w:t>
      </w:r>
      <w:r w:rsidRPr="003A638C">
        <w:rPr>
          <w:lang w:val="lv-LV"/>
        </w:rPr>
        <w:t xml:space="preserve">ir visas inspekcijas, pārbaudes un citi pasākumi, ko </w:t>
      </w:r>
      <w:r>
        <w:rPr>
          <w:lang w:val="lv-LV"/>
        </w:rPr>
        <w:t>OLAF</w:t>
      </w:r>
      <w:r w:rsidRPr="003A638C">
        <w:rPr>
          <w:lang w:val="lv-LV"/>
        </w:rPr>
        <w:t xml:space="preserve"> veic saskaņā ar</w:t>
      </w:r>
      <w:r>
        <w:rPr>
          <w:lang w:val="lv-LV"/>
        </w:rPr>
        <w:t xml:space="preserve"> Regulas 883/2013</w:t>
      </w:r>
      <w:r w:rsidRPr="003A638C">
        <w:rPr>
          <w:lang w:val="lv-LV"/>
        </w:rPr>
        <w:t xml:space="preserve"> 3. un 4. pantu, lai sasniegtu </w:t>
      </w:r>
      <w:r>
        <w:rPr>
          <w:lang w:val="lv-LV"/>
        </w:rPr>
        <w:t>Regulas 883/2013</w:t>
      </w:r>
      <w:r w:rsidRPr="003A638C">
        <w:rPr>
          <w:lang w:val="lv-LV"/>
        </w:rPr>
        <w:t xml:space="preserve"> 1. pantā izklāstītos mērķus un lai vajadzības gadījumā konstatētu izmeklējamo darbību nelikumību; minētā izmeklēšana neietekmē dalībvalstu kompetento iestāžu pilnvaras ierosināt kriminālprocesu</w:t>
      </w:r>
      <w:r>
        <w:rPr>
          <w:lang w:val="lv-LV"/>
        </w:rPr>
        <w:t xml:space="preserve"> ( Regulas 883/2013 2.panta 7.apakšpunkts).</w:t>
      </w:r>
    </w:p>
  </w:footnote>
  <w:footnote w:id="9">
    <w:p w14:paraId="49E51DDC" w14:textId="77777777" w:rsidR="00F4338B" w:rsidRPr="009F2AFF" w:rsidRDefault="00F4338B">
      <w:pPr>
        <w:pStyle w:val="FootnoteText"/>
        <w:rPr>
          <w:lang w:val="lv-LV"/>
        </w:rPr>
      </w:pPr>
      <w:r>
        <w:rPr>
          <w:rStyle w:val="FootnoteReference"/>
        </w:rPr>
        <w:footnoteRef/>
      </w:r>
      <w:r>
        <w:t xml:space="preserve"> </w:t>
      </w:r>
      <w:r w:rsidRPr="009F2AFF">
        <w:rPr>
          <w:lang w:val="lv-LV"/>
        </w:rPr>
        <w:t>Padomes Regula (Euratom, EK) Nr. 2185/96 (1996. gada 11. novembris) par pārbaudēm un apskatēm uz vietas, ko Komisija veic, lai aizsargātu Eiropas Kopienu finanšu intereses pret krāpšanu un citām nelikumībām</w:t>
      </w:r>
    </w:p>
  </w:footnote>
  <w:footnote w:id="10">
    <w:p w14:paraId="75B76F70" w14:textId="77777777" w:rsidR="00F4338B" w:rsidRPr="007446EB" w:rsidRDefault="00F4338B" w:rsidP="0086068D">
      <w:pPr>
        <w:pStyle w:val="FootnoteText"/>
        <w:contextualSpacing/>
        <w:jc w:val="both"/>
        <w:rPr>
          <w:lang w:val="lv-LV"/>
        </w:rPr>
      </w:pPr>
      <w:r w:rsidRPr="002F3089">
        <w:rPr>
          <w:rStyle w:val="FootnoteReference"/>
        </w:rPr>
        <w:footnoteRef/>
      </w:r>
      <w:r w:rsidRPr="002F3089">
        <w:t xml:space="preserve"> </w:t>
      </w:r>
      <w:r w:rsidRPr="002F3089">
        <w:rPr>
          <w:lang w:val="lv-LV"/>
        </w:rPr>
        <w:t xml:space="preserve">Saīsinājums no angļu valodā lietotā oficiālā saīsinājuma – </w:t>
      </w:r>
      <w:proofErr w:type="spellStart"/>
      <w:r w:rsidRPr="002F3089">
        <w:rPr>
          <w:i/>
          <w:lang w:val="lv-LV"/>
        </w:rPr>
        <w:t>Administrative</w:t>
      </w:r>
      <w:proofErr w:type="spellEnd"/>
      <w:r w:rsidRPr="002F3089">
        <w:rPr>
          <w:i/>
          <w:lang w:val="lv-LV"/>
        </w:rPr>
        <w:t xml:space="preserve"> </w:t>
      </w:r>
      <w:proofErr w:type="spellStart"/>
      <w:r w:rsidRPr="002F3089">
        <w:rPr>
          <w:i/>
          <w:lang w:val="lv-LV"/>
        </w:rPr>
        <w:t>cooperation</w:t>
      </w:r>
      <w:proofErr w:type="spellEnd"/>
      <w:r w:rsidRPr="002F3089">
        <w:rPr>
          <w:i/>
          <w:lang w:val="lv-LV"/>
        </w:rPr>
        <w:t xml:space="preserve"> </w:t>
      </w:r>
      <w:proofErr w:type="spellStart"/>
      <w:r w:rsidRPr="002F3089">
        <w:rPr>
          <w:i/>
          <w:lang w:val="lv-LV"/>
        </w:rPr>
        <w:t>arrangement</w:t>
      </w:r>
      <w:proofErr w:type="spellEnd"/>
      <w:r w:rsidRPr="002F3089">
        <w:rPr>
          <w:lang w:val="lv-LV"/>
        </w:rPr>
        <w:t>.</w:t>
      </w:r>
    </w:p>
  </w:footnote>
  <w:footnote w:id="11">
    <w:p w14:paraId="193B18D2" w14:textId="77777777" w:rsidR="00F4338B" w:rsidRPr="007446EB" w:rsidRDefault="00F4338B" w:rsidP="004969FF">
      <w:pPr>
        <w:pStyle w:val="FootnoteText"/>
      </w:pPr>
      <w:r w:rsidRPr="007446EB">
        <w:rPr>
          <w:rStyle w:val="FootnoteReference"/>
        </w:rPr>
        <w:footnoteRef/>
      </w:r>
      <w:r w:rsidRPr="007446EB">
        <w:t xml:space="preserve"> </w:t>
      </w:r>
      <w:r w:rsidRPr="007446EB">
        <w:rPr>
          <w:lang w:val="lv-LV"/>
        </w:rPr>
        <w:t>Finanšu ministrijas 28.03.2017. rīkojums Nr.133; FM 26.04.2017., rīkojums Nr.181 un 11.10.2017. rīkojums</w:t>
      </w:r>
      <w:r>
        <w:t xml:space="preserve"> Nr.431.</w:t>
      </w:r>
    </w:p>
  </w:footnote>
  <w:footnote w:id="12">
    <w:p w14:paraId="0B33F0F5" w14:textId="77777777" w:rsidR="00F4338B" w:rsidRPr="007446EB" w:rsidRDefault="00F4338B">
      <w:pPr>
        <w:pStyle w:val="FootnoteText"/>
        <w:rPr>
          <w:lang w:val="lv-LV"/>
        </w:rPr>
      </w:pPr>
      <w:r w:rsidRPr="007446EB">
        <w:rPr>
          <w:rStyle w:val="FootnoteReference"/>
        </w:rPr>
        <w:footnoteRef/>
      </w:r>
      <w:r w:rsidRPr="007446EB">
        <w:t xml:space="preserve"> </w:t>
      </w:r>
      <w:r>
        <w:rPr>
          <w:lang w:val="lv-LV"/>
        </w:rPr>
        <w:t>Darba grupā piedalījās pārstāvji no FM, KNAB, VP, VID, ZM, ĢP</w:t>
      </w:r>
    </w:p>
  </w:footnote>
  <w:footnote w:id="13">
    <w:p w14:paraId="62AF911D" w14:textId="77777777" w:rsidR="00F4338B" w:rsidRPr="009F2AFF" w:rsidRDefault="00F4338B" w:rsidP="00494188">
      <w:pPr>
        <w:pStyle w:val="FootnoteText"/>
        <w:rPr>
          <w:lang w:val="lv-LV"/>
        </w:rPr>
      </w:pPr>
      <w:r w:rsidRPr="007446EB">
        <w:rPr>
          <w:rStyle w:val="FootnoteReference"/>
        </w:rPr>
        <w:footnoteRef/>
      </w:r>
      <w:r w:rsidRPr="007446EB">
        <w:t xml:space="preserve"> </w:t>
      </w:r>
      <w:r w:rsidRPr="009F2AFF">
        <w:rPr>
          <w:lang w:val="lv-LV"/>
        </w:rPr>
        <w:t>2018. gada 4.janvāra atbilde Nr.KG/</w:t>
      </w:r>
      <w:proofErr w:type="spellStart"/>
      <w:r w:rsidRPr="009F2AFF">
        <w:rPr>
          <w:lang w:val="lv-LV"/>
        </w:rPr>
        <w:t>cw</w:t>
      </w:r>
      <w:proofErr w:type="spellEnd"/>
      <w:r w:rsidRPr="009F2AFF">
        <w:rPr>
          <w:lang w:val="lv-LV"/>
        </w:rPr>
        <w:t xml:space="preserve"> </w:t>
      </w:r>
      <w:proofErr w:type="spellStart"/>
      <w:r w:rsidRPr="009F2AFF">
        <w:rPr>
          <w:lang w:val="lv-LV"/>
        </w:rPr>
        <w:t>ares</w:t>
      </w:r>
      <w:proofErr w:type="spellEnd"/>
      <w:r w:rsidRPr="009F2AFF">
        <w:rPr>
          <w:lang w:val="lv-LV"/>
        </w:rPr>
        <w:t xml:space="preserve"> (2017)s_6651836</w:t>
      </w:r>
    </w:p>
  </w:footnote>
  <w:footnote w:id="14">
    <w:p w14:paraId="045EE286" w14:textId="77777777" w:rsidR="00F4338B" w:rsidRPr="00F91DE9" w:rsidRDefault="00F4338B">
      <w:pPr>
        <w:pStyle w:val="FootnoteText"/>
        <w:rPr>
          <w:lang w:val="lv-LV"/>
        </w:rPr>
      </w:pPr>
      <w:r>
        <w:rPr>
          <w:rStyle w:val="FootnoteReference"/>
        </w:rPr>
        <w:footnoteRef/>
      </w:r>
      <w:r>
        <w:t xml:space="preserve"> </w:t>
      </w:r>
      <w:r>
        <w:rPr>
          <w:lang w:val="lv-LV"/>
        </w:rPr>
        <w:t>Sanāksmē piedalījās pārstāvji no FM, FM AFCOS, VID, TM, IUB, CFLA, LM, VARAM, KP, ĢP, VP.</w:t>
      </w:r>
    </w:p>
  </w:footnote>
  <w:footnote w:id="15">
    <w:p w14:paraId="6F692EA7" w14:textId="77777777" w:rsidR="00F4338B" w:rsidRPr="00732DD4" w:rsidRDefault="00F4338B" w:rsidP="00673807">
      <w:pPr>
        <w:pStyle w:val="FootnoteText"/>
        <w:rPr>
          <w:lang w:val="lv-LV"/>
        </w:rPr>
      </w:pPr>
      <w:r>
        <w:rPr>
          <w:rStyle w:val="FootnoteReference"/>
        </w:rPr>
        <w:footnoteRef/>
      </w:r>
      <w:r>
        <w:t xml:space="preserve"> </w:t>
      </w:r>
      <w:r>
        <w:rPr>
          <w:lang w:val="lv-LV"/>
        </w:rPr>
        <w:t xml:space="preserve">2017.gada fokusa tēma - </w:t>
      </w:r>
      <w:r w:rsidRPr="00732DD4">
        <w:rPr>
          <w:b/>
          <w:lang w:val="lv-LV"/>
        </w:rPr>
        <w:t>v</w:t>
      </w:r>
      <w:proofErr w:type="spellStart"/>
      <w:r w:rsidRPr="00561F04">
        <w:rPr>
          <w:b/>
        </w:rPr>
        <w:t>iltotās</w:t>
      </w:r>
      <w:proofErr w:type="spellEnd"/>
      <w:r w:rsidRPr="00561F04">
        <w:rPr>
          <w:b/>
        </w:rPr>
        <w:t xml:space="preserve"> un </w:t>
      </w:r>
      <w:proofErr w:type="spellStart"/>
      <w:r w:rsidRPr="00561F04">
        <w:rPr>
          <w:b/>
        </w:rPr>
        <w:t>kontrabandas</w:t>
      </w:r>
      <w:proofErr w:type="spellEnd"/>
      <w:r w:rsidRPr="00561F04">
        <w:rPr>
          <w:b/>
        </w:rPr>
        <w:t xml:space="preserve"> </w:t>
      </w:r>
      <w:proofErr w:type="spellStart"/>
      <w:r w:rsidRPr="00561F04">
        <w:rPr>
          <w:b/>
        </w:rPr>
        <w:t>preces</w:t>
      </w:r>
      <w:proofErr w:type="spellEnd"/>
    </w:p>
  </w:footnote>
  <w:footnote w:id="16">
    <w:p w14:paraId="312FC0FE" w14:textId="77777777" w:rsidR="00F4338B" w:rsidRPr="0060128A" w:rsidRDefault="00F4338B" w:rsidP="00673807">
      <w:pPr>
        <w:pStyle w:val="FootnoteText"/>
        <w:rPr>
          <w:lang w:val="lv-LV"/>
        </w:rPr>
      </w:pPr>
      <w:r w:rsidRPr="0060128A">
        <w:rPr>
          <w:rStyle w:val="FootnoteReference"/>
          <w:lang w:val="lv-LV"/>
        </w:rPr>
        <w:footnoteRef/>
      </w:r>
      <w:r w:rsidRPr="0060128A">
        <w:rPr>
          <w:lang w:val="lv-LV"/>
        </w:rPr>
        <w:t xml:space="preserve"> </w:t>
      </w:r>
      <w:r w:rsidRPr="0060128A">
        <w:rPr>
          <w:lang w:val="lv-LV"/>
        </w:rPr>
        <w:t xml:space="preserve">Video ar 5 padomiem pieejams šeit: </w:t>
      </w:r>
      <w:hyperlink r:id="rId5" w:history="1">
        <w:r w:rsidRPr="0060128A">
          <w:rPr>
            <w:rStyle w:val="Hyperlink"/>
            <w:lang w:val="lv-LV"/>
          </w:rPr>
          <w:t>https://www.youtube.com/watch?v=X6S6yJ-0AC0</w:t>
        </w:r>
      </w:hyperlink>
      <w:r w:rsidRPr="0060128A">
        <w:rPr>
          <w:lang w:val="lv-LV"/>
        </w:rPr>
        <w:t xml:space="preserve"> </w:t>
      </w:r>
    </w:p>
  </w:footnote>
  <w:footnote w:id="17">
    <w:p w14:paraId="100BA1B9" w14:textId="77777777" w:rsidR="00F4338B" w:rsidRPr="00693509" w:rsidRDefault="00F4338B" w:rsidP="00673807">
      <w:pPr>
        <w:pStyle w:val="FootnoteText"/>
        <w:rPr>
          <w:lang w:val="lv-LV"/>
        </w:rPr>
      </w:pPr>
      <w:r w:rsidRPr="00693509">
        <w:rPr>
          <w:rStyle w:val="FootnoteReference"/>
        </w:rPr>
        <w:footnoteRef/>
      </w:r>
      <w:r w:rsidRPr="00693509">
        <w:t xml:space="preserve"> </w:t>
      </w:r>
      <w:r w:rsidRPr="00693509">
        <w:rPr>
          <w:lang w:val="lv-LV"/>
        </w:rPr>
        <w:t xml:space="preserve">Konkursa video (angļu valodā) par 2017.gadā paveikto : </w:t>
      </w:r>
      <w:hyperlink r:id="rId6" w:history="1">
        <w:r w:rsidRPr="00693509">
          <w:rPr>
            <w:rStyle w:val="Hyperlink"/>
          </w:rPr>
          <w:t>https://www.youtube.com/watch?v=z-UuMznai98&amp;index=23&amp;list=UUub_Y5OM2OLBwVggidOOrXA</w:t>
        </w:r>
      </w:hyperlink>
    </w:p>
  </w:footnote>
  <w:footnote w:id="18">
    <w:p w14:paraId="2947FAB1" w14:textId="77777777" w:rsidR="00F4338B" w:rsidRPr="003D7E2D" w:rsidRDefault="00F4338B" w:rsidP="00673807">
      <w:pPr>
        <w:pStyle w:val="FootnoteText"/>
        <w:rPr>
          <w:lang w:val="lv-LV"/>
        </w:rPr>
      </w:pPr>
      <w:r w:rsidRPr="003D7E2D">
        <w:rPr>
          <w:rStyle w:val="FootnoteReference"/>
        </w:rPr>
        <w:footnoteRef/>
      </w:r>
      <w:r w:rsidRPr="003D7E2D">
        <w:t xml:space="preserve"> </w:t>
      </w:r>
      <w:r>
        <w:rPr>
          <w:lang w:val="lv-LV"/>
        </w:rPr>
        <w:t>AFCOS padomes 01.11.2017. sēdes protokola 2.4.pt.</w:t>
      </w:r>
    </w:p>
  </w:footnote>
  <w:footnote w:id="19">
    <w:p w14:paraId="496932E4" w14:textId="77777777" w:rsidR="00F4338B" w:rsidRPr="009D6677" w:rsidRDefault="00F4338B" w:rsidP="00801873">
      <w:pPr>
        <w:pStyle w:val="FootnoteText"/>
        <w:rPr>
          <w:lang w:val="lv-LV"/>
        </w:rPr>
      </w:pPr>
      <w:r>
        <w:rPr>
          <w:rStyle w:val="FootnoteReference"/>
        </w:rPr>
        <w:footnoteRef/>
      </w:r>
      <w:r>
        <w:t xml:space="preserve"> </w:t>
      </w:r>
      <w:r>
        <w:rPr>
          <w:lang w:val="lv-LV"/>
        </w:rPr>
        <w:t xml:space="preserve">OCCRP – vairāk informācijas - </w:t>
      </w:r>
      <w:hyperlink r:id="rId7" w:history="1">
        <w:r w:rsidRPr="003C47D1">
          <w:rPr>
            <w:rStyle w:val="Hyperlink"/>
            <w:lang w:val="lv-LV"/>
          </w:rPr>
          <w:t>https://www.occrp.org/en/</w:t>
        </w:r>
      </w:hyperlink>
      <w:r>
        <w:rPr>
          <w:lang w:val="lv-LV"/>
        </w:rPr>
        <w:t xml:space="preserve"> </w:t>
      </w:r>
    </w:p>
  </w:footnote>
  <w:footnote w:id="20">
    <w:p w14:paraId="63D21F74" w14:textId="1816E8E1" w:rsidR="00F4338B" w:rsidRDefault="00F4338B" w:rsidP="00063645">
      <w:pPr>
        <w:pStyle w:val="FootnoteText"/>
        <w:rPr>
          <w:lang w:val="lv-LV"/>
        </w:rPr>
      </w:pPr>
      <w:r w:rsidRPr="00550642">
        <w:rPr>
          <w:rStyle w:val="FootnoteReference"/>
        </w:rPr>
        <w:footnoteRef/>
      </w:r>
      <w:r w:rsidRPr="00550642">
        <w:t xml:space="preserve"> </w:t>
      </w:r>
      <w:r w:rsidRPr="006D0F8D">
        <w:rPr>
          <w:lang w:val="lv-LV"/>
        </w:rPr>
        <w:t>Ar SIA “SKDS” 2018.gada pētījuma metodiku, aptaujāto personu skaitu, kā arī rezultātiem iespējams iepazīties:</w:t>
      </w:r>
      <w:r w:rsidRPr="00550642">
        <w:rPr>
          <w:lang w:val="lv-LV"/>
        </w:rPr>
        <w:t xml:space="preserve"> </w:t>
      </w:r>
    </w:p>
    <w:p w14:paraId="0F0DA20D" w14:textId="77777777" w:rsidR="00F4338B" w:rsidRPr="00A55606" w:rsidRDefault="00026F24" w:rsidP="00063645">
      <w:pPr>
        <w:pStyle w:val="FootnoteText"/>
        <w:rPr>
          <w:rFonts w:asciiTheme="majorHAnsi" w:hAnsiTheme="majorHAnsi" w:cstheme="majorHAnsi"/>
          <w:lang w:val="lv-LV"/>
        </w:rPr>
      </w:pPr>
      <w:hyperlink r:id="rId8" w:history="1">
        <w:r w:rsidR="00F4338B" w:rsidRPr="005E08B1">
          <w:rPr>
            <w:rStyle w:val="Hyperlink"/>
            <w:lang w:val="lv-LV"/>
          </w:rPr>
          <w:t>http://atkrapies.lv/wp-content/uploads/2017/03/Atskaite_FM_012018.pdf</w:t>
        </w:r>
      </w:hyperlink>
    </w:p>
  </w:footnote>
  <w:footnote w:id="21">
    <w:p w14:paraId="190E7855" w14:textId="77777777" w:rsidR="00F4338B" w:rsidRPr="00413196" w:rsidRDefault="00F4338B" w:rsidP="00063645">
      <w:pPr>
        <w:pStyle w:val="FootnoteText"/>
        <w:rPr>
          <w:lang w:val="lv-LV"/>
        </w:rPr>
      </w:pPr>
      <w:r>
        <w:rPr>
          <w:rStyle w:val="FootnoteReference"/>
        </w:rPr>
        <w:footnoteRef/>
      </w:r>
      <w:r>
        <w:t xml:space="preserve"> </w:t>
      </w:r>
      <w:r w:rsidRPr="00413196">
        <w:rPr>
          <w:lang w:val="lv-LV"/>
        </w:rPr>
        <w:t xml:space="preserve">Informācija prezentēta AFCOS padomes 11.05.2018. sēdē un nodota AFCOS padomes locekļiem zināšanai. </w:t>
      </w:r>
    </w:p>
  </w:footnote>
  <w:footnote w:id="22">
    <w:p w14:paraId="5B2B23C7" w14:textId="77777777" w:rsidR="00F4338B" w:rsidRPr="00413196" w:rsidRDefault="00F4338B" w:rsidP="00063645">
      <w:pPr>
        <w:pStyle w:val="FootnoteText"/>
        <w:rPr>
          <w:lang w:val="lv-LV"/>
        </w:rPr>
      </w:pPr>
      <w:r w:rsidRPr="00413196">
        <w:rPr>
          <w:rStyle w:val="FootnoteReference"/>
          <w:lang w:val="lv-LV"/>
        </w:rPr>
        <w:footnoteRef/>
      </w:r>
      <w:r w:rsidRPr="00413196">
        <w:rPr>
          <w:lang w:val="lv-LV"/>
        </w:rPr>
        <w:t xml:space="preserve"> </w:t>
      </w:r>
      <w:r w:rsidRPr="00413196">
        <w:rPr>
          <w:lang w:val="lv-LV"/>
        </w:rPr>
        <w:t>AFCOS padomes 31.10.2018. sēdē nolemts, ka 2019.gada fokusa tēmai jābūt saistītai ar ziņošanu.</w:t>
      </w:r>
    </w:p>
  </w:footnote>
  <w:footnote w:id="23">
    <w:p w14:paraId="21086D66" w14:textId="77777777" w:rsidR="00F4338B" w:rsidRPr="00413196" w:rsidRDefault="00F4338B" w:rsidP="00063645">
      <w:pPr>
        <w:pStyle w:val="FootnoteText"/>
        <w:rPr>
          <w:lang w:val="lv-LV"/>
        </w:rPr>
      </w:pPr>
      <w:r w:rsidRPr="00413196">
        <w:rPr>
          <w:rStyle w:val="FootnoteReference"/>
          <w:lang w:val="lv-LV"/>
        </w:rPr>
        <w:footnoteRef/>
      </w:r>
      <w:r w:rsidRPr="00413196">
        <w:rPr>
          <w:lang w:val="lv-LV"/>
        </w:rPr>
        <w:t xml:space="preserve"> </w:t>
      </w:r>
      <w:r w:rsidRPr="00413196">
        <w:rPr>
          <w:lang w:val="lv-LV"/>
        </w:rPr>
        <w:t xml:space="preserve">Ar SIA “SKDS” 2018.gada pētījuma rezultātiem iespējams iepazīties: </w:t>
      </w:r>
    </w:p>
    <w:p w14:paraId="5B59AF4E" w14:textId="77777777" w:rsidR="00F4338B" w:rsidRPr="00413196" w:rsidRDefault="00F4338B" w:rsidP="00063645">
      <w:pPr>
        <w:pStyle w:val="FootnoteText"/>
        <w:rPr>
          <w:rFonts w:asciiTheme="majorHAnsi" w:hAnsiTheme="majorHAnsi" w:cstheme="majorHAnsi"/>
          <w:lang w:val="lv-LV"/>
        </w:rPr>
      </w:pPr>
      <w:r w:rsidRPr="00413196">
        <w:rPr>
          <w:rStyle w:val="Hyperlink"/>
          <w:lang w:val="lv-LV"/>
        </w:rPr>
        <w:t>http://atkrapies.lv/wp-content/uploads/2017/03/Atskaite_FM_042018.pdf</w:t>
      </w:r>
    </w:p>
  </w:footnote>
  <w:footnote w:id="24">
    <w:p w14:paraId="1AA72798" w14:textId="77777777" w:rsidR="00F4338B" w:rsidRPr="00024BB8" w:rsidRDefault="00F4338B" w:rsidP="00063645">
      <w:pPr>
        <w:pStyle w:val="FootnoteText"/>
        <w:rPr>
          <w:b/>
          <w:lang w:val="lv-LV"/>
        </w:rPr>
      </w:pPr>
      <w:r>
        <w:rPr>
          <w:rStyle w:val="FootnoteReference"/>
        </w:rPr>
        <w:footnoteRef/>
      </w:r>
      <w:r>
        <w:t xml:space="preserve"> </w:t>
      </w:r>
      <w:r>
        <w:rPr>
          <w:lang w:val="lv-LV"/>
        </w:rPr>
        <w:t xml:space="preserve">Visi pētījumi publicēti #Atkrāpies! mājaslapas pētījumu sadaļā: </w:t>
      </w:r>
      <w:hyperlink r:id="rId9" w:history="1">
        <w:r w:rsidRPr="005E08B1">
          <w:rPr>
            <w:rStyle w:val="Hyperlink"/>
            <w:lang w:val="lv-LV"/>
          </w:rPr>
          <w:t>http://atkrapies.lv/situacija-latvija-un-es/</w:t>
        </w:r>
      </w:hyperlink>
      <w:r>
        <w:rPr>
          <w:lang w:val="lv-LV"/>
        </w:rPr>
        <w:t xml:space="preserve"> </w:t>
      </w:r>
    </w:p>
  </w:footnote>
  <w:footnote w:id="25">
    <w:p w14:paraId="19A6A70C" w14:textId="77777777" w:rsidR="00F4338B" w:rsidRPr="00653451" w:rsidRDefault="00F4338B" w:rsidP="00057757">
      <w:pPr>
        <w:pStyle w:val="FootnoteText"/>
        <w:jc w:val="both"/>
        <w:rPr>
          <w:lang w:val="lv-LV"/>
        </w:rPr>
      </w:pPr>
      <w:r>
        <w:rPr>
          <w:rStyle w:val="FootnoteReference"/>
        </w:rPr>
        <w:footnoteRef/>
      </w:r>
      <w:r>
        <w:t xml:space="preserve"> </w:t>
      </w:r>
      <w:r w:rsidRPr="00653451">
        <w:rPr>
          <w:lang w:val="lv-LV"/>
        </w:rPr>
        <w:t>Padomes Regula (Euratom, EK) Nr. 2185/96 (1996. gada 11. novembris) par pārbaudēm un apskatēm uz vietas, ko Komisija veic, lai aizsargātu Eiropas Kopienu finanšu intereses pret krāpšanu un citām nelikumībām</w:t>
      </w:r>
    </w:p>
  </w:footnote>
  <w:footnote w:id="26">
    <w:p w14:paraId="29632D02" w14:textId="77777777" w:rsidR="00F4338B" w:rsidRPr="00653451" w:rsidRDefault="00F4338B">
      <w:pPr>
        <w:pStyle w:val="FootnoteText"/>
        <w:rPr>
          <w:lang w:val="lv-LV"/>
        </w:rPr>
      </w:pPr>
      <w:r w:rsidRPr="00653451">
        <w:rPr>
          <w:rStyle w:val="FootnoteReference"/>
          <w:lang w:val="lv-LV"/>
        </w:rPr>
        <w:footnoteRef/>
      </w:r>
      <w:r w:rsidRPr="00653451">
        <w:rPr>
          <w:lang w:val="lv-LV"/>
        </w:rPr>
        <w:t xml:space="preserve"> </w:t>
      </w:r>
      <w:hyperlink r:id="rId10" w:history="1">
        <w:r w:rsidRPr="00653451">
          <w:rPr>
            <w:rStyle w:val="Hyperlink"/>
            <w:lang w:val="lv-LV"/>
          </w:rPr>
          <w:t>https://likumi.lv/ta/id/302465-trauksmes-celsanas-likums</w:t>
        </w:r>
      </w:hyperlink>
      <w:r w:rsidRPr="00653451">
        <w:rPr>
          <w:lang w:val="lv-LV"/>
        </w:rPr>
        <w:t xml:space="preserve"> </w:t>
      </w:r>
    </w:p>
  </w:footnote>
  <w:footnote w:id="27">
    <w:p w14:paraId="2CF52BBA" w14:textId="77777777" w:rsidR="00F4338B" w:rsidRPr="00C37FD4" w:rsidRDefault="00F4338B" w:rsidP="00CE524D">
      <w:pPr>
        <w:pStyle w:val="FootnoteText"/>
        <w:jc w:val="both"/>
        <w:rPr>
          <w:lang w:val="lv-LV"/>
        </w:rPr>
      </w:pPr>
      <w:r w:rsidRPr="00C37FD4">
        <w:rPr>
          <w:rStyle w:val="FootnoteReference"/>
        </w:rPr>
        <w:footnoteRef/>
      </w:r>
      <w:r w:rsidRPr="00C37FD4">
        <w:t xml:space="preserve"> </w:t>
      </w:r>
      <w:r w:rsidRPr="00C37FD4">
        <w:rPr>
          <w:lang w:val="lv-LV"/>
        </w:rPr>
        <w:t>2014. gada 16.decembra Ministru kabineta noteikumi Nr.769 “ Eiropas Savienības finanšu interešu aizsardzības koordinācijas padomes nolikums”</w:t>
      </w:r>
    </w:p>
  </w:footnote>
  <w:footnote w:id="28">
    <w:p w14:paraId="29CD18D7" w14:textId="77777777" w:rsidR="00F4338B" w:rsidRPr="00C563CA" w:rsidRDefault="00F4338B" w:rsidP="0078371C">
      <w:pPr>
        <w:pStyle w:val="FootnoteText"/>
        <w:rPr>
          <w:lang w:val="lv-LV"/>
        </w:rPr>
      </w:pPr>
      <w:r>
        <w:rPr>
          <w:rStyle w:val="FootnoteReference"/>
        </w:rPr>
        <w:footnoteRef/>
      </w:r>
      <w:r w:rsidRPr="00AD54AE">
        <w:rPr>
          <w:lang w:val="lv-LV"/>
        </w:rPr>
        <w:t xml:space="preserve"> </w:t>
      </w:r>
      <w:r>
        <w:rPr>
          <w:lang w:val="lv-LV"/>
        </w:rPr>
        <w:t>Attiecināmie izdevumi ir izdevumi, kuru atbilstība ir jau pārbaudīta un tie ir izmaksāti finansējuma atbalsta saņēmējam no ES fondiem vai citiem ārvalstu finanšu instrumentiem.</w:t>
      </w:r>
    </w:p>
  </w:footnote>
  <w:footnote w:id="29">
    <w:p w14:paraId="09660534" w14:textId="77777777" w:rsidR="00F4338B" w:rsidRPr="00F1158B" w:rsidRDefault="00F4338B" w:rsidP="004E0D9E">
      <w:pPr>
        <w:pStyle w:val="FootnoteText"/>
        <w:rPr>
          <w:lang w:val="lv-LV"/>
        </w:rPr>
      </w:pPr>
      <w:r w:rsidRPr="00F1158B">
        <w:rPr>
          <w:rStyle w:val="FootnoteReference"/>
          <w:lang w:val="lv-LV"/>
        </w:rPr>
        <w:footnoteRef/>
      </w:r>
      <w:r w:rsidRPr="00F1158B">
        <w:rPr>
          <w:lang w:val="lv-LV"/>
        </w:rPr>
        <w:t xml:space="preserve"> </w:t>
      </w:r>
      <w:r w:rsidRPr="00F1158B">
        <w:rPr>
          <w:lang w:val="lv-LV"/>
        </w:rPr>
        <w:t xml:space="preserve">Specifiskā atbalsta mērķa pasākuma 7.2.1.1 ietvaros Nodarbinātības valsts aģentūras </w:t>
      </w:r>
      <w:proofErr w:type="spellStart"/>
      <w:r w:rsidRPr="00F1158B">
        <w:rPr>
          <w:lang w:val="lv-LV"/>
        </w:rPr>
        <w:t>īstenotajais</w:t>
      </w:r>
      <w:proofErr w:type="spellEnd"/>
      <w:r w:rsidRPr="00F1158B">
        <w:rPr>
          <w:lang w:val="lv-LV"/>
        </w:rPr>
        <w:t xml:space="preserve"> projekts "Jauniešu garantijas"</w:t>
      </w:r>
    </w:p>
  </w:footnote>
  <w:footnote w:id="30">
    <w:p w14:paraId="29E2451A" w14:textId="77777777" w:rsidR="00F4338B" w:rsidRPr="00534802" w:rsidRDefault="00F4338B" w:rsidP="004E0D9E">
      <w:pPr>
        <w:pStyle w:val="FootnoteText"/>
        <w:rPr>
          <w:lang w:val="lv-LV"/>
        </w:rPr>
      </w:pPr>
      <w:r w:rsidRPr="00F1158B">
        <w:rPr>
          <w:rStyle w:val="FootnoteReference"/>
          <w:lang w:val="lv-LV"/>
        </w:rPr>
        <w:footnoteRef/>
      </w:r>
      <w:r w:rsidRPr="00F1158B">
        <w:rPr>
          <w:lang w:val="lv-LV"/>
        </w:rPr>
        <w:t xml:space="preserve"> </w:t>
      </w:r>
      <w:r w:rsidRPr="00F1158B">
        <w:rPr>
          <w:lang w:val="lv-LV"/>
        </w:rPr>
        <w:t xml:space="preserve">Minētā informācija pieejama ES fondu tīmekļa vietnē – </w:t>
      </w:r>
      <w:hyperlink r:id="rId11" w:history="1">
        <w:r w:rsidRPr="00F1158B">
          <w:rPr>
            <w:rStyle w:val="Hyperlink"/>
            <w:lang w:val="lv-LV"/>
          </w:rPr>
          <w:t>http://www.esfondi.lv/zinojumi-Ministru-kabinetam</w:t>
        </w:r>
      </w:hyperlink>
    </w:p>
  </w:footnote>
  <w:footnote w:id="31">
    <w:p w14:paraId="460044C5" w14:textId="77777777" w:rsidR="00F4338B" w:rsidRPr="00721068" w:rsidRDefault="00F4338B" w:rsidP="009B68A0">
      <w:pPr>
        <w:pStyle w:val="FootnoteText"/>
        <w:rPr>
          <w:lang w:val="lv-LV"/>
        </w:rPr>
      </w:pPr>
      <w:r>
        <w:rPr>
          <w:rStyle w:val="FootnoteReference"/>
        </w:rPr>
        <w:footnoteRef/>
      </w:r>
      <w:r>
        <w:t xml:space="preserve"> </w:t>
      </w:r>
      <w:proofErr w:type="spellStart"/>
      <w:r>
        <w:t>Ar</w:t>
      </w:r>
      <w:proofErr w:type="spellEnd"/>
      <w:r>
        <w:t xml:space="preserve"> </w:t>
      </w:r>
      <w:proofErr w:type="spellStart"/>
      <w:r>
        <w:t>ziņojumu</w:t>
      </w:r>
      <w:proofErr w:type="spellEnd"/>
      <w:r>
        <w:t xml:space="preserve"> </w:t>
      </w:r>
      <w:proofErr w:type="spellStart"/>
      <w:r>
        <w:t>var</w:t>
      </w:r>
      <w:proofErr w:type="spellEnd"/>
      <w:r>
        <w:t xml:space="preserve"> </w:t>
      </w:r>
      <w:proofErr w:type="spellStart"/>
      <w:r>
        <w:t>iepazīties</w:t>
      </w:r>
      <w:proofErr w:type="spellEnd"/>
      <w:r>
        <w:t xml:space="preserve"> </w:t>
      </w:r>
      <w:proofErr w:type="spellStart"/>
      <w:r>
        <w:t>šeit</w:t>
      </w:r>
      <w:proofErr w:type="spellEnd"/>
      <w:r>
        <w:t xml:space="preserve">: </w:t>
      </w:r>
      <w:hyperlink r:id="rId12" w:history="1">
        <w:r w:rsidRPr="004E3BE1">
          <w:rPr>
            <w:rStyle w:val="Hyperlink"/>
          </w:rPr>
          <w:t>https://www.eca.europa.eu/Lists/ECADocuments/SR19_01/SR_FRAUD_RISKS_LV.pdf</w:t>
        </w:r>
      </w:hyperlink>
      <w:r>
        <w:t xml:space="preserve"> </w:t>
      </w:r>
    </w:p>
  </w:footnote>
  <w:footnote w:id="32">
    <w:p w14:paraId="135B0852" w14:textId="3779D753" w:rsidR="00F4338B" w:rsidRPr="00721068" w:rsidRDefault="00F4338B" w:rsidP="009B68A0">
      <w:pPr>
        <w:pStyle w:val="FootnoteText"/>
        <w:rPr>
          <w:lang w:val="lv-LV"/>
        </w:rPr>
      </w:pPr>
      <w:r>
        <w:rPr>
          <w:rStyle w:val="FootnoteReference"/>
        </w:rPr>
        <w:footnoteRef/>
      </w:r>
      <w:r>
        <w:t xml:space="preserve"> </w:t>
      </w:r>
      <w:proofErr w:type="spellStart"/>
      <w:r>
        <w:t>Vairāk</w:t>
      </w:r>
      <w:proofErr w:type="spellEnd"/>
      <w:r>
        <w:t xml:space="preserve"> </w:t>
      </w:r>
      <w:proofErr w:type="spellStart"/>
      <w:r>
        <w:t>informācijas</w:t>
      </w:r>
      <w:proofErr w:type="spellEnd"/>
      <w:r>
        <w:t xml:space="preserve">: </w:t>
      </w:r>
      <w:hyperlink r:id="rId13" w:history="1">
        <w:r w:rsidRPr="009C1997">
          <w:rPr>
            <w:rStyle w:val="Hyperlink"/>
          </w:rPr>
          <w:t>https://www.transparency.org/news/feature/corruption_perceptions_index_2017?gclid=Cj0KCQiA-c_iBRChARIsAGCOpB2zHcs6tVSIThvXwbCH-wXoXn1vXxq0k3qPGigQBNNuVhHv-lbJSDYaAgQsEALw_wcB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85D1" w14:textId="04765D4C" w:rsidR="00F4338B" w:rsidRDefault="00F43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F754" w14:textId="004D1C80" w:rsidR="00F4338B" w:rsidRPr="00B76FBD" w:rsidRDefault="00F4338B" w:rsidP="003F71A1">
    <w:pPr>
      <w:pStyle w:val="Header"/>
      <w:jc w:val="center"/>
      <w:rPr>
        <w:sz w:val="20"/>
        <w:szCs w:val="20"/>
      </w:rPr>
    </w:pPr>
    <w:r w:rsidRPr="00B76FBD">
      <w:rPr>
        <w:sz w:val="20"/>
        <w:szCs w:val="20"/>
      </w:rPr>
      <w:fldChar w:fldCharType="begin"/>
    </w:r>
    <w:r w:rsidRPr="00B76FBD">
      <w:rPr>
        <w:sz w:val="20"/>
        <w:szCs w:val="20"/>
      </w:rPr>
      <w:instrText xml:space="preserve"> PAGE   \* MERGEFORMAT </w:instrText>
    </w:r>
    <w:r w:rsidRPr="00B76FBD">
      <w:rPr>
        <w:sz w:val="20"/>
        <w:szCs w:val="20"/>
      </w:rPr>
      <w:fldChar w:fldCharType="separate"/>
    </w:r>
    <w:r w:rsidR="00026F24">
      <w:rPr>
        <w:noProof/>
        <w:sz w:val="20"/>
        <w:szCs w:val="20"/>
      </w:rPr>
      <w:t>27</w:t>
    </w:r>
    <w:r w:rsidRPr="00B76FBD">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3193" w14:textId="1BF7975C" w:rsidR="00F4338B" w:rsidRDefault="00F43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55"/>
    <w:multiLevelType w:val="hybridMultilevel"/>
    <w:tmpl w:val="47D2B10E"/>
    <w:lvl w:ilvl="0" w:tplc="F4FE4862">
      <w:start w:val="2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924557A"/>
    <w:multiLevelType w:val="hybridMultilevel"/>
    <w:tmpl w:val="09EAC9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D77538C"/>
    <w:multiLevelType w:val="multilevel"/>
    <w:tmpl w:val="9C1EC27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E47E18"/>
    <w:multiLevelType w:val="hybridMultilevel"/>
    <w:tmpl w:val="5094A5E0"/>
    <w:lvl w:ilvl="0" w:tplc="FA705990">
      <w:start w:val="1"/>
      <w:numFmt w:val="bullet"/>
      <w:lvlText w:val="•"/>
      <w:lvlJc w:val="left"/>
      <w:pPr>
        <w:tabs>
          <w:tab w:val="num" w:pos="720"/>
        </w:tabs>
        <w:ind w:left="720" w:hanging="360"/>
      </w:pPr>
      <w:rPr>
        <w:rFonts w:ascii="Arial" w:hAnsi="Arial" w:hint="default"/>
      </w:rPr>
    </w:lvl>
    <w:lvl w:ilvl="1" w:tplc="85A45916" w:tentative="1">
      <w:start w:val="1"/>
      <w:numFmt w:val="bullet"/>
      <w:lvlText w:val="•"/>
      <w:lvlJc w:val="left"/>
      <w:pPr>
        <w:tabs>
          <w:tab w:val="num" w:pos="1440"/>
        </w:tabs>
        <w:ind w:left="1440" w:hanging="360"/>
      </w:pPr>
      <w:rPr>
        <w:rFonts w:ascii="Arial" w:hAnsi="Arial" w:hint="default"/>
      </w:rPr>
    </w:lvl>
    <w:lvl w:ilvl="2" w:tplc="0214F0EA" w:tentative="1">
      <w:start w:val="1"/>
      <w:numFmt w:val="bullet"/>
      <w:lvlText w:val="•"/>
      <w:lvlJc w:val="left"/>
      <w:pPr>
        <w:tabs>
          <w:tab w:val="num" w:pos="2160"/>
        </w:tabs>
        <w:ind w:left="2160" w:hanging="360"/>
      </w:pPr>
      <w:rPr>
        <w:rFonts w:ascii="Arial" w:hAnsi="Arial" w:hint="default"/>
      </w:rPr>
    </w:lvl>
    <w:lvl w:ilvl="3" w:tplc="0900C4A8" w:tentative="1">
      <w:start w:val="1"/>
      <w:numFmt w:val="bullet"/>
      <w:lvlText w:val="•"/>
      <w:lvlJc w:val="left"/>
      <w:pPr>
        <w:tabs>
          <w:tab w:val="num" w:pos="2880"/>
        </w:tabs>
        <w:ind w:left="2880" w:hanging="360"/>
      </w:pPr>
      <w:rPr>
        <w:rFonts w:ascii="Arial" w:hAnsi="Arial" w:hint="default"/>
      </w:rPr>
    </w:lvl>
    <w:lvl w:ilvl="4" w:tplc="F8522C00" w:tentative="1">
      <w:start w:val="1"/>
      <w:numFmt w:val="bullet"/>
      <w:lvlText w:val="•"/>
      <w:lvlJc w:val="left"/>
      <w:pPr>
        <w:tabs>
          <w:tab w:val="num" w:pos="3600"/>
        </w:tabs>
        <w:ind w:left="3600" w:hanging="360"/>
      </w:pPr>
      <w:rPr>
        <w:rFonts w:ascii="Arial" w:hAnsi="Arial" w:hint="default"/>
      </w:rPr>
    </w:lvl>
    <w:lvl w:ilvl="5" w:tplc="4724C3D0" w:tentative="1">
      <w:start w:val="1"/>
      <w:numFmt w:val="bullet"/>
      <w:lvlText w:val="•"/>
      <w:lvlJc w:val="left"/>
      <w:pPr>
        <w:tabs>
          <w:tab w:val="num" w:pos="4320"/>
        </w:tabs>
        <w:ind w:left="4320" w:hanging="360"/>
      </w:pPr>
      <w:rPr>
        <w:rFonts w:ascii="Arial" w:hAnsi="Arial" w:hint="default"/>
      </w:rPr>
    </w:lvl>
    <w:lvl w:ilvl="6" w:tplc="A426B6AC" w:tentative="1">
      <w:start w:val="1"/>
      <w:numFmt w:val="bullet"/>
      <w:lvlText w:val="•"/>
      <w:lvlJc w:val="left"/>
      <w:pPr>
        <w:tabs>
          <w:tab w:val="num" w:pos="5040"/>
        </w:tabs>
        <w:ind w:left="5040" w:hanging="360"/>
      </w:pPr>
      <w:rPr>
        <w:rFonts w:ascii="Arial" w:hAnsi="Arial" w:hint="default"/>
      </w:rPr>
    </w:lvl>
    <w:lvl w:ilvl="7" w:tplc="57C0CAA4" w:tentative="1">
      <w:start w:val="1"/>
      <w:numFmt w:val="bullet"/>
      <w:lvlText w:val="•"/>
      <w:lvlJc w:val="left"/>
      <w:pPr>
        <w:tabs>
          <w:tab w:val="num" w:pos="5760"/>
        </w:tabs>
        <w:ind w:left="5760" w:hanging="360"/>
      </w:pPr>
      <w:rPr>
        <w:rFonts w:ascii="Arial" w:hAnsi="Arial" w:hint="default"/>
      </w:rPr>
    </w:lvl>
    <w:lvl w:ilvl="8" w:tplc="826612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584AC7"/>
    <w:multiLevelType w:val="hybridMultilevel"/>
    <w:tmpl w:val="0018FA08"/>
    <w:lvl w:ilvl="0" w:tplc="8C086FF8">
      <w:start w:val="1"/>
      <w:numFmt w:val="bullet"/>
      <w:lvlText w:val="•"/>
      <w:lvlJc w:val="left"/>
      <w:pPr>
        <w:tabs>
          <w:tab w:val="num" w:pos="720"/>
        </w:tabs>
        <w:ind w:left="720" w:hanging="360"/>
      </w:pPr>
      <w:rPr>
        <w:rFonts w:ascii="Arial" w:hAnsi="Arial" w:hint="default"/>
      </w:rPr>
    </w:lvl>
    <w:lvl w:ilvl="1" w:tplc="153A9464" w:tentative="1">
      <w:start w:val="1"/>
      <w:numFmt w:val="bullet"/>
      <w:lvlText w:val="•"/>
      <w:lvlJc w:val="left"/>
      <w:pPr>
        <w:tabs>
          <w:tab w:val="num" w:pos="1440"/>
        </w:tabs>
        <w:ind w:left="1440" w:hanging="360"/>
      </w:pPr>
      <w:rPr>
        <w:rFonts w:ascii="Arial" w:hAnsi="Arial" w:hint="default"/>
      </w:rPr>
    </w:lvl>
    <w:lvl w:ilvl="2" w:tplc="50788540" w:tentative="1">
      <w:start w:val="1"/>
      <w:numFmt w:val="bullet"/>
      <w:lvlText w:val="•"/>
      <w:lvlJc w:val="left"/>
      <w:pPr>
        <w:tabs>
          <w:tab w:val="num" w:pos="2160"/>
        </w:tabs>
        <w:ind w:left="2160" w:hanging="360"/>
      </w:pPr>
      <w:rPr>
        <w:rFonts w:ascii="Arial" w:hAnsi="Arial" w:hint="default"/>
      </w:rPr>
    </w:lvl>
    <w:lvl w:ilvl="3" w:tplc="879CF35A" w:tentative="1">
      <w:start w:val="1"/>
      <w:numFmt w:val="bullet"/>
      <w:lvlText w:val="•"/>
      <w:lvlJc w:val="left"/>
      <w:pPr>
        <w:tabs>
          <w:tab w:val="num" w:pos="2880"/>
        </w:tabs>
        <w:ind w:left="2880" w:hanging="360"/>
      </w:pPr>
      <w:rPr>
        <w:rFonts w:ascii="Arial" w:hAnsi="Arial" w:hint="default"/>
      </w:rPr>
    </w:lvl>
    <w:lvl w:ilvl="4" w:tplc="72106ABC" w:tentative="1">
      <w:start w:val="1"/>
      <w:numFmt w:val="bullet"/>
      <w:lvlText w:val="•"/>
      <w:lvlJc w:val="left"/>
      <w:pPr>
        <w:tabs>
          <w:tab w:val="num" w:pos="3600"/>
        </w:tabs>
        <w:ind w:left="3600" w:hanging="360"/>
      </w:pPr>
      <w:rPr>
        <w:rFonts w:ascii="Arial" w:hAnsi="Arial" w:hint="default"/>
      </w:rPr>
    </w:lvl>
    <w:lvl w:ilvl="5" w:tplc="44222804" w:tentative="1">
      <w:start w:val="1"/>
      <w:numFmt w:val="bullet"/>
      <w:lvlText w:val="•"/>
      <w:lvlJc w:val="left"/>
      <w:pPr>
        <w:tabs>
          <w:tab w:val="num" w:pos="4320"/>
        </w:tabs>
        <w:ind w:left="4320" w:hanging="360"/>
      </w:pPr>
      <w:rPr>
        <w:rFonts w:ascii="Arial" w:hAnsi="Arial" w:hint="default"/>
      </w:rPr>
    </w:lvl>
    <w:lvl w:ilvl="6" w:tplc="A7D05738" w:tentative="1">
      <w:start w:val="1"/>
      <w:numFmt w:val="bullet"/>
      <w:lvlText w:val="•"/>
      <w:lvlJc w:val="left"/>
      <w:pPr>
        <w:tabs>
          <w:tab w:val="num" w:pos="5040"/>
        </w:tabs>
        <w:ind w:left="5040" w:hanging="360"/>
      </w:pPr>
      <w:rPr>
        <w:rFonts w:ascii="Arial" w:hAnsi="Arial" w:hint="default"/>
      </w:rPr>
    </w:lvl>
    <w:lvl w:ilvl="7" w:tplc="8E7EF5B4" w:tentative="1">
      <w:start w:val="1"/>
      <w:numFmt w:val="bullet"/>
      <w:lvlText w:val="•"/>
      <w:lvlJc w:val="left"/>
      <w:pPr>
        <w:tabs>
          <w:tab w:val="num" w:pos="5760"/>
        </w:tabs>
        <w:ind w:left="5760" w:hanging="360"/>
      </w:pPr>
      <w:rPr>
        <w:rFonts w:ascii="Arial" w:hAnsi="Arial" w:hint="default"/>
      </w:rPr>
    </w:lvl>
    <w:lvl w:ilvl="8" w:tplc="8EA6F4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650C53"/>
    <w:multiLevelType w:val="hybridMultilevel"/>
    <w:tmpl w:val="3FD8B7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C979EE"/>
    <w:multiLevelType w:val="hybridMultilevel"/>
    <w:tmpl w:val="C6FA19FA"/>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160E4A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E61EE6"/>
    <w:multiLevelType w:val="hybridMultilevel"/>
    <w:tmpl w:val="26F4D5A8"/>
    <w:lvl w:ilvl="0" w:tplc="D9703914">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5F66C2"/>
    <w:multiLevelType w:val="hybridMultilevel"/>
    <w:tmpl w:val="1256D5A4"/>
    <w:lvl w:ilvl="0" w:tplc="E6D624AA">
      <w:start w:val="1"/>
      <w:numFmt w:val="bullet"/>
      <w:lvlText w:val="-"/>
      <w:lvlJc w:val="left"/>
      <w:pPr>
        <w:ind w:left="4680" w:hanging="360"/>
      </w:pPr>
      <w:rPr>
        <w:rFonts w:ascii="Times New Roman" w:eastAsia="Times New Roman" w:hAnsi="Times New Roman" w:cs="Times New Roman" w:hint="default"/>
      </w:rPr>
    </w:lvl>
    <w:lvl w:ilvl="1" w:tplc="04260003" w:tentative="1">
      <w:start w:val="1"/>
      <w:numFmt w:val="bullet"/>
      <w:lvlText w:val="o"/>
      <w:lvlJc w:val="left"/>
      <w:pPr>
        <w:ind w:left="5400" w:hanging="360"/>
      </w:pPr>
      <w:rPr>
        <w:rFonts w:ascii="Courier New" w:hAnsi="Courier New" w:cs="Courier New" w:hint="default"/>
      </w:rPr>
    </w:lvl>
    <w:lvl w:ilvl="2" w:tplc="04260005" w:tentative="1">
      <w:start w:val="1"/>
      <w:numFmt w:val="bullet"/>
      <w:lvlText w:val=""/>
      <w:lvlJc w:val="left"/>
      <w:pPr>
        <w:ind w:left="6120" w:hanging="360"/>
      </w:pPr>
      <w:rPr>
        <w:rFonts w:ascii="Wingdings" w:hAnsi="Wingdings" w:hint="default"/>
      </w:rPr>
    </w:lvl>
    <w:lvl w:ilvl="3" w:tplc="04260001" w:tentative="1">
      <w:start w:val="1"/>
      <w:numFmt w:val="bullet"/>
      <w:lvlText w:val=""/>
      <w:lvlJc w:val="left"/>
      <w:pPr>
        <w:ind w:left="6840" w:hanging="360"/>
      </w:pPr>
      <w:rPr>
        <w:rFonts w:ascii="Symbol" w:hAnsi="Symbol" w:hint="default"/>
      </w:rPr>
    </w:lvl>
    <w:lvl w:ilvl="4" w:tplc="04260003" w:tentative="1">
      <w:start w:val="1"/>
      <w:numFmt w:val="bullet"/>
      <w:lvlText w:val="o"/>
      <w:lvlJc w:val="left"/>
      <w:pPr>
        <w:ind w:left="7560" w:hanging="360"/>
      </w:pPr>
      <w:rPr>
        <w:rFonts w:ascii="Courier New" w:hAnsi="Courier New" w:cs="Courier New" w:hint="default"/>
      </w:rPr>
    </w:lvl>
    <w:lvl w:ilvl="5" w:tplc="04260005" w:tentative="1">
      <w:start w:val="1"/>
      <w:numFmt w:val="bullet"/>
      <w:lvlText w:val=""/>
      <w:lvlJc w:val="left"/>
      <w:pPr>
        <w:ind w:left="8280" w:hanging="360"/>
      </w:pPr>
      <w:rPr>
        <w:rFonts w:ascii="Wingdings" w:hAnsi="Wingdings" w:hint="default"/>
      </w:rPr>
    </w:lvl>
    <w:lvl w:ilvl="6" w:tplc="04260001" w:tentative="1">
      <w:start w:val="1"/>
      <w:numFmt w:val="bullet"/>
      <w:lvlText w:val=""/>
      <w:lvlJc w:val="left"/>
      <w:pPr>
        <w:ind w:left="9000" w:hanging="360"/>
      </w:pPr>
      <w:rPr>
        <w:rFonts w:ascii="Symbol" w:hAnsi="Symbol" w:hint="default"/>
      </w:rPr>
    </w:lvl>
    <w:lvl w:ilvl="7" w:tplc="04260003" w:tentative="1">
      <w:start w:val="1"/>
      <w:numFmt w:val="bullet"/>
      <w:lvlText w:val="o"/>
      <w:lvlJc w:val="left"/>
      <w:pPr>
        <w:ind w:left="9720" w:hanging="360"/>
      </w:pPr>
      <w:rPr>
        <w:rFonts w:ascii="Courier New" w:hAnsi="Courier New" w:cs="Courier New" w:hint="default"/>
      </w:rPr>
    </w:lvl>
    <w:lvl w:ilvl="8" w:tplc="04260005" w:tentative="1">
      <w:start w:val="1"/>
      <w:numFmt w:val="bullet"/>
      <w:lvlText w:val=""/>
      <w:lvlJc w:val="left"/>
      <w:pPr>
        <w:ind w:left="10440" w:hanging="360"/>
      </w:pPr>
      <w:rPr>
        <w:rFonts w:ascii="Wingdings" w:hAnsi="Wingdings" w:hint="default"/>
      </w:rPr>
    </w:lvl>
  </w:abstractNum>
  <w:abstractNum w:abstractNumId="10" w15:restartNumberingAfterBreak="0">
    <w:nsid w:val="1E4E4581"/>
    <w:multiLevelType w:val="hybridMultilevel"/>
    <w:tmpl w:val="41384F4C"/>
    <w:lvl w:ilvl="0" w:tplc="04260011">
      <w:start w:val="1"/>
      <w:numFmt w:val="decimal"/>
      <w:lvlText w:val="%1)"/>
      <w:lvlJc w:val="left"/>
      <w:pPr>
        <w:ind w:left="478" w:hanging="360"/>
      </w:p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1" w15:restartNumberingAfterBreak="0">
    <w:nsid w:val="1FCE5381"/>
    <w:multiLevelType w:val="hybridMultilevel"/>
    <w:tmpl w:val="DC0A20C6"/>
    <w:lvl w:ilvl="0" w:tplc="CBC83DD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2B6920"/>
    <w:multiLevelType w:val="hybridMultilevel"/>
    <w:tmpl w:val="FCA85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D7705C"/>
    <w:multiLevelType w:val="hybridMultilevel"/>
    <w:tmpl w:val="82A21F62"/>
    <w:lvl w:ilvl="0" w:tplc="7812D1C8">
      <w:start w:val="1"/>
      <w:numFmt w:val="decimal"/>
      <w:lvlText w:val="%1."/>
      <w:lvlJc w:val="left"/>
      <w:pPr>
        <w:ind w:left="709" w:hanging="360"/>
      </w:pPr>
      <w:rPr>
        <w:rFonts w:hint="default"/>
        <w:b w:val="0"/>
        <w:u w:val="none"/>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4" w15:restartNumberingAfterBreak="0">
    <w:nsid w:val="2B4D6F51"/>
    <w:multiLevelType w:val="hybridMultilevel"/>
    <w:tmpl w:val="C4F2F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C327D0"/>
    <w:multiLevelType w:val="hybridMultilevel"/>
    <w:tmpl w:val="4CCCAC4C"/>
    <w:lvl w:ilvl="0" w:tplc="B94AFAF0">
      <w:start w:val="1"/>
      <w:numFmt w:val="upperRoman"/>
      <w:lvlText w:val="%1."/>
      <w:lvlJc w:val="left"/>
      <w:pPr>
        <w:ind w:left="1080" w:hanging="720"/>
      </w:pPr>
      <w:rPr>
        <w:rFonts w:hint="default"/>
      </w:rPr>
    </w:lvl>
    <w:lvl w:ilvl="1" w:tplc="8318D0B6">
      <w:start w:val="1"/>
      <w:numFmt w:val="decimal"/>
      <w:lvlText w:val="%2."/>
      <w:lvlJc w:val="left"/>
      <w:pPr>
        <w:ind w:left="1535" w:hanging="455"/>
      </w:pPr>
      <w:rPr>
        <w:rFonts w:hint="default"/>
        <w:b w:val="0"/>
      </w:rPr>
    </w:lvl>
    <w:lvl w:ilvl="2" w:tplc="F4FE4862">
      <w:start w:val="20"/>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7F6FE6"/>
    <w:multiLevelType w:val="hybridMultilevel"/>
    <w:tmpl w:val="16E22234"/>
    <w:lvl w:ilvl="0" w:tplc="F4FE4862">
      <w:start w:val="20"/>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6CA1185"/>
    <w:multiLevelType w:val="hybridMultilevel"/>
    <w:tmpl w:val="88A0F0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F45981"/>
    <w:multiLevelType w:val="hybridMultilevel"/>
    <w:tmpl w:val="D64A893C"/>
    <w:lvl w:ilvl="0" w:tplc="2584AA84">
      <w:start w:val="1"/>
      <w:numFmt w:val="bullet"/>
      <w:lvlText w:val="•"/>
      <w:lvlJc w:val="left"/>
      <w:pPr>
        <w:tabs>
          <w:tab w:val="num" w:pos="720"/>
        </w:tabs>
        <w:ind w:left="720" w:hanging="360"/>
      </w:pPr>
      <w:rPr>
        <w:rFonts w:ascii="Arial" w:hAnsi="Arial" w:hint="default"/>
      </w:rPr>
    </w:lvl>
    <w:lvl w:ilvl="1" w:tplc="027CCD7E" w:tentative="1">
      <w:start w:val="1"/>
      <w:numFmt w:val="bullet"/>
      <w:lvlText w:val="•"/>
      <w:lvlJc w:val="left"/>
      <w:pPr>
        <w:tabs>
          <w:tab w:val="num" w:pos="1440"/>
        </w:tabs>
        <w:ind w:left="1440" w:hanging="360"/>
      </w:pPr>
      <w:rPr>
        <w:rFonts w:ascii="Arial" w:hAnsi="Arial" w:hint="default"/>
      </w:rPr>
    </w:lvl>
    <w:lvl w:ilvl="2" w:tplc="F8383496" w:tentative="1">
      <w:start w:val="1"/>
      <w:numFmt w:val="bullet"/>
      <w:lvlText w:val="•"/>
      <w:lvlJc w:val="left"/>
      <w:pPr>
        <w:tabs>
          <w:tab w:val="num" w:pos="2160"/>
        </w:tabs>
        <w:ind w:left="2160" w:hanging="360"/>
      </w:pPr>
      <w:rPr>
        <w:rFonts w:ascii="Arial" w:hAnsi="Arial" w:hint="default"/>
      </w:rPr>
    </w:lvl>
    <w:lvl w:ilvl="3" w:tplc="BC06A930" w:tentative="1">
      <w:start w:val="1"/>
      <w:numFmt w:val="bullet"/>
      <w:lvlText w:val="•"/>
      <w:lvlJc w:val="left"/>
      <w:pPr>
        <w:tabs>
          <w:tab w:val="num" w:pos="2880"/>
        </w:tabs>
        <w:ind w:left="2880" w:hanging="360"/>
      </w:pPr>
      <w:rPr>
        <w:rFonts w:ascii="Arial" w:hAnsi="Arial" w:hint="default"/>
      </w:rPr>
    </w:lvl>
    <w:lvl w:ilvl="4" w:tplc="309AED44" w:tentative="1">
      <w:start w:val="1"/>
      <w:numFmt w:val="bullet"/>
      <w:lvlText w:val="•"/>
      <w:lvlJc w:val="left"/>
      <w:pPr>
        <w:tabs>
          <w:tab w:val="num" w:pos="3600"/>
        </w:tabs>
        <w:ind w:left="3600" w:hanging="360"/>
      </w:pPr>
      <w:rPr>
        <w:rFonts w:ascii="Arial" w:hAnsi="Arial" w:hint="default"/>
      </w:rPr>
    </w:lvl>
    <w:lvl w:ilvl="5" w:tplc="1288396E" w:tentative="1">
      <w:start w:val="1"/>
      <w:numFmt w:val="bullet"/>
      <w:lvlText w:val="•"/>
      <w:lvlJc w:val="left"/>
      <w:pPr>
        <w:tabs>
          <w:tab w:val="num" w:pos="4320"/>
        </w:tabs>
        <w:ind w:left="4320" w:hanging="360"/>
      </w:pPr>
      <w:rPr>
        <w:rFonts w:ascii="Arial" w:hAnsi="Arial" w:hint="default"/>
      </w:rPr>
    </w:lvl>
    <w:lvl w:ilvl="6" w:tplc="ACA25CB0" w:tentative="1">
      <w:start w:val="1"/>
      <w:numFmt w:val="bullet"/>
      <w:lvlText w:val="•"/>
      <w:lvlJc w:val="left"/>
      <w:pPr>
        <w:tabs>
          <w:tab w:val="num" w:pos="5040"/>
        </w:tabs>
        <w:ind w:left="5040" w:hanging="360"/>
      </w:pPr>
      <w:rPr>
        <w:rFonts w:ascii="Arial" w:hAnsi="Arial" w:hint="default"/>
      </w:rPr>
    </w:lvl>
    <w:lvl w:ilvl="7" w:tplc="6264EA46" w:tentative="1">
      <w:start w:val="1"/>
      <w:numFmt w:val="bullet"/>
      <w:lvlText w:val="•"/>
      <w:lvlJc w:val="left"/>
      <w:pPr>
        <w:tabs>
          <w:tab w:val="num" w:pos="5760"/>
        </w:tabs>
        <w:ind w:left="5760" w:hanging="360"/>
      </w:pPr>
      <w:rPr>
        <w:rFonts w:ascii="Arial" w:hAnsi="Arial" w:hint="default"/>
      </w:rPr>
    </w:lvl>
    <w:lvl w:ilvl="8" w:tplc="44B2D7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237F4A"/>
    <w:multiLevelType w:val="hybridMultilevel"/>
    <w:tmpl w:val="230008F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A453A52"/>
    <w:multiLevelType w:val="hybridMultilevel"/>
    <w:tmpl w:val="B85EA600"/>
    <w:lvl w:ilvl="0" w:tplc="FA7C196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B90702"/>
    <w:multiLevelType w:val="hybridMultilevel"/>
    <w:tmpl w:val="040EEDE8"/>
    <w:lvl w:ilvl="0" w:tplc="A28AF9B0">
      <w:start w:val="1"/>
      <w:numFmt w:val="bullet"/>
      <w:lvlText w:val="•"/>
      <w:lvlJc w:val="left"/>
      <w:pPr>
        <w:tabs>
          <w:tab w:val="num" w:pos="720"/>
        </w:tabs>
        <w:ind w:left="720" w:hanging="360"/>
      </w:pPr>
      <w:rPr>
        <w:rFonts w:ascii="Arial" w:hAnsi="Arial" w:hint="default"/>
      </w:rPr>
    </w:lvl>
    <w:lvl w:ilvl="1" w:tplc="7C5AF784" w:tentative="1">
      <w:start w:val="1"/>
      <w:numFmt w:val="bullet"/>
      <w:lvlText w:val="•"/>
      <w:lvlJc w:val="left"/>
      <w:pPr>
        <w:tabs>
          <w:tab w:val="num" w:pos="1440"/>
        </w:tabs>
        <w:ind w:left="1440" w:hanging="360"/>
      </w:pPr>
      <w:rPr>
        <w:rFonts w:ascii="Arial" w:hAnsi="Arial" w:hint="default"/>
      </w:rPr>
    </w:lvl>
    <w:lvl w:ilvl="2" w:tplc="35D24240" w:tentative="1">
      <w:start w:val="1"/>
      <w:numFmt w:val="bullet"/>
      <w:lvlText w:val="•"/>
      <w:lvlJc w:val="left"/>
      <w:pPr>
        <w:tabs>
          <w:tab w:val="num" w:pos="2160"/>
        </w:tabs>
        <w:ind w:left="2160" w:hanging="360"/>
      </w:pPr>
      <w:rPr>
        <w:rFonts w:ascii="Arial" w:hAnsi="Arial" w:hint="default"/>
      </w:rPr>
    </w:lvl>
    <w:lvl w:ilvl="3" w:tplc="25A6DAA8" w:tentative="1">
      <w:start w:val="1"/>
      <w:numFmt w:val="bullet"/>
      <w:lvlText w:val="•"/>
      <w:lvlJc w:val="left"/>
      <w:pPr>
        <w:tabs>
          <w:tab w:val="num" w:pos="2880"/>
        </w:tabs>
        <w:ind w:left="2880" w:hanging="360"/>
      </w:pPr>
      <w:rPr>
        <w:rFonts w:ascii="Arial" w:hAnsi="Arial" w:hint="default"/>
      </w:rPr>
    </w:lvl>
    <w:lvl w:ilvl="4" w:tplc="E9A2A8A6" w:tentative="1">
      <w:start w:val="1"/>
      <w:numFmt w:val="bullet"/>
      <w:lvlText w:val="•"/>
      <w:lvlJc w:val="left"/>
      <w:pPr>
        <w:tabs>
          <w:tab w:val="num" w:pos="3600"/>
        </w:tabs>
        <w:ind w:left="3600" w:hanging="360"/>
      </w:pPr>
      <w:rPr>
        <w:rFonts w:ascii="Arial" w:hAnsi="Arial" w:hint="default"/>
      </w:rPr>
    </w:lvl>
    <w:lvl w:ilvl="5" w:tplc="7236F85A" w:tentative="1">
      <w:start w:val="1"/>
      <w:numFmt w:val="bullet"/>
      <w:lvlText w:val="•"/>
      <w:lvlJc w:val="left"/>
      <w:pPr>
        <w:tabs>
          <w:tab w:val="num" w:pos="4320"/>
        </w:tabs>
        <w:ind w:left="4320" w:hanging="360"/>
      </w:pPr>
      <w:rPr>
        <w:rFonts w:ascii="Arial" w:hAnsi="Arial" w:hint="default"/>
      </w:rPr>
    </w:lvl>
    <w:lvl w:ilvl="6" w:tplc="5D18FA96" w:tentative="1">
      <w:start w:val="1"/>
      <w:numFmt w:val="bullet"/>
      <w:lvlText w:val="•"/>
      <w:lvlJc w:val="left"/>
      <w:pPr>
        <w:tabs>
          <w:tab w:val="num" w:pos="5040"/>
        </w:tabs>
        <w:ind w:left="5040" w:hanging="360"/>
      </w:pPr>
      <w:rPr>
        <w:rFonts w:ascii="Arial" w:hAnsi="Arial" w:hint="default"/>
      </w:rPr>
    </w:lvl>
    <w:lvl w:ilvl="7" w:tplc="01684D80" w:tentative="1">
      <w:start w:val="1"/>
      <w:numFmt w:val="bullet"/>
      <w:lvlText w:val="•"/>
      <w:lvlJc w:val="left"/>
      <w:pPr>
        <w:tabs>
          <w:tab w:val="num" w:pos="5760"/>
        </w:tabs>
        <w:ind w:left="5760" w:hanging="360"/>
      </w:pPr>
      <w:rPr>
        <w:rFonts w:ascii="Arial" w:hAnsi="Arial" w:hint="default"/>
      </w:rPr>
    </w:lvl>
    <w:lvl w:ilvl="8" w:tplc="9B9897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467FEA"/>
    <w:multiLevelType w:val="hybridMultilevel"/>
    <w:tmpl w:val="0368EFD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D4F4DB1"/>
    <w:multiLevelType w:val="hybridMultilevel"/>
    <w:tmpl w:val="82E85C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F3635B9"/>
    <w:multiLevelType w:val="hybridMultilevel"/>
    <w:tmpl w:val="31808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8E54D0"/>
    <w:multiLevelType w:val="hybridMultilevel"/>
    <w:tmpl w:val="E0221C08"/>
    <w:lvl w:ilvl="0" w:tplc="1FD812A6">
      <w:start w:val="1"/>
      <w:numFmt w:val="bullet"/>
      <w:lvlText w:val=""/>
      <w:lvlJc w:val="left"/>
      <w:pPr>
        <w:ind w:left="1429" w:hanging="360"/>
      </w:pPr>
      <w:rPr>
        <w:rFonts w:ascii="Wingdings" w:hAnsi="Wingdings" w:hint="default"/>
      </w:rPr>
    </w:lvl>
    <w:lvl w:ilvl="1" w:tplc="D1AAF552" w:tentative="1">
      <w:start w:val="1"/>
      <w:numFmt w:val="bullet"/>
      <w:lvlText w:val="o"/>
      <w:lvlJc w:val="left"/>
      <w:pPr>
        <w:ind w:left="2149" w:hanging="360"/>
      </w:pPr>
      <w:rPr>
        <w:rFonts w:ascii="Courier New" w:hAnsi="Courier New" w:cs="Courier New" w:hint="default"/>
      </w:rPr>
    </w:lvl>
    <w:lvl w:ilvl="2" w:tplc="CB7CCC7E" w:tentative="1">
      <w:start w:val="1"/>
      <w:numFmt w:val="bullet"/>
      <w:lvlText w:val=""/>
      <w:lvlJc w:val="left"/>
      <w:pPr>
        <w:ind w:left="2869" w:hanging="360"/>
      </w:pPr>
      <w:rPr>
        <w:rFonts w:ascii="Wingdings" w:hAnsi="Wingdings" w:hint="default"/>
      </w:rPr>
    </w:lvl>
    <w:lvl w:ilvl="3" w:tplc="72941E6C" w:tentative="1">
      <w:start w:val="1"/>
      <w:numFmt w:val="bullet"/>
      <w:lvlText w:val=""/>
      <w:lvlJc w:val="left"/>
      <w:pPr>
        <w:ind w:left="3589" w:hanging="360"/>
      </w:pPr>
      <w:rPr>
        <w:rFonts w:ascii="Symbol" w:hAnsi="Symbol" w:hint="default"/>
      </w:rPr>
    </w:lvl>
    <w:lvl w:ilvl="4" w:tplc="7864F958" w:tentative="1">
      <w:start w:val="1"/>
      <w:numFmt w:val="bullet"/>
      <w:lvlText w:val="o"/>
      <w:lvlJc w:val="left"/>
      <w:pPr>
        <w:ind w:left="4309" w:hanging="360"/>
      </w:pPr>
      <w:rPr>
        <w:rFonts w:ascii="Courier New" w:hAnsi="Courier New" w:cs="Courier New" w:hint="default"/>
      </w:rPr>
    </w:lvl>
    <w:lvl w:ilvl="5" w:tplc="30CC64E4" w:tentative="1">
      <w:start w:val="1"/>
      <w:numFmt w:val="bullet"/>
      <w:lvlText w:val=""/>
      <w:lvlJc w:val="left"/>
      <w:pPr>
        <w:ind w:left="5029" w:hanging="360"/>
      </w:pPr>
      <w:rPr>
        <w:rFonts w:ascii="Wingdings" w:hAnsi="Wingdings" w:hint="default"/>
      </w:rPr>
    </w:lvl>
    <w:lvl w:ilvl="6" w:tplc="1F508988" w:tentative="1">
      <w:start w:val="1"/>
      <w:numFmt w:val="bullet"/>
      <w:lvlText w:val=""/>
      <w:lvlJc w:val="left"/>
      <w:pPr>
        <w:ind w:left="5749" w:hanging="360"/>
      </w:pPr>
      <w:rPr>
        <w:rFonts w:ascii="Symbol" w:hAnsi="Symbol" w:hint="default"/>
      </w:rPr>
    </w:lvl>
    <w:lvl w:ilvl="7" w:tplc="A3626B6A" w:tentative="1">
      <w:start w:val="1"/>
      <w:numFmt w:val="bullet"/>
      <w:lvlText w:val="o"/>
      <w:lvlJc w:val="left"/>
      <w:pPr>
        <w:ind w:left="6469" w:hanging="360"/>
      </w:pPr>
      <w:rPr>
        <w:rFonts w:ascii="Courier New" w:hAnsi="Courier New" w:cs="Courier New" w:hint="default"/>
      </w:rPr>
    </w:lvl>
    <w:lvl w:ilvl="8" w:tplc="43603D20" w:tentative="1">
      <w:start w:val="1"/>
      <w:numFmt w:val="bullet"/>
      <w:lvlText w:val=""/>
      <w:lvlJc w:val="left"/>
      <w:pPr>
        <w:ind w:left="7189" w:hanging="360"/>
      </w:pPr>
      <w:rPr>
        <w:rFonts w:ascii="Wingdings" w:hAnsi="Wingdings" w:hint="default"/>
      </w:rPr>
    </w:lvl>
  </w:abstractNum>
  <w:abstractNum w:abstractNumId="26" w15:restartNumberingAfterBreak="0">
    <w:nsid w:val="4B9966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00316"/>
    <w:multiLevelType w:val="hybridMultilevel"/>
    <w:tmpl w:val="07082A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54A21CAA"/>
    <w:multiLevelType w:val="hybridMultilevel"/>
    <w:tmpl w:val="C846E06C"/>
    <w:lvl w:ilvl="0" w:tplc="3FD4120E">
      <w:start w:val="1"/>
      <w:numFmt w:val="bullet"/>
      <w:lvlText w:val="•"/>
      <w:lvlJc w:val="left"/>
      <w:pPr>
        <w:tabs>
          <w:tab w:val="num" w:pos="720"/>
        </w:tabs>
        <w:ind w:left="720" w:hanging="360"/>
      </w:pPr>
      <w:rPr>
        <w:rFonts w:ascii="Arial" w:hAnsi="Arial" w:hint="default"/>
      </w:rPr>
    </w:lvl>
    <w:lvl w:ilvl="1" w:tplc="E7B81CF8" w:tentative="1">
      <w:start w:val="1"/>
      <w:numFmt w:val="bullet"/>
      <w:lvlText w:val="•"/>
      <w:lvlJc w:val="left"/>
      <w:pPr>
        <w:tabs>
          <w:tab w:val="num" w:pos="1440"/>
        </w:tabs>
        <w:ind w:left="1440" w:hanging="360"/>
      </w:pPr>
      <w:rPr>
        <w:rFonts w:ascii="Arial" w:hAnsi="Arial" w:hint="default"/>
      </w:rPr>
    </w:lvl>
    <w:lvl w:ilvl="2" w:tplc="DABE575A" w:tentative="1">
      <w:start w:val="1"/>
      <w:numFmt w:val="bullet"/>
      <w:lvlText w:val="•"/>
      <w:lvlJc w:val="left"/>
      <w:pPr>
        <w:tabs>
          <w:tab w:val="num" w:pos="2160"/>
        </w:tabs>
        <w:ind w:left="2160" w:hanging="360"/>
      </w:pPr>
      <w:rPr>
        <w:rFonts w:ascii="Arial" w:hAnsi="Arial" w:hint="default"/>
      </w:rPr>
    </w:lvl>
    <w:lvl w:ilvl="3" w:tplc="77B6E202" w:tentative="1">
      <w:start w:val="1"/>
      <w:numFmt w:val="bullet"/>
      <w:lvlText w:val="•"/>
      <w:lvlJc w:val="left"/>
      <w:pPr>
        <w:tabs>
          <w:tab w:val="num" w:pos="2880"/>
        </w:tabs>
        <w:ind w:left="2880" w:hanging="360"/>
      </w:pPr>
      <w:rPr>
        <w:rFonts w:ascii="Arial" w:hAnsi="Arial" w:hint="default"/>
      </w:rPr>
    </w:lvl>
    <w:lvl w:ilvl="4" w:tplc="F7C27034" w:tentative="1">
      <w:start w:val="1"/>
      <w:numFmt w:val="bullet"/>
      <w:lvlText w:val="•"/>
      <w:lvlJc w:val="left"/>
      <w:pPr>
        <w:tabs>
          <w:tab w:val="num" w:pos="3600"/>
        </w:tabs>
        <w:ind w:left="3600" w:hanging="360"/>
      </w:pPr>
      <w:rPr>
        <w:rFonts w:ascii="Arial" w:hAnsi="Arial" w:hint="default"/>
      </w:rPr>
    </w:lvl>
    <w:lvl w:ilvl="5" w:tplc="DBF4AE8E" w:tentative="1">
      <w:start w:val="1"/>
      <w:numFmt w:val="bullet"/>
      <w:lvlText w:val="•"/>
      <w:lvlJc w:val="left"/>
      <w:pPr>
        <w:tabs>
          <w:tab w:val="num" w:pos="4320"/>
        </w:tabs>
        <w:ind w:left="4320" w:hanging="360"/>
      </w:pPr>
      <w:rPr>
        <w:rFonts w:ascii="Arial" w:hAnsi="Arial" w:hint="default"/>
      </w:rPr>
    </w:lvl>
    <w:lvl w:ilvl="6" w:tplc="2FB6BBF2" w:tentative="1">
      <w:start w:val="1"/>
      <w:numFmt w:val="bullet"/>
      <w:lvlText w:val="•"/>
      <w:lvlJc w:val="left"/>
      <w:pPr>
        <w:tabs>
          <w:tab w:val="num" w:pos="5040"/>
        </w:tabs>
        <w:ind w:left="5040" w:hanging="360"/>
      </w:pPr>
      <w:rPr>
        <w:rFonts w:ascii="Arial" w:hAnsi="Arial" w:hint="default"/>
      </w:rPr>
    </w:lvl>
    <w:lvl w:ilvl="7" w:tplc="D6CAA85A" w:tentative="1">
      <w:start w:val="1"/>
      <w:numFmt w:val="bullet"/>
      <w:lvlText w:val="•"/>
      <w:lvlJc w:val="left"/>
      <w:pPr>
        <w:tabs>
          <w:tab w:val="num" w:pos="5760"/>
        </w:tabs>
        <w:ind w:left="5760" w:hanging="360"/>
      </w:pPr>
      <w:rPr>
        <w:rFonts w:ascii="Arial" w:hAnsi="Arial" w:hint="default"/>
      </w:rPr>
    </w:lvl>
    <w:lvl w:ilvl="8" w:tplc="0080A3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C3692C"/>
    <w:multiLevelType w:val="hybridMultilevel"/>
    <w:tmpl w:val="F1B69D6A"/>
    <w:lvl w:ilvl="0" w:tplc="DB223B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9F4F03"/>
    <w:multiLevelType w:val="hybridMultilevel"/>
    <w:tmpl w:val="F932872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76C0818"/>
    <w:multiLevelType w:val="hybridMultilevel"/>
    <w:tmpl w:val="62DAA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8717E6"/>
    <w:multiLevelType w:val="hybridMultilevel"/>
    <w:tmpl w:val="768C7524"/>
    <w:lvl w:ilvl="0" w:tplc="D38890C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592F1A1A"/>
    <w:multiLevelType w:val="hybridMultilevel"/>
    <w:tmpl w:val="376CAD6A"/>
    <w:lvl w:ilvl="0" w:tplc="988006F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64862C71"/>
    <w:multiLevelType w:val="hybridMultilevel"/>
    <w:tmpl w:val="4976A938"/>
    <w:lvl w:ilvl="0" w:tplc="2D92AB12">
      <w:numFmt w:val="bullet"/>
      <w:lvlText w:val="-"/>
      <w:lvlJc w:val="left"/>
      <w:pPr>
        <w:ind w:left="1211" w:hanging="360"/>
      </w:pPr>
      <w:rPr>
        <w:rFonts w:ascii="Calibri" w:eastAsia="Times New Roman" w:hAnsi="Calibri" w:cs="Calibri"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5" w15:restartNumberingAfterBreak="0">
    <w:nsid w:val="69466768"/>
    <w:multiLevelType w:val="hybridMultilevel"/>
    <w:tmpl w:val="B3C86C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6FD33A3F"/>
    <w:multiLevelType w:val="hybridMultilevel"/>
    <w:tmpl w:val="6E66D2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5EE7BC5"/>
    <w:multiLevelType w:val="hybridMultilevel"/>
    <w:tmpl w:val="0764FFA6"/>
    <w:lvl w:ilvl="0" w:tplc="19729D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C2900C5"/>
    <w:multiLevelType w:val="hybridMultilevel"/>
    <w:tmpl w:val="81B815CE"/>
    <w:lvl w:ilvl="0" w:tplc="BD283F68">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F093D77"/>
    <w:multiLevelType w:val="hybridMultilevel"/>
    <w:tmpl w:val="98AC88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0"/>
  </w:num>
  <w:num w:numId="2">
    <w:abstractNumId w:val="15"/>
  </w:num>
  <w:num w:numId="3">
    <w:abstractNumId w:val="8"/>
  </w:num>
  <w:num w:numId="4">
    <w:abstractNumId w:val="39"/>
  </w:num>
  <w:num w:numId="5">
    <w:abstractNumId w:val="19"/>
  </w:num>
  <w:num w:numId="6">
    <w:abstractNumId w:val="10"/>
  </w:num>
  <w:num w:numId="7">
    <w:abstractNumId w:val="31"/>
  </w:num>
  <w:num w:numId="8">
    <w:abstractNumId w:val="22"/>
  </w:num>
  <w:num w:numId="9">
    <w:abstractNumId w:val="5"/>
  </w:num>
  <w:num w:numId="10">
    <w:abstractNumId w:val="38"/>
  </w:num>
  <w:num w:numId="11">
    <w:abstractNumId w:val="0"/>
  </w:num>
  <w:num w:numId="12">
    <w:abstractNumId w:val="16"/>
  </w:num>
  <w:num w:numId="13">
    <w:abstractNumId w:val="27"/>
  </w:num>
  <w:num w:numId="14">
    <w:abstractNumId w:val="23"/>
  </w:num>
  <w:num w:numId="15">
    <w:abstractNumId w:val="36"/>
  </w:num>
  <w:num w:numId="16">
    <w:abstractNumId w:val="35"/>
  </w:num>
  <w:num w:numId="17">
    <w:abstractNumId w:val="3"/>
  </w:num>
  <w:num w:numId="18">
    <w:abstractNumId w:val="21"/>
  </w:num>
  <w:num w:numId="19">
    <w:abstractNumId w:val="18"/>
  </w:num>
  <w:num w:numId="20">
    <w:abstractNumId w:val="4"/>
  </w:num>
  <w:num w:numId="21">
    <w:abstractNumId w:val="28"/>
  </w:num>
  <w:num w:numId="22">
    <w:abstractNumId w:val="26"/>
  </w:num>
  <w:num w:numId="23">
    <w:abstractNumId w:val="25"/>
  </w:num>
  <w:num w:numId="24">
    <w:abstractNumId w:val="2"/>
  </w:num>
  <w:num w:numId="25">
    <w:abstractNumId w:val="6"/>
  </w:num>
  <w:num w:numId="26">
    <w:abstractNumId w:val="34"/>
  </w:num>
  <w:num w:numId="27">
    <w:abstractNumId w:val="7"/>
  </w:num>
  <w:num w:numId="28">
    <w:abstractNumId w:val="24"/>
  </w:num>
  <w:num w:numId="29">
    <w:abstractNumId w:val="14"/>
  </w:num>
  <w:num w:numId="30">
    <w:abstractNumId w:val="12"/>
  </w:num>
  <w:num w:numId="31">
    <w:abstractNumId w:val="20"/>
  </w:num>
  <w:num w:numId="32">
    <w:abstractNumId w:val="11"/>
  </w:num>
  <w:num w:numId="33">
    <w:abstractNumId w:val="13"/>
  </w:num>
  <w:num w:numId="34">
    <w:abstractNumId w:val="29"/>
  </w:num>
  <w:num w:numId="35">
    <w:abstractNumId w:val="9"/>
  </w:num>
  <w:num w:numId="36">
    <w:abstractNumId w:val="37"/>
  </w:num>
  <w:num w:numId="37">
    <w:abstractNumId w:val="1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33"/>
    <w:rsid w:val="00003285"/>
    <w:rsid w:val="00026F24"/>
    <w:rsid w:val="00026FFE"/>
    <w:rsid w:val="000302CC"/>
    <w:rsid w:val="00033268"/>
    <w:rsid w:val="000336C2"/>
    <w:rsid w:val="000343F9"/>
    <w:rsid w:val="00035BE9"/>
    <w:rsid w:val="00040B0C"/>
    <w:rsid w:val="00044B3A"/>
    <w:rsid w:val="00044C36"/>
    <w:rsid w:val="0004757F"/>
    <w:rsid w:val="00050029"/>
    <w:rsid w:val="00050242"/>
    <w:rsid w:val="0005572E"/>
    <w:rsid w:val="00057757"/>
    <w:rsid w:val="0006140C"/>
    <w:rsid w:val="000618EB"/>
    <w:rsid w:val="000625D8"/>
    <w:rsid w:val="00063645"/>
    <w:rsid w:val="0006622C"/>
    <w:rsid w:val="0006736A"/>
    <w:rsid w:val="00067449"/>
    <w:rsid w:val="000678E3"/>
    <w:rsid w:val="00070067"/>
    <w:rsid w:val="00074AFA"/>
    <w:rsid w:val="00082CCC"/>
    <w:rsid w:val="000860A0"/>
    <w:rsid w:val="0009606C"/>
    <w:rsid w:val="0009624E"/>
    <w:rsid w:val="0009703B"/>
    <w:rsid w:val="000979C2"/>
    <w:rsid w:val="000A12DC"/>
    <w:rsid w:val="000A312B"/>
    <w:rsid w:val="000A7AA6"/>
    <w:rsid w:val="000B648E"/>
    <w:rsid w:val="000C21A6"/>
    <w:rsid w:val="000C3FE1"/>
    <w:rsid w:val="000C478F"/>
    <w:rsid w:val="000D5144"/>
    <w:rsid w:val="000D5FBE"/>
    <w:rsid w:val="000D7F93"/>
    <w:rsid w:val="000E0A23"/>
    <w:rsid w:val="000E1535"/>
    <w:rsid w:val="000E2C64"/>
    <w:rsid w:val="000E4A3C"/>
    <w:rsid w:val="000E5E14"/>
    <w:rsid w:val="000E7C71"/>
    <w:rsid w:val="000F39F1"/>
    <w:rsid w:val="000F4BD7"/>
    <w:rsid w:val="000F72F0"/>
    <w:rsid w:val="00102B0B"/>
    <w:rsid w:val="00102E9E"/>
    <w:rsid w:val="00111AA5"/>
    <w:rsid w:val="001171E7"/>
    <w:rsid w:val="00120AD6"/>
    <w:rsid w:val="001223B3"/>
    <w:rsid w:val="0012454B"/>
    <w:rsid w:val="00130AEA"/>
    <w:rsid w:val="00135F1C"/>
    <w:rsid w:val="00146177"/>
    <w:rsid w:val="00152B2B"/>
    <w:rsid w:val="00153AB4"/>
    <w:rsid w:val="00155773"/>
    <w:rsid w:val="00157585"/>
    <w:rsid w:val="00167B5A"/>
    <w:rsid w:val="00170457"/>
    <w:rsid w:val="0017569A"/>
    <w:rsid w:val="00176ECE"/>
    <w:rsid w:val="00177E82"/>
    <w:rsid w:val="001809EA"/>
    <w:rsid w:val="001839D7"/>
    <w:rsid w:val="0018419A"/>
    <w:rsid w:val="00185A06"/>
    <w:rsid w:val="001867C1"/>
    <w:rsid w:val="00191466"/>
    <w:rsid w:val="001932C7"/>
    <w:rsid w:val="00193D45"/>
    <w:rsid w:val="00196ECC"/>
    <w:rsid w:val="001A167F"/>
    <w:rsid w:val="001A1926"/>
    <w:rsid w:val="001A5486"/>
    <w:rsid w:val="001B00FF"/>
    <w:rsid w:val="001C2298"/>
    <w:rsid w:val="001C5DB0"/>
    <w:rsid w:val="001C7D2E"/>
    <w:rsid w:val="001D1CB9"/>
    <w:rsid w:val="001D26DE"/>
    <w:rsid w:val="001D3FAB"/>
    <w:rsid w:val="001E2EFF"/>
    <w:rsid w:val="001F1373"/>
    <w:rsid w:val="001F3696"/>
    <w:rsid w:val="001F4215"/>
    <w:rsid w:val="001F5A6E"/>
    <w:rsid w:val="00200AEF"/>
    <w:rsid w:val="00205989"/>
    <w:rsid w:val="00206066"/>
    <w:rsid w:val="00206959"/>
    <w:rsid w:val="0021043A"/>
    <w:rsid w:val="0021076C"/>
    <w:rsid w:val="002109B2"/>
    <w:rsid w:val="00211360"/>
    <w:rsid w:val="002130FC"/>
    <w:rsid w:val="00217447"/>
    <w:rsid w:val="0022058D"/>
    <w:rsid w:val="002249AF"/>
    <w:rsid w:val="00225FC0"/>
    <w:rsid w:val="00230762"/>
    <w:rsid w:val="00230BA5"/>
    <w:rsid w:val="00231B1A"/>
    <w:rsid w:val="00233F43"/>
    <w:rsid w:val="002357EE"/>
    <w:rsid w:val="00242E33"/>
    <w:rsid w:val="002447EB"/>
    <w:rsid w:val="00244CC2"/>
    <w:rsid w:val="00246D0A"/>
    <w:rsid w:val="00252C5B"/>
    <w:rsid w:val="00253681"/>
    <w:rsid w:val="00254EC5"/>
    <w:rsid w:val="0026030D"/>
    <w:rsid w:val="002624F6"/>
    <w:rsid w:val="00263F7C"/>
    <w:rsid w:val="00264310"/>
    <w:rsid w:val="002679D2"/>
    <w:rsid w:val="00270909"/>
    <w:rsid w:val="002749A6"/>
    <w:rsid w:val="00281CE1"/>
    <w:rsid w:val="002822A5"/>
    <w:rsid w:val="00286568"/>
    <w:rsid w:val="00291A1E"/>
    <w:rsid w:val="00295F2F"/>
    <w:rsid w:val="002A10F9"/>
    <w:rsid w:val="002A2B4A"/>
    <w:rsid w:val="002A3852"/>
    <w:rsid w:val="002B049D"/>
    <w:rsid w:val="002B4703"/>
    <w:rsid w:val="002B6A19"/>
    <w:rsid w:val="002B6E84"/>
    <w:rsid w:val="002C0B0F"/>
    <w:rsid w:val="002C456B"/>
    <w:rsid w:val="002C5439"/>
    <w:rsid w:val="002E33CC"/>
    <w:rsid w:val="002F1050"/>
    <w:rsid w:val="002F3089"/>
    <w:rsid w:val="002F3B1D"/>
    <w:rsid w:val="002F4F01"/>
    <w:rsid w:val="00302CA4"/>
    <w:rsid w:val="00302F26"/>
    <w:rsid w:val="003066E3"/>
    <w:rsid w:val="00307E24"/>
    <w:rsid w:val="00313B5B"/>
    <w:rsid w:val="00314E2D"/>
    <w:rsid w:val="00315E07"/>
    <w:rsid w:val="00317B86"/>
    <w:rsid w:val="003201E1"/>
    <w:rsid w:val="003271A5"/>
    <w:rsid w:val="003333A6"/>
    <w:rsid w:val="00334758"/>
    <w:rsid w:val="0034207D"/>
    <w:rsid w:val="00344DA2"/>
    <w:rsid w:val="00345246"/>
    <w:rsid w:val="003471DA"/>
    <w:rsid w:val="003504BD"/>
    <w:rsid w:val="003516AB"/>
    <w:rsid w:val="00352728"/>
    <w:rsid w:val="0035677F"/>
    <w:rsid w:val="003575DA"/>
    <w:rsid w:val="00357B17"/>
    <w:rsid w:val="0036123E"/>
    <w:rsid w:val="00361AC6"/>
    <w:rsid w:val="0036732F"/>
    <w:rsid w:val="0037248C"/>
    <w:rsid w:val="00374C16"/>
    <w:rsid w:val="0038180B"/>
    <w:rsid w:val="00382658"/>
    <w:rsid w:val="003832DB"/>
    <w:rsid w:val="003912EA"/>
    <w:rsid w:val="00395C15"/>
    <w:rsid w:val="003A3A8D"/>
    <w:rsid w:val="003A3C7F"/>
    <w:rsid w:val="003A5386"/>
    <w:rsid w:val="003A638C"/>
    <w:rsid w:val="003B12C3"/>
    <w:rsid w:val="003B4E5B"/>
    <w:rsid w:val="003B53BE"/>
    <w:rsid w:val="003B62A2"/>
    <w:rsid w:val="003C2FFA"/>
    <w:rsid w:val="003C37B3"/>
    <w:rsid w:val="003C4E05"/>
    <w:rsid w:val="003D1BEE"/>
    <w:rsid w:val="003D7E2D"/>
    <w:rsid w:val="003E0116"/>
    <w:rsid w:val="003E1C7E"/>
    <w:rsid w:val="003F32B6"/>
    <w:rsid w:val="003F7054"/>
    <w:rsid w:val="003F71A1"/>
    <w:rsid w:val="0041182C"/>
    <w:rsid w:val="00413196"/>
    <w:rsid w:val="0041746F"/>
    <w:rsid w:val="00422633"/>
    <w:rsid w:val="004228E1"/>
    <w:rsid w:val="00423668"/>
    <w:rsid w:val="00426982"/>
    <w:rsid w:val="0042739D"/>
    <w:rsid w:val="00433779"/>
    <w:rsid w:val="0043516F"/>
    <w:rsid w:val="00435439"/>
    <w:rsid w:val="0044032B"/>
    <w:rsid w:val="0044277C"/>
    <w:rsid w:val="00446073"/>
    <w:rsid w:val="00460838"/>
    <w:rsid w:val="004625BB"/>
    <w:rsid w:val="00474311"/>
    <w:rsid w:val="00474F26"/>
    <w:rsid w:val="00481B0B"/>
    <w:rsid w:val="00482AB9"/>
    <w:rsid w:val="00487F04"/>
    <w:rsid w:val="00494188"/>
    <w:rsid w:val="004942A0"/>
    <w:rsid w:val="004969FF"/>
    <w:rsid w:val="004A0F24"/>
    <w:rsid w:val="004A3529"/>
    <w:rsid w:val="004B0B0A"/>
    <w:rsid w:val="004B322D"/>
    <w:rsid w:val="004B57FA"/>
    <w:rsid w:val="004B61CC"/>
    <w:rsid w:val="004D6DCA"/>
    <w:rsid w:val="004D708A"/>
    <w:rsid w:val="004D7E42"/>
    <w:rsid w:val="004E0D9E"/>
    <w:rsid w:val="004E3E89"/>
    <w:rsid w:val="004F0056"/>
    <w:rsid w:val="004F338E"/>
    <w:rsid w:val="004F6CA1"/>
    <w:rsid w:val="0050122B"/>
    <w:rsid w:val="005030CD"/>
    <w:rsid w:val="005111DF"/>
    <w:rsid w:val="0051510B"/>
    <w:rsid w:val="005179FF"/>
    <w:rsid w:val="00522C63"/>
    <w:rsid w:val="00526BC3"/>
    <w:rsid w:val="00535517"/>
    <w:rsid w:val="005435A5"/>
    <w:rsid w:val="00543BEE"/>
    <w:rsid w:val="00545DDD"/>
    <w:rsid w:val="00546DB2"/>
    <w:rsid w:val="00547259"/>
    <w:rsid w:val="00550642"/>
    <w:rsid w:val="00555A91"/>
    <w:rsid w:val="005567D5"/>
    <w:rsid w:val="0056037C"/>
    <w:rsid w:val="005644CD"/>
    <w:rsid w:val="00567468"/>
    <w:rsid w:val="00572588"/>
    <w:rsid w:val="00575394"/>
    <w:rsid w:val="00575F65"/>
    <w:rsid w:val="00580D67"/>
    <w:rsid w:val="00581255"/>
    <w:rsid w:val="00581686"/>
    <w:rsid w:val="00592848"/>
    <w:rsid w:val="005950FF"/>
    <w:rsid w:val="00595733"/>
    <w:rsid w:val="005A1465"/>
    <w:rsid w:val="005A1634"/>
    <w:rsid w:val="005A3045"/>
    <w:rsid w:val="005A32BC"/>
    <w:rsid w:val="005A3DE1"/>
    <w:rsid w:val="005A4042"/>
    <w:rsid w:val="005A5455"/>
    <w:rsid w:val="005A7843"/>
    <w:rsid w:val="005A7872"/>
    <w:rsid w:val="005B1570"/>
    <w:rsid w:val="005B308E"/>
    <w:rsid w:val="005B68D9"/>
    <w:rsid w:val="005C16B3"/>
    <w:rsid w:val="005C38E7"/>
    <w:rsid w:val="005C69E3"/>
    <w:rsid w:val="005D64A3"/>
    <w:rsid w:val="005F4896"/>
    <w:rsid w:val="005F7326"/>
    <w:rsid w:val="00601FFF"/>
    <w:rsid w:val="00612336"/>
    <w:rsid w:val="00612AA9"/>
    <w:rsid w:val="00613550"/>
    <w:rsid w:val="00617971"/>
    <w:rsid w:val="00620CD3"/>
    <w:rsid w:val="00624EFC"/>
    <w:rsid w:val="00625BC7"/>
    <w:rsid w:val="006310D0"/>
    <w:rsid w:val="006339D0"/>
    <w:rsid w:val="006346D3"/>
    <w:rsid w:val="00641B9A"/>
    <w:rsid w:val="00642182"/>
    <w:rsid w:val="00642A52"/>
    <w:rsid w:val="0064332E"/>
    <w:rsid w:val="00643932"/>
    <w:rsid w:val="00646525"/>
    <w:rsid w:val="0064697F"/>
    <w:rsid w:val="00653451"/>
    <w:rsid w:val="00654026"/>
    <w:rsid w:val="00654BA0"/>
    <w:rsid w:val="0065796B"/>
    <w:rsid w:val="00660335"/>
    <w:rsid w:val="00661203"/>
    <w:rsid w:val="00662F9C"/>
    <w:rsid w:val="006671EC"/>
    <w:rsid w:val="00670AB4"/>
    <w:rsid w:val="00673807"/>
    <w:rsid w:val="0068225B"/>
    <w:rsid w:val="00684F0F"/>
    <w:rsid w:val="006906E2"/>
    <w:rsid w:val="00692667"/>
    <w:rsid w:val="00693113"/>
    <w:rsid w:val="00696AC4"/>
    <w:rsid w:val="006A2B25"/>
    <w:rsid w:val="006A302A"/>
    <w:rsid w:val="006A5261"/>
    <w:rsid w:val="006A7EBE"/>
    <w:rsid w:val="006B2EB3"/>
    <w:rsid w:val="006B3C63"/>
    <w:rsid w:val="006B5401"/>
    <w:rsid w:val="006B61A3"/>
    <w:rsid w:val="006C1B06"/>
    <w:rsid w:val="006C4962"/>
    <w:rsid w:val="006C6818"/>
    <w:rsid w:val="006D0F8D"/>
    <w:rsid w:val="006D17F9"/>
    <w:rsid w:val="006D2724"/>
    <w:rsid w:val="006D6D84"/>
    <w:rsid w:val="006F2A3D"/>
    <w:rsid w:val="006F503E"/>
    <w:rsid w:val="00701A2C"/>
    <w:rsid w:val="00704BAB"/>
    <w:rsid w:val="007050A0"/>
    <w:rsid w:val="00706C52"/>
    <w:rsid w:val="00707B16"/>
    <w:rsid w:val="00711FF4"/>
    <w:rsid w:val="0071410F"/>
    <w:rsid w:val="0072058A"/>
    <w:rsid w:val="00722B8E"/>
    <w:rsid w:val="00731DE6"/>
    <w:rsid w:val="00732116"/>
    <w:rsid w:val="00733538"/>
    <w:rsid w:val="0073451A"/>
    <w:rsid w:val="007348DA"/>
    <w:rsid w:val="007407FF"/>
    <w:rsid w:val="007446EB"/>
    <w:rsid w:val="00747255"/>
    <w:rsid w:val="00756C13"/>
    <w:rsid w:val="0075753B"/>
    <w:rsid w:val="00762F3D"/>
    <w:rsid w:val="0076357D"/>
    <w:rsid w:val="00766995"/>
    <w:rsid w:val="00767747"/>
    <w:rsid w:val="00772ADC"/>
    <w:rsid w:val="00773488"/>
    <w:rsid w:val="00780F70"/>
    <w:rsid w:val="0078371C"/>
    <w:rsid w:val="007911A0"/>
    <w:rsid w:val="007A535A"/>
    <w:rsid w:val="007B0FB3"/>
    <w:rsid w:val="007B3C65"/>
    <w:rsid w:val="007B43D7"/>
    <w:rsid w:val="007B533D"/>
    <w:rsid w:val="007B61D2"/>
    <w:rsid w:val="007B6458"/>
    <w:rsid w:val="007C0F22"/>
    <w:rsid w:val="007C49BF"/>
    <w:rsid w:val="007C6B13"/>
    <w:rsid w:val="007D05CE"/>
    <w:rsid w:val="007D0B49"/>
    <w:rsid w:val="007D7FEC"/>
    <w:rsid w:val="007F30A5"/>
    <w:rsid w:val="007F7725"/>
    <w:rsid w:val="0080065A"/>
    <w:rsid w:val="00801873"/>
    <w:rsid w:val="00805BFE"/>
    <w:rsid w:val="008062D2"/>
    <w:rsid w:val="00813E85"/>
    <w:rsid w:val="0082213D"/>
    <w:rsid w:val="00830E2D"/>
    <w:rsid w:val="00830E7A"/>
    <w:rsid w:val="00833E65"/>
    <w:rsid w:val="0083450D"/>
    <w:rsid w:val="00853EBD"/>
    <w:rsid w:val="00856D23"/>
    <w:rsid w:val="0086068D"/>
    <w:rsid w:val="00860A7E"/>
    <w:rsid w:val="00864B10"/>
    <w:rsid w:val="0086565B"/>
    <w:rsid w:val="00867138"/>
    <w:rsid w:val="008713A7"/>
    <w:rsid w:val="008808DE"/>
    <w:rsid w:val="0088393F"/>
    <w:rsid w:val="00883CD3"/>
    <w:rsid w:val="00886603"/>
    <w:rsid w:val="008A0284"/>
    <w:rsid w:val="008A4C5F"/>
    <w:rsid w:val="008A510E"/>
    <w:rsid w:val="008A54B1"/>
    <w:rsid w:val="008B05DA"/>
    <w:rsid w:val="008B2642"/>
    <w:rsid w:val="008C1ED9"/>
    <w:rsid w:val="008C3165"/>
    <w:rsid w:val="008C34D7"/>
    <w:rsid w:val="008C5C88"/>
    <w:rsid w:val="008D486E"/>
    <w:rsid w:val="008E0D9B"/>
    <w:rsid w:val="008E14E2"/>
    <w:rsid w:val="008E2826"/>
    <w:rsid w:val="008E2C13"/>
    <w:rsid w:val="008E2EF9"/>
    <w:rsid w:val="008E38F4"/>
    <w:rsid w:val="008E7ABA"/>
    <w:rsid w:val="008F577C"/>
    <w:rsid w:val="008F5979"/>
    <w:rsid w:val="00900530"/>
    <w:rsid w:val="0090490B"/>
    <w:rsid w:val="00910C7E"/>
    <w:rsid w:val="009133FA"/>
    <w:rsid w:val="00913611"/>
    <w:rsid w:val="00920AFA"/>
    <w:rsid w:val="00921C03"/>
    <w:rsid w:val="00922C1A"/>
    <w:rsid w:val="009238C4"/>
    <w:rsid w:val="00924B0A"/>
    <w:rsid w:val="0093086C"/>
    <w:rsid w:val="009417B0"/>
    <w:rsid w:val="00947F0C"/>
    <w:rsid w:val="0095450D"/>
    <w:rsid w:val="00955A84"/>
    <w:rsid w:val="009567E4"/>
    <w:rsid w:val="00960D5F"/>
    <w:rsid w:val="00965AAA"/>
    <w:rsid w:val="00967A12"/>
    <w:rsid w:val="009735E9"/>
    <w:rsid w:val="009876C0"/>
    <w:rsid w:val="00990A77"/>
    <w:rsid w:val="00990F60"/>
    <w:rsid w:val="0099231F"/>
    <w:rsid w:val="00992F96"/>
    <w:rsid w:val="00993F79"/>
    <w:rsid w:val="00997616"/>
    <w:rsid w:val="00997C5B"/>
    <w:rsid w:val="009A32F4"/>
    <w:rsid w:val="009A765F"/>
    <w:rsid w:val="009B21A5"/>
    <w:rsid w:val="009B304F"/>
    <w:rsid w:val="009B68A0"/>
    <w:rsid w:val="009C2904"/>
    <w:rsid w:val="009C3482"/>
    <w:rsid w:val="009C3F67"/>
    <w:rsid w:val="009C443E"/>
    <w:rsid w:val="009C6F4B"/>
    <w:rsid w:val="009D1253"/>
    <w:rsid w:val="009D2F10"/>
    <w:rsid w:val="009D45AB"/>
    <w:rsid w:val="009D6677"/>
    <w:rsid w:val="009E2C34"/>
    <w:rsid w:val="009F2AFF"/>
    <w:rsid w:val="00A016BF"/>
    <w:rsid w:val="00A066FE"/>
    <w:rsid w:val="00A07C83"/>
    <w:rsid w:val="00A1251E"/>
    <w:rsid w:val="00A176D9"/>
    <w:rsid w:val="00A2268A"/>
    <w:rsid w:val="00A24833"/>
    <w:rsid w:val="00A25133"/>
    <w:rsid w:val="00A319F1"/>
    <w:rsid w:val="00A34A4F"/>
    <w:rsid w:val="00A40EC1"/>
    <w:rsid w:val="00A41CEF"/>
    <w:rsid w:val="00A449F9"/>
    <w:rsid w:val="00A45BEE"/>
    <w:rsid w:val="00A55606"/>
    <w:rsid w:val="00A55F54"/>
    <w:rsid w:val="00A65FD5"/>
    <w:rsid w:val="00A73422"/>
    <w:rsid w:val="00A73572"/>
    <w:rsid w:val="00A74727"/>
    <w:rsid w:val="00A776FA"/>
    <w:rsid w:val="00A77E5D"/>
    <w:rsid w:val="00A814A7"/>
    <w:rsid w:val="00A81FD4"/>
    <w:rsid w:val="00A85780"/>
    <w:rsid w:val="00A86194"/>
    <w:rsid w:val="00A86D64"/>
    <w:rsid w:val="00A919A8"/>
    <w:rsid w:val="00A923F3"/>
    <w:rsid w:val="00AA4ABB"/>
    <w:rsid w:val="00AA4FF9"/>
    <w:rsid w:val="00AB1BB8"/>
    <w:rsid w:val="00AB21F0"/>
    <w:rsid w:val="00AB36C4"/>
    <w:rsid w:val="00AB3BF9"/>
    <w:rsid w:val="00AB5773"/>
    <w:rsid w:val="00AB6C7B"/>
    <w:rsid w:val="00AC0856"/>
    <w:rsid w:val="00AC600C"/>
    <w:rsid w:val="00AD3E15"/>
    <w:rsid w:val="00AE0AA1"/>
    <w:rsid w:val="00AE263C"/>
    <w:rsid w:val="00AF1437"/>
    <w:rsid w:val="00AF3AF8"/>
    <w:rsid w:val="00AF492E"/>
    <w:rsid w:val="00AF51E2"/>
    <w:rsid w:val="00B0102B"/>
    <w:rsid w:val="00B12F42"/>
    <w:rsid w:val="00B220FC"/>
    <w:rsid w:val="00B23607"/>
    <w:rsid w:val="00B23F4B"/>
    <w:rsid w:val="00B254D1"/>
    <w:rsid w:val="00B25A25"/>
    <w:rsid w:val="00B270BC"/>
    <w:rsid w:val="00B302E3"/>
    <w:rsid w:val="00B3205E"/>
    <w:rsid w:val="00B34E19"/>
    <w:rsid w:val="00B355C1"/>
    <w:rsid w:val="00B359D3"/>
    <w:rsid w:val="00B37C59"/>
    <w:rsid w:val="00B4315D"/>
    <w:rsid w:val="00B46B05"/>
    <w:rsid w:val="00B46B2A"/>
    <w:rsid w:val="00B5022A"/>
    <w:rsid w:val="00B53025"/>
    <w:rsid w:val="00B565BB"/>
    <w:rsid w:val="00B56B6B"/>
    <w:rsid w:val="00B6101A"/>
    <w:rsid w:val="00B6194A"/>
    <w:rsid w:val="00B63E55"/>
    <w:rsid w:val="00B676C6"/>
    <w:rsid w:val="00B73790"/>
    <w:rsid w:val="00B755AB"/>
    <w:rsid w:val="00B772A6"/>
    <w:rsid w:val="00B77F22"/>
    <w:rsid w:val="00B852AE"/>
    <w:rsid w:val="00B853FA"/>
    <w:rsid w:val="00B87A1F"/>
    <w:rsid w:val="00B951F8"/>
    <w:rsid w:val="00BA214E"/>
    <w:rsid w:val="00BA42D3"/>
    <w:rsid w:val="00BB090C"/>
    <w:rsid w:val="00BB47B6"/>
    <w:rsid w:val="00BC450D"/>
    <w:rsid w:val="00BC4F69"/>
    <w:rsid w:val="00BD62A9"/>
    <w:rsid w:val="00BD79A2"/>
    <w:rsid w:val="00BE213A"/>
    <w:rsid w:val="00BE3BA3"/>
    <w:rsid w:val="00BE423A"/>
    <w:rsid w:val="00BE432D"/>
    <w:rsid w:val="00BE5A93"/>
    <w:rsid w:val="00BF02F1"/>
    <w:rsid w:val="00BF2504"/>
    <w:rsid w:val="00BF383C"/>
    <w:rsid w:val="00C0007A"/>
    <w:rsid w:val="00C0065C"/>
    <w:rsid w:val="00C0366B"/>
    <w:rsid w:val="00C13F78"/>
    <w:rsid w:val="00C15166"/>
    <w:rsid w:val="00C15B2D"/>
    <w:rsid w:val="00C173CC"/>
    <w:rsid w:val="00C17F52"/>
    <w:rsid w:val="00C21125"/>
    <w:rsid w:val="00C21280"/>
    <w:rsid w:val="00C23035"/>
    <w:rsid w:val="00C3182F"/>
    <w:rsid w:val="00C31955"/>
    <w:rsid w:val="00C37FD4"/>
    <w:rsid w:val="00C43F4A"/>
    <w:rsid w:val="00C52D1F"/>
    <w:rsid w:val="00C563CA"/>
    <w:rsid w:val="00C61166"/>
    <w:rsid w:val="00C61DF8"/>
    <w:rsid w:val="00C6231E"/>
    <w:rsid w:val="00C62585"/>
    <w:rsid w:val="00C726B5"/>
    <w:rsid w:val="00C82F5A"/>
    <w:rsid w:val="00C83909"/>
    <w:rsid w:val="00C83FB2"/>
    <w:rsid w:val="00C86886"/>
    <w:rsid w:val="00C92D87"/>
    <w:rsid w:val="00C960AF"/>
    <w:rsid w:val="00CB1E35"/>
    <w:rsid w:val="00CB57BB"/>
    <w:rsid w:val="00CB5818"/>
    <w:rsid w:val="00CB5D14"/>
    <w:rsid w:val="00CC04E1"/>
    <w:rsid w:val="00CC304B"/>
    <w:rsid w:val="00CC5DD2"/>
    <w:rsid w:val="00CD03DC"/>
    <w:rsid w:val="00CD1266"/>
    <w:rsid w:val="00CD1B9D"/>
    <w:rsid w:val="00CD3E76"/>
    <w:rsid w:val="00CD5A2D"/>
    <w:rsid w:val="00CE3681"/>
    <w:rsid w:val="00CE524D"/>
    <w:rsid w:val="00CE7EFD"/>
    <w:rsid w:val="00CF2BEF"/>
    <w:rsid w:val="00CF5015"/>
    <w:rsid w:val="00CF5604"/>
    <w:rsid w:val="00CF5EDB"/>
    <w:rsid w:val="00D04F77"/>
    <w:rsid w:val="00D110FF"/>
    <w:rsid w:val="00D157F9"/>
    <w:rsid w:val="00D20DC0"/>
    <w:rsid w:val="00D20E1A"/>
    <w:rsid w:val="00D2729A"/>
    <w:rsid w:val="00D40F70"/>
    <w:rsid w:val="00D43059"/>
    <w:rsid w:val="00D47070"/>
    <w:rsid w:val="00D47725"/>
    <w:rsid w:val="00D50601"/>
    <w:rsid w:val="00D50CBA"/>
    <w:rsid w:val="00D53386"/>
    <w:rsid w:val="00D539F7"/>
    <w:rsid w:val="00D616CC"/>
    <w:rsid w:val="00D61DF6"/>
    <w:rsid w:val="00D67163"/>
    <w:rsid w:val="00D71233"/>
    <w:rsid w:val="00D7746F"/>
    <w:rsid w:val="00D82C47"/>
    <w:rsid w:val="00D847CA"/>
    <w:rsid w:val="00D85FE5"/>
    <w:rsid w:val="00D86EF2"/>
    <w:rsid w:val="00D900F3"/>
    <w:rsid w:val="00D9544D"/>
    <w:rsid w:val="00DA286E"/>
    <w:rsid w:val="00DA684D"/>
    <w:rsid w:val="00DB33FE"/>
    <w:rsid w:val="00DB635F"/>
    <w:rsid w:val="00DC0FB0"/>
    <w:rsid w:val="00DC15DD"/>
    <w:rsid w:val="00DC42F7"/>
    <w:rsid w:val="00DC6776"/>
    <w:rsid w:val="00DC780B"/>
    <w:rsid w:val="00DD11A0"/>
    <w:rsid w:val="00DD1733"/>
    <w:rsid w:val="00DD26A4"/>
    <w:rsid w:val="00DD31AC"/>
    <w:rsid w:val="00DD38B5"/>
    <w:rsid w:val="00DE3009"/>
    <w:rsid w:val="00DE5341"/>
    <w:rsid w:val="00DF2369"/>
    <w:rsid w:val="00DF3C2C"/>
    <w:rsid w:val="00DF6E68"/>
    <w:rsid w:val="00E03D17"/>
    <w:rsid w:val="00E06962"/>
    <w:rsid w:val="00E1025C"/>
    <w:rsid w:val="00E10832"/>
    <w:rsid w:val="00E137C5"/>
    <w:rsid w:val="00E17F9D"/>
    <w:rsid w:val="00E22815"/>
    <w:rsid w:val="00E30F88"/>
    <w:rsid w:val="00E317D8"/>
    <w:rsid w:val="00E36013"/>
    <w:rsid w:val="00E43D07"/>
    <w:rsid w:val="00E46AF8"/>
    <w:rsid w:val="00E47961"/>
    <w:rsid w:val="00E47E28"/>
    <w:rsid w:val="00E536CB"/>
    <w:rsid w:val="00E54E87"/>
    <w:rsid w:val="00E57421"/>
    <w:rsid w:val="00E61C15"/>
    <w:rsid w:val="00E62CA7"/>
    <w:rsid w:val="00E645C8"/>
    <w:rsid w:val="00E72E6F"/>
    <w:rsid w:val="00E74853"/>
    <w:rsid w:val="00E8117E"/>
    <w:rsid w:val="00E82F34"/>
    <w:rsid w:val="00E872AD"/>
    <w:rsid w:val="00EA47D6"/>
    <w:rsid w:val="00EA4A4A"/>
    <w:rsid w:val="00EB3E63"/>
    <w:rsid w:val="00EB3F70"/>
    <w:rsid w:val="00EB5B70"/>
    <w:rsid w:val="00EC00E3"/>
    <w:rsid w:val="00EC2869"/>
    <w:rsid w:val="00ED23F2"/>
    <w:rsid w:val="00EE17EE"/>
    <w:rsid w:val="00EE21F2"/>
    <w:rsid w:val="00EE391C"/>
    <w:rsid w:val="00EE4481"/>
    <w:rsid w:val="00EE53CA"/>
    <w:rsid w:val="00EE5A77"/>
    <w:rsid w:val="00EF1B77"/>
    <w:rsid w:val="00EF4587"/>
    <w:rsid w:val="00EF6050"/>
    <w:rsid w:val="00F05989"/>
    <w:rsid w:val="00F06368"/>
    <w:rsid w:val="00F071ED"/>
    <w:rsid w:val="00F1158B"/>
    <w:rsid w:val="00F24140"/>
    <w:rsid w:val="00F258AF"/>
    <w:rsid w:val="00F2607C"/>
    <w:rsid w:val="00F263CA"/>
    <w:rsid w:val="00F3038F"/>
    <w:rsid w:val="00F3232B"/>
    <w:rsid w:val="00F32CB9"/>
    <w:rsid w:val="00F331FB"/>
    <w:rsid w:val="00F34FE9"/>
    <w:rsid w:val="00F353DB"/>
    <w:rsid w:val="00F371F7"/>
    <w:rsid w:val="00F4182A"/>
    <w:rsid w:val="00F42972"/>
    <w:rsid w:val="00F4338B"/>
    <w:rsid w:val="00F4460D"/>
    <w:rsid w:val="00F45E48"/>
    <w:rsid w:val="00F46E24"/>
    <w:rsid w:val="00F471EF"/>
    <w:rsid w:val="00F47244"/>
    <w:rsid w:val="00F551B7"/>
    <w:rsid w:val="00F55CFE"/>
    <w:rsid w:val="00F57A28"/>
    <w:rsid w:val="00F57D83"/>
    <w:rsid w:val="00F714DC"/>
    <w:rsid w:val="00F74754"/>
    <w:rsid w:val="00F75EA7"/>
    <w:rsid w:val="00F76408"/>
    <w:rsid w:val="00F80829"/>
    <w:rsid w:val="00F808BD"/>
    <w:rsid w:val="00F855F6"/>
    <w:rsid w:val="00F91DE9"/>
    <w:rsid w:val="00F97192"/>
    <w:rsid w:val="00FA2185"/>
    <w:rsid w:val="00FA37D4"/>
    <w:rsid w:val="00FA51C5"/>
    <w:rsid w:val="00FB331B"/>
    <w:rsid w:val="00FB39CB"/>
    <w:rsid w:val="00FB4227"/>
    <w:rsid w:val="00FB7DD4"/>
    <w:rsid w:val="00FC1B28"/>
    <w:rsid w:val="00FC3A33"/>
    <w:rsid w:val="00FC45DD"/>
    <w:rsid w:val="00FD360B"/>
    <w:rsid w:val="00FD7EFD"/>
    <w:rsid w:val="00FE1197"/>
    <w:rsid w:val="00FE1FBB"/>
    <w:rsid w:val="00FE4B4E"/>
    <w:rsid w:val="00FE59AC"/>
    <w:rsid w:val="00FE723A"/>
    <w:rsid w:val="00FE7563"/>
    <w:rsid w:val="00FF1FE6"/>
    <w:rsid w:val="00FF3AE6"/>
    <w:rsid w:val="00FF52F0"/>
    <w:rsid w:val="00FF5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95969"/>
  <w15:chartTrackingRefBased/>
  <w15:docId w15:val="{72B66395-731A-450A-815A-5EC1D04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33"/>
    <w:rPr>
      <w:rFonts w:eastAsia="Times New Roman" w:cs="Times New Roman"/>
      <w:szCs w:val="24"/>
    </w:rPr>
  </w:style>
  <w:style w:type="paragraph" w:styleId="Heading1">
    <w:name w:val="heading 1"/>
    <w:basedOn w:val="Normal"/>
    <w:next w:val="Normal"/>
    <w:link w:val="Heading1Char"/>
    <w:uiPriority w:val="9"/>
    <w:qFormat/>
    <w:rsid w:val="003B12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95733"/>
    <w:rPr>
      <w:rFonts w:cs="Times New Roman"/>
      <w:sz w:val="16"/>
      <w:szCs w:val="16"/>
    </w:rPr>
  </w:style>
  <w:style w:type="paragraph" w:styleId="CommentText">
    <w:name w:val="annotation text"/>
    <w:basedOn w:val="Normal"/>
    <w:link w:val="CommentTextChar"/>
    <w:uiPriority w:val="99"/>
    <w:semiHidden/>
    <w:rsid w:val="00595733"/>
    <w:rPr>
      <w:sz w:val="20"/>
      <w:szCs w:val="20"/>
      <w:lang w:val="en-US"/>
    </w:rPr>
  </w:style>
  <w:style w:type="character" w:customStyle="1" w:styleId="CommentTextChar">
    <w:name w:val="Comment Text Char"/>
    <w:basedOn w:val="DefaultParagraphFont"/>
    <w:link w:val="CommentText"/>
    <w:uiPriority w:val="99"/>
    <w:semiHidden/>
    <w:rsid w:val="00595733"/>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rsid w:val="00595733"/>
    <w:rPr>
      <w:b/>
      <w:bCs/>
    </w:rPr>
  </w:style>
  <w:style w:type="character" w:customStyle="1" w:styleId="CommentSubjectChar">
    <w:name w:val="Comment Subject Char"/>
    <w:basedOn w:val="CommentTextChar"/>
    <w:link w:val="CommentSubject"/>
    <w:uiPriority w:val="99"/>
    <w:semiHidden/>
    <w:rsid w:val="00595733"/>
    <w:rPr>
      <w:rFonts w:eastAsia="Times New Roman" w:cs="Times New Roman"/>
      <w:b/>
      <w:bCs/>
      <w:sz w:val="20"/>
      <w:szCs w:val="20"/>
      <w:lang w:val="en-US"/>
    </w:rPr>
  </w:style>
  <w:style w:type="paragraph" w:styleId="BalloonText">
    <w:name w:val="Balloon Text"/>
    <w:basedOn w:val="Normal"/>
    <w:link w:val="BalloonTextChar"/>
    <w:uiPriority w:val="99"/>
    <w:semiHidden/>
    <w:rsid w:val="00595733"/>
    <w:rPr>
      <w:rFonts w:ascii="Tahoma" w:hAnsi="Tahoma"/>
      <w:sz w:val="16"/>
      <w:szCs w:val="16"/>
      <w:lang w:val="en-US"/>
    </w:rPr>
  </w:style>
  <w:style w:type="character" w:customStyle="1" w:styleId="BalloonTextChar">
    <w:name w:val="Balloon Text Char"/>
    <w:basedOn w:val="DefaultParagraphFont"/>
    <w:link w:val="BalloonText"/>
    <w:uiPriority w:val="99"/>
    <w:semiHidden/>
    <w:rsid w:val="00595733"/>
    <w:rPr>
      <w:rFonts w:ascii="Tahoma" w:eastAsia="Times New Roman" w:hAnsi="Tahoma" w:cs="Times New Roman"/>
      <w:sz w:val="16"/>
      <w:szCs w:val="16"/>
      <w:lang w:val="en-US"/>
    </w:rPr>
  </w:style>
  <w:style w:type="paragraph" w:styleId="Header">
    <w:name w:val="header"/>
    <w:basedOn w:val="Normal"/>
    <w:link w:val="HeaderChar"/>
    <w:uiPriority w:val="99"/>
    <w:unhideWhenUsed/>
    <w:rsid w:val="00595733"/>
    <w:pPr>
      <w:tabs>
        <w:tab w:val="center" w:pos="4153"/>
        <w:tab w:val="right" w:pos="8306"/>
      </w:tabs>
    </w:pPr>
    <w:rPr>
      <w:lang w:val="en-US"/>
    </w:rPr>
  </w:style>
  <w:style w:type="character" w:customStyle="1" w:styleId="HeaderChar">
    <w:name w:val="Header Char"/>
    <w:basedOn w:val="DefaultParagraphFont"/>
    <w:link w:val="Header"/>
    <w:uiPriority w:val="99"/>
    <w:rsid w:val="00595733"/>
    <w:rPr>
      <w:rFonts w:eastAsia="Times New Roman" w:cs="Times New Roman"/>
      <w:szCs w:val="24"/>
      <w:lang w:val="en-US"/>
    </w:rPr>
  </w:style>
  <w:style w:type="paragraph" w:styleId="Footer">
    <w:name w:val="footer"/>
    <w:basedOn w:val="Normal"/>
    <w:link w:val="FooterChar"/>
    <w:uiPriority w:val="99"/>
    <w:unhideWhenUsed/>
    <w:rsid w:val="00595733"/>
    <w:pPr>
      <w:tabs>
        <w:tab w:val="center" w:pos="4153"/>
        <w:tab w:val="right" w:pos="8306"/>
      </w:tabs>
    </w:pPr>
    <w:rPr>
      <w:lang w:val="en-US"/>
    </w:rPr>
  </w:style>
  <w:style w:type="character" w:customStyle="1" w:styleId="FooterChar">
    <w:name w:val="Footer Char"/>
    <w:basedOn w:val="DefaultParagraphFont"/>
    <w:link w:val="Footer"/>
    <w:uiPriority w:val="99"/>
    <w:rsid w:val="00595733"/>
    <w:rPr>
      <w:rFonts w:eastAsia="Times New Roman" w:cs="Times New Roman"/>
      <w:szCs w:val="24"/>
      <w:lang w:val="en-US"/>
    </w:rPr>
  </w:style>
  <w:style w:type="paragraph" w:styleId="NormalWeb">
    <w:name w:val="Normal (Web)"/>
    <w:basedOn w:val="Normal"/>
    <w:uiPriority w:val="99"/>
    <w:semiHidden/>
    <w:unhideWhenUsed/>
    <w:rsid w:val="00595733"/>
    <w:pPr>
      <w:spacing w:before="100" w:beforeAutospacing="1" w:after="100" w:afterAutospacing="1"/>
    </w:pPr>
    <w:rPr>
      <w:lang w:eastAsia="lv-LV"/>
    </w:rPr>
  </w:style>
  <w:style w:type="paragraph" w:styleId="Revision">
    <w:name w:val="Revision"/>
    <w:hidden/>
    <w:uiPriority w:val="99"/>
    <w:semiHidden/>
    <w:rsid w:val="00595733"/>
    <w:rPr>
      <w:rFonts w:eastAsia="Times New Roman" w:cs="Times New Roman"/>
      <w:szCs w:val="24"/>
      <w:lang w:val="en-US"/>
    </w:rPr>
  </w:style>
  <w:style w:type="character" w:styleId="Hyperlink">
    <w:name w:val="Hyperlink"/>
    <w:uiPriority w:val="99"/>
    <w:rsid w:val="00595733"/>
    <w:rPr>
      <w:rFonts w:cs="Times New Roman"/>
      <w:color w:val="0000FF"/>
      <w:u w:val="single"/>
    </w:rPr>
  </w:style>
  <w:style w:type="paragraph" w:styleId="FootnoteText">
    <w:name w:val="footnote text"/>
    <w:basedOn w:val="Normal"/>
    <w:link w:val="FootnoteTextChar"/>
    <w:uiPriority w:val="99"/>
    <w:unhideWhenUsed/>
    <w:rsid w:val="00595733"/>
    <w:rPr>
      <w:sz w:val="20"/>
      <w:szCs w:val="20"/>
      <w:lang w:val="en-US"/>
    </w:rPr>
  </w:style>
  <w:style w:type="character" w:customStyle="1" w:styleId="FootnoteTextChar">
    <w:name w:val="Footnote Text Char"/>
    <w:basedOn w:val="DefaultParagraphFont"/>
    <w:link w:val="FootnoteText"/>
    <w:uiPriority w:val="99"/>
    <w:rsid w:val="00595733"/>
    <w:rPr>
      <w:rFonts w:eastAsia="Times New Roman" w:cs="Times New Roman"/>
      <w:sz w:val="20"/>
      <w:szCs w:val="20"/>
      <w:lang w:val="en-US"/>
    </w:rPr>
  </w:style>
  <w:style w:type="character" w:styleId="FootnoteReference">
    <w:name w:val="footnote reference"/>
    <w:aliases w:val="Footnote Reference Number,Footnote symbol"/>
    <w:unhideWhenUsed/>
    <w:rsid w:val="00595733"/>
    <w:rPr>
      <w:vertAlign w:val="superscript"/>
    </w:rPr>
  </w:style>
  <w:style w:type="paragraph" w:styleId="EndnoteText">
    <w:name w:val="endnote text"/>
    <w:basedOn w:val="Normal"/>
    <w:link w:val="EndnoteTextChar"/>
    <w:uiPriority w:val="99"/>
    <w:semiHidden/>
    <w:unhideWhenUsed/>
    <w:rsid w:val="00595733"/>
    <w:rPr>
      <w:sz w:val="20"/>
      <w:szCs w:val="20"/>
      <w:lang w:val="x-none"/>
    </w:rPr>
  </w:style>
  <w:style w:type="character" w:customStyle="1" w:styleId="EndnoteTextChar">
    <w:name w:val="Endnote Text Char"/>
    <w:basedOn w:val="DefaultParagraphFont"/>
    <w:link w:val="EndnoteText"/>
    <w:uiPriority w:val="99"/>
    <w:semiHidden/>
    <w:rsid w:val="00595733"/>
    <w:rPr>
      <w:rFonts w:eastAsia="Times New Roman" w:cs="Times New Roman"/>
      <w:sz w:val="20"/>
      <w:szCs w:val="20"/>
      <w:lang w:val="x-none"/>
    </w:rPr>
  </w:style>
  <w:style w:type="character" w:styleId="EndnoteReference">
    <w:name w:val="endnote reference"/>
    <w:uiPriority w:val="99"/>
    <w:semiHidden/>
    <w:unhideWhenUsed/>
    <w:rsid w:val="00595733"/>
    <w:rPr>
      <w:vertAlign w:val="superscript"/>
    </w:rPr>
  </w:style>
  <w:style w:type="character" w:styleId="Emphasis">
    <w:name w:val="Emphasis"/>
    <w:uiPriority w:val="20"/>
    <w:qFormat/>
    <w:rsid w:val="00595733"/>
    <w:rPr>
      <w:b/>
      <w:bCs/>
      <w:i w:val="0"/>
      <w:iCs w:val="0"/>
    </w:rPr>
  </w:style>
  <w:style w:type="character" w:customStyle="1" w:styleId="ft">
    <w:name w:val="ft"/>
    <w:rsid w:val="00595733"/>
  </w:style>
  <w:style w:type="paragraph" w:styleId="PlainText">
    <w:name w:val="Plain Text"/>
    <w:basedOn w:val="Normal"/>
    <w:link w:val="PlainTextChar"/>
    <w:uiPriority w:val="99"/>
    <w:unhideWhenUsed/>
    <w:rsid w:val="00595733"/>
    <w:rPr>
      <w:rFonts w:eastAsia="Calibri" w:cs="Consolas"/>
      <w:szCs w:val="21"/>
    </w:rPr>
  </w:style>
  <w:style w:type="character" w:customStyle="1" w:styleId="PlainTextChar">
    <w:name w:val="Plain Text Char"/>
    <w:basedOn w:val="DefaultParagraphFont"/>
    <w:link w:val="PlainText"/>
    <w:uiPriority w:val="99"/>
    <w:rsid w:val="00595733"/>
    <w:rPr>
      <w:rFonts w:eastAsia="Calibri" w:cs="Consolas"/>
      <w:szCs w:val="21"/>
    </w:rPr>
  </w:style>
  <w:style w:type="character" w:styleId="FollowedHyperlink">
    <w:name w:val="FollowedHyperlink"/>
    <w:uiPriority w:val="99"/>
    <w:semiHidden/>
    <w:unhideWhenUsed/>
    <w:rsid w:val="00595733"/>
    <w:rPr>
      <w:color w:val="954F72"/>
      <w:u w:val="single"/>
    </w:rPr>
  </w:style>
  <w:style w:type="paragraph" w:styleId="ListParagraph">
    <w:name w:val="List Paragraph"/>
    <w:basedOn w:val="Normal"/>
    <w:uiPriority w:val="34"/>
    <w:qFormat/>
    <w:rsid w:val="00595733"/>
    <w:pPr>
      <w:ind w:left="720"/>
    </w:pPr>
    <w:rPr>
      <w:rFonts w:ascii="Calibri" w:eastAsia="Calibri" w:hAnsi="Calibri"/>
      <w:sz w:val="22"/>
      <w:szCs w:val="22"/>
    </w:rPr>
  </w:style>
  <w:style w:type="character" w:customStyle="1" w:styleId="apple-converted-space">
    <w:name w:val="apple-converted-space"/>
    <w:rsid w:val="00595733"/>
  </w:style>
  <w:style w:type="table" w:styleId="TableGrid">
    <w:name w:val="Table Grid"/>
    <w:basedOn w:val="TableNormal"/>
    <w:uiPriority w:val="39"/>
    <w:rsid w:val="0059573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95733"/>
    <w:pPr>
      <w:spacing w:before="100" w:beforeAutospacing="1" w:after="100" w:afterAutospacing="1"/>
    </w:pPr>
    <w:rPr>
      <w:lang w:eastAsia="lv-LV"/>
    </w:rPr>
  </w:style>
  <w:style w:type="paragraph" w:styleId="NoSpacing">
    <w:name w:val="No Spacing"/>
    <w:uiPriority w:val="1"/>
    <w:qFormat/>
    <w:rsid w:val="00595733"/>
    <w:rPr>
      <w:rFonts w:ascii="Calibri" w:eastAsia="Calibri" w:hAnsi="Calibri" w:cs="Times New Roman"/>
      <w:sz w:val="22"/>
    </w:rPr>
  </w:style>
  <w:style w:type="paragraph" w:customStyle="1" w:styleId="Default">
    <w:name w:val="Default"/>
    <w:rsid w:val="008F577C"/>
    <w:pPr>
      <w:autoSpaceDE w:val="0"/>
      <w:autoSpaceDN w:val="0"/>
      <w:adjustRightInd w:val="0"/>
    </w:pPr>
    <w:rPr>
      <w:rFonts w:eastAsia="Times New Roman" w:cs="Times New Roman"/>
      <w:color w:val="000000"/>
      <w:szCs w:val="24"/>
      <w:lang w:eastAsia="lv-LV"/>
    </w:rPr>
  </w:style>
  <w:style w:type="paragraph" w:customStyle="1" w:styleId="Parastais">
    <w:name w:val="Parastais"/>
    <w:qFormat/>
    <w:rsid w:val="00026FFE"/>
    <w:rPr>
      <w:rFonts w:eastAsia="Times New Roman" w:cs="Times New Roman"/>
      <w:sz w:val="20"/>
      <w:szCs w:val="20"/>
      <w:lang w:eastAsia="lv-LV"/>
    </w:rPr>
  </w:style>
  <w:style w:type="character" w:customStyle="1" w:styleId="Heading1Char">
    <w:name w:val="Heading 1 Char"/>
    <w:basedOn w:val="DefaultParagraphFont"/>
    <w:link w:val="Heading1"/>
    <w:uiPriority w:val="9"/>
    <w:rsid w:val="003B12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3B12C3"/>
    <w:pPr>
      <w:outlineLvl w:val="9"/>
    </w:pPr>
  </w:style>
  <w:style w:type="character" w:styleId="Strong">
    <w:name w:val="Strong"/>
    <w:basedOn w:val="DefaultParagraphFont"/>
    <w:uiPriority w:val="22"/>
    <w:qFormat/>
    <w:rsid w:val="008A0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9807">
      <w:bodyDiv w:val="1"/>
      <w:marLeft w:val="0"/>
      <w:marRight w:val="0"/>
      <w:marTop w:val="0"/>
      <w:marBottom w:val="0"/>
      <w:divBdr>
        <w:top w:val="none" w:sz="0" w:space="0" w:color="auto"/>
        <w:left w:val="none" w:sz="0" w:space="0" w:color="auto"/>
        <w:bottom w:val="none" w:sz="0" w:space="0" w:color="auto"/>
        <w:right w:val="none" w:sz="0" w:space="0" w:color="auto"/>
      </w:divBdr>
      <w:divsChild>
        <w:div w:id="346521357">
          <w:marLeft w:val="547"/>
          <w:marRight w:val="0"/>
          <w:marTop w:val="86"/>
          <w:marBottom w:val="0"/>
          <w:divBdr>
            <w:top w:val="none" w:sz="0" w:space="0" w:color="auto"/>
            <w:left w:val="none" w:sz="0" w:space="0" w:color="auto"/>
            <w:bottom w:val="none" w:sz="0" w:space="0" w:color="auto"/>
            <w:right w:val="none" w:sz="0" w:space="0" w:color="auto"/>
          </w:divBdr>
        </w:div>
        <w:div w:id="1468737481">
          <w:marLeft w:val="547"/>
          <w:marRight w:val="0"/>
          <w:marTop w:val="86"/>
          <w:marBottom w:val="0"/>
          <w:divBdr>
            <w:top w:val="none" w:sz="0" w:space="0" w:color="auto"/>
            <w:left w:val="none" w:sz="0" w:space="0" w:color="auto"/>
            <w:bottom w:val="none" w:sz="0" w:space="0" w:color="auto"/>
            <w:right w:val="none" w:sz="0" w:space="0" w:color="auto"/>
          </w:divBdr>
        </w:div>
        <w:div w:id="1931312375">
          <w:marLeft w:val="547"/>
          <w:marRight w:val="0"/>
          <w:marTop w:val="86"/>
          <w:marBottom w:val="0"/>
          <w:divBdr>
            <w:top w:val="none" w:sz="0" w:space="0" w:color="auto"/>
            <w:left w:val="none" w:sz="0" w:space="0" w:color="auto"/>
            <w:bottom w:val="none" w:sz="0" w:space="0" w:color="auto"/>
            <w:right w:val="none" w:sz="0" w:space="0" w:color="auto"/>
          </w:divBdr>
        </w:div>
        <w:div w:id="303506481">
          <w:marLeft w:val="547"/>
          <w:marRight w:val="0"/>
          <w:marTop w:val="86"/>
          <w:marBottom w:val="0"/>
          <w:divBdr>
            <w:top w:val="none" w:sz="0" w:space="0" w:color="auto"/>
            <w:left w:val="none" w:sz="0" w:space="0" w:color="auto"/>
            <w:bottom w:val="none" w:sz="0" w:space="0" w:color="auto"/>
            <w:right w:val="none" w:sz="0" w:space="0" w:color="auto"/>
          </w:divBdr>
        </w:div>
        <w:div w:id="1526091531">
          <w:marLeft w:val="547"/>
          <w:marRight w:val="0"/>
          <w:marTop w:val="86"/>
          <w:marBottom w:val="0"/>
          <w:divBdr>
            <w:top w:val="none" w:sz="0" w:space="0" w:color="auto"/>
            <w:left w:val="none" w:sz="0" w:space="0" w:color="auto"/>
            <w:bottom w:val="none" w:sz="0" w:space="0" w:color="auto"/>
            <w:right w:val="none" w:sz="0" w:space="0" w:color="auto"/>
          </w:divBdr>
        </w:div>
        <w:div w:id="1388652286">
          <w:marLeft w:val="547"/>
          <w:marRight w:val="0"/>
          <w:marTop w:val="86"/>
          <w:marBottom w:val="0"/>
          <w:divBdr>
            <w:top w:val="none" w:sz="0" w:space="0" w:color="auto"/>
            <w:left w:val="none" w:sz="0" w:space="0" w:color="auto"/>
            <w:bottom w:val="none" w:sz="0" w:space="0" w:color="auto"/>
            <w:right w:val="none" w:sz="0" w:space="0" w:color="auto"/>
          </w:divBdr>
        </w:div>
      </w:divsChild>
    </w:div>
    <w:div w:id="102655654">
      <w:bodyDiv w:val="1"/>
      <w:marLeft w:val="0"/>
      <w:marRight w:val="0"/>
      <w:marTop w:val="0"/>
      <w:marBottom w:val="0"/>
      <w:divBdr>
        <w:top w:val="none" w:sz="0" w:space="0" w:color="auto"/>
        <w:left w:val="none" w:sz="0" w:space="0" w:color="auto"/>
        <w:bottom w:val="none" w:sz="0" w:space="0" w:color="auto"/>
        <w:right w:val="none" w:sz="0" w:space="0" w:color="auto"/>
      </w:divBdr>
    </w:div>
    <w:div w:id="270406114">
      <w:bodyDiv w:val="1"/>
      <w:marLeft w:val="0"/>
      <w:marRight w:val="0"/>
      <w:marTop w:val="0"/>
      <w:marBottom w:val="0"/>
      <w:divBdr>
        <w:top w:val="none" w:sz="0" w:space="0" w:color="auto"/>
        <w:left w:val="none" w:sz="0" w:space="0" w:color="auto"/>
        <w:bottom w:val="none" w:sz="0" w:space="0" w:color="auto"/>
        <w:right w:val="none" w:sz="0" w:space="0" w:color="auto"/>
      </w:divBdr>
      <w:divsChild>
        <w:div w:id="1654018527">
          <w:marLeft w:val="547"/>
          <w:marRight w:val="0"/>
          <w:marTop w:val="86"/>
          <w:marBottom w:val="0"/>
          <w:divBdr>
            <w:top w:val="none" w:sz="0" w:space="0" w:color="auto"/>
            <w:left w:val="none" w:sz="0" w:space="0" w:color="auto"/>
            <w:bottom w:val="none" w:sz="0" w:space="0" w:color="auto"/>
            <w:right w:val="none" w:sz="0" w:space="0" w:color="auto"/>
          </w:divBdr>
        </w:div>
        <w:div w:id="459302449">
          <w:marLeft w:val="547"/>
          <w:marRight w:val="0"/>
          <w:marTop w:val="86"/>
          <w:marBottom w:val="0"/>
          <w:divBdr>
            <w:top w:val="none" w:sz="0" w:space="0" w:color="auto"/>
            <w:left w:val="none" w:sz="0" w:space="0" w:color="auto"/>
            <w:bottom w:val="none" w:sz="0" w:space="0" w:color="auto"/>
            <w:right w:val="none" w:sz="0" w:space="0" w:color="auto"/>
          </w:divBdr>
        </w:div>
        <w:div w:id="575939621">
          <w:marLeft w:val="547"/>
          <w:marRight w:val="0"/>
          <w:marTop w:val="86"/>
          <w:marBottom w:val="0"/>
          <w:divBdr>
            <w:top w:val="none" w:sz="0" w:space="0" w:color="auto"/>
            <w:left w:val="none" w:sz="0" w:space="0" w:color="auto"/>
            <w:bottom w:val="none" w:sz="0" w:space="0" w:color="auto"/>
            <w:right w:val="none" w:sz="0" w:space="0" w:color="auto"/>
          </w:divBdr>
        </w:div>
        <w:div w:id="2066563721">
          <w:marLeft w:val="547"/>
          <w:marRight w:val="0"/>
          <w:marTop w:val="86"/>
          <w:marBottom w:val="0"/>
          <w:divBdr>
            <w:top w:val="none" w:sz="0" w:space="0" w:color="auto"/>
            <w:left w:val="none" w:sz="0" w:space="0" w:color="auto"/>
            <w:bottom w:val="none" w:sz="0" w:space="0" w:color="auto"/>
            <w:right w:val="none" w:sz="0" w:space="0" w:color="auto"/>
          </w:divBdr>
        </w:div>
        <w:div w:id="1261452254">
          <w:marLeft w:val="547"/>
          <w:marRight w:val="0"/>
          <w:marTop w:val="86"/>
          <w:marBottom w:val="0"/>
          <w:divBdr>
            <w:top w:val="none" w:sz="0" w:space="0" w:color="auto"/>
            <w:left w:val="none" w:sz="0" w:space="0" w:color="auto"/>
            <w:bottom w:val="none" w:sz="0" w:space="0" w:color="auto"/>
            <w:right w:val="none" w:sz="0" w:space="0" w:color="auto"/>
          </w:divBdr>
        </w:div>
        <w:div w:id="1356348157">
          <w:marLeft w:val="547"/>
          <w:marRight w:val="0"/>
          <w:marTop w:val="86"/>
          <w:marBottom w:val="0"/>
          <w:divBdr>
            <w:top w:val="none" w:sz="0" w:space="0" w:color="auto"/>
            <w:left w:val="none" w:sz="0" w:space="0" w:color="auto"/>
            <w:bottom w:val="none" w:sz="0" w:space="0" w:color="auto"/>
            <w:right w:val="none" w:sz="0" w:space="0" w:color="auto"/>
          </w:divBdr>
        </w:div>
      </w:divsChild>
    </w:div>
    <w:div w:id="440344853">
      <w:bodyDiv w:val="1"/>
      <w:marLeft w:val="0"/>
      <w:marRight w:val="0"/>
      <w:marTop w:val="0"/>
      <w:marBottom w:val="0"/>
      <w:divBdr>
        <w:top w:val="none" w:sz="0" w:space="0" w:color="auto"/>
        <w:left w:val="none" w:sz="0" w:space="0" w:color="auto"/>
        <w:bottom w:val="none" w:sz="0" w:space="0" w:color="auto"/>
        <w:right w:val="none" w:sz="0" w:space="0" w:color="auto"/>
      </w:divBdr>
    </w:div>
    <w:div w:id="573777551">
      <w:bodyDiv w:val="1"/>
      <w:marLeft w:val="0"/>
      <w:marRight w:val="0"/>
      <w:marTop w:val="0"/>
      <w:marBottom w:val="0"/>
      <w:divBdr>
        <w:top w:val="none" w:sz="0" w:space="0" w:color="auto"/>
        <w:left w:val="none" w:sz="0" w:space="0" w:color="auto"/>
        <w:bottom w:val="none" w:sz="0" w:space="0" w:color="auto"/>
        <w:right w:val="none" w:sz="0" w:space="0" w:color="auto"/>
      </w:divBdr>
      <w:divsChild>
        <w:div w:id="1682003068">
          <w:marLeft w:val="547"/>
          <w:marRight w:val="0"/>
          <w:marTop w:val="82"/>
          <w:marBottom w:val="0"/>
          <w:divBdr>
            <w:top w:val="none" w:sz="0" w:space="0" w:color="auto"/>
            <w:left w:val="none" w:sz="0" w:space="0" w:color="auto"/>
            <w:bottom w:val="none" w:sz="0" w:space="0" w:color="auto"/>
            <w:right w:val="none" w:sz="0" w:space="0" w:color="auto"/>
          </w:divBdr>
        </w:div>
        <w:div w:id="1293706149">
          <w:marLeft w:val="547"/>
          <w:marRight w:val="0"/>
          <w:marTop w:val="82"/>
          <w:marBottom w:val="0"/>
          <w:divBdr>
            <w:top w:val="none" w:sz="0" w:space="0" w:color="auto"/>
            <w:left w:val="none" w:sz="0" w:space="0" w:color="auto"/>
            <w:bottom w:val="none" w:sz="0" w:space="0" w:color="auto"/>
            <w:right w:val="none" w:sz="0" w:space="0" w:color="auto"/>
          </w:divBdr>
        </w:div>
        <w:div w:id="42606015">
          <w:marLeft w:val="547"/>
          <w:marRight w:val="0"/>
          <w:marTop w:val="82"/>
          <w:marBottom w:val="0"/>
          <w:divBdr>
            <w:top w:val="none" w:sz="0" w:space="0" w:color="auto"/>
            <w:left w:val="none" w:sz="0" w:space="0" w:color="auto"/>
            <w:bottom w:val="none" w:sz="0" w:space="0" w:color="auto"/>
            <w:right w:val="none" w:sz="0" w:space="0" w:color="auto"/>
          </w:divBdr>
        </w:div>
        <w:div w:id="835728825">
          <w:marLeft w:val="547"/>
          <w:marRight w:val="0"/>
          <w:marTop w:val="82"/>
          <w:marBottom w:val="0"/>
          <w:divBdr>
            <w:top w:val="none" w:sz="0" w:space="0" w:color="auto"/>
            <w:left w:val="none" w:sz="0" w:space="0" w:color="auto"/>
            <w:bottom w:val="none" w:sz="0" w:space="0" w:color="auto"/>
            <w:right w:val="none" w:sz="0" w:space="0" w:color="auto"/>
          </w:divBdr>
        </w:div>
        <w:div w:id="1242373603">
          <w:marLeft w:val="547"/>
          <w:marRight w:val="0"/>
          <w:marTop w:val="82"/>
          <w:marBottom w:val="0"/>
          <w:divBdr>
            <w:top w:val="none" w:sz="0" w:space="0" w:color="auto"/>
            <w:left w:val="none" w:sz="0" w:space="0" w:color="auto"/>
            <w:bottom w:val="none" w:sz="0" w:space="0" w:color="auto"/>
            <w:right w:val="none" w:sz="0" w:space="0" w:color="auto"/>
          </w:divBdr>
        </w:div>
        <w:div w:id="358051973">
          <w:marLeft w:val="547"/>
          <w:marRight w:val="0"/>
          <w:marTop w:val="82"/>
          <w:marBottom w:val="0"/>
          <w:divBdr>
            <w:top w:val="none" w:sz="0" w:space="0" w:color="auto"/>
            <w:left w:val="none" w:sz="0" w:space="0" w:color="auto"/>
            <w:bottom w:val="none" w:sz="0" w:space="0" w:color="auto"/>
            <w:right w:val="none" w:sz="0" w:space="0" w:color="auto"/>
          </w:divBdr>
        </w:div>
        <w:div w:id="701440860">
          <w:marLeft w:val="547"/>
          <w:marRight w:val="0"/>
          <w:marTop w:val="82"/>
          <w:marBottom w:val="0"/>
          <w:divBdr>
            <w:top w:val="none" w:sz="0" w:space="0" w:color="auto"/>
            <w:left w:val="none" w:sz="0" w:space="0" w:color="auto"/>
            <w:bottom w:val="none" w:sz="0" w:space="0" w:color="auto"/>
            <w:right w:val="none" w:sz="0" w:space="0" w:color="auto"/>
          </w:divBdr>
        </w:div>
      </w:divsChild>
    </w:div>
    <w:div w:id="662515411">
      <w:bodyDiv w:val="1"/>
      <w:marLeft w:val="0"/>
      <w:marRight w:val="0"/>
      <w:marTop w:val="0"/>
      <w:marBottom w:val="0"/>
      <w:divBdr>
        <w:top w:val="none" w:sz="0" w:space="0" w:color="auto"/>
        <w:left w:val="none" w:sz="0" w:space="0" w:color="auto"/>
        <w:bottom w:val="none" w:sz="0" w:space="0" w:color="auto"/>
        <w:right w:val="none" w:sz="0" w:space="0" w:color="auto"/>
      </w:divBdr>
    </w:div>
    <w:div w:id="777220171">
      <w:bodyDiv w:val="1"/>
      <w:marLeft w:val="0"/>
      <w:marRight w:val="0"/>
      <w:marTop w:val="0"/>
      <w:marBottom w:val="0"/>
      <w:divBdr>
        <w:top w:val="none" w:sz="0" w:space="0" w:color="auto"/>
        <w:left w:val="none" w:sz="0" w:space="0" w:color="auto"/>
        <w:bottom w:val="none" w:sz="0" w:space="0" w:color="auto"/>
        <w:right w:val="none" w:sz="0" w:space="0" w:color="auto"/>
      </w:divBdr>
    </w:div>
    <w:div w:id="797918439">
      <w:bodyDiv w:val="1"/>
      <w:marLeft w:val="0"/>
      <w:marRight w:val="0"/>
      <w:marTop w:val="0"/>
      <w:marBottom w:val="0"/>
      <w:divBdr>
        <w:top w:val="none" w:sz="0" w:space="0" w:color="auto"/>
        <w:left w:val="none" w:sz="0" w:space="0" w:color="auto"/>
        <w:bottom w:val="none" w:sz="0" w:space="0" w:color="auto"/>
        <w:right w:val="none" w:sz="0" w:space="0" w:color="auto"/>
      </w:divBdr>
      <w:divsChild>
        <w:div w:id="361979030">
          <w:marLeft w:val="547"/>
          <w:marRight w:val="0"/>
          <w:marTop w:val="86"/>
          <w:marBottom w:val="0"/>
          <w:divBdr>
            <w:top w:val="none" w:sz="0" w:space="0" w:color="auto"/>
            <w:left w:val="none" w:sz="0" w:space="0" w:color="auto"/>
            <w:bottom w:val="none" w:sz="0" w:space="0" w:color="auto"/>
            <w:right w:val="none" w:sz="0" w:space="0" w:color="auto"/>
          </w:divBdr>
        </w:div>
        <w:div w:id="1348488038">
          <w:marLeft w:val="547"/>
          <w:marRight w:val="0"/>
          <w:marTop w:val="86"/>
          <w:marBottom w:val="0"/>
          <w:divBdr>
            <w:top w:val="none" w:sz="0" w:space="0" w:color="auto"/>
            <w:left w:val="none" w:sz="0" w:space="0" w:color="auto"/>
            <w:bottom w:val="none" w:sz="0" w:space="0" w:color="auto"/>
            <w:right w:val="none" w:sz="0" w:space="0" w:color="auto"/>
          </w:divBdr>
        </w:div>
        <w:div w:id="1783456763">
          <w:marLeft w:val="547"/>
          <w:marRight w:val="0"/>
          <w:marTop w:val="86"/>
          <w:marBottom w:val="0"/>
          <w:divBdr>
            <w:top w:val="none" w:sz="0" w:space="0" w:color="auto"/>
            <w:left w:val="none" w:sz="0" w:space="0" w:color="auto"/>
            <w:bottom w:val="none" w:sz="0" w:space="0" w:color="auto"/>
            <w:right w:val="none" w:sz="0" w:space="0" w:color="auto"/>
          </w:divBdr>
        </w:div>
      </w:divsChild>
    </w:div>
    <w:div w:id="895429619">
      <w:bodyDiv w:val="1"/>
      <w:marLeft w:val="0"/>
      <w:marRight w:val="0"/>
      <w:marTop w:val="0"/>
      <w:marBottom w:val="0"/>
      <w:divBdr>
        <w:top w:val="none" w:sz="0" w:space="0" w:color="auto"/>
        <w:left w:val="none" w:sz="0" w:space="0" w:color="auto"/>
        <w:bottom w:val="none" w:sz="0" w:space="0" w:color="auto"/>
        <w:right w:val="none" w:sz="0" w:space="0" w:color="auto"/>
      </w:divBdr>
      <w:divsChild>
        <w:div w:id="1450777925">
          <w:marLeft w:val="547"/>
          <w:marRight w:val="0"/>
          <w:marTop w:val="86"/>
          <w:marBottom w:val="0"/>
          <w:divBdr>
            <w:top w:val="none" w:sz="0" w:space="0" w:color="auto"/>
            <w:left w:val="none" w:sz="0" w:space="0" w:color="auto"/>
            <w:bottom w:val="none" w:sz="0" w:space="0" w:color="auto"/>
            <w:right w:val="none" w:sz="0" w:space="0" w:color="auto"/>
          </w:divBdr>
        </w:div>
        <w:div w:id="662781713">
          <w:marLeft w:val="547"/>
          <w:marRight w:val="0"/>
          <w:marTop w:val="86"/>
          <w:marBottom w:val="0"/>
          <w:divBdr>
            <w:top w:val="none" w:sz="0" w:space="0" w:color="auto"/>
            <w:left w:val="none" w:sz="0" w:space="0" w:color="auto"/>
            <w:bottom w:val="none" w:sz="0" w:space="0" w:color="auto"/>
            <w:right w:val="none" w:sz="0" w:space="0" w:color="auto"/>
          </w:divBdr>
        </w:div>
        <w:div w:id="1506480442">
          <w:marLeft w:val="547"/>
          <w:marRight w:val="0"/>
          <w:marTop w:val="86"/>
          <w:marBottom w:val="0"/>
          <w:divBdr>
            <w:top w:val="none" w:sz="0" w:space="0" w:color="auto"/>
            <w:left w:val="none" w:sz="0" w:space="0" w:color="auto"/>
            <w:bottom w:val="none" w:sz="0" w:space="0" w:color="auto"/>
            <w:right w:val="none" w:sz="0" w:space="0" w:color="auto"/>
          </w:divBdr>
        </w:div>
        <w:div w:id="514685703">
          <w:marLeft w:val="547"/>
          <w:marRight w:val="0"/>
          <w:marTop w:val="86"/>
          <w:marBottom w:val="0"/>
          <w:divBdr>
            <w:top w:val="none" w:sz="0" w:space="0" w:color="auto"/>
            <w:left w:val="none" w:sz="0" w:space="0" w:color="auto"/>
            <w:bottom w:val="none" w:sz="0" w:space="0" w:color="auto"/>
            <w:right w:val="none" w:sz="0" w:space="0" w:color="auto"/>
          </w:divBdr>
        </w:div>
        <w:div w:id="1716083859">
          <w:marLeft w:val="547"/>
          <w:marRight w:val="0"/>
          <w:marTop w:val="86"/>
          <w:marBottom w:val="0"/>
          <w:divBdr>
            <w:top w:val="none" w:sz="0" w:space="0" w:color="auto"/>
            <w:left w:val="none" w:sz="0" w:space="0" w:color="auto"/>
            <w:bottom w:val="none" w:sz="0" w:space="0" w:color="auto"/>
            <w:right w:val="none" w:sz="0" w:space="0" w:color="auto"/>
          </w:divBdr>
        </w:div>
        <w:div w:id="208423018">
          <w:marLeft w:val="547"/>
          <w:marRight w:val="0"/>
          <w:marTop w:val="86"/>
          <w:marBottom w:val="0"/>
          <w:divBdr>
            <w:top w:val="none" w:sz="0" w:space="0" w:color="auto"/>
            <w:left w:val="none" w:sz="0" w:space="0" w:color="auto"/>
            <w:bottom w:val="none" w:sz="0" w:space="0" w:color="auto"/>
            <w:right w:val="none" w:sz="0" w:space="0" w:color="auto"/>
          </w:divBdr>
        </w:div>
      </w:divsChild>
    </w:div>
    <w:div w:id="1418214516">
      <w:bodyDiv w:val="1"/>
      <w:marLeft w:val="0"/>
      <w:marRight w:val="0"/>
      <w:marTop w:val="0"/>
      <w:marBottom w:val="0"/>
      <w:divBdr>
        <w:top w:val="none" w:sz="0" w:space="0" w:color="auto"/>
        <w:left w:val="none" w:sz="0" w:space="0" w:color="auto"/>
        <w:bottom w:val="none" w:sz="0" w:space="0" w:color="auto"/>
        <w:right w:val="none" w:sz="0" w:space="0" w:color="auto"/>
      </w:divBdr>
    </w:div>
    <w:div w:id="1458598814">
      <w:bodyDiv w:val="1"/>
      <w:marLeft w:val="0"/>
      <w:marRight w:val="0"/>
      <w:marTop w:val="0"/>
      <w:marBottom w:val="0"/>
      <w:divBdr>
        <w:top w:val="none" w:sz="0" w:space="0" w:color="auto"/>
        <w:left w:val="none" w:sz="0" w:space="0" w:color="auto"/>
        <w:bottom w:val="none" w:sz="0" w:space="0" w:color="auto"/>
        <w:right w:val="none" w:sz="0" w:space="0" w:color="auto"/>
      </w:divBdr>
    </w:div>
    <w:div w:id="1482624195">
      <w:bodyDiv w:val="1"/>
      <w:marLeft w:val="0"/>
      <w:marRight w:val="0"/>
      <w:marTop w:val="0"/>
      <w:marBottom w:val="0"/>
      <w:divBdr>
        <w:top w:val="none" w:sz="0" w:space="0" w:color="auto"/>
        <w:left w:val="none" w:sz="0" w:space="0" w:color="auto"/>
        <w:bottom w:val="none" w:sz="0" w:space="0" w:color="auto"/>
        <w:right w:val="none" w:sz="0" w:space="0" w:color="auto"/>
      </w:divBdr>
    </w:div>
    <w:div w:id="1577130563">
      <w:bodyDiv w:val="1"/>
      <w:marLeft w:val="0"/>
      <w:marRight w:val="0"/>
      <w:marTop w:val="0"/>
      <w:marBottom w:val="0"/>
      <w:divBdr>
        <w:top w:val="none" w:sz="0" w:space="0" w:color="auto"/>
        <w:left w:val="none" w:sz="0" w:space="0" w:color="auto"/>
        <w:bottom w:val="none" w:sz="0" w:space="0" w:color="auto"/>
        <w:right w:val="none" w:sz="0" w:space="0" w:color="auto"/>
      </w:divBdr>
    </w:div>
    <w:div w:id="1593973479">
      <w:bodyDiv w:val="1"/>
      <w:marLeft w:val="0"/>
      <w:marRight w:val="0"/>
      <w:marTop w:val="0"/>
      <w:marBottom w:val="0"/>
      <w:divBdr>
        <w:top w:val="none" w:sz="0" w:space="0" w:color="auto"/>
        <w:left w:val="none" w:sz="0" w:space="0" w:color="auto"/>
        <w:bottom w:val="none" w:sz="0" w:space="0" w:color="auto"/>
        <w:right w:val="none" w:sz="0" w:space="0" w:color="auto"/>
      </w:divBdr>
    </w:div>
    <w:div w:id="1714651030">
      <w:bodyDiv w:val="1"/>
      <w:marLeft w:val="0"/>
      <w:marRight w:val="0"/>
      <w:marTop w:val="0"/>
      <w:marBottom w:val="0"/>
      <w:divBdr>
        <w:top w:val="none" w:sz="0" w:space="0" w:color="auto"/>
        <w:left w:val="none" w:sz="0" w:space="0" w:color="auto"/>
        <w:bottom w:val="none" w:sz="0" w:space="0" w:color="auto"/>
        <w:right w:val="none" w:sz="0" w:space="0" w:color="auto"/>
      </w:divBdr>
    </w:div>
    <w:div w:id="1765148669">
      <w:bodyDiv w:val="1"/>
      <w:marLeft w:val="0"/>
      <w:marRight w:val="0"/>
      <w:marTop w:val="0"/>
      <w:marBottom w:val="0"/>
      <w:divBdr>
        <w:top w:val="none" w:sz="0" w:space="0" w:color="auto"/>
        <w:left w:val="none" w:sz="0" w:space="0" w:color="auto"/>
        <w:bottom w:val="none" w:sz="0" w:space="0" w:color="auto"/>
        <w:right w:val="none" w:sz="0" w:space="0" w:color="auto"/>
      </w:divBdr>
    </w:div>
    <w:div w:id="1785734852">
      <w:bodyDiv w:val="1"/>
      <w:marLeft w:val="0"/>
      <w:marRight w:val="0"/>
      <w:marTop w:val="0"/>
      <w:marBottom w:val="0"/>
      <w:divBdr>
        <w:top w:val="none" w:sz="0" w:space="0" w:color="auto"/>
        <w:left w:val="none" w:sz="0" w:space="0" w:color="auto"/>
        <w:bottom w:val="none" w:sz="0" w:space="0" w:color="auto"/>
        <w:right w:val="none" w:sz="0" w:space="0" w:color="auto"/>
      </w:divBdr>
    </w:div>
    <w:div w:id="1987929192">
      <w:bodyDiv w:val="1"/>
      <w:marLeft w:val="0"/>
      <w:marRight w:val="0"/>
      <w:marTop w:val="0"/>
      <w:marBottom w:val="0"/>
      <w:divBdr>
        <w:top w:val="none" w:sz="0" w:space="0" w:color="auto"/>
        <w:left w:val="none" w:sz="0" w:space="0" w:color="auto"/>
        <w:bottom w:val="none" w:sz="0" w:space="0" w:color="auto"/>
        <w:right w:val="none" w:sz="0" w:space="0" w:color="auto"/>
      </w:divBdr>
    </w:div>
    <w:div w:id="21273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udoff.eu"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atkrapies.lv/wp-content/uploads/2017/03/Atskaite_FM_012018.pdf" TargetMode="External"/><Relationship Id="rId13" Type="http://schemas.openxmlformats.org/officeDocument/2006/relationships/hyperlink" Target="https://www.transparency.org/news/feature/corruption_perceptions_index_2017?gclid=Cj0KCQiA-c_iBRChARIsAGCOpB2zHcs6tVSIThvXwbCH-wXoXn1vXxq0k3qPGigQBNNuVhHv-lbJSDYaAgQsEALw_wcB" TargetMode="External"/><Relationship Id="rId3" Type="http://schemas.openxmlformats.org/officeDocument/2006/relationships/hyperlink" Target="http://www.europarl.europa.eu/legislative-train/theme-new-boost-for-jobs-growth-and-investment/file-mff-eu-anti-fraud-programme" TargetMode="External"/><Relationship Id="rId7" Type="http://schemas.openxmlformats.org/officeDocument/2006/relationships/hyperlink" Target="https://www.occrp.org/en/" TargetMode="External"/><Relationship Id="rId12" Type="http://schemas.openxmlformats.org/officeDocument/2006/relationships/hyperlink" Target="https://www.eca.europa.eu/Lists/ECADocuments/SR19_01/SR_FRAUD_RISKS_LV.pdf" TargetMode="External"/><Relationship Id="rId2" Type="http://schemas.openxmlformats.org/officeDocument/2006/relationships/hyperlink" Target="https://ec.europa.eu/info/business-economy-euro/euro-area/euro/anti-counterfeiting/pericles-2020-programme-exchanges-assistance-training_en" TargetMode="External"/><Relationship Id="rId1" Type="http://schemas.openxmlformats.org/officeDocument/2006/relationships/hyperlink" Target="http://www.fm.gov.lv/lv/sadalas/es_un_es_budzets/es_finansu_interesu_aizsardziba/normativie_akti/afcos_dokumenti/" TargetMode="External"/><Relationship Id="rId6" Type="http://schemas.openxmlformats.org/officeDocument/2006/relationships/hyperlink" Target="https://www.youtube.com/watch?v=z-UuMznai98&amp;index=23&amp;list=UUub_Y5OM2OLBwVggidOOrXA" TargetMode="External"/><Relationship Id="rId11" Type="http://schemas.openxmlformats.org/officeDocument/2006/relationships/hyperlink" Target="http://www.esfondi.lv/zinojumi-Ministru-kabinetam%20" TargetMode="External"/><Relationship Id="rId5" Type="http://schemas.openxmlformats.org/officeDocument/2006/relationships/hyperlink" Target="https://www.youtube.com/watch?v=X6S6yJ-0AC0" TargetMode="External"/><Relationship Id="rId10" Type="http://schemas.openxmlformats.org/officeDocument/2006/relationships/hyperlink" Target="https://likumi.lv/ta/id/302465-trauksmes-celsanas-likums" TargetMode="External"/><Relationship Id="rId4" Type="http://schemas.openxmlformats.org/officeDocument/2006/relationships/hyperlink" Target="https://ec.europa.eu/anti-fraud/policy/hercule_en" TargetMode="External"/><Relationship Id="rId9" Type="http://schemas.openxmlformats.org/officeDocument/2006/relationships/hyperlink" Target="http://atkrapies.lv/situacija-latvija-un-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77183581219015"/>
          <c:y val="4.3650793650793648E-2"/>
          <c:w val="0.60894776173811616"/>
          <c:h val="0.62872422197225342"/>
        </c:manualLayout>
      </c:layout>
      <c:lineChart>
        <c:grouping val="stacked"/>
        <c:varyColors val="0"/>
        <c:ser>
          <c:idx val="1"/>
          <c:order val="1"/>
          <c:tx>
            <c:strRef>
              <c:f>Sheet1!$C$1</c:f>
              <c:strCache>
                <c:ptCount val="1"/>
                <c:pt idx="0">
                  <c:v>Neatbilstību summa, EUR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151565</c:v>
                </c:pt>
                <c:pt idx="1">
                  <c:v>7016671</c:v>
                </c:pt>
                <c:pt idx="2">
                  <c:v>1360352</c:v>
                </c:pt>
                <c:pt idx="3">
                  <c:v>2720693</c:v>
                </c:pt>
              </c:numCache>
            </c:numRef>
          </c:val>
          <c:smooth val="0"/>
          <c:extLst>
            <c:ext xmlns:c16="http://schemas.microsoft.com/office/drawing/2014/chart" uri="{C3380CC4-5D6E-409C-BE32-E72D297353CC}">
              <c16:uniqueId val="{00000000-873E-4748-A5E1-E62024AFF4AE}"/>
            </c:ext>
          </c:extLst>
        </c:ser>
        <c:dLbls>
          <c:showLegendKey val="0"/>
          <c:showVal val="0"/>
          <c:showCatName val="0"/>
          <c:showSerName val="0"/>
          <c:showPercent val="0"/>
          <c:showBubbleSize val="0"/>
        </c:dLbls>
        <c:marker val="1"/>
        <c:smooth val="0"/>
        <c:axId val="312088248"/>
        <c:axId val="498785120"/>
      </c:lineChart>
      <c:lineChart>
        <c:grouping val="stacked"/>
        <c:varyColors val="0"/>
        <c:ser>
          <c:idx val="0"/>
          <c:order val="0"/>
          <c:tx>
            <c:strRef>
              <c:f>Sheet1!$B$1</c:f>
              <c:strCache>
                <c:ptCount val="1"/>
                <c:pt idx="0">
                  <c:v>Neatbilstību skaits, gab.</c:v>
                </c:pt>
              </c:strCache>
            </c:strRef>
          </c:tx>
          <c:spPr>
            <a:ln w="28575" cap="rnd">
              <a:solidFill>
                <a:schemeClr val="accent1"/>
              </a:solidFill>
              <a:round/>
            </a:ln>
            <a:effectLst/>
          </c:spPr>
          <c:marker>
            <c:symbol val="none"/>
          </c:marker>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873E-4748-A5E1-E62024AFF4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539</c:v>
                </c:pt>
                <c:pt idx="1">
                  <c:v>1736</c:v>
                </c:pt>
                <c:pt idx="2">
                  <c:v>1983</c:v>
                </c:pt>
                <c:pt idx="3">
                  <c:v>1238</c:v>
                </c:pt>
              </c:numCache>
            </c:numRef>
          </c:val>
          <c:smooth val="0"/>
          <c:extLst>
            <c:ext xmlns:c16="http://schemas.microsoft.com/office/drawing/2014/chart" uri="{C3380CC4-5D6E-409C-BE32-E72D297353CC}">
              <c16:uniqueId val="{00000002-873E-4748-A5E1-E62024AFF4AE}"/>
            </c:ext>
          </c:extLst>
        </c:ser>
        <c:dLbls>
          <c:showLegendKey val="0"/>
          <c:showVal val="0"/>
          <c:showCatName val="0"/>
          <c:showSerName val="0"/>
          <c:showPercent val="0"/>
          <c:showBubbleSize val="0"/>
        </c:dLbls>
        <c:marker val="1"/>
        <c:smooth val="0"/>
        <c:axId val="498785512"/>
        <c:axId val="498786296"/>
      </c:lineChart>
      <c:catAx>
        <c:axId val="31208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8785120"/>
        <c:crosses val="autoZero"/>
        <c:auto val="1"/>
        <c:lblAlgn val="ctr"/>
        <c:lblOffset val="100"/>
        <c:noMultiLvlLbl val="0"/>
      </c:catAx>
      <c:valAx>
        <c:axId val="49878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2088248"/>
        <c:crosses val="autoZero"/>
        <c:crossBetween val="between"/>
      </c:valAx>
      <c:valAx>
        <c:axId val="4987862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8785512"/>
        <c:crosses val="max"/>
        <c:crossBetween val="between"/>
      </c:valAx>
      <c:catAx>
        <c:axId val="498785512"/>
        <c:scaling>
          <c:orientation val="minMax"/>
        </c:scaling>
        <c:delete val="1"/>
        <c:axPos val="b"/>
        <c:numFmt formatCode="General" sourceLinked="1"/>
        <c:majorTickMark val="out"/>
        <c:minorTickMark val="none"/>
        <c:tickLblPos val="nextTo"/>
        <c:crossAx val="49878629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'9.'!$B$6</c:f>
              <c:strCache>
                <c:ptCount val="1"/>
                <c:pt idx="0">
                  <c:v>Neatbilstību summa</c:v>
                </c:pt>
              </c:strCache>
            </c:strRef>
          </c:tx>
          <c:spPr>
            <a:solidFill>
              <a:schemeClr val="accent1"/>
            </a:solidFill>
            <a:ln>
              <a:noFill/>
            </a:ln>
            <a:effectLst/>
          </c:spPr>
          <c:invertIfNegative val="0"/>
          <c:cat>
            <c:strRef>
              <c:f>'9.'!$A$7:$A$16</c:f>
              <c:strCache>
                <c:ptCount val="10"/>
                <c:pt idx="0">
                  <c:v>ERAF</c:v>
                </c:pt>
                <c:pt idx="1">
                  <c:v>ESF</c:v>
                </c:pt>
                <c:pt idx="2">
                  <c:v>KF</c:v>
                </c:pt>
                <c:pt idx="3">
                  <c:v>EJZF</c:v>
                </c:pt>
                <c:pt idx="4">
                  <c:v>ELFLA</c:v>
                </c:pt>
                <c:pt idx="5">
                  <c:v>ELGF</c:v>
                </c:pt>
                <c:pt idx="6">
                  <c:v>ETS</c:v>
                </c:pt>
                <c:pt idx="7">
                  <c:v>EAFVP</c:v>
                </c:pt>
                <c:pt idx="8">
                  <c:v>IDF</c:v>
                </c:pt>
                <c:pt idx="9">
                  <c:v>PMIF</c:v>
                </c:pt>
              </c:strCache>
            </c:strRef>
          </c:cat>
          <c:val>
            <c:numRef>
              <c:f>'9.'!$B$7:$B$16</c:f>
              <c:numCache>
                <c:formatCode>#,##0</c:formatCode>
                <c:ptCount val="10"/>
                <c:pt idx="0">
                  <c:v>719229.38</c:v>
                </c:pt>
                <c:pt idx="1">
                  <c:v>115203.97</c:v>
                </c:pt>
                <c:pt idx="2">
                  <c:v>949450.64</c:v>
                </c:pt>
                <c:pt idx="3">
                  <c:v>86162</c:v>
                </c:pt>
                <c:pt idx="4">
                  <c:v>660275</c:v>
                </c:pt>
                <c:pt idx="5" formatCode="0">
                  <c:v>75137</c:v>
                </c:pt>
                <c:pt idx="6" formatCode="0">
                  <c:v>103451</c:v>
                </c:pt>
                <c:pt idx="7">
                  <c:v>1690.67</c:v>
                </c:pt>
                <c:pt idx="8">
                  <c:v>6511.71</c:v>
                </c:pt>
                <c:pt idx="9" formatCode="0">
                  <c:v>3582.01</c:v>
                </c:pt>
              </c:numCache>
            </c:numRef>
          </c:val>
          <c:extLst>
            <c:ext xmlns:c16="http://schemas.microsoft.com/office/drawing/2014/chart" uri="{C3380CC4-5D6E-409C-BE32-E72D297353CC}">
              <c16:uniqueId val="{00000000-A66F-4F5D-AAD3-73FC7E568F25}"/>
            </c:ext>
          </c:extLst>
        </c:ser>
        <c:dLbls>
          <c:showLegendKey val="0"/>
          <c:showVal val="0"/>
          <c:showCatName val="0"/>
          <c:showSerName val="0"/>
          <c:showPercent val="0"/>
          <c:showBubbleSize val="0"/>
        </c:dLbls>
        <c:gapWidth val="150"/>
        <c:axId val="498787864"/>
        <c:axId val="498786688"/>
      </c:barChart>
      <c:lineChart>
        <c:grouping val="standard"/>
        <c:varyColors val="0"/>
        <c:ser>
          <c:idx val="1"/>
          <c:order val="1"/>
          <c:tx>
            <c:strRef>
              <c:f>'9.'!$C$6</c:f>
              <c:strCache>
                <c:ptCount val="1"/>
                <c:pt idx="0">
                  <c:v>Neatbilstību skaits</c:v>
                </c:pt>
              </c:strCache>
            </c:strRef>
          </c:tx>
          <c:spPr>
            <a:ln w="38100" cap="rnd">
              <a:solidFill>
                <a:schemeClr val="accent2"/>
              </a:solidFill>
              <a:round/>
            </a:ln>
            <a:effectLst/>
          </c:spPr>
          <c:marker>
            <c:symbol val="none"/>
          </c:marker>
          <c:cat>
            <c:strRef>
              <c:f>'9.'!$A$7:$A$16</c:f>
              <c:strCache>
                <c:ptCount val="10"/>
                <c:pt idx="0">
                  <c:v>ERAF</c:v>
                </c:pt>
                <c:pt idx="1">
                  <c:v>ESF</c:v>
                </c:pt>
                <c:pt idx="2">
                  <c:v>KF</c:v>
                </c:pt>
                <c:pt idx="3">
                  <c:v>EJZF</c:v>
                </c:pt>
                <c:pt idx="4">
                  <c:v>ELFLA</c:v>
                </c:pt>
                <c:pt idx="5">
                  <c:v>ELGF</c:v>
                </c:pt>
                <c:pt idx="6">
                  <c:v>ETS</c:v>
                </c:pt>
                <c:pt idx="7">
                  <c:v>EAFVP</c:v>
                </c:pt>
                <c:pt idx="8">
                  <c:v>IDF</c:v>
                </c:pt>
                <c:pt idx="9">
                  <c:v>PMIF</c:v>
                </c:pt>
              </c:strCache>
              <c:extLst xmlns:c15="http://schemas.microsoft.com/office/drawing/2012/chart"/>
            </c:strRef>
          </c:cat>
          <c:val>
            <c:numRef>
              <c:f>'9.'!$C$7:$C$16</c:f>
              <c:numCache>
                <c:formatCode>General</c:formatCode>
                <c:ptCount val="10"/>
                <c:pt idx="0">
                  <c:v>101</c:v>
                </c:pt>
                <c:pt idx="1">
                  <c:v>64</c:v>
                </c:pt>
                <c:pt idx="2">
                  <c:v>14</c:v>
                </c:pt>
                <c:pt idx="3">
                  <c:v>4</c:v>
                </c:pt>
                <c:pt idx="4">
                  <c:v>643</c:v>
                </c:pt>
                <c:pt idx="5">
                  <c:v>289</c:v>
                </c:pt>
                <c:pt idx="6">
                  <c:v>72</c:v>
                </c:pt>
                <c:pt idx="7" formatCode="#,##0">
                  <c:v>12</c:v>
                </c:pt>
                <c:pt idx="8">
                  <c:v>5</c:v>
                </c:pt>
                <c:pt idx="9">
                  <c:v>34</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1-A66F-4F5D-AAD3-73FC7E568F25}"/>
            </c:ext>
          </c:extLst>
        </c:ser>
        <c:dLbls>
          <c:showLegendKey val="0"/>
          <c:showVal val="0"/>
          <c:showCatName val="0"/>
          <c:showSerName val="0"/>
          <c:showPercent val="0"/>
          <c:showBubbleSize val="0"/>
        </c:dLbls>
        <c:marker val="1"/>
        <c:smooth val="0"/>
        <c:axId val="498787472"/>
        <c:axId val="498787080"/>
      </c:lineChart>
      <c:catAx>
        <c:axId val="498787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lv-LV"/>
          </a:p>
        </c:txPr>
        <c:crossAx val="498786688"/>
        <c:crosses val="autoZero"/>
        <c:auto val="1"/>
        <c:lblAlgn val="ctr"/>
        <c:lblOffset val="100"/>
        <c:noMultiLvlLbl val="0"/>
      </c:catAx>
      <c:valAx>
        <c:axId val="498786688"/>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8787864"/>
        <c:crosses val="autoZero"/>
        <c:crossBetween val="between"/>
      </c:valAx>
      <c:valAx>
        <c:axId val="49878708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8787472"/>
        <c:crosses val="max"/>
        <c:crossBetween val="between"/>
      </c:valAx>
      <c:catAx>
        <c:axId val="498787472"/>
        <c:scaling>
          <c:orientation val="minMax"/>
        </c:scaling>
        <c:delete val="1"/>
        <c:axPos val="b"/>
        <c:numFmt formatCode="General" sourceLinked="1"/>
        <c:majorTickMark val="out"/>
        <c:minorTickMark val="none"/>
        <c:tickLblPos val="nextTo"/>
        <c:crossAx val="498787080"/>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2"/>
          <c:order val="1"/>
          <c:tx>
            <c:strRef>
              <c:f>Sheet1!$C$1</c:f>
              <c:strCache>
                <c:ptCount val="1"/>
                <c:pt idx="0">
                  <c:v>2018. gads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0"/>
              <c:layout>
                <c:manualLayout>
                  <c:x val="-2.0870191804678508E-2"/>
                  <c:y val="2.24380588221202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835-46D9-BA54-2D7F187E86E0}"/>
                </c:ext>
              </c:extLst>
            </c:dLbl>
            <c:dLbl>
              <c:idx val="1"/>
              <c:layout>
                <c:manualLayout>
                  <c:x val="1.3116834463416034E-2"/>
                  <c:y val="1.828213275593366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835-46D9-BA54-2D7F187E86E0}"/>
                </c:ext>
              </c:extLst>
            </c:dLbl>
            <c:dLbl>
              <c:idx val="2"/>
              <c:layout>
                <c:manualLayout>
                  <c:x val="-1.4962124356977521E-2"/>
                  <c:y val="8.539058130028703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835-46D9-BA54-2D7F187E86E0}"/>
                </c:ext>
              </c:extLst>
            </c:dLbl>
            <c:dLbl>
              <c:idx val="3"/>
              <c:layout>
                <c:manualLayout>
                  <c:x val="-1.485920935836728E-2"/>
                  <c:y val="1.093605477037457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835-46D9-BA54-2D7F187E86E0}"/>
                </c:ext>
              </c:extLst>
            </c:dLbl>
            <c:dLbl>
              <c:idx val="4"/>
              <c:layout>
                <c:manualLayout>
                  <c:x val="-2.5147743265910877E-2"/>
                  <c:y val="6.2226264270157723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835-46D9-BA54-2D7F187E86E0}"/>
                </c:ext>
              </c:extLst>
            </c:dLbl>
            <c:dLbl>
              <c:idx val="5"/>
              <c:layout>
                <c:manualLayout>
                  <c:x val="-4.4264853860791688E-2"/>
                  <c:y val="-9.6811669033174125E-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835-46D9-BA54-2D7F187E86E0}"/>
                </c:ext>
              </c:extLst>
            </c:dLbl>
            <c:dLbl>
              <c:idx val="6"/>
              <c:layout>
                <c:manualLayout>
                  <c:x val="-8.3471790225510073E-2"/>
                  <c:y val="6.42943670502727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835-46D9-BA54-2D7F187E86E0}"/>
                </c:ext>
              </c:extLst>
            </c:dLbl>
            <c:dLbl>
              <c:idx val="7"/>
              <c:layout>
                <c:manualLayout>
                  <c:x val="-8.0308548015295855E-2"/>
                  <c:y val="-3.217182332809116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835-46D9-BA54-2D7F187E86E0}"/>
                </c:ext>
              </c:extLst>
            </c:dLbl>
            <c:dLbl>
              <c:idx val="8"/>
              <c:layout>
                <c:manualLayout>
                  <c:x val="-4.5512182280258259E-2"/>
                  <c:y val="1.02434004260105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835-46D9-BA54-2D7F187E86E0}"/>
                </c:ext>
              </c:extLst>
            </c:dLbl>
            <c:dLbl>
              <c:idx val="9"/>
              <c:layout>
                <c:manualLayout>
                  <c:x val="-0.1628804114873553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835-46D9-BA54-2D7F187E86E0}"/>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ERAF</c:v>
                </c:pt>
                <c:pt idx="1">
                  <c:v>ESF</c:v>
                </c:pt>
                <c:pt idx="2">
                  <c:v>KF</c:v>
                </c:pt>
                <c:pt idx="3">
                  <c:v>EZF/EJZF</c:v>
                </c:pt>
                <c:pt idx="4">
                  <c:v>ELFLA</c:v>
                </c:pt>
                <c:pt idx="5">
                  <c:v>ELGF</c:v>
                </c:pt>
                <c:pt idx="6">
                  <c:v>ETC</c:v>
                </c:pt>
                <c:pt idx="7">
                  <c:v>EAFVP</c:v>
                </c:pt>
                <c:pt idx="8">
                  <c:v>IDF</c:v>
                </c:pt>
                <c:pt idx="9">
                  <c:v>PMIF</c:v>
                </c:pt>
              </c:strCache>
            </c:strRef>
          </c:cat>
          <c:val>
            <c:numRef>
              <c:f>Sheet1!$C$2:$C$11</c:f>
              <c:numCache>
                <c:formatCode>#,##0</c:formatCode>
                <c:ptCount val="10"/>
                <c:pt idx="0">
                  <c:v>707290858.03999996</c:v>
                </c:pt>
                <c:pt idx="1">
                  <c:v>185856236.09</c:v>
                </c:pt>
                <c:pt idx="2">
                  <c:v>349287713.47000003</c:v>
                </c:pt>
                <c:pt idx="3">
                  <c:v>24722310</c:v>
                </c:pt>
                <c:pt idx="4">
                  <c:v>279148765</c:v>
                </c:pt>
                <c:pt idx="5">
                  <c:v>294070069</c:v>
                </c:pt>
                <c:pt idx="6">
                  <c:v>18430620</c:v>
                </c:pt>
                <c:pt idx="7">
                  <c:v>5598708</c:v>
                </c:pt>
                <c:pt idx="8">
                  <c:v>5313445.5199999996</c:v>
                </c:pt>
                <c:pt idx="9">
                  <c:v>2680238.9900000002</c:v>
                </c:pt>
              </c:numCache>
            </c:numRef>
          </c:val>
          <c:extLst>
            <c:ext xmlns:c16="http://schemas.microsoft.com/office/drawing/2014/chart" uri="{C3380CC4-5D6E-409C-BE32-E72D297353CC}">
              <c16:uniqueId val="{0000000A-9835-46D9-BA54-2D7F187E86E0}"/>
            </c:ext>
          </c:extLst>
        </c:ser>
        <c:ser>
          <c:idx val="1"/>
          <c:order val="0"/>
          <c:tx>
            <c:strRef>
              <c:f>Sheet1!$B$1</c:f>
              <c:strCache>
                <c:ptCount val="1"/>
                <c:pt idx="0">
                  <c:v>2011.gads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1"/>
              <c:layout>
                <c:manualLayout>
                  <c:x val="-3.5104002484045186E-3"/>
                  <c:y val="3.578432545743916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835-46D9-BA54-2D7F187E86E0}"/>
                </c:ext>
              </c:extLst>
            </c:dLbl>
            <c:dLbl>
              <c:idx val="2"/>
              <c:layout>
                <c:manualLayout>
                  <c:x val="2.316320779233929E-2"/>
                  <c:y val="-2.3088478145488386E-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835-46D9-BA54-2D7F187E86E0}"/>
                </c:ext>
              </c:extLst>
            </c:dLbl>
            <c:dLbl>
              <c:idx val="4"/>
              <c:layout>
                <c:manualLayout>
                  <c:x val="-5.4812161017378264E-2"/>
                  <c:y val="6.2226264270157723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835-46D9-BA54-2D7F187E86E0}"/>
                </c:ext>
              </c:extLst>
            </c:dLbl>
            <c:dLbl>
              <c:idx val="6"/>
              <c:layout>
                <c:manualLayout>
                  <c:x val="-2.1036076019858935E-2"/>
                  <c:y val="1.703197613439746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835-46D9-BA54-2D7F187E86E0}"/>
                </c:ext>
              </c:extLst>
            </c:dLbl>
            <c:dLbl>
              <c:idx val="7"/>
              <c:layout>
                <c:manualLayout>
                  <c:x val="-4.7385484711922762E-2"/>
                  <c:y val="6.2218977238500924E-3"/>
                </c:manualLayout>
              </c:layout>
              <c:tx>
                <c:rich>
                  <a:bodyPr rot="0" spcFirstLastPara="1" vertOverflow="ellipsis" vert="horz" wrap="square" lIns="38100" tIns="19050" rIns="38100" bIns="19050" anchor="ctr" anchorCtr="1">
                    <a:noAutofit/>
                  </a:bodyPr>
                  <a:lstStyle/>
                  <a:p>
                    <a:pPr>
                      <a:defRPr sz="900" b="1" i="0" u="none" strike="noStrike" kern="1200" baseline="0">
                        <a:solidFill>
                          <a:srgbClr val="FF0000"/>
                        </a:solidFill>
                        <a:latin typeface="+mn-lt"/>
                        <a:ea typeface="+mn-ea"/>
                        <a:cs typeface="+mn-cs"/>
                      </a:defRPr>
                    </a:pPr>
                    <a:r>
                      <a:rPr lang="en-US" sz="900" b="1" i="0" u="none" strike="noStrike" kern="1200" baseline="0">
                        <a:solidFill>
                          <a:srgbClr val="FF0000"/>
                        </a:solidFill>
                      </a:rPr>
                      <a:t>                  *jauni fondi</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3747660718356753"/>
                      <c:h val="5.0009080529514527E-2"/>
                    </c:manualLayout>
                  </c15:layout>
                </c:ext>
                <c:ext xmlns:c16="http://schemas.microsoft.com/office/drawing/2014/chart" uri="{C3380CC4-5D6E-409C-BE32-E72D297353CC}">
                  <c16:uniqueId val="{0000000F-9835-46D9-BA54-2D7F187E86E0}"/>
                </c:ext>
              </c:extLst>
            </c:dLbl>
            <c:dLbl>
              <c:idx val="8"/>
              <c:layout>
                <c:manualLayout>
                  <c:x val="-3.9600289099163966E-3"/>
                  <c:y val="4.5558830421968607E-3"/>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FF0000"/>
                        </a:solidFill>
                        <a:latin typeface="+mn-lt"/>
                        <a:ea typeface="+mn-ea"/>
                        <a:cs typeface="+mn-cs"/>
                      </a:defRPr>
                    </a:pPr>
                    <a:r>
                      <a:rPr lang="en-US" sz="900" b="1" i="0" u="none" strike="noStrike" kern="1200" baseline="0">
                        <a:solidFill>
                          <a:srgbClr val="FF0000"/>
                        </a:solidFill>
                      </a:rPr>
                      <a:t>           *j</a:t>
                    </a:r>
                    <a:r>
                      <a:rPr lang="en-US" sz="900" b="1" i="0" u="none" strike="noStrike" baseline="0">
                        <a:effectLst/>
                      </a:rPr>
                      <a:t>auni fondi</a:t>
                    </a:r>
                    <a:endParaRPr lang="en-US"/>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9575497231972953"/>
                      <c:h val="5.6518383460264186E-2"/>
                    </c:manualLayout>
                  </c15:layout>
                </c:ext>
                <c:ext xmlns:c16="http://schemas.microsoft.com/office/drawing/2014/chart" uri="{C3380CC4-5D6E-409C-BE32-E72D297353CC}">
                  <c16:uniqueId val="{00000010-9835-46D9-BA54-2D7F187E86E0}"/>
                </c:ext>
              </c:extLst>
            </c:dLbl>
            <c:dLbl>
              <c:idx val="9"/>
              <c:layout>
                <c:manualLayout>
                  <c:x val="-1.5373189836905693E-4"/>
                  <c:y val="-3.8167379540354207E-3"/>
                </c:manualLayout>
              </c:layout>
              <c:tx>
                <c:rich>
                  <a:bodyPr rot="0" spcFirstLastPara="1" vertOverflow="ellipsis" vert="horz" wrap="square" lIns="38100" tIns="19050" rIns="38100" bIns="19050" anchor="ctr" anchorCtr="1">
                    <a:noAutofit/>
                  </a:bodyPr>
                  <a:lstStyle/>
                  <a:p>
                    <a:pPr>
                      <a:defRPr sz="900" b="1" i="0" u="none" strike="noStrike" kern="1200" baseline="0">
                        <a:solidFill>
                          <a:srgbClr val="FF0000"/>
                        </a:solidFill>
                        <a:latin typeface="+mn-lt"/>
                        <a:ea typeface="+mn-ea"/>
                        <a:cs typeface="+mn-cs"/>
                      </a:defRPr>
                    </a:pPr>
                    <a:r>
                      <a:rPr lang="en-US"/>
                      <a:t>*</a:t>
                    </a:r>
                    <a:r>
                      <a:rPr lang="en-US" sz="900" b="1" i="0" u="none" strike="noStrike" baseline="0">
                        <a:effectLst/>
                      </a:rPr>
                      <a:t>jauni fondi</a:t>
                    </a:r>
                    <a:endParaRPr lang="en-US"/>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5521109734754266"/>
                      <c:h val="5.6679198399380397E-2"/>
                    </c:manualLayout>
                  </c15:layout>
                </c:ext>
                <c:ext xmlns:c16="http://schemas.microsoft.com/office/drawing/2014/chart" uri="{C3380CC4-5D6E-409C-BE32-E72D297353CC}">
                  <c16:uniqueId val="{00000011-9835-46D9-BA54-2D7F187E86E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Sheet1!$A$2:$A$11</c:f>
              <c:strCache>
                <c:ptCount val="10"/>
                <c:pt idx="0">
                  <c:v>ERAF</c:v>
                </c:pt>
                <c:pt idx="1">
                  <c:v>ESF</c:v>
                </c:pt>
                <c:pt idx="2">
                  <c:v>KF</c:v>
                </c:pt>
                <c:pt idx="3">
                  <c:v>EZF/EJZF</c:v>
                </c:pt>
                <c:pt idx="4">
                  <c:v>ELFLA</c:v>
                </c:pt>
                <c:pt idx="5">
                  <c:v>ELGF</c:v>
                </c:pt>
                <c:pt idx="6">
                  <c:v>ETC</c:v>
                </c:pt>
                <c:pt idx="7">
                  <c:v>EAFVP</c:v>
                </c:pt>
                <c:pt idx="8">
                  <c:v>IDF</c:v>
                </c:pt>
                <c:pt idx="9">
                  <c:v>PMIF</c:v>
                </c:pt>
              </c:strCache>
            </c:strRef>
          </c:cat>
          <c:val>
            <c:numRef>
              <c:f>Sheet1!$B$2:$B$11</c:f>
              <c:numCache>
                <c:formatCode>#,##0</c:formatCode>
                <c:ptCount val="10"/>
                <c:pt idx="0">
                  <c:v>379975020.37</c:v>
                </c:pt>
                <c:pt idx="1">
                  <c:v>146661422.55000001</c:v>
                </c:pt>
                <c:pt idx="2">
                  <c:v>186246604.02000001</c:v>
                </c:pt>
                <c:pt idx="3">
                  <c:v>29935321</c:v>
                </c:pt>
                <c:pt idx="4">
                  <c:v>242492762</c:v>
                </c:pt>
                <c:pt idx="5">
                  <c:v>214292231</c:v>
                </c:pt>
                <c:pt idx="6">
                  <c:v>16855669.66</c:v>
                </c:pt>
                <c:pt idx="7">
                  <c:v>0</c:v>
                </c:pt>
                <c:pt idx="8">
                  <c:v>0</c:v>
                </c:pt>
                <c:pt idx="9">
                  <c:v>0</c:v>
                </c:pt>
              </c:numCache>
            </c:numRef>
          </c:val>
          <c:extLst>
            <c:ext xmlns:c16="http://schemas.microsoft.com/office/drawing/2014/chart" uri="{C3380CC4-5D6E-409C-BE32-E72D297353CC}">
              <c16:uniqueId val="{00000012-9835-46D9-BA54-2D7F187E86E0}"/>
            </c:ext>
          </c:extLst>
        </c:ser>
        <c:dLbls>
          <c:showLegendKey val="0"/>
          <c:showVal val="0"/>
          <c:showCatName val="0"/>
          <c:showSerName val="0"/>
          <c:showPercent val="0"/>
          <c:showBubbleSize val="0"/>
        </c:dLbls>
        <c:gapWidth val="150"/>
        <c:overlap val="100"/>
        <c:axId val="500616720"/>
        <c:axId val="500615936"/>
      </c:barChart>
      <c:valAx>
        <c:axId val="500615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500616720"/>
        <c:crosses val="autoZero"/>
        <c:crossBetween val="between"/>
      </c:valAx>
      <c:catAx>
        <c:axId val="500616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5006159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1"/>
          <c:order val="0"/>
          <c:tx>
            <c:strRef>
              <c:f>Sheet1!$B$1</c:f>
              <c:strCache>
                <c:ptCount val="1"/>
                <c:pt idx="0">
                  <c:v>2011.gads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layout>
                <c:manualLayout>
                  <c:x val="0"/>
                  <c:y val="3.63901018922852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343-46D8-81E2-D7B9E6F38521}"/>
                </c:ext>
              </c:extLst>
            </c:dLbl>
            <c:dLbl>
              <c:idx val="1"/>
              <c:layout>
                <c:manualLayout>
                  <c:x val="-7.8452230303420897E-2"/>
                  <c:y val="1.2865476968204059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343-46D8-81E2-D7B9E6F38521}"/>
                </c:ext>
              </c:extLst>
            </c:dLbl>
            <c:dLbl>
              <c:idx val="2"/>
              <c:layout>
                <c:manualLayout>
                  <c:x val="1.866997849690864E-2"/>
                  <c:y val="-4.84661715320519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343-46D8-81E2-D7B9E6F38521}"/>
                </c:ext>
              </c:extLst>
            </c:dLbl>
            <c:dLbl>
              <c:idx val="4"/>
              <c:layout>
                <c:manualLayout>
                  <c:x val="-4.8175808020679195E-2"/>
                  <c:y val="8.657692351774805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343-46D8-81E2-D7B9E6F38521}"/>
                </c:ext>
              </c:extLst>
            </c:dLbl>
            <c:dLbl>
              <c:idx val="6"/>
              <c:layout>
                <c:manualLayout>
                  <c:x val="3.2124346916540307E-2"/>
                  <c:y val="-5.60161147978773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343-46D8-81E2-D7B9E6F38521}"/>
                </c:ext>
              </c:extLst>
            </c:dLbl>
            <c:dLbl>
              <c:idx val="7"/>
              <c:layout>
                <c:manualLayout>
                  <c:x val="-2.6176976988196762E-3"/>
                  <c:y val="-4.7416717141126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43-46D8-81E2-D7B9E6F38521}"/>
                </c:ext>
              </c:extLst>
            </c:dLbl>
            <c:dLbl>
              <c:idx val="8"/>
              <c:layout>
                <c:manualLayout>
                  <c:x val="-6.9047116441405681E-2"/>
                  <c:y val="1.3012315768220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43-46D8-81E2-D7B9E6F3852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Sheet1!$A$2:$A$8</c:f>
              <c:strCache>
                <c:ptCount val="7"/>
                <c:pt idx="0">
                  <c:v>ERAF</c:v>
                </c:pt>
                <c:pt idx="1">
                  <c:v>ESF</c:v>
                </c:pt>
                <c:pt idx="2">
                  <c:v>KF</c:v>
                </c:pt>
                <c:pt idx="3">
                  <c:v>EZF/EJZF</c:v>
                </c:pt>
                <c:pt idx="4">
                  <c:v>ELFLA</c:v>
                </c:pt>
                <c:pt idx="5">
                  <c:v>ELGF</c:v>
                </c:pt>
                <c:pt idx="6">
                  <c:v>ETS</c:v>
                </c:pt>
              </c:strCache>
            </c:strRef>
          </c:cat>
          <c:val>
            <c:numRef>
              <c:f>Sheet1!$B$2:$B$8</c:f>
              <c:numCache>
                <c:formatCode>#,##0</c:formatCode>
                <c:ptCount val="7"/>
                <c:pt idx="0">
                  <c:v>500315.95</c:v>
                </c:pt>
                <c:pt idx="1">
                  <c:v>220479.55</c:v>
                </c:pt>
                <c:pt idx="2">
                  <c:v>46427.07</c:v>
                </c:pt>
                <c:pt idx="3">
                  <c:v>56756</c:v>
                </c:pt>
                <c:pt idx="4">
                  <c:v>1929347</c:v>
                </c:pt>
                <c:pt idx="5">
                  <c:v>360946</c:v>
                </c:pt>
                <c:pt idx="6" formatCode="General">
                  <c:v>1471.25</c:v>
                </c:pt>
              </c:numCache>
            </c:numRef>
          </c:val>
          <c:extLst>
            <c:ext xmlns:c16="http://schemas.microsoft.com/office/drawing/2014/chart" uri="{C3380CC4-5D6E-409C-BE32-E72D297353CC}">
              <c16:uniqueId val="{00000007-2343-46D8-81E2-D7B9E6F38521}"/>
            </c:ext>
          </c:extLst>
        </c:ser>
        <c:ser>
          <c:idx val="2"/>
          <c:order val="1"/>
          <c:tx>
            <c:strRef>
              <c:f>Sheet1!$C$1</c:f>
              <c:strCache>
                <c:ptCount val="1"/>
                <c:pt idx="0">
                  <c:v>2018. gads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0"/>
              <c:layout>
                <c:manualLayout>
                  <c:x val="-4.6239920153770181E-2"/>
                  <c:y val="6.2613898153560501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E502C6BF-6AF5-4B78-86CF-C9D028D9F137}" type="VALUE">
                      <a:rPr lang="en-US"/>
                      <a:pPr>
                        <a:defRPr b="1">
                          <a:solidFill>
                            <a:sysClr val="windowText" lastClr="000000"/>
                          </a:solidFill>
                        </a:defRPr>
                      </a:pPr>
                      <a:t>[VALUE]</a:t>
                    </a:fld>
                    <a:endParaRPr lang="lv-LV"/>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8.2306587575236873E-2"/>
                      <c:h val="4.3613680386021619E-2"/>
                    </c:manualLayout>
                  </c15:layout>
                  <c15:dlblFieldTable/>
                  <c15:showDataLabelsRange val="0"/>
                </c:ext>
                <c:ext xmlns:c16="http://schemas.microsoft.com/office/drawing/2014/chart" uri="{C3380CC4-5D6E-409C-BE32-E72D297353CC}">
                  <c16:uniqueId val="{00000008-2343-46D8-81E2-D7B9E6F38521}"/>
                </c:ext>
              </c:extLst>
            </c:dLbl>
            <c:dLbl>
              <c:idx val="1"/>
              <c:layout>
                <c:manualLayout>
                  <c:x val="-4.3989803232343992E-2"/>
                  <c:y val="2.522378479982578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343-46D8-81E2-D7B9E6F38521}"/>
                </c:ext>
              </c:extLst>
            </c:dLbl>
            <c:dLbl>
              <c:idx val="2"/>
              <c:layout>
                <c:manualLayout>
                  <c:x val="-2.2637904140978063E-2"/>
                  <c:y val="-2.6951598299120912E-3"/>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10802999807525995"/>
                      <c:h val="5.8169721142935733E-2"/>
                    </c:manualLayout>
                  </c15:layout>
                </c:ext>
                <c:ext xmlns:c16="http://schemas.microsoft.com/office/drawing/2014/chart" uri="{C3380CC4-5D6E-409C-BE32-E72D297353CC}">
                  <c16:uniqueId val="{0000000A-2343-46D8-81E2-D7B9E6F38521}"/>
                </c:ext>
              </c:extLst>
            </c:dLbl>
            <c:dLbl>
              <c:idx val="3"/>
              <c:layout>
                <c:manualLayout>
                  <c:x val="-3.7813216606413382E-2"/>
                  <c:y val="2.040137995850888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343-46D8-81E2-D7B9E6F38521}"/>
                </c:ext>
              </c:extLst>
            </c:dLbl>
            <c:dLbl>
              <c:idx val="4"/>
              <c:layout>
                <c:manualLayout>
                  <c:x val="-7.9381156881990784E-3"/>
                  <c:y val="8.657692351774805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343-46D8-81E2-D7B9E6F38521}"/>
                </c:ext>
              </c:extLst>
            </c:dLbl>
            <c:dLbl>
              <c:idx val="5"/>
              <c:layout>
                <c:manualLayout>
                  <c:x val="-6.8210697200069329E-4"/>
                  <c:y val="4.35792960377766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343-46D8-81E2-D7B9E6F38521}"/>
                </c:ext>
              </c:extLst>
            </c:dLbl>
            <c:dLbl>
              <c:idx val="6"/>
              <c:layout>
                <c:manualLayout>
                  <c:x val="9.4383678204365586E-3"/>
                  <c:y val="6.429300049284232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2343-46D8-81E2-D7B9E6F38521}"/>
                </c:ext>
              </c:extLst>
            </c:dLbl>
            <c:dLbl>
              <c:idx val="7"/>
              <c:layout>
                <c:manualLayout>
                  <c:x val="-8.0308484571101332E-2"/>
                  <c:y val="2.1814052089642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43-46D8-81E2-D7B9E6F38521}"/>
                </c:ext>
              </c:extLst>
            </c:dLbl>
            <c:dLbl>
              <c:idx val="8"/>
              <c:layout>
                <c:manualLayout>
                  <c:x val="-4.5512122372603783E-2"/>
                  <c:y val="-7.0493640218049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343-46D8-81E2-D7B9E6F3852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ERAF</c:v>
                </c:pt>
                <c:pt idx="1">
                  <c:v>ESF</c:v>
                </c:pt>
                <c:pt idx="2">
                  <c:v>KF</c:v>
                </c:pt>
                <c:pt idx="3">
                  <c:v>EZF/EJZF</c:v>
                </c:pt>
                <c:pt idx="4">
                  <c:v>ELFLA</c:v>
                </c:pt>
                <c:pt idx="5">
                  <c:v>ELGF</c:v>
                </c:pt>
                <c:pt idx="6">
                  <c:v>ETS</c:v>
                </c:pt>
              </c:strCache>
            </c:strRef>
          </c:cat>
          <c:val>
            <c:numRef>
              <c:f>Sheet1!$C$2:$C$8</c:f>
              <c:numCache>
                <c:formatCode>#,##0</c:formatCode>
                <c:ptCount val="7"/>
                <c:pt idx="0">
                  <c:v>719229.38</c:v>
                </c:pt>
                <c:pt idx="1">
                  <c:v>115203.97</c:v>
                </c:pt>
                <c:pt idx="2">
                  <c:v>949450.64</c:v>
                </c:pt>
                <c:pt idx="3">
                  <c:v>86162</c:v>
                </c:pt>
                <c:pt idx="4">
                  <c:v>660275</c:v>
                </c:pt>
                <c:pt idx="5">
                  <c:v>75137</c:v>
                </c:pt>
                <c:pt idx="6">
                  <c:v>103451</c:v>
                </c:pt>
              </c:numCache>
            </c:numRef>
          </c:val>
          <c:extLst>
            <c:ext xmlns:c16="http://schemas.microsoft.com/office/drawing/2014/chart" uri="{C3380CC4-5D6E-409C-BE32-E72D297353CC}">
              <c16:uniqueId val="{00000011-2343-46D8-81E2-D7B9E6F38521}"/>
            </c:ext>
          </c:extLst>
        </c:ser>
        <c:dLbls>
          <c:showLegendKey val="0"/>
          <c:showVal val="0"/>
          <c:showCatName val="0"/>
          <c:showSerName val="0"/>
          <c:showPercent val="0"/>
          <c:showBubbleSize val="0"/>
        </c:dLbls>
        <c:gapWidth val="150"/>
        <c:overlap val="100"/>
        <c:axId val="500617896"/>
        <c:axId val="500616328"/>
      </c:barChart>
      <c:valAx>
        <c:axId val="500616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500617896"/>
        <c:crosses val="autoZero"/>
        <c:crossBetween val="between"/>
      </c:valAx>
      <c:catAx>
        <c:axId val="500617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v-LV"/>
          </a:p>
        </c:txPr>
        <c:crossAx val="500616328"/>
        <c:crosses val="autoZero"/>
        <c:auto val="1"/>
        <c:lblAlgn val="ctr"/>
        <c:lblOffset val="100"/>
        <c:noMultiLvlLbl val="0"/>
      </c:cat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1"/>
          <c:order val="0"/>
          <c:tx>
            <c:strRef>
              <c:f>Sheet1!$B$1</c:f>
              <c:strCache>
                <c:ptCount val="1"/>
                <c:pt idx="0">
                  <c:v>2011.gads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layout>
                <c:manualLayout>
                  <c:x val="5.9727906205065809E-2"/>
                  <c:y val="3.63901018922852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CB2-4538-8C9C-860A7983B52F}"/>
                </c:ext>
              </c:extLst>
            </c:dLbl>
            <c:dLbl>
              <c:idx val="1"/>
              <c:layout>
                <c:manualLayout>
                  <c:x val="2.7730714061140544E-2"/>
                  <c:y val="1.2865476968204059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CB2-4538-8C9C-860A7983B52F}"/>
                </c:ext>
              </c:extLst>
            </c:dLbl>
            <c:dLbl>
              <c:idx val="2"/>
              <c:layout>
                <c:manualLayout>
                  <c:x val="-6.7603663799297511E-2"/>
                  <c:y val="2.47997111714747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CB2-4538-8C9C-860A7983B52F}"/>
                </c:ext>
              </c:extLst>
            </c:dLbl>
            <c:dLbl>
              <c:idx val="3"/>
              <c:layout>
                <c:manualLayout>
                  <c:x val="-2.875788076540205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CB2-4538-8C9C-860A7983B52F}"/>
                </c:ext>
              </c:extLst>
            </c:dLbl>
            <c:dLbl>
              <c:idx val="4"/>
              <c:layout>
                <c:manualLayout>
                  <c:x val="9.3401451132069394E-2"/>
                  <c:y val="5.018682162546209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CB2-4538-8C9C-860A7983B52F}"/>
                </c:ext>
              </c:extLst>
            </c:dLbl>
            <c:dLbl>
              <c:idx val="6"/>
              <c:layout>
                <c:manualLayout>
                  <c:x val="3.3664661511382328E-3"/>
                  <c:y val="-5.60161147978773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CB2-4538-8C9C-860A7983B52F}"/>
                </c:ext>
              </c:extLst>
            </c:dLbl>
            <c:dLbl>
              <c:idx val="7"/>
              <c:layout>
                <c:manualLayout>
                  <c:x val="-2.6176976988196762E-3"/>
                  <c:y val="-4.7416717141126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B2-4538-8C9C-860A7983B52F}"/>
                </c:ext>
              </c:extLst>
            </c:dLbl>
            <c:dLbl>
              <c:idx val="8"/>
              <c:layout>
                <c:manualLayout>
                  <c:x val="-6.9047116441405681E-2"/>
                  <c:y val="1.30123157682203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B2-4538-8C9C-860A7983B52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Sheet1!$A$2:$A$8</c:f>
              <c:strCache>
                <c:ptCount val="7"/>
                <c:pt idx="0">
                  <c:v>ERAF</c:v>
                </c:pt>
                <c:pt idx="1">
                  <c:v>ESF</c:v>
                </c:pt>
                <c:pt idx="2">
                  <c:v>KF</c:v>
                </c:pt>
                <c:pt idx="3">
                  <c:v>EZF/EJZF</c:v>
                </c:pt>
                <c:pt idx="4">
                  <c:v>ELFLA</c:v>
                </c:pt>
                <c:pt idx="5">
                  <c:v>ELGF</c:v>
                </c:pt>
                <c:pt idx="6">
                  <c:v>ETS</c:v>
                </c:pt>
              </c:strCache>
            </c:strRef>
          </c:cat>
          <c:val>
            <c:numRef>
              <c:f>Sheet1!$B$2:$B$8</c:f>
              <c:numCache>
                <c:formatCode>General</c:formatCode>
                <c:ptCount val="7"/>
                <c:pt idx="0">
                  <c:v>131</c:v>
                </c:pt>
                <c:pt idx="1">
                  <c:v>90</c:v>
                </c:pt>
                <c:pt idx="2">
                  <c:v>30</c:v>
                </c:pt>
                <c:pt idx="3">
                  <c:v>8</c:v>
                </c:pt>
                <c:pt idx="4">
                  <c:v>1085</c:v>
                </c:pt>
                <c:pt idx="5">
                  <c:v>752</c:v>
                </c:pt>
                <c:pt idx="6">
                  <c:v>1</c:v>
                </c:pt>
              </c:numCache>
            </c:numRef>
          </c:val>
          <c:extLst>
            <c:ext xmlns:c16="http://schemas.microsoft.com/office/drawing/2014/chart" uri="{C3380CC4-5D6E-409C-BE32-E72D297353CC}">
              <c16:uniqueId val="{00000008-8CB2-4538-8C9C-860A7983B52F}"/>
            </c:ext>
          </c:extLst>
        </c:ser>
        <c:ser>
          <c:idx val="2"/>
          <c:order val="1"/>
          <c:tx>
            <c:strRef>
              <c:f>Sheet1!$C$1</c:f>
              <c:strCache>
                <c:ptCount val="1"/>
                <c:pt idx="0">
                  <c:v>2018. gads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0"/>
              <c:layout>
                <c:manualLayout>
                  <c:x val="4.847732159793487E-3"/>
                  <c:y val="2.622379626127520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CB2-4538-8C9C-860A7983B52F}"/>
                </c:ext>
              </c:extLst>
            </c:dLbl>
            <c:dLbl>
              <c:idx val="1"/>
              <c:layout>
                <c:manualLayout>
                  <c:x val="-4.3989803232343992E-2"/>
                  <c:y val="2.522378479982578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CB2-4538-8C9C-860A7983B52F}"/>
                </c:ext>
              </c:extLst>
            </c:dLbl>
            <c:dLbl>
              <c:idx val="2"/>
              <c:layout>
                <c:manualLayout>
                  <c:x val="-2.7286020726227937E-3"/>
                  <c:y val="-6.334170019140620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CB2-4538-8C9C-860A7983B52F}"/>
                </c:ext>
              </c:extLst>
            </c:dLbl>
            <c:dLbl>
              <c:idx val="3"/>
              <c:layout>
                <c:manualLayout>
                  <c:x val="-3.7813216606413305E-2"/>
                  <c:y val="-8.876892571834634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CB2-4538-8C9C-860A7983B52F}"/>
                </c:ext>
              </c:extLst>
            </c:dLbl>
            <c:dLbl>
              <c:idx val="4"/>
              <c:layout>
                <c:manualLayout>
                  <c:x val="-1.8998839059507562E-2"/>
                  <c:y val="5.018682162546209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CB2-4538-8C9C-860A7983B52F}"/>
                </c:ext>
              </c:extLst>
            </c:dLbl>
            <c:dLbl>
              <c:idx val="5"/>
              <c:layout>
                <c:manualLayout>
                  <c:x val="-5.1063963205240865E-3"/>
                  <c:y val="7.99693979300622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CB2-4538-8C9C-860A7983B52F}"/>
                </c:ext>
              </c:extLst>
            </c:dLbl>
            <c:dLbl>
              <c:idx val="6"/>
              <c:layout>
                <c:manualLayout>
                  <c:x val="-8.3471790225510073E-2"/>
                  <c:y val="6.429436705027279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CB2-4538-8C9C-860A7983B52F}"/>
                </c:ext>
              </c:extLst>
            </c:dLbl>
            <c:dLbl>
              <c:idx val="7"/>
              <c:layout>
                <c:manualLayout>
                  <c:x val="-8.0308484571101332E-2"/>
                  <c:y val="2.1814052089642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CB2-4538-8C9C-860A7983B52F}"/>
                </c:ext>
              </c:extLst>
            </c:dLbl>
            <c:dLbl>
              <c:idx val="8"/>
              <c:layout>
                <c:manualLayout>
                  <c:x val="-4.5512122372603783E-2"/>
                  <c:y val="-7.0493640218049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CB2-4538-8C9C-860A7983B52F}"/>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ERAF</c:v>
                </c:pt>
                <c:pt idx="1">
                  <c:v>ESF</c:v>
                </c:pt>
                <c:pt idx="2">
                  <c:v>KF</c:v>
                </c:pt>
                <c:pt idx="3">
                  <c:v>EZF/EJZF</c:v>
                </c:pt>
                <c:pt idx="4">
                  <c:v>ELFLA</c:v>
                </c:pt>
                <c:pt idx="5">
                  <c:v>ELGF</c:v>
                </c:pt>
                <c:pt idx="6">
                  <c:v>ETS</c:v>
                </c:pt>
              </c:strCache>
            </c:strRef>
          </c:cat>
          <c:val>
            <c:numRef>
              <c:f>Sheet1!$C$2:$C$8</c:f>
              <c:numCache>
                <c:formatCode>General</c:formatCode>
                <c:ptCount val="7"/>
                <c:pt idx="0">
                  <c:v>101</c:v>
                </c:pt>
                <c:pt idx="1">
                  <c:v>64</c:v>
                </c:pt>
                <c:pt idx="2">
                  <c:v>14</c:v>
                </c:pt>
                <c:pt idx="3">
                  <c:v>4</c:v>
                </c:pt>
                <c:pt idx="4">
                  <c:v>643</c:v>
                </c:pt>
                <c:pt idx="5">
                  <c:v>289</c:v>
                </c:pt>
                <c:pt idx="6">
                  <c:v>72</c:v>
                </c:pt>
              </c:numCache>
            </c:numRef>
          </c:val>
          <c:extLst>
            <c:ext xmlns:c16="http://schemas.microsoft.com/office/drawing/2014/chart" uri="{C3380CC4-5D6E-409C-BE32-E72D297353CC}">
              <c16:uniqueId val="{00000012-8CB2-4538-8C9C-860A7983B52F}"/>
            </c:ext>
          </c:extLst>
        </c:ser>
        <c:dLbls>
          <c:showLegendKey val="0"/>
          <c:showVal val="0"/>
          <c:showCatName val="0"/>
          <c:showSerName val="0"/>
          <c:showPercent val="0"/>
          <c:showBubbleSize val="0"/>
        </c:dLbls>
        <c:gapWidth val="150"/>
        <c:overlap val="100"/>
        <c:axId val="500614760"/>
        <c:axId val="500615544"/>
      </c:barChart>
      <c:valAx>
        <c:axId val="500615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500614760"/>
        <c:crosses val="autoZero"/>
        <c:crossBetween val="between"/>
      </c:valAx>
      <c:catAx>
        <c:axId val="500614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lv-LV"/>
          </a:p>
        </c:txPr>
        <c:crossAx val="500615544"/>
        <c:crosses val="autoZero"/>
        <c:auto val="1"/>
        <c:lblAlgn val="ctr"/>
        <c:lblOffset val="100"/>
        <c:noMultiLvlLbl val="0"/>
      </c:cat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0FF5-987C-4598-AD65-4E5A73DE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27</Pages>
  <Words>44045</Words>
  <Characters>25107</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Apvienotais informatīvais ziņojums "Par veiktajiem krāpšanas apkarošanas un Eiropas Savienības finanšu interešu aizsardzības pasākumiem 2018. gadā un AFCOS darbības stratēģijas un pasākuma plāna 2017.-2019. gadam izpildi"</vt:lpstr>
    </vt:vector>
  </TitlesOfParts>
  <Manager>nata.lasmane@fm.gov.lv</Manager>
  <Company>Finanšu ministrija</Company>
  <LinksUpToDate>false</LinksUpToDate>
  <CharactersWithSpaces>69014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Apvienotais informatīvais ziņojums "Par veiktajiem krāpšanas apkarošanas un Eiropas Savienības finanšu interešu aizsardzības pasākumiem 2018. gadā un AFCOS darbības stratēģijas un pasākuma plāna 2017.-2019. gadam izpildi"</dc:title>
  <dc:subject>Apvienotais informatīvais ziņojums Ministru Kabinetam</dc:subject>
  <dc:creator>Inese Dolgais</dc:creator>
  <cp:keywords/>
  <dc:description>67083821, inese.dolgais@fm.gov.lv</dc:description>
  <cp:lastModifiedBy>Inese Dolgais</cp:lastModifiedBy>
  <cp:revision>61</cp:revision>
  <cp:lastPrinted>2019-02-01T10:56:00Z</cp:lastPrinted>
  <dcterms:created xsi:type="dcterms:W3CDTF">2019-02-01T11:54:00Z</dcterms:created>
  <dcterms:modified xsi:type="dcterms:W3CDTF">2019-02-27T12:53:00Z</dcterms:modified>
</cp:coreProperties>
</file>