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17C" w:rsidRDefault="0038517C" w:rsidP="0038517C">
      <w:pPr>
        <w:shd w:val="clear" w:color="auto" w:fill="FFFFFF"/>
        <w:jc w:val="center"/>
        <w:rPr>
          <w:b/>
          <w:bCs/>
        </w:rPr>
      </w:pPr>
      <w:bookmarkStart w:id="0" w:name="_gjdgxs" w:colFirst="0" w:colLast="0"/>
      <w:bookmarkEnd w:id="0"/>
      <w:r w:rsidRPr="0038517C">
        <w:rPr>
          <w:b/>
          <w:bCs/>
        </w:rPr>
        <w:t xml:space="preserve">Ministru kabineta </w:t>
      </w:r>
      <w:r w:rsidR="00672264">
        <w:rPr>
          <w:b/>
          <w:bCs/>
        </w:rPr>
        <w:t>noteikumu</w:t>
      </w:r>
      <w:r w:rsidRPr="0038517C">
        <w:rPr>
          <w:b/>
          <w:bCs/>
        </w:rPr>
        <w:t xml:space="preserve"> projekta</w:t>
      </w:r>
    </w:p>
    <w:p w:rsidR="000C7EFF" w:rsidRDefault="0038517C" w:rsidP="0038517C">
      <w:pPr>
        <w:shd w:val="clear" w:color="auto" w:fill="FFFFFF"/>
        <w:jc w:val="center"/>
        <w:rPr>
          <w:b/>
        </w:rPr>
      </w:pPr>
      <w:r w:rsidRPr="0038517C">
        <w:rPr>
          <w:b/>
          <w:bCs/>
        </w:rPr>
        <w:t xml:space="preserve"> </w:t>
      </w:r>
      <w:r w:rsidR="00672264">
        <w:rPr>
          <w:b/>
          <w:bCs/>
        </w:rPr>
        <w:t>“</w:t>
      </w:r>
      <w:r w:rsidRPr="0038517C">
        <w:rPr>
          <w:b/>
          <w:bCs/>
        </w:rPr>
        <w:t xml:space="preserve">Grozījumi Ministru kabineta 2011.gada 27.decembra noteikumos Nr.1025 </w:t>
      </w:r>
      <w:r w:rsidR="00672264">
        <w:rPr>
          <w:b/>
          <w:bCs/>
        </w:rPr>
        <w:t>“</w:t>
      </w:r>
      <w:r w:rsidRPr="0038517C">
        <w:rPr>
          <w:b/>
          <w:bCs/>
        </w:rPr>
        <w:t>Noteikumi par rīcību ar lietiskajiem pierādījumiem un arestēto mantu””</w:t>
      </w:r>
      <w:r>
        <w:rPr>
          <w:b/>
          <w:bCs/>
          <w:sz w:val="28"/>
          <w:szCs w:val="28"/>
        </w:rPr>
        <w:t xml:space="preserve"> </w:t>
      </w:r>
      <w:r w:rsidR="00E203EE">
        <w:rPr>
          <w:b/>
        </w:rPr>
        <w:t>sākotnējās ietekmes novērtējuma ziņojums (anotācija)</w:t>
      </w:r>
    </w:p>
    <w:p w:rsidR="0038517C" w:rsidRDefault="0038517C" w:rsidP="0038517C">
      <w:pPr>
        <w:shd w:val="clear" w:color="auto" w:fill="FFFFFF"/>
        <w:jc w:val="center"/>
        <w:rPr>
          <w:b/>
        </w:rPr>
      </w:pPr>
    </w:p>
    <w:p w:rsidR="000C7EFF" w:rsidRDefault="000C7EFF">
      <w:pPr>
        <w:shd w:val="clear" w:color="auto" w:fill="FFFFFF"/>
        <w:ind w:firstLine="300"/>
        <w:jc w:val="center"/>
      </w:pPr>
    </w:p>
    <w:tbl>
      <w:tblPr>
        <w:tblStyle w:val="a"/>
        <w:tblW w:w="8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7"/>
        <w:gridCol w:w="5405"/>
      </w:tblGrid>
      <w:tr w:rsidR="000C7EFF">
        <w:tc>
          <w:tcPr>
            <w:tcW w:w="8522" w:type="dxa"/>
            <w:gridSpan w:val="2"/>
            <w:tcBorders>
              <w:top w:val="single" w:sz="4" w:space="0" w:color="000000"/>
              <w:left w:val="single" w:sz="4" w:space="0" w:color="000000"/>
              <w:bottom w:val="single" w:sz="4" w:space="0" w:color="000000"/>
              <w:right w:val="single" w:sz="4" w:space="0" w:color="000000"/>
            </w:tcBorders>
            <w:shd w:val="clear" w:color="auto" w:fill="FFFFFF"/>
          </w:tcPr>
          <w:p w:rsidR="000C7EFF" w:rsidRPr="00151A8E" w:rsidRDefault="00E203EE">
            <w:pPr>
              <w:jc w:val="center"/>
              <w:rPr>
                <w:rFonts w:ascii="Times New Roman" w:hAnsi="Times New Roman" w:cs="Times New Roman"/>
                <w:b/>
              </w:rPr>
            </w:pPr>
            <w:r w:rsidRPr="00151A8E">
              <w:rPr>
                <w:rFonts w:ascii="Times New Roman" w:hAnsi="Times New Roman" w:cs="Times New Roman"/>
                <w:b/>
              </w:rPr>
              <w:t xml:space="preserve">Tiesību akta projekta anotācijas kopsavilkums </w:t>
            </w:r>
          </w:p>
        </w:tc>
      </w:tr>
      <w:tr w:rsidR="000C7EFF">
        <w:tc>
          <w:tcPr>
            <w:tcW w:w="3117" w:type="dxa"/>
            <w:tcBorders>
              <w:top w:val="single" w:sz="4" w:space="0" w:color="000000"/>
              <w:left w:val="single" w:sz="4" w:space="0" w:color="000000"/>
              <w:bottom w:val="single" w:sz="4" w:space="0" w:color="000000"/>
              <w:right w:val="single" w:sz="4" w:space="0" w:color="000000"/>
            </w:tcBorders>
            <w:shd w:val="clear" w:color="auto" w:fill="FFFFFF"/>
          </w:tcPr>
          <w:p w:rsidR="000C7EFF" w:rsidRPr="00151A8E" w:rsidRDefault="00E203EE">
            <w:pPr>
              <w:rPr>
                <w:rFonts w:ascii="Times New Roman" w:hAnsi="Times New Roman" w:cs="Times New Roman"/>
              </w:rPr>
            </w:pPr>
            <w:r w:rsidRPr="00151A8E">
              <w:rPr>
                <w:rFonts w:ascii="Times New Roman" w:hAnsi="Times New Roman" w:cs="Times New Roman"/>
              </w:rPr>
              <w:t xml:space="preserve">Mērķis, risinājums un projekta spēkā stāšanās laiks </w:t>
            </w:r>
          </w:p>
        </w:tc>
        <w:tc>
          <w:tcPr>
            <w:tcW w:w="5405" w:type="dxa"/>
            <w:tcBorders>
              <w:top w:val="single" w:sz="4" w:space="0" w:color="000000"/>
              <w:left w:val="single" w:sz="4" w:space="0" w:color="000000"/>
              <w:bottom w:val="single" w:sz="4" w:space="0" w:color="000000"/>
              <w:right w:val="single" w:sz="4" w:space="0" w:color="000000"/>
            </w:tcBorders>
            <w:shd w:val="clear" w:color="auto" w:fill="FFFFFF"/>
          </w:tcPr>
          <w:p w:rsidR="008F6DF3" w:rsidRDefault="0067151A" w:rsidP="008F6DF3">
            <w:pPr>
              <w:ind w:firstLine="287"/>
              <w:jc w:val="both"/>
              <w:rPr>
                <w:rFonts w:ascii="Times New Roman" w:hAnsi="Times New Roman" w:cs="Times New Roman"/>
              </w:rPr>
            </w:pPr>
            <w:r w:rsidRPr="0067151A">
              <w:rPr>
                <w:rFonts w:ascii="Times New Roman" w:hAnsi="Times New Roman" w:cs="Times New Roman"/>
              </w:rPr>
              <w:t xml:space="preserve">Ministru kabineta noteikumu projekta „Grozījumi Ministru kabineta 2011.gada 27.decembra noteikumos Nr. 1025 </w:t>
            </w:r>
            <w:r w:rsidRPr="0067151A">
              <w:rPr>
                <w:rFonts w:ascii="Times New Roman" w:hAnsi="Times New Roman" w:cs="Times New Roman"/>
                <w:bCs/>
                <w:color w:val="auto"/>
              </w:rPr>
              <w:t>“Noteikumi par rīcību ar lietiskajiem pierādījumiem un arestēto mantu””</w:t>
            </w:r>
            <w:proofErr w:type="gramStart"/>
            <w:r w:rsidRPr="0067151A">
              <w:rPr>
                <w:rFonts w:ascii="Times New Roman" w:hAnsi="Times New Roman" w:cs="Times New Roman"/>
                <w:bCs/>
                <w:color w:val="auto"/>
              </w:rPr>
              <w:t xml:space="preserve"> </w:t>
            </w:r>
            <w:r w:rsidRPr="0067151A">
              <w:rPr>
                <w:rFonts w:ascii="Times New Roman" w:hAnsi="Times New Roman" w:cs="Times New Roman"/>
              </w:rPr>
              <w:t xml:space="preserve"> </w:t>
            </w:r>
            <w:proofErr w:type="gramEnd"/>
            <w:r w:rsidRPr="0067151A">
              <w:rPr>
                <w:rFonts w:ascii="Times New Roman" w:hAnsi="Times New Roman" w:cs="Times New Roman"/>
              </w:rPr>
              <w:t xml:space="preserve">(turpmāk – projekts) mērķis ir noteikt izsoļu </w:t>
            </w:r>
            <w:r w:rsidR="008F6DF3">
              <w:rPr>
                <w:rFonts w:ascii="Times New Roman" w:hAnsi="Times New Roman" w:cs="Times New Roman"/>
              </w:rPr>
              <w:t>organizēšanas kārtību.</w:t>
            </w:r>
          </w:p>
          <w:p w:rsidR="0067151A" w:rsidRPr="00892818" w:rsidRDefault="0067151A" w:rsidP="008F6DF3">
            <w:pPr>
              <w:ind w:firstLine="287"/>
              <w:jc w:val="both"/>
              <w:rPr>
                <w:rFonts w:ascii="Times New Roman" w:hAnsi="Times New Roman" w:cs="Times New Roman"/>
              </w:rPr>
            </w:pPr>
            <w:r>
              <w:rPr>
                <w:rFonts w:ascii="Times New Roman" w:eastAsia="Times New Roman" w:hAnsi="Times New Roman" w:cs="Times New Roman"/>
                <w:iCs/>
              </w:rPr>
              <w:t xml:space="preserve">    </w:t>
            </w:r>
            <w:r w:rsidRPr="0067151A">
              <w:rPr>
                <w:rFonts w:ascii="Times New Roman" w:eastAsia="Times New Roman" w:hAnsi="Times New Roman" w:cs="Times New Roman"/>
                <w:iCs/>
              </w:rPr>
              <w:t xml:space="preserve">Projekts </w:t>
            </w:r>
            <w:r w:rsidRPr="0067151A">
              <w:rPr>
                <w:rFonts w:ascii="Times New Roman" w:hAnsi="Times New Roman" w:cs="Times New Roman"/>
              </w:rPr>
              <w:t xml:space="preserve">stāsies </w:t>
            </w:r>
            <w:r>
              <w:rPr>
                <w:rFonts w:ascii="Times New Roman" w:hAnsi="Times New Roman" w:cs="Times New Roman"/>
              </w:rPr>
              <w:t xml:space="preserve">spēkā </w:t>
            </w:r>
            <w:r w:rsidRPr="0067151A">
              <w:rPr>
                <w:rFonts w:ascii="Times New Roman" w:hAnsi="Times New Roman" w:cs="Times New Roman"/>
              </w:rPr>
              <w:t>pēc to pieņemšanas Ministru kabinetā vispārīgā kārtībā.</w:t>
            </w:r>
          </w:p>
        </w:tc>
      </w:tr>
    </w:tbl>
    <w:p w:rsidR="0038517C" w:rsidRDefault="0038517C" w:rsidP="00321E25">
      <w:pPr>
        <w:shd w:val="clear" w:color="auto" w:fill="FFFFFF"/>
      </w:pPr>
    </w:p>
    <w:p w:rsidR="008F6DF3" w:rsidRDefault="008F6DF3" w:rsidP="00321E25">
      <w:pPr>
        <w:shd w:val="clear" w:color="auto" w:fill="FFFFFF"/>
      </w:pPr>
    </w:p>
    <w:tbl>
      <w:tblPr>
        <w:tblStyle w:val="a0"/>
        <w:tblW w:w="8572" w:type="dxa"/>
        <w:tblInd w:w="-112" w:type="dxa"/>
        <w:tblBorders>
          <w:top w:val="single" w:sz="6" w:space="0" w:color="414142"/>
          <w:left w:val="single" w:sz="6" w:space="0" w:color="414142"/>
          <w:bottom w:val="single" w:sz="6" w:space="0" w:color="414142"/>
          <w:right w:val="single" w:sz="6" w:space="0" w:color="414142"/>
        </w:tblBorders>
        <w:tblLayout w:type="fixed"/>
        <w:tblLook w:val="0400" w:firstRow="0" w:lastRow="0" w:firstColumn="0" w:lastColumn="0" w:noHBand="0" w:noVBand="1"/>
      </w:tblPr>
      <w:tblGrid>
        <w:gridCol w:w="520"/>
        <w:gridCol w:w="2592"/>
        <w:gridCol w:w="5460"/>
      </w:tblGrid>
      <w:tr w:rsidR="000C7EFF">
        <w:trPr>
          <w:trHeight w:val="240"/>
        </w:trPr>
        <w:tc>
          <w:tcPr>
            <w:tcW w:w="8572" w:type="dxa"/>
            <w:gridSpan w:val="3"/>
            <w:tcBorders>
              <w:top w:val="single" w:sz="6" w:space="0" w:color="414142"/>
              <w:left w:val="single" w:sz="6" w:space="0" w:color="414142"/>
              <w:bottom w:val="single" w:sz="6" w:space="0" w:color="414142"/>
              <w:right w:val="single" w:sz="6" w:space="0" w:color="414142"/>
            </w:tcBorders>
            <w:vAlign w:val="center"/>
          </w:tcPr>
          <w:p w:rsidR="000C7EFF" w:rsidRDefault="00E203EE">
            <w:pPr>
              <w:jc w:val="center"/>
              <w:rPr>
                <w:b/>
              </w:rPr>
            </w:pPr>
            <w:r>
              <w:rPr>
                <w:b/>
              </w:rPr>
              <w:t>I. Tiesību akta projekta izstrādes nepieciešamība</w:t>
            </w:r>
          </w:p>
        </w:tc>
      </w:tr>
      <w:tr w:rsidR="000C7EFF">
        <w:trPr>
          <w:trHeight w:val="180"/>
        </w:trPr>
        <w:tc>
          <w:tcPr>
            <w:tcW w:w="520" w:type="dxa"/>
            <w:tcBorders>
              <w:top w:val="single" w:sz="6" w:space="0" w:color="414142"/>
              <w:left w:val="single" w:sz="6" w:space="0" w:color="414142"/>
              <w:bottom w:val="single" w:sz="6" w:space="0" w:color="414142"/>
              <w:right w:val="single" w:sz="6" w:space="0" w:color="414142"/>
            </w:tcBorders>
          </w:tcPr>
          <w:p w:rsidR="000C7EFF" w:rsidRDefault="00E203EE">
            <w:pPr>
              <w:jc w:val="center"/>
            </w:pPr>
            <w:r>
              <w:t>1.</w:t>
            </w:r>
          </w:p>
        </w:tc>
        <w:tc>
          <w:tcPr>
            <w:tcW w:w="2592" w:type="dxa"/>
            <w:tcBorders>
              <w:top w:val="single" w:sz="6" w:space="0" w:color="414142"/>
              <w:left w:val="single" w:sz="6" w:space="0" w:color="414142"/>
              <w:bottom w:val="single" w:sz="6" w:space="0" w:color="414142"/>
              <w:right w:val="single" w:sz="6" w:space="0" w:color="414142"/>
            </w:tcBorders>
          </w:tcPr>
          <w:p w:rsidR="000C7EFF" w:rsidRDefault="00E203EE">
            <w:r>
              <w:t>Pamatojums</w:t>
            </w:r>
          </w:p>
        </w:tc>
        <w:tc>
          <w:tcPr>
            <w:tcW w:w="5460" w:type="dxa"/>
            <w:tcBorders>
              <w:top w:val="single" w:sz="6" w:space="0" w:color="414142"/>
              <w:left w:val="single" w:sz="6" w:space="0" w:color="414142"/>
              <w:bottom w:val="single" w:sz="6" w:space="0" w:color="414142"/>
              <w:right w:val="single" w:sz="6" w:space="0" w:color="414142"/>
            </w:tcBorders>
          </w:tcPr>
          <w:p w:rsidR="000C7EFF" w:rsidRPr="00DD2547" w:rsidRDefault="00DD2547">
            <w:pPr>
              <w:ind w:firstLine="402"/>
              <w:jc w:val="both"/>
            </w:pPr>
            <w:r w:rsidRPr="00DD2547">
              <w:t xml:space="preserve">Ministru kabineta 2017.gada 10.oktobra sēdē (prot. Nr. 50, 12.§ 4.punkts) Iekšlietu ministrijai dots uzdevums izvērtēt to kompetencē esošos tiesību aktus un nepieciešamības gadījumā līdz 2018.gada 30. novembrim noteiktā kārtībā iesniegt izskatīšanai Ministru kabinetā grozījumus tiesību aktos, paredzot kārtību, kādā </w:t>
            </w:r>
            <w:r>
              <w:t xml:space="preserve">Nodrošinājuma valsts aģentūra (turpmāk – </w:t>
            </w:r>
            <w:r w:rsidRPr="00DD2547">
              <w:t>Aģentūra</w:t>
            </w:r>
            <w:r>
              <w:t>)</w:t>
            </w:r>
            <w:r w:rsidRPr="00DD2547">
              <w:t xml:space="preserve"> tiesību aktos noteiktajos gadījumos organizē kustamas mantas izsoles.</w:t>
            </w:r>
          </w:p>
        </w:tc>
      </w:tr>
      <w:tr w:rsidR="000C7EFF">
        <w:trPr>
          <w:trHeight w:val="460"/>
        </w:trPr>
        <w:tc>
          <w:tcPr>
            <w:tcW w:w="520" w:type="dxa"/>
            <w:tcBorders>
              <w:top w:val="single" w:sz="6" w:space="0" w:color="414142"/>
              <w:left w:val="single" w:sz="6" w:space="0" w:color="414142"/>
              <w:bottom w:val="single" w:sz="6" w:space="0" w:color="414142"/>
              <w:right w:val="single" w:sz="6" w:space="0" w:color="414142"/>
            </w:tcBorders>
          </w:tcPr>
          <w:p w:rsidR="000C7EFF" w:rsidRDefault="00E203EE">
            <w:pPr>
              <w:jc w:val="center"/>
            </w:pPr>
            <w:r>
              <w:t>2.</w:t>
            </w:r>
          </w:p>
        </w:tc>
        <w:tc>
          <w:tcPr>
            <w:tcW w:w="2592" w:type="dxa"/>
            <w:tcBorders>
              <w:top w:val="single" w:sz="6" w:space="0" w:color="414142"/>
              <w:left w:val="single" w:sz="6" w:space="0" w:color="414142"/>
              <w:bottom w:val="single" w:sz="6" w:space="0" w:color="414142"/>
              <w:right w:val="single" w:sz="6" w:space="0" w:color="414142"/>
            </w:tcBorders>
          </w:tcPr>
          <w:p w:rsidR="000C7EFF" w:rsidRDefault="00E203EE">
            <w:r>
              <w:t>Pašreizējā situācija un problēmas, kuru risināšanai tiesību akta projekts izstrādāts, tiesiskā regulējuma mērķis un būtība</w:t>
            </w:r>
          </w:p>
        </w:tc>
        <w:tc>
          <w:tcPr>
            <w:tcW w:w="5460" w:type="dxa"/>
            <w:tcBorders>
              <w:top w:val="single" w:sz="6" w:space="0" w:color="414142"/>
              <w:left w:val="single" w:sz="6" w:space="0" w:color="414142"/>
              <w:bottom w:val="single" w:sz="6" w:space="0" w:color="414142"/>
              <w:right w:val="single" w:sz="6" w:space="0" w:color="414142"/>
            </w:tcBorders>
          </w:tcPr>
          <w:p w:rsidR="00425667" w:rsidRDefault="00E40EB8" w:rsidP="0038517C">
            <w:pPr>
              <w:ind w:firstLine="275"/>
              <w:jc w:val="both"/>
              <w:rPr>
                <w:color w:val="auto"/>
                <w:shd w:val="clear" w:color="auto" w:fill="FFFFFF"/>
              </w:rPr>
            </w:pPr>
            <w:r w:rsidRPr="00E40EB8">
              <w:rPr>
                <w:bCs/>
              </w:rPr>
              <w:t xml:space="preserve">Atbilstoši </w:t>
            </w:r>
            <w:r w:rsidR="004E20EE" w:rsidRPr="000C44CF">
              <w:rPr>
                <w:bCs/>
                <w:color w:val="auto"/>
              </w:rPr>
              <w:t xml:space="preserve">Ministru kabineta 2011.gada 27.decembra noteikumos Nr.1025 </w:t>
            </w:r>
            <w:r w:rsidR="00672264">
              <w:rPr>
                <w:bCs/>
                <w:color w:val="auto"/>
              </w:rPr>
              <w:t>“</w:t>
            </w:r>
            <w:r w:rsidR="004E20EE" w:rsidRPr="000C44CF">
              <w:rPr>
                <w:bCs/>
                <w:color w:val="auto"/>
              </w:rPr>
              <w:t>Noteikumi par rīcību ar lietiskajiem pierādījumiem un arestēto mantu””</w:t>
            </w:r>
            <w:r w:rsidRPr="000C44CF">
              <w:rPr>
                <w:bCs/>
                <w:color w:val="auto"/>
              </w:rPr>
              <w:t xml:space="preserve"> </w:t>
            </w:r>
            <w:r w:rsidR="0033092E">
              <w:rPr>
                <w:bCs/>
                <w:color w:val="auto"/>
              </w:rPr>
              <w:t xml:space="preserve">(turpmāk – noteikumi Nr.1025) </w:t>
            </w:r>
            <w:r w:rsidRPr="000C44CF">
              <w:rPr>
                <w:bCs/>
                <w:color w:val="auto"/>
              </w:rPr>
              <w:t xml:space="preserve">22.3.apakšpunktam viens no veidiem kā </w:t>
            </w:r>
            <w:r w:rsidR="00DD2547">
              <w:rPr>
                <w:bCs/>
                <w:color w:val="auto"/>
              </w:rPr>
              <w:t>A</w:t>
            </w:r>
            <w:r w:rsidRPr="000C44CF">
              <w:rPr>
                <w:bCs/>
                <w:color w:val="auto"/>
              </w:rPr>
              <w:t>ģentūra realizē lietisko pierādījumu</w:t>
            </w:r>
            <w:r w:rsidR="00425667">
              <w:rPr>
                <w:bCs/>
                <w:color w:val="auto"/>
              </w:rPr>
              <w:t xml:space="preserve"> un arestēto mantu</w:t>
            </w:r>
            <w:r w:rsidRPr="000C44CF">
              <w:rPr>
                <w:bCs/>
                <w:color w:val="auto"/>
              </w:rPr>
              <w:t xml:space="preserve"> ir </w:t>
            </w:r>
            <w:r w:rsidR="000C44CF" w:rsidRPr="000C44CF">
              <w:rPr>
                <w:color w:val="auto"/>
                <w:shd w:val="clear" w:color="auto" w:fill="FFFFFF"/>
              </w:rPr>
              <w:t>realizēt to izsolē, kuru organizē saskaņā ar </w:t>
            </w:r>
            <w:hyperlink r:id="rId8" w:tgtFrame="_blank" w:history="1">
              <w:r w:rsidR="000C44CF" w:rsidRPr="000C44CF">
                <w:rPr>
                  <w:rStyle w:val="Hyperlink"/>
                  <w:color w:val="auto"/>
                  <w:u w:val="none"/>
                  <w:shd w:val="clear" w:color="auto" w:fill="FFFFFF"/>
                </w:rPr>
                <w:t>Civilprocesa likuma</w:t>
              </w:r>
            </w:hyperlink>
            <w:r w:rsidR="000C44CF" w:rsidRPr="000C44CF">
              <w:rPr>
                <w:color w:val="auto"/>
                <w:shd w:val="clear" w:color="auto" w:fill="FFFFFF"/>
              </w:rPr>
              <w:t xml:space="preserve"> vispārējiem noteikumiem. </w:t>
            </w:r>
          </w:p>
          <w:p w:rsidR="0038517C" w:rsidRPr="0038517C" w:rsidRDefault="0038517C" w:rsidP="0067151A">
            <w:pPr>
              <w:ind w:firstLine="275"/>
              <w:jc w:val="both"/>
            </w:pPr>
            <w:r w:rsidRPr="0038517C">
              <w:t>Ministru kabineta 2017.ga</w:t>
            </w:r>
            <w:r w:rsidR="004E20EE">
              <w:t xml:space="preserve">da 10.oktobra sēdē (prot. Nr.50 </w:t>
            </w:r>
            <w:r w:rsidRPr="0038517C">
              <w:t>12.§) izskatīts likumprojekts “Grozījumi Civilprocesa likumā” (TA-1967) (turpmāk – likumprojekts), kurā ietverti grozījumi, k</w:t>
            </w:r>
            <w:r w:rsidR="00DD2547">
              <w:t>as skar Civilprocesa likuma 71.</w:t>
            </w:r>
            <w:r w:rsidRPr="0038517C">
              <w:t xml:space="preserve">nodaļā “Piedziņas vēršana uz kustamo mantu” ietverto tiesisko regulējumu, tajā skaitā, grozījumi, kas paredz arī parādniekam piederošu kustamu mantu turpmāk pārdot elektronisko izsoļu vietnē, kas pieejama https://izsoles.ta.gov.lv. Vienlaikus likumprojektā ietverta atsauce, ka kustamās mantas izsoli organizē atbilstoši normatīvajiem aktiem, kas nosaka kārtību, kādā veic darbības elektronisko izsoļu vietnē un izsoļu dalībnieku reģistrā iekļauj, aktualizē un dzēš ziņas par personu, tādējādi arī attiecībā uz </w:t>
            </w:r>
            <w:r w:rsidRPr="0038517C">
              <w:lastRenderedPageBreak/>
              <w:t>kustamās mantas izsolēm attiecinot Ministru kabineta 2015.</w:t>
            </w:r>
            <w:r w:rsidR="00DD2547">
              <w:t xml:space="preserve"> gada 16. jūnija noteikumus Nr.</w:t>
            </w:r>
            <w:r w:rsidRPr="0038517C">
              <w:t>318 “Elektro</w:t>
            </w:r>
            <w:r w:rsidR="00DD2547">
              <w:t>nisko izsoļu vietnes noteikumi” (turpmāk – noteikumi Nr.318).</w:t>
            </w:r>
          </w:p>
          <w:p w:rsidR="0038517C" w:rsidRDefault="0038517C" w:rsidP="0038517C">
            <w:pPr>
              <w:ind w:firstLine="275"/>
              <w:jc w:val="both"/>
            </w:pPr>
            <w:r w:rsidRPr="0038517C">
              <w:t>Saistībā ar likumprojektā paredzēto regulējumu attiecībā uz elektronisko izsoļu organizēšanu Ministru kabineta 2017.gada 10.oktobra sēdes protokola Nr.50 12.§ “Likumprojekts “Grozījumi Civilprocesa likumā</w:t>
            </w:r>
            <w:r>
              <w:t>”</w:t>
            </w:r>
            <w:r w:rsidRPr="0038517C">
              <w:t>” 4.punktā Iekšlietu ministrijai dots uzdevums izvērtēt tās kompetencē esošos tiesību aktus un nepieciešamības gadījumā līdz 2018.gada 30.novembrim noteiktā kārtībā iesniegt izskatīšanai Ministru kabinetā grozījumus tiesību aktos, paredzot kārtību, kādā Aģentūra tiesību aktos noteiktajos gadījumos organizē kustamas mantas izsoles.</w:t>
            </w:r>
          </w:p>
          <w:p w:rsidR="00DD2547" w:rsidRPr="00DD2547" w:rsidRDefault="00DD2547" w:rsidP="00DD2547">
            <w:pPr>
              <w:widowControl w:val="0"/>
              <w:tabs>
                <w:tab w:val="left" w:pos="284"/>
              </w:tabs>
              <w:ind w:firstLine="269"/>
              <w:jc w:val="both"/>
            </w:pPr>
            <w:r w:rsidRPr="00DD2547">
              <w:t xml:space="preserve">Iekšlietu ministrija, izvērtējot noteikumus Nr.318 attiecībā uz iespēju rīkot elektroniskās izsoles, izmantojot elektronisko izsoļu vietni, konstatēja, ka noteikumi Nr.318 nav attiecināmi uz Aģentūru, jo Aģentūra, rīkojot kustamu mantu izsoles atbilstoši noteikumiem Nr.1025 </w:t>
            </w:r>
            <w:r w:rsidRPr="00DD2547">
              <w:rPr>
                <w:bCs/>
              </w:rPr>
              <w:t>neveic publiskas personas mantas pārdošanu</w:t>
            </w:r>
            <w:r w:rsidRPr="00DD2547">
              <w:t>. Ņemot vērā minēto, tika nolemts, ka elektroniskās izsoles netiks organizētas, bet tiks rīkotas mutiskas vai rakstiskas izsoles projektā noteiktajā kārtībā.</w:t>
            </w:r>
          </w:p>
          <w:p w:rsidR="00DD2547" w:rsidRDefault="00DD2547" w:rsidP="0033092E">
            <w:pPr>
              <w:jc w:val="both"/>
            </w:pPr>
            <w:r>
              <w:t xml:space="preserve">    </w:t>
            </w:r>
            <w:r w:rsidR="0033092E">
              <w:t xml:space="preserve">Iekšlietu ministrija izvērtējot likumprojektu saistībā ar noteikumos Nr.1025 paredzēto lietiskā pierādījuma </w:t>
            </w:r>
            <w:r w:rsidR="00003EDE">
              <w:t xml:space="preserve">un arestētās mantas </w:t>
            </w:r>
            <w:r w:rsidR="0033092E">
              <w:t>realizācijas kārtību secināja, ka optimālais risinājums ir grozīt noteikumus Nr.</w:t>
            </w:r>
            <w:r w:rsidR="0056029F">
              <w:t>10</w:t>
            </w:r>
            <w:r w:rsidR="0033092E">
              <w:t>25, paredzot tajos kustamās mantas izsoles kārtību, nerīkojot elektroniskas izsoles, bet informāciju pa</w:t>
            </w:r>
            <w:r w:rsidR="0033092E" w:rsidRPr="0033092E">
              <w:t xml:space="preserve">r izsoli publicējot </w:t>
            </w:r>
            <w:r w:rsidR="0056029F">
              <w:t>A</w:t>
            </w:r>
            <w:r w:rsidR="0033092E" w:rsidRPr="0033092E">
              <w:t>ģentūras mājaslapā internetā.</w:t>
            </w:r>
            <w:r w:rsidR="0033092E">
              <w:t xml:space="preserve"> </w:t>
            </w:r>
          </w:p>
          <w:p w:rsidR="0033092E" w:rsidRDefault="00003EDE" w:rsidP="0033092E">
            <w:pPr>
              <w:jc w:val="both"/>
              <w:rPr>
                <w:bCs/>
                <w:color w:val="auto"/>
              </w:rPr>
            </w:pPr>
            <w:r>
              <w:t xml:space="preserve">     </w:t>
            </w:r>
            <w:r w:rsidR="0033092E">
              <w:t xml:space="preserve">Ņemot vērā izvērtējumu tika izstrādāts </w:t>
            </w:r>
            <w:r w:rsidR="0067151A">
              <w:rPr>
                <w:bCs/>
                <w:color w:val="auto"/>
              </w:rPr>
              <w:t>projekts</w:t>
            </w:r>
            <w:r w:rsidR="0033092E">
              <w:rPr>
                <w:bCs/>
                <w:color w:val="auto"/>
              </w:rPr>
              <w:t xml:space="preserve"> ar mērķi noteikt lietiskā pierādījuma</w:t>
            </w:r>
            <w:r w:rsidR="0056029F">
              <w:rPr>
                <w:bCs/>
                <w:color w:val="auto"/>
              </w:rPr>
              <w:t xml:space="preserve"> un arestētās mantas</w:t>
            </w:r>
            <w:r w:rsidR="00B24FC2">
              <w:rPr>
                <w:bCs/>
                <w:color w:val="auto"/>
              </w:rPr>
              <w:t xml:space="preserve"> </w:t>
            </w:r>
            <w:r w:rsidR="0033092E">
              <w:rPr>
                <w:bCs/>
                <w:color w:val="auto"/>
              </w:rPr>
              <w:t xml:space="preserve">realizēšanas kārtību, rīkojot </w:t>
            </w:r>
            <w:r w:rsidR="00C901D3">
              <w:rPr>
                <w:bCs/>
                <w:color w:val="auto"/>
              </w:rPr>
              <w:t xml:space="preserve">kustamās mantas </w:t>
            </w:r>
            <w:r w:rsidR="0033092E">
              <w:rPr>
                <w:bCs/>
                <w:color w:val="auto"/>
              </w:rPr>
              <w:t>izsoles.</w:t>
            </w:r>
            <w:r w:rsidR="0067151A">
              <w:rPr>
                <w:bCs/>
                <w:color w:val="auto"/>
              </w:rPr>
              <w:t xml:space="preserve"> </w:t>
            </w:r>
            <w:r w:rsidR="00461BB4">
              <w:rPr>
                <w:bCs/>
                <w:color w:val="auto"/>
              </w:rPr>
              <w:t xml:space="preserve">       </w:t>
            </w:r>
            <w:r w:rsidR="0067151A">
              <w:rPr>
                <w:bCs/>
                <w:color w:val="auto"/>
              </w:rPr>
              <w:t xml:space="preserve">Projekta saskaņošanas laikā tika saņemti </w:t>
            </w:r>
            <w:r w:rsidR="00461BB4">
              <w:rPr>
                <w:bCs/>
                <w:color w:val="auto"/>
              </w:rPr>
              <w:t>Finanšu ministrijas iebildumi, lai samazinātu</w:t>
            </w:r>
            <w:r w:rsidR="0067151A">
              <w:rPr>
                <w:bCs/>
                <w:color w:val="auto"/>
              </w:rPr>
              <w:t xml:space="preserve"> administratīv</w:t>
            </w:r>
            <w:r w:rsidR="00461BB4">
              <w:rPr>
                <w:bCs/>
                <w:color w:val="auto"/>
              </w:rPr>
              <w:t>o</w:t>
            </w:r>
            <w:r w:rsidR="0067151A">
              <w:rPr>
                <w:bCs/>
                <w:color w:val="auto"/>
              </w:rPr>
              <w:t xml:space="preserve"> slog</w:t>
            </w:r>
            <w:r w:rsidR="00461BB4">
              <w:rPr>
                <w:bCs/>
                <w:color w:val="auto"/>
              </w:rPr>
              <w:t>u</w:t>
            </w:r>
            <w:r w:rsidR="0067151A">
              <w:rPr>
                <w:bCs/>
                <w:color w:val="auto"/>
              </w:rPr>
              <w:t xml:space="preserve"> saistībā ar </w:t>
            </w:r>
            <w:r w:rsidR="00461BB4">
              <w:rPr>
                <w:bCs/>
                <w:color w:val="auto"/>
              </w:rPr>
              <w:t>informācijas apriti starp Aģentūru un Valsts ieņēmumu dienestu. Finanšu ministrijas izteiktie iebildumi aizkavēja projekta savlaicīgu virzību Ministru kabineta noteiktajā termiņ</w:t>
            </w:r>
            <w:r w:rsidR="008F6DF3">
              <w:rPr>
                <w:bCs/>
                <w:color w:val="auto"/>
              </w:rPr>
              <w:t>ā</w:t>
            </w:r>
            <w:r w:rsidR="0027771E">
              <w:rPr>
                <w:bCs/>
                <w:color w:val="auto"/>
              </w:rPr>
              <w:t>,</w:t>
            </w:r>
            <w:bookmarkStart w:id="1" w:name="_GoBack"/>
            <w:bookmarkEnd w:id="1"/>
            <w:r w:rsidR="008F6DF3">
              <w:rPr>
                <w:bCs/>
                <w:color w:val="auto"/>
              </w:rPr>
              <w:t xml:space="preserve"> tomēr veicināja ātrāku administratīvā sloga samazināšanu saistībā ar noteikumu Nr.1025 49 punktā paredzēto pienākumu Aģentūrai.</w:t>
            </w:r>
          </w:p>
          <w:p w:rsidR="00B24FC2" w:rsidRDefault="00792E2C" w:rsidP="00792E2C">
            <w:pPr>
              <w:widowControl w:val="0"/>
              <w:tabs>
                <w:tab w:val="left" w:pos="284"/>
              </w:tabs>
              <w:ind w:firstLine="269"/>
              <w:jc w:val="both"/>
            </w:pPr>
            <w:r w:rsidRPr="00792E2C">
              <w:t xml:space="preserve">Saskaņā ar Noteikumu Nr.1025 22.3.apakšpunktu Aģentūra lietisko pierādījumu realizē izsolē, kuru organizē saskaņā ar Civilprocesa likuma vispārējiem noteikumiem. Izsoles rīkošana ir obligāta, ja realizējamā lietiskā pierādījuma kopējā vērtība pārsniedz 10 000 </w:t>
            </w:r>
            <w:proofErr w:type="spellStart"/>
            <w:r w:rsidRPr="00792E2C">
              <w:rPr>
                <w:i/>
              </w:rPr>
              <w:t>euro</w:t>
            </w:r>
            <w:proofErr w:type="spellEnd"/>
            <w:r w:rsidRPr="00792E2C">
              <w:t xml:space="preserve">. Šis nosacījums neattiecas uz </w:t>
            </w:r>
            <w:r w:rsidRPr="00792E2C">
              <w:lastRenderedPageBreak/>
              <w:t xml:space="preserve">lietisko pierādījumu, kas ātri bojājas. </w:t>
            </w:r>
            <w:r w:rsidR="00B24FC2">
              <w:t xml:space="preserve">Atbilstoši </w:t>
            </w:r>
            <w:r w:rsidR="00B24FC2" w:rsidRPr="00792E2C">
              <w:t>Noteikumu Nr.1025</w:t>
            </w:r>
            <w:r w:rsidR="00B24FC2">
              <w:t xml:space="preserve"> 74.punktam arī uz arestēto mantu piemērojams noteikumu Nr.1025 22.3.apakšpunkts.</w:t>
            </w:r>
          </w:p>
          <w:p w:rsidR="000A3CDC" w:rsidRDefault="00792E2C" w:rsidP="00230F3F">
            <w:pPr>
              <w:widowControl w:val="0"/>
              <w:tabs>
                <w:tab w:val="left" w:pos="284"/>
              </w:tabs>
              <w:ind w:firstLine="269"/>
              <w:jc w:val="both"/>
            </w:pPr>
            <w:r w:rsidRPr="00792E2C">
              <w:t>Aģentūra saskaņā ar Noteikumu Nr.1025 22.3.apakšpunktu 2016.gadā nerīkoja nevienu izsoli; 2017.gadā rīkoja vienu izsoli; bet 2018.gad</w:t>
            </w:r>
            <w:r w:rsidR="009108EA">
              <w:t>ā</w:t>
            </w:r>
            <w:r w:rsidRPr="00792E2C">
              <w:t xml:space="preserve"> rīko</w:t>
            </w:r>
            <w:r w:rsidR="009108EA">
              <w:t>ja</w:t>
            </w:r>
            <w:r w:rsidRPr="00792E2C">
              <w:t xml:space="preserve"> 10 izsoles.</w:t>
            </w:r>
            <w:r w:rsidR="00B24FC2">
              <w:t xml:space="preserve"> </w:t>
            </w:r>
            <w:r w:rsidR="00B24FC2" w:rsidRPr="00B24FC2">
              <w:t xml:space="preserve">Projekts paredz saglabāt nosacījumu, ka izsoli obligāti rīko, ja realizējamā lietiskā pierādījuma </w:t>
            </w:r>
            <w:r w:rsidR="00425667">
              <w:t xml:space="preserve">vai arestētās mantas </w:t>
            </w:r>
            <w:r w:rsidR="00B24FC2" w:rsidRPr="00B24FC2">
              <w:t xml:space="preserve">kopējā vērtība pārsniedz 10 000 </w:t>
            </w:r>
            <w:proofErr w:type="spellStart"/>
            <w:r w:rsidR="00B24FC2" w:rsidRPr="00B24FC2">
              <w:rPr>
                <w:i/>
              </w:rPr>
              <w:t>euro</w:t>
            </w:r>
            <w:proofErr w:type="spellEnd"/>
            <w:r w:rsidR="00B24FC2" w:rsidRPr="00B24FC2">
              <w:t xml:space="preserve">, kā arī šo nosacījumu neattiecināt uz </w:t>
            </w:r>
            <w:r w:rsidR="00425667" w:rsidRPr="00B24FC2">
              <w:t>lietisk</w:t>
            </w:r>
            <w:r w:rsidR="00425667">
              <w:t>o</w:t>
            </w:r>
            <w:r w:rsidR="00425667" w:rsidRPr="00B24FC2">
              <w:t xml:space="preserve"> pierādījum</w:t>
            </w:r>
            <w:r w:rsidR="00425667">
              <w:t>u</w:t>
            </w:r>
            <w:r w:rsidR="00425667" w:rsidRPr="00B24FC2">
              <w:t xml:space="preserve"> </w:t>
            </w:r>
            <w:r w:rsidR="00425667">
              <w:t>vai arestēto mantu</w:t>
            </w:r>
            <w:r w:rsidR="00B24FC2" w:rsidRPr="00B24FC2">
              <w:t>, kas ātri bojājas. Projektā minētajos lietiskā pierādījuma realizācijas komisijas izstrādātajos izsoles noteikumos tiks aprakstīta detalizētāka izsoles organizēšanas norise</w:t>
            </w:r>
            <w:r w:rsidR="00506D98">
              <w:t>, noteikts izsoles solis</w:t>
            </w:r>
            <w:r w:rsidR="001C1396" w:rsidRPr="00506D98">
              <w:t xml:space="preserve">. Grozījumi noteikumos </w:t>
            </w:r>
            <w:r w:rsidR="001C1396" w:rsidRPr="00506D98">
              <w:rPr>
                <w:bCs/>
                <w:color w:val="auto"/>
              </w:rPr>
              <w:t xml:space="preserve">Nr.1025 </w:t>
            </w:r>
            <w:r w:rsidR="0085103E" w:rsidRPr="00506D98">
              <w:rPr>
                <w:bCs/>
                <w:color w:val="auto"/>
              </w:rPr>
              <w:t>paredz izsoles organizēšanas kārtību</w:t>
            </w:r>
            <w:r w:rsidR="000A3CDC" w:rsidRPr="00506D98">
              <w:rPr>
                <w:bCs/>
                <w:color w:val="auto"/>
              </w:rPr>
              <w:t xml:space="preserve">, nosakot, ja </w:t>
            </w:r>
            <w:r w:rsidR="000A3CDC" w:rsidRPr="00506D98">
              <w:t xml:space="preserve">lietiskais pierādījums netiek realizēts trīs izsolēs un komisija atzīst, ka mantas pārdošanas vai lietiskā pierādījuma glabāšana nav saimnieciski izdevīga vai rada zaudējumus valstij, </w:t>
            </w:r>
            <w:r w:rsidR="002D46DA">
              <w:t>lietisko pierādījumu</w:t>
            </w:r>
            <w:r w:rsidR="000A3CDC" w:rsidRPr="00506D98">
              <w:t xml:space="preserve"> var iznīcināt.</w:t>
            </w:r>
            <w:r w:rsidR="000A3CDC" w:rsidRPr="00506D98">
              <w:rPr>
                <w:bCs/>
                <w:color w:val="auto"/>
              </w:rPr>
              <w:t xml:space="preserve"> L</w:t>
            </w:r>
            <w:r w:rsidR="0085103E" w:rsidRPr="00506D98">
              <w:rPr>
                <w:bCs/>
                <w:color w:val="auto"/>
              </w:rPr>
              <w:t>ai izvairītos no atkārtotas izsoles rīkošanas,</w:t>
            </w:r>
            <w:r w:rsidR="00A06298" w:rsidRPr="00506D98">
              <w:rPr>
                <w:bCs/>
                <w:color w:val="auto"/>
              </w:rPr>
              <w:t xml:space="preserve"> paredz</w:t>
            </w:r>
            <w:r w:rsidR="000A3CDC" w:rsidRPr="00506D98">
              <w:rPr>
                <w:bCs/>
                <w:color w:val="auto"/>
              </w:rPr>
              <w:t>ētas</w:t>
            </w:r>
            <w:r w:rsidR="00A06298" w:rsidRPr="00506D98">
              <w:rPr>
                <w:bCs/>
                <w:color w:val="auto"/>
              </w:rPr>
              <w:t xml:space="preserve"> </w:t>
            </w:r>
            <w:r w:rsidR="008C7325" w:rsidRPr="00506D98">
              <w:rPr>
                <w:bCs/>
                <w:color w:val="auto"/>
              </w:rPr>
              <w:t xml:space="preserve">tiesības pirkt mantu otram solītājam, kas piedāvājis otro austāko cenu. Ja </w:t>
            </w:r>
            <w:r w:rsidR="008C7325" w:rsidRPr="009F2A3D">
              <w:rPr>
                <w:bCs/>
                <w:color w:val="auto"/>
              </w:rPr>
              <w:t>izsoli atzīs par nenotikušu, izsoles rīkotājs organiz</w:t>
            </w:r>
            <w:r w:rsidR="008C7325" w:rsidRPr="00506D98">
              <w:rPr>
                <w:bCs/>
                <w:color w:val="auto"/>
              </w:rPr>
              <w:t xml:space="preserve">ē </w:t>
            </w:r>
            <w:r w:rsidR="009108EA">
              <w:rPr>
                <w:bCs/>
                <w:color w:val="auto"/>
              </w:rPr>
              <w:t>atkārtotu</w:t>
            </w:r>
            <w:r w:rsidR="008C7325" w:rsidRPr="00506D98">
              <w:rPr>
                <w:bCs/>
                <w:color w:val="auto"/>
              </w:rPr>
              <w:t xml:space="preserve"> izsoli</w:t>
            </w:r>
            <w:r w:rsidR="000A3CDC" w:rsidRPr="00506D98">
              <w:rPr>
                <w:bCs/>
                <w:color w:val="auto"/>
              </w:rPr>
              <w:t>,</w:t>
            </w:r>
            <w:r w:rsidR="008C7325" w:rsidRPr="00506D98">
              <w:rPr>
                <w:bCs/>
                <w:color w:val="auto"/>
              </w:rPr>
              <w:t xml:space="preserve"> </w:t>
            </w:r>
            <w:r w:rsidR="00A74CCF" w:rsidRPr="00506D98">
              <w:rPr>
                <w:bCs/>
                <w:color w:val="auto"/>
              </w:rPr>
              <w:t xml:space="preserve">samazinot mantas cenu </w:t>
            </w:r>
            <w:r w:rsidR="009108EA">
              <w:rPr>
                <w:bCs/>
                <w:color w:val="auto"/>
              </w:rPr>
              <w:t xml:space="preserve">ne vairāk par </w:t>
            </w:r>
            <w:r w:rsidR="00A74CCF" w:rsidRPr="00506D98">
              <w:rPr>
                <w:bCs/>
                <w:color w:val="auto"/>
              </w:rPr>
              <w:t>20 procentiem</w:t>
            </w:r>
            <w:r w:rsidR="009108EA">
              <w:rPr>
                <w:bCs/>
                <w:color w:val="auto"/>
              </w:rPr>
              <w:t xml:space="preserve"> no iepriekšējās izsoles noteiktās lietiskā pierādījuma </w:t>
            </w:r>
            <w:r w:rsidR="009108EA" w:rsidRPr="00230F3F">
              <w:rPr>
                <w:bCs/>
                <w:color w:val="auto"/>
              </w:rPr>
              <w:t>realizācijas sākotnējās cenas</w:t>
            </w:r>
            <w:r w:rsidR="000A3CDC" w:rsidRPr="00230F3F">
              <w:rPr>
                <w:bCs/>
                <w:color w:val="auto"/>
              </w:rPr>
              <w:t xml:space="preserve">. </w:t>
            </w:r>
            <w:r w:rsidR="00230F3F" w:rsidRPr="00230F3F">
              <w:t>Lietiskā pierādījuma realizācijas komisijas izstrādātie izsoles noteikumi ir saistoši izsoles rīkotājam, organizējot izsoles, kā arī izsoles dalībniekiem tajās piedaloties.</w:t>
            </w:r>
          </w:p>
          <w:p w:rsidR="00230F3F" w:rsidRPr="00506D98" w:rsidRDefault="00230F3F" w:rsidP="00E75C57">
            <w:pPr>
              <w:widowControl w:val="0"/>
              <w:tabs>
                <w:tab w:val="left" w:pos="284"/>
              </w:tabs>
              <w:ind w:firstLine="269"/>
              <w:jc w:val="both"/>
              <w:rPr>
                <w:bCs/>
                <w:color w:val="auto"/>
              </w:rPr>
            </w:pPr>
            <w:r w:rsidRPr="00230F3F">
              <w:t>Projekts paredz noteikumu Nr.10</w:t>
            </w:r>
            <w:r>
              <w:t>25</w:t>
            </w:r>
            <w:r w:rsidRPr="00230F3F">
              <w:t xml:space="preserve"> </w:t>
            </w:r>
            <w:r>
              <w:t>49</w:t>
            </w:r>
            <w:r w:rsidRPr="00230F3F">
              <w:t xml:space="preserve">.punktā grozījumu, lai </w:t>
            </w:r>
            <w:r>
              <w:t>mazinātu</w:t>
            </w:r>
            <w:r w:rsidRPr="00230F3F">
              <w:t xml:space="preserve"> administratīvo slogu un, ievērojot institūciju sadarbības pienākumu, netiktu dublēta informācija, proti, atbildīgā institūcija pēc tam, kad ir kļuvis izpildāms </w:t>
            </w:r>
            <w:r>
              <w:t>procesa virzītāja no</w:t>
            </w:r>
            <w:r w:rsidRPr="00230F3F">
              <w:t xml:space="preserve">lēmums par </w:t>
            </w:r>
            <w:r>
              <w:t>lietiskā pierādījuma konfiskāciju</w:t>
            </w:r>
            <w:r w:rsidRPr="00230F3F">
              <w:t xml:space="preserve">, tā oriģinālu vai </w:t>
            </w:r>
            <w:r>
              <w:t>no</w:t>
            </w:r>
            <w:r w:rsidRPr="00230F3F">
              <w:t>lēmuma atvasinājumu</w:t>
            </w:r>
            <w:r w:rsidR="000A2F63">
              <w:t>,</w:t>
            </w:r>
            <w:r w:rsidRPr="00230F3F">
              <w:t>  izpildei nosūta Valsts ieņēmumu dienestam saskaņā ar  Ministru kabineta 2013.gada 26.novembra noteikumu Nr.1354 “Kārtība, kādā veicama valstij piekritīgās mantas uzskaite, novērtēšana, realizācija,  nodošana bez maksas, iznīcināšana un realizācijas ieņēmumu ieskaitīšana valsts budžetā”  2.punktu, savukārt</w:t>
            </w:r>
            <w:r w:rsidR="00E75C57">
              <w:t xml:space="preserve"> Aģentūrai</w:t>
            </w:r>
            <w:r w:rsidRPr="00230F3F">
              <w:t xml:space="preserve"> </w:t>
            </w:r>
            <w:r w:rsidR="000A2F63">
              <w:t>atbilsto</w:t>
            </w:r>
            <w:r w:rsidR="00E75C57">
              <w:t>ši noteikumu Nr.1025 49.punkta prasībām</w:t>
            </w:r>
            <w:r w:rsidR="000A2F63">
              <w:t xml:space="preserve"> </w:t>
            </w:r>
            <w:r>
              <w:t>procesa virzītāja</w:t>
            </w:r>
            <w:r w:rsidRPr="00230F3F">
              <w:t xml:space="preserve"> nosūtīt</w:t>
            </w:r>
            <w:r>
              <w:t>ā</w:t>
            </w:r>
            <w:r w:rsidRPr="00230F3F">
              <w:t xml:space="preserve"> </w:t>
            </w:r>
            <w:r>
              <w:t>informācija par nolēmumu par lietiskā pierādījuma konfiskāciju</w:t>
            </w:r>
            <w:r w:rsidRPr="00230F3F">
              <w:t xml:space="preserve"> </w:t>
            </w:r>
            <w:r w:rsidR="00E75C57">
              <w:t xml:space="preserve">ir </w:t>
            </w:r>
            <w:r>
              <w:t>jāpaziņo</w:t>
            </w:r>
            <w:r w:rsidRPr="00230F3F">
              <w:t xml:space="preserve"> Valsts ieņēmumu dienestam </w:t>
            </w:r>
            <w:r>
              <w:t>elektroniski piecu darbdienu laikā pēc dienas, kad saņemts nolēmums par lietiskā pierādījuma konfiskāciju</w:t>
            </w:r>
            <w:r w:rsidR="00C0189F">
              <w:t>.</w:t>
            </w:r>
            <w:r w:rsidRPr="00230F3F">
              <w:t xml:space="preserve"> Līdz ar to  Valsts ieņēmumu dienests praksē </w:t>
            </w:r>
            <w:r w:rsidR="00C0189F">
              <w:t xml:space="preserve">informāciju par nolēmuma saturu par lietiskā </w:t>
            </w:r>
            <w:r w:rsidR="00C0189F">
              <w:lastRenderedPageBreak/>
              <w:t xml:space="preserve">pierādījuma konfiskāciju </w:t>
            </w:r>
            <w:r w:rsidRPr="00230F3F">
              <w:t xml:space="preserve">saņem </w:t>
            </w:r>
            <w:r w:rsidR="00C0189F">
              <w:t>divas</w:t>
            </w:r>
            <w:r w:rsidRPr="00230F3F">
              <w:t xml:space="preserve"> reizes, proti, vienu reizi </w:t>
            </w:r>
            <w:r w:rsidR="00C07580">
              <w:t>–</w:t>
            </w:r>
            <w:r w:rsidRPr="00230F3F">
              <w:t xml:space="preserve"> </w:t>
            </w:r>
            <w:r w:rsidR="00C07580">
              <w:t xml:space="preserve">attiecīgā nolēmuma </w:t>
            </w:r>
            <w:r w:rsidRPr="00230F3F">
              <w:t xml:space="preserve">oriģinālu vai tā atvasinājumu no atbildīgās institūcijas, kas pieņēmusi </w:t>
            </w:r>
            <w:r w:rsidR="00C0189F">
              <w:t>no</w:t>
            </w:r>
            <w:r w:rsidRPr="00230F3F">
              <w:t xml:space="preserve">lēmumu, un </w:t>
            </w:r>
            <w:r w:rsidR="00C0189F">
              <w:t>kā informāciju</w:t>
            </w:r>
            <w:r w:rsidRPr="00230F3F">
              <w:t xml:space="preserve"> no Aģentūras kā </w:t>
            </w:r>
            <w:r w:rsidR="00C0189F">
              <w:t>lietiskā pierādījuma</w:t>
            </w:r>
            <w:r w:rsidRPr="00230F3F">
              <w:t xml:space="preserve"> glabātājas. Projekts pilnībā atrisina šobrīd pastāvošo situāciju un paredz, ka Aģentūrai </w:t>
            </w:r>
            <w:r w:rsidR="00C0189F">
              <w:t xml:space="preserve">turpmāk </w:t>
            </w:r>
            <w:r w:rsidRPr="00230F3F">
              <w:t xml:space="preserve">nebūs pienākums sūtīt Valsts ieņēmumu dienestam </w:t>
            </w:r>
            <w:r w:rsidR="00C0189F">
              <w:t>informāciju par no</w:t>
            </w:r>
            <w:r w:rsidRPr="00230F3F">
              <w:t>lēmumu</w:t>
            </w:r>
            <w:r w:rsidR="00C0189F">
              <w:t xml:space="preserve"> par lietiskā pierādījuma konfiskāciju</w:t>
            </w:r>
            <w:r w:rsidRPr="00230F3F">
              <w:t>, kur</w:t>
            </w:r>
            <w:r w:rsidR="00C0189F">
              <w:t xml:space="preserve">š ir jau tās rīcībā, vienlaikus projekts precizē termiņu kādā procesa virzītājs nosūta nolēmuma par lietiskā pierādījuma konfiskāciju </w:t>
            </w:r>
            <w:r w:rsidR="00C0189F" w:rsidRPr="00C0189F">
              <w:rPr>
                <w:color w:val="auto"/>
              </w:rPr>
              <w:t>oriģinālu vai tā atvasinājumu</w:t>
            </w:r>
            <w:r w:rsidR="00C0189F" w:rsidRPr="00C0189F">
              <w:t xml:space="preserve"> Aģentūrai.</w:t>
            </w:r>
          </w:p>
        </w:tc>
      </w:tr>
      <w:tr w:rsidR="000C7EFF">
        <w:trPr>
          <w:trHeight w:val="460"/>
        </w:trPr>
        <w:tc>
          <w:tcPr>
            <w:tcW w:w="520" w:type="dxa"/>
            <w:tcBorders>
              <w:top w:val="single" w:sz="6" w:space="0" w:color="414142"/>
              <w:left w:val="single" w:sz="6" w:space="0" w:color="414142"/>
              <w:bottom w:val="single" w:sz="6" w:space="0" w:color="414142"/>
              <w:right w:val="single" w:sz="6" w:space="0" w:color="414142"/>
            </w:tcBorders>
          </w:tcPr>
          <w:p w:rsidR="000C7EFF" w:rsidRDefault="00E203EE">
            <w:pPr>
              <w:jc w:val="center"/>
            </w:pPr>
            <w:r>
              <w:lastRenderedPageBreak/>
              <w:t>3.</w:t>
            </w:r>
          </w:p>
        </w:tc>
        <w:tc>
          <w:tcPr>
            <w:tcW w:w="2592" w:type="dxa"/>
            <w:tcBorders>
              <w:top w:val="single" w:sz="6" w:space="0" w:color="414142"/>
              <w:left w:val="single" w:sz="6" w:space="0" w:color="414142"/>
              <w:bottom w:val="single" w:sz="6" w:space="0" w:color="414142"/>
              <w:right w:val="single" w:sz="6" w:space="0" w:color="414142"/>
            </w:tcBorders>
          </w:tcPr>
          <w:p w:rsidR="0056029F" w:rsidRDefault="00E203EE">
            <w:r>
              <w:t>Projekta izstrādē iesaistītās institūcijas un publiskas personas kapitālsabiedrības</w:t>
            </w:r>
          </w:p>
        </w:tc>
        <w:tc>
          <w:tcPr>
            <w:tcW w:w="5460" w:type="dxa"/>
            <w:tcBorders>
              <w:top w:val="single" w:sz="6" w:space="0" w:color="414142"/>
              <w:left w:val="single" w:sz="6" w:space="0" w:color="414142"/>
              <w:bottom w:val="single" w:sz="6" w:space="0" w:color="414142"/>
              <w:right w:val="single" w:sz="6" w:space="0" w:color="414142"/>
            </w:tcBorders>
          </w:tcPr>
          <w:p w:rsidR="000C7EFF" w:rsidRDefault="00E203EE" w:rsidP="00470B95">
            <w:pPr>
              <w:spacing w:after="120"/>
              <w:jc w:val="both"/>
            </w:pPr>
            <w:r>
              <w:t xml:space="preserve">Iekšlietu ministrija, </w:t>
            </w:r>
            <w:r w:rsidR="00470B95">
              <w:t>Nodrošinājuma valsts aģentūra</w:t>
            </w:r>
          </w:p>
        </w:tc>
      </w:tr>
      <w:tr w:rsidR="000C7EFF">
        <w:tc>
          <w:tcPr>
            <w:tcW w:w="520" w:type="dxa"/>
            <w:tcBorders>
              <w:top w:val="single" w:sz="6" w:space="0" w:color="414142"/>
              <w:left w:val="single" w:sz="6" w:space="0" w:color="414142"/>
              <w:bottom w:val="single" w:sz="6" w:space="0" w:color="414142"/>
              <w:right w:val="single" w:sz="6" w:space="0" w:color="414142"/>
            </w:tcBorders>
          </w:tcPr>
          <w:p w:rsidR="0056029F" w:rsidRDefault="0056029F">
            <w:pPr>
              <w:jc w:val="center"/>
            </w:pPr>
          </w:p>
          <w:p w:rsidR="000C7EFF" w:rsidRDefault="00E203EE">
            <w:pPr>
              <w:jc w:val="center"/>
            </w:pPr>
            <w:r>
              <w:t>4.</w:t>
            </w:r>
          </w:p>
        </w:tc>
        <w:tc>
          <w:tcPr>
            <w:tcW w:w="2592" w:type="dxa"/>
            <w:tcBorders>
              <w:top w:val="single" w:sz="6" w:space="0" w:color="414142"/>
              <w:left w:val="single" w:sz="6" w:space="0" w:color="414142"/>
              <w:bottom w:val="single" w:sz="6" w:space="0" w:color="414142"/>
              <w:right w:val="single" w:sz="6" w:space="0" w:color="414142"/>
            </w:tcBorders>
          </w:tcPr>
          <w:p w:rsidR="0056029F" w:rsidRDefault="0056029F"/>
          <w:p w:rsidR="000C7EFF" w:rsidRDefault="00E203EE">
            <w:r>
              <w:t>Cita informācija</w:t>
            </w:r>
          </w:p>
        </w:tc>
        <w:tc>
          <w:tcPr>
            <w:tcW w:w="5460" w:type="dxa"/>
            <w:tcBorders>
              <w:top w:val="single" w:sz="6" w:space="0" w:color="414142"/>
              <w:left w:val="single" w:sz="6" w:space="0" w:color="414142"/>
              <w:bottom w:val="single" w:sz="6" w:space="0" w:color="414142"/>
              <w:right w:val="single" w:sz="6" w:space="0" w:color="414142"/>
            </w:tcBorders>
          </w:tcPr>
          <w:p w:rsidR="0056029F" w:rsidRDefault="0056029F" w:rsidP="0038517C"/>
          <w:p w:rsidR="0056029F" w:rsidRDefault="00E203EE" w:rsidP="0038517C">
            <w:r>
              <w:t>Nav</w:t>
            </w:r>
          </w:p>
          <w:p w:rsidR="008F6DF3" w:rsidRDefault="008F6DF3" w:rsidP="0038517C"/>
        </w:tc>
      </w:tr>
    </w:tbl>
    <w:p w:rsidR="000C7EFF" w:rsidRDefault="000C7EFF">
      <w:pPr>
        <w:shd w:val="clear" w:color="auto" w:fill="FFFFFF"/>
        <w:ind w:firstLine="300"/>
      </w:pPr>
    </w:p>
    <w:p w:rsidR="008F6DF3" w:rsidRDefault="008F6DF3">
      <w:pPr>
        <w:shd w:val="clear" w:color="auto" w:fill="FFFFFF"/>
        <w:ind w:firstLine="300"/>
      </w:pPr>
    </w:p>
    <w:tbl>
      <w:tblPr>
        <w:tblStyle w:val="a1"/>
        <w:tblW w:w="8572" w:type="dxa"/>
        <w:tblInd w:w="-112" w:type="dxa"/>
        <w:tblBorders>
          <w:top w:val="single" w:sz="6" w:space="0" w:color="414142"/>
          <w:left w:val="single" w:sz="6" w:space="0" w:color="414142"/>
          <w:bottom w:val="single" w:sz="6" w:space="0" w:color="414142"/>
          <w:right w:val="single" w:sz="6" w:space="0" w:color="414142"/>
        </w:tblBorders>
        <w:tblLayout w:type="fixed"/>
        <w:tblLook w:val="0400" w:firstRow="0" w:lastRow="0" w:firstColumn="0" w:lastColumn="0" w:noHBand="0" w:noVBand="1"/>
      </w:tblPr>
      <w:tblGrid>
        <w:gridCol w:w="520"/>
        <w:gridCol w:w="2592"/>
        <w:gridCol w:w="5460"/>
      </w:tblGrid>
      <w:tr w:rsidR="000C7EFF">
        <w:trPr>
          <w:trHeight w:val="220"/>
        </w:trPr>
        <w:tc>
          <w:tcPr>
            <w:tcW w:w="8572" w:type="dxa"/>
            <w:gridSpan w:val="3"/>
            <w:tcBorders>
              <w:top w:val="single" w:sz="6" w:space="0" w:color="414142"/>
              <w:left w:val="single" w:sz="6" w:space="0" w:color="414142"/>
              <w:bottom w:val="single" w:sz="6" w:space="0" w:color="414142"/>
              <w:right w:val="single" w:sz="6" w:space="0" w:color="414142"/>
            </w:tcBorders>
            <w:vAlign w:val="center"/>
          </w:tcPr>
          <w:p w:rsidR="000C7EFF" w:rsidRDefault="00E203EE">
            <w:pPr>
              <w:jc w:val="center"/>
              <w:rPr>
                <w:b/>
              </w:rPr>
            </w:pPr>
            <w:r>
              <w:rPr>
                <w:b/>
              </w:rPr>
              <w:t>II. Tiesību akta projekta ietekme uz sabiedrību, tautsaimniecības attīstību un administratīvo slogu</w:t>
            </w:r>
          </w:p>
          <w:p w:rsidR="008F6DF3" w:rsidRDefault="008F6DF3">
            <w:pPr>
              <w:jc w:val="center"/>
              <w:rPr>
                <w:b/>
              </w:rPr>
            </w:pPr>
          </w:p>
        </w:tc>
      </w:tr>
      <w:tr w:rsidR="000C7EFF">
        <w:trPr>
          <w:trHeight w:val="460"/>
        </w:trPr>
        <w:tc>
          <w:tcPr>
            <w:tcW w:w="520" w:type="dxa"/>
            <w:tcBorders>
              <w:top w:val="single" w:sz="6" w:space="0" w:color="414142"/>
              <w:left w:val="single" w:sz="6" w:space="0" w:color="414142"/>
              <w:bottom w:val="single" w:sz="6" w:space="0" w:color="414142"/>
              <w:right w:val="single" w:sz="6" w:space="0" w:color="414142"/>
            </w:tcBorders>
          </w:tcPr>
          <w:p w:rsidR="000C7EFF" w:rsidRDefault="00E203EE">
            <w:r>
              <w:t>1.</w:t>
            </w:r>
          </w:p>
        </w:tc>
        <w:tc>
          <w:tcPr>
            <w:tcW w:w="2592" w:type="dxa"/>
            <w:tcBorders>
              <w:top w:val="single" w:sz="6" w:space="0" w:color="414142"/>
              <w:left w:val="single" w:sz="6" w:space="0" w:color="414142"/>
              <w:bottom w:val="single" w:sz="6" w:space="0" w:color="414142"/>
              <w:right w:val="single" w:sz="6" w:space="0" w:color="414142"/>
            </w:tcBorders>
          </w:tcPr>
          <w:p w:rsidR="000C7EFF" w:rsidRDefault="00E203EE">
            <w:r>
              <w:t>Sabiedrības mērķgrupas, kuras tiesiskais regulējums ietekmē vai varētu ietekmēt</w:t>
            </w:r>
          </w:p>
        </w:tc>
        <w:tc>
          <w:tcPr>
            <w:tcW w:w="5460" w:type="dxa"/>
            <w:tcBorders>
              <w:top w:val="single" w:sz="6" w:space="0" w:color="414142"/>
              <w:left w:val="single" w:sz="6" w:space="0" w:color="414142"/>
              <w:bottom w:val="single" w:sz="6" w:space="0" w:color="414142"/>
              <w:right w:val="single" w:sz="6" w:space="0" w:color="414142"/>
            </w:tcBorders>
          </w:tcPr>
          <w:p w:rsidR="000C7EFF" w:rsidRDefault="00470B95" w:rsidP="00470B95">
            <w:pPr>
              <w:jc w:val="both"/>
            </w:pPr>
            <w:r>
              <w:t>Nodrošinājuma valsts aģentūras nodarbinātajiem, kas iekļauti lietiskā pierādījuma realizācijas komisijā un privātpersonas, kas vēlas piedalīties lietiskā pierādījuma izsolē.</w:t>
            </w:r>
          </w:p>
        </w:tc>
      </w:tr>
      <w:tr w:rsidR="000C7EFF">
        <w:trPr>
          <w:trHeight w:val="500"/>
        </w:trPr>
        <w:tc>
          <w:tcPr>
            <w:tcW w:w="520" w:type="dxa"/>
            <w:tcBorders>
              <w:top w:val="single" w:sz="6" w:space="0" w:color="414142"/>
              <w:left w:val="single" w:sz="6" w:space="0" w:color="414142"/>
              <w:bottom w:val="single" w:sz="6" w:space="0" w:color="414142"/>
              <w:right w:val="single" w:sz="6" w:space="0" w:color="414142"/>
            </w:tcBorders>
          </w:tcPr>
          <w:p w:rsidR="000C7EFF" w:rsidRDefault="00E203EE">
            <w:r>
              <w:t>2.</w:t>
            </w:r>
          </w:p>
        </w:tc>
        <w:tc>
          <w:tcPr>
            <w:tcW w:w="2592" w:type="dxa"/>
            <w:tcBorders>
              <w:top w:val="single" w:sz="6" w:space="0" w:color="414142"/>
              <w:left w:val="single" w:sz="6" w:space="0" w:color="414142"/>
              <w:bottom w:val="single" w:sz="6" w:space="0" w:color="414142"/>
              <w:right w:val="single" w:sz="6" w:space="0" w:color="414142"/>
            </w:tcBorders>
          </w:tcPr>
          <w:p w:rsidR="000C7EFF" w:rsidRDefault="00E203EE">
            <w:r>
              <w:t>Tiesiskā regulējuma ietekme uz tautsaimniecību un administratīvo slogu</w:t>
            </w:r>
          </w:p>
        </w:tc>
        <w:tc>
          <w:tcPr>
            <w:tcW w:w="5460" w:type="dxa"/>
            <w:tcBorders>
              <w:top w:val="single" w:sz="6" w:space="0" w:color="414142"/>
              <w:left w:val="single" w:sz="6" w:space="0" w:color="414142"/>
              <w:bottom w:val="single" w:sz="6" w:space="0" w:color="414142"/>
              <w:right w:val="single" w:sz="6" w:space="0" w:color="414142"/>
            </w:tcBorders>
          </w:tcPr>
          <w:p w:rsidR="000C7EFF" w:rsidRDefault="00E203EE" w:rsidP="00F33985">
            <w:pPr>
              <w:spacing w:after="120"/>
              <w:jc w:val="both"/>
            </w:pPr>
            <w:r>
              <w:t xml:space="preserve">Tiesiskais regulējums palielinās administratīvo slogu </w:t>
            </w:r>
            <w:r w:rsidR="00470B95">
              <w:t>Nodrošinājuma valsts aģentūras nodarbinātajiem, kas iekļauti lietiskā pierādījuma realizācijas komisijā</w:t>
            </w:r>
            <w:r>
              <w:t xml:space="preserve">. </w:t>
            </w:r>
            <w:r w:rsidR="00F33985" w:rsidRPr="00F33985">
              <w:t>Vienlaikus projekts samazinās administratīvo slogu Aģentūrai un Valsts ieņēmumu dienestam, jo Aģentūra turpmāk nesūtīs informāciju par nolēmumu par lietiskā pierādījuma konfiskāciju piecu darbdienu laikā pēc dienas, kad saņemts nolēmums par lietiskā pierādījuma konfiskāciju Valsts ieņēmumu dienestam, kas Valsts ieņēmumu dienestam nav nepieciešamas, jo ir jau tā rīcībā.</w:t>
            </w:r>
          </w:p>
        </w:tc>
      </w:tr>
      <w:tr w:rsidR="000C7EFF">
        <w:trPr>
          <w:trHeight w:val="500"/>
        </w:trPr>
        <w:tc>
          <w:tcPr>
            <w:tcW w:w="520" w:type="dxa"/>
            <w:tcBorders>
              <w:top w:val="single" w:sz="6" w:space="0" w:color="414142"/>
              <w:left w:val="single" w:sz="6" w:space="0" w:color="414142"/>
              <w:bottom w:val="single" w:sz="6" w:space="0" w:color="414142"/>
              <w:right w:val="single" w:sz="6" w:space="0" w:color="414142"/>
            </w:tcBorders>
          </w:tcPr>
          <w:p w:rsidR="000C7EFF" w:rsidRDefault="00E203EE">
            <w:r>
              <w:t>3.</w:t>
            </w:r>
          </w:p>
        </w:tc>
        <w:tc>
          <w:tcPr>
            <w:tcW w:w="2592" w:type="dxa"/>
            <w:tcBorders>
              <w:top w:val="single" w:sz="6" w:space="0" w:color="414142"/>
              <w:left w:val="single" w:sz="6" w:space="0" w:color="414142"/>
              <w:bottom w:val="single" w:sz="6" w:space="0" w:color="414142"/>
              <w:right w:val="single" w:sz="6" w:space="0" w:color="414142"/>
            </w:tcBorders>
          </w:tcPr>
          <w:p w:rsidR="000C7EFF" w:rsidRDefault="00E203EE">
            <w:r>
              <w:t>Administratīvo izmaksu monetārs novērtējums</w:t>
            </w:r>
          </w:p>
        </w:tc>
        <w:tc>
          <w:tcPr>
            <w:tcW w:w="5460" w:type="dxa"/>
            <w:tcBorders>
              <w:top w:val="single" w:sz="6" w:space="0" w:color="414142"/>
              <w:left w:val="single" w:sz="6" w:space="0" w:color="414142"/>
              <w:bottom w:val="single" w:sz="6" w:space="0" w:color="414142"/>
              <w:right w:val="single" w:sz="6" w:space="0" w:color="414142"/>
            </w:tcBorders>
          </w:tcPr>
          <w:p w:rsidR="000C7EFF" w:rsidRDefault="00E203EE">
            <w:pPr>
              <w:spacing w:after="120"/>
              <w:jc w:val="both"/>
            </w:pPr>
            <w:r>
              <w:t>Projekts šo jomu neskar.</w:t>
            </w:r>
          </w:p>
        </w:tc>
      </w:tr>
      <w:tr w:rsidR="000C7EFF">
        <w:trPr>
          <w:trHeight w:val="500"/>
        </w:trPr>
        <w:tc>
          <w:tcPr>
            <w:tcW w:w="520" w:type="dxa"/>
            <w:tcBorders>
              <w:top w:val="single" w:sz="6" w:space="0" w:color="414142"/>
              <w:left w:val="single" w:sz="6" w:space="0" w:color="414142"/>
              <w:bottom w:val="single" w:sz="6" w:space="0" w:color="414142"/>
              <w:right w:val="single" w:sz="6" w:space="0" w:color="414142"/>
            </w:tcBorders>
          </w:tcPr>
          <w:p w:rsidR="000C7EFF" w:rsidRDefault="00E203EE">
            <w:r>
              <w:t>4.</w:t>
            </w:r>
          </w:p>
        </w:tc>
        <w:tc>
          <w:tcPr>
            <w:tcW w:w="2592" w:type="dxa"/>
            <w:tcBorders>
              <w:top w:val="single" w:sz="6" w:space="0" w:color="414142"/>
              <w:left w:val="single" w:sz="6" w:space="0" w:color="414142"/>
              <w:bottom w:val="single" w:sz="6" w:space="0" w:color="414142"/>
              <w:right w:val="single" w:sz="6" w:space="0" w:color="414142"/>
            </w:tcBorders>
          </w:tcPr>
          <w:p w:rsidR="000C7EFF" w:rsidRDefault="00E203EE">
            <w:r>
              <w:t>Atbilstības izmaksu monetārs novērtējums</w:t>
            </w:r>
          </w:p>
        </w:tc>
        <w:tc>
          <w:tcPr>
            <w:tcW w:w="5460" w:type="dxa"/>
            <w:tcBorders>
              <w:top w:val="single" w:sz="6" w:space="0" w:color="414142"/>
              <w:left w:val="single" w:sz="6" w:space="0" w:color="414142"/>
              <w:bottom w:val="single" w:sz="6" w:space="0" w:color="414142"/>
              <w:right w:val="single" w:sz="6" w:space="0" w:color="414142"/>
            </w:tcBorders>
          </w:tcPr>
          <w:p w:rsidR="000C7EFF" w:rsidRDefault="00E203EE">
            <w:r>
              <w:t>Projekts šo jomu neskar.</w:t>
            </w:r>
          </w:p>
        </w:tc>
      </w:tr>
      <w:tr w:rsidR="000C7EFF">
        <w:trPr>
          <w:trHeight w:val="340"/>
        </w:trPr>
        <w:tc>
          <w:tcPr>
            <w:tcW w:w="520" w:type="dxa"/>
            <w:tcBorders>
              <w:top w:val="single" w:sz="6" w:space="0" w:color="414142"/>
              <w:left w:val="single" w:sz="6" w:space="0" w:color="414142"/>
              <w:bottom w:val="single" w:sz="6" w:space="0" w:color="414142"/>
              <w:right w:val="single" w:sz="6" w:space="0" w:color="414142"/>
            </w:tcBorders>
          </w:tcPr>
          <w:p w:rsidR="000C7EFF" w:rsidRDefault="00E203EE">
            <w:r>
              <w:t>5.</w:t>
            </w:r>
          </w:p>
        </w:tc>
        <w:tc>
          <w:tcPr>
            <w:tcW w:w="2592" w:type="dxa"/>
            <w:tcBorders>
              <w:top w:val="single" w:sz="6" w:space="0" w:color="414142"/>
              <w:left w:val="single" w:sz="6" w:space="0" w:color="414142"/>
              <w:bottom w:val="single" w:sz="6" w:space="0" w:color="414142"/>
              <w:right w:val="single" w:sz="6" w:space="0" w:color="414142"/>
            </w:tcBorders>
          </w:tcPr>
          <w:p w:rsidR="000C7EFF" w:rsidRDefault="00E203EE">
            <w:r>
              <w:t>Cita informācija</w:t>
            </w:r>
          </w:p>
        </w:tc>
        <w:tc>
          <w:tcPr>
            <w:tcW w:w="5460" w:type="dxa"/>
            <w:tcBorders>
              <w:top w:val="single" w:sz="6" w:space="0" w:color="414142"/>
              <w:left w:val="single" w:sz="6" w:space="0" w:color="414142"/>
              <w:bottom w:val="single" w:sz="6" w:space="0" w:color="414142"/>
              <w:right w:val="single" w:sz="6" w:space="0" w:color="414142"/>
            </w:tcBorders>
          </w:tcPr>
          <w:p w:rsidR="000C7EFF" w:rsidRDefault="00E203EE">
            <w:r>
              <w:t>Nav</w:t>
            </w:r>
            <w:r w:rsidR="0038517C">
              <w:t>.</w:t>
            </w:r>
          </w:p>
          <w:p w:rsidR="008F6DF3" w:rsidRDefault="008F6DF3"/>
        </w:tc>
      </w:tr>
    </w:tbl>
    <w:p w:rsidR="000C7EFF" w:rsidRDefault="00E203EE" w:rsidP="00321E25">
      <w:pPr>
        <w:shd w:val="clear" w:color="auto" w:fill="FFFFFF"/>
        <w:ind w:firstLine="300"/>
        <w:rPr>
          <w:rFonts w:ascii="Arial" w:eastAsia="Arial" w:hAnsi="Arial" w:cs="Arial"/>
        </w:rPr>
      </w:pPr>
      <w:r>
        <w:rPr>
          <w:rFonts w:ascii="Arial" w:eastAsia="Arial" w:hAnsi="Arial" w:cs="Arial"/>
        </w:rPr>
        <w:t> </w:t>
      </w:r>
    </w:p>
    <w:p w:rsidR="008F6DF3" w:rsidRDefault="008F6DF3" w:rsidP="00321E25">
      <w:pPr>
        <w:shd w:val="clear" w:color="auto" w:fill="FFFFFF"/>
        <w:ind w:firstLine="300"/>
        <w:rPr>
          <w:rFonts w:ascii="Arial" w:eastAsia="Arial" w:hAnsi="Arial" w:cs="Arial"/>
        </w:rPr>
      </w:pPr>
    </w:p>
    <w:p w:rsidR="008F6DF3" w:rsidRDefault="008F6DF3" w:rsidP="00321E25">
      <w:pPr>
        <w:shd w:val="clear" w:color="auto" w:fill="FFFFFF"/>
        <w:ind w:firstLine="300"/>
        <w:rPr>
          <w:rFonts w:ascii="Arial" w:eastAsia="Arial" w:hAnsi="Arial" w:cs="Arial"/>
        </w:rPr>
      </w:pPr>
    </w:p>
    <w:tbl>
      <w:tblPr>
        <w:tblStyle w:val="a2"/>
        <w:tblW w:w="8531" w:type="dxa"/>
        <w:jc w:val="center"/>
        <w:tblBorders>
          <w:top w:val="single" w:sz="6" w:space="0" w:color="414142"/>
          <w:left w:val="single" w:sz="6" w:space="0" w:color="414142"/>
          <w:bottom w:val="single" w:sz="6" w:space="0" w:color="414142"/>
          <w:right w:val="single" w:sz="6" w:space="0" w:color="414142"/>
        </w:tblBorders>
        <w:tblLayout w:type="fixed"/>
        <w:tblLook w:val="0400" w:firstRow="0" w:lastRow="0" w:firstColumn="0" w:lastColumn="0" w:noHBand="0" w:noVBand="1"/>
      </w:tblPr>
      <w:tblGrid>
        <w:gridCol w:w="8531"/>
      </w:tblGrid>
      <w:tr w:rsidR="000C7EFF">
        <w:trPr>
          <w:trHeight w:val="280"/>
          <w:jc w:val="center"/>
        </w:trPr>
        <w:tc>
          <w:tcPr>
            <w:tcW w:w="8531" w:type="dxa"/>
            <w:tcBorders>
              <w:top w:val="single" w:sz="6" w:space="0" w:color="414142"/>
              <w:left w:val="single" w:sz="6" w:space="0" w:color="414142"/>
              <w:bottom w:val="single" w:sz="6" w:space="0" w:color="414142"/>
              <w:right w:val="single" w:sz="6" w:space="0" w:color="414142"/>
            </w:tcBorders>
            <w:vAlign w:val="center"/>
          </w:tcPr>
          <w:p w:rsidR="000C7EFF" w:rsidRDefault="00E203EE">
            <w:pPr>
              <w:spacing w:after="120"/>
              <w:jc w:val="center"/>
              <w:rPr>
                <w:b/>
              </w:rPr>
            </w:pPr>
            <w:r>
              <w:rPr>
                <w:b/>
              </w:rPr>
              <w:t>III. Tiesību akta projekta ietekme uz valsts budžetu un pašvaldību budžetiem</w:t>
            </w:r>
          </w:p>
        </w:tc>
      </w:tr>
      <w:tr w:rsidR="000C7EFF">
        <w:trPr>
          <w:trHeight w:val="280"/>
          <w:jc w:val="center"/>
        </w:trPr>
        <w:tc>
          <w:tcPr>
            <w:tcW w:w="8531" w:type="dxa"/>
            <w:tcBorders>
              <w:top w:val="single" w:sz="6" w:space="0" w:color="414142"/>
              <w:left w:val="single" w:sz="6" w:space="0" w:color="414142"/>
              <w:bottom w:val="single" w:sz="6" w:space="0" w:color="414142"/>
              <w:right w:val="single" w:sz="6" w:space="0" w:color="414142"/>
            </w:tcBorders>
            <w:vAlign w:val="center"/>
          </w:tcPr>
          <w:p w:rsidR="008F6DF3" w:rsidRDefault="00E203EE" w:rsidP="00C90A91">
            <w:pPr>
              <w:jc w:val="center"/>
            </w:pPr>
            <w:r>
              <w:t>Projekts šo jomu neskar.</w:t>
            </w:r>
          </w:p>
          <w:p w:rsidR="00C90A91" w:rsidRPr="00C90A91" w:rsidRDefault="00C90A91" w:rsidP="00C90A91">
            <w:pPr>
              <w:spacing w:after="120"/>
              <w:jc w:val="center"/>
            </w:pPr>
          </w:p>
        </w:tc>
      </w:tr>
    </w:tbl>
    <w:p w:rsidR="00425667" w:rsidRDefault="00425667" w:rsidP="00321E25">
      <w:pPr>
        <w:shd w:val="clear" w:color="auto" w:fill="FFFFFF"/>
        <w:rPr>
          <w:sz w:val="22"/>
          <w:szCs w:val="22"/>
        </w:rPr>
      </w:pPr>
    </w:p>
    <w:p w:rsidR="00C0189F" w:rsidRDefault="00C0189F" w:rsidP="00321E25">
      <w:pPr>
        <w:shd w:val="clear" w:color="auto" w:fill="FFFFFF"/>
        <w:rPr>
          <w:sz w:val="22"/>
          <w:szCs w:val="22"/>
        </w:rPr>
      </w:pPr>
    </w:p>
    <w:tbl>
      <w:tblPr>
        <w:tblStyle w:val="a3"/>
        <w:tblW w:w="8522" w:type="dxa"/>
        <w:jc w:val="center"/>
        <w:tblBorders>
          <w:top w:val="single" w:sz="6" w:space="0" w:color="414142"/>
          <w:left w:val="single" w:sz="6" w:space="0" w:color="414142"/>
          <w:bottom w:val="single" w:sz="6" w:space="0" w:color="414142"/>
          <w:right w:val="single" w:sz="6" w:space="0" w:color="414142"/>
        </w:tblBorders>
        <w:tblLayout w:type="fixed"/>
        <w:tblLook w:val="0400" w:firstRow="0" w:lastRow="0" w:firstColumn="0" w:lastColumn="0" w:noHBand="0" w:noVBand="1"/>
      </w:tblPr>
      <w:tblGrid>
        <w:gridCol w:w="8522"/>
      </w:tblGrid>
      <w:tr w:rsidR="00D72BA9" w:rsidTr="000557D7">
        <w:trPr>
          <w:trHeight w:val="180"/>
          <w:jc w:val="center"/>
        </w:trPr>
        <w:tc>
          <w:tcPr>
            <w:tcW w:w="8522" w:type="dxa"/>
            <w:tcBorders>
              <w:top w:val="single" w:sz="6" w:space="0" w:color="414142"/>
              <w:left w:val="single" w:sz="6" w:space="0" w:color="414142"/>
              <w:bottom w:val="single" w:sz="6" w:space="0" w:color="414142"/>
              <w:right w:val="single" w:sz="6" w:space="0" w:color="414142"/>
            </w:tcBorders>
            <w:vAlign w:val="center"/>
          </w:tcPr>
          <w:p w:rsidR="00D72BA9" w:rsidRDefault="00D72BA9" w:rsidP="000557D7">
            <w:pPr>
              <w:jc w:val="center"/>
              <w:rPr>
                <w:b/>
              </w:rPr>
            </w:pPr>
            <w:r>
              <w:rPr>
                <w:sz w:val="22"/>
                <w:szCs w:val="22"/>
              </w:rPr>
              <w:t> </w:t>
            </w:r>
            <w:r>
              <w:rPr>
                <w:b/>
              </w:rPr>
              <w:t>IV. Tiesību akta projekta ietekme uz spēkā esošo tiesību normu sistēmu</w:t>
            </w:r>
          </w:p>
        </w:tc>
      </w:tr>
      <w:tr w:rsidR="00D72BA9" w:rsidTr="000557D7">
        <w:trPr>
          <w:trHeight w:val="180"/>
          <w:jc w:val="center"/>
        </w:trPr>
        <w:tc>
          <w:tcPr>
            <w:tcW w:w="8522" w:type="dxa"/>
            <w:tcBorders>
              <w:top w:val="single" w:sz="6" w:space="0" w:color="414142"/>
              <w:left w:val="single" w:sz="6" w:space="0" w:color="414142"/>
              <w:bottom w:val="single" w:sz="6" w:space="0" w:color="414142"/>
              <w:right w:val="single" w:sz="6" w:space="0" w:color="414142"/>
            </w:tcBorders>
            <w:vAlign w:val="center"/>
          </w:tcPr>
          <w:p w:rsidR="00D72BA9" w:rsidRDefault="00D72BA9" w:rsidP="000557D7">
            <w:pPr>
              <w:jc w:val="center"/>
            </w:pPr>
            <w:r>
              <w:t>Projekts šo jomu neskar.</w:t>
            </w:r>
          </w:p>
          <w:p w:rsidR="008F6DF3" w:rsidRDefault="008F6DF3" w:rsidP="000557D7">
            <w:pPr>
              <w:jc w:val="center"/>
              <w:rPr>
                <w:b/>
              </w:rPr>
            </w:pPr>
          </w:p>
        </w:tc>
      </w:tr>
    </w:tbl>
    <w:p w:rsidR="00D72BA9" w:rsidRDefault="00D72BA9" w:rsidP="00230F3F">
      <w:pPr>
        <w:shd w:val="clear" w:color="auto" w:fill="FFFFFF"/>
      </w:pPr>
    </w:p>
    <w:p w:rsidR="008F6DF3" w:rsidRDefault="008F6DF3" w:rsidP="00230F3F">
      <w:pPr>
        <w:shd w:val="clear" w:color="auto" w:fill="FFFFFF"/>
      </w:pPr>
    </w:p>
    <w:tbl>
      <w:tblPr>
        <w:tblStyle w:val="a4"/>
        <w:tblW w:w="8572" w:type="dxa"/>
        <w:tblInd w:w="-112" w:type="dxa"/>
        <w:tblBorders>
          <w:top w:val="single" w:sz="6" w:space="0" w:color="414142"/>
          <w:left w:val="single" w:sz="6" w:space="0" w:color="414142"/>
          <w:bottom w:val="single" w:sz="6" w:space="0" w:color="414142"/>
          <w:right w:val="single" w:sz="6" w:space="0" w:color="414142"/>
        </w:tblBorders>
        <w:tblLayout w:type="fixed"/>
        <w:tblLook w:val="0400" w:firstRow="0" w:lastRow="0" w:firstColumn="0" w:lastColumn="0" w:noHBand="0" w:noVBand="1"/>
      </w:tblPr>
      <w:tblGrid>
        <w:gridCol w:w="8572"/>
      </w:tblGrid>
      <w:tr w:rsidR="00D72BA9" w:rsidTr="000557D7">
        <w:tc>
          <w:tcPr>
            <w:tcW w:w="8572" w:type="dxa"/>
            <w:tcBorders>
              <w:top w:val="single" w:sz="6" w:space="0" w:color="414142"/>
              <w:left w:val="single" w:sz="6" w:space="0" w:color="414142"/>
              <w:bottom w:val="single" w:sz="6" w:space="0" w:color="414142"/>
              <w:right w:val="single" w:sz="6" w:space="0" w:color="414142"/>
            </w:tcBorders>
            <w:vAlign w:val="center"/>
          </w:tcPr>
          <w:p w:rsidR="00D72BA9" w:rsidRDefault="00D72BA9" w:rsidP="000557D7">
            <w:pPr>
              <w:jc w:val="center"/>
              <w:rPr>
                <w:b/>
              </w:rPr>
            </w:pPr>
            <w:r>
              <w:rPr>
                <w:b/>
              </w:rPr>
              <w:t>V. Tiesību akta projekta atbilstība Latvijas Republikas starptautiskajām saistībām</w:t>
            </w:r>
          </w:p>
        </w:tc>
      </w:tr>
      <w:tr w:rsidR="00D72BA9" w:rsidTr="000557D7">
        <w:tc>
          <w:tcPr>
            <w:tcW w:w="8572" w:type="dxa"/>
            <w:tcBorders>
              <w:top w:val="single" w:sz="6" w:space="0" w:color="414142"/>
              <w:left w:val="single" w:sz="6" w:space="0" w:color="414142"/>
              <w:bottom w:val="single" w:sz="6" w:space="0" w:color="414142"/>
              <w:right w:val="single" w:sz="6" w:space="0" w:color="414142"/>
            </w:tcBorders>
            <w:vAlign w:val="center"/>
          </w:tcPr>
          <w:p w:rsidR="00D72BA9" w:rsidRDefault="00D72BA9" w:rsidP="000557D7">
            <w:pPr>
              <w:jc w:val="center"/>
            </w:pPr>
            <w:r>
              <w:t>Projekts šo jomu neskar.</w:t>
            </w:r>
          </w:p>
          <w:p w:rsidR="008F6DF3" w:rsidRDefault="008F6DF3" w:rsidP="000557D7">
            <w:pPr>
              <w:jc w:val="center"/>
              <w:rPr>
                <w:b/>
              </w:rPr>
            </w:pPr>
          </w:p>
        </w:tc>
      </w:tr>
    </w:tbl>
    <w:p w:rsidR="00D72BA9" w:rsidRDefault="00D72BA9" w:rsidP="00230F3F">
      <w:pPr>
        <w:shd w:val="clear" w:color="auto" w:fill="FFFFFF"/>
      </w:pPr>
    </w:p>
    <w:p w:rsidR="008F6DF3" w:rsidRDefault="008F6DF3" w:rsidP="00230F3F">
      <w:pPr>
        <w:shd w:val="clear" w:color="auto" w:fill="FFFFFF"/>
      </w:pPr>
    </w:p>
    <w:tbl>
      <w:tblPr>
        <w:tblW w:w="5093"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21"/>
        <w:gridCol w:w="2511"/>
        <w:gridCol w:w="5490"/>
      </w:tblGrid>
      <w:tr w:rsidR="00CD2328" w:rsidRPr="00537804" w:rsidTr="00CF3024">
        <w:trPr>
          <w:trHeight w:val="420"/>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CD2328" w:rsidRPr="00537804" w:rsidRDefault="00CD2328" w:rsidP="00CF3024">
            <w:pPr>
              <w:jc w:val="center"/>
              <w:rPr>
                <w:b/>
                <w:bCs/>
              </w:rPr>
            </w:pPr>
            <w:r w:rsidRPr="00537804">
              <w:rPr>
                <w:b/>
                <w:bCs/>
              </w:rPr>
              <w:t>VI. Sabiedrības līdzdalība un komunikācijas aktivitātes</w:t>
            </w:r>
          </w:p>
        </w:tc>
      </w:tr>
      <w:tr w:rsidR="00CD2328" w:rsidRPr="00537804" w:rsidTr="00CF3024">
        <w:trPr>
          <w:trHeight w:val="540"/>
          <w:jc w:val="center"/>
        </w:trPr>
        <w:tc>
          <w:tcPr>
            <w:tcW w:w="306" w:type="pct"/>
            <w:tcBorders>
              <w:top w:val="outset" w:sz="6" w:space="0" w:color="414142"/>
              <w:left w:val="outset" w:sz="6" w:space="0" w:color="414142"/>
              <w:bottom w:val="outset" w:sz="6" w:space="0" w:color="414142"/>
              <w:right w:val="outset" w:sz="6" w:space="0" w:color="414142"/>
            </w:tcBorders>
            <w:hideMark/>
          </w:tcPr>
          <w:p w:rsidR="00CD2328" w:rsidRPr="00537804" w:rsidRDefault="00CD2328" w:rsidP="00CF3024">
            <w:r w:rsidRPr="00537804">
              <w:t>1.</w:t>
            </w:r>
          </w:p>
        </w:tc>
        <w:tc>
          <w:tcPr>
            <w:tcW w:w="1473" w:type="pct"/>
            <w:tcBorders>
              <w:top w:val="outset" w:sz="6" w:space="0" w:color="414142"/>
              <w:left w:val="outset" w:sz="6" w:space="0" w:color="414142"/>
              <w:bottom w:val="outset" w:sz="6" w:space="0" w:color="414142"/>
              <w:right w:val="outset" w:sz="6" w:space="0" w:color="414142"/>
            </w:tcBorders>
            <w:hideMark/>
          </w:tcPr>
          <w:p w:rsidR="00CD2328" w:rsidRPr="00537804" w:rsidRDefault="00CD2328" w:rsidP="00CF3024">
            <w:r w:rsidRPr="00537804">
              <w:t>Plānotās sabiedrības līdzdalības un komunikācijas aktivitātes saistībā ar projektu</w:t>
            </w:r>
          </w:p>
        </w:tc>
        <w:tc>
          <w:tcPr>
            <w:tcW w:w="3221" w:type="pct"/>
            <w:tcBorders>
              <w:top w:val="outset" w:sz="6" w:space="0" w:color="414142"/>
              <w:left w:val="outset" w:sz="6" w:space="0" w:color="414142"/>
              <w:bottom w:val="outset" w:sz="6" w:space="0" w:color="414142"/>
              <w:right w:val="outset" w:sz="6" w:space="0" w:color="414142"/>
            </w:tcBorders>
            <w:hideMark/>
          </w:tcPr>
          <w:p w:rsidR="00CD2328" w:rsidRPr="00933A23" w:rsidRDefault="00933A23" w:rsidP="00C07580">
            <w:pPr>
              <w:spacing w:after="120"/>
              <w:jc w:val="both"/>
            </w:pPr>
            <w:r w:rsidRPr="00933A23">
              <w:t>Sabiedrības līdzdalība un komunikācijas aktivitātes saistībā ar projektu nav notikušas, jo projekts neskar plašas sabiedrības intereses, bet attiecas uz normatīvo regulējumu Aģentūras nodarbinātajiem</w:t>
            </w:r>
            <w:r>
              <w:t>,</w:t>
            </w:r>
            <w:r w:rsidR="00C07580">
              <w:t xml:space="preserve"> organizējot izsoles, kā arī uz procesa virzītājiem un Valsts ieņēmumu dienestu.</w:t>
            </w:r>
          </w:p>
        </w:tc>
      </w:tr>
      <w:tr w:rsidR="00CD2328" w:rsidRPr="00537804" w:rsidTr="00CF3024">
        <w:trPr>
          <w:trHeight w:val="330"/>
          <w:jc w:val="center"/>
        </w:trPr>
        <w:tc>
          <w:tcPr>
            <w:tcW w:w="306" w:type="pct"/>
            <w:tcBorders>
              <w:top w:val="outset" w:sz="6" w:space="0" w:color="414142"/>
              <w:left w:val="outset" w:sz="6" w:space="0" w:color="414142"/>
              <w:bottom w:val="outset" w:sz="6" w:space="0" w:color="414142"/>
              <w:right w:val="outset" w:sz="6" w:space="0" w:color="414142"/>
            </w:tcBorders>
            <w:hideMark/>
          </w:tcPr>
          <w:p w:rsidR="00CD2328" w:rsidRPr="00537804" w:rsidRDefault="00CD2328" w:rsidP="00CF3024">
            <w:r w:rsidRPr="00537804">
              <w:t>2.</w:t>
            </w:r>
          </w:p>
        </w:tc>
        <w:tc>
          <w:tcPr>
            <w:tcW w:w="1473" w:type="pct"/>
            <w:tcBorders>
              <w:top w:val="outset" w:sz="6" w:space="0" w:color="414142"/>
              <w:left w:val="outset" w:sz="6" w:space="0" w:color="414142"/>
              <w:bottom w:val="outset" w:sz="6" w:space="0" w:color="414142"/>
              <w:right w:val="outset" w:sz="6" w:space="0" w:color="414142"/>
            </w:tcBorders>
            <w:hideMark/>
          </w:tcPr>
          <w:p w:rsidR="00CD2328" w:rsidRPr="00537804" w:rsidRDefault="00CD2328" w:rsidP="00CF3024">
            <w:r w:rsidRPr="00537804">
              <w:t>Sabiedrības līdzdalība projekta izstrādē</w:t>
            </w:r>
          </w:p>
        </w:tc>
        <w:tc>
          <w:tcPr>
            <w:tcW w:w="3221" w:type="pct"/>
            <w:tcBorders>
              <w:top w:val="outset" w:sz="6" w:space="0" w:color="414142"/>
              <w:left w:val="outset" w:sz="6" w:space="0" w:color="414142"/>
              <w:bottom w:val="outset" w:sz="6" w:space="0" w:color="414142"/>
              <w:right w:val="outset" w:sz="6" w:space="0" w:color="414142"/>
            </w:tcBorders>
            <w:hideMark/>
          </w:tcPr>
          <w:p w:rsidR="00CD2328" w:rsidRPr="00D829E0" w:rsidRDefault="00933A23" w:rsidP="00E8704C">
            <w:pPr>
              <w:spacing w:after="120"/>
              <w:jc w:val="both"/>
            </w:pPr>
            <w:r>
              <w:t>Projekts šo jomu neskar</w:t>
            </w:r>
          </w:p>
        </w:tc>
      </w:tr>
      <w:tr w:rsidR="00CD2328" w:rsidRPr="00537804" w:rsidTr="00CF3024">
        <w:trPr>
          <w:trHeight w:val="465"/>
          <w:jc w:val="center"/>
        </w:trPr>
        <w:tc>
          <w:tcPr>
            <w:tcW w:w="306" w:type="pct"/>
            <w:tcBorders>
              <w:top w:val="outset" w:sz="6" w:space="0" w:color="414142"/>
              <w:left w:val="outset" w:sz="6" w:space="0" w:color="414142"/>
              <w:bottom w:val="outset" w:sz="6" w:space="0" w:color="414142"/>
              <w:right w:val="outset" w:sz="6" w:space="0" w:color="414142"/>
            </w:tcBorders>
            <w:hideMark/>
          </w:tcPr>
          <w:p w:rsidR="00CD2328" w:rsidRPr="00537804" w:rsidRDefault="00CD2328" w:rsidP="00CF3024">
            <w:r w:rsidRPr="00537804">
              <w:t>3.</w:t>
            </w:r>
          </w:p>
        </w:tc>
        <w:tc>
          <w:tcPr>
            <w:tcW w:w="1473" w:type="pct"/>
            <w:tcBorders>
              <w:top w:val="outset" w:sz="6" w:space="0" w:color="414142"/>
              <w:left w:val="outset" w:sz="6" w:space="0" w:color="414142"/>
              <w:bottom w:val="outset" w:sz="6" w:space="0" w:color="414142"/>
              <w:right w:val="outset" w:sz="6" w:space="0" w:color="414142"/>
            </w:tcBorders>
            <w:hideMark/>
          </w:tcPr>
          <w:p w:rsidR="00CD2328" w:rsidRPr="00537804" w:rsidRDefault="00CD2328" w:rsidP="00CF3024">
            <w:r w:rsidRPr="00537804">
              <w:t>Sabiedrības līdzdalības rezultāti</w:t>
            </w:r>
          </w:p>
        </w:tc>
        <w:tc>
          <w:tcPr>
            <w:tcW w:w="3221" w:type="pct"/>
            <w:tcBorders>
              <w:top w:val="outset" w:sz="6" w:space="0" w:color="414142"/>
              <w:left w:val="outset" w:sz="6" w:space="0" w:color="414142"/>
              <w:bottom w:val="outset" w:sz="6" w:space="0" w:color="414142"/>
              <w:right w:val="outset" w:sz="6" w:space="0" w:color="414142"/>
            </w:tcBorders>
            <w:hideMark/>
          </w:tcPr>
          <w:p w:rsidR="00CD2328" w:rsidRPr="00D829E0" w:rsidRDefault="00933A23" w:rsidP="00CF3024">
            <w:pPr>
              <w:spacing w:after="120"/>
            </w:pPr>
            <w:r>
              <w:t>Projekts šo jomu neskar</w:t>
            </w:r>
          </w:p>
        </w:tc>
      </w:tr>
      <w:tr w:rsidR="00CD2328" w:rsidRPr="00537804" w:rsidTr="00CF3024">
        <w:trPr>
          <w:trHeight w:val="465"/>
          <w:jc w:val="center"/>
        </w:trPr>
        <w:tc>
          <w:tcPr>
            <w:tcW w:w="306" w:type="pct"/>
            <w:tcBorders>
              <w:top w:val="outset" w:sz="6" w:space="0" w:color="414142"/>
              <w:left w:val="outset" w:sz="6" w:space="0" w:color="414142"/>
              <w:bottom w:val="outset" w:sz="6" w:space="0" w:color="414142"/>
              <w:right w:val="outset" w:sz="6" w:space="0" w:color="414142"/>
            </w:tcBorders>
            <w:hideMark/>
          </w:tcPr>
          <w:p w:rsidR="0056029F" w:rsidRDefault="0056029F" w:rsidP="00CF3024"/>
          <w:p w:rsidR="00CD2328" w:rsidRPr="00537804" w:rsidRDefault="00CD2328" w:rsidP="00CF3024">
            <w:r w:rsidRPr="00537804">
              <w:t>4.</w:t>
            </w:r>
          </w:p>
        </w:tc>
        <w:tc>
          <w:tcPr>
            <w:tcW w:w="1473" w:type="pct"/>
            <w:tcBorders>
              <w:top w:val="outset" w:sz="6" w:space="0" w:color="414142"/>
              <w:left w:val="outset" w:sz="6" w:space="0" w:color="414142"/>
              <w:bottom w:val="outset" w:sz="6" w:space="0" w:color="414142"/>
              <w:right w:val="outset" w:sz="6" w:space="0" w:color="414142"/>
            </w:tcBorders>
            <w:hideMark/>
          </w:tcPr>
          <w:p w:rsidR="0056029F" w:rsidRDefault="0056029F" w:rsidP="00CF3024"/>
          <w:p w:rsidR="00CD2328" w:rsidRPr="00537804" w:rsidRDefault="00CD2328" w:rsidP="00CF3024">
            <w:r w:rsidRPr="00537804">
              <w:t>Cita informācija</w:t>
            </w:r>
          </w:p>
        </w:tc>
        <w:tc>
          <w:tcPr>
            <w:tcW w:w="3221" w:type="pct"/>
            <w:tcBorders>
              <w:top w:val="outset" w:sz="6" w:space="0" w:color="414142"/>
              <w:left w:val="outset" w:sz="6" w:space="0" w:color="414142"/>
              <w:bottom w:val="outset" w:sz="6" w:space="0" w:color="414142"/>
              <w:right w:val="outset" w:sz="6" w:space="0" w:color="414142"/>
            </w:tcBorders>
            <w:hideMark/>
          </w:tcPr>
          <w:p w:rsidR="0056029F" w:rsidRDefault="0056029F" w:rsidP="00CF3024">
            <w:pPr>
              <w:spacing w:after="120"/>
            </w:pPr>
          </w:p>
          <w:p w:rsidR="00CD2328" w:rsidRPr="00D829E0" w:rsidRDefault="00CD2328" w:rsidP="00CF3024">
            <w:pPr>
              <w:spacing w:after="120"/>
            </w:pPr>
            <w:r>
              <w:t>Nav</w:t>
            </w:r>
            <w:r w:rsidR="00E8704C">
              <w:t>.</w:t>
            </w:r>
          </w:p>
        </w:tc>
      </w:tr>
    </w:tbl>
    <w:p w:rsidR="00CD2328" w:rsidRDefault="00CD2328">
      <w:pPr>
        <w:shd w:val="clear" w:color="auto" w:fill="FFFFFF"/>
        <w:ind w:firstLine="300"/>
      </w:pPr>
      <w:r w:rsidRPr="00537804">
        <w:rPr>
          <w:rFonts w:ascii="Arial" w:hAnsi="Arial" w:cs="Arial"/>
        </w:rPr>
        <w:t> </w:t>
      </w:r>
    </w:p>
    <w:p w:rsidR="008F6DF3" w:rsidRDefault="008F6DF3">
      <w:pPr>
        <w:shd w:val="clear" w:color="auto" w:fill="FFFFFF"/>
        <w:ind w:firstLine="300"/>
      </w:pPr>
    </w:p>
    <w:tbl>
      <w:tblPr>
        <w:tblStyle w:val="a7"/>
        <w:tblW w:w="8520" w:type="dxa"/>
        <w:jc w:val="center"/>
        <w:tblBorders>
          <w:top w:val="single" w:sz="6" w:space="0" w:color="414142"/>
          <w:left w:val="single" w:sz="6" w:space="0" w:color="414142"/>
          <w:bottom w:val="single" w:sz="6" w:space="0" w:color="414142"/>
          <w:right w:val="single" w:sz="6" w:space="0" w:color="414142"/>
        </w:tblBorders>
        <w:tblLayout w:type="fixed"/>
        <w:tblLook w:val="0400" w:firstRow="0" w:lastRow="0" w:firstColumn="0" w:lastColumn="0" w:noHBand="0" w:noVBand="1"/>
      </w:tblPr>
      <w:tblGrid>
        <w:gridCol w:w="468"/>
        <w:gridCol w:w="3180"/>
        <w:gridCol w:w="4872"/>
      </w:tblGrid>
      <w:tr w:rsidR="000C7EFF">
        <w:trPr>
          <w:trHeight w:val="360"/>
          <w:jc w:val="center"/>
        </w:trPr>
        <w:tc>
          <w:tcPr>
            <w:tcW w:w="8520" w:type="dxa"/>
            <w:gridSpan w:val="3"/>
            <w:tcBorders>
              <w:top w:val="single" w:sz="6" w:space="0" w:color="414142"/>
              <w:left w:val="single" w:sz="6" w:space="0" w:color="414142"/>
              <w:bottom w:val="single" w:sz="6" w:space="0" w:color="414142"/>
              <w:right w:val="single" w:sz="6" w:space="0" w:color="414142"/>
            </w:tcBorders>
            <w:vAlign w:val="center"/>
          </w:tcPr>
          <w:p w:rsidR="000C7EFF" w:rsidRDefault="00E203EE">
            <w:pPr>
              <w:jc w:val="center"/>
              <w:rPr>
                <w:b/>
              </w:rPr>
            </w:pPr>
            <w:r>
              <w:rPr>
                <w:b/>
              </w:rPr>
              <w:t>VII. Tiesību akta projekta izpildes nodrošināšana un tās ietekme uz institūcijām</w:t>
            </w:r>
          </w:p>
        </w:tc>
      </w:tr>
      <w:tr w:rsidR="000C7EFF">
        <w:trPr>
          <w:trHeight w:val="420"/>
          <w:jc w:val="center"/>
        </w:trPr>
        <w:tc>
          <w:tcPr>
            <w:tcW w:w="468" w:type="dxa"/>
            <w:tcBorders>
              <w:top w:val="single" w:sz="6" w:space="0" w:color="414142"/>
              <w:left w:val="single" w:sz="6" w:space="0" w:color="414142"/>
              <w:bottom w:val="single" w:sz="6" w:space="0" w:color="414142"/>
              <w:right w:val="single" w:sz="6" w:space="0" w:color="414142"/>
            </w:tcBorders>
          </w:tcPr>
          <w:p w:rsidR="000C7EFF" w:rsidRDefault="00E203EE">
            <w:r>
              <w:t>1.</w:t>
            </w:r>
          </w:p>
        </w:tc>
        <w:tc>
          <w:tcPr>
            <w:tcW w:w="3180" w:type="dxa"/>
            <w:tcBorders>
              <w:top w:val="single" w:sz="6" w:space="0" w:color="414142"/>
              <w:left w:val="single" w:sz="6" w:space="0" w:color="414142"/>
              <w:bottom w:val="single" w:sz="6" w:space="0" w:color="414142"/>
              <w:right w:val="single" w:sz="6" w:space="0" w:color="414142"/>
            </w:tcBorders>
          </w:tcPr>
          <w:p w:rsidR="000C7EFF" w:rsidRDefault="00E203EE">
            <w:r>
              <w:t>Projekta izpildē iesaistītās institūcijas</w:t>
            </w:r>
          </w:p>
        </w:tc>
        <w:tc>
          <w:tcPr>
            <w:tcW w:w="4872" w:type="dxa"/>
            <w:tcBorders>
              <w:top w:val="single" w:sz="6" w:space="0" w:color="414142"/>
              <w:left w:val="single" w:sz="6" w:space="0" w:color="414142"/>
              <w:bottom w:val="single" w:sz="6" w:space="0" w:color="414142"/>
              <w:right w:val="single" w:sz="6" w:space="0" w:color="414142"/>
            </w:tcBorders>
          </w:tcPr>
          <w:p w:rsidR="000C7EFF" w:rsidRDefault="006350AF" w:rsidP="006350AF">
            <w:pPr>
              <w:spacing w:after="120"/>
              <w:jc w:val="both"/>
            </w:pPr>
            <w:r>
              <w:t>Iekšlietu ministrija, Nodrošinājuma valsts aģentūra</w:t>
            </w:r>
            <w:r w:rsidR="0038517C">
              <w:t>.</w:t>
            </w:r>
          </w:p>
          <w:p w:rsidR="008F6DF3" w:rsidRDefault="008F6DF3" w:rsidP="006350AF">
            <w:pPr>
              <w:spacing w:after="120"/>
              <w:jc w:val="both"/>
            </w:pPr>
          </w:p>
        </w:tc>
      </w:tr>
      <w:tr w:rsidR="000C7EFF">
        <w:trPr>
          <w:trHeight w:val="440"/>
          <w:jc w:val="center"/>
        </w:trPr>
        <w:tc>
          <w:tcPr>
            <w:tcW w:w="468" w:type="dxa"/>
            <w:tcBorders>
              <w:top w:val="single" w:sz="6" w:space="0" w:color="414142"/>
              <w:left w:val="single" w:sz="6" w:space="0" w:color="414142"/>
              <w:bottom w:val="single" w:sz="6" w:space="0" w:color="414142"/>
              <w:right w:val="single" w:sz="6" w:space="0" w:color="414142"/>
            </w:tcBorders>
          </w:tcPr>
          <w:p w:rsidR="000C7EFF" w:rsidRDefault="00E203EE">
            <w:r>
              <w:t>2.</w:t>
            </w:r>
          </w:p>
        </w:tc>
        <w:tc>
          <w:tcPr>
            <w:tcW w:w="3180" w:type="dxa"/>
            <w:tcBorders>
              <w:top w:val="single" w:sz="6" w:space="0" w:color="414142"/>
              <w:left w:val="single" w:sz="6" w:space="0" w:color="414142"/>
              <w:bottom w:val="single" w:sz="6" w:space="0" w:color="414142"/>
              <w:right w:val="single" w:sz="6" w:space="0" w:color="414142"/>
            </w:tcBorders>
          </w:tcPr>
          <w:p w:rsidR="000C7EFF" w:rsidRDefault="00E203EE">
            <w:r>
              <w:t>Projekta izpildes ietekme uz pārvaldes funkcijām un institucionālo struktūru.</w:t>
            </w:r>
          </w:p>
          <w:p w:rsidR="000C7EFF" w:rsidRDefault="00E203EE">
            <w:r>
              <w:t>Jaunu institūciju izveide, esošu institūciju likvidācija vai reorganizācija, to ietekme uz institūcijas cilvēkresursiem</w:t>
            </w:r>
          </w:p>
        </w:tc>
        <w:tc>
          <w:tcPr>
            <w:tcW w:w="4872" w:type="dxa"/>
            <w:tcBorders>
              <w:top w:val="single" w:sz="6" w:space="0" w:color="414142"/>
              <w:left w:val="single" w:sz="6" w:space="0" w:color="414142"/>
              <w:bottom w:val="single" w:sz="6" w:space="0" w:color="414142"/>
              <w:right w:val="single" w:sz="6" w:space="0" w:color="414142"/>
            </w:tcBorders>
          </w:tcPr>
          <w:p w:rsidR="000C7EFF" w:rsidRDefault="00E203EE">
            <w:pPr>
              <w:spacing w:after="120"/>
              <w:jc w:val="both"/>
            </w:pPr>
            <w:r>
              <w:t>Projekta izpildes rezultātā nav paredzēta esošu institūciju likvidācija vai reorganizācija. Iestāžu institucionālā struktūra netiek ietekmēta, papildus cilvēkresursi nav nepieciešami.</w:t>
            </w:r>
          </w:p>
        </w:tc>
      </w:tr>
      <w:tr w:rsidR="000C7EFF">
        <w:trPr>
          <w:trHeight w:val="380"/>
          <w:jc w:val="center"/>
        </w:trPr>
        <w:tc>
          <w:tcPr>
            <w:tcW w:w="468" w:type="dxa"/>
            <w:tcBorders>
              <w:top w:val="single" w:sz="6" w:space="0" w:color="414142"/>
              <w:left w:val="single" w:sz="6" w:space="0" w:color="414142"/>
              <w:bottom w:val="single" w:sz="6" w:space="0" w:color="414142"/>
              <w:right w:val="single" w:sz="6" w:space="0" w:color="414142"/>
            </w:tcBorders>
          </w:tcPr>
          <w:p w:rsidR="000C7EFF" w:rsidRDefault="00E203EE">
            <w:r>
              <w:lastRenderedPageBreak/>
              <w:t>3.</w:t>
            </w:r>
          </w:p>
        </w:tc>
        <w:tc>
          <w:tcPr>
            <w:tcW w:w="3180" w:type="dxa"/>
            <w:tcBorders>
              <w:top w:val="single" w:sz="6" w:space="0" w:color="414142"/>
              <w:left w:val="single" w:sz="6" w:space="0" w:color="414142"/>
              <w:bottom w:val="single" w:sz="6" w:space="0" w:color="414142"/>
              <w:right w:val="single" w:sz="6" w:space="0" w:color="414142"/>
            </w:tcBorders>
          </w:tcPr>
          <w:p w:rsidR="000C7EFF" w:rsidRDefault="00E203EE">
            <w:r>
              <w:t>Cita informācija</w:t>
            </w:r>
          </w:p>
        </w:tc>
        <w:tc>
          <w:tcPr>
            <w:tcW w:w="4872" w:type="dxa"/>
            <w:tcBorders>
              <w:top w:val="single" w:sz="6" w:space="0" w:color="414142"/>
              <w:left w:val="single" w:sz="6" w:space="0" w:color="414142"/>
              <w:bottom w:val="single" w:sz="6" w:space="0" w:color="414142"/>
              <w:right w:val="single" w:sz="6" w:space="0" w:color="414142"/>
            </w:tcBorders>
          </w:tcPr>
          <w:p w:rsidR="000C7EFF" w:rsidRDefault="00E203EE">
            <w:pPr>
              <w:spacing w:after="120"/>
            </w:pPr>
            <w:r>
              <w:t>Nav</w:t>
            </w:r>
            <w:r w:rsidR="0038517C">
              <w:t>.</w:t>
            </w:r>
          </w:p>
        </w:tc>
      </w:tr>
    </w:tbl>
    <w:p w:rsidR="000C7EFF" w:rsidRDefault="000C7EFF"/>
    <w:p w:rsidR="008D7D01" w:rsidRDefault="008D7D01">
      <w:pPr>
        <w:tabs>
          <w:tab w:val="left" w:pos="6237"/>
        </w:tabs>
        <w:spacing w:after="120"/>
      </w:pPr>
    </w:p>
    <w:p w:rsidR="000C7EFF" w:rsidRDefault="00E203EE">
      <w:pPr>
        <w:tabs>
          <w:tab w:val="left" w:pos="6237"/>
        </w:tabs>
        <w:spacing w:after="120"/>
      </w:pPr>
      <w:r>
        <w:t>Iekšlietu ministrs</w:t>
      </w:r>
      <w:r>
        <w:tab/>
      </w:r>
      <w:r w:rsidR="00D72BA9">
        <w:t xml:space="preserve">Sandis </w:t>
      </w:r>
      <w:proofErr w:type="spellStart"/>
      <w:r w:rsidR="00D72BA9">
        <w:t>Ģirģens</w:t>
      </w:r>
      <w:proofErr w:type="spellEnd"/>
    </w:p>
    <w:p w:rsidR="000C7EFF" w:rsidRDefault="000C7EFF">
      <w:pPr>
        <w:spacing w:after="120"/>
        <w:ind w:firstLine="720"/>
      </w:pPr>
    </w:p>
    <w:p w:rsidR="000C7EFF" w:rsidRDefault="00E203EE">
      <w:pPr>
        <w:spacing w:after="120"/>
      </w:pPr>
      <w:r>
        <w:t>Vīza:</w:t>
      </w:r>
    </w:p>
    <w:p w:rsidR="000C7EFF" w:rsidRDefault="006350AF">
      <w:pPr>
        <w:tabs>
          <w:tab w:val="left" w:pos="6237"/>
        </w:tabs>
        <w:spacing w:after="120"/>
      </w:pPr>
      <w:r>
        <w:t xml:space="preserve">Iekšlietu ministrijas </w:t>
      </w:r>
      <w:r w:rsidR="00E203EE">
        <w:t>valsts sekretārs</w:t>
      </w:r>
      <w:r w:rsidR="00E203EE">
        <w:tab/>
      </w:r>
      <w:proofErr w:type="spellStart"/>
      <w:r w:rsidR="00E203EE">
        <w:t>Dimitrijs</w:t>
      </w:r>
      <w:proofErr w:type="spellEnd"/>
      <w:r w:rsidR="00E203EE">
        <w:t xml:space="preserve"> </w:t>
      </w:r>
      <w:proofErr w:type="spellStart"/>
      <w:r w:rsidR="00E203EE">
        <w:t>Trofimovs</w:t>
      </w:r>
      <w:proofErr w:type="spellEnd"/>
    </w:p>
    <w:p w:rsidR="00933A23" w:rsidRDefault="00933A23" w:rsidP="00470B95">
      <w:pPr>
        <w:rPr>
          <w:sz w:val="20"/>
          <w:szCs w:val="20"/>
        </w:rPr>
      </w:pPr>
    </w:p>
    <w:p w:rsidR="0056029F" w:rsidRDefault="0056029F" w:rsidP="00470B95">
      <w:pPr>
        <w:rPr>
          <w:sz w:val="20"/>
          <w:szCs w:val="20"/>
        </w:rPr>
      </w:pPr>
    </w:p>
    <w:p w:rsidR="0056029F" w:rsidRDefault="0056029F" w:rsidP="00470B95">
      <w:pPr>
        <w:rPr>
          <w:sz w:val="20"/>
          <w:szCs w:val="20"/>
        </w:rPr>
      </w:pPr>
    </w:p>
    <w:p w:rsidR="00C0189F" w:rsidRDefault="00C0189F" w:rsidP="00470B95">
      <w:pPr>
        <w:rPr>
          <w:sz w:val="20"/>
          <w:szCs w:val="20"/>
        </w:rPr>
      </w:pPr>
    </w:p>
    <w:p w:rsidR="008F6DF3" w:rsidRDefault="008F6DF3" w:rsidP="00470B95">
      <w:pPr>
        <w:rPr>
          <w:sz w:val="20"/>
          <w:szCs w:val="20"/>
        </w:rPr>
      </w:pPr>
    </w:p>
    <w:p w:rsidR="008F6DF3" w:rsidRDefault="008F6DF3" w:rsidP="00470B95">
      <w:pPr>
        <w:rPr>
          <w:sz w:val="20"/>
          <w:szCs w:val="20"/>
        </w:rPr>
      </w:pPr>
    </w:p>
    <w:p w:rsidR="008F6DF3" w:rsidRDefault="008F6DF3" w:rsidP="00470B95">
      <w:pPr>
        <w:rPr>
          <w:sz w:val="20"/>
          <w:szCs w:val="20"/>
        </w:rPr>
      </w:pPr>
    </w:p>
    <w:p w:rsidR="008F6DF3" w:rsidRDefault="008F6DF3" w:rsidP="00470B95">
      <w:pPr>
        <w:rPr>
          <w:sz w:val="20"/>
          <w:szCs w:val="20"/>
        </w:rPr>
      </w:pPr>
    </w:p>
    <w:p w:rsidR="008F6DF3" w:rsidRDefault="008F6DF3" w:rsidP="00470B95">
      <w:pPr>
        <w:rPr>
          <w:sz w:val="20"/>
          <w:szCs w:val="20"/>
        </w:rPr>
      </w:pPr>
    </w:p>
    <w:p w:rsidR="008F6DF3" w:rsidRDefault="008F6DF3" w:rsidP="00470B95">
      <w:pPr>
        <w:rPr>
          <w:sz w:val="20"/>
          <w:szCs w:val="20"/>
        </w:rPr>
      </w:pPr>
    </w:p>
    <w:p w:rsidR="008F6DF3" w:rsidRDefault="008F6DF3" w:rsidP="00470B95">
      <w:pPr>
        <w:rPr>
          <w:sz w:val="20"/>
          <w:szCs w:val="20"/>
        </w:rPr>
      </w:pPr>
    </w:p>
    <w:p w:rsidR="008F6DF3" w:rsidRDefault="008F6DF3" w:rsidP="00470B95">
      <w:pPr>
        <w:rPr>
          <w:sz w:val="20"/>
          <w:szCs w:val="20"/>
        </w:rPr>
      </w:pPr>
    </w:p>
    <w:p w:rsidR="008F6DF3" w:rsidRDefault="008F6DF3" w:rsidP="00470B95">
      <w:pPr>
        <w:rPr>
          <w:sz w:val="20"/>
          <w:szCs w:val="20"/>
        </w:rPr>
      </w:pPr>
    </w:p>
    <w:p w:rsidR="008F6DF3" w:rsidRDefault="008F6DF3" w:rsidP="00470B95">
      <w:pPr>
        <w:rPr>
          <w:sz w:val="20"/>
          <w:szCs w:val="20"/>
        </w:rPr>
      </w:pPr>
    </w:p>
    <w:p w:rsidR="008F6DF3" w:rsidRDefault="008F6DF3" w:rsidP="00470B95">
      <w:pPr>
        <w:rPr>
          <w:sz w:val="20"/>
          <w:szCs w:val="20"/>
        </w:rPr>
      </w:pPr>
    </w:p>
    <w:p w:rsidR="008F6DF3" w:rsidRDefault="008F6DF3" w:rsidP="00470B95">
      <w:pPr>
        <w:rPr>
          <w:sz w:val="20"/>
          <w:szCs w:val="20"/>
        </w:rPr>
      </w:pPr>
    </w:p>
    <w:p w:rsidR="008F6DF3" w:rsidRDefault="008F6DF3" w:rsidP="00470B95">
      <w:pPr>
        <w:rPr>
          <w:sz w:val="20"/>
          <w:szCs w:val="20"/>
        </w:rPr>
      </w:pPr>
    </w:p>
    <w:p w:rsidR="008F6DF3" w:rsidRDefault="008F6DF3" w:rsidP="00470B95">
      <w:pPr>
        <w:rPr>
          <w:sz w:val="20"/>
          <w:szCs w:val="20"/>
        </w:rPr>
      </w:pPr>
    </w:p>
    <w:p w:rsidR="008F6DF3" w:rsidRDefault="008F6DF3" w:rsidP="00470B95">
      <w:pPr>
        <w:rPr>
          <w:sz w:val="20"/>
          <w:szCs w:val="20"/>
        </w:rPr>
      </w:pPr>
    </w:p>
    <w:p w:rsidR="008F6DF3" w:rsidRDefault="008F6DF3" w:rsidP="00470B95">
      <w:pPr>
        <w:rPr>
          <w:sz w:val="20"/>
          <w:szCs w:val="20"/>
        </w:rPr>
      </w:pPr>
    </w:p>
    <w:p w:rsidR="008F6DF3" w:rsidRDefault="008F6DF3" w:rsidP="00470B95">
      <w:pPr>
        <w:rPr>
          <w:sz w:val="20"/>
          <w:szCs w:val="20"/>
        </w:rPr>
      </w:pPr>
    </w:p>
    <w:p w:rsidR="008F6DF3" w:rsidRDefault="008F6DF3" w:rsidP="00470B95">
      <w:pPr>
        <w:rPr>
          <w:sz w:val="20"/>
          <w:szCs w:val="20"/>
        </w:rPr>
      </w:pPr>
    </w:p>
    <w:p w:rsidR="008F6DF3" w:rsidRDefault="008F6DF3" w:rsidP="00470B95">
      <w:pPr>
        <w:rPr>
          <w:sz w:val="20"/>
          <w:szCs w:val="20"/>
        </w:rPr>
      </w:pPr>
    </w:p>
    <w:p w:rsidR="008F6DF3" w:rsidRDefault="008F6DF3" w:rsidP="00470B95">
      <w:pPr>
        <w:rPr>
          <w:sz w:val="20"/>
          <w:szCs w:val="20"/>
        </w:rPr>
      </w:pPr>
    </w:p>
    <w:p w:rsidR="008F6DF3" w:rsidRDefault="008F6DF3" w:rsidP="00470B95">
      <w:pPr>
        <w:rPr>
          <w:sz w:val="20"/>
          <w:szCs w:val="20"/>
        </w:rPr>
      </w:pPr>
    </w:p>
    <w:p w:rsidR="008F6DF3" w:rsidRDefault="008F6DF3" w:rsidP="00470B95">
      <w:pPr>
        <w:rPr>
          <w:sz w:val="20"/>
          <w:szCs w:val="20"/>
        </w:rPr>
      </w:pPr>
    </w:p>
    <w:p w:rsidR="008F6DF3" w:rsidRDefault="008F6DF3" w:rsidP="00470B95">
      <w:pPr>
        <w:rPr>
          <w:sz w:val="20"/>
          <w:szCs w:val="20"/>
        </w:rPr>
      </w:pPr>
    </w:p>
    <w:p w:rsidR="008F6DF3" w:rsidRDefault="008F6DF3" w:rsidP="00470B95">
      <w:pPr>
        <w:rPr>
          <w:sz w:val="20"/>
          <w:szCs w:val="20"/>
        </w:rPr>
      </w:pPr>
    </w:p>
    <w:p w:rsidR="008F6DF3" w:rsidRDefault="008F6DF3" w:rsidP="00470B95">
      <w:pPr>
        <w:rPr>
          <w:sz w:val="20"/>
          <w:szCs w:val="20"/>
        </w:rPr>
      </w:pPr>
    </w:p>
    <w:p w:rsidR="008F6DF3" w:rsidRDefault="008F6DF3" w:rsidP="00470B95">
      <w:pPr>
        <w:rPr>
          <w:sz w:val="20"/>
          <w:szCs w:val="20"/>
        </w:rPr>
      </w:pPr>
    </w:p>
    <w:p w:rsidR="008F6DF3" w:rsidRDefault="008F6DF3" w:rsidP="00470B95">
      <w:pPr>
        <w:rPr>
          <w:sz w:val="20"/>
          <w:szCs w:val="20"/>
        </w:rPr>
      </w:pPr>
    </w:p>
    <w:p w:rsidR="008F6DF3" w:rsidRDefault="008F6DF3" w:rsidP="00470B95">
      <w:pPr>
        <w:rPr>
          <w:sz w:val="20"/>
          <w:szCs w:val="20"/>
        </w:rPr>
      </w:pPr>
    </w:p>
    <w:p w:rsidR="008F6DF3" w:rsidRDefault="008F6DF3" w:rsidP="00470B95">
      <w:pPr>
        <w:rPr>
          <w:sz w:val="20"/>
          <w:szCs w:val="20"/>
        </w:rPr>
      </w:pPr>
    </w:p>
    <w:p w:rsidR="008F6DF3" w:rsidRDefault="008F6DF3" w:rsidP="00470B95">
      <w:pPr>
        <w:rPr>
          <w:sz w:val="20"/>
          <w:szCs w:val="20"/>
        </w:rPr>
      </w:pPr>
    </w:p>
    <w:p w:rsidR="008F6DF3" w:rsidRDefault="008F6DF3" w:rsidP="00470B95">
      <w:pPr>
        <w:rPr>
          <w:sz w:val="20"/>
          <w:szCs w:val="20"/>
        </w:rPr>
      </w:pPr>
    </w:p>
    <w:p w:rsidR="008F6DF3" w:rsidRDefault="008F6DF3" w:rsidP="00470B95">
      <w:pPr>
        <w:rPr>
          <w:sz w:val="20"/>
          <w:szCs w:val="20"/>
        </w:rPr>
      </w:pPr>
    </w:p>
    <w:p w:rsidR="008F6DF3" w:rsidRDefault="008F6DF3" w:rsidP="00470B95">
      <w:pPr>
        <w:rPr>
          <w:sz w:val="20"/>
          <w:szCs w:val="20"/>
        </w:rPr>
      </w:pPr>
    </w:p>
    <w:p w:rsidR="008F6DF3" w:rsidRDefault="008F6DF3" w:rsidP="00470B95">
      <w:pPr>
        <w:rPr>
          <w:sz w:val="20"/>
          <w:szCs w:val="20"/>
        </w:rPr>
      </w:pPr>
    </w:p>
    <w:p w:rsidR="008F6DF3" w:rsidRDefault="008F6DF3" w:rsidP="00470B95">
      <w:pPr>
        <w:rPr>
          <w:sz w:val="20"/>
          <w:szCs w:val="20"/>
        </w:rPr>
      </w:pPr>
    </w:p>
    <w:p w:rsidR="008F6DF3" w:rsidRDefault="008F6DF3" w:rsidP="00470B95">
      <w:pPr>
        <w:rPr>
          <w:sz w:val="20"/>
          <w:szCs w:val="20"/>
        </w:rPr>
      </w:pPr>
    </w:p>
    <w:p w:rsidR="008F6DF3" w:rsidRDefault="008F6DF3" w:rsidP="00470B95">
      <w:pPr>
        <w:rPr>
          <w:sz w:val="20"/>
          <w:szCs w:val="20"/>
        </w:rPr>
      </w:pPr>
    </w:p>
    <w:p w:rsidR="00D72BA9" w:rsidRDefault="00D72BA9" w:rsidP="00D72BA9">
      <w:pPr>
        <w:jc w:val="both"/>
        <w:rPr>
          <w:sz w:val="20"/>
          <w:szCs w:val="20"/>
        </w:rPr>
      </w:pPr>
      <w:r>
        <w:rPr>
          <w:sz w:val="20"/>
          <w:szCs w:val="20"/>
        </w:rPr>
        <w:t xml:space="preserve">Raitis Nora </w:t>
      </w:r>
      <w:r w:rsidRPr="00ED62A3">
        <w:rPr>
          <w:sz w:val="20"/>
          <w:szCs w:val="20"/>
        </w:rPr>
        <w:t>67829075</w:t>
      </w:r>
    </w:p>
    <w:p w:rsidR="00D72BA9" w:rsidRPr="00F507C2" w:rsidRDefault="004B37DE" w:rsidP="00D72BA9">
      <w:pPr>
        <w:spacing w:after="120"/>
        <w:jc w:val="both"/>
        <w:rPr>
          <w:color w:val="000000" w:themeColor="text1"/>
          <w:sz w:val="20"/>
          <w:szCs w:val="20"/>
        </w:rPr>
      </w:pPr>
      <w:hyperlink r:id="rId9" w:history="1">
        <w:r w:rsidR="00D72BA9" w:rsidRPr="00C0189F">
          <w:rPr>
            <w:rStyle w:val="Hyperlink"/>
            <w:color w:val="000000" w:themeColor="text1"/>
            <w:sz w:val="20"/>
            <w:szCs w:val="20"/>
            <w:u w:val="none"/>
          </w:rPr>
          <w:t>r</w:t>
        </w:r>
        <w:r w:rsidR="00D72BA9" w:rsidRPr="00D72BA9">
          <w:rPr>
            <w:rStyle w:val="Hyperlink"/>
            <w:color w:val="000000" w:themeColor="text1"/>
            <w:sz w:val="20"/>
            <w:szCs w:val="20"/>
            <w:u w:val="none"/>
          </w:rPr>
          <w:t>aitis.nora@agentura.iem.gov.lv</w:t>
        </w:r>
      </w:hyperlink>
    </w:p>
    <w:p w:rsidR="00D72BA9" w:rsidRDefault="00D72BA9" w:rsidP="00D72BA9">
      <w:pPr>
        <w:jc w:val="both"/>
        <w:rPr>
          <w:sz w:val="20"/>
          <w:szCs w:val="20"/>
        </w:rPr>
      </w:pPr>
      <w:r>
        <w:rPr>
          <w:sz w:val="20"/>
          <w:szCs w:val="20"/>
        </w:rPr>
        <w:t>Alīna Bogdanova-Uzkliņģe 67829070</w:t>
      </w:r>
    </w:p>
    <w:p w:rsidR="00D72BA9" w:rsidRPr="00D72BA9" w:rsidRDefault="004B37DE" w:rsidP="00D72BA9">
      <w:pPr>
        <w:spacing w:after="120"/>
        <w:jc w:val="both"/>
        <w:rPr>
          <w:rStyle w:val="Hyperlink"/>
          <w:color w:val="auto"/>
          <w:sz w:val="20"/>
          <w:szCs w:val="20"/>
          <w:u w:val="none"/>
        </w:rPr>
      </w:pPr>
      <w:hyperlink r:id="rId10" w:history="1">
        <w:r w:rsidR="00D72BA9" w:rsidRPr="00D72BA9">
          <w:rPr>
            <w:rStyle w:val="Hyperlink"/>
            <w:color w:val="auto"/>
            <w:sz w:val="20"/>
            <w:szCs w:val="20"/>
            <w:u w:val="none"/>
          </w:rPr>
          <w:t>alina.bogdanova@agentura.iem.gov.lv</w:t>
        </w:r>
      </w:hyperlink>
    </w:p>
    <w:p w:rsidR="00D72BA9" w:rsidRPr="00ED62A3" w:rsidRDefault="00D72BA9" w:rsidP="00D72BA9">
      <w:pPr>
        <w:jc w:val="both"/>
        <w:rPr>
          <w:sz w:val="20"/>
          <w:szCs w:val="20"/>
        </w:rPr>
      </w:pPr>
      <w:r>
        <w:rPr>
          <w:sz w:val="20"/>
          <w:szCs w:val="20"/>
        </w:rPr>
        <w:t>Raivis Mālijs</w:t>
      </w:r>
      <w:r w:rsidRPr="00ED62A3">
        <w:rPr>
          <w:sz w:val="20"/>
          <w:szCs w:val="20"/>
        </w:rPr>
        <w:t xml:space="preserve"> 67218631</w:t>
      </w:r>
    </w:p>
    <w:p w:rsidR="00933A23" w:rsidRPr="00933A23" w:rsidRDefault="00D72BA9" w:rsidP="00C0189F">
      <w:pPr>
        <w:jc w:val="both"/>
        <w:rPr>
          <w:sz w:val="20"/>
          <w:szCs w:val="20"/>
        </w:rPr>
      </w:pPr>
      <w:r w:rsidRPr="00ED62A3">
        <w:rPr>
          <w:sz w:val="20"/>
          <w:szCs w:val="20"/>
        </w:rPr>
        <w:t>raivis.malijs@agentura.iem.gov.lv</w:t>
      </w:r>
    </w:p>
    <w:sectPr w:rsidR="00933A23" w:rsidRPr="00933A23">
      <w:headerReference w:type="default" r:id="rId11"/>
      <w:footerReference w:type="default" r:id="rId12"/>
      <w:footerReference w:type="first" r:id="rId13"/>
      <w:pgSz w:w="11906" w:h="16838"/>
      <w:pgMar w:top="1440" w:right="1800" w:bottom="1440" w:left="1800"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37DE" w:rsidRDefault="004B37DE">
      <w:r>
        <w:separator/>
      </w:r>
    </w:p>
  </w:endnote>
  <w:endnote w:type="continuationSeparator" w:id="0">
    <w:p w:rsidR="004B37DE" w:rsidRDefault="004B3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Georgia">
    <w:panose1 w:val="02040502050405020303"/>
    <w:charset w:val="BA"/>
    <w:family w:val="roman"/>
    <w:pitch w:val="variable"/>
    <w:sig w:usb0="00000287" w:usb1="00000000" w:usb2="00000000" w:usb3="00000000" w:csb0="0000009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BF5" w:rsidRDefault="00890BF5" w:rsidP="00890BF5">
    <w:pPr>
      <w:tabs>
        <w:tab w:val="center" w:pos="4153"/>
        <w:tab w:val="right" w:pos="8306"/>
      </w:tabs>
      <w:jc w:val="both"/>
      <w:rPr>
        <w:sz w:val="20"/>
        <w:szCs w:val="20"/>
      </w:rPr>
    </w:pPr>
    <w:r>
      <w:rPr>
        <w:sz w:val="20"/>
        <w:szCs w:val="20"/>
      </w:rPr>
      <w:t>IEMAnot_</w:t>
    </w:r>
    <w:r w:rsidR="00C0189F">
      <w:rPr>
        <w:sz w:val="20"/>
        <w:szCs w:val="20"/>
      </w:rPr>
      <w:t>290119_groz1025</w:t>
    </w:r>
  </w:p>
  <w:p w:rsidR="000C7EFF" w:rsidRDefault="000C7EFF">
    <w:pPr>
      <w:tabs>
        <w:tab w:val="center" w:pos="4153"/>
        <w:tab w:val="right" w:pos="8306"/>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D98" w:rsidRDefault="00321E25" w:rsidP="00506D98">
    <w:pPr>
      <w:tabs>
        <w:tab w:val="center" w:pos="4153"/>
        <w:tab w:val="right" w:pos="8306"/>
      </w:tabs>
      <w:jc w:val="both"/>
      <w:rPr>
        <w:sz w:val="20"/>
        <w:szCs w:val="20"/>
      </w:rPr>
    </w:pPr>
    <w:r>
      <w:rPr>
        <w:sz w:val="20"/>
        <w:szCs w:val="20"/>
      </w:rPr>
      <w:t>IEMAnot_</w:t>
    </w:r>
    <w:r w:rsidR="00C0189F">
      <w:rPr>
        <w:sz w:val="20"/>
        <w:szCs w:val="20"/>
      </w:rPr>
      <w:t>290119</w:t>
    </w:r>
    <w:r>
      <w:rPr>
        <w:sz w:val="20"/>
        <w:szCs w:val="20"/>
      </w:rPr>
      <w:t>_</w:t>
    </w:r>
    <w:r w:rsidR="00C0189F">
      <w:rPr>
        <w:sz w:val="20"/>
        <w:szCs w:val="20"/>
      </w:rPr>
      <w:t>groz1025</w:t>
    </w:r>
  </w:p>
  <w:p w:rsidR="000C7EFF" w:rsidRDefault="000C7EFF">
    <w:pPr>
      <w:tabs>
        <w:tab w:val="center" w:pos="4153"/>
        <w:tab w:val="right" w:pos="830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37DE" w:rsidRDefault="004B37DE">
      <w:r>
        <w:separator/>
      </w:r>
    </w:p>
  </w:footnote>
  <w:footnote w:type="continuationSeparator" w:id="0">
    <w:p w:rsidR="004B37DE" w:rsidRDefault="004B37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EFF" w:rsidRDefault="00E203EE">
    <w:pPr>
      <w:tabs>
        <w:tab w:val="center" w:pos="4153"/>
        <w:tab w:val="right" w:pos="8306"/>
      </w:tabs>
      <w:jc w:val="center"/>
    </w:pPr>
    <w:r>
      <w:fldChar w:fldCharType="begin"/>
    </w:r>
    <w:r>
      <w:instrText>PAGE</w:instrText>
    </w:r>
    <w:r>
      <w:fldChar w:fldCharType="separate"/>
    </w:r>
    <w:r w:rsidR="0027771E">
      <w:rPr>
        <w:noProof/>
      </w:rPr>
      <w:t>3</w:t>
    </w:r>
    <w:r>
      <w:fldChar w:fldCharType="end"/>
    </w:r>
  </w:p>
  <w:p w:rsidR="000C7EFF" w:rsidRDefault="000C7EFF">
    <w:pPr>
      <w:tabs>
        <w:tab w:val="center" w:pos="4153"/>
        <w:tab w:val="right" w:pos="830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5972ED"/>
    <w:multiLevelType w:val="multilevel"/>
    <w:tmpl w:val="8DDA77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0C7EFF"/>
    <w:rsid w:val="00003EDE"/>
    <w:rsid w:val="000072EC"/>
    <w:rsid w:val="00044AB5"/>
    <w:rsid w:val="00052AD8"/>
    <w:rsid w:val="000A2F63"/>
    <w:rsid w:val="000A3CDC"/>
    <w:rsid w:val="000B47C6"/>
    <w:rsid w:val="000C44CF"/>
    <w:rsid w:val="000C7EFF"/>
    <w:rsid w:val="00123385"/>
    <w:rsid w:val="00151A8E"/>
    <w:rsid w:val="0016488A"/>
    <w:rsid w:val="001C1396"/>
    <w:rsid w:val="001F097B"/>
    <w:rsid w:val="00230F3F"/>
    <w:rsid w:val="00235D80"/>
    <w:rsid w:val="00275284"/>
    <w:rsid w:val="0027771E"/>
    <w:rsid w:val="002A424E"/>
    <w:rsid w:val="002D46DA"/>
    <w:rsid w:val="00321E25"/>
    <w:rsid w:val="0033092E"/>
    <w:rsid w:val="00355159"/>
    <w:rsid w:val="00383271"/>
    <w:rsid w:val="0038517C"/>
    <w:rsid w:val="00387C25"/>
    <w:rsid w:val="003C1BE8"/>
    <w:rsid w:val="00425667"/>
    <w:rsid w:val="00451ABB"/>
    <w:rsid w:val="00451FDA"/>
    <w:rsid w:val="00461BB4"/>
    <w:rsid w:val="00470B95"/>
    <w:rsid w:val="004B37DE"/>
    <w:rsid w:val="004E20EE"/>
    <w:rsid w:val="00506D98"/>
    <w:rsid w:val="00521FBB"/>
    <w:rsid w:val="0056029F"/>
    <w:rsid w:val="0056096D"/>
    <w:rsid w:val="00625A5B"/>
    <w:rsid w:val="006350AF"/>
    <w:rsid w:val="0067151A"/>
    <w:rsid w:val="00672264"/>
    <w:rsid w:val="0069233F"/>
    <w:rsid w:val="006C26C0"/>
    <w:rsid w:val="007452AA"/>
    <w:rsid w:val="00775AC9"/>
    <w:rsid w:val="00792E2C"/>
    <w:rsid w:val="0085103E"/>
    <w:rsid w:val="00890BF5"/>
    <w:rsid w:val="00892818"/>
    <w:rsid w:val="008C7325"/>
    <w:rsid w:val="008D7D01"/>
    <w:rsid w:val="008F6DF3"/>
    <w:rsid w:val="00902478"/>
    <w:rsid w:val="009108EA"/>
    <w:rsid w:val="0092379D"/>
    <w:rsid w:val="00925EAA"/>
    <w:rsid w:val="00933A23"/>
    <w:rsid w:val="009E20F1"/>
    <w:rsid w:val="009F2A3D"/>
    <w:rsid w:val="00A06298"/>
    <w:rsid w:val="00A3414F"/>
    <w:rsid w:val="00A74CCF"/>
    <w:rsid w:val="00B24FC2"/>
    <w:rsid w:val="00B85D90"/>
    <w:rsid w:val="00BF21A7"/>
    <w:rsid w:val="00C0189F"/>
    <w:rsid w:val="00C07580"/>
    <w:rsid w:val="00C66995"/>
    <w:rsid w:val="00C901D3"/>
    <w:rsid w:val="00C90A91"/>
    <w:rsid w:val="00CA3F25"/>
    <w:rsid w:val="00CC4A36"/>
    <w:rsid w:val="00CD133B"/>
    <w:rsid w:val="00CD2328"/>
    <w:rsid w:val="00CE07AB"/>
    <w:rsid w:val="00D5761C"/>
    <w:rsid w:val="00D663E5"/>
    <w:rsid w:val="00D72BA9"/>
    <w:rsid w:val="00DC3ABD"/>
    <w:rsid w:val="00DD2547"/>
    <w:rsid w:val="00E203EE"/>
    <w:rsid w:val="00E40EB8"/>
    <w:rsid w:val="00E75C57"/>
    <w:rsid w:val="00E8704C"/>
    <w:rsid w:val="00F33985"/>
    <w:rsid w:val="00F50E5A"/>
    <w:rsid w:val="00F56CD2"/>
    <w:rsid w:val="00FC0A4A"/>
    <w:rsid w:val="00FC1D89"/>
    <w:rsid w:val="00FC2BE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lv-LV" w:eastAsia="lv-LV"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rPr>
      <w:rFonts w:ascii="Calibri" w:eastAsia="Calibri" w:hAnsi="Calibri" w:cs="Calibri"/>
    </w:rPr>
    <w:tblPr>
      <w:tblStyleRowBandSize w:val="1"/>
      <w:tblStyleColBandSize w:val="1"/>
    </w:tblPr>
  </w:style>
  <w:style w:type="table" w:customStyle="1" w:styleId="a0">
    <w:basedOn w:val="TableNormal"/>
    <w:tblPr>
      <w:tblStyleRowBandSize w:val="1"/>
      <w:tblStyleColBandSize w:val="1"/>
      <w:tblCellMar>
        <w:top w:w="30" w:type="dxa"/>
        <w:left w:w="30" w:type="dxa"/>
        <w:bottom w:w="30" w:type="dxa"/>
        <w:right w:w="30" w:type="dxa"/>
      </w:tblCellMar>
    </w:tblPr>
  </w:style>
  <w:style w:type="table" w:customStyle="1" w:styleId="a1">
    <w:basedOn w:val="TableNormal"/>
    <w:tblPr>
      <w:tblStyleRowBandSize w:val="1"/>
      <w:tblStyleColBandSize w:val="1"/>
      <w:tblCellMar>
        <w:top w:w="30" w:type="dxa"/>
        <w:left w:w="30" w:type="dxa"/>
        <w:bottom w:w="30" w:type="dxa"/>
        <w:right w:w="30" w:type="dxa"/>
      </w:tblCellMar>
    </w:tblPr>
  </w:style>
  <w:style w:type="table" w:customStyle="1" w:styleId="a2">
    <w:basedOn w:val="TableNormal"/>
    <w:tblPr>
      <w:tblStyleRowBandSize w:val="1"/>
      <w:tblStyleColBandSize w:val="1"/>
      <w:tblCellMar>
        <w:top w:w="24" w:type="dxa"/>
        <w:left w:w="24" w:type="dxa"/>
        <w:bottom w:w="24" w:type="dxa"/>
        <w:right w:w="24" w:type="dxa"/>
      </w:tblCellMar>
    </w:tblPr>
  </w:style>
  <w:style w:type="table" w:customStyle="1" w:styleId="a3">
    <w:basedOn w:val="TableNormal"/>
    <w:tblPr>
      <w:tblStyleRowBandSize w:val="1"/>
      <w:tblStyleColBandSize w:val="1"/>
      <w:tblCellMar>
        <w:top w:w="30" w:type="dxa"/>
        <w:left w:w="30" w:type="dxa"/>
        <w:bottom w:w="30" w:type="dxa"/>
        <w:right w:w="30" w:type="dxa"/>
      </w:tblCellMar>
    </w:tblPr>
  </w:style>
  <w:style w:type="table" w:customStyle="1" w:styleId="a4">
    <w:basedOn w:val="TableNormal"/>
    <w:tblPr>
      <w:tblStyleRowBandSize w:val="1"/>
      <w:tblStyleColBandSize w:val="1"/>
      <w:tblCellMar>
        <w:top w:w="30" w:type="dxa"/>
        <w:left w:w="30" w:type="dxa"/>
        <w:bottom w:w="30" w:type="dxa"/>
        <w:right w:w="30" w:type="dxa"/>
      </w:tblCellMar>
    </w:tblPr>
  </w:style>
  <w:style w:type="table" w:customStyle="1" w:styleId="a5">
    <w:basedOn w:val="TableNormal"/>
    <w:tblPr>
      <w:tblStyleRowBandSize w:val="1"/>
      <w:tblStyleColBandSize w:val="1"/>
      <w:tblCellMar>
        <w:top w:w="24" w:type="dxa"/>
        <w:left w:w="24" w:type="dxa"/>
        <w:bottom w:w="24" w:type="dxa"/>
        <w:right w:w="24" w:type="dxa"/>
      </w:tblCellMar>
    </w:tblPr>
  </w:style>
  <w:style w:type="table" w:customStyle="1" w:styleId="a6">
    <w:basedOn w:val="TableNormal"/>
    <w:tblPr>
      <w:tblStyleRowBandSize w:val="1"/>
      <w:tblStyleColBandSize w:val="1"/>
      <w:tblCellMar>
        <w:top w:w="30" w:type="dxa"/>
        <w:left w:w="30" w:type="dxa"/>
        <w:bottom w:w="30" w:type="dxa"/>
        <w:right w:w="30" w:type="dxa"/>
      </w:tblCellMar>
    </w:tblPr>
  </w:style>
  <w:style w:type="table" w:customStyle="1" w:styleId="a7">
    <w:basedOn w:val="TableNormal"/>
    <w:tblPr>
      <w:tblStyleRowBandSize w:val="1"/>
      <w:tblStyleColBandSize w:val="1"/>
      <w:tblCellMar>
        <w:top w:w="30" w:type="dxa"/>
        <w:left w:w="30" w:type="dxa"/>
        <w:bottom w:w="30" w:type="dxa"/>
        <w:right w:w="30" w:type="dxa"/>
      </w:tblCellMar>
    </w:tblPr>
  </w:style>
  <w:style w:type="character" w:styleId="Hyperlink">
    <w:name w:val="Hyperlink"/>
    <w:basedOn w:val="DefaultParagraphFont"/>
    <w:uiPriority w:val="99"/>
    <w:unhideWhenUsed/>
    <w:rsid w:val="00470B95"/>
    <w:rPr>
      <w:color w:val="0000FF" w:themeColor="hyperlink"/>
      <w:u w:val="single"/>
    </w:rPr>
  </w:style>
  <w:style w:type="paragraph" w:styleId="Header">
    <w:name w:val="header"/>
    <w:basedOn w:val="Normal"/>
    <w:link w:val="HeaderChar"/>
    <w:uiPriority w:val="99"/>
    <w:unhideWhenUsed/>
    <w:rsid w:val="00470B95"/>
    <w:pPr>
      <w:tabs>
        <w:tab w:val="center" w:pos="4153"/>
        <w:tab w:val="right" w:pos="8306"/>
      </w:tabs>
    </w:pPr>
  </w:style>
  <w:style w:type="character" w:customStyle="1" w:styleId="HeaderChar">
    <w:name w:val="Header Char"/>
    <w:basedOn w:val="DefaultParagraphFont"/>
    <w:link w:val="Header"/>
    <w:uiPriority w:val="99"/>
    <w:rsid w:val="00470B95"/>
  </w:style>
  <w:style w:type="paragraph" w:styleId="Footer">
    <w:name w:val="footer"/>
    <w:basedOn w:val="Normal"/>
    <w:link w:val="FooterChar"/>
    <w:uiPriority w:val="99"/>
    <w:unhideWhenUsed/>
    <w:rsid w:val="00470B95"/>
    <w:pPr>
      <w:tabs>
        <w:tab w:val="center" w:pos="4153"/>
        <w:tab w:val="right" w:pos="8306"/>
      </w:tabs>
    </w:pPr>
  </w:style>
  <w:style w:type="character" w:customStyle="1" w:styleId="FooterChar">
    <w:name w:val="Footer Char"/>
    <w:basedOn w:val="DefaultParagraphFont"/>
    <w:link w:val="Footer"/>
    <w:uiPriority w:val="99"/>
    <w:rsid w:val="00470B95"/>
  </w:style>
  <w:style w:type="character" w:styleId="FollowedHyperlink">
    <w:name w:val="FollowedHyperlink"/>
    <w:basedOn w:val="DefaultParagraphFont"/>
    <w:uiPriority w:val="99"/>
    <w:semiHidden/>
    <w:unhideWhenUsed/>
    <w:rsid w:val="00044AB5"/>
    <w:rPr>
      <w:color w:val="800080" w:themeColor="followedHyperlink"/>
      <w:u w:val="single"/>
    </w:rPr>
  </w:style>
  <w:style w:type="paragraph" w:styleId="BalloonText">
    <w:name w:val="Balloon Text"/>
    <w:basedOn w:val="Normal"/>
    <w:link w:val="BalloonTextChar"/>
    <w:uiPriority w:val="99"/>
    <w:semiHidden/>
    <w:unhideWhenUsed/>
    <w:rsid w:val="00052AD8"/>
    <w:rPr>
      <w:rFonts w:ascii="Tahoma" w:hAnsi="Tahoma" w:cs="Tahoma"/>
      <w:sz w:val="16"/>
      <w:szCs w:val="16"/>
    </w:rPr>
  </w:style>
  <w:style w:type="character" w:customStyle="1" w:styleId="BalloonTextChar">
    <w:name w:val="Balloon Text Char"/>
    <w:basedOn w:val="DefaultParagraphFont"/>
    <w:link w:val="BalloonText"/>
    <w:uiPriority w:val="99"/>
    <w:semiHidden/>
    <w:rsid w:val="00052AD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lv-LV" w:eastAsia="lv-LV"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rPr>
      <w:rFonts w:ascii="Calibri" w:eastAsia="Calibri" w:hAnsi="Calibri" w:cs="Calibri"/>
    </w:rPr>
    <w:tblPr>
      <w:tblStyleRowBandSize w:val="1"/>
      <w:tblStyleColBandSize w:val="1"/>
    </w:tblPr>
  </w:style>
  <w:style w:type="table" w:customStyle="1" w:styleId="a0">
    <w:basedOn w:val="TableNormal"/>
    <w:tblPr>
      <w:tblStyleRowBandSize w:val="1"/>
      <w:tblStyleColBandSize w:val="1"/>
      <w:tblCellMar>
        <w:top w:w="30" w:type="dxa"/>
        <w:left w:w="30" w:type="dxa"/>
        <w:bottom w:w="30" w:type="dxa"/>
        <w:right w:w="30" w:type="dxa"/>
      </w:tblCellMar>
    </w:tblPr>
  </w:style>
  <w:style w:type="table" w:customStyle="1" w:styleId="a1">
    <w:basedOn w:val="TableNormal"/>
    <w:tblPr>
      <w:tblStyleRowBandSize w:val="1"/>
      <w:tblStyleColBandSize w:val="1"/>
      <w:tblCellMar>
        <w:top w:w="30" w:type="dxa"/>
        <w:left w:w="30" w:type="dxa"/>
        <w:bottom w:w="30" w:type="dxa"/>
        <w:right w:w="30" w:type="dxa"/>
      </w:tblCellMar>
    </w:tblPr>
  </w:style>
  <w:style w:type="table" w:customStyle="1" w:styleId="a2">
    <w:basedOn w:val="TableNormal"/>
    <w:tblPr>
      <w:tblStyleRowBandSize w:val="1"/>
      <w:tblStyleColBandSize w:val="1"/>
      <w:tblCellMar>
        <w:top w:w="24" w:type="dxa"/>
        <w:left w:w="24" w:type="dxa"/>
        <w:bottom w:w="24" w:type="dxa"/>
        <w:right w:w="24" w:type="dxa"/>
      </w:tblCellMar>
    </w:tblPr>
  </w:style>
  <w:style w:type="table" w:customStyle="1" w:styleId="a3">
    <w:basedOn w:val="TableNormal"/>
    <w:tblPr>
      <w:tblStyleRowBandSize w:val="1"/>
      <w:tblStyleColBandSize w:val="1"/>
      <w:tblCellMar>
        <w:top w:w="30" w:type="dxa"/>
        <w:left w:w="30" w:type="dxa"/>
        <w:bottom w:w="30" w:type="dxa"/>
        <w:right w:w="30" w:type="dxa"/>
      </w:tblCellMar>
    </w:tblPr>
  </w:style>
  <w:style w:type="table" w:customStyle="1" w:styleId="a4">
    <w:basedOn w:val="TableNormal"/>
    <w:tblPr>
      <w:tblStyleRowBandSize w:val="1"/>
      <w:tblStyleColBandSize w:val="1"/>
      <w:tblCellMar>
        <w:top w:w="30" w:type="dxa"/>
        <w:left w:w="30" w:type="dxa"/>
        <w:bottom w:w="30" w:type="dxa"/>
        <w:right w:w="30" w:type="dxa"/>
      </w:tblCellMar>
    </w:tblPr>
  </w:style>
  <w:style w:type="table" w:customStyle="1" w:styleId="a5">
    <w:basedOn w:val="TableNormal"/>
    <w:tblPr>
      <w:tblStyleRowBandSize w:val="1"/>
      <w:tblStyleColBandSize w:val="1"/>
      <w:tblCellMar>
        <w:top w:w="24" w:type="dxa"/>
        <w:left w:w="24" w:type="dxa"/>
        <w:bottom w:w="24" w:type="dxa"/>
        <w:right w:w="24" w:type="dxa"/>
      </w:tblCellMar>
    </w:tblPr>
  </w:style>
  <w:style w:type="table" w:customStyle="1" w:styleId="a6">
    <w:basedOn w:val="TableNormal"/>
    <w:tblPr>
      <w:tblStyleRowBandSize w:val="1"/>
      <w:tblStyleColBandSize w:val="1"/>
      <w:tblCellMar>
        <w:top w:w="30" w:type="dxa"/>
        <w:left w:w="30" w:type="dxa"/>
        <w:bottom w:w="30" w:type="dxa"/>
        <w:right w:w="30" w:type="dxa"/>
      </w:tblCellMar>
    </w:tblPr>
  </w:style>
  <w:style w:type="table" w:customStyle="1" w:styleId="a7">
    <w:basedOn w:val="TableNormal"/>
    <w:tblPr>
      <w:tblStyleRowBandSize w:val="1"/>
      <w:tblStyleColBandSize w:val="1"/>
      <w:tblCellMar>
        <w:top w:w="30" w:type="dxa"/>
        <w:left w:w="30" w:type="dxa"/>
        <w:bottom w:w="30" w:type="dxa"/>
        <w:right w:w="30" w:type="dxa"/>
      </w:tblCellMar>
    </w:tblPr>
  </w:style>
  <w:style w:type="character" w:styleId="Hyperlink">
    <w:name w:val="Hyperlink"/>
    <w:basedOn w:val="DefaultParagraphFont"/>
    <w:uiPriority w:val="99"/>
    <w:unhideWhenUsed/>
    <w:rsid w:val="00470B95"/>
    <w:rPr>
      <w:color w:val="0000FF" w:themeColor="hyperlink"/>
      <w:u w:val="single"/>
    </w:rPr>
  </w:style>
  <w:style w:type="paragraph" w:styleId="Header">
    <w:name w:val="header"/>
    <w:basedOn w:val="Normal"/>
    <w:link w:val="HeaderChar"/>
    <w:uiPriority w:val="99"/>
    <w:unhideWhenUsed/>
    <w:rsid w:val="00470B95"/>
    <w:pPr>
      <w:tabs>
        <w:tab w:val="center" w:pos="4153"/>
        <w:tab w:val="right" w:pos="8306"/>
      </w:tabs>
    </w:pPr>
  </w:style>
  <w:style w:type="character" w:customStyle="1" w:styleId="HeaderChar">
    <w:name w:val="Header Char"/>
    <w:basedOn w:val="DefaultParagraphFont"/>
    <w:link w:val="Header"/>
    <w:uiPriority w:val="99"/>
    <w:rsid w:val="00470B95"/>
  </w:style>
  <w:style w:type="paragraph" w:styleId="Footer">
    <w:name w:val="footer"/>
    <w:basedOn w:val="Normal"/>
    <w:link w:val="FooterChar"/>
    <w:uiPriority w:val="99"/>
    <w:unhideWhenUsed/>
    <w:rsid w:val="00470B95"/>
    <w:pPr>
      <w:tabs>
        <w:tab w:val="center" w:pos="4153"/>
        <w:tab w:val="right" w:pos="8306"/>
      </w:tabs>
    </w:pPr>
  </w:style>
  <w:style w:type="character" w:customStyle="1" w:styleId="FooterChar">
    <w:name w:val="Footer Char"/>
    <w:basedOn w:val="DefaultParagraphFont"/>
    <w:link w:val="Footer"/>
    <w:uiPriority w:val="99"/>
    <w:rsid w:val="00470B95"/>
  </w:style>
  <w:style w:type="character" w:styleId="FollowedHyperlink">
    <w:name w:val="FollowedHyperlink"/>
    <w:basedOn w:val="DefaultParagraphFont"/>
    <w:uiPriority w:val="99"/>
    <w:semiHidden/>
    <w:unhideWhenUsed/>
    <w:rsid w:val="00044AB5"/>
    <w:rPr>
      <w:color w:val="800080" w:themeColor="followedHyperlink"/>
      <w:u w:val="single"/>
    </w:rPr>
  </w:style>
  <w:style w:type="paragraph" w:styleId="BalloonText">
    <w:name w:val="Balloon Text"/>
    <w:basedOn w:val="Normal"/>
    <w:link w:val="BalloonTextChar"/>
    <w:uiPriority w:val="99"/>
    <w:semiHidden/>
    <w:unhideWhenUsed/>
    <w:rsid w:val="00052AD8"/>
    <w:rPr>
      <w:rFonts w:ascii="Tahoma" w:hAnsi="Tahoma" w:cs="Tahoma"/>
      <w:sz w:val="16"/>
      <w:szCs w:val="16"/>
    </w:rPr>
  </w:style>
  <w:style w:type="character" w:customStyle="1" w:styleId="BalloonTextChar">
    <w:name w:val="Balloon Text Char"/>
    <w:basedOn w:val="DefaultParagraphFont"/>
    <w:link w:val="BalloonText"/>
    <w:uiPriority w:val="99"/>
    <w:semiHidden/>
    <w:rsid w:val="00052A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50500-civilprocesa-likums"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lina.bogdanova@agentura.iem.gov.lv" TargetMode="External"/><Relationship Id="rId4" Type="http://schemas.openxmlformats.org/officeDocument/2006/relationships/settings" Target="settings.xml"/><Relationship Id="rId9" Type="http://schemas.openxmlformats.org/officeDocument/2006/relationships/hyperlink" Target="mailto:raitis.nora@agentura.ie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6</Pages>
  <Words>7224</Words>
  <Characters>4118</Characters>
  <Application>Microsoft Office Word</Application>
  <DocSecurity>0</DocSecurity>
  <Lines>34</Lines>
  <Paragraphs>22</Paragraphs>
  <ScaleCrop>false</ScaleCrop>
  <HeadingPairs>
    <vt:vector size="2" baseType="variant">
      <vt:variant>
        <vt:lpstr>Title</vt:lpstr>
      </vt:variant>
      <vt:variant>
        <vt:i4>1</vt:i4>
      </vt:variant>
    </vt:vector>
  </HeadingPairs>
  <TitlesOfParts>
    <vt:vector size="1" baseType="lpstr">
      <vt:lpstr>Ministru kabineta rīkojuma projekts „Grozījumi Ministru kabineta 2011.gada 27.decembra noteikumos Nr.1025 „Noteikumi par rīcību ar lietiskajiem pierādījumiem un arestēto mantu””</vt:lpstr>
    </vt:vector>
  </TitlesOfParts>
  <Manager>Iekšlietu ministrija</Manager>
  <Company>Nodrošinājuma valsts aģentūra</Company>
  <LinksUpToDate>false</LinksUpToDate>
  <CharactersWithSpaces>11320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projekts „Grozījumi Ministru kabineta 2011.gada 27.decembra noteikumos Nr.1025 „Noteikumi par rīcību ar lietiskajiem pierādījumiem un arestēto mantu””</dc:title>
  <dc:subject>sākotnējās ietekmes novērtējuma ziņojums (anotācija)</dc:subject>
  <dc:creator>Raitis Nora</dc:creator>
  <dc:description>tel.67829075; e-pasts: raitis.nora@agentura.iem.gov.lv</dc:description>
  <cp:lastModifiedBy>Raitis Nora</cp:lastModifiedBy>
  <cp:revision>11</cp:revision>
  <cp:lastPrinted>2018-12-27T07:47:00Z</cp:lastPrinted>
  <dcterms:created xsi:type="dcterms:W3CDTF">2018-12-27T12:19:00Z</dcterms:created>
  <dcterms:modified xsi:type="dcterms:W3CDTF">2019-01-29T13:27:00Z</dcterms:modified>
</cp:coreProperties>
</file>