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66A15" w14:textId="77777777" w:rsidR="007C27EB" w:rsidRDefault="007C27EB" w:rsidP="007C27EB">
      <w:pPr>
        <w:jc w:val="center"/>
        <w:rPr>
          <w:b/>
        </w:rPr>
      </w:pPr>
    </w:p>
    <w:p w14:paraId="104B8B18" w14:textId="77777777" w:rsidR="007C27EB" w:rsidRPr="007C27EB" w:rsidRDefault="007C27EB" w:rsidP="007C27EB">
      <w:pPr>
        <w:ind w:firstLine="340"/>
        <w:jc w:val="center"/>
        <w:rPr>
          <w:rFonts w:eastAsia="Times New Roman"/>
          <w:b/>
          <w:bCs/>
        </w:rPr>
      </w:pPr>
      <w:r w:rsidRPr="007C27EB">
        <w:rPr>
          <w:rFonts w:eastAsia="Times New Roman"/>
          <w:b/>
          <w:bCs/>
        </w:rPr>
        <w:t xml:space="preserve">Ministru kabineta noteikumu projekta </w:t>
      </w:r>
    </w:p>
    <w:p w14:paraId="3D23D2B0" w14:textId="739723E6" w:rsidR="007C27EB" w:rsidRPr="007C27EB" w:rsidRDefault="007C27EB" w:rsidP="007C27EB">
      <w:pPr>
        <w:ind w:firstLine="340"/>
        <w:jc w:val="center"/>
        <w:rPr>
          <w:rFonts w:eastAsia="Times New Roman" w:cstheme="minorBidi"/>
          <w:b/>
        </w:rPr>
      </w:pPr>
      <w:r w:rsidRPr="007C27EB">
        <w:rPr>
          <w:rFonts w:eastAsia="Times New Roman"/>
          <w:b/>
          <w:bCs/>
        </w:rPr>
        <w:t>“</w:t>
      </w:r>
      <w:r w:rsidRPr="007C27EB">
        <w:rPr>
          <w:rFonts w:eastAsia="Times New Roman"/>
          <w:b/>
        </w:rPr>
        <w:t xml:space="preserve">Grozījumi Ministru kabineta 2016. gada 26. janvāra noteikumos Nr. 68 „Darbības programmas “Izaugsme un nodarbinātība” </w:t>
      </w:r>
      <w:r w:rsidRPr="007C27EB">
        <w:rPr>
          <w:b/>
          <w:bCs/>
          <w:lang w:eastAsia="en-US"/>
        </w:rPr>
        <w:t>8.3.6. specifiskā atbalsta mērķa “Ieviest izglītības kvalitātes monitoringa sistēmu” 8.3.6.1. pasākuma “Dalība starptautiskos pētījumos” īstenošanas noteikumi”</w:t>
      </w:r>
      <w:r w:rsidRPr="007C27EB">
        <w:rPr>
          <w:rFonts w:eastAsia="Times New Roman" w:cstheme="minorBidi"/>
          <w:b/>
        </w:rPr>
        <w:t xml:space="preserve">” </w:t>
      </w:r>
      <w:r w:rsidRPr="007C27EB">
        <w:rPr>
          <w:b/>
          <w:lang w:eastAsia="en-US"/>
        </w:rPr>
        <w:t>sākotnējās</w:t>
      </w:r>
      <w:r w:rsidRPr="007C27EB">
        <w:rPr>
          <w:rFonts w:eastAsia="Times New Roman"/>
          <w:b/>
          <w:bCs/>
        </w:rPr>
        <w:t xml:space="preserve"> ietekmes novērtējuma ziņojums (anotācija)</w:t>
      </w:r>
    </w:p>
    <w:p w14:paraId="4A0644E9" w14:textId="77777777" w:rsidR="00AE1DA4" w:rsidRPr="001351FC" w:rsidRDefault="00AE1DA4" w:rsidP="0015241F">
      <w:pPr>
        <w:jc w:val="center"/>
        <w:rPr>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3"/>
        <w:gridCol w:w="5987"/>
      </w:tblGrid>
      <w:tr w:rsidR="00ED6931" w14:paraId="374AF7B2" w14:textId="77777777" w:rsidTr="00DB3879">
        <w:tc>
          <w:tcPr>
            <w:tcW w:w="91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D0EE19" w14:textId="77777777" w:rsidR="000952B3" w:rsidRPr="001351FC" w:rsidRDefault="00B650B7" w:rsidP="001351FC">
            <w:pPr>
              <w:pStyle w:val="ListParagraph"/>
              <w:tabs>
                <w:tab w:val="left" w:pos="2268"/>
                <w:tab w:val="left" w:pos="2410"/>
              </w:tabs>
              <w:ind w:left="1080"/>
              <w:jc w:val="center"/>
              <w:rPr>
                <w:b/>
                <w:sz w:val="24"/>
                <w:szCs w:val="24"/>
                <w:lang w:eastAsia="en-US"/>
              </w:rPr>
            </w:pPr>
            <w:r w:rsidRPr="001351FC">
              <w:rPr>
                <w:b/>
                <w:bCs/>
                <w:sz w:val="24"/>
                <w:szCs w:val="24"/>
              </w:rPr>
              <w:t>Tiesību akta projekta anotācijas kopsavilkums</w:t>
            </w:r>
          </w:p>
        </w:tc>
      </w:tr>
      <w:tr w:rsidR="00ED6931" w14:paraId="6457A4FB" w14:textId="77777777" w:rsidTr="00DB3879">
        <w:tc>
          <w:tcPr>
            <w:tcW w:w="3193" w:type="dxa"/>
            <w:tcBorders>
              <w:top w:val="single" w:sz="4" w:space="0" w:color="auto"/>
              <w:left w:val="single" w:sz="4" w:space="0" w:color="auto"/>
              <w:bottom w:val="single" w:sz="4" w:space="0" w:color="auto"/>
              <w:right w:val="single" w:sz="4" w:space="0" w:color="auto"/>
            </w:tcBorders>
            <w:shd w:val="clear" w:color="auto" w:fill="auto"/>
          </w:tcPr>
          <w:p w14:paraId="520D2D7F" w14:textId="77777777" w:rsidR="000952B3" w:rsidRPr="001351FC" w:rsidRDefault="00B650B7" w:rsidP="001351FC">
            <w:pPr>
              <w:tabs>
                <w:tab w:val="left" w:pos="1904"/>
              </w:tabs>
              <w:rPr>
                <w:lang w:eastAsia="en-US"/>
              </w:rPr>
            </w:pPr>
            <w:r w:rsidRPr="001351FC">
              <w:t>Mērķis, risinājums u</w:t>
            </w:r>
            <w:r w:rsidR="004210D4" w:rsidRPr="001351FC">
              <w:t>n projekta spēkā stāšanās laiks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14:paraId="22372568" w14:textId="436F745B" w:rsidR="00365DEC" w:rsidRDefault="00365DEC" w:rsidP="00365DEC">
            <w:pPr>
              <w:jc w:val="both"/>
              <w:rPr>
                <w:rFonts w:eastAsiaTheme="minorHAnsi" w:cstheme="minorBidi"/>
                <w:lang w:eastAsia="en-US"/>
              </w:rPr>
            </w:pPr>
            <w:r w:rsidRPr="00365DEC">
              <w:rPr>
                <w:rFonts w:eastAsiaTheme="minorHAnsi" w:cstheme="minorBidi"/>
                <w:lang w:eastAsia="en-US"/>
              </w:rPr>
              <w:t>Noteikumu projekts “</w:t>
            </w:r>
            <w:r w:rsidR="0023047B" w:rsidRPr="0023047B">
              <w:rPr>
                <w:rFonts w:eastAsia="Times New Roman"/>
              </w:rPr>
              <w:t xml:space="preserve">Grozījumi Ministru kabineta 2016. gada 26. janvāra noteikumos Nr. 68 „Darbības programmas “Izaugsme un nodarbinātība” </w:t>
            </w:r>
            <w:r w:rsidR="0023047B" w:rsidRPr="0023047B">
              <w:rPr>
                <w:bCs/>
                <w:lang w:eastAsia="en-US"/>
              </w:rPr>
              <w:t>8.3.6. specifiskā atbalsta mērķa “Ieviest izglītības kvalitātes monitoringa sistēmu” 8.3.6.1. pasākuma “Dalība starptautiskos pētījumos” īstenošanas</w:t>
            </w:r>
            <w:r w:rsidR="0023047B" w:rsidRPr="007C27EB">
              <w:rPr>
                <w:b/>
                <w:bCs/>
                <w:lang w:eastAsia="en-US"/>
              </w:rPr>
              <w:t xml:space="preserve"> </w:t>
            </w:r>
            <w:r w:rsidR="0023047B" w:rsidRPr="0023047B">
              <w:rPr>
                <w:bCs/>
                <w:lang w:eastAsia="en-US"/>
              </w:rPr>
              <w:t>noteikumi</w:t>
            </w:r>
            <w:r w:rsidRPr="00365DEC">
              <w:rPr>
                <w:bCs/>
                <w:lang w:eastAsia="en-US"/>
              </w:rPr>
              <w:t>”</w:t>
            </w:r>
            <w:r w:rsidRPr="00365DEC">
              <w:rPr>
                <w:rFonts w:eastAsiaTheme="minorHAnsi"/>
                <w:lang w:eastAsia="en-US"/>
              </w:rPr>
              <w:t>”</w:t>
            </w:r>
            <w:r w:rsidR="000D5927">
              <w:rPr>
                <w:rFonts w:eastAsiaTheme="minorHAnsi"/>
                <w:lang w:eastAsia="en-US"/>
              </w:rPr>
              <w:t xml:space="preserve"> (turpmāk – noteikumu projekts)</w:t>
            </w:r>
            <w:r w:rsidRPr="00365DEC">
              <w:rPr>
                <w:rFonts w:eastAsiaTheme="minorHAnsi" w:cstheme="minorBidi"/>
                <w:lang w:eastAsia="en-US"/>
              </w:rPr>
              <w:t xml:space="preserve"> </w:t>
            </w:r>
            <w:r w:rsidR="0023047B">
              <w:rPr>
                <w:rFonts w:eastAsiaTheme="minorHAnsi" w:cstheme="minorBidi"/>
                <w:lang w:eastAsia="en-US"/>
              </w:rPr>
              <w:t>sagatavots ar mērķi palielināt 8.3.6.1.</w:t>
            </w:r>
            <w:r w:rsidR="00BD4D3D">
              <w:rPr>
                <w:rFonts w:eastAsiaTheme="minorHAnsi" w:cstheme="minorBidi"/>
                <w:lang w:eastAsia="en-US"/>
              </w:rPr>
              <w:t xml:space="preserve"> </w:t>
            </w:r>
            <w:r w:rsidR="0023047B">
              <w:rPr>
                <w:rFonts w:eastAsiaTheme="minorHAnsi" w:cstheme="minorBidi"/>
                <w:lang w:eastAsia="en-US"/>
              </w:rPr>
              <w:t>pasākuma “</w:t>
            </w:r>
            <w:r w:rsidR="0023047B" w:rsidRPr="0023047B">
              <w:rPr>
                <w:bCs/>
                <w:lang w:eastAsia="en-US"/>
              </w:rPr>
              <w:t>Dalība starptautiskos pētījumos</w:t>
            </w:r>
            <w:r w:rsidR="0023047B">
              <w:rPr>
                <w:rFonts w:eastAsiaTheme="minorHAnsi" w:cstheme="minorBidi"/>
                <w:lang w:eastAsia="en-US"/>
              </w:rPr>
              <w:t>” pieejamo kopējo attiecināmo finansējumu</w:t>
            </w:r>
            <w:r w:rsidR="00D7325C" w:rsidRPr="004843ED">
              <w:rPr>
                <w:rFonts w:eastAsiaTheme="minorHAnsi" w:cstheme="minorBidi"/>
                <w:lang w:eastAsia="en-US"/>
              </w:rPr>
              <w:t>, nodrošināt dalības maksas segšanu Izglītības pētījumu un inovācijas centr</w:t>
            </w:r>
            <w:r w:rsidR="006B17C4" w:rsidRPr="004843ED">
              <w:rPr>
                <w:rFonts w:eastAsiaTheme="minorHAnsi" w:cstheme="minorBidi"/>
                <w:lang w:eastAsia="en-US"/>
              </w:rPr>
              <w:t>ā</w:t>
            </w:r>
            <w:r w:rsidR="006B17C4">
              <w:rPr>
                <w:rFonts w:eastAsiaTheme="minorHAnsi" w:cstheme="minorBidi"/>
                <w:lang w:eastAsia="en-US"/>
              </w:rPr>
              <w:t xml:space="preserve"> </w:t>
            </w:r>
            <w:r w:rsidR="0023047B">
              <w:rPr>
                <w:rFonts w:eastAsiaTheme="minorHAnsi" w:cstheme="minorBidi"/>
                <w:lang w:eastAsia="en-US"/>
              </w:rPr>
              <w:t xml:space="preserve">un veikt precizējumus </w:t>
            </w:r>
            <w:r w:rsidR="0023047B" w:rsidRPr="009512B6">
              <w:rPr>
                <w:rFonts w:eastAsia="Times New Roman"/>
              </w:rPr>
              <w:t>noteikumu 16.punkt</w:t>
            </w:r>
            <w:r w:rsidR="0023047B">
              <w:rPr>
                <w:rFonts w:eastAsia="Times New Roman"/>
              </w:rPr>
              <w:t>ā</w:t>
            </w:r>
            <w:r w:rsidR="0023047B" w:rsidRPr="009512B6">
              <w:rPr>
                <w:rFonts w:eastAsia="Times New Roman"/>
              </w:rPr>
              <w:t xml:space="preserve">, </w:t>
            </w:r>
            <w:r w:rsidR="0023047B">
              <w:rPr>
                <w:rFonts w:eastAsia="Times New Roman"/>
              </w:rPr>
              <w:t>paplašinot</w:t>
            </w:r>
            <w:r w:rsidR="0023047B" w:rsidRPr="009512B6">
              <w:rPr>
                <w:rFonts w:eastAsia="Times New Roman"/>
              </w:rPr>
              <w:t xml:space="preserve"> </w:t>
            </w:r>
            <w:r w:rsidR="0023047B">
              <w:rPr>
                <w:rFonts w:eastAsia="Times New Roman"/>
              </w:rPr>
              <w:t>Centrālās statistikas pārvaldes</w:t>
            </w:r>
            <w:r w:rsidR="0023047B" w:rsidRPr="009512B6">
              <w:rPr>
                <w:rFonts w:eastAsia="Times New Roman"/>
              </w:rPr>
              <w:t xml:space="preserve"> </w:t>
            </w:r>
            <w:r w:rsidR="006A00FD">
              <w:rPr>
                <w:rFonts w:eastAsia="Times New Roman"/>
              </w:rPr>
              <w:t xml:space="preserve">(turpmāk – CSP) </w:t>
            </w:r>
            <w:r w:rsidR="0023047B" w:rsidRPr="009512B6">
              <w:rPr>
                <w:rFonts w:eastAsia="Times New Roman"/>
              </w:rPr>
              <w:t>uzdevumus kā sadarbības partnerim</w:t>
            </w:r>
            <w:r w:rsidR="0023047B">
              <w:rPr>
                <w:rFonts w:eastAsia="Times New Roman"/>
              </w:rPr>
              <w:t>.</w:t>
            </w:r>
          </w:p>
          <w:p w14:paraId="6C67C759" w14:textId="01C65F03" w:rsidR="000952B3" w:rsidRPr="001351FC" w:rsidRDefault="0023047B" w:rsidP="0023047B">
            <w:pPr>
              <w:jc w:val="both"/>
              <w:rPr>
                <w:rFonts w:eastAsia="Times New Roman"/>
              </w:rPr>
            </w:pPr>
            <w:r>
              <w:rPr>
                <w:rFonts w:eastAsiaTheme="minorHAnsi" w:cstheme="minorBidi"/>
                <w:lang w:eastAsia="en-US"/>
              </w:rPr>
              <w:t>Paredzēts, ka noteikumu projekts stāsies spēkā Oficiālo publikāciju un tiesiskās informācijas likumā noteiktajā kārtībā.</w:t>
            </w:r>
          </w:p>
        </w:tc>
      </w:tr>
    </w:tbl>
    <w:p w14:paraId="11611092" w14:textId="77777777" w:rsidR="000952B3" w:rsidRPr="001351FC" w:rsidRDefault="000952B3" w:rsidP="001351FC"/>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379"/>
        <w:gridCol w:w="5987"/>
      </w:tblGrid>
      <w:tr w:rsidR="00ED6931" w14:paraId="57FE3E7E" w14:textId="77777777" w:rsidTr="00DB3879">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3C56D48" w14:textId="77777777" w:rsidR="000952B3" w:rsidRPr="001351FC" w:rsidRDefault="00B650B7" w:rsidP="001351FC">
            <w:pPr>
              <w:pStyle w:val="ListParagraph"/>
              <w:tabs>
                <w:tab w:val="left" w:pos="2268"/>
                <w:tab w:val="left" w:pos="2410"/>
              </w:tabs>
              <w:ind w:left="1080"/>
              <w:jc w:val="center"/>
              <w:rPr>
                <w:b/>
                <w:sz w:val="24"/>
                <w:szCs w:val="24"/>
                <w:lang w:eastAsia="en-US"/>
              </w:rPr>
            </w:pPr>
            <w:r w:rsidRPr="001351FC">
              <w:rPr>
                <w:b/>
                <w:bCs/>
                <w:sz w:val="24"/>
                <w:szCs w:val="24"/>
              </w:rPr>
              <w:t>I. Tiesību akta projekta izstrādes nepieciešamība</w:t>
            </w:r>
          </w:p>
        </w:tc>
      </w:tr>
      <w:tr w:rsidR="00ED6931" w14:paraId="64D4EB35" w14:textId="77777777" w:rsidTr="00DB3879">
        <w:tc>
          <w:tcPr>
            <w:tcW w:w="814" w:type="dxa"/>
            <w:tcBorders>
              <w:top w:val="single" w:sz="4" w:space="0" w:color="auto"/>
              <w:left w:val="single" w:sz="4" w:space="0" w:color="auto"/>
              <w:bottom w:val="single" w:sz="4" w:space="0" w:color="auto"/>
              <w:right w:val="single" w:sz="4" w:space="0" w:color="auto"/>
            </w:tcBorders>
            <w:shd w:val="clear" w:color="auto" w:fill="auto"/>
          </w:tcPr>
          <w:p w14:paraId="4FB051B9" w14:textId="77777777" w:rsidR="000952B3" w:rsidRPr="001351FC" w:rsidRDefault="00B650B7" w:rsidP="001351FC">
            <w:pPr>
              <w:jc w:val="center"/>
              <w:rPr>
                <w:lang w:eastAsia="en-US"/>
              </w:rPr>
            </w:pPr>
            <w:r w:rsidRPr="001351FC">
              <w:t>1.</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3A3BF9E7" w14:textId="77777777" w:rsidR="000952B3" w:rsidRPr="001351FC" w:rsidRDefault="00B650B7" w:rsidP="001351FC">
            <w:pPr>
              <w:tabs>
                <w:tab w:val="left" w:pos="1904"/>
              </w:tabs>
              <w:rPr>
                <w:lang w:eastAsia="en-US"/>
              </w:rPr>
            </w:pPr>
            <w:r w:rsidRPr="001351FC">
              <w:t>Pamatojums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14:paraId="29EEE8A3" w14:textId="4961000B" w:rsidR="00055596" w:rsidRPr="001351FC" w:rsidRDefault="00B650B7" w:rsidP="001351FC">
            <w:pPr>
              <w:jc w:val="both"/>
              <w:rPr>
                <w:rFonts w:eastAsia="Times New Roman"/>
              </w:rPr>
            </w:pPr>
            <w:r w:rsidRPr="001351FC">
              <w:rPr>
                <w:rFonts w:eastAsia="Times New Roman"/>
              </w:rPr>
              <w:t>Eiropas Savienības struktūrfondu un Kohēzijas fonda 2014.-2020.</w:t>
            </w:r>
            <w:r w:rsidR="00BD4D3D">
              <w:rPr>
                <w:rFonts w:eastAsia="Times New Roman"/>
              </w:rPr>
              <w:t xml:space="preserve"> </w:t>
            </w:r>
            <w:r w:rsidRPr="001351FC">
              <w:rPr>
                <w:rFonts w:eastAsia="Times New Roman"/>
              </w:rPr>
              <w:t>gada plānošanas perioda vadības likuma 20.</w:t>
            </w:r>
            <w:r w:rsidR="00BD4D3D">
              <w:rPr>
                <w:rFonts w:eastAsia="Times New Roman"/>
              </w:rPr>
              <w:t xml:space="preserve"> </w:t>
            </w:r>
            <w:r w:rsidRPr="001351FC">
              <w:rPr>
                <w:rFonts w:eastAsia="Times New Roman"/>
              </w:rPr>
              <w:t>panta 6. un 13.</w:t>
            </w:r>
            <w:r w:rsidR="00BD4D3D">
              <w:rPr>
                <w:rFonts w:eastAsia="Times New Roman"/>
              </w:rPr>
              <w:t xml:space="preserve"> </w:t>
            </w:r>
            <w:r w:rsidRPr="001351FC">
              <w:rPr>
                <w:rFonts w:eastAsia="Times New Roman"/>
              </w:rPr>
              <w:t>punkts.</w:t>
            </w:r>
          </w:p>
          <w:p w14:paraId="4D5F8743" w14:textId="629BB8FE" w:rsidR="000952B3" w:rsidRPr="001351FC" w:rsidRDefault="00B650B7" w:rsidP="00FD487B">
            <w:pPr>
              <w:tabs>
                <w:tab w:val="left" w:pos="317"/>
              </w:tabs>
              <w:jc w:val="both"/>
            </w:pPr>
            <w:r w:rsidRPr="001351FC">
              <w:rPr>
                <w:rFonts w:eastAsia="Times New Roman"/>
              </w:rPr>
              <w:t>Informatīvais ziņojums “</w:t>
            </w:r>
            <w:r w:rsidR="00FD487B" w:rsidRPr="00FD487B">
              <w:rPr>
                <w:rFonts w:eastAsia="Times New Roman"/>
              </w:rPr>
              <w:t>Par sadarbības līguma ar Starptautisko Rekonstrukcijas un attīstības banku termiņa pagarināšanu</w:t>
            </w:r>
            <w:r w:rsidRPr="001351FC">
              <w:rPr>
                <w:rFonts w:eastAsia="Times New Roman"/>
              </w:rPr>
              <w:t>”  (Ministru kabineta 201</w:t>
            </w:r>
            <w:r w:rsidR="00FD487B">
              <w:rPr>
                <w:rFonts w:eastAsia="Times New Roman"/>
              </w:rPr>
              <w:t>8</w:t>
            </w:r>
            <w:r w:rsidRPr="001351FC">
              <w:rPr>
                <w:rFonts w:eastAsia="Times New Roman"/>
              </w:rPr>
              <w:t>.</w:t>
            </w:r>
            <w:r w:rsidR="00BD4D3D">
              <w:rPr>
                <w:rFonts w:eastAsia="Times New Roman"/>
              </w:rPr>
              <w:t xml:space="preserve"> </w:t>
            </w:r>
            <w:r w:rsidRPr="001351FC">
              <w:rPr>
                <w:rFonts w:eastAsia="Times New Roman"/>
              </w:rPr>
              <w:t xml:space="preserve">gada </w:t>
            </w:r>
            <w:r w:rsidR="00FD487B">
              <w:rPr>
                <w:rFonts w:eastAsia="Times New Roman"/>
              </w:rPr>
              <w:t>7</w:t>
            </w:r>
            <w:r w:rsidRPr="001351FC">
              <w:rPr>
                <w:rFonts w:eastAsia="Times New Roman"/>
              </w:rPr>
              <w:t>.</w:t>
            </w:r>
            <w:r w:rsidR="00BD4D3D">
              <w:rPr>
                <w:rFonts w:eastAsia="Times New Roman"/>
              </w:rPr>
              <w:t xml:space="preserve"> </w:t>
            </w:r>
            <w:r w:rsidR="00FD487B">
              <w:rPr>
                <w:rFonts w:eastAsia="Times New Roman"/>
              </w:rPr>
              <w:t>augusta</w:t>
            </w:r>
            <w:r w:rsidRPr="001351FC">
              <w:rPr>
                <w:rFonts w:eastAsia="Times New Roman"/>
              </w:rPr>
              <w:t xml:space="preserve"> sēdes </w:t>
            </w:r>
            <w:proofErr w:type="spellStart"/>
            <w:r w:rsidRPr="001351FC">
              <w:rPr>
                <w:rFonts w:eastAsia="Times New Roman"/>
              </w:rPr>
              <w:t>protokollēmuma</w:t>
            </w:r>
            <w:proofErr w:type="spellEnd"/>
            <w:r w:rsidRPr="001351FC">
              <w:rPr>
                <w:rFonts w:eastAsia="Times New Roman"/>
              </w:rPr>
              <w:t xml:space="preserve"> Nr.</w:t>
            </w:r>
            <w:r w:rsidR="00BD4D3D">
              <w:rPr>
                <w:rFonts w:eastAsia="Times New Roman"/>
              </w:rPr>
              <w:t xml:space="preserve"> </w:t>
            </w:r>
            <w:r w:rsidR="00FD487B">
              <w:rPr>
                <w:rFonts w:eastAsia="Times New Roman"/>
              </w:rPr>
              <w:t>37</w:t>
            </w:r>
            <w:r w:rsidRPr="001351FC">
              <w:rPr>
                <w:rFonts w:eastAsia="Times New Roman"/>
              </w:rPr>
              <w:t xml:space="preserve"> </w:t>
            </w:r>
            <w:bookmarkStart w:id="0" w:name="35"/>
            <w:r w:rsidR="00FD487B">
              <w:rPr>
                <w:rFonts w:eastAsia="Times New Roman"/>
              </w:rPr>
              <w:t>74</w:t>
            </w:r>
            <w:r w:rsidRPr="001351FC">
              <w:rPr>
                <w:rFonts w:eastAsia="Times New Roman"/>
              </w:rPr>
              <w:t>.§</w:t>
            </w:r>
            <w:bookmarkEnd w:id="0"/>
            <w:r w:rsidRPr="001351FC">
              <w:rPr>
                <w:rFonts w:eastAsia="Times New Roman"/>
              </w:rPr>
              <w:t>).</w:t>
            </w:r>
          </w:p>
        </w:tc>
      </w:tr>
      <w:tr w:rsidR="00ED6931" w14:paraId="0CFF28F5" w14:textId="77777777" w:rsidTr="00DB3879">
        <w:tc>
          <w:tcPr>
            <w:tcW w:w="814" w:type="dxa"/>
            <w:tcBorders>
              <w:top w:val="single" w:sz="4" w:space="0" w:color="auto"/>
              <w:left w:val="single" w:sz="4" w:space="0" w:color="auto"/>
              <w:bottom w:val="single" w:sz="4" w:space="0" w:color="auto"/>
              <w:right w:val="single" w:sz="4" w:space="0" w:color="auto"/>
            </w:tcBorders>
            <w:shd w:val="clear" w:color="auto" w:fill="auto"/>
          </w:tcPr>
          <w:p w14:paraId="5750303C" w14:textId="77777777" w:rsidR="00055596" w:rsidRPr="001351FC" w:rsidRDefault="00B650B7" w:rsidP="001351FC">
            <w:pPr>
              <w:jc w:val="center"/>
              <w:rPr>
                <w:lang w:eastAsia="en-US"/>
              </w:rPr>
            </w:pPr>
            <w:r w:rsidRPr="001351FC">
              <w:t>2.</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3A5761C9" w14:textId="0864B4CC" w:rsidR="001511BC" w:rsidRDefault="00B650B7" w:rsidP="001351FC">
            <w:pPr>
              <w:jc w:val="both"/>
              <w:rPr>
                <w:lang w:eastAsia="en-US"/>
              </w:rPr>
            </w:pPr>
            <w:r w:rsidRPr="001351FC">
              <w:t xml:space="preserve">Pašreizējā situācija un problēmas, kuru risināšanai tiesību akta projekts izstrādāts, tiesiskā regulējuma mērķis un būtība </w:t>
            </w:r>
          </w:p>
          <w:p w14:paraId="7D14B230" w14:textId="77777777" w:rsidR="001511BC" w:rsidRPr="001511BC" w:rsidRDefault="001511BC" w:rsidP="001511BC">
            <w:pPr>
              <w:rPr>
                <w:lang w:eastAsia="en-US"/>
              </w:rPr>
            </w:pPr>
          </w:p>
          <w:p w14:paraId="3C60B94E" w14:textId="77777777" w:rsidR="001511BC" w:rsidRPr="001511BC" w:rsidRDefault="001511BC" w:rsidP="001511BC">
            <w:pPr>
              <w:rPr>
                <w:lang w:eastAsia="en-US"/>
              </w:rPr>
            </w:pPr>
          </w:p>
          <w:p w14:paraId="6F700DF9" w14:textId="77777777" w:rsidR="001511BC" w:rsidRPr="001511BC" w:rsidRDefault="001511BC" w:rsidP="001511BC">
            <w:pPr>
              <w:rPr>
                <w:lang w:eastAsia="en-US"/>
              </w:rPr>
            </w:pPr>
          </w:p>
          <w:p w14:paraId="5EB85763" w14:textId="77777777" w:rsidR="001511BC" w:rsidRPr="001511BC" w:rsidRDefault="001511BC" w:rsidP="001511BC">
            <w:pPr>
              <w:rPr>
                <w:lang w:eastAsia="en-US"/>
              </w:rPr>
            </w:pPr>
          </w:p>
          <w:p w14:paraId="70792F03" w14:textId="77777777" w:rsidR="001511BC" w:rsidRPr="001511BC" w:rsidRDefault="001511BC" w:rsidP="001511BC">
            <w:pPr>
              <w:rPr>
                <w:lang w:eastAsia="en-US"/>
              </w:rPr>
            </w:pPr>
          </w:p>
          <w:p w14:paraId="46671719" w14:textId="77777777" w:rsidR="001511BC" w:rsidRPr="001511BC" w:rsidRDefault="001511BC" w:rsidP="001511BC">
            <w:pPr>
              <w:rPr>
                <w:lang w:eastAsia="en-US"/>
              </w:rPr>
            </w:pPr>
          </w:p>
          <w:p w14:paraId="73996C0F" w14:textId="77777777" w:rsidR="001511BC" w:rsidRPr="001511BC" w:rsidRDefault="001511BC" w:rsidP="001511BC">
            <w:pPr>
              <w:rPr>
                <w:lang w:eastAsia="en-US"/>
              </w:rPr>
            </w:pPr>
          </w:p>
          <w:p w14:paraId="4BC62F3F" w14:textId="77777777" w:rsidR="001511BC" w:rsidRPr="001511BC" w:rsidRDefault="001511BC" w:rsidP="001511BC">
            <w:pPr>
              <w:rPr>
                <w:lang w:eastAsia="en-US"/>
              </w:rPr>
            </w:pPr>
          </w:p>
          <w:p w14:paraId="2304094D" w14:textId="77777777" w:rsidR="001511BC" w:rsidRPr="001511BC" w:rsidRDefault="001511BC" w:rsidP="001511BC">
            <w:pPr>
              <w:rPr>
                <w:lang w:eastAsia="en-US"/>
              </w:rPr>
            </w:pPr>
          </w:p>
          <w:p w14:paraId="410E6ACC" w14:textId="77777777" w:rsidR="001511BC" w:rsidRPr="001511BC" w:rsidRDefault="001511BC" w:rsidP="001511BC">
            <w:pPr>
              <w:rPr>
                <w:lang w:eastAsia="en-US"/>
              </w:rPr>
            </w:pPr>
          </w:p>
          <w:p w14:paraId="382D6ED1" w14:textId="77777777" w:rsidR="001511BC" w:rsidRPr="001511BC" w:rsidRDefault="001511BC" w:rsidP="0008144C">
            <w:pPr>
              <w:jc w:val="center"/>
              <w:rPr>
                <w:lang w:eastAsia="en-US"/>
              </w:rPr>
            </w:pPr>
          </w:p>
          <w:p w14:paraId="1A78B4DD" w14:textId="6123DEF6" w:rsidR="00055596" w:rsidRPr="001511BC" w:rsidRDefault="00055596" w:rsidP="001511BC">
            <w:pPr>
              <w:rPr>
                <w:lang w:eastAsia="en-US"/>
              </w:rPr>
            </w:pP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2E5B9181" w14:textId="347B219E" w:rsidR="00DB3555" w:rsidRPr="00DB3555" w:rsidRDefault="00DB3555" w:rsidP="00DB3555">
            <w:pPr>
              <w:spacing w:after="120"/>
              <w:ind w:left="48" w:right="60"/>
              <w:jc w:val="both"/>
              <w:rPr>
                <w:rFonts w:eastAsia="Times New Roman" w:cstheme="minorBidi"/>
              </w:rPr>
            </w:pPr>
            <w:r w:rsidRPr="00DB3555">
              <w:rPr>
                <w:rFonts w:eastAsia="Times New Roman"/>
              </w:rPr>
              <w:lastRenderedPageBreak/>
              <w:t xml:space="preserve">Ministru kabineta 2016. gada 26. janvāra noteikumos Nr.68 „Darbības programmas </w:t>
            </w:r>
            <w:r w:rsidR="006A00FD">
              <w:rPr>
                <w:rFonts w:eastAsia="Times New Roman"/>
              </w:rPr>
              <w:t>„</w:t>
            </w:r>
            <w:r w:rsidRPr="00DB3555">
              <w:rPr>
                <w:rFonts w:eastAsia="Times New Roman"/>
              </w:rPr>
              <w:t xml:space="preserve">Izaugsme un nodarbinātība” </w:t>
            </w:r>
            <w:r w:rsidRPr="00DB3555">
              <w:rPr>
                <w:bCs/>
                <w:lang w:eastAsia="en-US"/>
              </w:rPr>
              <w:t xml:space="preserve">8.3.6. specifiskā atbalsta mērķa “Ieviest izglītības kvalitātes monitoringa sistēmu” 8.3.6.1. pasākuma “Dalība starptautiskos pētījumos” īstenošanas noteikumi” (turpmāk - noteikumi) </w:t>
            </w:r>
            <w:r w:rsidRPr="00DB3555">
              <w:rPr>
                <w:rFonts w:eastAsia="Times New Roman"/>
              </w:rPr>
              <w:t>ir noteikta kārtība, kādā īstenojams</w:t>
            </w:r>
            <w:r w:rsidRPr="00DB3555">
              <w:rPr>
                <w:rFonts w:eastAsia="Times New Roman" w:cstheme="minorBidi"/>
              </w:rPr>
              <w:t xml:space="preserve"> 8.3.6.1.  pasākums </w:t>
            </w:r>
            <w:r w:rsidRPr="00DB3555">
              <w:rPr>
                <w:rFonts w:eastAsia="Times New Roman"/>
              </w:rPr>
              <w:t>„</w:t>
            </w:r>
            <w:r w:rsidRPr="00DB3555">
              <w:rPr>
                <w:bCs/>
                <w:lang w:eastAsia="en-US"/>
              </w:rPr>
              <w:t>Dalība starptautiskos pētījumos</w:t>
            </w:r>
            <w:r w:rsidRPr="00DB3555">
              <w:rPr>
                <w:rFonts w:eastAsia="Times New Roman" w:cstheme="minorBidi"/>
              </w:rPr>
              <w:t>”</w:t>
            </w:r>
            <w:r w:rsidRPr="00DB3555">
              <w:rPr>
                <w:rFonts w:eastAsia="Times New Roman"/>
              </w:rPr>
              <w:t xml:space="preserve"> </w:t>
            </w:r>
            <w:r w:rsidRPr="00DB3555">
              <w:rPr>
                <w:rFonts w:eastAsia="Times New Roman" w:cstheme="minorBidi"/>
              </w:rPr>
              <w:t>(turpmāk – 8.3.6.1.</w:t>
            </w:r>
            <w:r w:rsidR="00BD4D3D">
              <w:rPr>
                <w:rFonts w:eastAsia="Times New Roman" w:cstheme="minorBidi"/>
              </w:rPr>
              <w:t xml:space="preserve"> </w:t>
            </w:r>
            <w:r w:rsidRPr="00DB3555">
              <w:rPr>
                <w:rFonts w:eastAsia="Times New Roman" w:cstheme="minorBidi"/>
              </w:rPr>
              <w:t>pasākums). 8.3.6.1.pasākuma ieviešanu nodrošina Izglītības un zinātnes ministrija</w:t>
            </w:r>
            <w:r w:rsidR="00BC0741">
              <w:rPr>
                <w:rFonts w:eastAsia="Times New Roman" w:cstheme="minorBidi"/>
              </w:rPr>
              <w:t xml:space="preserve"> (turpmāk – IZM)</w:t>
            </w:r>
            <w:r w:rsidRPr="00DB3555">
              <w:rPr>
                <w:rFonts w:eastAsia="Times New Roman" w:cstheme="minorBidi"/>
              </w:rPr>
              <w:t xml:space="preserve">, kas īsteno projektu “Dalība starptautiskos izglītības pētījumos” </w:t>
            </w:r>
            <w:r>
              <w:rPr>
                <w:rFonts w:eastAsia="Times New Roman"/>
              </w:rPr>
              <w:t>(Nr.</w:t>
            </w:r>
            <w:r w:rsidRPr="0045535A">
              <w:rPr>
                <w:rFonts w:eastAsia="Times New Roman"/>
              </w:rPr>
              <w:t xml:space="preserve"> 8.3.6.1/16/I/001</w:t>
            </w:r>
            <w:r>
              <w:rPr>
                <w:rFonts w:eastAsia="Times New Roman"/>
              </w:rPr>
              <w:t>)</w:t>
            </w:r>
            <w:r w:rsidRPr="00DB3555">
              <w:rPr>
                <w:rFonts w:eastAsia="Times New Roman" w:cstheme="minorBidi"/>
              </w:rPr>
              <w:t xml:space="preserve"> (turpmāk – projekts) un ir finansējuma saņēmējs.</w:t>
            </w:r>
          </w:p>
          <w:p w14:paraId="7C418B84" w14:textId="37E51044" w:rsidR="00962FB9" w:rsidRPr="003F61CB" w:rsidRDefault="00962FB9" w:rsidP="003F61CB">
            <w:pPr>
              <w:jc w:val="both"/>
              <w:rPr>
                <w:rFonts w:eastAsiaTheme="minorHAnsi"/>
                <w:lang w:val="en-US" w:eastAsia="en-US"/>
              </w:rPr>
            </w:pPr>
            <w:r w:rsidRPr="002D02E7">
              <w:rPr>
                <w:rFonts w:eastAsia="Times New Roman"/>
              </w:rPr>
              <w:t>2018.</w:t>
            </w:r>
            <w:r w:rsidR="00BD4D3D">
              <w:rPr>
                <w:rFonts w:eastAsia="Times New Roman"/>
              </w:rPr>
              <w:t xml:space="preserve"> </w:t>
            </w:r>
            <w:r w:rsidRPr="002D02E7">
              <w:rPr>
                <w:rFonts w:eastAsia="Times New Roman"/>
              </w:rPr>
              <w:t>gada 7.</w:t>
            </w:r>
            <w:r w:rsidR="00BD4D3D">
              <w:rPr>
                <w:rFonts w:eastAsia="Times New Roman"/>
              </w:rPr>
              <w:t xml:space="preserve"> </w:t>
            </w:r>
            <w:r w:rsidRPr="002D02E7">
              <w:rPr>
                <w:rFonts w:eastAsia="Times New Roman"/>
              </w:rPr>
              <w:t xml:space="preserve">augustā Ministru kabinets lēma atļaut </w:t>
            </w:r>
            <w:r w:rsidR="00E74F9D">
              <w:rPr>
                <w:rFonts w:eastAsia="Times New Roman"/>
              </w:rPr>
              <w:t xml:space="preserve">IZM </w:t>
            </w:r>
            <w:r w:rsidRPr="002D02E7">
              <w:rPr>
                <w:rFonts w:eastAsia="Times New Roman"/>
              </w:rPr>
              <w:t>pagarināt 2016.</w:t>
            </w:r>
            <w:r w:rsidR="00BD4D3D">
              <w:rPr>
                <w:rFonts w:eastAsia="Times New Roman"/>
              </w:rPr>
              <w:t xml:space="preserve"> </w:t>
            </w:r>
            <w:r w:rsidRPr="002D02E7">
              <w:rPr>
                <w:rFonts w:eastAsia="Times New Roman"/>
              </w:rPr>
              <w:t>gada 23.</w:t>
            </w:r>
            <w:r w:rsidR="00BD4D3D">
              <w:rPr>
                <w:rFonts w:eastAsia="Times New Roman"/>
              </w:rPr>
              <w:t xml:space="preserve"> </w:t>
            </w:r>
            <w:r w:rsidRPr="002D02E7">
              <w:rPr>
                <w:rFonts w:eastAsia="Times New Roman"/>
              </w:rPr>
              <w:t>maijā ar Starptautisko Rekonstrukcijas un attīstības banku (turpmāk – Pasaules Banka) noslēgto līgumu par maksas konsultatīvajiem pakalpojumiem (turpmāk – līgums) līdz 2018.</w:t>
            </w:r>
            <w:r w:rsidR="00BD4D3D">
              <w:rPr>
                <w:rFonts w:eastAsia="Times New Roman"/>
              </w:rPr>
              <w:t xml:space="preserve"> </w:t>
            </w:r>
            <w:r w:rsidRPr="002D02E7">
              <w:rPr>
                <w:rFonts w:eastAsia="Times New Roman"/>
              </w:rPr>
              <w:t>gada 30.</w:t>
            </w:r>
            <w:r w:rsidR="00BD4D3D">
              <w:rPr>
                <w:rFonts w:eastAsia="Times New Roman"/>
              </w:rPr>
              <w:t xml:space="preserve"> </w:t>
            </w:r>
            <w:r w:rsidRPr="002D02E7">
              <w:rPr>
                <w:rFonts w:eastAsia="Times New Roman"/>
              </w:rPr>
              <w:lastRenderedPageBreak/>
              <w:t>decembrim, lai nodrošinātu Latvijas valsts dibināto augstākās izglītības iestāžu vadītājiem mācību semināru ciklu par 2016. – 2018. gadā veiktā pētījuma</w:t>
            </w:r>
            <w:r w:rsidR="003F61CB">
              <w:rPr>
                <w:rStyle w:val="FootnoteReference"/>
                <w:color w:val="000000" w:themeColor="text1"/>
              </w:rPr>
              <w:footnoteReference w:id="1"/>
            </w:r>
            <w:r w:rsidR="003F61CB">
              <w:rPr>
                <w:lang w:val="en-US"/>
              </w:rPr>
              <w:t xml:space="preserve"> </w:t>
            </w:r>
            <w:r w:rsidRPr="002D02E7">
              <w:rPr>
                <w:rFonts w:eastAsia="Times New Roman"/>
              </w:rPr>
              <w:t>rezultātā saņemto Pasaules Bankas ekspertu ieteikumu īstenošanu.</w:t>
            </w:r>
            <w:r w:rsidR="00B31328" w:rsidRPr="002D02E7">
              <w:rPr>
                <w:rFonts w:eastAsia="Times New Roman"/>
              </w:rPr>
              <w:t xml:space="preserve"> </w:t>
            </w:r>
          </w:p>
          <w:p w14:paraId="56798EDA" w14:textId="48E95CAD" w:rsidR="002D02E7" w:rsidRDefault="00962FB9" w:rsidP="006960CA">
            <w:pPr>
              <w:jc w:val="both"/>
              <w:rPr>
                <w:rFonts w:eastAsia="Times New Roman"/>
                <w:sz w:val="28"/>
                <w:szCs w:val="20"/>
              </w:rPr>
            </w:pPr>
            <w:r w:rsidRPr="002D02E7">
              <w:rPr>
                <w:rFonts w:eastAsia="Times New Roman"/>
              </w:rPr>
              <w:t>Līguma termiņa pagarinājuma</w:t>
            </w:r>
            <w:r w:rsidR="009E55E5">
              <w:rPr>
                <w:rFonts w:eastAsia="Times New Roman"/>
              </w:rPr>
              <w:t xml:space="preserve"> ietvaros veicamajām darbībām</w:t>
            </w:r>
            <w:r w:rsidRPr="002D02E7">
              <w:rPr>
                <w:rFonts w:eastAsia="Times New Roman"/>
              </w:rPr>
              <w:t xml:space="preserve"> </w:t>
            </w:r>
            <w:r w:rsidR="00E86E59" w:rsidRPr="002D02E7">
              <w:rPr>
                <w:rFonts w:eastAsia="Times New Roman"/>
              </w:rPr>
              <w:t xml:space="preserve">indikatīvās </w:t>
            </w:r>
            <w:r w:rsidRPr="002D02E7">
              <w:rPr>
                <w:rFonts w:eastAsia="Times New Roman"/>
              </w:rPr>
              <w:t xml:space="preserve">izmaksas ir 40 362 </w:t>
            </w:r>
            <w:proofErr w:type="spellStart"/>
            <w:r w:rsidR="00F73AD7" w:rsidRPr="004843ED">
              <w:rPr>
                <w:rFonts w:eastAsia="Times New Roman"/>
                <w:i/>
              </w:rPr>
              <w:t>euro</w:t>
            </w:r>
            <w:proofErr w:type="spellEnd"/>
            <w:r w:rsidR="00F73AD7" w:rsidRPr="002D02E7">
              <w:rPr>
                <w:rFonts w:eastAsia="Times New Roman"/>
              </w:rPr>
              <w:t xml:space="preserve"> </w:t>
            </w:r>
            <w:r w:rsidRPr="002D02E7">
              <w:rPr>
                <w:rFonts w:eastAsia="Times New Roman"/>
              </w:rPr>
              <w:t>(50 000 USD)</w:t>
            </w:r>
            <w:r w:rsidR="00B31328" w:rsidRPr="002D02E7">
              <w:rPr>
                <w:rFonts w:eastAsia="Times New Roman"/>
              </w:rPr>
              <w:t xml:space="preserve">, kuras Ministru kabinets lēma </w:t>
            </w:r>
            <w:r w:rsidRPr="002D02E7">
              <w:rPr>
                <w:rFonts w:eastAsia="Times New Roman"/>
              </w:rPr>
              <w:t xml:space="preserve"> </w:t>
            </w:r>
            <w:r w:rsidR="00B31328" w:rsidRPr="002D02E7">
              <w:rPr>
                <w:rFonts w:eastAsia="Times New Roman"/>
              </w:rPr>
              <w:t xml:space="preserve">segt no darbības programmas </w:t>
            </w:r>
            <w:r w:rsidR="006A00FD">
              <w:rPr>
                <w:rFonts w:eastAsia="Times New Roman"/>
              </w:rPr>
              <w:t>„</w:t>
            </w:r>
            <w:r w:rsidR="00B31328" w:rsidRPr="002D02E7">
              <w:rPr>
                <w:rFonts w:eastAsia="Times New Roman"/>
              </w:rPr>
              <w:t>Izaugsme un nodarbinātība</w:t>
            </w:r>
            <w:r w:rsidR="006A00FD">
              <w:rPr>
                <w:rFonts w:eastAsia="Times New Roman"/>
              </w:rPr>
              <w:t>”</w:t>
            </w:r>
            <w:r w:rsidR="00B31328" w:rsidRPr="002D02E7">
              <w:rPr>
                <w:rFonts w:eastAsia="Times New Roman"/>
              </w:rPr>
              <w:t xml:space="preserve"> 8.3.6.</w:t>
            </w:r>
            <w:r w:rsidR="00BD4D3D">
              <w:rPr>
                <w:rFonts w:eastAsia="Times New Roman"/>
              </w:rPr>
              <w:t xml:space="preserve"> </w:t>
            </w:r>
            <w:r w:rsidR="00B31328" w:rsidRPr="002D02E7">
              <w:rPr>
                <w:rFonts w:eastAsia="Times New Roman"/>
              </w:rPr>
              <w:t xml:space="preserve">specifiskā atbalsta mērķa </w:t>
            </w:r>
            <w:r w:rsidR="006A00FD">
              <w:rPr>
                <w:rFonts w:eastAsia="Times New Roman"/>
              </w:rPr>
              <w:t>„</w:t>
            </w:r>
            <w:r w:rsidR="00B31328" w:rsidRPr="002D02E7">
              <w:rPr>
                <w:rFonts w:eastAsia="Times New Roman"/>
              </w:rPr>
              <w:t>Ieviest izglītības kvalitātes monitoringa sistēmu</w:t>
            </w:r>
            <w:r w:rsidR="006A00FD">
              <w:rPr>
                <w:rFonts w:eastAsia="Times New Roman"/>
              </w:rPr>
              <w:t>”</w:t>
            </w:r>
            <w:r w:rsidR="00B31328" w:rsidRPr="002D02E7">
              <w:rPr>
                <w:rFonts w:eastAsia="Times New Roman"/>
              </w:rPr>
              <w:t xml:space="preserve"> 8.3.6.1.</w:t>
            </w:r>
            <w:r w:rsidR="00BD4D3D">
              <w:rPr>
                <w:rFonts w:eastAsia="Times New Roman"/>
              </w:rPr>
              <w:t xml:space="preserve"> </w:t>
            </w:r>
            <w:r w:rsidR="00B31328" w:rsidRPr="002D02E7">
              <w:rPr>
                <w:rFonts w:eastAsia="Times New Roman"/>
              </w:rPr>
              <w:t>pasākuma</w:t>
            </w:r>
            <w:r w:rsidR="0045535A">
              <w:rPr>
                <w:rFonts w:eastAsia="Times New Roman"/>
              </w:rPr>
              <w:t xml:space="preserve">) </w:t>
            </w:r>
            <w:r w:rsidR="00B31328" w:rsidRPr="002D02E7">
              <w:rPr>
                <w:rFonts w:eastAsia="Times New Roman"/>
              </w:rPr>
              <w:t>projekta finanšu līdzekļiem. Vienlaikus tika atbalstīta finanšu līdzekļu pārdale līguma termiņa pagarinājuma izmaksu segšanai no 8.2.4.</w:t>
            </w:r>
            <w:r w:rsidR="0045535A">
              <w:rPr>
                <w:rFonts w:eastAsia="Times New Roman"/>
              </w:rPr>
              <w:t>SAM</w:t>
            </w:r>
            <w:r w:rsidR="00B31328" w:rsidRPr="002D02E7">
              <w:rPr>
                <w:rFonts w:eastAsia="Times New Roman"/>
              </w:rPr>
              <w:t xml:space="preserve"> uz 8.3.6.1.</w:t>
            </w:r>
            <w:r w:rsidR="00BD4D3D">
              <w:rPr>
                <w:rFonts w:eastAsia="Times New Roman"/>
              </w:rPr>
              <w:t> </w:t>
            </w:r>
            <w:r w:rsidR="00B31328" w:rsidRPr="002D02E7">
              <w:rPr>
                <w:rFonts w:eastAsia="Times New Roman"/>
              </w:rPr>
              <w:t>pasākumu</w:t>
            </w:r>
            <w:r w:rsidR="00E86E59" w:rsidRPr="002D02E7">
              <w:rPr>
                <w:rFonts w:eastAsia="Times New Roman"/>
              </w:rPr>
              <w:t xml:space="preserve">, ņemot vērā, </w:t>
            </w:r>
            <w:r w:rsidR="00E74F9D">
              <w:rPr>
                <w:rFonts w:eastAsia="Times New Roman"/>
              </w:rPr>
              <w:t>ka 8.3.6.1.</w:t>
            </w:r>
            <w:r w:rsidR="00E86E59" w:rsidRPr="002D02E7">
              <w:rPr>
                <w:rFonts w:eastAsia="Times New Roman"/>
              </w:rPr>
              <w:t>pasākuma projekta finanšu apmērs nav pietiekams šādu mācību semināru izmaksu segšanai.</w:t>
            </w:r>
            <w:r w:rsidR="00E86E59">
              <w:rPr>
                <w:rFonts w:eastAsia="Times New Roman"/>
                <w:sz w:val="28"/>
                <w:szCs w:val="20"/>
              </w:rPr>
              <w:t xml:space="preserve"> </w:t>
            </w:r>
          </w:p>
          <w:p w14:paraId="12C0F1F4" w14:textId="77777777" w:rsidR="00085D03" w:rsidRDefault="00085D03" w:rsidP="006960CA">
            <w:pPr>
              <w:jc w:val="both"/>
              <w:rPr>
                <w:rFonts w:eastAsia="Times New Roman"/>
                <w:sz w:val="28"/>
                <w:szCs w:val="20"/>
              </w:rPr>
            </w:pPr>
          </w:p>
          <w:p w14:paraId="60880728" w14:textId="4164385A" w:rsidR="00C02315" w:rsidRDefault="007574B3" w:rsidP="00DC2C4F">
            <w:pPr>
              <w:jc w:val="both"/>
            </w:pPr>
            <w:r>
              <w:t xml:space="preserve">Ar </w:t>
            </w:r>
            <w:r w:rsidR="00764616">
              <w:t>šiem grozījumiem vienlaikus tiek pārdalīti papildu līdzekļi no 8.2.4.</w:t>
            </w:r>
            <w:r w:rsidR="00BD4D3D">
              <w:t xml:space="preserve"> </w:t>
            </w:r>
            <w:r w:rsidR="00764616">
              <w:t xml:space="preserve">SAM </w:t>
            </w:r>
            <w:r w:rsidR="00AB3584">
              <w:t>21</w:t>
            </w:r>
            <w:r w:rsidR="00764616">
              <w:t> </w:t>
            </w:r>
            <w:r w:rsidR="00AB3584">
              <w:t>126</w:t>
            </w:r>
            <w:r w:rsidR="00764616">
              <w:t xml:space="preserve"> </w:t>
            </w:r>
            <w:proofErr w:type="spellStart"/>
            <w:r w:rsidR="00764616">
              <w:rPr>
                <w:i/>
                <w:iCs/>
              </w:rPr>
              <w:t>euro</w:t>
            </w:r>
            <w:proofErr w:type="spellEnd"/>
            <w:r w:rsidR="00764616">
              <w:t xml:space="preserve"> apmērā Izglītības pētījumu un inovācijas centra (turpmāk – CERI) dalības maksas </w:t>
            </w:r>
            <w:r w:rsidR="00764616" w:rsidRPr="00AF3941">
              <w:t>segšanai 2019.</w:t>
            </w:r>
            <w:r w:rsidR="00BD4D3D" w:rsidRPr="00AF3941">
              <w:t xml:space="preserve"> </w:t>
            </w:r>
            <w:r w:rsidR="00764616" w:rsidRPr="00AF3941">
              <w:t>gadā – 5</w:t>
            </w:r>
            <w:r w:rsidR="00580670">
              <w:t xml:space="preserve"> </w:t>
            </w:r>
            <w:r w:rsidR="00764616" w:rsidRPr="00AF3941">
              <w:t xml:space="preserve">804 </w:t>
            </w:r>
            <w:proofErr w:type="spellStart"/>
            <w:r w:rsidR="00764616" w:rsidRPr="00AF3941">
              <w:rPr>
                <w:i/>
              </w:rPr>
              <w:t>euro</w:t>
            </w:r>
            <w:proofErr w:type="spellEnd"/>
            <w:r w:rsidR="00AB3584" w:rsidRPr="00AF3941">
              <w:t>,</w:t>
            </w:r>
            <w:r w:rsidR="00764616" w:rsidRPr="00AF3941">
              <w:t xml:space="preserve"> 2020.</w:t>
            </w:r>
            <w:r w:rsidR="00BD4D3D" w:rsidRPr="00AF3941">
              <w:t xml:space="preserve"> </w:t>
            </w:r>
            <w:r w:rsidR="00764616" w:rsidRPr="00AF3941">
              <w:t>gadā – 6</w:t>
            </w:r>
            <w:r w:rsidR="00580670">
              <w:t xml:space="preserve"> </w:t>
            </w:r>
            <w:r w:rsidR="00764616" w:rsidRPr="00AF3941">
              <w:t xml:space="preserve">965 </w:t>
            </w:r>
            <w:proofErr w:type="spellStart"/>
            <w:r w:rsidR="00764616" w:rsidRPr="00AF3941">
              <w:rPr>
                <w:i/>
                <w:iCs/>
              </w:rPr>
              <w:t>euro</w:t>
            </w:r>
            <w:proofErr w:type="spellEnd"/>
            <w:r w:rsidR="00764616" w:rsidRPr="00AF3941">
              <w:t xml:space="preserve"> </w:t>
            </w:r>
            <w:r w:rsidR="00C76082" w:rsidRPr="00AF3941">
              <w:t>un 20</w:t>
            </w:r>
            <w:r w:rsidR="00AB3584" w:rsidRPr="00AF3941">
              <w:t>21.gadā – 8</w:t>
            </w:r>
            <w:r w:rsidR="00580670">
              <w:t xml:space="preserve"> </w:t>
            </w:r>
            <w:r w:rsidR="00AB3584" w:rsidRPr="00AF3941">
              <w:t xml:space="preserve">357 </w:t>
            </w:r>
            <w:proofErr w:type="spellStart"/>
            <w:r w:rsidR="00AB3584" w:rsidRPr="00AF3941">
              <w:rPr>
                <w:i/>
              </w:rPr>
              <w:t>euro</w:t>
            </w:r>
            <w:proofErr w:type="spellEnd"/>
            <w:r w:rsidR="00AB3584" w:rsidRPr="00AF3941">
              <w:t xml:space="preserve"> </w:t>
            </w:r>
            <w:r w:rsidR="00764616" w:rsidRPr="00AF3941">
              <w:t>apmērā</w:t>
            </w:r>
            <w:r w:rsidR="00B71017">
              <w:t>,</w:t>
            </w:r>
            <w:r w:rsidR="00764616">
              <w:t xml:space="preserve"> </w:t>
            </w:r>
            <w:r w:rsidR="00B71017">
              <w:t>t</w:t>
            </w:r>
            <w:r w:rsidR="00764616">
              <w:t>ādējādi nodrošinot</w:t>
            </w:r>
            <w:r w:rsidR="00B71017">
              <w:t xml:space="preserve"> Latvijas</w:t>
            </w:r>
            <w:r w:rsidR="00764616">
              <w:t xml:space="preserve"> dalību CERI </w:t>
            </w:r>
            <w:r w:rsidR="005B5B3D">
              <w:t>programmā</w:t>
            </w:r>
            <w:r w:rsidR="00764616">
              <w:t xml:space="preserve">, kurā ir visu </w:t>
            </w:r>
            <w:r w:rsidR="006A00FD" w:rsidRPr="008B7D56">
              <w:t>Ekonomiskās sadarbības un attīstības organizācijas</w:t>
            </w:r>
            <w:r w:rsidR="006A00FD">
              <w:t xml:space="preserve"> (turpmāk – </w:t>
            </w:r>
            <w:r w:rsidR="00764616">
              <w:t>OECD</w:t>
            </w:r>
            <w:r w:rsidR="006A00FD">
              <w:t>)</w:t>
            </w:r>
            <w:r w:rsidR="00764616">
              <w:t xml:space="preserve"> dalībvalstu (izņemot Grieķiju) nominēti pārstāvji. </w:t>
            </w:r>
            <w:r w:rsidR="00C02315">
              <w:t xml:space="preserve">Dalība CERI plānota arī pēc </w:t>
            </w:r>
            <w:r w:rsidR="00AD5C13">
              <w:t>2021.gada</w:t>
            </w:r>
            <w:r w:rsidR="002F2800">
              <w:t>,</w:t>
            </w:r>
            <w:r w:rsidR="00AD5C13">
              <w:t xml:space="preserve"> </w:t>
            </w:r>
            <w:r w:rsidR="00887C6F">
              <w:t>nepieciešamības gadījumā</w:t>
            </w:r>
            <w:r w:rsidR="002F2800">
              <w:t xml:space="preserve"> ierosinot finansējuma pārdali</w:t>
            </w:r>
            <w:r w:rsidR="00C02315">
              <w:t xml:space="preserve"> no 8.3.6.2.pasākuma pieejamās finanšu rezerves</w:t>
            </w:r>
            <w:r w:rsidR="000224E1">
              <w:t>,</w:t>
            </w:r>
            <w:r w:rsidR="002F2800">
              <w:t xml:space="preserve"> savukārt</w:t>
            </w:r>
            <w:r w:rsidR="000224E1">
              <w:t xml:space="preserve"> </w:t>
            </w:r>
            <w:r w:rsidR="000224E1" w:rsidRPr="00A52C2E">
              <w:t>pēc projekta īstenošanas beigām</w:t>
            </w:r>
            <w:r w:rsidR="002F2800" w:rsidRPr="00A52C2E">
              <w:t xml:space="preserve"> – to </w:t>
            </w:r>
            <w:r w:rsidR="000224E1" w:rsidRPr="00A52C2E">
              <w:t>plānots finansēt no Valst</w:t>
            </w:r>
            <w:r w:rsidR="002F2800" w:rsidRPr="00A52C2E">
              <w:t>s pētījumu programmas “Izglītība</w:t>
            </w:r>
            <w:r w:rsidR="000224E1" w:rsidRPr="00A52C2E">
              <w:t>”</w:t>
            </w:r>
            <w:r w:rsidR="00C02315">
              <w:t>.</w:t>
            </w:r>
          </w:p>
          <w:p w14:paraId="7585BFF8" w14:textId="1B1D8A32" w:rsidR="00DC2C4F" w:rsidRPr="008B7D56" w:rsidRDefault="00AD5C13" w:rsidP="00D41C83">
            <w:pPr>
              <w:jc w:val="both"/>
            </w:pPr>
            <w:r>
              <w:t>N</w:t>
            </w:r>
            <w:r w:rsidR="007574B3" w:rsidRPr="004843ED">
              <w:t xml:space="preserve">oteikumi tiek papildināti ar </w:t>
            </w:r>
            <w:r w:rsidR="00A423D5" w:rsidRPr="00C00777">
              <w:t xml:space="preserve">6.3.apakšpunktu </w:t>
            </w:r>
            <w:r w:rsidR="00A423D5" w:rsidRPr="00983624">
              <w:t xml:space="preserve">vienlaikus izveidojot jaunu specifisko iznākuma rādītāju – </w:t>
            </w:r>
            <w:r w:rsidR="00410D75" w:rsidRPr="00983624">
              <w:t xml:space="preserve">atbalstīta dalība </w:t>
            </w:r>
            <w:r w:rsidR="006A00FD">
              <w:t>CERI</w:t>
            </w:r>
            <w:r w:rsidR="00410D75" w:rsidRPr="00983624">
              <w:t xml:space="preserve"> </w:t>
            </w:r>
            <w:r w:rsidR="00912260" w:rsidRPr="00983624">
              <w:t xml:space="preserve">programmā </w:t>
            </w:r>
            <w:r w:rsidR="00A423D5" w:rsidRPr="00983624">
              <w:t>– viens</w:t>
            </w:r>
            <w:r w:rsidR="00A423D5" w:rsidRPr="00C00777">
              <w:t>, ņemot vērā, ka ar grozījumiem tiek palielināts kopējais 8.3.6.1.pasākuma finansējums</w:t>
            </w:r>
            <w:r w:rsidR="007574B3" w:rsidRPr="00C00777">
              <w:t>.</w:t>
            </w:r>
            <w:r w:rsidR="006A453B">
              <w:t xml:space="preserve"> </w:t>
            </w:r>
            <w:r w:rsidR="006A453B" w:rsidRPr="008B7D56">
              <w:t>Rādītājs tiks uzskatīts par sasniegtu</w:t>
            </w:r>
            <w:r w:rsidR="006269F8" w:rsidRPr="008B7D56">
              <w:t xml:space="preserve">, kad veikts </w:t>
            </w:r>
            <w:r w:rsidR="00DF62E9" w:rsidRPr="008B7D56">
              <w:t xml:space="preserve">2019.gada </w:t>
            </w:r>
            <w:r w:rsidR="006269F8" w:rsidRPr="008B7D56">
              <w:t>maksājums par dalību  programmā.</w:t>
            </w:r>
            <w:r w:rsidR="006763E0" w:rsidRPr="008B7D56">
              <w:t xml:space="preserve"> </w:t>
            </w:r>
            <w:r w:rsidR="00DC2C4F" w:rsidRPr="008B7D56">
              <w:t xml:space="preserve">Minētais ir līdzvērtīgs dalībai </w:t>
            </w:r>
            <w:r w:rsidR="006A00FD">
              <w:t xml:space="preserve">OECD </w:t>
            </w:r>
            <w:r w:rsidR="006A00FD" w:rsidRPr="008B7D56">
              <w:t xml:space="preserve">Izglītības sistēmu indikatoru </w:t>
            </w:r>
            <w:r w:rsidR="00DC2C4F" w:rsidRPr="008B7D56">
              <w:t>programmā</w:t>
            </w:r>
            <w:r w:rsidR="006A00FD">
              <w:t xml:space="preserve"> (turpmāk – </w:t>
            </w:r>
            <w:r w:rsidR="006A00FD" w:rsidRPr="008B7D56">
              <w:t>INES</w:t>
            </w:r>
            <w:r w:rsidR="006A00FD">
              <w:t>)</w:t>
            </w:r>
            <w:r w:rsidR="00DC2C4F" w:rsidRPr="008B7D56">
              <w:t xml:space="preserve">, kurā Latvija </w:t>
            </w:r>
            <w:r w:rsidR="004E48E4" w:rsidRPr="008B7D56">
              <w:t xml:space="preserve">piedalās </w:t>
            </w:r>
            <w:r w:rsidR="00DC2C4F" w:rsidRPr="008B7D56">
              <w:t xml:space="preserve">projekta ietvaros. </w:t>
            </w:r>
          </w:p>
          <w:p w14:paraId="6FF88AB7" w14:textId="1F09D193" w:rsidR="00646B92" w:rsidRDefault="00002F83" w:rsidP="00B91644">
            <w:pPr>
              <w:jc w:val="both"/>
            </w:pPr>
            <w:r>
              <w:t>Latvija ar d</w:t>
            </w:r>
            <w:r w:rsidR="006763E0" w:rsidRPr="008B7D56">
              <w:t>alīb</w:t>
            </w:r>
            <w:r w:rsidR="006F6703">
              <w:t>u</w:t>
            </w:r>
            <w:r w:rsidR="006763E0" w:rsidRPr="008B7D56">
              <w:t xml:space="preserve"> CERI programmā (1) izvērtē un ietekmē īstenoto un plānoto pētījumu saturu un metodoloģiju, gū</w:t>
            </w:r>
            <w:r>
              <w:t>s</w:t>
            </w:r>
            <w:r w:rsidR="006763E0" w:rsidRPr="008B7D56">
              <w:t>t aktuālāko informāciju par inovācijām izglītības zinātnes jomā</w:t>
            </w:r>
            <w:r w:rsidR="00A35A6F">
              <w:t xml:space="preserve"> un izglītības pētījumos</w:t>
            </w:r>
            <w:r w:rsidR="006763E0" w:rsidRPr="008B7D56">
              <w:t xml:space="preserve">, </w:t>
            </w:r>
            <w:r w:rsidR="009247F6">
              <w:t xml:space="preserve">Latvijas gadījumā </w:t>
            </w:r>
            <w:r>
              <w:t xml:space="preserve">īpaši </w:t>
            </w:r>
            <w:r w:rsidR="009247F6">
              <w:t xml:space="preserve">akcentējot </w:t>
            </w:r>
            <w:r w:rsidR="00DA10BF">
              <w:t xml:space="preserve">fokusu </w:t>
            </w:r>
            <w:r w:rsidR="00E60CE4">
              <w:t xml:space="preserve">uz </w:t>
            </w:r>
            <w:r w:rsidR="009247F6">
              <w:t>izglītības satur</w:t>
            </w:r>
            <w:r w:rsidR="00E60CE4">
              <w:t>u</w:t>
            </w:r>
            <w:r w:rsidR="00E00F84">
              <w:t xml:space="preserve"> un </w:t>
            </w:r>
            <w:r w:rsidR="00BB66C5">
              <w:t>izglītojamo labklājību (</w:t>
            </w:r>
            <w:proofErr w:type="spellStart"/>
            <w:r w:rsidR="00BB66C5" w:rsidRPr="00B91644">
              <w:rPr>
                <w:i/>
              </w:rPr>
              <w:t>well-being</w:t>
            </w:r>
            <w:proofErr w:type="spellEnd"/>
            <w:r w:rsidR="00BB66C5">
              <w:t>)</w:t>
            </w:r>
            <w:r w:rsidR="009247F6">
              <w:t xml:space="preserve">, </w:t>
            </w:r>
            <w:r w:rsidR="006763E0" w:rsidRPr="008B7D56">
              <w:t>(2) iesaist</w:t>
            </w:r>
            <w:r>
              <w:t>ās</w:t>
            </w:r>
            <w:r w:rsidR="006763E0" w:rsidRPr="008B7D56">
              <w:t xml:space="preserve"> CERI īstenotajos projektos un pētījumos</w:t>
            </w:r>
            <w:r w:rsidR="00295889">
              <w:t>, kas aktuālas Latvijai,</w:t>
            </w:r>
            <w:r w:rsidR="006763E0" w:rsidRPr="008B7D56">
              <w:t xml:space="preserve"> kā, piemēram, Skolotāju zināšanu aptauja (</w:t>
            </w:r>
            <w:proofErr w:type="spellStart"/>
            <w:r w:rsidR="006763E0" w:rsidRPr="008B7D56">
              <w:rPr>
                <w:i/>
                <w:iCs/>
              </w:rPr>
              <w:t>Teachers</w:t>
            </w:r>
            <w:proofErr w:type="spellEnd"/>
            <w:r w:rsidR="006763E0" w:rsidRPr="008B7D56">
              <w:rPr>
                <w:i/>
                <w:iCs/>
              </w:rPr>
              <w:t xml:space="preserve"> </w:t>
            </w:r>
            <w:proofErr w:type="spellStart"/>
            <w:r w:rsidR="006763E0" w:rsidRPr="008B7D56">
              <w:rPr>
                <w:i/>
                <w:iCs/>
              </w:rPr>
              <w:t>knowledge</w:t>
            </w:r>
            <w:proofErr w:type="spellEnd"/>
            <w:r w:rsidR="006763E0" w:rsidRPr="008B7D56">
              <w:rPr>
                <w:i/>
                <w:iCs/>
              </w:rPr>
              <w:t xml:space="preserve"> </w:t>
            </w:r>
            <w:proofErr w:type="spellStart"/>
            <w:r w:rsidR="006763E0" w:rsidRPr="008B7D56">
              <w:rPr>
                <w:i/>
                <w:iCs/>
              </w:rPr>
              <w:t>survey</w:t>
            </w:r>
            <w:proofErr w:type="spellEnd"/>
            <w:r w:rsidR="006763E0" w:rsidRPr="008B7D56">
              <w:t xml:space="preserve">), kur Latvijas eksperti piedalījās pētījuma instrumentārija izstrādē, uzsverot Latvijas izglītības </w:t>
            </w:r>
            <w:r w:rsidR="006763E0" w:rsidRPr="008B7D56">
              <w:lastRenderedPageBreak/>
              <w:t>politikai būtiskus aspektus, ceļot pētniecisko kapacitāti</w:t>
            </w:r>
            <w:r>
              <w:t>;</w:t>
            </w:r>
            <w:r w:rsidR="006763E0" w:rsidRPr="008B7D56">
              <w:t xml:space="preserve"> zinātnisko publikāciju “Izglītība īsumā” (</w:t>
            </w:r>
            <w:proofErr w:type="spellStart"/>
            <w:r w:rsidR="006763E0" w:rsidRPr="008B7D56">
              <w:rPr>
                <w:i/>
                <w:iCs/>
              </w:rPr>
              <w:t>Education</w:t>
            </w:r>
            <w:proofErr w:type="spellEnd"/>
            <w:r w:rsidR="006763E0" w:rsidRPr="008B7D56">
              <w:rPr>
                <w:i/>
                <w:iCs/>
              </w:rPr>
              <w:t xml:space="preserve"> </w:t>
            </w:r>
            <w:proofErr w:type="spellStart"/>
            <w:r w:rsidR="006763E0" w:rsidRPr="008B7D56">
              <w:rPr>
                <w:i/>
                <w:iCs/>
              </w:rPr>
              <w:t>at</w:t>
            </w:r>
            <w:proofErr w:type="spellEnd"/>
            <w:r w:rsidR="006763E0" w:rsidRPr="008B7D56">
              <w:rPr>
                <w:i/>
                <w:iCs/>
              </w:rPr>
              <w:t xml:space="preserve"> a </w:t>
            </w:r>
            <w:proofErr w:type="spellStart"/>
            <w:r w:rsidR="006763E0" w:rsidRPr="008B7D56">
              <w:rPr>
                <w:i/>
                <w:iCs/>
              </w:rPr>
              <w:t>Glance</w:t>
            </w:r>
            <w:proofErr w:type="spellEnd"/>
            <w:r w:rsidR="006763E0" w:rsidRPr="008B7D56">
              <w:rPr>
                <w:i/>
                <w:iCs/>
              </w:rPr>
              <w:t>)</w:t>
            </w:r>
            <w:r w:rsidR="006763E0" w:rsidRPr="008B7D56">
              <w:t xml:space="preserve"> attīstību, kur Latvija regulāri sniedz statistikas datus </w:t>
            </w:r>
            <w:r w:rsidR="004E48E4">
              <w:t>OECD INES</w:t>
            </w:r>
            <w:r w:rsidR="006763E0" w:rsidRPr="008B7D56">
              <w:t xml:space="preserve">  ietvaros</w:t>
            </w:r>
            <w:r w:rsidR="00456ADA">
              <w:t xml:space="preserve"> un izmanto iegūtos datus, secinājumus </w:t>
            </w:r>
            <w:r w:rsidR="00456ADA" w:rsidRPr="00170EBD">
              <w:t>nozares politikas reformu īstenošanai</w:t>
            </w:r>
            <w:r w:rsidR="006763E0" w:rsidRPr="008B7D56">
              <w:t>, u.c. pētījumi, kur Latvija gū</w:t>
            </w:r>
            <w:r w:rsidR="006F6703">
              <w:t>s</w:t>
            </w:r>
            <w:r w:rsidR="006763E0" w:rsidRPr="008B7D56">
              <w:t>t pieredzi, datus un secinājumus pastarpināti, piemēram, Stratēģiskā izglītības pārvaldība (</w:t>
            </w:r>
            <w:proofErr w:type="spellStart"/>
            <w:r w:rsidR="006763E0" w:rsidRPr="008B7D56">
              <w:rPr>
                <w:i/>
                <w:iCs/>
              </w:rPr>
              <w:t>Strategic</w:t>
            </w:r>
            <w:proofErr w:type="spellEnd"/>
            <w:r w:rsidR="006763E0" w:rsidRPr="008B7D56">
              <w:rPr>
                <w:i/>
                <w:iCs/>
              </w:rPr>
              <w:t xml:space="preserve"> </w:t>
            </w:r>
            <w:proofErr w:type="spellStart"/>
            <w:r w:rsidR="006763E0" w:rsidRPr="008B7D56">
              <w:rPr>
                <w:i/>
                <w:iCs/>
              </w:rPr>
              <w:t>education</w:t>
            </w:r>
            <w:proofErr w:type="spellEnd"/>
            <w:r w:rsidR="006763E0" w:rsidRPr="008B7D56">
              <w:rPr>
                <w:i/>
                <w:iCs/>
              </w:rPr>
              <w:t xml:space="preserve"> </w:t>
            </w:r>
            <w:proofErr w:type="spellStart"/>
            <w:r w:rsidR="006763E0" w:rsidRPr="008B7D56">
              <w:rPr>
                <w:i/>
                <w:iCs/>
              </w:rPr>
              <w:t>governance</w:t>
            </w:r>
            <w:proofErr w:type="spellEnd"/>
            <w:r w:rsidR="006763E0" w:rsidRPr="008B7D56">
              <w:t>), Mērot inovācijas izglītībā (</w:t>
            </w:r>
            <w:proofErr w:type="spellStart"/>
            <w:r w:rsidR="006763E0" w:rsidRPr="008B7D56">
              <w:rPr>
                <w:i/>
                <w:iCs/>
              </w:rPr>
              <w:t>Measuring</w:t>
            </w:r>
            <w:proofErr w:type="spellEnd"/>
            <w:r w:rsidR="006763E0" w:rsidRPr="008B7D56">
              <w:rPr>
                <w:i/>
                <w:iCs/>
              </w:rPr>
              <w:t xml:space="preserve"> </w:t>
            </w:r>
            <w:proofErr w:type="spellStart"/>
            <w:r w:rsidR="006763E0" w:rsidRPr="008B7D56">
              <w:rPr>
                <w:i/>
                <w:iCs/>
              </w:rPr>
              <w:t>innovation</w:t>
            </w:r>
            <w:proofErr w:type="spellEnd"/>
            <w:r w:rsidR="006763E0" w:rsidRPr="008B7D56">
              <w:rPr>
                <w:i/>
                <w:iCs/>
              </w:rPr>
              <w:t xml:space="preserve"> </w:t>
            </w:r>
            <w:proofErr w:type="spellStart"/>
            <w:r w:rsidR="006763E0" w:rsidRPr="008B7D56">
              <w:rPr>
                <w:i/>
                <w:iCs/>
              </w:rPr>
              <w:t>in</w:t>
            </w:r>
            <w:proofErr w:type="spellEnd"/>
            <w:r w:rsidR="006763E0" w:rsidRPr="008B7D56">
              <w:rPr>
                <w:i/>
                <w:iCs/>
              </w:rPr>
              <w:t xml:space="preserve"> </w:t>
            </w:r>
            <w:proofErr w:type="spellStart"/>
            <w:r w:rsidR="006763E0" w:rsidRPr="008B7D56">
              <w:rPr>
                <w:i/>
                <w:iCs/>
              </w:rPr>
              <w:t>Education</w:t>
            </w:r>
            <w:proofErr w:type="spellEnd"/>
            <w:r w:rsidR="006763E0" w:rsidRPr="008B7D56">
              <w:t>), Pētījums par sociālajām un emocionālajām prasmēm (</w:t>
            </w:r>
            <w:proofErr w:type="spellStart"/>
            <w:r w:rsidR="006763E0" w:rsidRPr="008B7D56">
              <w:rPr>
                <w:i/>
                <w:iCs/>
              </w:rPr>
              <w:t>Study</w:t>
            </w:r>
            <w:proofErr w:type="spellEnd"/>
            <w:r w:rsidR="006763E0" w:rsidRPr="008B7D56">
              <w:rPr>
                <w:i/>
                <w:iCs/>
              </w:rPr>
              <w:t xml:space="preserve"> </w:t>
            </w:r>
            <w:proofErr w:type="spellStart"/>
            <w:r w:rsidR="006763E0" w:rsidRPr="008B7D56">
              <w:rPr>
                <w:i/>
                <w:iCs/>
              </w:rPr>
              <w:t>on</w:t>
            </w:r>
            <w:proofErr w:type="spellEnd"/>
            <w:r w:rsidR="006763E0" w:rsidRPr="008B7D56">
              <w:rPr>
                <w:i/>
                <w:iCs/>
              </w:rPr>
              <w:t xml:space="preserve"> </w:t>
            </w:r>
            <w:proofErr w:type="spellStart"/>
            <w:r w:rsidR="006763E0" w:rsidRPr="008B7D56">
              <w:rPr>
                <w:i/>
                <w:iCs/>
              </w:rPr>
              <w:t>social</w:t>
            </w:r>
            <w:proofErr w:type="spellEnd"/>
            <w:r w:rsidR="006763E0" w:rsidRPr="008B7D56">
              <w:rPr>
                <w:i/>
                <w:iCs/>
              </w:rPr>
              <w:t xml:space="preserve"> </w:t>
            </w:r>
            <w:proofErr w:type="spellStart"/>
            <w:r w:rsidR="006763E0" w:rsidRPr="008B7D56">
              <w:rPr>
                <w:i/>
                <w:iCs/>
              </w:rPr>
              <w:t>and</w:t>
            </w:r>
            <w:proofErr w:type="spellEnd"/>
            <w:r w:rsidR="006763E0" w:rsidRPr="008B7D56">
              <w:rPr>
                <w:i/>
                <w:iCs/>
              </w:rPr>
              <w:t xml:space="preserve"> </w:t>
            </w:r>
            <w:proofErr w:type="spellStart"/>
            <w:r w:rsidR="006763E0" w:rsidRPr="008B7D56">
              <w:rPr>
                <w:i/>
                <w:iCs/>
              </w:rPr>
              <w:t>emotional</w:t>
            </w:r>
            <w:proofErr w:type="spellEnd"/>
            <w:r w:rsidR="006763E0" w:rsidRPr="008B7D56">
              <w:rPr>
                <w:i/>
                <w:iCs/>
              </w:rPr>
              <w:t xml:space="preserve"> </w:t>
            </w:r>
            <w:proofErr w:type="spellStart"/>
            <w:r w:rsidR="006763E0" w:rsidRPr="008B7D56">
              <w:rPr>
                <w:i/>
                <w:iCs/>
              </w:rPr>
              <w:t>skills</w:t>
            </w:r>
            <w:proofErr w:type="spellEnd"/>
            <w:r w:rsidR="006763E0" w:rsidRPr="008B7D56">
              <w:t xml:space="preserve">) u.c.  (3) </w:t>
            </w:r>
            <w:r w:rsidRPr="008B7D56">
              <w:t xml:space="preserve">Latvijas delegācija </w:t>
            </w:r>
            <w:r w:rsidR="006763E0" w:rsidRPr="008B7D56">
              <w:t>piedal</w:t>
            </w:r>
            <w:r>
              <w:t>ās</w:t>
            </w:r>
            <w:r w:rsidR="006763E0" w:rsidRPr="008B7D56">
              <w:t xml:space="preserve"> ikgadējā Globālajā izglītības industrijas samitā (</w:t>
            </w:r>
            <w:proofErr w:type="spellStart"/>
            <w:r w:rsidR="006763E0" w:rsidRPr="008B7D56">
              <w:rPr>
                <w:i/>
                <w:iCs/>
              </w:rPr>
              <w:t>Global</w:t>
            </w:r>
            <w:proofErr w:type="spellEnd"/>
            <w:r w:rsidR="006763E0" w:rsidRPr="008B7D56">
              <w:rPr>
                <w:i/>
                <w:iCs/>
              </w:rPr>
              <w:t xml:space="preserve"> </w:t>
            </w:r>
            <w:proofErr w:type="spellStart"/>
            <w:r w:rsidR="006763E0" w:rsidRPr="008B7D56">
              <w:rPr>
                <w:i/>
                <w:iCs/>
              </w:rPr>
              <w:t>Education</w:t>
            </w:r>
            <w:proofErr w:type="spellEnd"/>
            <w:r w:rsidR="006763E0" w:rsidRPr="008B7D56">
              <w:rPr>
                <w:i/>
                <w:iCs/>
              </w:rPr>
              <w:t xml:space="preserve"> </w:t>
            </w:r>
            <w:proofErr w:type="spellStart"/>
            <w:r w:rsidR="006763E0" w:rsidRPr="008B7D56">
              <w:rPr>
                <w:i/>
                <w:iCs/>
              </w:rPr>
              <w:t>Industry</w:t>
            </w:r>
            <w:proofErr w:type="spellEnd"/>
            <w:r w:rsidR="006763E0" w:rsidRPr="008B7D56">
              <w:rPr>
                <w:i/>
                <w:iCs/>
              </w:rPr>
              <w:t xml:space="preserve"> </w:t>
            </w:r>
            <w:proofErr w:type="spellStart"/>
            <w:r w:rsidR="006763E0" w:rsidRPr="008B7D56">
              <w:rPr>
                <w:i/>
                <w:iCs/>
              </w:rPr>
              <w:t>summit</w:t>
            </w:r>
            <w:proofErr w:type="spellEnd"/>
            <w:r w:rsidR="006763E0" w:rsidRPr="008B7D56">
              <w:t>).</w:t>
            </w:r>
            <w:r w:rsidR="006763E0" w:rsidRPr="006763E0">
              <w:t xml:space="preserve"> </w:t>
            </w:r>
          </w:p>
          <w:p w14:paraId="58CC744E" w14:textId="315253FC" w:rsidR="006763E0" w:rsidRPr="00646B92" w:rsidRDefault="00097F2D" w:rsidP="00DC2C4F">
            <w:pPr>
              <w:jc w:val="both"/>
            </w:pPr>
            <w:r>
              <w:t>CERI īstenoto pētījumu rezultāti tiks izmantoti izglītības politikas plānošanā un izglītības kvalitātes monitoringa sistēmas attīstībai</w:t>
            </w:r>
            <w:r w:rsidR="00D756F8">
              <w:t xml:space="preserve"> Latvijā</w:t>
            </w:r>
            <w:r>
              <w:t xml:space="preserve">. </w:t>
            </w:r>
            <w:r w:rsidR="006C1BA2" w:rsidRPr="00B91644">
              <w:t xml:space="preserve">Lai sekmētu izglītības politikas pilnveidošanu, t.sk. īstenotu </w:t>
            </w:r>
            <w:r w:rsidR="009152F1">
              <w:t xml:space="preserve">pierādījumos balstītas </w:t>
            </w:r>
            <w:r w:rsidR="006C1BA2" w:rsidRPr="00B91644">
              <w:t>nozares politikas reformas</w:t>
            </w:r>
            <w:r w:rsidR="0088288C">
              <w:t>, ir</w:t>
            </w:r>
            <w:r w:rsidR="006C1BA2" w:rsidRPr="00B91644">
              <w:t xml:space="preserve"> nepieciešam</w:t>
            </w:r>
            <w:r w:rsidR="0088288C">
              <w:t xml:space="preserve">a </w:t>
            </w:r>
            <w:r w:rsidR="009152F1">
              <w:t xml:space="preserve">esošās </w:t>
            </w:r>
            <w:r w:rsidR="0088288C">
              <w:t>situācijas analīze, pētījumi</w:t>
            </w:r>
            <w:r w:rsidR="009152F1">
              <w:t xml:space="preserve"> par ietekmējošiem faktoriem</w:t>
            </w:r>
            <w:r w:rsidR="008A5F99">
              <w:t xml:space="preserve"> un likumsakarībām</w:t>
            </w:r>
            <w:r w:rsidR="002D7460">
              <w:t>. Minēto sek</w:t>
            </w:r>
            <w:r w:rsidR="000C0676">
              <w:t>mē</w:t>
            </w:r>
            <w:r w:rsidR="00DA10BF" w:rsidRPr="00DA10BF">
              <w:t xml:space="preserve"> </w:t>
            </w:r>
            <w:r w:rsidR="00DA10BF">
              <w:t>Latvijas dalība CERI</w:t>
            </w:r>
            <w:r w:rsidR="00456ADA">
              <w:t xml:space="preserve"> programmā</w:t>
            </w:r>
            <w:r w:rsidR="002D7460">
              <w:t xml:space="preserve">, </w:t>
            </w:r>
            <w:r w:rsidR="000C0676">
              <w:t>skatot</w:t>
            </w:r>
            <w:r w:rsidR="002D7460">
              <w:t xml:space="preserve"> Latvijai aktuālas tēmas</w:t>
            </w:r>
            <w:r w:rsidR="000C0676">
              <w:t>.</w:t>
            </w:r>
          </w:p>
          <w:p w14:paraId="42A885A8" w14:textId="77777777" w:rsidR="00764616" w:rsidRPr="00764616" w:rsidRDefault="00764616" w:rsidP="009512B6">
            <w:pPr>
              <w:jc w:val="both"/>
            </w:pPr>
            <w:r>
              <w:t>CERI atbalsta OECD dalībvalstis centienos veicināt zinātnē balstītu izglītības politikas un prakses attīstību. CERI darbs balstās datos un empīriskajā analīzē</w:t>
            </w:r>
            <w:r w:rsidRPr="00764616">
              <w:t>, kas ir pāri vienas valsts kapacitātei, nodrošinot iespēju ar dalībvalstu kopīgiem spēkiem veikt nopietnu pētniecisku darbu izglītības jomā un kalpot par diskusijas platformu starp izglītības pētniekiem un politikas plānotājiem.</w:t>
            </w:r>
          </w:p>
          <w:p w14:paraId="5710E6CF" w14:textId="31F7889C" w:rsidR="009F476B" w:rsidRPr="00A40BB2" w:rsidRDefault="00764616" w:rsidP="009F476B">
            <w:pPr>
              <w:jc w:val="both"/>
            </w:pPr>
            <w:r>
              <w:t xml:space="preserve">CERI galvenie uzdevumi ir konceptuālā un analītiskā ietvara izstrāde dažādu izaicinājumu risināšanai izglītības jomā; jaunu pētniecības instrumentu un pētījumu attīstība, pilotēšana un rezultātu novērtēšana; inovatīvo risinājumu, jaunu rīku un metožu attīstība izglītības politikai un praksei; jaunu </w:t>
            </w:r>
            <w:r w:rsidRPr="00A35A6F">
              <w:t>monitoringu un novērtēšanas</w:t>
            </w:r>
            <w:r w:rsidR="00EB177C" w:rsidRPr="00FE18F0">
              <w:t xml:space="preserve"> rīku izstrāde un aprobācija, tai skaitā</w:t>
            </w:r>
            <w:r w:rsidR="00D03271" w:rsidRPr="00DA10BF">
              <w:t>,</w:t>
            </w:r>
            <w:r w:rsidRPr="00DA10BF">
              <w:t xml:space="preserve"> sistēmas līmenī; izglītības indikatoru attīstība; zināšanu radīšanas, izplatīšanas un izmantošanas veicināšana</w:t>
            </w:r>
            <w:r w:rsidR="003104E6" w:rsidRPr="00DA10BF">
              <w:t>. Tādējādi d</w:t>
            </w:r>
            <w:r w:rsidR="003104E6" w:rsidRPr="00B91644">
              <w:t xml:space="preserve">alība CERI </w:t>
            </w:r>
            <w:r w:rsidR="00EE61B7" w:rsidRPr="00B91644">
              <w:t>programmā</w:t>
            </w:r>
            <w:r w:rsidR="003104E6" w:rsidRPr="00B91644">
              <w:t xml:space="preserve"> nodrošinās Latvijai piekļuvi aktuālākajai informācijai par inovatīvajām pieejām izglītības pētniecībā</w:t>
            </w:r>
            <w:r w:rsidR="004E19AB">
              <w:t xml:space="preserve">, inovāciju mērīšanu un novērtēšanu, kas uzlabojušas izglītības kvalitāti pētījumos ietvertajās valstīs, </w:t>
            </w:r>
            <w:r w:rsidR="003104E6" w:rsidRPr="00B91644">
              <w:t>un kvalitātes uzraudzībā</w:t>
            </w:r>
            <w:r w:rsidR="009D5B03" w:rsidRPr="00A35A6F">
              <w:t>,</w:t>
            </w:r>
            <w:r w:rsidR="00580670" w:rsidRPr="00B91644">
              <w:t xml:space="preserve"> iegūstot plašāku informāciju Latvijas izglītības kvalitātes monitoringa procesu un </w:t>
            </w:r>
            <w:r w:rsidR="009D5B03" w:rsidRPr="00A35A6F">
              <w:t>indikatoru</w:t>
            </w:r>
            <w:r w:rsidR="00580670" w:rsidRPr="00B91644">
              <w:t xml:space="preserve"> izveidei</w:t>
            </w:r>
            <w:r w:rsidR="0074623E" w:rsidRPr="00B91644">
              <w:t xml:space="preserve">, stiprinot </w:t>
            </w:r>
            <w:r w:rsidR="00CA4C21" w:rsidRPr="00B91644">
              <w:t>8.3.6.2.pasākumā iesaistīto</w:t>
            </w:r>
            <w:r w:rsidR="007B4E53" w:rsidRPr="00B91644">
              <w:t xml:space="preserve"> ekspert</w:t>
            </w:r>
            <w:r w:rsidR="00CA4C21" w:rsidRPr="00B91644">
              <w:t>u</w:t>
            </w:r>
            <w:r w:rsidR="007B4E53" w:rsidRPr="00B91644">
              <w:t xml:space="preserve"> analītisko kapacitāti</w:t>
            </w:r>
            <w:r w:rsidR="000B0D83" w:rsidRPr="00B91644">
              <w:t xml:space="preserve">, </w:t>
            </w:r>
            <w:r w:rsidR="00580670" w:rsidRPr="00B91644">
              <w:t xml:space="preserve">tajā skaitā </w:t>
            </w:r>
            <w:r w:rsidR="000B0D83" w:rsidRPr="00B91644">
              <w:t>piedaloties CERI rīkotajās konferencēs un semināros</w:t>
            </w:r>
            <w:r w:rsidR="00C3472F">
              <w:t>,</w:t>
            </w:r>
            <w:r w:rsidR="004E19AB">
              <w:t xml:space="preserve"> </w:t>
            </w:r>
            <w:r w:rsidR="00580670" w:rsidRPr="00B91644">
              <w:t>vienlaikus</w:t>
            </w:r>
            <w:r w:rsidR="000B0D83" w:rsidRPr="00B91644">
              <w:t xml:space="preserve"> pārņemot labās prakses piemērus nacionālo pētījumu metodoloģiju izstrādē</w:t>
            </w:r>
            <w:r w:rsidR="003104E6" w:rsidRPr="00B91644">
              <w:t xml:space="preserve">, kas sekmēs izglītības kvalitātes monitoringa </w:t>
            </w:r>
            <w:r w:rsidR="007B4E53" w:rsidRPr="00B91644">
              <w:t xml:space="preserve">sistēmas </w:t>
            </w:r>
            <w:r w:rsidR="003104E6" w:rsidRPr="00B91644">
              <w:t>attīstību Latvijā</w:t>
            </w:r>
            <w:r w:rsidR="00580670" w:rsidRPr="00B91644">
              <w:t xml:space="preserve">. </w:t>
            </w:r>
            <w:r w:rsidR="00062D18">
              <w:t xml:space="preserve">Papildus dalība CERI </w:t>
            </w:r>
            <w:r w:rsidR="003104E6" w:rsidRPr="00B91644">
              <w:t>nodrošin</w:t>
            </w:r>
            <w:r w:rsidR="00D756F8">
              <w:t>a</w:t>
            </w:r>
            <w:r w:rsidR="003104E6" w:rsidRPr="00B91644">
              <w:t xml:space="preserve"> Latvijai iespēju </w:t>
            </w:r>
            <w:r w:rsidR="003104E6" w:rsidRPr="00B91644">
              <w:lastRenderedPageBreak/>
              <w:t>nākotnē iesaistīties sev aktuālos un svarīgos pētījumos</w:t>
            </w:r>
            <w:r w:rsidR="00DA10BF">
              <w:t>, kas</w:t>
            </w:r>
            <w:r w:rsidR="00FE18F0">
              <w:t xml:space="preserve"> ir papildus saistības</w:t>
            </w:r>
            <w:r w:rsidR="00DA10BF">
              <w:t xml:space="preserve"> un</w:t>
            </w:r>
            <w:r w:rsidR="00FE18F0" w:rsidRPr="009A798C">
              <w:t xml:space="preserve"> </w:t>
            </w:r>
            <w:r w:rsidR="00FE18F0">
              <w:t>ir izvērtējamas atsevišķi</w:t>
            </w:r>
            <w:r w:rsidR="00062D18">
              <w:t>,</w:t>
            </w:r>
            <w:r w:rsidR="00DA10BF">
              <w:t xml:space="preserve"> tādējādi</w:t>
            </w:r>
            <w:r w:rsidR="00FE18F0">
              <w:t xml:space="preserve"> </w:t>
            </w:r>
            <w:r w:rsidR="00FE18F0" w:rsidRPr="009A798C">
              <w:t>projekta ietvaros netiek plānotas</w:t>
            </w:r>
            <w:r w:rsidR="00FE18F0" w:rsidRPr="007B0353">
              <w:t xml:space="preserve"> </w:t>
            </w:r>
            <w:r w:rsidR="00FE18F0">
              <w:t>(</w:t>
            </w:r>
            <w:r w:rsidR="00391D79">
              <w:t xml:space="preserve">pētījumi </w:t>
            </w:r>
            <w:r w:rsidR="00FE18F0" w:rsidRPr="007B0353">
              <w:t>varētu tikt finansēti gan no augstāko izglītības iestāžu, gan pašvaldīb</w:t>
            </w:r>
            <w:r w:rsidR="004E48E4">
              <w:t>u</w:t>
            </w:r>
            <w:r w:rsidR="00FE18F0" w:rsidRPr="007B0353">
              <w:t xml:space="preserve">, gan </w:t>
            </w:r>
            <w:r w:rsidR="004E48E4">
              <w:t xml:space="preserve">arī </w:t>
            </w:r>
            <w:r w:rsidR="00FE18F0" w:rsidRPr="007B0353">
              <w:t>Izglītības un zinātnes ministrijas</w:t>
            </w:r>
            <w:r w:rsidR="004E48E4" w:rsidRPr="007B0353">
              <w:t xml:space="preserve"> puses</w:t>
            </w:r>
            <w:r w:rsidR="00FE18F0">
              <w:t>)</w:t>
            </w:r>
            <w:r w:rsidR="00D378AD">
              <w:rPr>
                <w:sz w:val="23"/>
                <w:szCs w:val="23"/>
              </w:rPr>
              <w:t>.</w:t>
            </w:r>
            <w:r w:rsidR="00D24CD2" w:rsidRPr="007D38CA">
              <w:t xml:space="preserve"> </w:t>
            </w:r>
            <w:r w:rsidR="009F476B">
              <w:t xml:space="preserve">Līdzekļu pārdale no 8.2.4.SAM uz 8.3.6.1.pasākumu ir saturiski atbilstoša un nerada risku ne darbības </w:t>
            </w:r>
            <w:r w:rsidR="009F476B" w:rsidRPr="006E7918">
              <w:t>programmas “Izaugsme un nodarbinātība” snieguma ietvara rādītāju, ne 2023. gadā sasniedzamo finanšu, iznākuma un rezultātu rādītāju sasniegšanai.</w:t>
            </w:r>
          </w:p>
          <w:p w14:paraId="49521254" w14:textId="2EBE2BF1" w:rsidR="00CB495F" w:rsidRDefault="00616CE1" w:rsidP="009512B6">
            <w:pPr>
              <w:jc w:val="both"/>
              <w:rPr>
                <w:rFonts w:eastAsia="Times New Roman"/>
              </w:rPr>
            </w:pPr>
            <w:r w:rsidRPr="006E7918">
              <w:rPr>
                <w:rFonts w:eastAsia="Times New Roman"/>
              </w:rPr>
              <w:t xml:space="preserve">Ievērojot minēto, noteikumu projekts </w:t>
            </w:r>
            <w:r w:rsidRPr="009512B6">
              <w:rPr>
                <w:rFonts w:eastAsia="Times New Roman"/>
              </w:rPr>
              <w:t xml:space="preserve">paredz </w:t>
            </w:r>
            <w:r w:rsidR="00DB3555" w:rsidRPr="009512B6">
              <w:rPr>
                <w:rFonts w:eastAsia="Times New Roman"/>
              </w:rPr>
              <w:t xml:space="preserve">palielināt </w:t>
            </w:r>
            <w:r w:rsidR="00DB3555" w:rsidRPr="009512B6">
              <w:rPr>
                <w:bCs/>
                <w:lang w:eastAsia="en-US"/>
              </w:rPr>
              <w:t xml:space="preserve">8.3.6.1. pasākuma </w:t>
            </w:r>
            <w:r w:rsidRPr="009512B6">
              <w:rPr>
                <w:rFonts w:eastAsia="Times New Roman"/>
              </w:rPr>
              <w:t xml:space="preserve">pieejamo </w:t>
            </w:r>
            <w:r w:rsidR="0046368E" w:rsidRPr="002446AA">
              <w:t>Eiropas Sociālā fonda</w:t>
            </w:r>
            <w:r w:rsidR="0046368E" w:rsidRPr="002446AA">
              <w:rPr>
                <w:rFonts w:eastAsia="Times New Roman"/>
              </w:rPr>
              <w:t xml:space="preserve"> finansējumu par 52 265 </w:t>
            </w:r>
            <w:proofErr w:type="spellStart"/>
            <w:r w:rsidR="0046368E" w:rsidRPr="002446AA">
              <w:rPr>
                <w:rFonts w:eastAsia="Times New Roman"/>
                <w:i/>
              </w:rPr>
              <w:t>euro</w:t>
            </w:r>
            <w:proofErr w:type="spellEnd"/>
            <w:r w:rsidR="0046368E" w:rsidRPr="002446AA">
              <w:rPr>
                <w:rFonts w:eastAsia="Times New Roman"/>
              </w:rPr>
              <w:t>.</w:t>
            </w:r>
            <w:r w:rsidR="0046368E" w:rsidRPr="004E49F7">
              <w:t xml:space="preserve"> </w:t>
            </w:r>
          </w:p>
          <w:p w14:paraId="45A573EE" w14:textId="2C9DCB44" w:rsidR="00EC2DD1" w:rsidRPr="00983624" w:rsidRDefault="00CB495F" w:rsidP="006960CA">
            <w:pPr>
              <w:jc w:val="both"/>
              <w:rPr>
                <w:rFonts w:eastAsiaTheme="minorHAnsi"/>
                <w:lang w:eastAsia="en-US"/>
              </w:rPr>
            </w:pPr>
            <w:r w:rsidRPr="009512B6">
              <w:rPr>
                <w:rFonts w:eastAsia="Times New Roman"/>
              </w:rPr>
              <w:t xml:space="preserve">Vienlaikus tiek precizēts noteikumu 16.punkts, </w:t>
            </w:r>
            <w:r w:rsidR="00EC2DD1">
              <w:rPr>
                <w:rFonts w:eastAsia="Times New Roman"/>
              </w:rPr>
              <w:t>paplašinot</w:t>
            </w:r>
            <w:r w:rsidRPr="009512B6">
              <w:rPr>
                <w:rFonts w:eastAsia="Times New Roman"/>
              </w:rPr>
              <w:t xml:space="preserve"> </w:t>
            </w:r>
            <w:r w:rsidR="00EC2DD1" w:rsidRPr="009512B6">
              <w:rPr>
                <w:rFonts w:eastAsia="Times New Roman"/>
              </w:rPr>
              <w:t xml:space="preserve">CSP </w:t>
            </w:r>
            <w:r w:rsidRPr="009512B6">
              <w:rPr>
                <w:rFonts w:eastAsia="Times New Roman"/>
              </w:rPr>
              <w:t>uz</w:t>
            </w:r>
            <w:r w:rsidR="007B1EF9">
              <w:rPr>
                <w:rFonts w:eastAsia="Times New Roman"/>
              </w:rPr>
              <w:t xml:space="preserve">devumus kā sadarbības partnerim, kas </w:t>
            </w:r>
            <w:r w:rsidR="007B1EF9" w:rsidRPr="00983624">
              <w:rPr>
                <w:lang w:eastAsia="en-US"/>
              </w:rPr>
              <w:t>kopumā pozitīvi ietekmēs projekta gaitu.</w:t>
            </w:r>
            <w:r w:rsidR="007B1EF9">
              <w:rPr>
                <w:b/>
                <w:lang w:eastAsia="en-US"/>
              </w:rPr>
              <w:t xml:space="preserve"> </w:t>
            </w:r>
            <w:r w:rsidR="00EC2DD1" w:rsidRPr="006960CA">
              <w:t>CSP projekta ietvaros nodrošinā</w:t>
            </w:r>
            <w:r w:rsidR="00EC2DD1">
              <w:t>ja</w:t>
            </w:r>
            <w:r w:rsidR="00EC2DD1" w:rsidRPr="006960CA">
              <w:t xml:space="preserve"> </w:t>
            </w:r>
            <w:r w:rsidR="004E48E4">
              <w:t>OECD</w:t>
            </w:r>
            <w:r w:rsidR="00610BA5">
              <w:t xml:space="preserve"> Zinātņu doktoru karjeras </w:t>
            </w:r>
            <w:proofErr w:type="spellStart"/>
            <w:r w:rsidR="00610BA5">
              <w:t>apsekojum</w:t>
            </w:r>
            <w:r w:rsidR="004E48E4">
              <w:t>a</w:t>
            </w:r>
            <w:proofErr w:type="spellEnd"/>
            <w:r w:rsidR="00610BA5">
              <w:t xml:space="preserve"> (turpmāk - </w:t>
            </w:r>
            <w:r w:rsidR="00EC2DD1" w:rsidRPr="006960CA">
              <w:t>SCDH</w:t>
            </w:r>
            <w:r w:rsidR="00610BA5">
              <w:t>)</w:t>
            </w:r>
            <w:r w:rsidR="00EC2DD1" w:rsidRPr="006960CA">
              <w:t xml:space="preserve"> 2016 īstenošanu. Sadarbības partnera izvēle </w:t>
            </w:r>
            <w:r w:rsidR="00EC2DD1">
              <w:t>pamatota</w:t>
            </w:r>
            <w:r w:rsidR="00EC2DD1" w:rsidRPr="006960CA">
              <w:t xml:space="preserve"> ar to, ka </w:t>
            </w:r>
            <w:r w:rsidR="00EC2DD1">
              <w:t>tā</w:t>
            </w:r>
            <w:r w:rsidR="00EC2DD1" w:rsidRPr="006960CA">
              <w:t xml:space="preserve"> ir nacionālā līmeņa </w:t>
            </w:r>
            <w:r w:rsidR="00EC2DD1" w:rsidRPr="009512B6">
              <w:t xml:space="preserve">statistikas datu nodrošināšanas iestāde, kas spēj nodrošināt līdzīga rakstura </w:t>
            </w:r>
            <w:proofErr w:type="spellStart"/>
            <w:r w:rsidR="00EC2DD1" w:rsidRPr="009512B6">
              <w:t>apsekojumus</w:t>
            </w:r>
            <w:proofErr w:type="spellEnd"/>
            <w:r w:rsidR="00EC2DD1">
              <w:t>, kas ir tikuši veikti arī iepriekš</w:t>
            </w:r>
            <w:r w:rsidR="00F73AD7">
              <w:t>.</w:t>
            </w:r>
            <w:r w:rsidR="00EC2DD1" w:rsidRPr="006960CA">
              <w:t xml:space="preserve"> Sadarbība ar CSP </w:t>
            </w:r>
            <w:r w:rsidR="00EC2DD1">
              <w:t xml:space="preserve">tiek </w:t>
            </w:r>
            <w:r w:rsidR="00EC2DD1" w:rsidRPr="006960CA">
              <w:t>turpinā</w:t>
            </w:r>
            <w:r w:rsidR="00EC2DD1">
              <w:t>ta</w:t>
            </w:r>
            <w:r w:rsidR="00EC2DD1" w:rsidRPr="006960CA">
              <w:t xml:space="preserve"> līdz 2023.gadam, </w:t>
            </w:r>
            <w:r w:rsidR="00EC2DD1" w:rsidRPr="00423B48">
              <w:t>ņemot v</w:t>
            </w:r>
            <w:r w:rsidR="00EC2DD1" w:rsidRPr="009512B6">
              <w:t xml:space="preserve">ērā, ka </w:t>
            </w:r>
            <w:r w:rsidR="0070334C" w:rsidRPr="00983624">
              <w:t xml:space="preserve">CSP nodrošina atbalstu gan informācijas sagatavošanā, gan pārbaudē OECD INES ietvaros. </w:t>
            </w:r>
            <w:r w:rsidR="00EC2DD1" w:rsidRPr="00983624">
              <w:t>Tādējādi nav nepieciešams veikt atsevišķu sadarbības partnera atlasi, ņemot vērā, ka CSP ir nacionālā līmeņa statistikas iestāde</w:t>
            </w:r>
            <w:r w:rsidR="00FA2247" w:rsidRPr="00983624">
              <w:t xml:space="preserve"> un faktiski ir datu turētājs vairākiem datiem, ko Latvija sagatavo OECD INES ietvaros</w:t>
            </w:r>
            <w:r w:rsidR="00EC2DD1" w:rsidRPr="00983624">
              <w:t xml:space="preserve">. </w:t>
            </w:r>
          </w:p>
          <w:p w14:paraId="208E4524" w14:textId="47AEE2DB" w:rsidR="006B4F32" w:rsidRPr="006C03A6" w:rsidRDefault="00EC2DD1" w:rsidP="004E48E4">
            <w:pPr>
              <w:jc w:val="both"/>
            </w:pPr>
            <w:r w:rsidRPr="00983624">
              <w:t xml:space="preserve">Papildus līdz 2023.gadam plānots </w:t>
            </w:r>
            <w:r w:rsidR="00610BA5" w:rsidRPr="00983624">
              <w:t>piesaist</w:t>
            </w:r>
            <w:r w:rsidR="00610BA5">
              <w:t xml:space="preserve">īt CSP darbinieku, nodrošinot atalgojumu, kas nodarbināts 50 procentu apmērā no </w:t>
            </w:r>
            <w:r w:rsidR="00307791">
              <w:t>normālā</w:t>
            </w:r>
            <w:r w:rsidR="00610BA5">
              <w:t xml:space="preserve"> darba laika </w:t>
            </w:r>
            <w:r w:rsidRPr="009512B6">
              <w:t>OECD INES programmas īstenošanai. Izvērtējot līdzšinējo sadarbību, konstatēts, ka vidēji gadā CSP nodrošina statistikas datu sagatavošanu vismaz 6 datu pieprasījumiem no CSP administr</w:t>
            </w:r>
            <w:r>
              <w:t>ētajām aptaujām un statistiskas apkopojumiem</w:t>
            </w:r>
            <w:r w:rsidRPr="006960CA">
              <w:t xml:space="preserve">. Sarunas par </w:t>
            </w:r>
            <w:r w:rsidRPr="000D3669">
              <w:t>papildus</w:t>
            </w:r>
            <w:r w:rsidR="00610BA5" w:rsidRPr="000D3669">
              <w:t xml:space="preserve"> 0,5</w:t>
            </w:r>
            <w:r w:rsidRPr="000D3669">
              <w:t xml:space="preserve"> slodzes</w:t>
            </w:r>
            <w:r w:rsidRPr="006960CA">
              <w:t xml:space="preserve"> nepieciešamību projektā no CSP puses uzsāktas jau 2017.gadā. </w:t>
            </w:r>
            <w:r w:rsidRPr="000D3669">
              <w:t>Papildus slodzes</w:t>
            </w:r>
            <w:r w:rsidRPr="009512B6">
              <w:t xml:space="preserve"> piesaiste projektā notiks, ņemot vērā faktiski padarīto darbu un ievērojot CSP vispārējos atalgojuma principus.</w:t>
            </w:r>
            <w:r>
              <w:t xml:space="preserve"> </w:t>
            </w:r>
          </w:p>
        </w:tc>
      </w:tr>
      <w:tr w:rsidR="00ED6931" w14:paraId="516B9E37" w14:textId="77777777" w:rsidTr="00DB3879">
        <w:tc>
          <w:tcPr>
            <w:tcW w:w="814" w:type="dxa"/>
            <w:tcBorders>
              <w:top w:val="single" w:sz="4" w:space="0" w:color="auto"/>
              <w:left w:val="single" w:sz="4" w:space="0" w:color="auto"/>
              <w:bottom w:val="single" w:sz="4" w:space="0" w:color="auto"/>
              <w:right w:val="single" w:sz="4" w:space="0" w:color="auto"/>
            </w:tcBorders>
            <w:shd w:val="clear" w:color="auto" w:fill="auto"/>
          </w:tcPr>
          <w:p w14:paraId="33D2FF4B" w14:textId="1D1044F4" w:rsidR="00055596" w:rsidRPr="001351FC" w:rsidRDefault="00B650B7" w:rsidP="001351FC">
            <w:pPr>
              <w:jc w:val="center"/>
              <w:rPr>
                <w:lang w:eastAsia="en-US"/>
              </w:rPr>
            </w:pPr>
            <w:r w:rsidRPr="001351FC">
              <w:lastRenderedPageBreak/>
              <w:t>3.</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4098B43E" w14:textId="77777777" w:rsidR="00055596" w:rsidRPr="001351FC" w:rsidRDefault="00B650B7" w:rsidP="001351FC">
            <w:pPr>
              <w:rPr>
                <w:lang w:eastAsia="en-US"/>
              </w:rPr>
            </w:pPr>
            <w:r w:rsidRPr="001351FC">
              <w:t>Projekta izstrādē iesaistītās institūcijas</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3D4779C0" w14:textId="77777777" w:rsidR="00055596" w:rsidRPr="001351FC" w:rsidRDefault="00B650B7" w:rsidP="001351FC">
            <w:pPr>
              <w:jc w:val="both"/>
              <w:rPr>
                <w:bCs/>
              </w:rPr>
            </w:pPr>
            <w:r w:rsidRPr="001351FC">
              <w:rPr>
                <w:bCs/>
              </w:rPr>
              <w:t>Noteikumu projekts šo jomu neskar.</w:t>
            </w:r>
          </w:p>
          <w:p w14:paraId="7A16A2AC" w14:textId="77777777" w:rsidR="00055596" w:rsidRPr="001351FC" w:rsidRDefault="00055596" w:rsidP="001351FC">
            <w:pPr>
              <w:ind w:left="66"/>
              <w:jc w:val="both"/>
              <w:rPr>
                <w:bCs/>
                <w:strike/>
              </w:rPr>
            </w:pPr>
          </w:p>
        </w:tc>
      </w:tr>
      <w:tr w:rsidR="00ED6931" w14:paraId="67B406C4" w14:textId="77777777" w:rsidTr="00DB3879">
        <w:tc>
          <w:tcPr>
            <w:tcW w:w="814" w:type="dxa"/>
            <w:tcBorders>
              <w:top w:val="single" w:sz="4" w:space="0" w:color="auto"/>
              <w:left w:val="single" w:sz="4" w:space="0" w:color="auto"/>
              <w:bottom w:val="single" w:sz="4" w:space="0" w:color="auto"/>
              <w:right w:val="single" w:sz="4" w:space="0" w:color="auto"/>
            </w:tcBorders>
            <w:shd w:val="clear" w:color="auto" w:fill="auto"/>
          </w:tcPr>
          <w:p w14:paraId="28A17607" w14:textId="77777777" w:rsidR="00055596" w:rsidRPr="001351FC" w:rsidRDefault="00B650B7" w:rsidP="001351FC">
            <w:pPr>
              <w:jc w:val="center"/>
              <w:rPr>
                <w:lang w:eastAsia="en-US"/>
              </w:rPr>
            </w:pPr>
            <w:r w:rsidRPr="001351FC">
              <w:t>4.</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5539C069" w14:textId="77777777" w:rsidR="00055596" w:rsidRPr="001351FC" w:rsidRDefault="00B650B7" w:rsidP="001351FC">
            <w:pPr>
              <w:rPr>
                <w:lang w:eastAsia="en-US"/>
              </w:rPr>
            </w:pPr>
            <w:r w:rsidRPr="001351FC">
              <w:t>Cita informācija</w:t>
            </w:r>
          </w:p>
        </w:tc>
        <w:tc>
          <w:tcPr>
            <w:tcW w:w="5987" w:type="dxa"/>
            <w:tcBorders>
              <w:top w:val="single" w:sz="4" w:space="0" w:color="auto"/>
              <w:left w:val="single" w:sz="4" w:space="0" w:color="auto"/>
              <w:bottom w:val="single" w:sz="4" w:space="0" w:color="auto"/>
              <w:right w:val="single" w:sz="4" w:space="0" w:color="auto"/>
            </w:tcBorders>
            <w:shd w:val="clear" w:color="auto" w:fill="FFFFFF"/>
          </w:tcPr>
          <w:p w14:paraId="00B62B9E" w14:textId="1314BA4D" w:rsidR="00055596" w:rsidRPr="001351FC" w:rsidRDefault="00616CE1" w:rsidP="002B0E96">
            <w:pPr>
              <w:pStyle w:val="Default"/>
              <w:jc w:val="both"/>
              <w:rPr>
                <w:rFonts w:eastAsia="Times New Roman"/>
                <w:lang w:bidi="lo-LA"/>
              </w:rPr>
            </w:pPr>
            <w:r>
              <w:rPr>
                <w:bCs/>
              </w:rPr>
              <w:t>Nav.</w:t>
            </w:r>
            <w:r w:rsidR="00B650B7" w:rsidRPr="00273E66">
              <w:rPr>
                <w:bCs/>
              </w:rPr>
              <w:t xml:space="preserve"> </w:t>
            </w:r>
          </w:p>
        </w:tc>
      </w:tr>
    </w:tbl>
    <w:p w14:paraId="00747A27" w14:textId="77777777" w:rsidR="000952B3" w:rsidRPr="001351FC" w:rsidRDefault="000952B3" w:rsidP="001351FC">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860"/>
        <w:gridCol w:w="5924"/>
      </w:tblGrid>
      <w:tr w:rsidR="00ED6931" w14:paraId="135CD9D9" w14:textId="77777777" w:rsidTr="00DB3879">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F7EED28" w14:textId="77777777" w:rsidR="000952B3" w:rsidRPr="001351FC" w:rsidRDefault="00B650B7" w:rsidP="001351FC">
            <w:pPr>
              <w:pStyle w:val="ListParagraph"/>
              <w:tabs>
                <w:tab w:val="left" w:pos="2268"/>
                <w:tab w:val="left" w:pos="2410"/>
              </w:tabs>
              <w:ind w:left="1080"/>
              <w:jc w:val="center"/>
              <w:rPr>
                <w:b/>
                <w:sz w:val="24"/>
                <w:szCs w:val="24"/>
                <w:lang w:eastAsia="en-US"/>
              </w:rPr>
            </w:pPr>
            <w:r w:rsidRPr="001351FC">
              <w:rPr>
                <w:b/>
                <w:bCs/>
                <w:sz w:val="24"/>
                <w:szCs w:val="24"/>
              </w:rPr>
              <w:t>II. Tiesību akta projekta ietekme uz sabiedrību, tautsaimniecības attīstību un administratīvo slogu</w:t>
            </w:r>
          </w:p>
        </w:tc>
      </w:tr>
      <w:tr w:rsidR="00ED6931" w14:paraId="30B0D353" w14:textId="77777777" w:rsidTr="0055278E">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6C1E0F4A" w14:textId="77777777" w:rsidR="000952B3" w:rsidRPr="001351FC" w:rsidRDefault="00B650B7" w:rsidP="001351FC">
            <w:pPr>
              <w:jc w:val="center"/>
              <w:rPr>
                <w:lang w:eastAsia="en-US"/>
              </w:rPr>
            </w:pPr>
            <w:r w:rsidRPr="001351FC">
              <w:t>1.</w:t>
            </w: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14:paraId="583D8DF1" w14:textId="77777777" w:rsidR="000952B3" w:rsidRPr="001351FC" w:rsidRDefault="00B650B7" w:rsidP="001351FC">
            <w:pPr>
              <w:rPr>
                <w:lang w:eastAsia="en-US"/>
              </w:rPr>
            </w:pPr>
            <w:r w:rsidRPr="001351FC">
              <w:t xml:space="preserve">Sabiedrības </w:t>
            </w:r>
            <w:proofErr w:type="spellStart"/>
            <w:r w:rsidRPr="001351FC">
              <w:t>mērķgrupas</w:t>
            </w:r>
            <w:proofErr w:type="spellEnd"/>
            <w:r w:rsidRPr="001351FC">
              <w:t>, kuras tiesiskais regulējums ietekmē vai varētu ietekmēt</w:t>
            </w:r>
          </w:p>
        </w:tc>
        <w:tc>
          <w:tcPr>
            <w:tcW w:w="5924" w:type="dxa"/>
            <w:tcBorders>
              <w:top w:val="single" w:sz="4" w:space="0" w:color="auto"/>
              <w:left w:val="single" w:sz="4" w:space="0" w:color="auto"/>
              <w:bottom w:val="single" w:sz="4" w:space="0" w:color="auto"/>
              <w:right w:val="single" w:sz="4" w:space="0" w:color="auto"/>
            </w:tcBorders>
            <w:shd w:val="clear" w:color="auto" w:fill="auto"/>
            <w:vAlign w:val="center"/>
          </w:tcPr>
          <w:p w14:paraId="097C7189" w14:textId="038E4746" w:rsidR="0073096B" w:rsidRPr="000E20A5" w:rsidRDefault="00B650B7" w:rsidP="0073096B">
            <w:pPr>
              <w:jc w:val="both"/>
            </w:pPr>
            <w:r w:rsidRPr="00DD5E7A">
              <w:t xml:space="preserve">Tiesiskais regulējums ietekmē </w:t>
            </w:r>
            <w:r w:rsidR="00521075" w:rsidRPr="00DD5E7A">
              <w:t xml:space="preserve">atbildīgo iestādi </w:t>
            </w:r>
            <w:r w:rsidR="000F2179" w:rsidRPr="00DD5E7A">
              <w:t>–</w:t>
            </w:r>
            <w:r w:rsidR="00521075" w:rsidRPr="00DD5E7A">
              <w:t xml:space="preserve"> </w:t>
            </w:r>
            <w:r w:rsidRPr="00DD5E7A">
              <w:t xml:space="preserve">IZM, </w:t>
            </w:r>
            <w:r w:rsidR="00521075" w:rsidRPr="00DD5E7A">
              <w:t xml:space="preserve">sadarbības iestādi </w:t>
            </w:r>
            <w:r w:rsidR="000F2179" w:rsidRPr="00DD5E7A">
              <w:t>–</w:t>
            </w:r>
            <w:r w:rsidR="00521075" w:rsidRPr="00DD5E7A">
              <w:t xml:space="preserve"> </w:t>
            </w:r>
            <w:r w:rsidRPr="00DD5E7A">
              <w:t xml:space="preserve">Centrālo finanšu un līgumu aģentūru (turpmāk – CFLA), </w:t>
            </w:r>
            <w:r w:rsidR="00521075" w:rsidRPr="00DD5E7A">
              <w:t>8.</w:t>
            </w:r>
            <w:r w:rsidR="006109C0" w:rsidRPr="00DD5E7A">
              <w:t>2</w:t>
            </w:r>
            <w:r w:rsidR="00521075" w:rsidRPr="00DD5E7A">
              <w:t>.</w:t>
            </w:r>
            <w:r w:rsidR="006109C0" w:rsidRPr="00DD5E7A">
              <w:t>4</w:t>
            </w:r>
            <w:r w:rsidR="00521075" w:rsidRPr="00DD5E7A">
              <w:t xml:space="preserve">.SAM finansējuma saņēmēju </w:t>
            </w:r>
            <w:r w:rsidR="000F2179" w:rsidRPr="00DD5E7A">
              <w:t>–</w:t>
            </w:r>
            <w:r w:rsidR="00DD5E7A" w:rsidRPr="00DD5E7A">
              <w:t xml:space="preserve"> </w:t>
            </w:r>
            <w:r w:rsidR="006109C0" w:rsidRPr="00DD5E7A">
              <w:t>AI</w:t>
            </w:r>
            <w:r w:rsidR="00521075" w:rsidRPr="00DD5E7A">
              <w:t>C</w:t>
            </w:r>
            <w:r w:rsidR="0073096B">
              <w:t xml:space="preserve">, </w:t>
            </w:r>
            <w:r w:rsidR="0073096B" w:rsidRPr="00A62E2E">
              <w:t>CSP</w:t>
            </w:r>
            <w:r w:rsidR="00CB495F">
              <w:t xml:space="preserve"> un 8.3.6.1.pasākuma finansējuma s</w:t>
            </w:r>
            <w:r w:rsidR="00F16E7B">
              <w:t>aņ</w:t>
            </w:r>
            <w:r w:rsidR="00CB495F">
              <w:t>ēmēju - IZM</w:t>
            </w:r>
            <w:r w:rsidRPr="00E74F9D">
              <w:t>.</w:t>
            </w:r>
            <w:r w:rsidR="0073096B" w:rsidRPr="00D71355">
              <w:rPr>
                <w:b/>
              </w:rPr>
              <w:t xml:space="preserve"> </w:t>
            </w:r>
            <w:r w:rsidR="0073096B" w:rsidRPr="000E20A5">
              <w:t xml:space="preserve">Ir notikušas konsultācijas ar CSP un noslēgts nodomu protokols par turpmāko sadarbību OECD SCDH un INES aktivitāšu īstenošanā. </w:t>
            </w:r>
          </w:p>
          <w:p w14:paraId="4005A41C" w14:textId="77777777" w:rsidR="0073096B" w:rsidRPr="000E20A5" w:rsidRDefault="0073096B" w:rsidP="0073096B">
            <w:pPr>
              <w:jc w:val="both"/>
            </w:pPr>
          </w:p>
          <w:p w14:paraId="4C7B491E" w14:textId="412114ED" w:rsidR="000952B3" w:rsidRPr="00DD5E7A" w:rsidRDefault="0073096B" w:rsidP="00130DDE">
            <w:pPr>
              <w:jc w:val="both"/>
            </w:pPr>
            <w:r w:rsidRPr="000E20A5">
              <w:t>Vienlaikus būs ietekme uz īstenošanā esošo projektu, ņemot vērā, ka grozījumi MK noteikumos sagatavoti pēc projekta iesnieguma atlases izsludināšanas, tādējādi radot nepieciešamību veikt grozījumus projekta iesnieguma sadaļās.</w:t>
            </w:r>
          </w:p>
        </w:tc>
      </w:tr>
      <w:tr w:rsidR="00ED6931" w14:paraId="3EBB70B5" w14:textId="77777777" w:rsidTr="0055278E">
        <w:tc>
          <w:tcPr>
            <w:tcW w:w="396" w:type="dxa"/>
            <w:tcBorders>
              <w:top w:val="single" w:sz="4" w:space="0" w:color="auto"/>
              <w:left w:val="single" w:sz="4" w:space="0" w:color="auto"/>
              <w:bottom w:val="single" w:sz="4" w:space="0" w:color="auto"/>
              <w:right w:val="single" w:sz="4" w:space="0" w:color="auto"/>
            </w:tcBorders>
            <w:shd w:val="clear" w:color="auto" w:fill="auto"/>
          </w:tcPr>
          <w:p w14:paraId="0AA7DF50" w14:textId="77777777" w:rsidR="000952B3" w:rsidRPr="001351FC" w:rsidRDefault="00B650B7" w:rsidP="001351FC">
            <w:pPr>
              <w:jc w:val="center"/>
            </w:pPr>
            <w:r w:rsidRPr="001351FC">
              <w:t>2.</w:t>
            </w:r>
          </w:p>
        </w:tc>
        <w:tc>
          <w:tcPr>
            <w:tcW w:w="2860" w:type="dxa"/>
            <w:tcBorders>
              <w:top w:val="single" w:sz="4" w:space="0" w:color="auto"/>
              <w:left w:val="single" w:sz="4" w:space="0" w:color="auto"/>
              <w:bottom w:val="single" w:sz="4" w:space="0" w:color="auto"/>
              <w:right w:val="single" w:sz="4" w:space="0" w:color="auto"/>
            </w:tcBorders>
            <w:shd w:val="clear" w:color="auto" w:fill="auto"/>
          </w:tcPr>
          <w:p w14:paraId="652EB077" w14:textId="77777777" w:rsidR="000952B3" w:rsidRPr="001351FC" w:rsidRDefault="00B650B7" w:rsidP="001351FC">
            <w:pPr>
              <w:rPr>
                <w:color w:val="414142"/>
              </w:rPr>
            </w:pPr>
            <w:r w:rsidRPr="001351FC">
              <w:t>Tiesiskā regulējuma ietekme uz tautsaimniecību un administratīvo slogu</w:t>
            </w:r>
          </w:p>
        </w:tc>
        <w:tc>
          <w:tcPr>
            <w:tcW w:w="5924" w:type="dxa"/>
            <w:tcBorders>
              <w:top w:val="single" w:sz="4" w:space="0" w:color="auto"/>
              <w:left w:val="single" w:sz="4" w:space="0" w:color="auto"/>
              <w:bottom w:val="single" w:sz="4" w:space="0" w:color="auto"/>
              <w:right w:val="single" w:sz="4" w:space="0" w:color="auto"/>
            </w:tcBorders>
            <w:shd w:val="clear" w:color="auto" w:fill="auto"/>
            <w:vAlign w:val="center"/>
          </w:tcPr>
          <w:p w14:paraId="4B34AC1B" w14:textId="77777777" w:rsidR="000952B3" w:rsidRPr="001351FC" w:rsidRDefault="00B650B7" w:rsidP="001351FC">
            <w:pPr>
              <w:pStyle w:val="ListParagraph"/>
              <w:tabs>
                <w:tab w:val="left" w:pos="317"/>
              </w:tabs>
              <w:ind w:left="-79"/>
              <w:jc w:val="both"/>
              <w:rPr>
                <w:bCs/>
                <w:sz w:val="24"/>
                <w:szCs w:val="24"/>
                <w:lang w:eastAsia="en-US"/>
              </w:rPr>
            </w:pPr>
            <w:r w:rsidRPr="001351FC">
              <w:rPr>
                <w:sz w:val="24"/>
                <w:szCs w:val="24"/>
              </w:rPr>
              <w:t>Sabiedrības grupām un institūcijām projekta noteikumu tiesiskais regulējums nemaina tiesības un pienākumus, kā arī veicamās darbības.</w:t>
            </w:r>
          </w:p>
        </w:tc>
      </w:tr>
      <w:tr w:rsidR="00ED6931" w14:paraId="07A1EA65" w14:textId="77777777" w:rsidTr="0055278E">
        <w:tc>
          <w:tcPr>
            <w:tcW w:w="396" w:type="dxa"/>
            <w:tcBorders>
              <w:top w:val="single" w:sz="4" w:space="0" w:color="auto"/>
              <w:left w:val="single" w:sz="4" w:space="0" w:color="auto"/>
              <w:bottom w:val="single" w:sz="4" w:space="0" w:color="auto"/>
              <w:right w:val="single" w:sz="4" w:space="0" w:color="auto"/>
            </w:tcBorders>
            <w:shd w:val="clear" w:color="auto" w:fill="auto"/>
          </w:tcPr>
          <w:p w14:paraId="37DFB4FC" w14:textId="77777777" w:rsidR="000952B3" w:rsidRPr="001351FC" w:rsidRDefault="00B650B7" w:rsidP="001351FC">
            <w:pPr>
              <w:jc w:val="center"/>
            </w:pPr>
            <w:r w:rsidRPr="001351FC">
              <w:t>3.</w:t>
            </w:r>
          </w:p>
        </w:tc>
        <w:tc>
          <w:tcPr>
            <w:tcW w:w="2860" w:type="dxa"/>
            <w:tcBorders>
              <w:top w:val="single" w:sz="4" w:space="0" w:color="auto"/>
              <w:left w:val="single" w:sz="4" w:space="0" w:color="auto"/>
              <w:bottom w:val="single" w:sz="4" w:space="0" w:color="auto"/>
              <w:right w:val="single" w:sz="4" w:space="0" w:color="auto"/>
            </w:tcBorders>
            <w:shd w:val="clear" w:color="auto" w:fill="auto"/>
          </w:tcPr>
          <w:p w14:paraId="1C2EEA3C" w14:textId="77777777" w:rsidR="000952B3" w:rsidRPr="001351FC" w:rsidRDefault="00B650B7" w:rsidP="001351FC">
            <w:pPr>
              <w:rPr>
                <w:color w:val="414142"/>
              </w:rPr>
            </w:pPr>
            <w:r w:rsidRPr="001351FC">
              <w:t>Administratīvo izmaksu monetārs novērtējums</w:t>
            </w:r>
          </w:p>
        </w:tc>
        <w:tc>
          <w:tcPr>
            <w:tcW w:w="5924" w:type="dxa"/>
            <w:tcBorders>
              <w:top w:val="single" w:sz="4" w:space="0" w:color="auto"/>
              <w:left w:val="single" w:sz="4" w:space="0" w:color="auto"/>
              <w:bottom w:val="single" w:sz="4" w:space="0" w:color="auto"/>
              <w:right w:val="single" w:sz="4" w:space="0" w:color="auto"/>
            </w:tcBorders>
            <w:shd w:val="clear" w:color="auto" w:fill="auto"/>
            <w:vAlign w:val="center"/>
          </w:tcPr>
          <w:p w14:paraId="4EDCCC99" w14:textId="1B41B4FE" w:rsidR="000952B3" w:rsidRPr="000E20A5" w:rsidRDefault="003439F2" w:rsidP="00AE68DA">
            <w:pPr>
              <w:pStyle w:val="ListParagraph"/>
              <w:tabs>
                <w:tab w:val="left" w:pos="317"/>
              </w:tabs>
              <w:ind w:left="-79"/>
              <w:jc w:val="both"/>
              <w:rPr>
                <w:bCs/>
                <w:sz w:val="24"/>
                <w:szCs w:val="24"/>
                <w:lang w:eastAsia="en-US"/>
              </w:rPr>
            </w:pPr>
            <w:r w:rsidRPr="000E20A5">
              <w:rPr>
                <w:sz w:val="24"/>
                <w:szCs w:val="24"/>
              </w:rPr>
              <w:t>Ņemot vērā, ka projektā CSP ir plānota īstenošanas personāla iesaiste, tad no š</w:t>
            </w:r>
            <w:r w:rsidR="006A00FD">
              <w:rPr>
                <w:sz w:val="24"/>
                <w:szCs w:val="24"/>
              </w:rPr>
              <w:t>ī</w:t>
            </w:r>
            <w:r w:rsidRPr="000E20A5">
              <w:rPr>
                <w:sz w:val="24"/>
                <w:szCs w:val="24"/>
              </w:rPr>
              <w:t>s summas, kas plānota 0,5 slodzes apmaksai tiek aprēķinātas projekta netiešās izmaksas 15% apmērā, kas nosedz visas ar administratīvo</w:t>
            </w:r>
            <w:r w:rsidR="00307791" w:rsidRPr="000E20A5">
              <w:rPr>
                <w:sz w:val="24"/>
                <w:szCs w:val="24"/>
              </w:rPr>
              <w:t xml:space="preserve"> apkalpošanu saistītas izmaksas</w:t>
            </w:r>
            <w:r w:rsidRPr="000E20A5">
              <w:rPr>
                <w:sz w:val="24"/>
                <w:szCs w:val="24"/>
              </w:rPr>
              <w:t>, kas kopsummā līdz 2023.gadam ir plānotas 10</w:t>
            </w:r>
            <w:r w:rsidR="00AE68DA" w:rsidRPr="000E20A5">
              <w:rPr>
                <w:sz w:val="24"/>
                <w:szCs w:val="24"/>
              </w:rPr>
              <w:t> </w:t>
            </w:r>
            <w:r w:rsidRPr="000E20A5">
              <w:rPr>
                <w:sz w:val="24"/>
                <w:szCs w:val="24"/>
              </w:rPr>
              <w:t>145</w:t>
            </w:r>
            <w:r w:rsidR="00AE68DA" w:rsidRPr="000E20A5">
              <w:rPr>
                <w:sz w:val="24"/>
                <w:szCs w:val="24"/>
              </w:rPr>
              <w:t xml:space="preserve"> </w:t>
            </w:r>
            <w:proofErr w:type="spellStart"/>
            <w:r w:rsidR="00AE68DA" w:rsidRPr="000E20A5">
              <w:rPr>
                <w:i/>
                <w:sz w:val="24"/>
                <w:szCs w:val="24"/>
              </w:rPr>
              <w:t>euro</w:t>
            </w:r>
            <w:proofErr w:type="spellEnd"/>
            <w:r w:rsidRPr="000E20A5">
              <w:rPr>
                <w:sz w:val="24"/>
                <w:szCs w:val="24"/>
              </w:rPr>
              <w:t>, kas gadā sastāda aptuveni 2</w:t>
            </w:r>
            <w:r w:rsidR="00171C79">
              <w:rPr>
                <w:sz w:val="24"/>
                <w:szCs w:val="24"/>
              </w:rPr>
              <w:t xml:space="preserve"> </w:t>
            </w:r>
            <w:r w:rsidRPr="000E20A5">
              <w:rPr>
                <w:sz w:val="24"/>
                <w:szCs w:val="24"/>
              </w:rPr>
              <w:t>000</w:t>
            </w:r>
            <w:r w:rsidR="00AE68DA" w:rsidRPr="000E20A5">
              <w:rPr>
                <w:sz w:val="24"/>
                <w:szCs w:val="24"/>
              </w:rPr>
              <w:t xml:space="preserve"> </w:t>
            </w:r>
            <w:proofErr w:type="spellStart"/>
            <w:r w:rsidR="00AE68DA" w:rsidRPr="000E20A5">
              <w:rPr>
                <w:i/>
                <w:sz w:val="24"/>
                <w:szCs w:val="24"/>
              </w:rPr>
              <w:t>euro</w:t>
            </w:r>
            <w:proofErr w:type="spellEnd"/>
            <w:r w:rsidR="003D27E9">
              <w:rPr>
                <w:i/>
                <w:sz w:val="24"/>
                <w:szCs w:val="24"/>
              </w:rPr>
              <w:t>.</w:t>
            </w:r>
          </w:p>
        </w:tc>
      </w:tr>
      <w:tr w:rsidR="00ED6931" w14:paraId="29EDAB30" w14:textId="77777777" w:rsidTr="0055278E">
        <w:tc>
          <w:tcPr>
            <w:tcW w:w="396" w:type="dxa"/>
            <w:tcBorders>
              <w:top w:val="single" w:sz="4" w:space="0" w:color="auto"/>
              <w:left w:val="single" w:sz="4" w:space="0" w:color="auto"/>
              <w:bottom w:val="single" w:sz="4" w:space="0" w:color="auto"/>
              <w:right w:val="single" w:sz="4" w:space="0" w:color="auto"/>
            </w:tcBorders>
            <w:shd w:val="clear" w:color="auto" w:fill="auto"/>
          </w:tcPr>
          <w:p w14:paraId="69A9CBE0" w14:textId="77777777" w:rsidR="000952B3" w:rsidRPr="001351FC" w:rsidRDefault="00B650B7" w:rsidP="001351FC">
            <w:pPr>
              <w:jc w:val="center"/>
            </w:pPr>
            <w:r w:rsidRPr="001351FC">
              <w:t>4.</w:t>
            </w:r>
          </w:p>
        </w:tc>
        <w:tc>
          <w:tcPr>
            <w:tcW w:w="2860" w:type="dxa"/>
            <w:tcBorders>
              <w:top w:val="single" w:sz="4" w:space="0" w:color="auto"/>
              <w:left w:val="single" w:sz="4" w:space="0" w:color="auto"/>
              <w:bottom w:val="single" w:sz="4" w:space="0" w:color="auto"/>
              <w:right w:val="single" w:sz="4" w:space="0" w:color="auto"/>
            </w:tcBorders>
            <w:shd w:val="clear" w:color="auto" w:fill="auto"/>
          </w:tcPr>
          <w:p w14:paraId="31FF5081" w14:textId="77777777" w:rsidR="000952B3" w:rsidRPr="001351FC" w:rsidRDefault="00B650B7" w:rsidP="001351FC">
            <w:r w:rsidRPr="001351FC">
              <w:t>Atbilstības izmaksu monetārs novērtējums</w:t>
            </w:r>
          </w:p>
        </w:tc>
        <w:tc>
          <w:tcPr>
            <w:tcW w:w="5924" w:type="dxa"/>
            <w:tcBorders>
              <w:top w:val="single" w:sz="4" w:space="0" w:color="auto"/>
              <w:left w:val="single" w:sz="4" w:space="0" w:color="auto"/>
              <w:bottom w:val="single" w:sz="4" w:space="0" w:color="auto"/>
              <w:right w:val="single" w:sz="4" w:space="0" w:color="auto"/>
            </w:tcBorders>
            <w:shd w:val="clear" w:color="auto" w:fill="auto"/>
            <w:vAlign w:val="center"/>
          </w:tcPr>
          <w:p w14:paraId="2AC02F92" w14:textId="77777777" w:rsidR="000952B3" w:rsidRPr="001351FC" w:rsidRDefault="00B650B7" w:rsidP="001351FC">
            <w:pPr>
              <w:pStyle w:val="ListParagraph"/>
              <w:tabs>
                <w:tab w:val="left" w:pos="317"/>
              </w:tabs>
              <w:ind w:left="-79"/>
              <w:jc w:val="both"/>
              <w:rPr>
                <w:bCs/>
                <w:sz w:val="24"/>
                <w:szCs w:val="24"/>
                <w:lang w:eastAsia="en-US"/>
              </w:rPr>
            </w:pPr>
            <w:r w:rsidRPr="001351FC">
              <w:rPr>
                <w:sz w:val="24"/>
                <w:szCs w:val="24"/>
              </w:rPr>
              <w:t>Noteikumu projekts šo jomu neskar.</w:t>
            </w:r>
          </w:p>
        </w:tc>
      </w:tr>
      <w:tr w:rsidR="00ED6931" w14:paraId="5109668B" w14:textId="77777777" w:rsidTr="0055278E">
        <w:tc>
          <w:tcPr>
            <w:tcW w:w="396" w:type="dxa"/>
            <w:tcBorders>
              <w:top w:val="single" w:sz="4" w:space="0" w:color="auto"/>
              <w:left w:val="single" w:sz="4" w:space="0" w:color="auto"/>
              <w:bottom w:val="single" w:sz="4" w:space="0" w:color="auto"/>
              <w:right w:val="single" w:sz="4" w:space="0" w:color="auto"/>
            </w:tcBorders>
            <w:shd w:val="clear" w:color="auto" w:fill="auto"/>
          </w:tcPr>
          <w:p w14:paraId="1DCD1E4A" w14:textId="77777777" w:rsidR="000952B3" w:rsidRPr="001351FC" w:rsidRDefault="00B650B7" w:rsidP="001351FC">
            <w:pPr>
              <w:jc w:val="center"/>
            </w:pPr>
            <w:r w:rsidRPr="001351FC">
              <w:t>5.</w:t>
            </w:r>
          </w:p>
        </w:tc>
        <w:tc>
          <w:tcPr>
            <w:tcW w:w="2860" w:type="dxa"/>
            <w:tcBorders>
              <w:top w:val="single" w:sz="4" w:space="0" w:color="auto"/>
              <w:left w:val="single" w:sz="4" w:space="0" w:color="auto"/>
              <w:bottom w:val="single" w:sz="4" w:space="0" w:color="auto"/>
              <w:right w:val="single" w:sz="4" w:space="0" w:color="auto"/>
            </w:tcBorders>
            <w:shd w:val="clear" w:color="auto" w:fill="auto"/>
          </w:tcPr>
          <w:p w14:paraId="610FCC28" w14:textId="77777777" w:rsidR="000952B3" w:rsidRPr="001351FC" w:rsidRDefault="00B650B7" w:rsidP="001351FC">
            <w:pPr>
              <w:rPr>
                <w:color w:val="414142"/>
              </w:rPr>
            </w:pPr>
            <w:r w:rsidRPr="001351FC">
              <w:t>Cita informācija</w:t>
            </w:r>
          </w:p>
        </w:tc>
        <w:tc>
          <w:tcPr>
            <w:tcW w:w="5924" w:type="dxa"/>
            <w:tcBorders>
              <w:top w:val="single" w:sz="4" w:space="0" w:color="auto"/>
              <w:left w:val="single" w:sz="4" w:space="0" w:color="auto"/>
              <w:bottom w:val="single" w:sz="4" w:space="0" w:color="auto"/>
              <w:right w:val="single" w:sz="4" w:space="0" w:color="auto"/>
            </w:tcBorders>
            <w:shd w:val="clear" w:color="auto" w:fill="auto"/>
            <w:vAlign w:val="center"/>
          </w:tcPr>
          <w:p w14:paraId="3617FB1D" w14:textId="77777777" w:rsidR="000952B3" w:rsidRPr="001351FC" w:rsidRDefault="00B650B7" w:rsidP="001351FC">
            <w:pPr>
              <w:pStyle w:val="ListParagraph"/>
              <w:tabs>
                <w:tab w:val="left" w:pos="317"/>
              </w:tabs>
              <w:ind w:left="-79"/>
              <w:jc w:val="both"/>
              <w:rPr>
                <w:bCs/>
                <w:sz w:val="24"/>
                <w:szCs w:val="24"/>
                <w:lang w:eastAsia="en-US"/>
              </w:rPr>
            </w:pPr>
            <w:r w:rsidRPr="001351FC">
              <w:rPr>
                <w:bCs/>
                <w:sz w:val="24"/>
                <w:szCs w:val="24"/>
                <w:lang w:eastAsia="en-US"/>
              </w:rPr>
              <w:t>Nav</w:t>
            </w:r>
            <w:r w:rsidR="00352BE9" w:rsidRPr="001351FC">
              <w:rPr>
                <w:bCs/>
                <w:sz w:val="24"/>
                <w:szCs w:val="24"/>
                <w:lang w:eastAsia="en-US"/>
              </w:rPr>
              <w:t>.</w:t>
            </w:r>
          </w:p>
        </w:tc>
      </w:tr>
    </w:tbl>
    <w:p w14:paraId="70AFC89F" w14:textId="77777777" w:rsidR="004D2E35" w:rsidRDefault="004D2E35" w:rsidP="001351FC"/>
    <w:tbl>
      <w:tblPr>
        <w:tblpPr w:leftFromText="180" w:rightFromText="180" w:vertAnchor="text" w:tblpY="1"/>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1309"/>
        <w:gridCol w:w="1309"/>
        <w:gridCol w:w="1309"/>
        <w:gridCol w:w="1309"/>
        <w:gridCol w:w="1309"/>
      </w:tblGrid>
      <w:tr w:rsidR="006109C0" w14:paraId="6D88513B" w14:textId="77777777" w:rsidTr="00F436F4">
        <w:tc>
          <w:tcPr>
            <w:tcW w:w="9180" w:type="dxa"/>
            <w:gridSpan w:val="6"/>
            <w:tcBorders>
              <w:top w:val="single" w:sz="4" w:space="0" w:color="auto"/>
              <w:left w:val="single" w:sz="4" w:space="0" w:color="auto"/>
              <w:bottom w:val="single" w:sz="4" w:space="0" w:color="auto"/>
              <w:right w:val="single" w:sz="4" w:space="0" w:color="auto"/>
            </w:tcBorders>
            <w:shd w:val="clear" w:color="auto" w:fill="auto"/>
          </w:tcPr>
          <w:p w14:paraId="7CAF5622" w14:textId="77777777" w:rsidR="006109C0" w:rsidRPr="00123090" w:rsidRDefault="006109C0" w:rsidP="00F436F4">
            <w:pPr>
              <w:pStyle w:val="ListParagraph"/>
              <w:tabs>
                <w:tab w:val="left" w:pos="317"/>
              </w:tabs>
              <w:ind w:left="0"/>
              <w:jc w:val="center"/>
              <w:rPr>
                <w:bCs/>
                <w:sz w:val="24"/>
                <w:szCs w:val="24"/>
                <w:lang w:eastAsia="en-US"/>
              </w:rPr>
            </w:pPr>
            <w:r w:rsidRPr="00123090">
              <w:rPr>
                <w:b/>
                <w:bCs/>
                <w:sz w:val="24"/>
                <w:szCs w:val="24"/>
                <w:lang w:eastAsia="ja-JP"/>
              </w:rPr>
              <w:t>III. Tiesību akta projekta ietekme uz valsts budžetu un pašvaldību budžetiem</w:t>
            </w:r>
          </w:p>
        </w:tc>
      </w:tr>
      <w:tr w:rsidR="006109C0" w14:paraId="36C8DF2E" w14:textId="77777777" w:rsidTr="00F436F4">
        <w:tc>
          <w:tcPr>
            <w:tcW w:w="2635" w:type="dxa"/>
            <w:vMerge w:val="restart"/>
            <w:tcBorders>
              <w:top w:val="single" w:sz="4" w:space="0" w:color="auto"/>
              <w:left w:val="single" w:sz="4" w:space="0" w:color="auto"/>
              <w:right w:val="single" w:sz="4" w:space="0" w:color="auto"/>
            </w:tcBorders>
            <w:shd w:val="clear" w:color="auto" w:fill="auto"/>
          </w:tcPr>
          <w:p w14:paraId="21A14071" w14:textId="77777777" w:rsidR="006109C0" w:rsidRPr="00123090" w:rsidRDefault="006109C0" w:rsidP="00F436F4">
            <w:pPr>
              <w:jc w:val="center"/>
              <w:rPr>
                <w:rFonts w:eastAsia="Times New Roman"/>
                <w:b/>
                <w:bCs/>
                <w:lang w:eastAsia="ja-JP"/>
              </w:rPr>
            </w:pPr>
          </w:p>
          <w:p w14:paraId="4231FA34" w14:textId="77777777" w:rsidR="006109C0" w:rsidRPr="00123090" w:rsidRDefault="006109C0" w:rsidP="00F436F4">
            <w:pPr>
              <w:jc w:val="center"/>
              <w:rPr>
                <w:rFonts w:eastAsia="Times New Roman"/>
                <w:b/>
                <w:bCs/>
                <w:lang w:eastAsia="ja-JP"/>
              </w:rPr>
            </w:pPr>
          </w:p>
          <w:p w14:paraId="12587DDA" w14:textId="77777777" w:rsidR="006109C0" w:rsidRPr="00123090" w:rsidRDefault="006109C0" w:rsidP="00F436F4">
            <w:pPr>
              <w:jc w:val="center"/>
              <w:rPr>
                <w:rFonts w:eastAsia="Times New Roman"/>
                <w:b/>
                <w:bCs/>
                <w:lang w:eastAsia="ja-JP"/>
              </w:rPr>
            </w:pPr>
          </w:p>
          <w:p w14:paraId="67E0C951" w14:textId="77777777" w:rsidR="006109C0" w:rsidRPr="00123090" w:rsidRDefault="006109C0" w:rsidP="00F436F4">
            <w:pPr>
              <w:jc w:val="center"/>
              <w:rPr>
                <w:rFonts w:eastAsia="Times New Roman"/>
                <w:b/>
                <w:bCs/>
                <w:lang w:eastAsia="ja-JP"/>
              </w:rPr>
            </w:pPr>
          </w:p>
          <w:p w14:paraId="35982050" w14:textId="77777777" w:rsidR="006109C0" w:rsidRPr="00123090" w:rsidRDefault="006109C0" w:rsidP="00F436F4">
            <w:pPr>
              <w:jc w:val="center"/>
              <w:rPr>
                <w:rFonts w:eastAsia="Times New Roman"/>
                <w:b/>
                <w:bCs/>
                <w:lang w:eastAsia="ja-JP"/>
              </w:rPr>
            </w:pPr>
          </w:p>
          <w:p w14:paraId="281C6884" w14:textId="77777777" w:rsidR="006109C0" w:rsidRPr="00123090" w:rsidRDefault="006109C0" w:rsidP="00F436F4">
            <w:pPr>
              <w:jc w:val="center"/>
            </w:pPr>
            <w:r w:rsidRPr="00123090">
              <w:rPr>
                <w:rFonts w:eastAsia="Times New Roman"/>
                <w:b/>
                <w:bCs/>
                <w:lang w:eastAsia="ja-JP"/>
              </w:rPr>
              <w:t>Rādītāji</w:t>
            </w:r>
          </w:p>
        </w:tc>
        <w:tc>
          <w:tcPr>
            <w:tcW w:w="2618" w:type="dxa"/>
            <w:gridSpan w:val="2"/>
            <w:vMerge w:val="restart"/>
            <w:tcBorders>
              <w:top w:val="single" w:sz="4" w:space="0" w:color="auto"/>
              <w:left w:val="single" w:sz="4" w:space="0" w:color="auto"/>
              <w:right w:val="single" w:sz="4" w:space="0" w:color="auto"/>
            </w:tcBorders>
            <w:shd w:val="clear" w:color="auto" w:fill="auto"/>
          </w:tcPr>
          <w:p w14:paraId="64E2666B" w14:textId="77777777" w:rsidR="006109C0" w:rsidRPr="00123090" w:rsidRDefault="006109C0" w:rsidP="00F436F4">
            <w:pPr>
              <w:pStyle w:val="ListParagraph"/>
              <w:tabs>
                <w:tab w:val="left" w:pos="317"/>
              </w:tabs>
              <w:ind w:left="34"/>
              <w:jc w:val="center"/>
              <w:rPr>
                <w:bCs/>
                <w:sz w:val="24"/>
                <w:szCs w:val="24"/>
                <w:lang w:eastAsia="en-US"/>
              </w:rPr>
            </w:pPr>
            <w:r w:rsidRPr="00123090">
              <w:rPr>
                <w:b/>
                <w:bCs/>
                <w:sz w:val="24"/>
                <w:szCs w:val="24"/>
                <w:lang w:eastAsia="ja-JP"/>
              </w:rPr>
              <w:t>2018.gads</w:t>
            </w:r>
          </w:p>
        </w:tc>
        <w:tc>
          <w:tcPr>
            <w:tcW w:w="39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80083C" w14:textId="77777777" w:rsidR="006109C0" w:rsidRPr="00123090" w:rsidRDefault="006109C0" w:rsidP="00F436F4">
            <w:pPr>
              <w:jc w:val="center"/>
              <w:rPr>
                <w:rFonts w:eastAsia="Times New Roman"/>
                <w:lang w:eastAsia="ja-JP"/>
              </w:rPr>
            </w:pPr>
            <w:r w:rsidRPr="00123090">
              <w:rPr>
                <w:rFonts w:eastAsia="Times New Roman"/>
                <w:lang w:eastAsia="ja-JP"/>
              </w:rPr>
              <w:t>Turpmākie trīs gadi (</w:t>
            </w:r>
            <w:proofErr w:type="spellStart"/>
            <w:r w:rsidRPr="00123090">
              <w:rPr>
                <w:rFonts w:eastAsia="Times New Roman"/>
                <w:i/>
                <w:iCs/>
                <w:lang w:eastAsia="ja-JP"/>
              </w:rPr>
              <w:t>euro</w:t>
            </w:r>
            <w:proofErr w:type="spellEnd"/>
            <w:r w:rsidRPr="00123090">
              <w:rPr>
                <w:rFonts w:eastAsia="Times New Roman"/>
                <w:lang w:eastAsia="ja-JP"/>
              </w:rPr>
              <w:t>)</w:t>
            </w:r>
          </w:p>
        </w:tc>
      </w:tr>
      <w:tr w:rsidR="006109C0" w14:paraId="7DF13030" w14:textId="77777777" w:rsidTr="00F436F4">
        <w:tc>
          <w:tcPr>
            <w:tcW w:w="2635" w:type="dxa"/>
            <w:vMerge/>
            <w:tcBorders>
              <w:left w:val="single" w:sz="4" w:space="0" w:color="auto"/>
              <w:right w:val="single" w:sz="4" w:space="0" w:color="auto"/>
            </w:tcBorders>
            <w:shd w:val="clear" w:color="auto" w:fill="auto"/>
          </w:tcPr>
          <w:p w14:paraId="5326CB71" w14:textId="77777777" w:rsidR="006109C0" w:rsidRPr="00123090" w:rsidRDefault="006109C0" w:rsidP="00F436F4">
            <w:pPr>
              <w:jc w:val="center"/>
            </w:pPr>
          </w:p>
        </w:tc>
        <w:tc>
          <w:tcPr>
            <w:tcW w:w="2618" w:type="dxa"/>
            <w:gridSpan w:val="2"/>
            <w:vMerge/>
            <w:tcBorders>
              <w:left w:val="single" w:sz="4" w:space="0" w:color="auto"/>
              <w:bottom w:val="single" w:sz="4" w:space="0" w:color="auto"/>
              <w:right w:val="single" w:sz="4" w:space="0" w:color="auto"/>
            </w:tcBorders>
            <w:shd w:val="clear" w:color="auto" w:fill="auto"/>
          </w:tcPr>
          <w:p w14:paraId="12577ED4" w14:textId="77777777" w:rsidR="006109C0" w:rsidRPr="00123090" w:rsidRDefault="006109C0" w:rsidP="00F436F4">
            <w:pPr>
              <w:pStyle w:val="ListParagraph"/>
              <w:tabs>
                <w:tab w:val="left" w:pos="317"/>
              </w:tabs>
              <w:ind w:left="34"/>
              <w:jc w:val="center"/>
              <w:rPr>
                <w:bCs/>
                <w:sz w:val="24"/>
                <w:szCs w:val="24"/>
                <w:lang w:eastAsia="en-US"/>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41A93726" w14:textId="77777777" w:rsidR="006109C0" w:rsidRPr="00123090" w:rsidRDefault="006109C0" w:rsidP="00F436F4">
            <w:pPr>
              <w:jc w:val="center"/>
              <w:rPr>
                <w:rFonts w:eastAsia="Times New Roman"/>
                <w:b/>
                <w:bCs/>
                <w:lang w:eastAsia="ja-JP"/>
              </w:rPr>
            </w:pPr>
            <w:r w:rsidRPr="00123090">
              <w:rPr>
                <w:rFonts w:eastAsia="Times New Roman"/>
                <w:b/>
                <w:bCs/>
                <w:lang w:eastAsia="ja-JP"/>
              </w:rPr>
              <w:t>2019.</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13B5861F" w14:textId="77777777" w:rsidR="006109C0" w:rsidRPr="00123090" w:rsidRDefault="006109C0" w:rsidP="00F436F4">
            <w:pPr>
              <w:jc w:val="center"/>
              <w:rPr>
                <w:rFonts w:eastAsia="Times New Roman"/>
                <w:b/>
                <w:bCs/>
                <w:lang w:eastAsia="ja-JP"/>
              </w:rPr>
            </w:pPr>
            <w:r w:rsidRPr="00123090">
              <w:rPr>
                <w:rFonts w:eastAsia="Times New Roman"/>
                <w:b/>
                <w:bCs/>
                <w:lang w:eastAsia="ja-JP"/>
              </w:rPr>
              <w:t>2020.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35E71A85" w14:textId="77777777" w:rsidR="006109C0" w:rsidRPr="00123090" w:rsidRDefault="006109C0" w:rsidP="00F436F4">
            <w:pPr>
              <w:jc w:val="center"/>
              <w:rPr>
                <w:rFonts w:eastAsia="Times New Roman"/>
                <w:b/>
                <w:bCs/>
                <w:lang w:eastAsia="ja-JP"/>
              </w:rPr>
            </w:pPr>
            <w:r w:rsidRPr="00123090">
              <w:rPr>
                <w:rFonts w:eastAsia="Times New Roman"/>
                <w:b/>
                <w:bCs/>
                <w:lang w:eastAsia="ja-JP"/>
              </w:rPr>
              <w:t>2021.</w:t>
            </w:r>
          </w:p>
        </w:tc>
      </w:tr>
      <w:tr w:rsidR="006109C0" w14:paraId="64EDB6D2" w14:textId="77777777" w:rsidTr="00F436F4">
        <w:tc>
          <w:tcPr>
            <w:tcW w:w="2635" w:type="dxa"/>
            <w:vMerge/>
            <w:tcBorders>
              <w:left w:val="single" w:sz="4" w:space="0" w:color="auto"/>
              <w:bottom w:val="single" w:sz="4" w:space="0" w:color="auto"/>
              <w:right w:val="single" w:sz="4" w:space="0" w:color="auto"/>
            </w:tcBorders>
            <w:shd w:val="clear" w:color="auto" w:fill="auto"/>
          </w:tcPr>
          <w:p w14:paraId="28D29368" w14:textId="77777777" w:rsidR="006109C0" w:rsidRPr="00123090" w:rsidRDefault="006109C0" w:rsidP="00F436F4">
            <w:pPr>
              <w:jc w:val="cente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316DBAE6" w14:textId="77777777" w:rsidR="006109C0" w:rsidRPr="00123090" w:rsidRDefault="006109C0" w:rsidP="00F436F4">
            <w:pPr>
              <w:jc w:val="center"/>
              <w:rPr>
                <w:rFonts w:eastAsia="Times New Roman"/>
                <w:lang w:eastAsia="ja-JP"/>
              </w:rPr>
            </w:pPr>
            <w:r w:rsidRPr="00123090">
              <w:rPr>
                <w:rFonts w:eastAsia="Times New Roman"/>
                <w:lang w:eastAsia="ja-JP"/>
              </w:rPr>
              <w:t>saskaņā ar valsts budžetu kārtējam gadam</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59A7D348" w14:textId="77777777" w:rsidR="006109C0" w:rsidRPr="00123090" w:rsidRDefault="006109C0" w:rsidP="00F436F4">
            <w:pPr>
              <w:jc w:val="center"/>
              <w:rPr>
                <w:rFonts w:eastAsia="Times New Roman"/>
                <w:lang w:eastAsia="ja-JP"/>
              </w:rPr>
            </w:pPr>
            <w:r w:rsidRPr="00123090">
              <w:rPr>
                <w:rFonts w:eastAsia="Times New Roman"/>
                <w:lang w:eastAsia="ja-JP"/>
              </w:rPr>
              <w:t>izmaiņas kārtējā gadā, salīdzinot ar valsts budžetu kārtējam gadam</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1661672C" w14:textId="77777777" w:rsidR="006109C0" w:rsidRPr="00123090" w:rsidRDefault="006109C0" w:rsidP="00F436F4">
            <w:pPr>
              <w:jc w:val="center"/>
              <w:rPr>
                <w:rFonts w:eastAsia="Times New Roman"/>
                <w:lang w:eastAsia="ja-JP"/>
              </w:rPr>
            </w:pPr>
            <w:r w:rsidRPr="00123090">
              <w:rPr>
                <w:rFonts w:eastAsia="Times New Roman"/>
                <w:lang w:eastAsia="ja-JP"/>
              </w:rPr>
              <w:t>izmaiņ</w:t>
            </w:r>
            <w:bookmarkStart w:id="1" w:name="_GoBack"/>
            <w:bookmarkEnd w:id="1"/>
            <w:r w:rsidRPr="00123090">
              <w:rPr>
                <w:rFonts w:eastAsia="Times New Roman"/>
                <w:lang w:eastAsia="ja-JP"/>
              </w:rPr>
              <w:t>as, salīdzinot ar kārtējo (n) gadu</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31BFB9AF" w14:textId="77777777" w:rsidR="006109C0" w:rsidRPr="00123090" w:rsidRDefault="006109C0" w:rsidP="00F436F4">
            <w:pPr>
              <w:jc w:val="center"/>
              <w:rPr>
                <w:rFonts w:eastAsia="Times New Roman"/>
                <w:lang w:eastAsia="ja-JP"/>
              </w:rPr>
            </w:pPr>
            <w:r w:rsidRPr="00123090">
              <w:rPr>
                <w:rFonts w:eastAsia="Times New Roman"/>
                <w:lang w:eastAsia="ja-JP"/>
              </w:rPr>
              <w:t>izmaiņas, salīdzinot ar kārtējo (n) gadu</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234338FB" w14:textId="77777777" w:rsidR="006109C0" w:rsidRPr="00123090" w:rsidRDefault="006109C0" w:rsidP="00F436F4">
            <w:pPr>
              <w:jc w:val="center"/>
              <w:rPr>
                <w:rFonts w:eastAsia="Times New Roman"/>
                <w:lang w:eastAsia="ja-JP"/>
              </w:rPr>
            </w:pPr>
            <w:r w:rsidRPr="00123090">
              <w:rPr>
                <w:rFonts w:eastAsia="Times New Roman"/>
                <w:lang w:eastAsia="ja-JP"/>
              </w:rPr>
              <w:t>izmaiņas, salīdzinot ar kārtējo (n) gadu</w:t>
            </w:r>
          </w:p>
        </w:tc>
      </w:tr>
      <w:tr w:rsidR="006109C0" w14:paraId="488DD4BC" w14:textId="77777777" w:rsidTr="00F436F4">
        <w:tc>
          <w:tcPr>
            <w:tcW w:w="2635" w:type="dxa"/>
            <w:tcBorders>
              <w:top w:val="single" w:sz="4" w:space="0" w:color="auto"/>
              <w:left w:val="single" w:sz="4" w:space="0" w:color="auto"/>
              <w:bottom w:val="single" w:sz="4" w:space="0" w:color="auto"/>
              <w:right w:val="single" w:sz="4" w:space="0" w:color="auto"/>
            </w:tcBorders>
            <w:shd w:val="clear" w:color="auto" w:fill="auto"/>
          </w:tcPr>
          <w:p w14:paraId="0E8B74A1" w14:textId="77777777" w:rsidR="006109C0" w:rsidRPr="00123090" w:rsidRDefault="006109C0" w:rsidP="00F436F4">
            <w:pPr>
              <w:jc w:val="center"/>
            </w:pPr>
            <w:r w:rsidRPr="00123090">
              <w:t>1</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1705EBE7" w14:textId="77777777" w:rsidR="006109C0" w:rsidRPr="00123090" w:rsidRDefault="006109C0" w:rsidP="00F436F4">
            <w:pPr>
              <w:jc w:val="center"/>
            </w:pPr>
            <w:r w:rsidRPr="00123090">
              <w:t>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5937C539" w14:textId="77777777" w:rsidR="006109C0" w:rsidRPr="00123090" w:rsidRDefault="006109C0" w:rsidP="00F436F4">
            <w:pPr>
              <w:jc w:val="center"/>
              <w:rPr>
                <w:bCs/>
                <w:lang w:eastAsia="en-US"/>
              </w:rPr>
            </w:pPr>
            <w:r w:rsidRPr="00123090">
              <w:t>3</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4B960069" w14:textId="77777777" w:rsidR="006109C0" w:rsidRPr="00123090" w:rsidRDefault="006109C0" w:rsidP="00F436F4">
            <w:pPr>
              <w:pStyle w:val="ListParagraph"/>
              <w:tabs>
                <w:tab w:val="left" w:pos="317"/>
              </w:tabs>
              <w:ind w:left="34"/>
              <w:jc w:val="center"/>
              <w:rPr>
                <w:bCs/>
                <w:sz w:val="24"/>
                <w:szCs w:val="24"/>
                <w:lang w:eastAsia="en-US"/>
              </w:rPr>
            </w:pPr>
            <w:r w:rsidRPr="00123090">
              <w:rPr>
                <w:bCs/>
                <w:sz w:val="24"/>
                <w:szCs w:val="24"/>
                <w:lang w:eastAsia="en-US"/>
              </w:rPr>
              <w:t>4</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549A9AC7" w14:textId="77777777" w:rsidR="006109C0" w:rsidRPr="00123090" w:rsidRDefault="006109C0" w:rsidP="00F436F4">
            <w:pPr>
              <w:pStyle w:val="ListParagraph"/>
              <w:tabs>
                <w:tab w:val="left" w:pos="317"/>
              </w:tabs>
              <w:ind w:left="34"/>
              <w:jc w:val="center"/>
              <w:rPr>
                <w:bCs/>
                <w:sz w:val="24"/>
                <w:szCs w:val="24"/>
                <w:lang w:eastAsia="en-US"/>
              </w:rPr>
            </w:pPr>
            <w:r w:rsidRPr="00123090">
              <w:rPr>
                <w:bCs/>
                <w:sz w:val="24"/>
                <w:szCs w:val="24"/>
                <w:lang w:eastAsia="en-US"/>
              </w:rPr>
              <w:t>5</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4A30ADF1" w14:textId="77777777" w:rsidR="006109C0" w:rsidRPr="00123090" w:rsidRDefault="006109C0" w:rsidP="00F436F4">
            <w:pPr>
              <w:pStyle w:val="ListParagraph"/>
              <w:tabs>
                <w:tab w:val="left" w:pos="317"/>
              </w:tabs>
              <w:ind w:left="34"/>
              <w:jc w:val="center"/>
              <w:rPr>
                <w:bCs/>
                <w:sz w:val="24"/>
                <w:szCs w:val="24"/>
                <w:lang w:eastAsia="en-US"/>
              </w:rPr>
            </w:pPr>
            <w:r w:rsidRPr="00123090">
              <w:rPr>
                <w:bCs/>
                <w:sz w:val="24"/>
                <w:szCs w:val="24"/>
                <w:lang w:eastAsia="en-US"/>
              </w:rPr>
              <w:t>6</w:t>
            </w:r>
          </w:p>
        </w:tc>
      </w:tr>
      <w:tr w:rsidR="006109C0" w14:paraId="486E4F26" w14:textId="77777777" w:rsidTr="00F436F4">
        <w:tc>
          <w:tcPr>
            <w:tcW w:w="2635" w:type="dxa"/>
            <w:tcBorders>
              <w:top w:val="single" w:sz="4" w:space="0" w:color="auto"/>
              <w:left w:val="single" w:sz="4" w:space="0" w:color="auto"/>
              <w:bottom w:val="single" w:sz="4" w:space="0" w:color="auto"/>
              <w:right w:val="single" w:sz="4" w:space="0" w:color="auto"/>
            </w:tcBorders>
            <w:shd w:val="clear" w:color="auto" w:fill="auto"/>
          </w:tcPr>
          <w:p w14:paraId="04271681" w14:textId="77777777" w:rsidR="006109C0" w:rsidRPr="00123090" w:rsidRDefault="006109C0" w:rsidP="00F436F4">
            <w:pPr>
              <w:rPr>
                <w:rFonts w:eastAsia="Times New Roman"/>
                <w:lang w:eastAsia="ja-JP"/>
              </w:rPr>
            </w:pPr>
            <w:r w:rsidRPr="00123090">
              <w:rPr>
                <w:rFonts w:eastAsia="Times New Roman"/>
                <w:lang w:eastAsia="ja-JP"/>
              </w:rPr>
              <w:t>1. Budžeta ieņēmumi:</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6A96FD0C" w14:textId="77777777" w:rsidR="006109C0" w:rsidRPr="00123090" w:rsidRDefault="006109C0" w:rsidP="00F436F4">
            <w:pPr>
              <w:jc w:val="center"/>
              <w:rPr>
                <w:rFonts w:eastAsia="Arial Unicode MS"/>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3D769950" w14:textId="77777777" w:rsidR="006109C0" w:rsidRPr="00123090" w:rsidRDefault="006109C0" w:rsidP="00F436F4">
            <w:pPr>
              <w:jc w:val="center"/>
              <w:rPr>
                <w:rFonts w:eastAsia="Arial Unicode MS"/>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09E477BE" w14:textId="77777777" w:rsidR="006109C0" w:rsidRPr="00123090" w:rsidRDefault="006109C0" w:rsidP="00F436F4">
            <w:pPr>
              <w:jc w:val="center"/>
              <w:rPr>
                <w:rFonts w:eastAsia="Times New Roman"/>
                <w:b/>
                <w:lang w:eastAsia="ja-JP"/>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1CD27A29" w14:textId="77777777" w:rsidR="006109C0" w:rsidRPr="00123090" w:rsidRDefault="006109C0" w:rsidP="00F436F4">
            <w:pPr>
              <w:jc w:val="center"/>
              <w:rPr>
                <w:rFonts w:eastAsia="Times New Roman"/>
                <w:b/>
                <w:lang w:eastAsia="ja-JP"/>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51A52AF8" w14:textId="77777777" w:rsidR="006109C0" w:rsidRPr="00123090" w:rsidRDefault="006109C0" w:rsidP="00F436F4">
            <w:pPr>
              <w:jc w:val="center"/>
              <w:rPr>
                <w:rFonts w:eastAsia="Times New Roman"/>
                <w:b/>
                <w:lang w:eastAsia="ja-JP"/>
              </w:rPr>
            </w:pPr>
            <w:r w:rsidRPr="00123090">
              <w:rPr>
                <w:rFonts w:eastAsia="Arial Unicode MS"/>
              </w:rPr>
              <w:t>0</w:t>
            </w:r>
          </w:p>
        </w:tc>
      </w:tr>
      <w:tr w:rsidR="006109C0" w14:paraId="24EAD080" w14:textId="77777777" w:rsidTr="00F436F4">
        <w:tc>
          <w:tcPr>
            <w:tcW w:w="2635" w:type="dxa"/>
            <w:tcBorders>
              <w:top w:val="single" w:sz="4" w:space="0" w:color="auto"/>
              <w:left w:val="single" w:sz="4" w:space="0" w:color="auto"/>
              <w:bottom w:val="single" w:sz="4" w:space="0" w:color="auto"/>
              <w:right w:val="single" w:sz="4" w:space="0" w:color="auto"/>
            </w:tcBorders>
            <w:shd w:val="clear" w:color="auto" w:fill="auto"/>
          </w:tcPr>
          <w:p w14:paraId="4ADF4397" w14:textId="77777777" w:rsidR="006109C0" w:rsidRPr="00123090" w:rsidRDefault="006109C0" w:rsidP="00F436F4">
            <w:pPr>
              <w:jc w:val="both"/>
              <w:rPr>
                <w:rFonts w:eastAsia="Arial Unicode MS"/>
              </w:rPr>
            </w:pPr>
            <w:r w:rsidRPr="00123090">
              <w:rPr>
                <w:rFonts w:eastAsia="Arial Unicode MS"/>
              </w:rPr>
              <w:t>1.1. valsts pamatbudžets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7230C913" w14:textId="77777777" w:rsidR="006109C0" w:rsidRPr="00123090" w:rsidRDefault="006109C0" w:rsidP="00F436F4">
            <w:pPr>
              <w:jc w:val="center"/>
              <w:rPr>
                <w:rFonts w:eastAsia="Arial Unicode MS"/>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549EDA35" w14:textId="77777777" w:rsidR="006109C0" w:rsidRPr="00123090" w:rsidRDefault="006109C0" w:rsidP="00F436F4">
            <w:pPr>
              <w:jc w:val="center"/>
              <w:rPr>
                <w:rFonts w:eastAsia="Arial Unicode MS"/>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6D260A47" w14:textId="77777777" w:rsidR="006109C0" w:rsidRPr="00123090" w:rsidRDefault="006109C0" w:rsidP="00F436F4">
            <w:pPr>
              <w:jc w:val="center"/>
              <w:rPr>
                <w:rFonts w:eastAsia="Times New Roman"/>
                <w:b/>
                <w:lang w:eastAsia="ja-JP"/>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67653CA1" w14:textId="77777777" w:rsidR="006109C0" w:rsidRPr="00123090" w:rsidRDefault="006109C0" w:rsidP="00F436F4">
            <w:pPr>
              <w:jc w:val="center"/>
              <w:rPr>
                <w:rFonts w:eastAsia="Times New Roman"/>
                <w:b/>
                <w:lang w:eastAsia="ja-JP"/>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31D3C9A0" w14:textId="77777777" w:rsidR="006109C0" w:rsidRPr="00123090" w:rsidRDefault="006109C0" w:rsidP="00F436F4">
            <w:pPr>
              <w:jc w:val="center"/>
              <w:rPr>
                <w:rFonts w:eastAsia="Times New Roman"/>
                <w:b/>
                <w:lang w:eastAsia="ja-JP"/>
              </w:rPr>
            </w:pPr>
            <w:r w:rsidRPr="00123090">
              <w:rPr>
                <w:rFonts w:eastAsia="Arial Unicode MS"/>
              </w:rPr>
              <w:t>0</w:t>
            </w:r>
          </w:p>
        </w:tc>
      </w:tr>
      <w:tr w:rsidR="006109C0" w14:paraId="1F49B224" w14:textId="77777777" w:rsidTr="00F436F4">
        <w:tc>
          <w:tcPr>
            <w:tcW w:w="2635" w:type="dxa"/>
            <w:tcBorders>
              <w:top w:val="single" w:sz="4" w:space="0" w:color="auto"/>
              <w:left w:val="single" w:sz="4" w:space="0" w:color="auto"/>
              <w:bottom w:val="single" w:sz="4" w:space="0" w:color="auto"/>
              <w:right w:val="single" w:sz="4" w:space="0" w:color="auto"/>
            </w:tcBorders>
            <w:shd w:val="clear" w:color="auto" w:fill="auto"/>
          </w:tcPr>
          <w:p w14:paraId="5F4D7C04" w14:textId="77777777" w:rsidR="006109C0" w:rsidRPr="00123090" w:rsidRDefault="006109C0" w:rsidP="00F436F4">
            <w:pPr>
              <w:jc w:val="both"/>
              <w:rPr>
                <w:rFonts w:eastAsia="Arial Unicode MS"/>
              </w:rPr>
            </w:pPr>
            <w:r w:rsidRPr="00123090">
              <w:rPr>
                <w:rFonts w:eastAsia="Arial Unicode MS"/>
              </w:rPr>
              <w:t>1.2. valsts speciālais budžets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3A9B842A" w14:textId="77777777" w:rsidR="006109C0" w:rsidRPr="00123090" w:rsidRDefault="006109C0" w:rsidP="00F436F4">
            <w:pPr>
              <w:jc w:val="center"/>
              <w:rPr>
                <w:rFonts w:eastAsia="Arial Unicode MS"/>
              </w:rP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7B2A0982" w14:textId="77777777" w:rsidR="006109C0" w:rsidRPr="00123090" w:rsidRDefault="006109C0" w:rsidP="00F436F4">
            <w:pPr>
              <w:jc w:val="center"/>
              <w:rPr>
                <w:rFonts w:eastAsia="Arial Unicode MS"/>
              </w:rP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16BBC0A8" w14:textId="77777777" w:rsidR="006109C0" w:rsidRPr="00123090" w:rsidRDefault="006109C0" w:rsidP="00F436F4">
            <w:pPr>
              <w:jc w:val="center"/>
              <w:rPr>
                <w:rFonts w:eastAsia="Times New Roman"/>
                <w:b/>
                <w:lang w:eastAsia="ja-JP"/>
              </w:rP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3BDAAD65" w14:textId="77777777" w:rsidR="006109C0" w:rsidRPr="00123090" w:rsidRDefault="006109C0" w:rsidP="00F436F4">
            <w:pPr>
              <w:jc w:val="center"/>
              <w:rPr>
                <w:rFonts w:eastAsia="Times New Roman"/>
                <w:b/>
                <w:lang w:eastAsia="ja-JP"/>
              </w:rP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4F3AD6A7" w14:textId="77777777" w:rsidR="006109C0" w:rsidRPr="00123090" w:rsidRDefault="006109C0" w:rsidP="00F436F4">
            <w:pPr>
              <w:jc w:val="center"/>
              <w:rPr>
                <w:rFonts w:eastAsia="Times New Roman"/>
                <w:b/>
                <w:lang w:eastAsia="ja-JP"/>
              </w:rPr>
            </w:pPr>
            <w:r w:rsidRPr="00123090">
              <w:t>0</w:t>
            </w:r>
          </w:p>
        </w:tc>
      </w:tr>
      <w:tr w:rsidR="006109C0" w14:paraId="07EF45ED" w14:textId="77777777" w:rsidTr="00F436F4">
        <w:tc>
          <w:tcPr>
            <w:tcW w:w="2635" w:type="dxa"/>
            <w:tcBorders>
              <w:top w:val="single" w:sz="4" w:space="0" w:color="auto"/>
              <w:left w:val="single" w:sz="4" w:space="0" w:color="auto"/>
              <w:bottom w:val="single" w:sz="4" w:space="0" w:color="auto"/>
              <w:right w:val="single" w:sz="4" w:space="0" w:color="auto"/>
            </w:tcBorders>
            <w:shd w:val="clear" w:color="auto" w:fill="auto"/>
          </w:tcPr>
          <w:p w14:paraId="6943D103" w14:textId="77777777" w:rsidR="006109C0" w:rsidRPr="00123090" w:rsidRDefault="006109C0" w:rsidP="00F436F4">
            <w:pPr>
              <w:jc w:val="both"/>
              <w:rPr>
                <w:rFonts w:eastAsia="Arial Unicode MS"/>
              </w:rPr>
            </w:pPr>
            <w:r w:rsidRPr="00123090">
              <w:rPr>
                <w:rFonts w:eastAsia="Arial Unicode MS"/>
              </w:rPr>
              <w:t>1.3. pašvaldību budžets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69B65A4C" w14:textId="77777777" w:rsidR="006109C0" w:rsidRPr="00123090" w:rsidRDefault="006109C0" w:rsidP="00F436F4">
            <w:pPr>
              <w:jc w:val="cente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13B2F944" w14:textId="77777777" w:rsidR="006109C0" w:rsidRPr="00123090" w:rsidRDefault="006109C0" w:rsidP="00F436F4">
            <w:pPr>
              <w:jc w:val="cente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54116F82" w14:textId="77777777" w:rsidR="006109C0" w:rsidRPr="00123090" w:rsidRDefault="006109C0" w:rsidP="00F436F4">
            <w:pPr>
              <w:jc w:val="center"/>
              <w:rPr>
                <w:rFonts w:eastAsia="Times New Roman"/>
                <w:b/>
                <w:lang w:eastAsia="ja-JP"/>
              </w:rP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3BEFA4D8" w14:textId="77777777" w:rsidR="006109C0" w:rsidRPr="00123090" w:rsidRDefault="006109C0" w:rsidP="00F436F4">
            <w:pPr>
              <w:jc w:val="center"/>
              <w:rPr>
                <w:rFonts w:eastAsia="Times New Roman"/>
                <w:b/>
                <w:lang w:eastAsia="ja-JP"/>
              </w:rP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7393CB68" w14:textId="77777777" w:rsidR="006109C0" w:rsidRPr="00123090" w:rsidRDefault="006109C0" w:rsidP="00F436F4">
            <w:pPr>
              <w:jc w:val="center"/>
              <w:rPr>
                <w:rFonts w:eastAsia="Times New Roman"/>
                <w:b/>
                <w:lang w:eastAsia="ja-JP"/>
              </w:rPr>
            </w:pPr>
            <w:r w:rsidRPr="00123090">
              <w:t>0</w:t>
            </w:r>
          </w:p>
        </w:tc>
      </w:tr>
      <w:tr w:rsidR="006109C0" w14:paraId="38792F8C" w14:textId="77777777" w:rsidTr="00F436F4">
        <w:tc>
          <w:tcPr>
            <w:tcW w:w="2635" w:type="dxa"/>
            <w:tcBorders>
              <w:top w:val="single" w:sz="4" w:space="0" w:color="auto"/>
              <w:left w:val="single" w:sz="4" w:space="0" w:color="auto"/>
              <w:bottom w:val="single" w:sz="4" w:space="0" w:color="auto"/>
              <w:right w:val="single" w:sz="4" w:space="0" w:color="auto"/>
            </w:tcBorders>
            <w:shd w:val="clear" w:color="auto" w:fill="auto"/>
          </w:tcPr>
          <w:p w14:paraId="015A535E" w14:textId="77777777" w:rsidR="006109C0" w:rsidRPr="00123090" w:rsidRDefault="006109C0" w:rsidP="00F436F4">
            <w:pPr>
              <w:rPr>
                <w:rFonts w:eastAsia="Times New Roman"/>
                <w:lang w:eastAsia="ja-JP"/>
              </w:rPr>
            </w:pPr>
            <w:r w:rsidRPr="00123090">
              <w:rPr>
                <w:rFonts w:eastAsia="Times New Roman"/>
                <w:lang w:eastAsia="ja-JP"/>
              </w:rPr>
              <w:t>2. Budžeta izdevumi:</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013CEE75" w14:textId="77777777" w:rsidR="006109C0" w:rsidRPr="00123090" w:rsidRDefault="006109C0" w:rsidP="00F436F4">
            <w:pPr>
              <w:jc w:val="center"/>
              <w:rPr>
                <w:rFonts w:eastAsia="Arial Unicode MS"/>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19949F8D" w14:textId="77777777" w:rsidR="006109C0" w:rsidRPr="00123090" w:rsidRDefault="006109C0" w:rsidP="00F436F4">
            <w:pPr>
              <w:jc w:val="center"/>
              <w:rPr>
                <w:rFonts w:eastAsia="Arial Unicode MS"/>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75B9A72A" w14:textId="77777777" w:rsidR="006109C0" w:rsidRPr="00123090" w:rsidRDefault="006109C0" w:rsidP="00F436F4">
            <w:pPr>
              <w:jc w:val="center"/>
              <w:rPr>
                <w:rFonts w:eastAsia="Times New Roman"/>
                <w:b/>
                <w:lang w:eastAsia="ja-JP"/>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6E4EFDFD" w14:textId="77777777" w:rsidR="006109C0" w:rsidRPr="00123090" w:rsidRDefault="006109C0" w:rsidP="00F436F4">
            <w:pPr>
              <w:jc w:val="center"/>
              <w:rPr>
                <w:rFonts w:eastAsia="Times New Roman"/>
                <w:b/>
                <w:lang w:eastAsia="ja-JP"/>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6772C194" w14:textId="77777777" w:rsidR="006109C0" w:rsidRPr="00123090" w:rsidRDefault="006109C0" w:rsidP="00F436F4">
            <w:pPr>
              <w:jc w:val="center"/>
              <w:rPr>
                <w:rFonts w:eastAsia="Times New Roman"/>
                <w:b/>
                <w:lang w:eastAsia="ja-JP"/>
              </w:rPr>
            </w:pPr>
            <w:r w:rsidRPr="00123090">
              <w:rPr>
                <w:rFonts w:eastAsia="Arial Unicode MS"/>
              </w:rPr>
              <w:t>0</w:t>
            </w:r>
          </w:p>
        </w:tc>
      </w:tr>
      <w:tr w:rsidR="006109C0" w14:paraId="4D9CA1E5" w14:textId="77777777" w:rsidTr="00F436F4">
        <w:tc>
          <w:tcPr>
            <w:tcW w:w="2635" w:type="dxa"/>
            <w:tcBorders>
              <w:top w:val="single" w:sz="4" w:space="0" w:color="auto"/>
              <w:left w:val="single" w:sz="4" w:space="0" w:color="auto"/>
              <w:bottom w:val="single" w:sz="4" w:space="0" w:color="auto"/>
              <w:right w:val="single" w:sz="4" w:space="0" w:color="auto"/>
            </w:tcBorders>
            <w:shd w:val="clear" w:color="auto" w:fill="auto"/>
          </w:tcPr>
          <w:p w14:paraId="1C21CD1A" w14:textId="77777777" w:rsidR="006109C0" w:rsidRPr="00123090" w:rsidRDefault="006109C0" w:rsidP="00F436F4">
            <w:pPr>
              <w:rPr>
                <w:rFonts w:eastAsia="Times New Roman"/>
              </w:rPr>
            </w:pPr>
            <w:r w:rsidRPr="00123090">
              <w:rPr>
                <w:rFonts w:eastAsia="Times New Roman"/>
              </w:rPr>
              <w:t>2.1. valsts pamatbudžets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57C61D9C" w14:textId="77777777" w:rsidR="006109C0" w:rsidRPr="00123090" w:rsidRDefault="006109C0" w:rsidP="00F436F4">
            <w:pPr>
              <w:jc w:val="cente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666AC83B" w14:textId="77777777" w:rsidR="006109C0" w:rsidRPr="00123090" w:rsidRDefault="006109C0" w:rsidP="00F436F4">
            <w:pPr>
              <w:jc w:val="cente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2990621E" w14:textId="77777777" w:rsidR="006109C0" w:rsidRPr="00123090" w:rsidRDefault="006109C0" w:rsidP="00F436F4">
            <w:pPr>
              <w:jc w:val="center"/>
              <w:rPr>
                <w:rFonts w:eastAsia="Times New Roman"/>
                <w:b/>
                <w:lang w:eastAsia="ja-JP"/>
              </w:rP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2310D4D8" w14:textId="77777777" w:rsidR="006109C0" w:rsidRPr="00123090" w:rsidRDefault="006109C0" w:rsidP="00F436F4">
            <w:pPr>
              <w:jc w:val="center"/>
              <w:rPr>
                <w:rFonts w:eastAsia="Times New Roman"/>
                <w:b/>
                <w:lang w:eastAsia="ja-JP"/>
              </w:rP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57C221EF" w14:textId="77777777" w:rsidR="006109C0" w:rsidRPr="00123090" w:rsidRDefault="006109C0" w:rsidP="00F436F4">
            <w:pPr>
              <w:jc w:val="center"/>
              <w:rPr>
                <w:rFonts w:eastAsia="Times New Roman"/>
                <w:b/>
                <w:lang w:eastAsia="ja-JP"/>
              </w:rPr>
            </w:pPr>
            <w:r w:rsidRPr="00123090">
              <w:t>0</w:t>
            </w:r>
          </w:p>
        </w:tc>
      </w:tr>
      <w:tr w:rsidR="006109C0" w14:paraId="0AD06147" w14:textId="77777777" w:rsidTr="00F436F4">
        <w:tc>
          <w:tcPr>
            <w:tcW w:w="2635" w:type="dxa"/>
            <w:tcBorders>
              <w:top w:val="single" w:sz="4" w:space="0" w:color="auto"/>
              <w:left w:val="single" w:sz="4" w:space="0" w:color="auto"/>
              <w:bottom w:val="single" w:sz="4" w:space="0" w:color="auto"/>
              <w:right w:val="single" w:sz="4" w:space="0" w:color="auto"/>
            </w:tcBorders>
            <w:shd w:val="clear" w:color="auto" w:fill="auto"/>
          </w:tcPr>
          <w:p w14:paraId="0CFBA064" w14:textId="77777777" w:rsidR="006109C0" w:rsidRPr="00123090" w:rsidRDefault="006109C0" w:rsidP="00F436F4">
            <w:pPr>
              <w:rPr>
                <w:rFonts w:eastAsia="Times New Roman"/>
              </w:rPr>
            </w:pPr>
            <w:r w:rsidRPr="00123090">
              <w:rPr>
                <w:rFonts w:eastAsia="Times New Roman"/>
              </w:rPr>
              <w:t>2.2. valsts speciālais budžets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2C44D9C5" w14:textId="77777777" w:rsidR="006109C0" w:rsidRPr="00123090" w:rsidRDefault="006109C0" w:rsidP="00F436F4">
            <w:pPr>
              <w:jc w:val="cente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6863324E" w14:textId="77777777" w:rsidR="006109C0" w:rsidRPr="00123090" w:rsidRDefault="006109C0" w:rsidP="00F436F4">
            <w:pPr>
              <w:jc w:val="cente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408DCF13" w14:textId="77777777" w:rsidR="006109C0" w:rsidRPr="00123090" w:rsidRDefault="006109C0" w:rsidP="00F436F4">
            <w:pPr>
              <w:jc w:val="center"/>
              <w:rPr>
                <w:rFonts w:eastAsia="Times New Roman"/>
                <w:b/>
                <w:lang w:eastAsia="ja-JP"/>
              </w:rP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1B4DE598" w14:textId="77777777" w:rsidR="006109C0" w:rsidRPr="00123090" w:rsidRDefault="006109C0" w:rsidP="00F436F4">
            <w:pPr>
              <w:jc w:val="center"/>
              <w:rPr>
                <w:rFonts w:eastAsia="Times New Roman"/>
                <w:b/>
                <w:lang w:eastAsia="ja-JP"/>
              </w:rP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166DBBF5" w14:textId="77777777" w:rsidR="006109C0" w:rsidRPr="00123090" w:rsidRDefault="006109C0" w:rsidP="00F436F4">
            <w:pPr>
              <w:jc w:val="center"/>
              <w:rPr>
                <w:rFonts w:eastAsia="Times New Roman"/>
                <w:b/>
                <w:lang w:eastAsia="ja-JP"/>
              </w:rPr>
            </w:pPr>
            <w:r w:rsidRPr="00123090">
              <w:t>0</w:t>
            </w:r>
          </w:p>
        </w:tc>
      </w:tr>
      <w:tr w:rsidR="006109C0" w14:paraId="7E2670BC" w14:textId="77777777" w:rsidTr="00F436F4">
        <w:tc>
          <w:tcPr>
            <w:tcW w:w="2635" w:type="dxa"/>
            <w:tcBorders>
              <w:top w:val="single" w:sz="4" w:space="0" w:color="auto"/>
              <w:left w:val="single" w:sz="4" w:space="0" w:color="auto"/>
              <w:bottom w:val="single" w:sz="4" w:space="0" w:color="auto"/>
              <w:right w:val="single" w:sz="4" w:space="0" w:color="auto"/>
            </w:tcBorders>
            <w:shd w:val="clear" w:color="auto" w:fill="auto"/>
          </w:tcPr>
          <w:p w14:paraId="773087E7" w14:textId="77777777" w:rsidR="006109C0" w:rsidRPr="00123090" w:rsidRDefault="006109C0" w:rsidP="00F436F4">
            <w:pPr>
              <w:rPr>
                <w:rFonts w:eastAsia="Times New Roman"/>
              </w:rPr>
            </w:pPr>
            <w:r w:rsidRPr="00123090">
              <w:rPr>
                <w:rFonts w:eastAsia="Times New Roman"/>
              </w:rPr>
              <w:t>2.3. pašvaldību budžets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1BDAA214" w14:textId="77777777" w:rsidR="006109C0" w:rsidRPr="00123090" w:rsidRDefault="006109C0" w:rsidP="00F436F4">
            <w:pPr>
              <w:jc w:val="cente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2D88A82B" w14:textId="77777777" w:rsidR="006109C0" w:rsidRPr="00123090" w:rsidRDefault="006109C0" w:rsidP="00F436F4">
            <w:pPr>
              <w:jc w:val="cente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6EA8375C" w14:textId="77777777" w:rsidR="006109C0" w:rsidRPr="00123090" w:rsidRDefault="006109C0" w:rsidP="00F436F4">
            <w:pPr>
              <w:jc w:val="center"/>
              <w:rPr>
                <w:rFonts w:eastAsia="Times New Roman"/>
                <w:b/>
                <w:lang w:eastAsia="ja-JP"/>
              </w:rP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4660B809" w14:textId="77777777" w:rsidR="006109C0" w:rsidRPr="00123090" w:rsidRDefault="006109C0" w:rsidP="00F436F4">
            <w:pPr>
              <w:jc w:val="center"/>
              <w:rPr>
                <w:rFonts w:eastAsia="Times New Roman"/>
                <w:b/>
                <w:lang w:eastAsia="ja-JP"/>
              </w:rP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0781159A" w14:textId="77777777" w:rsidR="006109C0" w:rsidRPr="00123090" w:rsidRDefault="006109C0" w:rsidP="00F436F4">
            <w:pPr>
              <w:jc w:val="center"/>
              <w:rPr>
                <w:rFonts w:eastAsia="Times New Roman"/>
                <w:b/>
                <w:lang w:eastAsia="ja-JP"/>
              </w:rPr>
            </w:pPr>
            <w:r w:rsidRPr="00123090">
              <w:t>0</w:t>
            </w:r>
          </w:p>
        </w:tc>
      </w:tr>
      <w:tr w:rsidR="006109C0" w14:paraId="63824FA2" w14:textId="77777777" w:rsidTr="00F436F4">
        <w:tc>
          <w:tcPr>
            <w:tcW w:w="2635" w:type="dxa"/>
            <w:tcBorders>
              <w:top w:val="single" w:sz="4" w:space="0" w:color="auto"/>
              <w:left w:val="single" w:sz="4" w:space="0" w:color="auto"/>
              <w:bottom w:val="single" w:sz="4" w:space="0" w:color="auto"/>
              <w:right w:val="single" w:sz="4" w:space="0" w:color="auto"/>
            </w:tcBorders>
            <w:shd w:val="clear" w:color="auto" w:fill="auto"/>
          </w:tcPr>
          <w:p w14:paraId="23BFDA8E" w14:textId="77777777" w:rsidR="006109C0" w:rsidRPr="00123090" w:rsidRDefault="006109C0" w:rsidP="00F436F4">
            <w:pPr>
              <w:rPr>
                <w:rFonts w:eastAsia="Times New Roman"/>
                <w:lang w:eastAsia="ja-JP"/>
              </w:rPr>
            </w:pPr>
            <w:r w:rsidRPr="00123090">
              <w:rPr>
                <w:rFonts w:eastAsia="Times New Roman"/>
                <w:lang w:eastAsia="ja-JP"/>
              </w:rPr>
              <w:t>3. Finansiālā ietekme:</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12302F9D" w14:textId="77777777" w:rsidR="006109C0" w:rsidRPr="00123090" w:rsidRDefault="006109C0" w:rsidP="00F436F4">
            <w:pPr>
              <w:jc w:val="center"/>
              <w:rPr>
                <w:rFonts w:eastAsia="Arial Unicode MS"/>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5D9F4C16" w14:textId="77777777" w:rsidR="006109C0" w:rsidRPr="00123090" w:rsidRDefault="006109C0" w:rsidP="00F436F4">
            <w:pPr>
              <w:jc w:val="center"/>
              <w:rPr>
                <w:rFonts w:eastAsia="Arial Unicode MS"/>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4336CEB8" w14:textId="77777777" w:rsidR="006109C0" w:rsidRPr="00123090" w:rsidRDefault="006109C0" w:rsidP="00F436F4">
            <w:pPr>
              <w:jc w:val="center"/>
              <w:rPr>
                <w:rFonts w:eastAsia="Times New Roman"/>
                <w:b/>
                <w:lang w:eastAsia="ja-JP"/>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28A543CF" w14:textId="77777777" w:rsidR="006109C0" w:rsidRPr="00123090" w:rsidRDefault="006109C0" w:rsidP="00F436F4">
            <w:pPr>
              <w:jc w:val="center"/>
              <w:rPr>
                <w:rFonts w:eastAsia="Times New Roman"/>
                <w:b/>
                <w:lang w:eastAsia="ja-JP"/>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6727234E" w14:textId="77777777" w:rsidR="006109C0" w:rsidRPr="00123090" w:rsidRDefault="006109C0" w:rsidP="00F436F4">
            <w:pPr>
              <w:jc w:val="center"/>
              <w:rPr>
                <w:rFonts w:eastAsia="Times New Roman"/>
                <w:b/>
                <w:lang w:eastAsia="ja-JP"/>
              </w:rPr>
            </w:pPr>
            <w:r w:rsidRPr="00123090">
              <w:rPr>
                <w:rFonts w:eastAsia="Arial Unicode MS"/>
              </w:rPr>
              <w:t>0</w:t>
            </w:r>
          </w:p>
        </w:tc>
      </w:tr>
      <w:tr w:rsidR="006109C0" w14:paraId="180DC769" w14:textId="77777777" w:rsidTr="00F436F4">
        <w:tc>
          <w:tcPr>
            <w:tcW w:w="2635" w:type="dxa"/>
            <w:tcBorders>
              <w:top w:val="single" w:sz="4" w:space="0" w:color="auto"/>
              <w:left w:val="single" w:sz="4" w:space="0" w:color="auto"/>
              <w:bottom w:val="single" w:sz="4" w:space="0" w:color="auto"/>
              <w:right w:val="single" w:sz="4" w:space="0" w:color="auto"/>
            </w:tcBorders>
            <w:shd w:val="clear" w:color="auto" w:fill="auto"/>
          </w:tcPr>
          <w:p w14:paraId="1935F410" w14:textId="77777777" w:rsidR="006109C0" w:rsidRPr="00123090" w:rsidRDefault="006109C0" w:rsidP="00F436F4">
            <w:pPr>
              <w:rPr>
                <w:rFonts w:eastAsia="Times New Roman"/>
              </w:rPr>
            </w:pPr>
            <w:r w:rsidRPr="00123090">
              <w:rPr>
                <w:rFonts w:eastAsia="Times New Roman"/>
              </w:rPr>
              <w:t>3.1. valsts pamatbudžets</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45E0C71B" w14:textId="77777777" w:rsidR="006109C0" w:rsidRPr="00123090" w:rsidRDefault="006109C0" w:rsidP="00F436F4">
            <w:pPr>
              <w:jc w:val="center"/>
              <w:rPr>
                <w:rFonts w:eastAsia="Arial Unicode MS"/>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5B43209D" w14:textId="77777777" w:rsidR="006109C0" w:rsidRPr="00123090" w:rsidRDefault="006109C0" w:rsidP="00F436F4">
            <w:pPr>
              <w:jc w:val="center"/>
              <w:rPr>
                <w:rFonts w:eastAsia="Arial Unicode MS"/>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3946FDA7" w14:textId="77777777" w:rsidR="006109C0" w:rsidRPr="00123090" w:rsidRDefault="006109C0" w:rsidP="00F436F4">
            <w:pPr>
              <w:jc w:val="cente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737DC89B" w14:textId="77777777" w:rsidR="006109C0" w:rsidRPr="00123090" w:rsidRDefault="006109C0" w:rsidP="00F436F4">
            <w:pPr>
              <w:jc w:val="cente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3B85D373" w14:textId="77777777" w:rsidR="006109C0" w:rsidRPr="00123090" w:rsidRDefault="006109C0" w:rsidP="00F436F4">
            <w:pPr>
              <w:jc w:val="center"/>
            </w:pPr>
            <w:r w:rsidRPr="00123090">
              <w:rPr>
                <w:rFonts w:eastAsia="Arial Unicode MS"/>
              </w:rPr>
              <w:t>0</w:t>
            </w:r>
          </w:p>
        </w:tc>
      </w:tr>
      <w:tr w:rsidR="006109C0" w14:paraId="6616AD4B" w14:textId="77777777" w:rsidTr="00F436F4">
        <w:tc>
          <w:tcPr>
            <w:tcW w:w="2635" w:type="dxa"/>
            <w:tcBorders>
              <w:top w:val="single" w:sz="4" w:space="0" w:color="auto"/>
              <w:left w:val="single" w:sz="4" w:space="0" w:color="auto"/>
              <w:bottom w:val="single" w:sz="4" w:space="0" w:color="auto"/>
              <w:right w:val="single" w:sz="4" w:space="0" w:color="auto"/>
            </w:tcBorders>
            <w:shd w:val="clear" w:color="auto" w:fill="auto"/>
          </w:tcPr>
          <w:p w14:paraId="63A7B872" w14:textId="77777777" w:rsidR="006109C0" w:rsidRPr="00123090" w:rsidRDefault="006109C0" w:rsidP="00F436F4">
            <w:pPr>
              <w:rPr>
                <w:rFonts w:eastAsia="Times New Roman"/>
              </w:rPr>
            </w:pPr>
            <w:r w:rsidRPr="00123090">
              <w:rPr>
                <w:rFonts w:eastAsia="Times New Roman"/>
              </w:rPr>
              <w:t>3.2. speciālais budžets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345BDB2F" w14:textId="77777777" w:rsidR="006109C0" w:rsidRPr="00123090" w:rsidRDefault="006109C0" w:rsidP="00F436F4">
            <w:pPr>
              <w:jc w:val="cente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42F477E2" w14:textId="77777777" w:rsidR="006109C0" w:rsidRPr="00123090" w:rsidRDefault="006109C0" w:rsidP="00F436F4">
            <w:pPr>
              <w:jc w:val="cente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37A802D4" w14:textId="77777777" w:rsidR="006109C0" w:rsidRPr="00123090" w:rsidRDefault="006109C0" w:rsidP="00F436F4">
            <w:pPr>
              <w:jc w:val="center"/>
              <w:rPr>
                <w:rFonts w:eastAsia="Times New Roman"/>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43813DCE" w14:textId="77777777" w:rsidR="006109C0" w:rsidRPr="00123090" w:rsidRDefault="006109C0" w:rsidP="00F436F4">
            <w:pPr>
              <w:jc w:val="center"/>
              <w:rPr>
                <w:rFonts w:eastAsia="Times New Roman"/>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502CE9EB" w14:textId="77777777" w:rsidR="006109C0" w:rsidRPr="00123090" w:rsidRDefault="006109C0" w:rsidP="00F436F4">
            <w:pPr>
              <w:jc w:val="center"/>
              <w:rPr>
                <w:rFonts w:eastAsia="Times New Roman"/>
              </w:rPr>
            </w:pPr>
            <w:r w:rsidRPr="00123090">
              <w:rPr>
                <w:rFonts w:eastAsia="Arial Unicode MS"/>
              </w:rPr>
              <w:t>0</w:t>
            </w:r>
          </w:p>
        </w:tc>
      </w:tr>
      <w:tr w:rsidR="006109C0" w14:paraId="1C0AB844" w14:textId="77777777" w:rsidTr="00F436F4">
        <w:tc>
          <w:tcPr>
            <w:tcW w:w="2635" w:type="dxa"/>
            <w:tcBorders>
              <w:top w:val="single" w:sz="4" w:space="0" w:color="auto"/>
              <w:left w:val="single" w:sz="4" w:space="0" w:color="auto"/>
              <w:bottom w:val="single" w:sz="4" w:space="0" w:color="auto"/>
              <w:right w:val="single" w:sz="4" w:space="0" w:color="auto"/>
            </w:tcBorders>
            <w:shd w:val="clear" w:color="auto" w:fill="auto"/>
          </w:tcPr>
          <w:p w14:paraId="0F02F6AF" w14:textId="77777777" w:rsidR="006109C0" w:rsidRPr="00123090" w:rsidRDefault="006109C0" w:rsidP="00F436F4">
            <w:pPr>
              <w:rPr>
                <w:rFonts w:eastAsia="Times New Roman"/>
              </w:rPr>
            </w:pPr>
            <w:r w:rsidRPr="00123090">
              <w:rPr>
                <w:rFonts w:eastAsia="Times New Roman"/>
              </w:rPr>
              <w:t>3.3. pašvaldību budžets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7FBE4248" w14:textId="77777777" w:rsidR="006109C0" w:rsidRPr="00123090" w:rsidRDefault="006109C0" w:rsidP="00F436F4">
            <w:pPr>
              <w:jc w:val="cente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4101B287" w14:textId="77777777" w:rsidR="006109C0" w:rsidRPr="00123090" w:rsidRDefault="006109C0" w:rsidP="00F436F4">
            <w:pPr>
              <w:jc w:val="cente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792AADF2" w14:textId="77777777" w:rsidR="006109C0" w:rsidRPr="00123090" w:rsidRDefault="006109C0" w:rsidP="00F436F4">
            <w:pPr>
              <w:jc w:val="center"/>
              <w:rPr>
                <w:rFonts w:eastAsia="Times New Roman"/>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75601300" w14:textId="77777777" w:rsidR="006109C0" w:rsidRPr="00123090" w:rsidRDefault="006109C0" w:rsidP="00F436F4">
            <w:pPr>
              <w:jc w:val="center"/>
              <w:rPr>
                <w:rFonts w:eastAsia="Times New Roman"/>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01C5CB09" w14:textId="77777777" w:rsidR="006109C0" w:rsidRPr="00123090" w:rsidRDefault="006109C0" w:rsidP="00F436F4">
            <w:pPr>
              <w:jc w:val="center"/>
              <w:rPr>
                <w:rFonts w:eastAsia="Times New Roman"/>
              </w:rPr>
            </w:pPr>
            <w:r w:rsidRPr="00123090">
              <w:rPr>
                <w:rFonts w:eastAsia="Arial Unicode MS"/>
              </w:rPr>
              <w:t>0</w:t>
            </w:r>
          </w:p>
        </w:tc>
      </w:tr>
      <w:tr w:rsidR="006109C0" w14:paraId="08E97159" w14:textId="77777777" w:rsidTr="00F436F4">
        <w:tc>
          <w:tcPr>
            <w:tcW w:w="2635" w:type="dxa"/>
            <w:tcBorders>
              <w:top w:val="single" w:sz="4" w:space="0" w:color="auto"/>
              <w:left w:val="single" w:sz="4" w:space="0" w:color="auto"/>
              <w:bottom w:val="single" w:sz="4" w:space="0" w:color="auto"/>
              <w:right w:val="single" w:sz="4" w:space="0" w:color="auto"/>
            </w:tcBorders>
            <w:shd w:val="clear" w:color="auto" w:fill="auto"/>
          </w:tcPr>
          <w:p w14:paraId="624BD1AF" w14:textId="77777777" w:rsidR="006109C0" w:rsidRPr="00123090" w:rsidRDefault="006109C0" w:rsidP="00F436F4">
            <w:pPr>
              <w:rPr>
                <w:rFonts w:eastAsia="Times New Roman"/>
                <w:lang w:eastAsia="ja-JP"/>
              </w:rPr>
            </w:pPr>
            <w:r w:rsidRPr="00123090">
              <w:rPr>
                <w:rFonts w:eastAsia="Times New Roman"/>
                <w:lang w:eastAsia="ja-JP"/>
              </w:rPr>
              <w:t>4. Finanšu līdzekļi papildu izdevumu finansēšanai (kompensējošu izdevumu samazinājumu norāda ar "+" zīmi)</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11B81446" w14:textId="77777777" w:rsidR="006109C0" w:rsidRPr="00123090" w:rsidRDefault="006109C0" w:rsidP="00F436F4">
            <w:pPr>
              <w:jc w:val="center"/>
              <w:rPr>
                <w:rFonts w:eastAsia="Arial Unicode MS"/>
              </w:rPr>
            </w:pPr>
            <w:r w:rsidRPr="00123090">
              <w:rPr>
                <w:rFonts w:eastAsia="Arial Unicode MS"/>
              </w:rPr>
              <w:t>N/A</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5DEE71E8" w14:textId="77777777" w:rsidR="006109C0" w:rsidRPr="00123090" w:rsidRDefault="006109C0" w:rsidP="00F436F4">
            <w:pPr>
              <w:jc w:val="center"/>
              <w:rPr>
                <w:rFonts w:eastAsia="Arial Unicode MS"/>
                <w:b/>
              </w:rPr>
            </w:pPr>
            <w:r w:rsidRPr="00123090">
              <w:rPr>
                <w:rFonts w:eastAsia="Arial Unicode MS"/>
              </w:rPr>
              <w:t>N/A</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1F94BF21" w14:textId="77777777" w:rsidR="006109C0" w:rsidRPr="00123090" w:rsidRDefault="006109C0" w:rsidP="00F436F4">
            <w:pPr>
              <w:ind w:left="-30"/>
              <w:jc w:val="center"/>
              <w:rPr>
                <w:rFonts w:eastAsia="Times New Roman"/>
                <w:b/>
              </w:rPr>
            </w:pPr>
            <w:r w:rsidRPr="00123090">
              <w:rPr>
                <w:rFonts w:eastAsia="Arial Unicode MS"/>
              </w:rPr>
              <w:t>N/A</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28751368" w14:textId="77777777" w:rsidR="006109C0" w:rsidRPr="00123090" w:rsidRDefault="006109C0" w:rsidP="00F436F4">
            <w:pPr>
              <w:ind w:left="-30"/>
              <w:jc w:val="center"/>
              <w:rPr>
                <w:rFonts w:eastAsia="Times New Roman"/>
                <w:b/>
              </w:rPr>
            </w:pPr>
            <w:r w:rsidRPr="00123090">
              <w:rPr>
                <w:rFonts w:eastAsia="Arial Unicode MS"/>
              </w:rPr>
              <w:t>N/A</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2E763C06" w14:textId="77777777" w:rsidR="006109C0" w:rsidRPr="00123090" w:rsidRDefault="006109C0" w:rsidP="00F436F4">
            <w:pPr>
              <w:ind w:left="-30"/>
              <w:jc w:val="center"/>
              <w:rPr>
                <w:rFonts w:eastAsia="Times New Roman"/>
                <w:b/>
              </w:rPr>
            </w:pPr>
            <w:r w:rsidRPr="00123090">
              <w:rPr>
                <w:rFonts w:eastAsia="Arial Unicode MS"/>
              </w:rPr>
              <w:t>N/A</w:t>
            </w:r>
          </w:p>
        </w:tc>
      </w:tr>
      <w:tr w:rsidR="006109C0" w14:paraId="1EEEE3C4" w14:textId="77777777" w:rsidTr="00F436F4">
        <w:tc>
          <w:tcPr>
            <w:tcW w:w="2635" w:type="dxa"/>
            <w:tcBorders>
              <w:top w:val="single" w:sz="4" w:space="0" w:color="auto"/>
              <w:left w:val="single" w:sz="4" w:space="0" w:color="auto"/>
              <w:bottom w:val="single" w:sz="4" w:space="0" w:color="auto"/>
              <w:right w:val="single" w:sz="4" w:space="0" w:color="auto"/>
            </w:tcBorders>
            <w:shd w:val="clear" w:color="auto" w:fill="auto"/>
          </w:tcPr>
          <w:p w14:paraId="7EAE1B86" w14:textId="77777777" w:rsidR="006109C0" w:rsidRPr="00123090" w:rsidRDefault="006109C0" w:rsidP="00F436F4">
            <w:pPr>
              <w:rPr>
                <w:rFonts w:eastAsia="Times New Roman"/>
                <w:lang w:eastAsia="ja-JP"/>
              </w:rPr>
            </w:pPr>
            <w:r w:rsidRPr="00123090">
              <w:rPr>
                <w:rFonts w:eastAsia="Times New Roman"/>
                <w:lang w:eastAsia="ja-JP"/>
              </w:rPr>
              <w:t>5. Precizēta finansiālā ietekme:</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7862ECB8" w14:textId="77777777" w:rsidR="006109C0" w:rsidRPr="00123090" w:rsidRDefault="006109C0" w:rsidP="00F436F4">
            <w:pPr>
              <w:jc w:val="center"/>
              <w:rPr>
                <w:rFonts w:eastAsia="Arial Unicode MS"/>
              </w:rPr>
            </w:pPr>
            <w:r w:rsidRPr="00123090">
              <w:rPr>
                <w:rFonts w:eastAsia="Arial Unicode MS"/>
              </w:rPr>
              <w:t>N/A</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06205797" w14:textId="77777777" w:rsidR="006109C0" w:rsidRPr="00123090" w:rsidRDefault="006109C0" w:rsidP="00F436F4">
            <w:pPr>
              <w:jc w:val="center"/>
              <w:rPr>
                <w:rFonts w:eastAsia="Arial Unicode MS"/>
              </w:rPr>
            </w:pPr>
            <w:r w:rsidRPr="00123090">
              <w:rPr>
                <w:rFonts w:eastAsia="Arial Unicode MS"/>
              </w:rPr>
              <w:t>N/A</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21CD025D" w14:textId="77777777" w:rsidR="006109C0" w:rsidRPr="00123090" w:rsidRDefault="006109C0" w:rsidP="00F436F4">
            <w:pPr>
              <w:jc w:val="center"/>
              <w:rPr>
                <w:rFonts w:eastAsia="Times New Roman"/>
              </w:rPr>
            </w:pPr>
            <w:r w:rsidRPr="00123090">
              <w:rPr>
                <w:rFonts w:eastAsia="Times New Roman"/>
              </w:rPr>
              <w:t>N/A</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50E080B4" w14:textId="77777777" w:rsidR="006109C0" w:rsidRPr="00123090" w:rsidRDefault="006109C0" w:rsidP="00F436F4">
            <w:pPr>
              <w:jc w:val="center"/>
              <w:rPr>
                <w:rFonts w:eastAsia="Times New Roman"/>
              </w:rPr>
            </w:pPr>
            <w:r w:rsidRPr="00123090">
              <w:rPr>
                <w:rFonts w:eastAsia="Times New Roman"/>
              </w:rPr>
              <w:t>N/A</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4FB647D7" w14:textId="77777777" w:rsidR="006109C0" w:rsidRPr="00123090" w:rsidRDefault="006109C0" w:rsidP="00F436F4">
            <w:pPr>
              <w:jc w:val="center"/>
              <w:rPr>
                <w:rFonts w:eastAsia="Times New Roman"/>
              </w:rPr>
            </w:pPr>
            <w:r w:rsidRPr="00123090">
              <w:rPr>
                <w:rFonts w:eastAsia="Times New Roman"/>
              </w:rPr>
              <w:t>N/A</w:t>
            </w:r>
          </w:p>
        </w:tc>
      </w:tr>
      <w:tr w:rsidR="006109C0" w14:paraId="1EA89CD9" w14:textId="77777777" w:rsidTr="00F436F4">
        <w:tc>
          <w:tcPr>
            <w:tcW w:w="2635" w:type="dxa"/>
            <w:tcBorders>
              <w:top w:val="single" w:sz="4" w:space="0" w:color="auto"/>
              <w:left w:val="single" w:sz="4" w:space="0" w:color="auto"/>
              <w:bottom w:val="single" w:sz="4" w:space="0" w:color="auto"/>
              <w:right w:val="single" w:sz="4" w:space="0" w:color="auto"/>
            </w:tcBorders>
            <w:shd w:val="clear" w:color="auto" w:fill="auto"/>
          </w:tcPr>
          <w:p w14:paraId="4DA495D1" w14:textId="77777777" w:rsidR="006109C0" w:rsidRPr="003F61CB" w:rsidRDefault="006109C0" w:rsidP="00F436F4">
            <w:pPr>
              <w:rPr>
                <w:iCs/>
                <w:color w:val="000000"/>
              </w:rPr>
            </w:pPr>
            <w:r w:rsidRPr="003F61CB">
              <w:rPr>
                <w:iCs/>
                <w:color w:val="000000"/>
              </w:rPr>
              <w:t>6. Detalizēts ieņēmumu un izdevumu aprēķins (ja nepieciešams, detalizētu ieņēmumu un izdevumu aprēķinu var pievienot anotācijas pielikumā):</w:t>
            </w:r>
          </w:p>
        </w:tc>
        <w:tc>
          <w:tcPr>
            <w:tcW w:w="6545" w:type="dxa"/>
            <w:gridSpan w:val="5"/>
            <w:vMerge w:val="restart"/>
            <w:tcBorders>
              <w:top w:val="single" w:sz="4" w:space="0" w:color="auto"/>
              <w:left w:val="single" w:sz="4" w:space="0" w:color="auto"/>
              <w:right w:val="single" w:sz="4" w:space="0" w:color="auto"/>
            </w:tcBorders>
            <w:shd w:val="clear" w:color="auto" w:fill="auto"/>
          </w:tcPr>
          <w:p w14:paraId="3E1454EF" w14:textId="00A333BC" w:rsidR="006109C0" w:rsidRDefault="006109C0" w:rsidP="00F436F4">
            <w:pPr>
              <w:pStyle w:val="ListParagraph"/>
              <w:tabs>
                <w:tab w:val="left" w:pos="317"/>
              </w:tabs>
              <w:ind w:left="34"/>
              <w:jc w:val="both"/>
              <w:rPr>
                <w:rFonts w:eastAsia="Calibri"/>
                <w:iCs/>
                <w:color w:val="000000"/>
                <w:sz w:val="24"/>
                <w:szCs w:val="24"/>
              </w:rPr>
            </w:pPr>
            <w:r w:rsidRPr="003F61CB">
              <w:rPr>
                <w:rFonts w:eastAsia="Calibri"/>
                <w:iCs/>
                <w:color w:val="000000"/>
                <w:sz w:val="24"/>
                <w:szCs w:val="24"/>
              </w:rPr>
              <w:t>Saskaņā ar noteikumu projektu 8.</w:t>
            </w:r>
            <w:r w:rsidR="00636186">
              <w:rPr>
                <w:rFonts w:eastAsia="Calibri"/>
                <w:iCs/>
                <w:color w:val="000000"/>
                <w:sz w:val="24"/>
                <w:szCs w:val="24"/>
              </w:rPr>
              <w:t>3</w:t>
            </w:r>
            <w:r w:rsidRPr="003F61CB">
              <w:rPr>
                <w:rFonts w:eastAsia="Calibri"/>
                <w:iCs/>
                <w:color w:val="000000"/>
                <w:sz w:val="24"/>
                <w:szCs w:val="24"/>
              </w:rPr>
              <w:t>.</w:t>
            </w:r>
            <w:r w:rsidR="00636186">
              <w:rPr>
                <w:rFonts w:eastAsia="Calibri"/>
                <w:iCs/>
                <w:color w:val="000000"/>
                <w:sz w:val="24"/>
                <w:szCs w:val="24"/>
              </w:rPr>
              <w:t>6</w:t>
            </w:r>
            <w:r w:rsidRPr="003F61CB">
              <w:rPr>
                <w:rFonts w:eastAsia="Calibri"/>
                <w:iCs/>
                <w:color w:val="000000"/>
                <w:sz w:val="24"/>
                <w:szCs w:val="24"/>
              </w:rPr>
              <w:t>.</w:t>
            </w:r>
            <w:r w:rsidR="00636186">
              <w:rPr>
                <w:rFonts w:eastAsia="Calibri"/>
                <w:iCs/>
                <w:color w:val="000000"/>
                <w:sz w:val="24"/>
                <w:szCs w:val="24"/>
              </w:rPr>
              <w:t>1.pasākuma</w:t>
            </w:r>
            <w:r w:rsidR="00636186" w:rsidRPr="003F61CB">
              <w:rPr>
                <w:rFonts w:eastAsia="Calibri"/>
                <w:iCs/>
                <w:color w:val="000000"/>
                <w:sz w:val="24"/>
                <w:szCs w:val="24"/>
              </w:rPr>
              <w:t xml:space="preserve"> </w:t>
            </w:r>
            <w:r w:rsidRPr="003F61CB">
              <w:rPr>
                <w:rFonts w:eastAsia="Calibri"/>
                <w:iCs/>
                <w:color w:val="000000"/>
                <w:sz w:val="24"/>
                <w:szCs w:val="24"/>
              </w:rPr>
              <w:t xml:space="preserve">pieejamais kopējais </w:t>
            </w:r>
            <w:r w:rsidR="00AE1DA4" w:rsidRPr="003F61CB">
              <w:rPr>
                <w:rFonts w:eastAsia="Calibri"/>
                <w:iCs/>
                <w:color w:val="000000"/>
                <w:sz w:val="24"/>
                <w:szCs w:val="24"/>
              </w:rPr>
              <w:t xml:space="preserve"> attiecināmais </w:t>
            </w:r>
            <w:r w:rsidRPr="003F61CB">
              <w:rPr>
                <w:rFonts w:eastAsia="Calibri"/>
                <w:iCs/>
                <w:color w:val="000000"/>
                <w:sz w:val="24"/>
                <w:szCs w:val="24"/>
              </w:rPr>
              <w:t xml:space="preserve">finansējums ir </w:t>
            </w:r>
            <w:r w:rsidR="006960CA" w:rsidRPr="009512B6">
              <w:rPr>
                <w:rFonts w:eastAsia="Calibri"/>
                <w:iCs/>
                <w:color w:val="000000"/>
                <w:sz w:val="24"/>
                <w:szCs w:val="24"/>
              </w:rPr>
              <w:t>6 311 </w:t>
            </w:r>
            <w:r w:rsidR="009E40C8">
              <w:rPr>
                <w:rFonts w:eastAsia="Calibri"/>
                <w:iCs/>
                <w:color w:val="000000"/>
                <w:sz w:val="24"/>
                <w:szCs w:val="24"/>
              </w:rPr>
              <w:t>48</w:t>
            </w:r>
            <w:r w:rsidR="009E40C8" w:rsidRPr="00983624">
              <w:rPr>
                <w:rFonts w:eastAsia="Calibri"/>
                <w:b/>
                <w:iCs/>
                <w:color w:val="000000"/>
                <w:sz w:val="24"/>
                <w:szCs w:val="24"/>
              </w:rPr>
              <w:t>9</w:t>
            </w:r>
            <w:r w:rsidR="009E40C8" w:rsidRPr="003F61CB">
              <w:rPr>
                <w:rFonts w:eastAsia="Calibri"/>
                <w:iCs/>
                <w:color w:val="000000"/>
                <w:sz w:val="24"/>
                <w:szCs w:val="24"/>
              </w:rPr>
              <w:t xml:space="preserve"> </w:t>
            </w:r>
            <w:proofErr w:type="spellStart"/>
            <w:r w:rsidRPr="004843ED">
              <w:rPr>
                <w:rFonts w:eastAsia="Calibri"/>
                <w:i/>
                <w:iCs/>
                <w:color w:val="000000"/>
                <w:sz w:val="24"/>
                <w:szCs w:val="24"/>
              </w:rPr>
              <w:t>euro</w:t>
            </w:r>
            <w:proofErr w:type="spellEnd"/>
            <w:r w:rsidRPr="003F61CB">
              <w:rPr>
                <w:rFonts w:eastAsia="Calibri"/>
                <w:iCs/>
                <w:color w:val="000000"/>
                <w:sz w:val="24"/>
                <w:szCs w:val="24"/>
              </w:rPr>
              <w:t xml:space="preserve">, tai skaitā Eiropas Sociālā fonda finansējums </w:t>
            </w:r>
            <w:r w:rsidR="006960CA" w:rsidRPr="009512B6">
              <w:rPr>
                <w:rFonts w:eastAsia="Calibri"/>
                <w:iCs/>
                <w:color w:val="000000"/>
                <w:sz w:val="24"/>
                <w:szCs w:val="24"/>
              </w:rPr>
              <w:t xml:space="preserve">5 364 </w:t>
            </w:r>
            <w:r w:rsidR="009E40C8">
              <w:rPr>
                <w:rFonts w:eastAsia="Calibri"/>
                <w:iCs/>
                <w:color w:val="000000"/>
                <w:sz w:val="24"/>
                <w:szCs w:val="24"/>
              </w:rPr>
              <w:t>765</w:t>
            </w:r>
            <w:r w:rsidR="009E40C8" w:rsidRPr="003F61CB">
              <w:rPr>
                <w:rFonts w:eastAsia="Calibri"/>
                <w:iCs/>
                <w:color w:val="000000"/>
                <w:sz w:val="24"/>
                <w:szCs w:val="24"/>
              </w:rPr>
              <w:t xml:space="preserve"> </w:t>
            </w:r>
            <w:proofErr w:type="spellStart"/>
            <w:r w:rsidRPr="004843ED">
              <w:rPr>
                <w:rFonts w:eastAsia="Calibri"/>
                <w:i/>
                <w:iCs/>
                <w:color w:val="000000"/>
                <w:sz w:val="24"/>
                <w:szCs w:val="24"/>
              </w:rPr>
              <w:t>euro</w:t>
            </w:r>
            <w:proofErr w:type="spellEnd"/>
            <w:r w:rsidRPr="003F61CB">
              <w:rPr>
                <w:rFonts w:eastAsia="Calibri"/>
                <w:iCs/>
                <w:color w:val="000000"/>
                <w:sz w:val="24"/>
                <w:szCs w:val="24"/>
              </w:rPr>
              <w:t xml:space="preserve"> un valsts budžeta finansējums </w:t>
            </w:r>
            <w:r w:rsidR="006960CA" w:rsidRPr="009512B6">
              <w:rPr>
                <w:rFonts w:eastAsia="Calibri"/>
                <w:iCs/>
                <w:color w:val="000000"/>
                <w:sz w:val="24"/>
                <w:szCs w:val="24"/>
              </w:rPr>
              <w:t xml:space="preserve">946 </w:t>
            </w:r>
            <w:r w:rsidR="00B5309D">
              <w:rPr>
                <w:rFonts w:eastAsia="Calibri"/>
                <w:iCs/>
                <w:color w:val="000000"/>
                <w:sz w:val="24"/>
                <w:szCs w:val="24"/>
              </w:rPr>
              <w:t>724</w:t>
            </w:r>
            <w:r w:rsidR="00B5309D" w:rsidRPr="003F61CB">
              <w:rPr>
                <w:rFonts w:eastAsia="Calibri"/>
                <w:iCs/>
                <w:color w:val="000000"/>
                <w:sz w:val="24"/>
                <w:szCs w:val="24"/>
              </w:rPr>
              <w:t xml:space="preserve"> </w:t>
            </w:r>
            <w:proofErr w:type="spellStart"/>
            <w:r w:rsidRPr="004843ED">
              <w:rPr>
                <w:rFonts w:eastAsia="Calibri"/>
                <w:i/>
                <w:iCs/>
                <w:color w:val="000000"/>
                <w:sz w:val="24"/>
                <w:szCs w:val="24"/>
              </w:rPr>
              <w:t>euro</w:t>
            </w:r>
            <w:proofErr w:type="spellEnd"/>
            <w:r w:rsidR="00983624">
              <w:rPr>
                <w:rFonts w:eastAsia="Calibri"/>
                <w:iCs/>
                <w:color w:val="000000"/>
                <w:sz w:val="24"/>
                <w:szCs w:val="24"/>
              </w:rPr>
              <w:t>,</w:t>
            </w:r>
            <w:r w:rsidR="00913F8C">
              <w:rPr>
                <w:rFonts w:eastAsia="Calibri"/>
                <w:iCs/>
                <w:color w:val="000000"/>
                <w:sz w:val="24"/>
                <w:szCs w:val="24"/>
              </w:rPr>
              <w:t xml:space="preserve"> </w:t>
            </w:r>
            <w:r w:rsidR="00983624" w:rsidRPr="000E20A5">
              <w:rPr>
                <w:rFonts w:eastAsia="Calibri"/>
                <w:iCs/>
                <w:color w:val="000000"/>
                <w:sz w:val="24"/>
                <w:szCs w:val="24"/>
              </w:rPr>
              <w:t>nodrošinot, ka tiek saglabāts maksimālais attiecināmais Eiropas Sociālā fonda finansējuma apmērs, nepārsniedzot 85 procentus no kopējā attiecināmā finansējuma,</w:t>
            </w:r>
            <w:r w:rsidR="00983624" w:rsidRPr="000E20A5">
              <w:t xml:space="preserve"> </w:t>
            </w:r>
            <w:r w:rsidR="00983624" w:rsidRPr="000E20A5">
              <w:rPr>
                <w:rFonts w:eastAsia="Calibri"/>
                <w:iCs/>
                <w:color w:val="000000"/>
                <w:sz w:val="24"/>
                <w:szCs w:val="24"/>
              </w:rPr>
              <w:t xml:space="preserve">palielinot </w:t>
            </w:r>
            <w:r w:rsidR="007467A2">
              <w:t xml:space="preserve"> </w:t>
            </w:r>
            <w:r w:rsidR="007467A2" w:rsidRPr="008B7D56">
              <w:rPr>
                <w:rFonts w:eastAsia="Calibri"/>
                <w:iCs/>
                <w:color w:val="000000"/>
                <w:sz w:val="24"/>
                <w:szCs w:val="24"/>
              </w:rPr>
              <w:t xml:space="preserve">valsts budžeta finansējumu par 1 </w:t>
            </w:r>
            <w:proofErr w:type="spellStart"/>
            <w:r w:rsidR="007467A2" w:rsidRPr="00B91644">
              <w:rPr>
                <w:rFonts w:eastAsia="Calibri"/>
                <w:i/>
                <w:iCs/>
                <w:color w:val="000000"/>
                <w:sz w:val="24"/>
                <w:szCs w:val="24"/>
              </w:rPr>
              <w:t>euro</w:t>
            </w:r>
            <w:proofErr w:type="spellEnd"/>
            <w:r w:rsidR="007467A2" w:rsidRPr="008B7D56">
              <w:rPr>
                <w:rFonts w:eastAsia="Calibri"/>
                <w:iCs/>
                <w:color w:val="000000"/>
                <w:sz w:val="24"/>
                <w:szCs w:val="24"/>
              </w:rPr>
              <w:t xml:space="preserve"> un līdz ar to arī</w:t>
            </w:r>
            <w:r w:rsidR="007467A2" w:rsidRPr="007467A2">
              <w:rPr>
                <w:rFonts w:eastAsia="Calibri"/>
                <w:iCs/>
                <w:color w:val="000000"/>
                <w:sz w:val="24"/>
                <w:szCs w:val="24"/>
              </w:rPr>
              <w:t xml:space="preserve"> </w:t>
            </w:r>
            <w:r w:rsidR="007467A2">
              <w:rPr>
                <w:rFonts w:eastAsia="Calibri"/>
                <w:iCs/>
                <w:color w:val="000000"/>
                <w:sz w:val="24"/>
                <w:szCs w:val="24"/>
              </w:rPr>
              <w:t xml:space="preserve"> </w:t>
            </w:r>
            <w:r w:rsidR="00983624" w:rsidRPr="000E20A5">
              <w:rPr>
                <w:rFonts w:eastAsia="Calibri"/>
                <w:iCs/>
                <w:color w:val="000000"/>
                <w:sz w:val="24"/>
                <w:szCs w:val="24"/>
              </w:rPr>
              <w:t xml:space="preserve">kopējo attiecināmo finansējumu par 1 </w:t>
            </w:r>
            <w:proofErr w:type="spellStart"/>
            <w:r w:rsidR="00983624" w:rsidRPr="000E20A5">
              <w:rPr>
                <w:rFonts w:eastAsia="Calibri"/>
                <w:i/>
                <w:iCs/>
                <w:color w:val="000000"/>
                <w:sz w:val="24"/>
                <w:szCs w:val="24"/>
              </w:rPr>
              <w:t>euro</w:t>
            </w:r>
            <w:proofErr w:type="spellEnd"/>
            <w:r w:rsidR="00983624" w:rsidRPr="000E20A5">
              <w:rPr>
                <w:rFonts w:eastAsia="Calibri"/>
                <w:iCs/>
                <w:color w:val="000000"/>
                <w:sz w:val="24"/>
                <w:szCs w:val="24"/>
              </w:rPr>
              <w:t>.</w:t>
            </w:r>
          </w:p>
          <w:p w14:paraId="333AA4A0" w14:textId="739C135C" w:rsidR="00C92565" w:rsidRPr="004843ED" w:rsidRDefault="00C92565" w:rsidP="009E2DD6">
            <w:pPr>
              <w:pStyle w:val="ListParagraph"/>
              <w:tabs>
                <w:tab w:val="left" w:pos="317"/>
              </w:tabs>
              <w:ind w:left="34"/>
              <w:jc w:val="both"/>
              <w:rPr>
                <w:iCs/>
                <w:color w:val="000000"/>
                <w:sz w:val="24"/>
                <w:szCs w:val="24"/>
              </w:rPr>
            </w:pPr>
            <w:r w:rsidRPr="004843ED">
              <w:rPr>
                <w:iCs/>
                <w:color w:val="000000"/>
                <w:sz w:val="24"/>
                <w:szCs w:val="24"/>
              </w:rPr>
              <w:t xml:space="preserve">Budžeta ieņēmumi ir finansējuma ESF daļa 85 procentu apmērā no projektu attiecināmām izmaksām. Budžeta izdevumi ir kopējie projektu ieviešanai nepieciešamie publiskā finansējuma (ESF un valsts budžeta) līdzekļi 100 procentu apmērā no projektu attiecināmām izmaksām. Projekts tiek ieviests no 2016. gada 29.jūlija un plānots īstenot līdz 2023. gada </w:t>
            </w:r>
            <w:r w:rsidR="00594F40" w:rsidRPr="004843ED">
              <w:rPr>
                <w:iCs/>
                <w:color w:val="000000"/>
                <w:sz w:val="24"/>
                <w:szCs w:val="24"/>
              </w:rPr>
              <w:t>31.</w:t>
            </w:r>
            <w:r w:rsidRPr="004843ED">
              <w:rPr>
                <w:iCs/>
                <w:color w:val="000000"/>
                <w:sz w:val="24"/>
                <w:szCs w:val="24"/>
              </w:rPr>
              <w:t xml:space="preserve"> </w:t>
            </w:r>
            <w:r w:rsidR="00594F40" w:rsidRPr="004843ED">
              <w:rPr>
                <w:iCs/>
                <w:color w:val="000000"/>
                <w:sz w:val="24"/>
                <w:szCs w:val="24"/>
              </w:rPr>
              <w:t>decembrim</w:t>
            </w:r>
            <w:r w:rsidRPr="004843ED">
              <w:rPr>
                <w:iCs/>
                <w:color w:val="000000"/>
                <w:sz w:val="24"/>
                <w:szCs w:val="24"/>
              </w:rPr>
              <w:t xml:space="preserve">. </w:t>
            </w:r>
          </w:p>
          <w:p w14:paraId="6BCA4E09" w14:textId="77777777" w:rsidR="00C92565" w:rsidRPr="004843ED" w:rsidRDefault="00C92565" w:rsidP="00C92565">
            <w:pPr>
              <w:pStyle w:val="ListParagraph"/>
              <w:tabs>
                <w:tab w:val="left" w:pos="317"/>
              </w:tabs>
              <w:ind w:left="34"/>
              <w:rPr>
                <w:iCs/>
                <w:color w:val="000000"/>
                <w:sz w:val="24"/>
                <w:szCs w:val="24"/>
              </w:rPr>
            </w:pPr>
            <w:r w:rsidRPr="004843ED">
              <w:rPr>
                <w:iCs/>
                <w:color w:val="000000"/>
                <w:sz w:val="24"/>
                <w:szCs w:val="24"/>
              </w:rPr>
              <w:t>Indikatīvi tiek plānots šāds finansējuma apjoma izlietojums katru gadu: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1701"/>
              <w:gridCol w:w="2268"/>
              <w:gridCol w:w="1417"/>
            </w:tblGrid>
            <w:tr w:rsidR="00C92565" w:rsidRPr="00C92565" w14:paraId="52C32B0B" w14:textId="77777777" w:rsidTr="00F436F4">
              <w:trPr>
                <w:trHeight w:val="234"/>
              </w:trPr>
              <w:tc>
                <w:tcPr>
                  <w:tcW w:w="899" w:type="dxa"/>
                </w:tcPr>
                <w:p w14:paraId="4B20AD26" w14:textId="77777777" w:rsidR="00C92565" w:rsidRPr="00C92565" w:rsidRDefault="00C92565" w:rsidP="00E1295E">
                  <w:pPr>
                    <w:pStyle w:val="ListParagraph"/>
                    <w:framePr w:hSpace="180" w:wrap="around" w:vAnchor="text" w:hAnchor="text" w:y="1"/>
                    <w:tabs>
                      <w:tab w:val="left" w:pos="317"/>
                    </w:tabs>
                    <w:ind w:left="34"/>
                    <w:suppressOverlap/>
                    <w:rPr>
                      <w:iCs/>
                      <w:color w:val="000000"/>
                    </w:rPr>
                  </w:pPr>
                  <w:r w:rsidRPr="00C92565">
                    <w:rPr>
                      <w:iCs/>
                      <w:color w:val="000000"/>
                    </w:rPr>
                    <w:t>Gads</w:t>
                  </w:r>
                </w:p>
              </w:tc>
              <w:tc>
                <w:tcPr>
                  <w:tcW w:w="1701" w:type="dxa"/>
                </w:tcPr>
                <w:p w14:paraId="3F9F6AA3" w14:textId="77777777" w:rsidR="00C92565" w:rsidRPr="00C92565" w:rsidRDefault="00C92565" w:rsidP="00E1295E">
                  <w:pPr>
                    <w:pStyle w:val="ListParagraph"/>
                    <w:framePr w:hSpace="180" w:wrap="around" w:vAnchor="text" w:hAnchor="text" w:y="1"/>
                    <w:tabs>
                      <w:tab w:val="left" w:pos="317"/>
                    </w:tabs>
                    <w:ind w:left="34"/>
                    <w:suppressOverlap/>
                    <w:rPr>
                      <w:iCs/>
                      <w:color w:val="000000"/>
                    </w:rPr>
                  </w:pPr>
                  <w:r w:rsidRPr="00C92565">
                    <w:rPr>
                      <w:iCs/>
                      <w:color w:val="000000"/>
                    </w:rPr>
                    <w:t xml:space="preserve">ESF finansējums, </w:t>
                  </w:r>
                  <w:proofErr w:type="spellStart"/>
                  <w:r w:rsidRPr="00C92565">
                    <w:rPr>
                      <w:i/>
                      <w:iCs/>
                      <w:color w:val="000000"/>
                    </w:rPr>
                    <w:t>euro</w:t>
                  </w:r>
                  <w:proofErr w:type="spellEnd"/>
                </w:p>
              </w:tc>
              <w:tc>
                <w:tcPr>
                  <w:tcW w:w="2268" w:type="dxa"/>
                </w:tcPr>
                <w:p w14:paraId="61CAD544" w14:textId="77777777" w:rsidR="00C92565" w:rsidRPr="00C92565" w:rsidRDefault="00C92565" w:rsidP="00E1295E">
                  <w:pPr>
                    <w:pStyle w:val="ListParagraph"/>
                    <w:framePr w:hSpace="180" w:wrap="around" w:vAnchor="text" w:hAnchor="text" w:y="1"/>
                    <w:tabs>
                      <w:tab w:val="left" w:pos="317"/>
                    </w:tabs>
                    <w:ind w:left="34"/>
                    <w:suppressOverlap/>
                    <w:rPr>
                      <w:iCs/>
                      <w:color w:val="000000"/>
                    </w:rPr>
                  </w:pPr>
                  <w:r w:rsidRPr="00C92565">
                    <w:rPr>
                      <w:iCs/>
                      <w:color w:val="000000"/>
                    </w:rPr>
                    <w:t xml:space="preserve">Valsts budžeta līdzfinansējums, </w:t>
                  </w:r>
                  <w:proofErr w:type="spellStart"/>
                  <w:r w:rsidRPr="00C92565">
                    <w:rPr>
                      <w:i/>
                      <w:iCs/>
                      <w:color w:val="000000"/>
                    </w:rPr>
                    <w:t>euro</w:t>
                  </w:r>
                  <w:proofErr w:type="spellEnd"/>
                </w:p>
              </w:tc>
              <w:tc>
                <w:tcPr>
                  <w:tcW w:w="1417" w:type="dxa"/>
                </w:tcPr>
                <w:p w14:paraId="3D647AAE" w14:textId="77777777" w:rsidR="00C92565" w:rsidRPr="00C92565" w:rsidRDefault="00C92565" w:rsidP="00E1295E">
                  <w:pPr>
                    <w:pStyle w:val="ListParagraph"/>
                    <w:framePr w:hSpace="180" w:wrap="around" w:vAnchor="text" w:hAnchor="text" w:y="1"/>
                    <w:tabs>
                      <w:tab w:val="left" w:pos="317"/>
                    </w:tabs>
                    <w:ind w:left="34"/>
                    <w:suppressOverlap/>
                    <w:rPr>
                      <w:iCs/>
                      <w:color w:val="000000"/>
                    </w:rPr>
                  </w:pPr>
                  <w:r w:rsidRPr="00C92565">
                    <w:rPr>
                      <w:iCs/>
                      <w:color w:val="000000"/>
                    </w:rPr>
                    <w:t xml:space="preserve">Kopā, </w:t>
                  </w:r>
                  <w:proofErr w:type="spellStart"/>
                  <w:r w:rsidRPr="00C92565">
                    <w:rPr>
                      <w:i/>
                      <w:iCs/>
                      <w:color w:val="000000"/>
                    </w:rPr>
                    <w:t>euro</w:t>
                  </w:r>
                  <w:proofErr w:type="spellEnd"/>
                </w:p>
              </w:tc>
            </w:tr>
            <w:tr w:rsidR="00C92565" w:rsidRPr="00C92565" w14:paraId="03991806" w14:textId="77777777" w:rsidTr="00F436F4">
              <w:trPr>
                <w:trHeight w:val="234"/>
              </w:trPr>
              <w:tc>
                <w:tcPr>
                  <w:tcW w:w="899" w:type="dxa"/>
                </w:tcPr>
                <w:p w14:paraId="245729ED" w14:textId="77777777" w:rsidR="00C92565" w:rsidRPr="00C92565" w:rsidRDefault="00C92565" w:rsidP="00E1295E">
                  <w:pPr>
                    <w:pStyle w:val="ListParagraph"/>
                    <w:framePr w:hSpace="180" w:wrap="around" w:vAnchor="text" w:hAnchor="text" w:y="1"/>
                    <w:tabs>
                      <w:tab w:val="left" w:pos="317"/>
                    </w:tabs>
                    <w:ind w:left="34"/>
                    <w:suppressOverlap/>
                    <w:rPr>
                      <w:iCs/>
                      <w:color w:val="000000"/>
                    </w:rPr>
                  </w:pPr>
                  <w:r w:rsidRPr="00C92565">
                    <w:rPr>
                      <w:iCs/>
                      <w:color w:val="000000"/>
                    </w:rPr>
                    <w:t>2018.</w:t>
                  </w:r>
                </w:p>
              </w:tc>
              <w:tc>
                <w:tcPr>
                  <w:tcW w:w="1701" w:type="dxa"/>
                </w:tcPr>
                <w:p w14:paraId="3EF03646" w14:textId="299711F0" w:rsidR="00C92565" w:rsidRPr="00C92565" w:rsidRDefault="00D279D0" w:rsidP="00E1295E">
                  <w:pPr>
                    <w:pStyle w:val="ListParagraph"/>
                    <w:framePr w:hSpace="180" w:wrap="around" w:vAnchor="text" w:hAnchor="text" w:y="1"/>
                    <w:tabs>
                      <w:tab w:val="left" w:pos="317"/>
                    </w:tabs>
                    <w:ind w:left="34"/>
                    <w:suppressOverlap/>
                    <w:jc w:val="center"/>
                    <w:rPr>
                      <w:iCs/>
                      <w:color w:val="000000"/>
                    </w:rPr>
                  </w:pPr>
                  <w:r>
                    <w:rPr>
                      <w:iCs/>
                      <w:color w:val="000000"/>
                    </w:rPr>
                    <w:t>1 157 999</w:t>
                  </w:r>
                </w:p>
              </w:tc>
              <w:tc>
                <w:tcPr>
                  <w:tcW w:w="2268" w:type="dxa"/>
                </w:tcPr>
                <w:p w14:paraId="205EF8B8" w14:textId="3D73DD08" w:rsidR="00C92565" w:rsidRPr="00C92565" w:rsidRDefault="00D279D0" w:rsidP="00E1295E">
                  <w:pPr>
                    <w:pStyle w:val="ListParagraph"/>
                    <w:framePr w:hSpace="180" w:wrap="around" w:vAnchor="text" w:hAnchor="text" w:y="1"/>
                    <w:tabs>
                      <w:tab w:val="left" w:pos="317"/>
                    </w:tabs>
                    <w:ind w:left="34"/>
                    <w:suppressOverlap/>
                    <w:jc w:val="center"/>
                    <w:rPr>
                      <w:iCs/>
                      <w:color w:val="000000"/>
                    </w:rPr>
                  </w:pPr>
                  <w:r>
                    <w:rPr>
                      <w:iCs/>
                      <w:color w:val="000000"/>
                    </w:rPr>
                    <w:t>204 353</w:t>
                  </w:r>
                </w:p>
              </w:tc>
              <w:tc>
                <w:tcPr>
                  <w:tcW w:w="1417" w:type="dxa"/>
                </w:tcPr>
                <w:p w14:paraId="767863C9" w14:textId="578FA708" w:rsidR="00C92565" w:rsidRPr="00C92565" w:rsidRDefault="00C92565" w:rsidP="00E1295E">
                  <w:pPr>
                    <w:pStyle w:val="ListParagraph"/>
                    <w:framePr w:hSpace="180" w:wrap="around" w:vAnchor="text" w:hAnchor="text" w:y="1"/>
                    <w:tabs>
                      <w:tab w:val="left" w:pos="317"/>
                    </w:tabs>
                    <w:ind w:left="34"/>
                    <w:suppressOverlap/>
                    <w:jc w:val="center"/>
                    <w:rPr>
                      <w:iCs/>
                      <w:color w:val="000000"/>
                    </w:rPr>
                  </w:pPr>
                  <w:r>
                    <w:rPr>
                      <w:iCs/>
                      <w:color w:val="000000"/>
                    </w:rPr>
                    <w:t>1 362 352</w:t>
                  </w:r>
                </w:p>
              </w:tc>
            </w:tr>
            <w:tr w:rsidR="00C92565" w:rsidRPr="00C92565" w14:paraId="025C80E7" w14:textId="77777777" w:rsidTr="00F436F4">
              <w:trPr>
                <w:trHeight w:val="246"/>
              </w:trPr>
              <w:tc>
                <w:tcPr>
                  <w:tcW w:w="899" w:type="dxa"/>
                </w:tcPr>
                <w:p w14:paraId="233B575A" w14:textId="77777777" w:rsidR="00C92565" w:rsidRPr="00C92565" w:rsidRDefault="00C92565" w:rsidP="00E1295E">
                  <w:pPr>
                    <w:pStyle w:val="ListParagraph"/>
                    <w:framePr w:hSpace="180" w:wrap="around" w:vAnchor="text" w:hAnchor="text" w:y="1"/>
                    <w:tabs>
                      <w:tab w:val="left" w:pos="317"/>
                    </w:tabs>
                    <w:ind w:left="34"/>
                    <w:suppressOverlap/>
                    <w:rPr>
                      <w:iCs/>
                      <w:color w:val="000000"/>
                    </w:rPr>
                  </w:pPr>
                  <w:r w:rsidRPr="00C92565">
                    <w:rPr>
                      <w:iCs/>
                      <w:color w:val="000000"/>
                    </w:rPr>
                    <w:t>2019.</w:t>
                  </w:r>
                </w:p>
              </w:tc>
              <w:tc>
                <w:tcPr>
                  <w:tcW w:w="1701" w:type="dxa"/>
                </w:tcPr>
                <w:p w14:paraId="3692E1E0" w14:textId="2A435F6E" w:rsidR="00C92565" w:rsidRPr="00C92565" w:rsidRDefault="00AF1864" w:rsidP="00E1295E">
                  <w:pPr>
                    <w:pStyle w:val="ListParagraph"/>
                    <w:framePr w:hSpace="180" w:wrap="around" w:vAnchor="text" w:hAnchor="text" w:y="1"/>
                    <w:tabs>
                      <w:tab w:val="left" w:pos="317"/>
                    </w:tabs>
                    <w:ind w:left="34"/>
                    <w:suppressOverlap/>
                    <w:jc w:val="center"/>
                    <w:rPr>
                      <w:iCs/>
                      <w:color w:val="000000"/>
                    </w:rPr>
                  </w:pPr>
                  <w:r>
                    <w:rPr>
                      <w:iCs/>
                      <w:color w:val="000000"/>
                    </w:rPr>
                    <w:t>665 278</w:t>
                  </w:r>
                </w:p>
              </w:tc>
              <w:tc>
                <w:tcPr>
                  <w:tcW w:w="2268" w:type="dxa"/>
                </w:tcPr>
                <w:p w14:paraId="3BF02179" w14:textId="1524A37E" w:rsidR="00C92565" w:rsidRPr="00C92565" w:rsidRDefault="00AF1864" w:rsidP="00E1295E">
                  <w:pPr>
                    <w:pStyle w:val="ListParagraph"/>
                    <w:framePr w:hSpace="180" w:wrap="around" w:vAnchor="text" w:hAnchor="text" w:y="1"/>
                    <w:tabs>
                      <w:tab w:val="left" w:pos="317"/>
                    </w:tabs>
                    <w:ind w:left="34"/>
                    <w:suppressOverlap/>
                    <w:jc w:val="center"/>
                    <w:rPr>
                      <w:iCs/>
                      <w:color w:val="000000"/>
                    </w:rPr>
                  </w:pPr>
                  <w:r>
                    <w:rPr>
                      <w:iCs/>
                      <w:color w:val="000000"/>
                    </w:rPr>
                    <w:t>117 402</w:t>
                  </w:r>
                </w:p>
              </w:tc>
              <w:tc>
                <w:tcPr>
                  <w:tcW w:w="1417" w:type="dxa"/>
                </w:tcPr>
                <w:p w14:paraId="0640E34C" w14:textId="6B6C0687" w:rsidR="00C92565" w:rsidRPr="00C92565" w:rsidRDefault="00AF1864" w:rsidP="00E1295E">
                  <w:pPr>
                    <w:pStyle w:val="ListParagraph"/>
                    <w:framePr w:hSpace="180" w:wrap="around" w:vAnchor="text" w:hAnchor="text" w:y="1"/>
                    <w:tabs>
                      <w:tab w:val="left" w:pos="317"/>
                    </w:tabs>
                    <w:ind w:left="34"/>
                    <w:suppressOverlap/>
                    <w:jc w:val="center"/>
                    <w:rPr>
                      <w:iCs/>
                      <w:color w:val="000000"/>
                    </w:rPr>
                  </w:pPr>
                  <w:r>
                    <w:rPr>
                      <w:iCs/>
                      <w:color w:val="000000"/>
                    </w:rPr>
                    <w:t>782 680</w:t>
                  </w:r>
                </w:p>
              </w:tc>
            </w:tr>
            <w:tr w:rsidR="00C92565" w:rsidRPr="00C92565" w14:paraId="267AA446" w14:textId="77777777" w:rsidTr="00F436F4">
              <w:trPr>
                <w:trHeight w:val="234"/>
              </w:trPr>
              <w:tc>
                <w:tcPr>
                  <w:tcW w:w="899" w:type="dxa"/>
                </w:tcPr>
                <w:p w14:paraId="31C9CA6D" w14:textId="77777777" w:rsidR="00C92565" w:rsidRPr="00423B48" w:rsidRDefault="00C92565" w:rsidP="00E1295E">
                  <w:pPr>
                    <w:pStyle w:val="ListParagraph"/>
                    <w:framePr w:hSpace="180" w:wrap="around" w:vAnchor="text" w:hAnchor="text" w:y="1"/>
                    <w:tabs>
                      <w:tab w:val="left" w:pos="317"/>
                    </w:tabs>
                    <w:ind w:left="34"/>
                    <w:suppressOverlap/>
                    <w:rPr>
                      <w:iCs/>
                      <w:color w:val="000000"/>
                    </w:rPr>
                  </w:pPr>
                  <w:r w:rsidRPr="00423B48">
                    <w:rPr>
                      <w:iCs/>
                      <w:color w:val="000000"/>
                    </w:rPr>
                    <w:t>2020.</w:t>
                  </w:r>
                </w:p>
              </w:tc>
              <w:tc>
                <w:tcPr>
                  <w:tcW w:w="1701" w:type="dxa"/>
                </w:tcPr>
                <w:p w14:paraId="25678D65" w14:textId="2306725F" w:rsidR="00C92565" w:rsidRPr="009512B6" w:rsidRDefault="00403B9D" w:rsidP="00E1295E">
                  <w:pPr>
                    <w:pStyle w:val="ListParagraph"/>
                    <w:framePr w:hSpace="180" w:wrap="around" w:vAnchor="text" w:hAnchor="text" w:y="1"/>
                    <w:tabs>
                      <w:tab w:val="left" w:pos="317"/>
                    </w:tabs>
                    <w:ind w:left="34"/>
                    <w:suppressOverlap/>
                    <w:jc w:val="center"/>
                    <w:rPr>
                      <w:iCs/>
                      <w:color w:val="000000"/>
                    </w:rPr>
                  </w:pPr>
                  <w:r w:rsidRPr="009512B6">
                    <w:rPr>
                      <w:iCs/>
                      <w:color w:val="000000"/>
                    </w:rPr>
                    <w:t>661 320</w:t>
                  </w:r>
                </w:p>
              </w:tc>
              <w:tc>
                <w:tcPr>
                  <w:tcW w:w="2268" w:type="dxa"/>
                </w:tcPr>
                <w:p w14:paraId="10A82559" w14:textId="6A72B4BB" w:rsidR="00C92565" w:rsidRPr="009512B6" w:rsidRDefault="00403B9D" w:rsidP="00E1295E">
                  <w:pPr>
                    <w:pStyle w:val="ListParagraph"/>
                    <w:framePr w:hSpace="180" w:wrap="around" w:vAnchor="text" w:hAnchor="text" w:y="1"/>
                    <w:tabs>
                      <w:tab w:val="left" w:pos="317"/>
                    </w:tabs>
                    <w:ind w:left="34"/>
                    <w:suppressOverlap/>
                    <w:jc w:val="center"/>
                    <w:rPr>
                      <w:iCs/>
                      <w:color w:val="000000"/>
                    </w:rPr>
                  </w:pPr>
                  <w:r w:rsidRPr="009512B6">
                    <w:rPr>
                      <w:iCs/>
                      <w:color w:val="000000"/>
                    </w:rPr>
                    <w:t>116 703</w:t>
                  </w:r>
                </w:p>
              </w:tc>
              <w:tc>
                <w:tcPr>
                  <w:tcW w:w="1417" w:type="dxa"/>
                </w:tcPr>
                <w:p w14:paraId="1DAD9004" w14:textId="420C3C51" w:rsidR="00C92565" w:rsidRPr="009512B6" w:rsidRDefault="00403B9D" w:rsidP="00E1295E">
                  <w:pPr>
                    <w:pStyle w:val="ListParagraph"/>
                    <w:framePr w:hSpace="180" w:wrap="around" w:vAnchor="text" w:hAnchor="text" w:y="1"/>
                    <w:tabs>
                      <w:tab w:val="left" w:pos="317"/>
                    </w:tabs>
                    <w:ind w:left="34"/>
                    <w:suppressOverlap/>
                    <w:jc w:val="center"/>
                    <w:rPr>
                      <w:iCs/>
                      <w:color w:val="000000"/>
                    </w:rPr>
                  </w:pPr>
                  <w:r w:rsidRPr="009512B6">
                    <w:rPr>
                      <w:iCs/>
                      <w:color w:val="000000"/>
                    </w:rPr>
                    <w:t>778 023</w:t>
                  </w:r>
                </w:p>
              </w:tc>
            </w:tr>
            <w:tr w:rsidR="00C92565" w:rsidRPr="00C92565" w14:paraId="5707A22C" w14:textId="77777777" w:rsidTr="00F436F4">
              <w:trPr>
                <w:trHeight w:val="234"/>
              </w:trPr>
              <w:tc>
                <w:tcPr>
                  <w:tcW w:w="899" w:type="dxa"/>
                </w:tcPr>
                <w:p w14:paraId="49FCDB75" w14:textId="77777777" w:rsidR="00C92565" w:rsidRPr="009512B6" w:rsidRDefault="00C92565" w:rsidP="00E1295E">
                  <w:pPr>
                    <w:pStyle w:val="ListParagraph"/>
                    <w:framePr w:hSpace="180" w:wrap="around" w:vAnchor="text" w:hAnchor="text" w:y="1"/>
                    <w:tabs>
                      <w:tab w:val="left" w:pos="317"/>
                    </w:tabs>
                    <w:ind w:left="34"/>
                    <w:suppressOverlap/>
                    <w:rPr>
                      <w:iCs/>
                      <w:color w:val="000000"/>
                    </w:rPr>
                  </w:pPr>
                  <w:r w:rsidRPr="00423B48">
                    <w:rPr>
                      <w:iCs/>
                      <w:color w:val="000000"/>
                    </w:rPr>
                    <w:t>2021.</w:t>
                  </w:r>
                </w:p>
              </w:tc>
              <w:tc>
                <w:tcPr>
                  <w:tcW w:w="1701" w:type="dxa"/>
                </w:tcPr>
                <w:p w14:paraId="047C0308" w14:textId="222E200C" w:rsidR="00C92565" w:rsidRPr="009512B6" w:rsidRDefault="00AD30AF" w:rsidP="00E1295E">
                  <w:pPr>
                    <w:pStyle w:val="ListParagraph"/>
                    <w:framePr w:hSpace="180" w:wrap="around" w:vAnchor="text" w:hAnchor="text" w:y="1"/>
                    <w:tabs>
                      <w:tab w:val="left" w:pos="317"/>
                    </w:tabs>
                    <w:ind w:left="34"/>
                    <w:suppressOverlap/>
                    <w:jc w:val="center"/>
                    <w:rPr>
                      <w:iCs/>
                      <w:color w:val="000000"/>
                    </w:rPr>
                  </w:pPr>
                  <w:r w:rsidRPr="009512B6">
                    <w:rPr>
                      <w:iCs/>
                      <w:color w:val="000000"/>
                    </w:rPr>
                    <w:t>838 178</w:t>
                  </w:r>
                </w:p>
              </w:tc>
              <w:tc>
                <w:tcPr>
                  <w:tcW w:w="2268" w:type="dxa"/>
                </w:tcPr>
                <w:p w14:paraId="248CF01F" w14:textId="2B56209E" w:rsidR="00C92565" w:rsidRPr="009512B6" w:rsidRDefault="00AD30AF" w:rsidP="00E1295E">
                  <w:pPr>
                    <w:pStyle w:val="ListParagraph"/>
                    <w:framePr w:hSpace="180" w:wrap="around" w:vAnchor="text" w:hAnchor="text" w:y="1"/>
                    <w:tabs>
                      <w:tab w:val="left" w:pos="317"/>
                    </w:tabs>
                    <w:ind w:left="34"/>
                    <w:suppressOverlap/>
                    <w:jc w:val="center"/>
                    <w:rPr>
                      <w:iCs/>
                      <w:color w:val="000000"/>
                    </w:rPr>
                  </w:pPr>
                  <w:r w:rsidRPr="009512B6">
                    <w:rPr>
                      <w:iCs/>
                      <w:color w:val="000000"/>
                    </w:rPr>
                    <w:t>147 914</w:t>
                  </w:r>
                </w:p>
              </w:tc>
              <w:tc>
                <w:tcPr>
                  <w:tcW w:w="1417" w:type="dxa"/>
                </w:tcPr>
                <w:p w14:paraId="4DE4A12A" w14:textId="5B42C395" w:rsidR="00C92565" w:rsidRPr="009512B6" w:rsidRDefault="00AD30AF" w:rsidP="00E1295E">
                  <w:pPr>
                    <w:pStyle w:val="ListParagraph"/>
                    <w:framePr w:hSpace="180" w:wrap="around" w:vAnchor="text" w:hAnchor="text" w:y="1"/>
                    <w:tabs>
                      <w:tab w:val="left" w:pos="317"/>
                    </w:tabs>
                    <w:ind w:left="34"/>
                    <w:suppressOverlap/>
                    <w:jc w:val="center"/>
                    <w:rPr>
                      <w:iCs/>
                      <w:color w:val="000000"/>
                    </w:rPr>
                  </w:pPr>
                  <w:r w:rsidRPr="009512B6">
                    <w:rPr>
                      <w:iCs/>
                      <w:color w:val="000000"/>
                    </w:rPr>
                    <w:t>986 092</w:t>
                  </w:r>
                </w:p>
              </w:tc>
            </w:tr>
            <w:tr w:rsidR="00C92565" w:rsidRPr="00C92565" w14:paraId="58DBA50E" w14:textId="77777777" w:rsidTr="00F436F4">
              <w:trPr>
                <w:trHeight w:val="234"/>
              </w:trPr>
              <w:tc>
                <w:tcPr>
                  <w:tcW w:w="899" w:type="dxa"/>
                </w:tcPr>
                <w:p w14:paraId="5AE54AA0" w14:textId="77777777" w:rsidR="00C92565" w:rsidRPr="00423B48" w:rsidRDefault="00C92565" w:rsidP="00E1295E">
                  <w:pPr>
                    <w:pStyle w:val="ListParagraph"/>
                    <w:framePr w:hSpace="180" w:wrap="around" w:vAnchor="text" w:hAnchor="text" w:y="1"/>
                    <w:tabs>
                      <w:tab w:val="left" w:pos="317"/>
                    </w:tabs>
                    <w:ind w:left="34"/>
                    <w:suppressOverlap/>
                    <w:rPr>
                      <w:iCs/>
                      <w:color w:val="000000"/>
                    </w:rPr>
                  </w:pPr>
                  <w:r w:rsidRPr="00423B48">
                    <w:rPr>
                      <w:iCs/>
                      <w:color w:val="000000"/>
                    </w:rPr>
                    <w:t>2022.</w:t>
                  </w:r>
                </w:p>
              </w:tc>
              <w:tc>
                <w:tcPr>
                  <w:tcW w:w="1701" w:type="dxa"/>
                </w:tcPr>
                <w:p w14:paraId="296CB165" w14:textId="06649454" w:rsidR="00C92565" w:rsidRPr="009512B6" w:rsidRDefault="00AD30AF" w:rsidP="00E1295E">
                  <w:pPr>
                    <w:pStyle w:val="ListParagraph"/>
                    <w:framePr w:hSpace="180" w:wrap="around" w:vAnchor="text" w:hAnchor="text" w:y="1"/>
                    <w:tabs>
                      <w:tab w:val="left" w:pos="317"/>
                    </w:tabs>
                    <w:ind w:left="34"/>
                    <w:suppressOverlap/>
                    <w:jc w:val="center"/>
                    <w:rPr>
                      <w:iCs/>
                      <w:color w:val="000000"/>
                    </w:rPr>
                  </w:pPr>
                  <w:r w:rsidRPr="009512B6">
                    <w:rPr>
                      <w:iCs/>
                      <w:color w:val="000000"/>
                    </w:rPr>
                    <w:t>800 959</w:t>
                  </w:r>
                </w:p>
              </w:tc>
              <w:tc>
                <w:tcPr>
                  <w:tcW w:w="2268" w:type="dxa"/>
                </w:tcPr>
                <w:p w14:paraId="49DE3E4A" w14:textId="5C24AF43" w:rsidR="00C92565" w:rsidRPr="009512B6" w:rsidRDefault="00AD30AF" w:rsidP="00E1295E">
                  <w:pPr>
                    <w:pStyle w:val="ListParagraph"/>
                    <w:framePr w:hSpace="180" w:wrap="around" w:vAnchor="text" w:hAnchor="text" w:y="1"/>
                    <w:tabs>
                      <w:tab w:val="left" w:pos="317"/>
                    </w:tabs>
                    <w:ind w:left="34"/>
                    <w:suppressOverlap/>
                    <w:jc w:val="center"/>
                    <w:rPr>
                      <w:iCs/>
                      <w:color w:val="000000"/>
                    </w:rPr>
                  </w:pPr>
                  <w:r w:rsidRPr="009512B6">
                    <w:rPr>
                      <w:iCs/>
                      <w:color w:val="000000"/>
                    </w:rPr>
                    <w:t>141 345</w:t>
                  </w:r>
                </w:p>
              </w:tc>
              <w:tc>
                <w:tcPr>
                  <w:tcW w:w="1417" w:type="dxa"/>
                </w:tcPr>
                <w:p w14:paraId="6E088B79" w14:textId="5E902D3F" w:rsidR="00C92565" w:rsidRPr="009512B6" w:rsidRDefault="00AD30AF" w:rsidP="00E1295E">
                  <w:pPr>
                    <w:pStyle w:val="ListParagraph"/>
                    <w:framePr w:hSpace="180" w:wrap="around" w:vAnchor="text" w:hAnchor="text" w:y="1"/>
                    <w:tabs>
                      <w:tab w:val="left" w:pos="317"/>
                    </w:tabs>
                    <w:ind w:left="34"/>
                    <w:suppressOverlap/>
                    <w:jc w:val="center"/>
                    <w:rPr>
                      <w:iCs/>
                      <w:color w:val="000000"/>
                    </w:rPr>
                  </w:pPr>
                  <w:r w:rsidRPr="009512B6">
                    <w:rPr>
                      <w:iCs/>
                      <w:color w:val="000000"/>
                    </w:rPr>
                    <w:t>942 304</w:t>
                  </w:r>
                </w:p>
              </w:tc>
            </w:tr>
            <w:tr w:rsidR="00C92565" w:rsidRPr="00C92565" w14:paraId="75DB863F" w14:textId="77777777" w:rsidTr="00F436F4">
              <w:trPr>
                <w:trHeight w:val="234"/>
              </w:trPr>
              <w:tc>
                <w:tcPr>
                  <w:tcW w:w="899" w:type="dxa"/>
                </w:tcPr>
                <w:p w14:paraId="7D57ECEA" w14:textId="77777777" w:rsidR="00C92565" w:rsidRPr="00423B48" w:rsidRDefault="00C92565" w:rsidP="00E1295E">
                  <w:pPr>
                    <w:pStyle w:val="ListParagraph"/>
                    <w:framePr w:hSpace="180" w:wrap="around" w:vAnchor="text" w:hAnchor="text" w:y="1"/>
                    <w:tabs>
                      <w:tab w:val="left" w:pos="317"/>
                    </w:tabs>
                    <w:ind w:left="34"/>
                    <w:suppressOverlap/>
                    <w:rPr>
                      <w:iCs/>
                      <w:color w:val="000000"/>
                    </w:rPr>
                  </w:pPr>
                  <w:r w:rsidRPr="00423B48">
                    <w:rPr>
                      <w:iCs/>
                      <w:color w:val="000000"/>
                    </w:rPr>
                    <w:t>2023.</w:t>
                  </w:r>
                </w:p>
              </w:tc>
              <w:tc>
                <w:tcPr>
                  <w:tcW w:w="1701" w:type="dxa"/>
                </w:tcPr>
                <w:p w14:paraId="3128BD40" w14:textId="591F5E60" w:rsidR="00C92565" w:rsidRPr="009512B6" w:rsidRDefault="00AD30AF" w:rsidP="00E1295E">
                  <w:pPr>
                    <w:pStyle w:val="ListParagraph"/>
                    <w:framePr w:hSpace="180" w:wrap="around" w:vAnchor="text" w:hAnchor="text" w:y="1"/>
                    <w:tabs>
                      <w:tab w:val="left" w:pos="317"/>
                    </w:tabs>
                    <w:ind w:left="34"/>
                    <w:suppressOverlap/>
                    <w:jc w:val="center"/>
                    <w:rPr>
                      <w:iCs/>
                      <w:color w:val="000000"/>
                    </w:rPr>
                  </w:pPr>
                  <w:r w:rsidRPr="009512B6">
                    <w:rPr>
                      <w:iCs/>
                      <w:color w:val="000000"/>
                    </w:rPr>
                    <w:t>409 280</w:t>
                  </w:r>
                </w:p>
              </w:tc>
              <w:tc>
                <w:tcPr>
                  <w:tcW w:w="2268" w:type="dxa"/>
                </w:tcPr>
                <w:p w14:paraId="02F11DFD" w14:textId="6903FD75" w:rsidR="00C92565" w:rsidRPr="009512B6" w:rsidRDefault="00AD30AF" w:rsidP="00E1295E">
                  <w:pPr>
                    <w:pStyle w:val="ListParagraph"/>
                    <w:framePr w:hSpace="180" w:wrap="around" w:vAnchor="text" w:hAnchor="text" w:y="1"/>
                    <w:tabs>
                      <w:tab w:val="left" w:pos="317"/>
                    </w:tabs>
                    <w:ind w:left="34"/>
                    <w:suppressOverlap/>
                    <w:jc w:val="center"/>
                    <w:rPr>
                      <w:iCs/>
                      <w:color w:val="000000"/>
                    </w:rPr>
                  </w:pPr>
                  <w:r w:rsidRPr="009512B6">
                    <w:rPr>
                      <w:iCs/>
                      <w:color w:val="000000"/>
                    </w:rPr>
                    <w:t>72 226</w:t>
                  </w:r>
                </w:p>
              </w:tc>
              <w:tc>
                <w:tcPr>
                  <w:tcW w:w="1417" w:type="dxa"/>
                </w:tcPr>
                <w:p w14:paraId="77182F4D" w14:textId="5B9B1F13" w:rsidR="00C92565" w:rsidRPr="009512B6" w:rsidRDefault="00AD30AF" w:rsidP="00E1295E">
                  <w:pPr>
                    <w:pStyle w:val="ListParagraph"/>
                    <w:framePr w:hSpace="180" w:wrap="around" w:vAnchor="text" w:hAnchor="text" w:y="1"/>
                    <w:tabs>
                      <w:tab w:val="left" w:pos="317"/>
                    </w:tabs>
                    <w:ind w:left="34"/>
                    <w:suppressOverlap/>
                    <w:jc w:val="center"/>
                    <w:rPr>
                      <w:iCs/>
                      <w:color w:val="000000"/>
                    </w:rPr>
                  </w:pPr>
                  <w:r w:rsidRPr="009512B6">
                    <w:rPr>
                      <w:iCs/>
                      <w:color w:val="000000"/>
                    </w:rPr>
                    <w:t>481 506</w:t>
                  </w:r>
                </w:p>
              </w:tc>
            </w:tr>
          </w:tbl>
          <w:p w14:paraId="2D0B1EC8" w14:textId="293ED00B" w:rsidR="006109C0" w:rsidRPr="003F61CB" w:rsidRDefault="00C92565" w:rsidP="009E2DD6">
            <w:pPr>
              <w:ind w:left="-54" w:right="57"/>
              <w:jc w:val="both"/>
              <w:rPr>
                <w:iCs/>
                <w:color w:val="000000"/>
              </w:rPr>
            </w:pPr>
            <w:r w:rsidRPr="00C92565">
              <w:rPr>
                <w:iCs/>
                <w:color w:val="000000"/>
              </w:rPr>
              <w:t xml:space="preserve">Finansējuma sadalījums pa gadiem norādīts indikatīvi un var tikt precizēts, ņemot vērā faktiski izlietoto finansējumu. </w:t>
            </w:r>
          </w:p>
        </w:tc>
      </w:tr>
      <w:tr w:rsidR="006109C0" w14:paraId="03497344" w14:textId="77777777" w:rsidTr="00F436F4">
        <w:tc>
          <w:tcPr>
            <w:tcW w:w="2635" w:type="dxa"/>
            <w:tcBorders>
              <w:top w:val="single" w:sz="4" w:space="0" w:color="auto"/>
              <w:left w:val="single" w:sz="4" w:space="0" w:color="auto"/>
              <w:bottom w:val="single" w:sz="4" w:space="0" w:color="auto"/>
              <w:right w:val="single" w:sz="4" w:space="0" w:color="auto"/>
            </w:tcBorders>
            <w:shd w:val="clear" w:color="auto" w:fill="auto"/>
          </w:tcPr>
          <w:p w14:paraId="45960188" w14:textId="77777777" w:rsidR="006109C0" w:rsidRPr="003F61CB" w:rsidRDefault="006109C0" w:rsidP="00F436F4">
            <w:pPr>
              <w:rPr>
                <w:iCs/>
                <w:color w:val="000000"/>
              </w:rPr>
            </w:pPr>
            <w:r w:rsidRPr="003F61CB">
              <w:rPr>
                <w:iCs/>
                <w:color w:val="000000"/>
              </w:rPr>
              <w:t>6.1. detalizēts ieņēmumu aprēķins</w:t>
            </w:r>
          </w:p>
        </w:tc>
        <w:tc>
          <w:tcPr>
            <w:tcW w:w="6545" w:type="dxa"/>
            <w:gridSpan w:val="5"/>
            <w:vMerge/>
            <w:tcBorders>
              <w:left w:val="single" w:sz="4" w:space="0" w:color="auto"/>
              <w:right w:val="single" w:sz="4" w:space="0" w:color="auto"/>
            </w:tcBorders>
            <w:shd w:val="clear" w:color="auto" w:fill="auto"/>
          </w:tcPr>
          <w:p w14:paraId="26C589F0" w14:textId="77777777" w:rsidR="006109C0" w:rsidRPr="003F61CB" w:rsidRDefault="006109C0" w:rsidP="00F436F4">
            <w:pPr>
              <w:pStyle w:val="ListParagraph"/>
              <w:tabs>
                <w:tab w:val="left" w:pos="317"/>
              </w:tabs>
              <w:ind w:left="34"/>
              <w:jc w:val="both"/>
              <w:rPr>
                <w:rFonts w:eastAsia="Calibri"/>
                <w:iCs/>
                <w:color w:val="000000"/>
                <w:sz w:val="24"/>
                <w:szCs w:val="24"/>
              </w:rPr>
            </w:pPr>
          </w:p>
        </w:tc>
      </w:tr>
      <w:tr w:rsidR="006109C0" w14:paraId="65465AA7" w14:textId="77777777" w:rsidTr="00F436F4">
        <w:tc>
          <w:tcPr>
            <w:tcW w:w="2635" w:type="dxa"/>
            <w:tcBorders>
              <w:top w:val="single" w:sz="4" w:space="0" w:color="auto"/>
              <w:left w:val="single" w:sz="4" w:space="0" w:color="auto"/>
              <w:bottom w:val="single" w:sz="4" w:space="0" w:color="auto"/>
              <w:right w:val="single" w:sz="4" w:space="0" w:color="auto"/>
            </w:tcBorders>
            <w:shd w:val="clear" w:color="auto" w:fill="auto"/>
          </w:tcPr>
          <w:p w14:paraId="33D79839" w14:textId="77777777" w:rsidR="006109C0" w:rsidRPr="003F61CB" w:rsidRDefault="006109C0" w:rsidP="00F436F4">
            <w:pPr>
              <w:rPr>
                <w:iCs/>
                <w:color w:val="000000"/>
              </w:rPr>
            </w:pPr>
            <w:r w:rsidRPr="003F61CB">
              <w:rPr>
                <w:iCs/>
                <w:color w:val="000000"/>
              </w:rPr>
              <w:t>6.2. detalizēts izdevumu aprēķins</w:t>
            </w:r>
          </w:p>
        </w:tc>
        <w:tc>
          <w:tcPr>
            <w:tcW w:w="6545" w:type="dxa"/>
            <w:gridSpan w:val="5"/>
            <w:vMerge/>
            <w:tcBorders>
              <w:left w:val="single" w:sz="4" w:space="0" w:color="auto"/>
              <w:bottom w:val="single" w:sz="4" w:space="0" w:color="auto"/>
              <w:right w:val="single" w:sz="4" w:space="0" w:color="auto"/>
            </w:tcBorders>
            <w:shd w:val="clear" w:color="auto" w:fill="auto"/>
          </w:tcPr>
          <w:p w14:paraId="70F7961A" w14:textId="77777777" w:rsidR="006109C0" w:rsidRPr="003F61CB" w:rsidRDefault="006109C0" w:rsidP="00F436F4">
            <w:pPr>
              <w:pStyle w:val="ListParagraph"/>
              <w:tabs>
                <w:tab w:val="left" w:pos="317"/>
              </w:tabs>
              <w:ind w:left="34"/>
              <w:jc w:val="both"/>
              <w:rPr>
                <w:rFonts w:eastAsia="Calibri"/>
                <w:iCs/>
                <w:color w:val="000000"/>
                <w:sz w:val="24"/>
                <w:szCs w:val="24"/>
              </w:rPr>
            </w:pPr>
          </w:p>
        </w:tc>
      </w:tr>
      <w:tr w:rsidR="006109C0" w14:paraId="1AB9AF67" w14:textId="77777777" w:rsidTr="00F436F4">
        <w:tc>
          <w:tcPr>
            <w:tcW w:w="2635" w:type="dxa"/>
            <w:tcBorders>
              <w:top w:val="single" w:sz="4" w:space="0" w:color="auto"/>
              <w:left w:val="single" w:sz="4" w:space="0" w:color="auto"/>
              <w:bottom w:val="single" w:sz="4" w:space="0" w:color="auto"/>
              <w:right w:val="single" w:sz="4" w:space="0" w:color="auto"/>
            </w:tcBorders>
            <w:shd w:val="clear" w:color="auto" w:fill="auto"/>
          </w:tcPr>
          <w:p w14:paraId="5710B892" w14:textId="77777777" w:rsidR="006109C0" w:rsidRPr="00123090" w:rsidRDefault="006109C0" w:rsidP="00F436F4">
            <w:pPr>
              <w:rPr>
                <w:rFonts w:eastAsia="Times New Roman"/>
                <w:lang w:eastAsia="ja-JP"/>
              </w:rPr>
            </w:pPr>
            <w:r w:rsidRPr="00123090">
              <w:rPr>
                <w:rFonts w:eastAsia="Times New Roman"/>
                <w:lang w:eastAsia="ja-JP"/>
              </w:rPr>
              <w:t>7. Amata vietu skaita izmaiņas</w:t>
            </w:r>
          </w:p>
        </w:tc>
        <w:tc>
          <w:tcPr>
            <w:tcW w:w="6545" w:type="dxa"/>
            <w:gridSpan w:val="5"/>
            <w:tcBorders>
              <w:top w:val="single" w:sz="4" w:space="0" w:color="auto"/>
              <w:left w:val="single" w:sz="4" w:space="0" w:color="auto"/>
              <w:bottom w:val="single" w:sz="4" w:space="0" w:color="auto"/>
              <w:right w:val="single" w:sz="4" w:space="0" w:color="auto"/>
            </w:tcBorders>
            <w:shd w:val="clear" w:color="auto" w:fill="auto"/>
          </w:tcPr>
          <w:p w14:paraId="37859534" w14:textId="77777777" w:rsidR="006109C0" w:rsidRPr="003F61CB" w:rsidRDefault="006109C0" w:rsidP="00F436F4">
            <w:pPr>
              <w:jc w:val="both"/>
              <w:rPr>
                <w:rFonts w:eastAsia="Times New Roman"/>
                <w:lang w:eastAsia="ja-JP"/>
              </w:rPr>
            </w:pPr>
            <w:r w:rsidRPr="003F61CB">
              <w:rPr>
                <w:iCs/>
                <w:color w:val="000000"/>
              </w:rPr>
              <w:t>Noteikumu projekts šo jomu neskar.</w:t>
            </w:r>
          </w:p>
        </w:tc>
      </w:tr>
      <w:tr w:rsidR="006109C0" w14:paraId="16324568" w14:textId="77777777" w:rsidTr="00F436F4">
        <w:tc>
          <w:tcPr>
            <w:tcW w:w="2635" w:type="dxa"/>
            <w:tcBorders>
              <w:top w:val="single" w:sz="4" w:space="0" w:color="auto"/>
              <w:left w:val="single" w:sz="4" w:space="0" w:color="auto"/>
              <w:bottom w:val="single" w:sz="4" w:space="0" w:color="auto"/>
              <w:right w:val="single" w:sz="4" w:space="0" w:color="auto"/>
            </w:tcBorders>
            <w:shd w:val="clear" w:color="auto" w:fill="auto"/>
          </w:tcPr>
          <w:p w14:paraId="608ACF25" w14:textId="77777777" w:rsidR="006109C0" w:rsidRPr="00123090" w:rsidRDefault="006109C0" w:rsidP="00F436F4">
            <w:pPr>
              <w:rPr>
                <w:rFonts w:eastAsia="Times New Roman"/>
                <w:lang w:eastAsia="ja-JP"/>
              </w:rPr>
            </w:pPr>
            <w:r w:rsidRPr="00123090">
              <w:rPr>
                <w:rFonts w:eastAsia="Times New Roman"/>
                <w:lang w:eastAsia="ja-JP"/>
              </w:rPr>
              <w:t>8. Cita informācija</w:t>
            </w:r>
          </w:p>
        </w:tc>
        <w:tc>
          <w:tcPr>
            <w:tcW w:w="6545" w:type="dxa"/>
            <w:gridSpan w:val="5"/>
            <w:tcBorders>
              <w:top w:val="single" w:sz="4" w:space="0" w:color="auto"/>
              <w:left w:val="single" w:sz="4" w:space="0" w:color="auto"/>
              <w:bottom w:val="single" w:sz="4" w:space="0" w:color="auto"/>
              <w:right w:val="single" w:sz="4" w:space="0" w:color="auto"/>
            </w:tcBorders>
            <w:shd w:val="clear" w:color="auto" w:fill="auto"/>
          </w:tcPr>
          <w:p w14:paraId="6493D3D4" w14:textId="400ACA93" w:rsidR="006109C0" w:rsidRPr="00123090" w:rsidRDefault="006109C0" w:rsidP="000532A9">
            <w:pPr>
              <w:ind w:right="57"/>
              <w:jc w:val="both"/>
              <w:rPr>
                <w:rFonts w:eastAsia="Times New Roman"/>
                <w:lang w:eastAsia="ja-JP"/>
              </w:rPr>
            </w:pPr>
            <w:r w:rsidRPr="00123090">
              <w:rPr>
                <w:rFonts w:eastAsia="Times New Roman"/>
                <w:lang w:bidi="lo-LA"/>
              </w:rPr>
              <w:t>Nav.</w:t>
            </w:r>
          </w:p>
        </w:tc>
      </w:tr>
    </w:tbl>
    <w:p w14:paraId="50D45435" w14:textId="77777777" w:rsidR="006109C0" w:rsidRPr="001351FC" w:rsidRDefault="006109C0" w:rsidP="001351FC"/>
    <w:p w14:paraId="11BB16CE" w14:textId="77777777" w:rsidR="000952B3" w:rsidRPr="001351FC" w:rsidRDefault="000952B3" w:rsidP="001351FC"/>
    <w:tbl>
      <w:tblPr>
        <w:tblStyle w:val="TableGrid"/>
        <w:tblW w:w="9209" w:type="dxa"/>
        <w:tblLook w:val="04A0" w:firstRow="1" w:lastRow="0" w:firstColumn="1" w:lastColumn="0" w:noHBand="0" w:noVBand="1"/>
      </w:tblPr>
      <w:tblGrid>
        <w:gridCol w:w="396"/>
        <w:gridCol w:w="2293"/>
        <w:gridCol w:w="6520"/>
      </w:tblGrid>
      <w:tr w:rsidR="00ED6931" w14:paraId="6778D632" w14:textId="77777777" w:rsidTr="00DB3879">
        <w:tc>
          <w:tcPr>
            <w:tcW w:w="9209" w:type="dxa"/>
            <w:gridSpan w:val="3"/>
          </w:tcPr>
          <w:p w14:paraId="51669542" w14:textId="77777777" w:rsidR="003C2699" w:rsidRPr="001351FC" w:rsidRDefault="00B650B7" w:rsidP="001351FC">
            <w:pPr>
              <w:jc w:val="center"/>
              <w:rPr>
                <w:b/>
              </w:rPr>
            </w:pPr>
            <w:r w:rsidRPr="001351FC">
              <w:rPr>
                <w:b/>
              </w:rPr>
              <w:t>IV.</w:t>
            </w:r>
            <w:r w:rsidRPr="001351FC">
              <w:t xml:space="preserve"> </w:t>
            </w:r>
            <w:r w:rsidRPr="001351FC">
              <w:rPr>
                <w:b/>
              </w:rPr>
              <w:t>Tiesību akta projekta ietekme uz spēkā esošo tiesību normu sistēmu</w:t>
            </w:r>
          </w:p>
        </w:tc>
      </w:tr>
      <w:tr w:rsidR="00ED6931" w14:paraId="1C078EE5" w14:textId="77777777" w:rsidTr="009E2DD6">
        <w:tc>
          <w:tcPr>
            <w:tcW w:w="396" w:type="dxa"/>
          </w:tcPr>
          <w:p w14:paraId="21BE3879" w14:textId="77777777" w:rsidR="00DF4080" w:rsidRPr="001351FC" w:rsidRDefault="00B650B7" w:rsidP="001351FC">
            <w:r w:rsidRPr="001351FC">
              <w:t>1.</w:t>
            </w:r>
          </w:p>
        </w:tc>
        <w:tc>
          <w:tcPr>
            <w:tcW w:w="2293" w:type="dxa"/>
          </w:tcPr>
          <w:p w14:paraId="19893A8C" w14:textId="77777777" w:rsidR="00DF4080" w:rsidRPr="001351FC" w:rsidRDefault="00B650B7" w:rsidP="001351FC">
            <w:r w:rsidRPr="001351FC">
              <w:t>Nepieciešamie saistītie tiesību aktu projekti</w:t>
            </w:r>
          </w:p>
        </w:tc>
        <w:tc>
          <w:tcPr>
            <w:tcW w:w="6520" w:type="dxa"/>
          </w:tcPr>
          <w:p w14:paraId="4097D65D" w14:textId="42C9280D" w:rsidR="00DF4080" w:rsidRPr="0099780F" w:rsidRDefault="00B94A93" w:rsidP="006E7918">
            <w:pPr>
              <w:jc w:val="both"/>
              <w:rPr>
                <w:rFonts w:ascii="Calibri" w:hAnsi="Calibri"/>
                <w:color w:val="1F497D"/>
                <w:sz w:val="22"/>
                <w:szCs w:val="22"/>
                <w:lang w:eastAsia="en-US"/>
              </w:rPr>
            </w:pPr>
            <w:r w:rsidRPr="00E74F9D">
              <w:rPr>
                <w:rFonts w:eastAsia="Times New Roman"/>
                <w:bCs/>
              </w:rPr>
              <w:t xml:space="preserve">Lai nodrošinātu nepieciešamā finansējuma pārdali </w:t>
            </w:r>
            <w:r w:rsidR="0001181E">
              <w:rPr>
                <w:rFonts w:eastAsia="Times New Roman"/>
                <w:bCs/>
              </w:rPr>
              <w:t xml:space="preserve">no </w:t>
            </w:r>
            <w:r w:rsidRPr="00E74F9D">
              <w:rPr>
                <w:rFonts w:eastAsia="Times New Roman"/>
                <w:bCs/>
              </w:rPr>
              <w:t>projekt</w:t>
            </w:r>
            <w:r w:rsidR="0001181E">
              <w:rPr>
                <w:rFonts w:eastAsia="Times New Roman"/>
                <w:bCs/>
              </w:rPr>
              <w:t>a</w:t>
            </w:r>
            <w:r w:rsidRPr="00E74F9D">
              <w:rPr>
                <w:rFonts w:eastAsia="Times New Roman"/>
                <w:bCs/>
              </w:rPr>
              <w:t xml:space="preserve"> </w:t>
            </w:r>
            <w:r w:rsidR="00636186">
              <w:rPr>
                <w:rFonts w:eastAsia="Times New Roman"/>
              </w:rPr>
              <w:t>Nr.</w:t>
            </w:r>
            <w:r w:rsidR="00636186" w:rsidRPr="002D02E7">
              <w:rPr>
                <w:rFonts w:eastAsia="Times New Roman"/>
              </w:rPr>
              <w:t xml:space="preserve"> 8.2.4.0/15/I/001</w:t>
            </w:r>
            <w:r w:rsidR="00636186">
              <w:rPr>
                <w:rFonts w:eastAsia="Times New Roman"/>
              </w:rPr>
              <w:t>8.2.4.</w:t>
            </w:r>
            <w:r w:rsidR="00636186" w:rsidRPr="002D02E7">
              <w:rPr>
                <w:rFonts w:eastAsia="Times New Roman"/>
              </w:rPr>
              <w:t xml:space="preserve"> </w:t>
            </w:r>
            <w:r w:rsidR="00636186">
              <w:rPr>
                <w:rFonts w:eastAsia="Times New Roman"/>
              </w:rPr>
              <w:t>„</w:t>
            </w:r>
            <w:r w:rsidR="00636186" w:rsidRPr="002D02E7">
              <w:rPr>
                <w:rFonts w:eastAsia="Times New Roman"/>
              </w:rPr>
              <w:t>Atbalsts EQAR aģentūrai izvirzīto prasību izpildei</w:t>
            </w:r>
            <w:r w:rsidR="00636186">
              <w:rPr>
                <w:rFonts w:eastAsia="Times New Roman"/>
              </w:rPr>
              <w:t>”</w:t>
            </w:r>
            <w:r w:rsidR="0001181E">
              <w:rPr>
                <w:rFonts w:eastAsia="Times New Roman"/>
              </w:rPr>
              <w:t xml:space="preserve"> uz projektu Nr. </w:t>
            </w:r>
            <w:r w:rsidR="0001181E" w:rsidRPr="0001181E">
              <w:rPr>
                <w:rFonts w:eastAsia="Times New Roman"/>
              </w:rPr>
              <w:t>8.3.6.1/16/I/001</w:t>
            </w:r>
            <w:r w:rsidR="0001181E">
              <w:rPr>
                <w:rFonts w:eastAsia="Times New Roman"/>
              </w:rPr>
              <w:t xml:space="preserve"> „</w:t>
            </w:r>
            <w:r w:rsidR="0001181E" w:rsidRPr="0001181E">
              <w:rPr>
                <w:rFonts w:eastAsia="Times New Roman"/>
              </w:rPr>
              <w:t>Dalība starptautiskos izglītības pētījumos”</w:t>
            </w:r>
            <w:r w:rsidRPr="0001181E">
              <w:rPr>
                <w:rFonts w:eastAsia="Times New Roman"/>
              </w:rPr>
              <w:t>,</w:t>
            </w:r>
            <w:r w:rsidR="00E74F9D" w:rsidRPr="00E74F9D">
              <w:rPr>
                <w:rFonts w:eastAsia="Times New Roman"/>
              </w:rPr>
              <w:t xml:space="preserve"> </w:t>
            </w:r>
            <w:r w:rsidRPr="00E74F9D">
              <w:rPr>
                <w:rFonts w:eastAsia="Times New Roman"/>
                <w:bCs/>
              </w:rPr>
              <w:t xml:space="preserve">jāveic grozījumi </w:t>
            </w:r>
            <w:r w:rsidRPr="00E74F9D">
              <w:rPr>
                <w:rFonts w:eastAsia="Times New Roman"/>
              </w:rPr>
              <w:t xml:space="preserve">Ministru kabineta </w:t>
            </w:r>
            <w:r w:rsidR="00371D3E" w:rsidRPr="00E74F9D">
              <w:rPr>
                <w:rFonts w:eastAsia="Times New Roman"/>
              </w:rPr>
              <w:t>201</w:t>
            </w:r>
            <w:r w:rsidR="00371D3E">
              <w:rPr>
                <w:rFonts w:eastAsia="Times New Roman"/>
              </w:rPr>
              <w:t>5</w:t>
            </w:r>
            <w:r w:rsidR="00E74F9D" w:rsidRPr="00E74F9D">
              <w:rPr>
                <w:rFonts w:eastAsia="Times New Roman"/>
              </w:rPr>
              <w:t xml:space="preserve">. gada </w:t>
            </w:r>
            <w:r w:rsidR="00371D3E">
              <w:rPr>
                <w:rFonts w:eastAsia="Times New Roman"/>
              </w:rPr>
              <w:t>18</w:t>
            </w:r>
            <w:r w:rsidRPr="00E74F9D">
              <w:rPr>
                <w:rFonts w:eastAsia="Times New Roman"/>
              </w:rPr>
              <w:t xml:space="preserve">. </w:t>
            </w:r>
            <w:r w:rsidR="00371D3E">
              <w:rPr>
                <w:rFonts w:eastAsia="Times New Roman"/>
              </w:rPr>
              <w:t>augusta</w:t>
            </w:r>
            <w:r w:rsidR="00371D3E" w:rsidRPr="00E74F9D">
              <w:rPr>
                <w:rFonts w:eastAsia="Times New Roman"/>
              </w:rPr>
              <w:t xml:space="preserve"> </w:t>
            </w:r>
            <w:r w:rsidRPr="00E74F9D">
              <w:rPr>
                <w:rFonts w:eastAsia="Times New Roman"/>
              </w:rPr>
              <w:t>noteikumos Nr.</w:t>
            </w:r>
            <w:r w:rsidR="00371D3E">
              <w:rPr>
                <w:rFonts w:eastAsia="Times New Roman"/>
              </w:rPr>
              <w:t>479</w:t>
            </w:r>
            <w:r w:rsidR="00371D3E" w:rsidRPr="00E74F9D">
              <w:rPr>
                <w:rFonts w:eastAsia="Times New Roman"/>
              </w:rPr>
              <w:t xml:space="preserve"> </w:t>
            </w:r>
            <w:r w:rsidRPr="00E74F9D">
              <w:rPr>
                <w:rFonts w:eastAsia="Times New Roman"/>
              </w:rPr>
              <w:t>“</w:t>
            </w:r>
            <w:r w:rsidR="00371D3E" w:rsidRPr="00371D3E">
              <w:rPr>
                <w:rFonts w:eastAsia="Times New Roman"/>
              </w:rPr>
              <w:t xml:space="preserve">Darbības programmas </w:t>
            </w:r>
            <w:r w:rsidR="00371D3E">
              <w:rPr>
                <w:rFonts w:eastAsia="Times New Roman"/>
              </w:rPr>
              <w:t>“I</w:t>
            </w:r>
            <w:r w:rsidR="00371D3E" w:rsidRPr="00371D3E">
              <w:rPr>
                <w:rFonts w:eastAsia="Times New Roman"/>
              </w:rPr>
              <w:t>zaugsme un nodarbinātība</w:t>
            </w:r>
            <w:r w:rsidR="00371D3E">
              <w:rPr>
                <w:rFonts w:eastAsia="Times New Roman"/>
              </w:rPr>
              <w:t>”</w:t>
            </w:r>
            <w:r w:rsidR="00371D3E" w:rsidRPr="00371D3E">
              <w:rPr>
                <w:rFonts w:eastAsia="Times New Roman"/>
              </w:rPr>
              <w:t xml:space="preserve"> 8.2.4. specifiskā atbalsta mērķa "Nodrošināt atbalstu EQAR aģentūrai izvirzīto prasību izpildei</w:t>
            </w:r>
            <w:r w:rsidR="00371D3E">
              <w:rPr>
                <w:rFonts w:eastAsia="Times New Roman"/>
              </w:rPr>
              <w:t>”</w:t>
            </w:r>
            <w:r w:rsidR="00371D3E" w:rsidRPr="00371D3E">
              <w:rPr>
                <w:rFonts w:eastAsia="Times New Roman"/>
              </w:rPr>
              <w:t xml:space="preserve"> īstenošanas noteikumi</w:t>
            </w:r>
            <w:r w:rsidRPr="00E74F9D">
              <w:rPr>
                <w:rFonts w:eastAsia="Times New Roman"/>
              </w:rPr>
              <w:t>”</w:t>
            </w:r>
            <w:r w:rsidRPr="00E74F9D">
              <w:rPr>
                <w:rFonts w:eastAsia="Times New Roman"/>
                <w:bCs/>
              </w:rPr>
              <w:t>.</w:t>
            </w:r>
          </w:p>
        </w:tc>
      </w:tr>
      <w:tr w:rsidR="00ED6931" w14:paraId="50FD0331" w14:textId="77777777" w:rsidTr="009E2DD6">
        <w:trPr>
          <w:trHeight w:val="587"/>
        </w:trPr>
        <w:tc>
          <w:tcPr>
            <w:tcW w:w="396" w:type="dxa"/>
          </w:tcPr>
          <w:p w14:paraId="6901AA40" w14:textId="77777777" w:rsidR="00DF4080" w:rsidRPr="001351FC" w:rsidRDefault="00B650B7" w:rsidP="001351FC">
            <w:r w:rsidRPr="001351FC">
              <w:t>2.</w:t>
            </w:r>
          </w:p>
        </w:tc>
        <w:tc>
          <w:tcPr>
            <w:tcW w:w="2293" w:type="dxa"/>
          </w:tcPr>
          <w:p w14:paraId="7FED48E4" w14:textId="77777777" w:rsidR="00DF4080" w:rsidRPr="001351FC" w:rsidRDefault="00B650B7" w:rsidP="001351FC">
            <w:r w:rsidRPr="001351FC">
              <w:t>Atbildīgā institūcija</w:t>
            </w:r>
          </w:p>
        </w:tc>
        <w:tc>
          <w:tcPr>
            <w:tcW w:w="6520" w:type="dxa"/>
          </w:tcPr>
          <w:p w14:paraId="4D124565" w14:textId="77777777" w:rsidR="00DF4080" w:rsidRPr="001351FC" w:rsidRDefault="00B650B7" w:rsidP="001351FC">
            <w:r w:rsidRPr="001351FC">
              <w:t>IZM</w:t>
            </w:r>
            <w:r w:rsidR="000F2179" w:rsidRPr="001351FC">
              <w:t>.</w:t>
            </w:r>
          </w:p>
        </w:tc>
      </w:tr>
      <w:tr w:rsidR="00ED6931" w14:paraId="31A9F9CF" w14:textId="77777777" w:rsidTr="009E2DD6">
        <w:tc>
          <w:tcPr>
            <w:tcW w:w="396" w:type="dxa"/>
          </w:tcPr>
          <w:p w14:paraId="15703DEE" w14:textId="77777777" w:rsidR="00DF4080" w:rsidRPr="001351FC" w:rsidRDefault="00B650B7" w:rsidP="001351FC">
            <w:r w:rsidRPr="001351FC">
              <w:t>3.</w:t>
            </w:r>
          </w:p>
        </w:tc>
        <w:tc>
          <w:tcPr>
            <w:tcW w:w="2293" w:type="dxa"/>
          </w:tcPr>
          <w:p w14:paraId="0E047FBF" w14:textId="77777777" w:rsidR="00DF4080" w:rsidRPr="001351FC" w:rsidRDefault="00B650B7" w:rsidP="001351FC">
            <w:r w:rsidRPr="001351FC">
              <w:t>Cita informācija</w:t>
            </w:r>
          </w:p>
        </w:tc>
        <w:tc>
          <w:tcPr>
            <w:tcW w:w="6520" w:type="dxa"/>
            <w:shd w:val="clear" w:color="auto" w:fill="auto"/>
          </w:tcPr>
          <w:p w14:paraId="5DA58346" w14:textId="3565BFA7" w:rsidR="003F61CB" w:rsidRPr="001351FC" w:rsidRDefault="001C2F1E" w:rsidP="00E64D98">
            <w:pPr>
              <w:jc w:val="both"/>
            </w:pPr>
            <w:r w:rsidRPr="001C2F1E">
              <w:t xml:space="preserve">Noteikumu projekts tiks virzīts izskatīšanai Ministru kabineta sēdē vienlaicīgi ar anotācijas </w:t>
            </w:r>
            <w:proofErr w:type="spellStart"/>
            <w:r w:rsidRPr="001C2F1E">
              <w:t>IV.sadaļas</w:t>
            </w:r>
            <w:proofErr w:type="spellEnd"/>
            <w:r w:rsidRPr="001C2F1E">
              <w:t xml:space="preserve"> 1.punktā minēto saistīto Ministru kabineta noteikumu grozījumu projektu.</w:t>
            </w:r>
          </w:p>
        </w:tc>
      </w:tr>
    </w:tbl>
    <w:p w14:paraId="60E14AD2" w14:textId="77777777" w:rsidR="00DF4080" w:rsidRPr="001351FC" w:rsidRDefault="00DF4080" w:rsidP="001351FC"/>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4"/>
      </w:tblGrid>
      <w:tr w:rsidR="00ED6931" w14:paraId="2B6C0A2D" w14:textId="77777777" w:rsidTr="001351FC">
        <w:trPr>
          <w:trHeight w:val="421"/>
        </w:trPr>
        <w:tc>
          <w:tcPr>
            <w:tcW w:w="9214" w:type="dxa"/>
            <w:vAlign w:val="center"/>
          </w:tcPr>
          <w:p w14:paraId="3E004536" w14:textId="77777777" w:rsidR="000952B3" w:rsidRPr="001351FC" w:rsidRDefault="00B650B7" w:rsidP="001351FC">
            <w:pPr>
              <w:pStyle w:val="naisnod"/>
              <w:spacing w:before="0" w:beforeAutospacing="0" w:after="0" w:afterAutospacing="0"/>
              <w:ind w:left="57" w:right="57"/>
              <w:jc w:val="center"/>
            </w:pPr>
            <w:r w:rsidRPr="001351FC">
              <w:rPr>
                <w:b/>
              </w:rPr>
              <w:t xml:space="preserve">V. </w:t>
            </w:r>
            <w:r w:rsidRPr="001351FC">
              <w:rPr>
                <w:b/>
                <w:color w:val="000000"/>
              </w:rPr>
              <w:t>Tiesību akta projekta atbilstība Latvijas Republikas starptautiskajām saistībām</w:t>
            </w:r>
          </w:p>
        </w:tc>
      </w:tr>
      <w:tr w:rsidR="00ED6931" w14:paraId="2812767A" w14:textId="77777777" w:rsidTr="001351FC">
        <w:trPr>
          <w:trHeight w:val="421"/>
        </w:trPr>
        <w:tc>
          <w:tcPr>
            <w:tcW w:w="9214" w:type="dxa"/>
            <w:vAlign w:val="center"/>
          </w:tcPr>
          <w:p w14:paraId="6ACF26DA" w14:textId="77777777" w:rsidR="00DF4080" w:rsidRPr="001351FC" w:rsidRDefault="00B650B7" w:rsidP="001351FC">
            <w:pPr>
              <w:pStyle w:val="naisnod"/>
              <w:spacing w:before="0" w:beforeAutospacing="0" w:after="0" w:afterAutospacing="0"/>
              <w:ind w:left="57" w:right="57"/>
              <w:jc w:val="center"/>
            </w:pPr>
            <w:r w:rsidRPr="001351FC">
              <w:t>Noteikumu projekts šo jomu neskar.</w:t>
            </w:r>
          </w:p>
        </w:tc>
      </w:tr>
    </w:tbl>
    <w:p w14:paraId="6757F4C5" w14:textId="77777777" w:rsidR="000952B3" w:rsidRPr="001351FC" w:rsidRDefault="000952B3" w:rsidP="001351FC">
      <w:pPr>
        <w:tabs>
          <w:tab w:val="left" w:pos="3382"/>
        </w:tabs>
        <w:rPr>
          <w:lang w:eastAsia="en-US"/>
        </w:rPr>
      </w:pPr>
    </w:p>
    <w:tbl>
      <w:tblPr>
        <w:tblW w:w="9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3219"/>
        <w:gridCol w:w="5812"/>
      </w:tblGrid>
      <w:tr w:rsidR="00ED6931" w14:paraId="63D312AF" w14:textId="77777777" w:rsidTr="00477F62">
        <w:trPr>
          <w:trHeight w:val="421"/>
        </w:trPr>
        <w:tc>
          <w:tcPr>
            <w:tcW w:w="9346" w:type="dxa"/>
            <w:gridSpan w:val="3"/>
            <w:vAlign w:val="center"/>
          </w:tcPr>
          <w:p w14:paraId="34560A3A" w14:textId="77777777" w:rsidR="000952B3" w:rsidRPr="001351FC" w:rsidRDefault="00B650B7" w:rsidP="001351FC">
            <w:pPr>
              <w:pStyle w:val="naisnod"/>
              <w:spacing w:before="0" w:beforeAutospacing="0" w:after="0" w:afterAutospacing="0"/>
              <w:ind w:left="57" w:right="57"/>
              <w:jc w:val="center"/>
            </w:pPr>
            <w:r w:rsidRPr="001351FC">
              <w:rPr>
                <w:b/>
              </w:rPr>
              <w:t>VI. Sabiedrības līdzdalība un komunikācijas aktivitātes</w:t>
            </w:r>
          </w:p>
        </w:tc>
      </w:tr>
      <w:tr w:rsidR="00ED6931" w14:paraId="708744C5" w14:textId="77777777" w:rsidTr="002B7C2F">
        <w:trPr>
          <w:trHeight w:val="553"/>
        </w:trPr>
        <w:tc>
          <w:tcPr>
            <w:tcW w:w="315" w:type="dxa"/>
          </w:tcPr>
          <w:p w14:paraId="3380A595" w14:textId="77777777" w:rsidR="004D5248" w:rsidRPr="001351FC" w:rsidRDefault="00B650B7" w:rsidP="001351FC">
            <w:pPr>
              <w:ind w:left="57" w:right="57"/>
              <w:jc w:val="both"/>
              <w:rPr>
                <w:bCs/>
              </w:rPr>
            </w:pPr>
            <w:r w:rsidRPr="001351FC">
              <w:rPr>
                <w:bCs/>
              </w:rPr>
              <w:t>1.</w:t>
            </w:r>
          </w:p>
        </w:tc>
        <w:tc>
          <w:tcPr>
            <w:tcW w:w="3219" w:type="dxa"/>
          </w:tcPr>
          <w:p w14:paraId="695D0F15" w14:textId="77777777" w:rsidR="004D5248" w:rsidRPr="001351FC" w:rsidRDefault="00B650B7" w:rsidP="001351FC">
            <w:pPr>
              <w:tabs>
                <w:tab w:val="left" w:pos="170"/>
              </w:tabs>
              <w:ind w:left="57" w:right="57"/>
            </w:pPr>
            <w:r w:rsidRPr="001351FC">
              <w:t>Plānotās sabiedrības līdzdalības un komunikācijas aktivitātes saistībā ar projektu</w:t>
            </w:r>
          </w:p>
        </w:tc>
        <w:tc>
          <w:tcPr>
            <w:tcW w:w="5812" w:type="dxa"/>
          </w:tcPr>
          <w:p w14:paraId="32187D2F" w14:textId="186A189B" w:rsidR="004D5248" w:rsidRPr="001351FC" w:rsidRDefault="00D761D9" w:rsidP="00D761D9">
            <w:pPr>
              <w:ind w:left="94" w:right="142"/>
              <w:jc w:val="both"/>
            </w:pPr>
            <w:bookmarkStart w:id="2" w:name="p61"/>
            <w:bookmarkEnd w:id="2"/>
            <w:r w:rsidRPr="00D761D9">
              <w:rPr>
                <w:bCs/>
              </w:rPr>
              <w:t>Lai informētu sabiedrību par noteikumu projektu un dotu iespēju izteikt viedokli, noteikumu projekts ievietots IZM tīmekļvietnē</w:t>
            </w:r>
            <w:r w:rsidR="0054472C">
              <w:rPr>
                <w:bCs/>
              </w:rPr>
              <w:t>.</w:t>
            </w:r>
          </w:p>
        </w:tc>
      </w:tr>
      <w:tr w:rsidR="00ED6931" w14:paraId="68BD6DB8" w14:textId="77777777" w:rsidTr="002B7C2F">
        <w:trPr>
          <w:trHeight w:val="339"/>
        </w:trPr>
        <w:tc>
          <w:tcPr>
            <w:tcW w:w="315" w:type="dxa"/>
          </w:tcPr>
          <w:p w14:paraId="10662B76" w14:textId="77777777" w:rsidR="004D5248" w:rsidRPr="001351FC" w:rsidRDefault="00B650B7" w:rsidP="001351FC">
            <w:pPr>
              <w:ind w:left="57" w:right="57"/>
              <w:jc w:val="both"/>
              <w:rPr>
                <w:bCs/>
              </w:rPr>
            </w:pPr>
            <w:r w:rsidRPr="001351FC">
              <w:rPr>
                <w:bCs/>
              </w:rPr>
              <w:t>2.</w:t>
            </w:r>
          </w:p>
        </w:tc>
        <w:tc>
          <w:tcPr>
            <w:tcW w:w="3219" w:type="dxa"/>
          </w:tcPr>
          <w:p w14:paraId="3A9E04F1" w14:textId="77777777" w:rsidR="004D5248" w:rsidRPr="001351FC" w:rsidRDefault="00B650B7" w:rsidP="001351FC">
            <w:pPr>
              <w:ind w:left="57" w:right="57"/>
            </w:pPr>
            <w:r w:rsidRPr="001351FC">
              <w:t>Sabiedrības līdzdalība projekta izstrādē</w:t>
            </w:r>
          </w:p>
        </w:tc>
        <w:tc>
          <w:tcPr>
            <w:tcW w:w="5812" w:type="dxa"/>
          </w:tcPr>
          <w:p w14:paraId="5B30586E" w14:textId="6914843F" w:rsidR="004D5248" w:rsidRPr="00AE6D6A" w:rsidRDefault="00D761D9" w:rsidP="00E12AC7">
            <w:pPr>
              <w:shd w:val="clear" w:color="auto" w:fill="FFFFFF"/>
              <w:ind w:left="94" w:right="57"/>
              <w:jc w:val="both"/>
              <w:rPr>
                <w:rFonts w:eastAsia="Times New Roman"/>
                <w:b/>
                <w:iCs/>
              </w:rPr>
            </w:pPr>
            <w:bookmarkStart w:id="3" w:name="p62"/>
            <w:bookmarkEnd w:id="3"/>
            <w:r>
              <w:rPr>
                <w:rFonts w:eastAsiaTheme="minorHAnsi"/>
                <w:lang w:eastAsia="en-US"/>
              </w:rPr>
              <w:t>N</w:t>
            </w:r>
            <w:r w:rsidR="00AE6D6A" w:rsidRPr="00AE6D6A">
              <w:rPr>
                <w:rFonts w:eastAsiaTheme="minorHAnsi"/>
                <w:lang w:eastAsia="en-US"/>
              </w:rPr>
              <w:t>oteikumu projekts 2018. gada  </w:t>
            </w:r>
            <w:r w:rsidR="000E1BAD">
              <w:rPr>
                <w:rFonts w:eastAsiaTheme="minorHAnsi"/>
                <w:lang w:eastAsia="en-US"/>
              </w:rPr>
              <w:t>2</w:t>
            </w:r>
            <w:r w:rsidR="00E12AC7">
              <w:rPr>
                <w:rFonts w:eastAsiaTheme="minorHAnsi"/>
                <w:lang w:eastAsia="en-US"/>
              </w:rPr>
              <w:t>6</w:t>
            </w:r>
            <w:r w:rsidR="000E1BAD">
              <w:rPr>
                <w:rFonts w:eastAsiaTheme="minorHAnsi"/>
                <w:lang w:eastAsia="en-US"/>
              </w:rPr>
              <w:t>.</w:t>
            </w:r>
            <w:r w:rsidR="00AE6D6A">
              <w:rPr>
                <w:rFonts w:eastAsiaTheme="minorHAnsi"/>
                <w:lang w:eastAsia="en-US"/>
              </w:rPr>
              <w:t>septembrī</w:t>
            </w:r>
            <w:r w:rsidR="00AE6D6A" w:rsidRPr="00AE6D6A">
              <w:rPr>
                <w:rFonts w:eastAsiaTheme="minorHAnsi"/>
                <w:lang w:eastAsia="en-US"/>
              </w:rPr>
              <w:t xml:space="preserve"> ievietots IZM tīmekļvietnē</w:t>
            </w:r>
            <w:r w:rsidR="00E12AC7">
              <w:rPr>
                <w:rFonts w:eastAsiaTheme="minorHAnsi"/>
                <w:lang w:eastAsia="en-US"/>
              </w:rPr>
              <w:t xml:space="preserve"> (</w:t>
            </w:r>
            <w:r w:rsidR="00E12AC7" w:rsidRPr="00E12AC7">
              <w:rPr>
                <w:rFonts w:eastAsiaTheme="minorHAnsi"/>
                <w:lang w:eastAsia="en-US"/>
              </w:rPr>
              <w:t>http://www.izm.gov.lv/lv/es-strukturfondi/2014-2020/normativo-aktu-un-nosacijumu-projekti/3139-grozijumu-projekts-sam-8-2-4-8-6-3-1</w:t>
            </w:r>
            <w:r w:rsidR="00E12AC7">
              <w:rPr>
                <w:rFonts w:eastAsiaTheme="minorHAnsi"/>
                <w:lang w:eastAsia="en-US"/>
              </w:rPr>
              <w:t>)</w:t>
            </w:r>
            <w:r w:rsidR="00AE6D6A" w:rsidRPr="00AE6D6A">
              <w:rPr>
                <w:rFonts w:eastAsiaTheme="minorHAnsi"/>
                <w:lang w:eastAsia="en-US"/>
              </w:rPr>
              <w:t xml:space="preserve">, </w:t>
            </w:r>
            <w:r w:rsidR="00AE6D6A" w:rsidRPr="00AE6D6A">
              <w:rPr>
                <w:rFonts w:eastAsiaTheme="minorHAnsi"/>
                <w:bCs/>
                <w:lang w:eastAsia="en-US"/>
              </w:rPr>
              <w:t xml:space="preserve"> aicinot sabiedrības pārstāvjus </w:t>
            </w:r>
            <w:r w:rsidR="000E1BAD">
              <w:rPr>
                <w:rFonts w:eastAsiaTheme="minorHAnsi"/>
                <w:bCs/>
                <w:lang w:eastAsia="en-US"/>
              </w:rPr>
              <w:t xml:space="preserve">līdz š.g. 3.oktobrim </w:t>
            </w:r>
            <w:r w:rsidR="00AE6D6A" w:rsidRPr="00AE6D6A">
              <w:rPr>
                <w:rFonts w:eastAsiaTheme="minorHAnsi"/>
                <w:bCs/>
                <w:lang w:eastAsia="en-US"/>
              </w:rPr>
              <w:t xml:space="preserve">rakstiski sniegt viedokli par noteikumu projektu tā izstrādes stadijā – nosūtot elektroniski uz e-pastu: </w:t>
            </w:r>
            <w:hyperlink r:id="rId8" w:history="1">
              <w:r w:rsidR="00AE6D6A" w:rsidRPr="00AE6D6A">
                <w:rPr>
                  <w:rFonts w:eastAsiaTheme="minorHAnsi"/>
                  <w:bCs/>
                  <w:color w:val="0000FF"/>
                  <w:u w:val="single"/>
                  <w:lang w:eastAsia="en-US"/>
                </w:rPr>
                <w:t>pasts@izm.gov.lv</w:t>
              </w:r>
            </w:hyperlink>
            <w:r w:rsidR="00AE6D6A" w:rsidRPr="00AE6D6A">
              <w:rPr>
                <w:rFonts w:eastAsiaTheme="minorHAnsi"/>
                <w:bCs/>
                <w:color w:val="0000FF"/>
                <w:u w:val="single"/>
                <w:lang w:eastAsia="en-US"/>
              </w:rPr>
              <w:t>, esf@izm.gov.lv</w:t>
            </w:r>
            <w:r w:rsidR="00AE6D6A" w:rsidRPr="00AE6D6A">
              <w:rPr>
                <w:rFonts w:eastAsiaTheme="minorHAnsi"/>
                <w:bCs/>
                <w:lang w:eastAsia="en-US"/>
              </w:rPr>
              <w:t>.</w:t>
            </w:r>
          </w:p>
        </w:tc>
      </w:tr>
      <w:tr w:rsidR="00ED6931" w14:paraId="2CF4B141" w14:textId="77777777" w:rsidTr="002B7C2F">
        <w:trPr>
          <w:trHeight w:val="476"/>
        </w:trPr>
        <w:tc>
          <w:tcPr>
            <w:tcW w:w="315" w:type="dxa"/>
          </w:tcPr>
          <w:p w14:paraId="46270C0D" w14:textId="77777777" w:rsidR="004D5248" w:rsidRPr="001351FC" w:rsidRDefault="00B650B7" w:rsidP="001351FC">
            <w:pPr>
              <w:ind w:left="57" w:right="57"/>
              <w:jc w:val="both"/>
              <w:rPr>
                <w:bCs/>
              </w:rPr>
            </w:pPr>
            <w:r w:rsidRPr="001351FC">
              <w:rPr>
                <w:bCs/>
              </w:rPr>
              <w:t>3.</w:t>
            </w:r>
          </w:p>
        </w:tc>
        <w:tc>
          <w:tcPr>
            <w:tcW w:w="3219" w:type="dxa"/>
          </w:tcPr>
          <w:p w14:paraId="63063140" w14:textId="77777777" w:rsidR="004D5248" w:rsidRPr="001351FC" w:rsidRDefault="00B650B7" w:rsidP="001351FC">
            <w:pPr>
              <w:ind w:left="57" w:right="57"/>
            </w:pPr>
            <w:r w:rsidRPr="001351FC">
              <w:t>Sabiedrības līdzdalības rezultāti</w:t>
            </w:r>
          </w:p>
        </w:tc>
        <w:tc>
          <w:tcPr>
            <w:tcW w:w="5812" w:type="dxa"/>
          </w:tcPr>
          <w:p w14:paraId="7F9C5EFB" w14:textId="5AE7FAEF" w:rsidR="004D5248" w:rsidRPr="00E12AC7" w:rsidRDefault="00E12AC7" w:rsidP="00F90CC2">
            <w:pPr>
              <w:shd w:val="clear" w:color="auto" w:fill="FFFFFF"/>
              <w:tabs>
                <w:tab w:val="left" w:pos="878"/>
              </w:tabs>
              <w:ind w:left="94" w:right="57"/>
              <w:jc w:val="both"/>
            </w:pPr>
            <w:r w:rsidRPr="00E12AC7">
              <w:t>Sabiedrības līdzdalības un komunikācijas aktivitātēs netika saņemti projekta papildinājumi un labojumi</w:t>
            </w:r>
            <w:r w:rsidR="00AE6D6A" w:rsidRPr="00E12AC7">
              <w:t>.</w:t>
            </w:r>
          </w:p>
        </w:tc>
      </w:tr>
      <w:tr w:rsidR="00ED6931" w14:paraId="73E5606D" w14:textId="77777777" w:rsidTr="002B7C2F">
        <w:trPr>
          <w:trHeight w:val="205"/>
        </w:trPr>
        <w:tc>
          <w:tcPr>
            <w:tcW w:w="315" w:type="dxa"/>
          </w:tcPr>
          <w:p w14:paraId="4240DE02" w14:textId="77777777" w:rsidR="004D5248" w:rsidRPr="001351FC" w:rsidRDefault="00B650B7" w:rsidP="001351FC">
            <w:pPr>
              <w:ind w:left="57" w:right="57"/>
              <w:jc w:val="both"/>
              <w:rPr>
                <w:bCs/>
              </w:rPr>
            </w:pPr>
            <w:r w:rsidRPr="001351FC">
              <w:rPr>
                <w:bCs/>
              </w:rPr>
              <w:t>4.</w:t>
            </w:r>
          </w:p>
        </w:tc>
        <w:tc>
          <w:tcPr>
            <w:tcW w:w="3219" w:type="dxa"/>
          </w:tcPr>
          <w:p w14:paraId="4D91D2EF" w14:textId="77777777" w:rsidR="004D5248" w:rsidRPr="001351FC" w:rsidRDefault="00B650B7" w:rsidP="001351FC">
            <w:pPr>
              <w:ind w:left="57" w:right="57"/>
            </w:pPr>
            <w:r w:rsidRPr="001351FC">
              <w:t>Cita informācija</w:t>
            </w:r>
          </w:p>
        </w:tc>
        <w:tc>
          <w:tcPr>
            <w:tcW w:w="5812" w:type="dxa"/>
          </w:tcPr>
          <w:p w14:paraId="6E55FD5A" w14:textId="53BD8989" w:rsidR="004D5248" w:rsidRPr="001351FC" w:rsidRDefault="00591D08" w:rsidP="001351FC">
            <w:pPr>
              <w:ind w:left="57" w:right="113" w:firstLine="37"/>
              <w:jc w:val="both"/>
            </w:pPr>
            <w:r w:rsidRPr="00591D08">
              <w:t>Noteikumu projekts tiks virzīts izskatīšanai Ministru kabineta sēdē vienlaicīgi ar anotācijas 4.sadaļas 1.punktā minēto saistīto Ministru kabineta noteikumu grozījumu projektu</w:t>
            </w:r>
            <w:r w:rsidR="00EC39EF">
              <w:t>.</w:t>
            </w:r>
          </w:p>
        </w:tc>
      </w:tr>
    </w:tbl>
    <w:p w14:paraId="41B123D1" w14:textId="77777777" w:rsidR="000952B3" w:rsidRPr="001351FC" w:rsidRDefault="000952B3" w:rsidP="001351FC">
      <w:pPr>
        <w:jc w:val="both"/>
      </w:pPr>
    </w:p>
    <w:tbl>
      <w:tblPr>
        <w:tblW w:w="9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3201"/>
        <w:gridCol w:w="5812"/>
      </w:tblGrid>
      <w:tr w:rsidR="00ED6931" w14:paraId="01A2BDF2" w14:textId="77777777" w:rsidTr="00477F62">
        <w:trPr>
          <w:trHeight w:val="421"/>
        </w:trPr>
        <w:tc>
          <w:tcPr>
            <w:tcW w:w="9346" w:type="dxa"/>
            <w:gridSpan w:val="3"/>
            <w:vAlign w:val="center"/>
          </w:tcPr>
          <w:p w14:paraId="43B7EA42" w14:textId="77777777" w:rsidR="000952B3" w:rsidRPr="001351FC" w:rsidRDefault="00B650B7" w:rsidP="001351FC">
            <w:pPr>
              <w:pStyle w:val="naisnod"/>
              <w:spacing w:before="0" w:beforeAutospacing="0" w:after="0" w:afterAutospacing="0"/>
              <w:ind w:left="57" w:right="57"/>
              <w:jc w:val="center"/>
            </w:pPr>
            <w:r w:rsidRPr="001351FC">
              <w:rPr>
                <w:b/>
              </w:rPr>
              <w:t>VII. Tiesību akta projekta izpildes nodrošināšana un tās ietekme uz institūcijām</w:t>
            </w:r>
          </w:p>
        </w:tc>
      </w:tr>
      <w:tr w:rsidR="00ED6931" w14:paraId="4802C351" w14:textId="77777777" w:rsidTr="00AF0818">
        <w:trPr>
          <w:trHeight w:val="553"/>
        </w:trPr>
        <w:tc>
          <w:tcPr>
            <w:tcW w:w="333" w:type="dxa"/>
          </w:tcPr>
          <w:p w14:paraId="5B5DA9D4" w14:textId="77777777" w:rsidR="000952B3" w:rsidRPr="001351FC" w:rsidRDefault="00B650B7" w:rsidP="001351FC">
            <w:pPr>
              <w:ind w:left="57" w:right="57"/>
              <w:jc w:val="both"/>
              <w:rPr>
                <w:bCs/>
              </w:rPr>
            </w:pPr>
            <w:r w:rsidRPr="001351FC">
              <w:rPr>
                <w:bCs/>
              </w:rPr>
              <w:t>1.</w:t>
            </w:r>
          </w:p>
        </w:tc>
        <w:tc>
          <w:tcPr>
            <w:tcW w:w="3201" w:type="dxa"/>
          </w:tcPr>
          <w:p w14:paraId="33491DB5" w14:textId="77777777" w:rsidR="000952B3" w:rsidRPr="001351FC" w:rsidRDefault="00B650B7" w:rsidP="001351FC">
            <w:pPr>
              <w:ind w:left="57" w:right="57"/>
            </w:pPr>
            <w:r w:rsidRPr="001351FC">
              <w:t>Projekta izpildē iesaistītās institūcijas</w:t>
            </w:r>
          </w:p>
        </w:tc>
        <w:tc>
          <w:tcPr>
            <w:tcW w:w="5812" w:type="dxa"/>
          </w:tcPr>
          <w:p w14:paraId="17057914" w14:textId="41744878" w:rsidR="000952B3" w:rsidRPr="001351FC" w:rsidRDefault="00B650B7" w:rsidP="00FD487B">
            <w:pPr>
              <w:shd w:val="clear" w:color="auto" w:fill="FFFFFF"/>
              <w:ind w:left="57" w:right="113"/>
              <w:jc w:val="both"/>
            </w:pPr>
            <w:r w:rsidRPr="001351FC">
              <w:t xml:space="preserve">IZM, CFLA, </w:t>
            </w:r>
            <w:r w:rsidR="00FD487B">
              <w:rPr>
                <w:rFonts w:eastAsia="Times New Roman"/>
              </w:rPr>
              <w:t>AIC</w:t>
            </w:r>
            <w:r w:rsidR="00521075" w:rsidRPr="001351FC">
              <w:rPr>
                <w:rFonts w:eastAsia="Times New Roman"/>
              </w:rPr>
              <w:t>.</w:t>
            </w:r>
          </w:p>
        </w:tc>
      </w:tr>
      <w:tr w:rsidR="00ED6931" w14:paraId="4F24F579" w14:textId="77777777" w:rsidTr="00AF0818">
        <w:trPr>
          <w:trHeight w:val="339"/>
        </w:trPr>
        <w:tc>
          <w:tcPr>
            <w:tcW w:w="333" w:type="dxa"/>
          </w:tcPr>
          <w:p w14:paraId="2D0BC61B" w14:textId="77777777" w:rsidR="000952B3" w:rsidRPr="001351FC" w:rsidRDefault="00B650B7" w:rsidP="001351FC">
            <w:pPr>
              <w:ind w:left="57" w:right="57"/>
              <w:jc w:val="both"/>
              <w:rPr>
                <w:bCs/>
              </w:rPr>
            </w:pPr>
            <w:r w:rsidRPr="001351FC">
              <w:rPr>
                <w:bCs/>
              </w:rPr>
              <w:t>2.</w:t>
            </w:r>
          </w:p>
        </w:tc>
        <w:tc>
          <w:tcPr>
            <w:tcW w:w="3201" w:type="dxa"/>
          </w:tcPr>
          <w:p w14:paraId="37BBBED2" w14:textId="77777777" w:rsidR="000952B3" w:rsidRPr="001351FC" w:rsidRDefault="00B650B7" w:rsidP="001351FC">
            <w:pPr>
              <w:ind w:left="57" w:right="57"/>
            </w:pPr>
            <w:r w:rsidRPr="001351FC">
              <w:t xml:space="preserve">Projekta izpildes ietekme uz pārvaldes funkcijām un institucionālo struktūru. </w:t>
            </w:r>
          </w:p>
          <w:p w14:paraId="38943CEE" w14:textId="77777777" w:rsidR="000952B3" w:rsidRPr="001351FC" w:rsidRDefault="00B650B7" w:rsidP="001351FC">
            <w:pPr>
              <w:ind w:left="57" w:right="57"/>
            </w:pPr>
            <w:r w:rsidRPr="001351FC">
              <w:t>Jaunu institūciju izveide, esošu institūciju likvidācija vai reorganizācija, to ietekme uz institūcijas cilvēkresursiem</w:t>
            </w:r>
          </w:p>
        </w:tc>
        <w:tc>
          <w:tcPr>
            <w:tcW w:w="5812" w:type="dxa"/>
          </w:tcPr>
          <w:p w14:paraId="29F24A9B" w14:textId="77777777" w:rsidR="000952B3" w:rsidRPr="001351FC" w:rsidRDefault="00B650B7" w:rsidP="001351FC">
            <w:pPr>
              <w:shd w:val="clear" w:color="auto" w:fill="FFFFFF"/>
              <w:ind w:left="57" w:right="113"/>
              <w:jc w:val="both"/>
              <w:rPr>
                <w:kern w:val="24"/>
              </w:rPr>
            </w:pPr>
            <w:r w:rsidRPr="001351FC">
              <w:t>Nav plānota jaunu institūciju izveide, esošu ins</w:t>
            </w:r>
            <w:r w:rsidR="007A045B" w:rsidRPr="001351FC">
              <w:t>titūciju likvidācija vai reorga</w:t>
            </w:r>
            <w:r w:rsidRPr="001351FC">
              <w:t>nizācija.</w:t>
            </w:r>
          </w:p>
        </w:tc>
      </w:tr>
      <w:tr w:rsidR="00ED6931" w14:paraId="48A2FB66" w14:textId="77777777" w:rsidTr="00AF0818">
        <w:trPr>
          <w:trHeight w:val="476"/>
        </w:trPr>
        <w:tc>
          <w:tcPr>
            <w:tcW w:w="333" w:type="dxa"/>
          </w:tcPr>
          <w:p w14:paraId="57EA02A4" w14:textId="77777777" w:rsidR="000952B3" w:rsidRPr="001351FC" w:rsidRDefault="00B650B7" w:rsidP="001351FC">
            <w:pPr>
              <w:ind w:left="57" w:right="57"/>
              <w:jc w:val="both"/>
              <w:rPr>
                <w:bCs/>
              </w:rPr>
            </w:pPr>
            <w:r w:rsidRPr="001351FC">
              <w:rPr>
                <w:bCs/>
              </w:rPr>
              <w:t>3.</w:t>
            </w:r>
          </w:p>
        </w:tc>
        <w:tc>
          <w:tcPr>
            <w:tcW w:w="3201" w:type="dxa"/>
          </w:tcPr>
          <w:p w14:paraId="477425B2" w14:textId="77777777" w:rsidR="000952B3" w:rsidRPr="001351FC" w:rsidRDefault="00B650B7" w:rsidP="001351FC">
            <w:pPr>
              <w:ind w:left="57" w:right="57"/>
            </w:pPr>
            <w:r w:rsidRPr="001351FC">
              <w:t>Cita informācija</w:t>
            </w:r>
          </w:p>
        </w:tc>
        <w:tc>
          <w:tcPr>
            <w:tcW w:w="5812" w:type="dxa"/>
          </w:tcPr>
          <w:p w14:paraId="4DD6E884" w14:textId="7E3C314B" w:rsidR="000952B3" w:rsidRPr="001351FC" w:rsidRDefault="00B650B7" w:rsidP="00FE5FE2">
            <w:pPr>
              <w:shd w:val="clear" w:color="auto" w:fill="FFFFFF"/>
              <w:ind w:left="57" w:right="113"/>
              <w:jc w:val="both"/>
            </w:pPr>
            <w:r w:rsidRPr="001351FC">
              <w:t xml:space="preserve">Nepieciešami grozījumi finansējuma saņēmēja noslēgtajā </w:t>
            </w:r>
            <w:r w:rsidR="00FE5FE2">
              <w:t>līgumā</w:t>
            </w:r>
            <w:r w:rsidRPr="001351FC">
              <w:t xml:space="preserve"> par projekta īstenošanu ar CFLA.</w:t>
            </w:r>
          </w:p>
        </w:tc>
      </w:tr>
    </w:tbl>
    <w:p w14:paraId="2F936407" w14:textId="77777777" w:rsidR="007A045B" w:rsidRDefault="007A045B" w:rsidP="001351FC">
      <w:pPr>
        <w:rPr>
          <w:b/>
        </w:rPr>
      </w:pPr>
    </w:p>
    <w:tbl>
      <w:tblPr>
        <w:tblW w:w="0" w:type="auto"/>
        <w:tblLook w:val="04A0" w:firstRow="1" w:lastRow="0" w:firstColumn="1" w:lastColumn="0" w:noHBand="0" w:noVBand="1"/>
      </w:tblPr>
      <w:tblGrid>
        <w:gridCol w:w="5767"/>
        <w:gridCol w:w="3304"/>
      </w:tblGrid>
      <w:tr w:rsidR="00ED6931" w14:paraId="5834315E" w14:textId="77777777" w:rsidTr="00EA151B">
        <w:tc>
          <w:tcPr>
            <w:tcW w:w="5767" w:type="dxa"/>
          </w:tcPr>
          <w:p w14:paraId="08FC83C1" w14:textId="77777777" w:rsidR="006A00FD" w:rsidRDefault="006A00FD" w:rsidP="00EE071D">
            <w:pPr>
              <w:tabs>
                <w:tab w:val="left" w:pos="4320"/>
              </w:tabs>
            </w:pPr>
          </w:p>
          <w:p w14:paraId="1F08434C" w14:textId="11929F55" w:rsidR="00EE071D" w:rsidRDefault="00EE071D" w:rsidP="00EE071D">
            <w:pPr>
              <w:tabs>
                <w:tab w:val="left" w:pos="4320"/>
              </w:tabs>
            </w:pPr>
            <w:r>
              <w:t>Izglītības un zinātnes ministr</w:t>
            </w:r>
            <w:r w:rsidR="006A00FD">
              <w:t>e</w:t>
            </w:r>
          </w:p>
          <w:p w14:paraId="45610437" w14:textId="29775E91" w:rsidR="007A045B" w:rsidRPr="008B7D56" w:rsidRDefault="00EE071D" w:rsidP="00EE071D">
            <w:pPr>
              <w:tabs>
                <w:tab w:val="left" w:pos="4320"/>
              </w:tabs>
            </w:pPr>
            <w:r>
              <w:tab/>
            </w:r>
            <w:r>
              <w:tab/>
            </w:r>
            <w:r w:rsidR="008A603E" w:rsidRPr="008B7D56">
              <w:tab/>
            </w:r>
            <w:r w:rsidR="008A603E" w:rsidRPr="008B7D56">
              <w:tab/>
            </w:r>
            <w:r w:rsidR="008A603E" w:rsidRPr="008B7D56">
              <w:tab/>
            </w:r>
          </w:p>
        </w:tc>
        <w:tc>
          <w:tcPr>
            <w:tcW w:w="3304" w:type="dxa"/>
          </w:tcPr>
          <w:p w14:paraId="18DE9430" w14:textId="77777777" w:rsidR="004E48E4" w:rsidRDefault="00B650B7" w:rsidP="001351FC">
            <w:pPr>
              <w:tabs>
                <w:tab w:val="left" w:pos="4320"/>
              </w:tabs>
              <w:jc w:val="center"/>
            </w:pPr>
            <w:r w:rsidRPr="008B7D56">
              <w:t xml:space="preserve">  </w:t>
            </w:r>
          </w:p>
          <w:p w14:paraId="5D20D1C4" w14:textId="2DE7B14E" w:rsidR="008A603E" w:rsidRPr="008B7D56" w:rsidRDefault="006A00FD" w:rsidP="001351FC">
            <w:pPr>
              <w:tabs>
                <w:tab w:val="left" w:pos="4320"/>
              </w:tabs>
              <w:jc w:val="center"/>
            </w:pPr>
            <w:r>
              <w:t xml:space="preserve">Ilga </w:t>
            </w:r>
            <w:proofErr w:type="spellStart"/>
            <w:r>
              <w:t>Šuplinska</w:t>
            </w:r>
            <w:proofErr w:type="spellEnd"/>
            <w:r w:rsidR="00B650B7" w:rsidRPr="008B7D56">
              <w:t xml:space="preserve">                </w:t>
            </w:r>
          </w:p>
          <w:p w14:paraId="28DF170C" w14:textId="77777777" w:rsidR="00EE071D" w:rsidRDefault="008A603E" w:rsidP="001351FC">
            <w:pPr>
              <w:tabs>
                <w:tab w:val="left" w:pos="4320"/>
              </w:tabs>
              <w:jc w:val="center"/>
            </w:pPr>
            <w:r w:rsidRPr="008B7D56">
              <w:t xml:space="preserve">        </w:t>
            </w:r>
          </w:p>
          <w:p w14:paraId="28B8E4F4" w14:textId="77777777" w:rsidR="007A045B" w:rsidRPr="008B7D56" w:rsidRDefault="007A045B" w:rsidP="004E48E4">
            <w:pPr>
              <w:tabs>
                <w:tab w:val="left" w:pos="4320"/>
              </w:tabs>
              <w:jc w:val="right"/>
            </w:pPr>
          </w:p>
        </w:tc>
      </w:tr>
      <w:tr w:rsidR="00ED6931" w:rsidRPr="00605C6C" w14:paraId="184E6440" w14:textId="77777777" w:rsidTr="00EA151B">
        <w:tc>
          <w:tcPr>
            <w:tcW w:w="5767" w:type="dxa"/>
          </w:tcPr>
          <w:p w14:paraId="4B9D0795" w14:textId="2B799526" w:rsidR="007A045B" w:rsidRPr="00605C6C" w:rsidRDefault="00B650B7" w:rsidP="00EA151B">
            <w:pPr>
              <w:pStyle w:val="NormalWeb"/>
              <w:spacing w:before="0" w:beforeAutospacing="0" w:after="0" w:afterAutospacing="0"/>
            </w:pPr>
            <w:r w:rsidRPr="00605C6C">
              <w:t>Vizē:</w:t>
            </w:r>
            <w:r w:rsidRPr="00605C6C">
              <w:tab/>
            </w:r>
          </w:p>
        </w:tc>
        <w:tc>
          <w:tcPr>
            <w:tcW w:w="3304" w:type="dxa"/>
          </w:tcPr>
          <w:p w14:paraId="6238B884" w14:textId="77777777" w:rsidR="007A045B" w:rsidRPr="00605C6C" w:rsidRDefault="007A045B" w:rsidP="001351FC">
            <w:pPr>
              <w:tabs>
                <w:tab w:val="left" w:pos="4320"/>
              </w:tabs>
              <w:jc w:val="right"/>
            </w:pPr>
          </w:p>
          <w:p w14:paraId="350B948B" w14:textId="0FC3E964" w:rsidR="007A045B" w:rsidRPr="00605C6C" w:rsidRDefault="007A045B" w:rsidP="001351FC">
            <w:pPr>
              <w:tabs>
                <w:tab w:val="left" w:pos="4320"/>
              </w:tabs>
              <w:jc w:val="center"/>
            </w:pPr>
          </w:p>
        </w:tc>
      </w:tr>
    </w:tbl>
    <w:p w14:paraId="452EB243" w14:textId="3D195ADF" w:rsidR="00EA151B" w:rsidRPr="00EA151B" w:rsidRDefault="00F3153D" w:rsidP="001511BC">
      <w:pPr>
        <w:tabs>
          <w:tab w:val="left" w:pos="4020"/>
        </w:tabs>
      </w:pPr>
      <w:r w:rsidRPr="00605C6C">
        <w:t>Valsts sekretāre</w:t>
      </w:r>
      <w:r w:rsidRPr="00605C6C">
        <w:tab/>
      </w:r>
      <w:r w:rsidRPr="00605C6C">
        <w:tab/>
      </w:r>
      <w:r w:rsidRPr="00605C6C">
        <w:tab/>
      </w:r>
      <w:r w:rsidRPr="00605C6C">
        <w:tab/>
      </w:r>
      <w:r w:rsidRPr="00605C6C">
        <w:tab/>
      </w:r>
      <w:r w:rsidR="005875E4">
        <w:t xml:space="preserve">  </w:t>
      </w:r>
      <w:r w:rsidR="00FE5FE2" w:rsidRPr="00605C6C">
        <w:t>L</w:t>
      </w:r>
      <w:r w:rsidRPr="00605C6C">
        <w:t xml:space="preserve">īga </w:t>
      </w:r>
      <w:r w:rsidR="00FE5FE2" w:rsidRPr="00605C6C">
        <w:t>Lejiņa</w:t>
      </w:r>
    </w:p>
    <w:p w14:paraId="1268B73B" w14:textId="77777777" w:rsidR="007A045B" w:rsidRDefault="007A045B" w:rsidP="001351FC"/>
    <w:p w14:paraId="3A308D42" w14:textId="77777777" w:rsidR="00F3153D" w:rsidRDefault="00F3153D" w:rsidP="00F3153D">
      <w:pPr>
        <w:tabs>
          <w:tab w:val="left" w:pos="2340"/>
          <w:tab w:val="center" w:pos="4153"/>
          <w:tab w:val="right" w:pos="8306"/>
        </w:tabs>
        <w:rPr>
          <w:rFonts w:eastAsia="Times New Roman"/>
          <w:sz w:val="20"/>
          <w:szCs w:val="20"/>
        </w:rPr>
      </w:pPr>
    </w:p>
    <w:p w14:paraId="0FF10811" w14:textId="77777777" w:rsidR="003676E2" w:rsidRDefault="003676E2" w:rsidP="00F3153D">
      <w:pPr>
        <w:rPr>
          <w:rFonts w:eastAsia="Times New Roman"/>
          <w:color w:val="0000FF"/>
          <w:sz w:val="20"/>
          <w:szCs w:val="20"/>
          <w:u w:val="single"/>
        </w:rPr>
      </w:pPr>
    </w:p>
    <w:p w14:paraId="0B3DED45" w14:textId="17587BED" w:rsidR="003676E2" w:rsidRDefault="00423B48" w:rsidP="003676E2">
      <w:pPr>
        <w:rPr>
          <w:rFonts w:eastAsiaTheme="minorHAnsi"/>
          <w:sz w:val="20"/>
          <w:szCs w:val="22"/>
          <w:lang w:eastAsia="en-US"/>
        </w:rPr>
      </w:pPr>
      <w:r>
        <w:rPr>
          <w:sz w:val="20"/>
        </w:rPr>
        <w:t xml:space="preserve">Rudene </w:t>
      </w:r>
      <w:r w:rsidR="009E2DD6">
        <w:rPr>
          <w:sz w:val="20"/>
        </w:rPr>
        <w:t>67047992</w:t>
      </w:r>
    </w:p>
    <w:p w14:paraId="2CCF40D4" w14:textId="38970226" w:rsidR="003676E2" w:rsidRPr="003676E2" w:rsidRDefault="00B91644" w:rsidP="003676E2">
      <w:pPr>
        <w:rPr>
          <w:sz w:val="20"/>
        </w:rPr>
      </w:pPr>
      <w:hyperlink r:id="rId9" w:history="1">
        <w:r w:rsidR="009E2DD6">
          <w:rPr>
            <w:sz w:val="20"/>
          </w:rPr>
          <w:t>zanda.rudene</w:t>
        </w:r>
        <w:r w:rsidR="009E2DD6" w:rsidRPr="003676E2">
          <w:rPr>
            <w:sz w:val="20"/>
          </w:rPr>
          <w:t>@izm.gov.lv</w:t>
        </w:r>
      </w:hyperlink>
    </w:p>
    <w:sectPr w:rsidR="003676E2" w:rsidRPr="003676E2" w:rsidSect="003B01C6">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1848E" w14:textId="77777777" w:rsidR="000D3669" w:rsidRDefault="000D3669">
      <w:r>
        <w:separator/>
      </w:r>
    </w:p>
  </w:endnote>
  <w:endnote w:type="continuationSeparator" w:id="0">
    <w:p w14:paraId="4A20259C" w14:textId="77777777" w:rsidR="000D3669" w:rsidRDefault="000D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512A2" w14:textId="3A1241E8" w:rsidR="000D3669" w:rsidRDefault="000D3669" w:rsidP="00B94A93">
    <w:pPr>
      <w:pStyle w:val="Footer"/>
      <w:tabs>
        <w:tab w:val="clear" w:pos="8306"/>
      </w:tabs>
      <w:jc w:val="both"/>
    </w:pPr>
    <w:r>
      <w:rPr>
        <w:noProof/>
        <w:sz w:val="20"/>
        <w:szCs w:val="20"/>
      </w:rPr>
      <w:t>IZMAnot_</w:t>
    </w:r>
    <w:r w:rsidR="001B7A26">
      <w:rPr>
        <w:noProof/>
        <w:sz w:val="20"/>
        <w:szCs w:val="20"/>
      </w:rPr>
      <w:t>0</w:t>
    </w:r>
    <w:r w:rsidR="00E1295E">
      <w:rPr>
        <w:noProof/>
        <w:sz w:val="20"/>
        <w:szCs w:val="20"/>
      </w:rPr>
      <w:t>7</w:t>
    </w:r>
    <w:r w:rsidR="001B7A26">
      <w:rPr>
        <w:noProof/>
        <w:sz w:val="20"/>
        <w:szCs w:val="20"/>
      </w:rPr>
      <w:t>0219</w:t>
    </w:r>
    <w:r>
      <w:rPr>
        <w:noProof/>
        <w:sz w:val="20"/>
        <w:szCs w:val="20"/>
      </w:rPr>
      <w:t>_groz8361</w:t>
    </w:r>
    <w:r w:rsidRPr="00B4020C">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418D3" w14:textId="69772A2F" w:rsidR="000D3669" w:rsidRPr="00521075" w:rsidRDefault="000D3669" w:rsidP="00521075">
    <w:pPr>
      <w:pStyle w:val="Footer"/>
      <w:tabs>
        <w:tab w:val="clear" w:pos="8306"/>
      </w:tabs>
      <w:jc w:val="both"/>
      <w:rPr>
        <w:noProof/>
        <w:sz w:val="20"/>
        <w:szCs w:val="20"/>
      </w:rPr>
    </w:pPr>
    <w:r>
      <w:rPr>
        <w:noProof/>
        <w:sz w:val="20"/>
        <w:szCs w:val="20"/>
      </w:rPr>
      <w:t>IZMAnot_</w:t>
    </w:r>
    <w:r w:rsidR="001B7A26">
      <w:rPr>
        <w:noProof/>
        <w:sz w:val="20"/>
        <w:szCs w:val="20"/>
      </w:rPr>
      <w:t>0</w:t>
    </w:r>
    <w:r w:rsidR="00E1295E">
      <w:rPr>
        <w:noProof/>
        <w:sz w:val="20"/>
        <w:szCs w:val="20"/>
      </w:rPr>
      <w:t>7</w:t>
    </w:r>
    <w:r w:rsidR="001B7A26">
      <w:rPr>
        <w:noProof/>
        <w:sz w:val="20"/>
        <w:szCs w:val="20"/>
      </w:rPr>
      <w:t>0219</w:t>
    </w:r>
    <w:r>
      <w:rPr>
        <w:noProof/>
        <w:sz w:val="20"/>
        <w:szCs w:val="20"/>
      </w:rPr>
      <w:t>_groz8361</w:t>
    </w:r>
    <w:r w:rsidRPr="00B4020C">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80941" w14:textId="77777777" w:rsidR="000D3669" w:rsidRDefault="000D3669">
      <w:r>
        <w:separator/>
      </w:r>
    </w:p>
  </w:footnote>
  <w:footnote w:type="continuationSeparator" w:id="0">
    <w:p w14:paraId="10D0379D" w14:textId="77777777" w:rsidR="000D3669" w:rsidRDefault="000D3669">
      <w:r>
        <w:continuationSeparator/>
      </w:r>
    </w:p>
  </w:footnote>
  <w:footnote w:id="1">
    <w:p w14:paraId="54B11793" w14:textId="77777777" w:rsidR="000D3669" w:rsidRDefault="000D3669" w:rsidP="003F61CB">
      <w:pPr>
        <w:pStyle w:val="FootnoteText"/>
        <w:jc w:val="both"/>
      </w:pPr>
      <w:r>
        <w:rPr>
          <w:rStyle w:val="FootnoteReference"/>
        </w:rPr>
        <w:footnoteRef/>
      </w:r>
      <w:r>
        <w:t xml:space="preserve"> Aktuālā informācija par pētījuma gaitu, semināru materiāli un saņemtie ziņojumi: </w:t>
      </w:r>
      <w:hyperlink r:id="rId1" w:history="1">
        <w:r>
          <w:rPr>
            <w:rStyle w:val="Hyperlink"/>
            <w:color w:val="auto"/>
          </w:rPr>
          <w:t>http://www.izm.gov.lv/lv/izglitiba/augstaka-izglitiba/petijums-augstakas-izglitibas-parvaldibas-efektivizacijai</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740153"/>
      <w:docPartObj>
        <w:docPartGallery w:val="Page Numbers (Top of Page)"/>
        <w:docPartUnique/>
      </w:docPartObj>
    </w:sdtPr>
    <w:sdtEndPr>
      <w:rPr>
        <w:noProof/>
      </w:rPr>
    </w:sdtEndPr>
    <w:sdtContent>
      <w:p w14:paraId="7D8F98E8" w14:textId="77777777" w:rsidR="000D3669" w:rsidRDefault="000D3669">
        <w:pPr>
          <w:pStyle w:val="Header"/>
          <w:jc w:val="center"/>
        </w:pPr>
        <w:r>
          <w:fldChar w:fldCharType="begin"/>
        </w:r>
        <w:r>
          <w:instrText xml:space="preserve"> PAGE   \* MERGEFORMAT </w:instrText>
        </w:r>
        <w:r>
          <w:fldChar w:fldCharType="separate"/>
        </w:r>
        <w:r w:rsidR="00B91644">
          <w:rPr>
            <w:noProof/>
          </w:rPr>
          <w:t>6</w:t>
        </w:r>
        <w:r>
          <w:rPr>
            <w:noProof/>
          </w:rPr>
          <w:fldChar w:fldCharType="end"/>
        </w:r>
      </w:p>
    </w:sdtContent>
  </w:sdt>
  <w:p w14:paraId="08EA09F9" w14:textId="77777777" w:rsidR="000D3669" w:rsidRDefault="000D3669" w:rsidP="00521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F621C"/>
    <w:multiLevelType w:val="hybridMultilevel"/>
    <w:tmpl w:val="98D49D5C"/>
    <w:lvl w:ilvl="0" w:tplc="539AB96E">
      <w:start w:val="1"/>
      <w:numFmt w:val="bullet"/>
      <w:lvlText w:val=""/>
      <w:lvlJc w:val="left"/>
      <w:pPr>
        <w:ind w:left="754" w:hanging="360"/>
      </w:pPr>
      <w:rPr>
        <w:rFonts w:ascii="Symbol" w:hAnsi="Symbol" w:hint="default"/>
      </w:rPr>
    </w:lvl>
    <w:lvl w:ilvl="1" w:tplc="6198616E" w:tentative="1">
      <w:start w:val="1"/>
      <w:numFmt w:val="bullet"/>
      <w:lvlText w:val="o"/>
      <w:lvlJc w:val="left"/>
      <w:pPr>
        <w:ind w:left="1474" w:hanging="360"/>
      </w:pPr>
      <w:rPr>
        <w:rFonts w:ascii="Courier New" w:hAnsi="Courier New" w:cs="Courier New" w:hint="default"/>
      </w:rPr>
    </w:lvl>
    <w:lvl w:ilvl="2" w:tplc="3014D0EA" w:tentative="1">
      <w:start w:val="1"/>
      <w:numFmt w:val="bullet"/>
      <w:lvlText w:val=""/>
      <w:lvlJc w:val="left"/>
      <w:pPr>
        <w:ind w:left="2194" w:hanging="360"/>
      </w:pPr>
      <w:rPr>
        <w:rFonts w:ascii="Wingdings" w:hAnsi="Wingdings" w:hint="default"/>
      </w:rPr>
    </w:lvl>
    <w:lvl w:ilvl="3" w:tplc="38EE95B8" w:tentative="1">
      <w:start w:val="1"/>
      <w:numFmt w:val="bullet"/>
      <w:lvlText w:val=""/>
      <w:lvlJc w:val="left"/>
      <w:pPr>
        <w:ind w:left="2914" w:hanging="360"/>
      </w:pPr>
      <w:rPr>
        <w:rFonts w:ascii="Symbol" w:hAnsi="Symbol" w:hint="default"/>
      </w:rPr>
    </w:lvl>
    <w:lvl w:ilvl="4" w:tplc="598EFF7A" w:tentative="1">
      <w:start w:val="1"/>
      <w:numFmt w:val="bullet"/>
      <w:lvlText w:val="o"/>
      <w:lvlJc w:val="left"/>
      <w:pPr>
        <w:ind w:left="3634" w:hanging="360"/>
      </w:pPr>
      <w:rPr>
        <w:rFonts w:ascii="Courier New" w:hAnsi="Courier New" w:cs="Courier New" w:hint="default"/>
      </w:rPr>
    </w:lvl>
    <w:lvl w:ilvl="5" w:tplc="B40827D0" w:tentative="1">
      <w:start w:val="1"/>
      <w:numFmt w:val="bullet"/>
      <w:lvlText w:val=""/>
      <w:lvlJc w:val="left"/>
      <w:pPr>
        <w:ind w:left="4354" w:hanging="360"/>
      </w:pPr>
      <w:rPr>
        <w:rFonts w:ascii="Wingdings" w:hAnsi="Wingdings" w:hint="default"/>
      </w:rPr>
    </w:lvl>
    <w:lvl w:ilvl="6" w:tplc="99840C46" w:tentative="1">
      <w:start w:val="1"/>
      <w:numFmt w:val="bullet"/>
      <w:lvlText w:val=""/>
      <w:lvlJc w:val="left"/>
      <w:pPr>
        <w:ind w:left="5074" w:hanging="360"/>
      </w:pPr>
      <w:rPr>
        <w:rFonts w:ascii="Symbol" w:hAnsi="Symbol" w:hint="default"/>
      </w:rPr>
    </w:lvl>
    <w:lvl w:ilvl="7" w:tplc="48F68A4C" w:tentative="1">
      <w:start w:val="1"/>
      <w:numFmt w:val="bullet"/>
      <w:lvlText w:val="o"/>
      <w:lvlJc w:val="left"/>
      <w:pPr>
        <w:ind w:left="5794" w:hanging="360"/>
      </w:pPr>
      <w:rPr>
        <w:rFonts w:ascii="Courier New" w:hAnsi="Courier New" w:cs="Courier New" w:hint="default"/>
      </w:rPr>
    </w:lvl>
    <w:lvl w:ilvl="8" w:tplc="0284EFD8" w:tentative="1">
      <w:start w:val="1"/>
      <w:numFmt w:val="bullet"/>
      <w:lvlText w:val=""/>
      <w:lvlJc w:val="left"/>
      <w:pPr>
        <w:ind w:left="6514" w:hanging="360"/>
      </w:pPr>
      <w:rPr>
        <w:rFonts w:ascii="Wingdings" w:hAnsi="Wingdings" w:hint="default"/>
      </w:rPr>
    </w:lvl>
  </w:abstractNum>
  <w:abstractNum w:abstractNumId="1" w15:restartNumberingAfterBreak="0">
    <w:nsid w:val="0D133711"/>
    <w:multiLevelType w:val="hybridMultilevel"/>
    <w:tmpl w:val="6EE004F2"/>
    <w:lvl w:ilvl="0" w:tplc="C152F7CE">
      <w:start w:val="1"/>
      <w:numFmt w:val="decimal"/>
      <w:lvlText w:val="%1."/>
      <w:lvlJc w:val="left"/>
      <w:pPr>
        <w:ind w:left="720" w:hanging="360"/>
      </w:pPr>
    </w:lvl>
    <w:lvl w:ilvl="1" w:tplc="3CD067AC" w:tentative="1">
      <w:start w:val="1"/>
      <w:numFmt w:val="lowerLetter"/>
      <w:lvlText w:val="%2."/>
      <w:lvlJc w:val="left"/>
      <w:pPr>
        <w:ind w:left="1440" w:hanging="360"/>
      </w:pPr>
    </w:lvl>
    <w:lvl w:ilvl="2" w:tplc="8B163E64" w:tentative="1">
      <w:start w:val="1"/>
      <w:numFmt w:val="lowerRoman"/>
      <w:lvlText w:val="%3."/>
      <w:lvlJc w:val="right"/>
      <w:pPr>
        <w:ind w:left="2160" w:hanging="180"/>
      </w:pPr>
    </w:lvl>
    <w:lvl w:ilvl="3" w:tplc="D9E47EDE" w:tentative="1">
      <w:start w:val="1"/>
      <w:numFmt w:val="decimal"/>
      <w:lvlText w:val="%4."/>
      <w:lvlJc w:val="left"/>
      <w:pPr>
        <w:ind w:left="2880" w:hanging="360"/>
      </w:pPr>
    </w:lvl>
    <w:lvl w:ilvl="4" w:tplc="ACD87378" w:tentative="1">
      <w:start w:val="1"/>
      <w:numFmt w:val="lowerLetter"/>
      <w:lvlText w:val="%5."/>
      <w:lvlJc w:val="left"/>
      <w:pPr>
        <w:ind w:left="3600" w:hanging="360"/>
      </w:pPr>
    </w:lvl>
    <w:lvl w:ilvl="5" w:tplc="46B4CC26" w:tentative="1">
      <w:start w:val="1"/>
      <w:numFmt w:val="lowerRoman"/>
      <w:lvlText w:val="%6."/>
      <w:lvlJc w:val="right"/>
      <w:pPr>
        <w:ind w:left="4320" w:hanging="180"/>
      </w:pPr>
    </w:lvl>
    <w:lvl w:ilvl="6" w:tplc="8A2895D4" w:tentative="1">
      <w:start w:val="1"/>
      <w:numFmt w:val="decimal"/>
      <w:lvlText w:val="%7."/>
      <w:lvlJc w:val="left"/>
      <w:pPr>
        <w:ind w:left="5040" w:hanging="360"/>
      </w:pPr>
    </w:lvl>
    <w:lvl w:ilvl="7" w:tplc="50E0FBE6" w:tentative="1">
      <w:start w:val="1"/>
      <w:numFmt w:val="lowerLetter"/>
      <w:lvlText w:val="%8."/>
      <w:lvlJc w:val="left"/>
      <w:pPr>
        <w:ind w:left="5760" w:hanging="360"/>
      </w:pPr>
    </w:lvl>
    <w:lvl w:ilvl="8" w:tplc="6E30B3C0" w:tentative="1">
      <w:start w:val="1"/>
      <w:numFmt w:val="lowerRoman"/>
      <w:lvlText w:val="%9."/>
      <w:lvlJc w:val="right"/>
      <w:pPr>
        <w:ind w:left="6480" w:hanging="180"/>
      </w:pPr>
    </w:lvl>
  </w:abstractNum>
  <w:abstractNum w:abstractNumId="2" w15:restartNumberingAfterBreak="0">
    <w:nsid w:val="0D4C5E04"/>
    <w:multiLevelType w:val="hybridMultilevel"/>
    <w:tmpl w:val="2BA6FEEC"/>
    <w:lvl w:ilvl="0" w:tplc="3F5E6684">
      <w:start w:val="1"/>
      <w:numFmt w:val="decimal"/>
      <w:lvlText w:val="%1."/>
      <w:lvlJc w:val="left"/>
      <w:pPr>
        <w:ind w:left="720" w:hanging="360"/>
      </w:pPr>
    </w:lvl>
    <w:lvl w:ilvl="1" w:tplc="5C2C69A0" w:tentative="1">
      <w:start w:val="1"/>
      <w:numFmt w:val="lowerLetter"/>
      <w:lvlText w:val="%2."/>
      <w:lvlJc w:val="left"/>
      <w:pPr>
        <w:ind w:left="1440" w:hanging="360"/>
      </w:pPr>
    </w:lvl>
    <w:lvl w:ilvl="2" w:tplc="8236E16C" w:tentative="1">
      <w:start w:val="1"/>
      <w:numFmt w:val="lowerRoman"/>
      <w:lvlText w:val="%3."/>
      <w:lvlJc w:val="right"/>
      <w:pPr>
        <w:ind w:left="2160" w:hanging="180"/>
      </w:pPr>
    </w:lvl>
    <w:lvl w:ilvl="3" w:tplc="7D8A81A0" w:tentative="1">
      <w:start w:val="1"/>
      <w:numFmt w:val="decimal"/>
      <w:lvlText w:val="%4."/>
      <w:lvlJc w:val="left"/>
      <w:pPr>
        <w:ind w:left="2880" w:hanging="360"/>
      </w:pPr>
    </w:lvl>
    <w:lvl w:ilvl="4" w:tplc="49DE5DA8" w:tentative="1">
      <w:start w:val="1"/>
      <w:numFmt w:val="lowerLetter"/>
      <w:lvlText w:val="%5."/>
      <w:lvlJc w:val="left"/>
      <w:pPr>
        <w:ind w:left="3600" w:hanging="360"/>
      </w:pPr>
    </w:lvl>
    <w:lvl w:ilvl="5" w:tplc="4EA202C0" w:tentative="1">
      <w:start w:val="1"/>
      <w:numFmt w:val="lowerRoman"/>
      <w:lvlText w:val="%6."/>
      <w:lvlJc w:val="right"/>
      <w:pPr>
        <w:ind w:left="4320" w:hanging="180"/>
      </w:pPr>
    </w:lvl>
    <w:lvl w:ilvl="6" w:tplc="D5DCEF2C" w:tentative="1">
      <w:start w:val="1"/>
      <w:numFmt w:val="decimal"/>
      <w:lvlText w:val="%7."/>
      <w:lvlJc w:val="left"/>
      <w:pPr>
        <w:ind w:left="5040" w:hanging="360"/>
      </w:pPr>
    </w:lvl>
    <w:lvl w:ilvl="7" w:tplc="215C3218" w:tentative="1">
      <w:start w:val="1"/>
      <w:numFmt w:val="lowerLetter"/>
      <w:lvlText w:val="%8."/>
      <w:lvlJc w:val="left"/>
      <w:pPr>
        <w:ind w:left="5760" w:hanging="360"/>
      </w:pPr>
    </w:lvl>
    <w:lvl w:ilvl="8" w:tplc="0F243188" w:tentative="1">
      <w:start w:val="1"/>
      <w:numFmt w:val="lowerRoman"/>
      <w:lvlText w:val="%9."/>
      <w:lvlJc w:val="right"/>
      <w:pPr>
        <w:ind w:left="6480" w:hanging="180"/>
      </w:pPr>
    </w:lvl>
  </w:abstractNum>
  <w:abstractNum w:abstractNumId="3" w15:restartNumberingAfterBreak="0">
    <w:nsid w:val="0F903DB0"/>
    <w:multiLevelType w:val="hybridMultilevel"/>
    <w:tmpl w:val="B47C8BF2"/>
    <w:lvl w:ilvl="0" w:tplc="D982DFBC">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5903C8"/>
    <w:multiLevelType w:val="hybridMultilevel"/>
    <w:tmpl w:val="95543244"/>
    <w:lvl w:ilvl="0" w:tplc="A866DC78">
      <w:start w:val="1"/>
      <w:numFmt w:val="bullet"/>
      <w:lvlText w:val=""/>
      <w:lvlJc w:val="left"/>
      <w:pPr>
        <w:ind w:left="777" w:hanging="360"/>
      </w:pPr>
      <w:rPr>
        <w:rFonts w:ascii="Symbol" w:hAnsi="Symbol" w:hint="default"/>
      </w:rPr>
    </w:lvl>
    <w:lvl w:ilvl="1" w:tplc="63D2D884" w:tentative="1">
      <w:start w:val="1"/>
      <w:numFmt w:val="bullet"/>
      <w:lvlText w:val="o"/>
      <w:lvlJc w:val="left"/>
      <w:pPr>
        <w:ind w:left="1497" w:hanging="360"/>
      </w:pPr>
      <w:rPr>
        <w:rFonts w:ascii="Courier New" w:hAnsi="Courier New" w:cs="Courier New" w:hint="default"/>
      </w:rPr>
    </w:lvl>
    <w:lvl w:ilvl="2" w:tplc="C6F05ECC" w:tentative="1">
      <w:start w:val="1"/>
      <w:numFmt w:val="bullet"/>
      <w:lvlText w:val=""/>
      <w:lvlJc w:val="left"/>
      <w:pPr>
        <w:ind w:left="2217" w:hanging="360"/>
      </w:pPr>
      <w:rPr>
        <w:rFonts w:ascii="Wingdings" w:hAnsi="Wingdings" w:hint="default"/>
      </w:rPr>
    </w:lvl>
    <w:lvl w:ilvl="3" w:tplc="13D2DD98" w:tentative="1">
      <w:start w:val="1"/>
      <w:numFmt w:val="bullet"/>
      <w:lvlText w:val=""/>
      <w:lvlJc w:val="left"/>
      <w:pPr>
        <w:ind w:left="2937" w:hanging="360"/>
      </w:pPr>
      <w:rPr>
        <w:rFonts w:ascii="Symbol" w:hAnsi="Symbol" w:hint="default"/>
      </w:rPr>
    </w:lvl>
    <w:lvl w:ilvl="4" w:tplc="A03CAF4C" w:tentative="1">
      <w:start w:val="1"/>
      <w:numFmt w:val="bullet"/>
      <w:lvlText w:val="o"/>
      <w:lvlJc w:val="left"/>
      <w:pPr>
        <w:ind w:left="3657" w:hanging="360"/>
      </w:pPr>
      <w:rPr>
        <w:rFonts w:ascii="Courier New" w:hAnsi="Courier New" w:cs="Courier New" w:hint="default"/>
      </w:rPr>
    </w:lvl>
    <w:lvl w:ilvl="5" w:tplc="75B8743C" w:tentative="1">
      <w:start w:val="1"/>
      <w:numFmt w:val="bullet"/>
      <w:lvlText w:val=""/>
      <w:lvlJc w:val="left"/>
      <w:pPr>
        <w:ind w:left="4377" w:hanging="360"/>
      </w:pPr>
      <w:rPr>
        <w:rFonts w:ascii="Wingdings" w:hAnsi="Wingdings" w:hint="default"/>
      </w:rPr>
    </w:lvl>
    <w:lvl w:ilvl="6" w:tplc="99E447AE" w:tentative="1">
      <w:start w:val="1"/>
      <w:numFmt w:val="bullet"/>
      <w:lvlText w:val=""/>
      <w:lvlJc w:val="left"/>
      <w:pPr>
        <w:ind w:left="5097" w:hanging="360"/>
      </w:pPr>
      <w:rPr>
        <w:rFonts w:ascii="Symbol" w:hAnsi="Symbol" w:hint="default"/>
      </w:rPr>
    </w:lvl>
    <w:lvl w:ilvl="7" w:tplc="476ED51E" w:tentative="1">
      <w:start w:val="1"/>
      <w:numFmt w:val="bullet"/>
      <w:lvlText w:val="o"/>
      <w:lvlJc w:val="left"/>
      <w:pPr>
        <w:ind w:left="5817" w:hanging="360"/>
      </w:pPr>
      <w:rPr>
        <w:rFonts w:ascii="Courier New" w:hAnsi="Courier New" w:cs="Courier New" w:hint="default"/>
      </w:rPr>
    </w:lvl>
    <w:lvl w:ilvl="8" w:tplc="8E68D1F6" w:tentative="1">
      <w:start w:val="1"/>
      <w:numFmt w:val="bullet"/>
      <w:lvlText w:val=""/>
      <w:lvlJc w:val="left"/>
      <w:pPr>
        <w:ind w:left="6537" w:hanging="360"/>
      </w:pPr>
      <w:rPr>
        <w:rFonts w:ascii="Wingdings" w:hAnsi="Wingdings" w:hint="default"/>
      </w:rPr>
    </w:lvl>
  </w:abstractNum>
  <w:abstractNum w:abstractNumId="5" w15:restartNumberingAfterBreak="0">
    <w:nsid w:val="22A120DE"/>
    <w:multiLevelType w:val="hybridMultilevel"/>
    <w:tmpl w:val="CBB0DC0C"/>
    <w:lvl w:ilvl="0" w:tplc="DE283898">
      <w:start w:val="1"/>
      <w:numFmt w:val="decimal"/>
      <w:lvlText w:val="%1."/>
      <w:lvlJc w:val="left"/>
      <w:pPr>
        <w:ind w:left="1712" w:hanging="720"/>
      </w:pPr>
      <w:rPr>
        <w:rFonts w:cstheme="minorBidi" w:hint="default"/>
      </w:rPr>
    </w:lvl>
    <w:lvl w:ilvl="1" w:tplc="8C7E633C" w:tentative="1">
      <w:start w:val="1"/>
      <w:numFmt w:val="lowerLetter"/>
      <w:lvlText w:val="%2."/>
      <w:lvlJc w:val="left"/>
      <w:pPr>
        <w:ind w:left="1865" w:hanging="360"/>
      </w:pPr>
    </w:lvl>
    <w:lvl w:ilvl="2" w:tplc="5B22C25E" w:tentative="1">
      <w:start w:val="1"/>
      <w:numFmt w:val="lowerRoman"/>
      <w:lvlText w:val="%3."/>
      <w:lvlJc w:val="right"/>
      <w:pPr>
        <w:ind w:left="2585" w:hanging="180"/>
      </w:pPr>
    </w:lvl>
    <w:lvl w:ilvl="3" w:tplc="29CCD8B4" w:tentative="1">
      <w:start w:val="1"/>
      <w:numFmt w:val="decimal"/>
      <w:lvlText w:val="%4."/>
      <w:lvlJc w:val="left"/>
      <w:pPr>
        <w:ind w:left="3305" w:hanging="360"/>
      </w:pPr>
    </w:lvl>
    <w:lvl w:ilvl="4" w:tplc="F45C34B8" w:tentative="1">
      <w:start w:val="1"/>
      <w:numFmt w:val="lowerLetter"/>
      <w:lvlText w:val="%5."/>
      <w:lvlJc w:val="left"/>
      <w:pPr>
        <w:ind w:left="4025" w:hanging="360"/>
      </w:pPr>
    </w:lvl>
    <w:lvl w:ilvl="5" w:tplc="FBE066D4" w:tentative="1">
      <w:start w:val="1"/>
      <w:numFmt w:val="lowerRoman"/>
      <w:lvlText w:val="%6."/>
      <w:lvlJc w:val="right"/>
      <w:pPr>
        <w:ind w:left="4745" w:hanging="180"/>
      </w:pPr>
    </w:lvl>
    <w:lvl w:ilvl="6" w:tplc="5DDE6D62" w:tentative="1">
      <w:start w:val="1"/>
      <w:numFmt w:val="decimal"/>
      <w:lvlText w:val="%7."/>
      <w:lvlJc w:val="left"/>
      <w:pPr>
        <w:ind w:left="5465" w:hanging="360"/>
      </w:pPr>
    </w:lvl>
    <w:lvl w:ilvl="7" w:tplc="AB20667E" w:tentative="1">
      <w:start w:val="1"/>
      <w:numFmt w:val="lowerLetter"/>
      <w:lvlText w:val="%8."/>
      <w:lvlJc w:val="left"/>
      <w:pPr>
        <w:ind w:left="6185" w:hanging="360"/>
      </w:pPr>
    </w:lvl>
    <w:lvl w:ilvl="8" w:tplc="886057F4" w:tentative="1">
      <w:start w:val="1"/>
      <w:numFmt w:val="lowerRoman"/>
      <w:lvlText w:val="%9."/>
      <w:lvlJc w:val="right"/>
      <w:pPr>
        <w:ind w:left="6905" w:hanging="180"/>
      </w:pPr>
    </w:lvl>
  </w:abstractNum>
  <w:abstractNum w:abstractNumId="6" w15:restartNumberingAfterBreak="0">
    <w:nsid w:val="47821293"/>
    <w:multiLevelType w:val="hybridMultilevel"/>
    <w:tmpl w:val="91F851B8"/>
    <w:lvl w:ilvl="0" w:tplc="2DC42034">
      <w:start w:val="1"/>
      <w:numFmt w:val="decimal"/>
      <w:lvlText w:val="%1."/>
      <w:lvlJc w:val="left"/>
      <w:pPr>
        <w:ind w:left="720" w:hanging="360"/>
      </w:pPr>
    </w:lvl>
    <w:lvl w:ilvl="1" w:tplc="F2A41AC8" w:tentative="1">
      <w:start w:val="1"/>
      <w:numFmt w:val="lowerLetter"/>
      <w:lvlText w:val="%2."/>
      <w:lvlJc w:val="left"/>
      <w:pPr>
        <w:ind w:left="1440" w:hanging="360"/>
      </w:pPr>
    </w:lvl>
    <w:lvl w:ilvl="2" w:tplc="F0A69B3A" w:tentative="1">
      <w:start w:val="1"/>
      <w:numFmt w:val="lowerRoman"/>
      <w:lvlText w:val="%3."/>
      <w:lvlJc w:val="right"/>
      <w:pPr>
        <w:ind w:left="2160" w:hanging="180"/>
      </w:pPr>
    </w:lvl>
    <w:lvl w:ilvl="3" w:tplc="A39C38C6" w:tentative="1">
      <w:start w:val="1"/>
      <w:numFmt w:val="decimal"/>
      <w:lvlText w:val="%4."/>
      <w:lvlJc w:val="left"/>
      <w:pPr>
        <w:ind w:left="2880" w:hanging="360"/>
      </w:pPr>
    </w:lvl>
    <w:lvl w:ilvl="4" w:tplc="83F004FE" w:tentative="1">
      <w:start w:val="1"/>
      <w:numFmt w:val="lowerLetter"/>
      <w:lvlText w:val="%5."/>
      <w:lvlJc w:val="left"/>
      <w:pPr>
        <w:ind w:left="3600" w:hanging="360"/>
      </w:pPr>
    </w:lvl>
    <w:lvl w:ilvl="5" w:tplc="E0162AB0" w:tentative="1">
      <w:start w:val="1"/>
      <w:numFmt w:val="lowerRoman"/>
      <w:lvlText w:val="%6."/>
      <w:lvlJc w:val="right"/>
      <w:pPr>
        <w:ind w:left="4320" w:hanging="180"/>
      </w:pPr>
    </w:lvl>
    <w:lvl w:ilvl="6" w:tplc="061A63E2" w:tentative="1">
      <w:start w:val="1"/>
      <w:numFmt w:val="decimal"/>
      <w:lvlText w:val="%7."/>
      <w:lvlJc w:val="left"/>
      <w:pPr>
        <w:ind w:left="5040" w:hanging="360"/>
      </w:pPr>
    </w:lvl>
    <w:lvl w:ilvl="7" w:tplc="48BA7904" w:tentative="1">
      <w:start w:val="1"/>
      <w:numFmt w:val="lowerLetter"/>
      <w:lvlText w:val="%8."/>
      <w:lvlJc w:val="left"/>
      <w:pPr>
        <w:ind w:left="5760" w:hanging="360"/>
      </w:pPr>
    </w:lvl>
    <w:lvl w:ilvl="8" w:tplc="1D22E78A" w:tentative="1">
      <w:start w:val="1"/>
      <w:numFmt w:val="lowerRoman"/>
      <w:lvlText w:val="%9."/>
      <w:lvlJc w:val="right"/>
      <w:pPr>
        <w:ind w:left="6480" w:hanging="180"/>
      </w:pPr>
    </w:lvl>
  </w:abstractNum>
  <w:abstractNum w:abstractNumId="7" w15:restartNumberingAfterBreak="0">
    <w:nsid w:val="541915C6"/>
    <w:multiLevelType w:val="hybridMultilevel"/>
    <w:tmpl w:val="C360BDB6"/>
    <w:lvl w:ilvl="0" w:tplc="3CF4B130">
      <w:start w:val="1"/>
      <w:numFmt w:val="decimal"/>
      <w:lvlText w:val="%1."/>
      <w:lvlJc w:val="left"/>
      <w:pPr>
        <w:ind w:left="720" w:hanging="360"/>
      </w:pPr>
      <w:rPr>
        <w:rFonts w:ascii="Times New Roman" w:eastAsia="Times New Roman" w:hAnsi="Times New Roman" w:cs="Times New Roman"/>
      </w:rPr>
    </w:lvl>
    <w:lvl w:ilvl="1" w:tplc="1F8C8748" w:tentative="1">
      <w:start w:val="1"/>
      <w:numFmt w:val="lowerLetter"/>
      <w:lvlText w:val="%2."/>
      <w:lvlJc w:val="left"/>
      <w:pPr>
        <w:ind w:left="1440" w:hanging="360"/>
      </w:pPr>
    </w:lvl>
    <w:lvl w:ilvl="2" w:tplc="5F48E9C2" w:tentative="1">
      <w:start w:val="1"/>
      <w:numFmt w:val="lowerRoman"/>
      <w:lvlText w:val="%3."/>
      <w:lvlJc w:val="right"/>
      <w:pPr>
        <w:ind w:left="2160" w:hanging="180"/>
      </w:pPr>
    </w:lvl>
    <w:lvl w:ilvl="3" w:tplc="7BAE4D48" w:tentative="1">
      <w:start w:val="1"/>
      <w:numFmt w:val="decimal"/>
      <w:lvlText w:val="%4."/>
      <w:lvlJc w:val="left"/>
      <w:pPr>
        <w:ind w:left="2880" w:hanging="360"/>
      </w:pPr>
    </w:lvl>
    <w:lvl w:ilvl="4" w:tplc="41F48E1E" w:tentative="1">
      <w:start w:val="1"/>
      <w:numFmt w:val="lowerLetter"/>
      <w:lvlText w:val="%5."/>
      <w:lvlJc w:val="left"/>
      <w:pPr>
        <w:ind w:left="3600" w:hanging="360"/>
      </w:pPr>
    </w:lvl>
    <w:lvl w:ilvl="5" w:tplc="B6406A0C" w:tentative="1">
      <w:start w:val="1"/>
      <w:numFmt w:val="lowerRoman"/>
      <w:lvlText w:val="%6."/>
      <w:lvlJc w:val="right"/>
      <w:pPr>
        <w:ind w:left="4320" w:hanging="180"/>
      </w:pPr>
    </w:lvl>
    <w:lvl w:ilvl="6" w:tplc="DE8646C2" w:tentative="1">
      <w:start w:val="1"/>
      <w:numFmt w:val="decimal"/>
      <w:lvlText w:val="%7."/>
      <w:lvlJc w:val="left"/>
      <w:pPr>
        <w:ind w:left="5040" w:hanging="360"/>
      </w:pPr>
    </w:lvl>
    <w:lvl w:ilvl="7" w:tplc="05923572" w:tentative="1">
      <w:start w:val="1"/>
      <w:numFmt w:val="lowerLetter"/>
      <w:lvlText w:val="%8."/>
      <w:lvlJc w:val="left"/>
      <w:pPr>
        <w:ind w:left="5760" w:hanging="360"/>
      </w:pPr>
    </w:lvl>
    <w:lvl w:ilvl="8" w:tplc="B9683AC0" w:tentative="1">
      <w:start w:val="1"/>
      <w:numFmt w:val="lowerRoman"/>
      <w:lvlText w:val="%9."/>
      <w:lvlJc w:val="right"/>
      <w:pPr>
        <w:ind w:left="6480" w:hanging="180"/>
      </w:pPr>
    </w:lvl>
  </w:abstractNum>
  <w:abstractNum w:abstractNumId="8" w15:restartNumberingAfterBreak="0">
    <w:nsid w:val="62186FD9"/>
    <w:multiLevelType w:val="hybridMultilevel"/>
    <w:tmpl w:val="2CB0A9C2"/>
    <w:lvl w:ilvl="0" w:tplc="9C3C222C">
      <w:start w:val="1"/>
      <w:numFmt w:val="decimal"/>
      <w:lvlText w:val="%1."/>
      <w:lvlJc w:val="left"/>
      <w:pPr>
        <w:ind w:left="754" w:hanging="360"/>
      </w:pPr>
    </w:lvl>
    <w:lvl w:ilvl="1" w:tplc="7A963396" w:tentative="1">
      <w:start w:val="1"/>
      <w:numFmt w:val="lowerLetter"/>
      <w:lvlText w:val="%2."/>
      <w:lvlJc w:val="left"/>
      <w:pPr>
        <w:ind w:left="1474" w:hanging="360"/>
      </w:pPr>
    </w:lvl>
    <w:lvl w:ilvl="2" w:tplc="8DE88FCA" w:tentative="1">
      <w:start w:val="1"/>
      <w:numFmt w:val="lowerRoman"/>
      <w:lvlText w:val="%3."/>
      <w:lvlJc w:val="right"/>
      <w:pPr>
        <w:ind w:left="2194" w:hanging="180"/>
      </w:pPr>
    </w:lvl>
    <w:lvl w:ilvl="3" w:tplc="9D7E929E" w:tentative="1">
      <w:start w:val="1"/>
      <w:numFmt w:val="decimal"/>
      <w:lvlText w:val="%4."/>
      <w:lvlJc w:val="left"/>
      <w:pPr>
        <w:ind w:left="2914" w:hanging="360"/>
      </w:pPr>
    </w:lvl>
    <w:lvl w:ilvl="4" w:tplc="563CD118" w:tentative="1">
      <w:start w:val="1"/>
      <w:numFmt w:val="lowerLetter"/>
      <w:lvlText w:val="%5."/>
      <w:lvlJc w:val="left"/>
      <w:pPr>
        <w:ind w:left="3634" w:hanging="360"/>
      </w:pPr>
    </w:lvl>
    <w:lvl w:ilvl="5" w:tplc="144886FE" w:tentative="1">
      <w:start w:val="1"/>
      <w:numFmt w:val="lowerRoman"/>
      <w:lvlText w:val="%6."/>
      <w:lvlJc w:val="right"/>
      <w:pPr>
        <w:ind w:left="4354" w:hanging="180"/>
      </w:pPr>
    </w:lvl>
    <w:lvl w:ilvl="6" w:tplc="311A38B2" w:tentative="1">
      <w:start w:val="1"/>
      <w:numFmt w:val="decimal"/>
      <w:lvlText w:val="%7."/>
      <w:lvlJc w:val="left"/>
      <w:pPr>
        <w:ind w:left="5074" w:hanging="360"/>
      </w:pPr>
    </w:lvl>
    <w:lvl w:ilvl="7" w:tplc="62E8CBEA" w:tentative="1">
      <w:start w:val="1"/>
      <w:numFmt w:val="lowerLetter"/>
      <w:lvlText w:val="%8."/>
      <w:lvlJc w:val="left"/>
      <w:pPr>
        <w:ind w:left="5794" w:hanging="360"/>
      </w:pPr>
    </w:lvl>
    <w:lvl w:ilvl="8" w:tplc="4560D550" w:tentative="1">
      <w:start w:val="1"/>
      <w:numFmt w:val="lowerRoman"/>
      <w:lvlText w:val="%9."/>
      <w:lvlJc w:val="right"/>
      <w:pPr>
        <w:ind w:left="6514" w:hanging="180"/>
      </w:pPr>
    </w:lvl>
  </w:abstractNum>
  <w:abstractNum w:abstractNumId="9" w15:restartNumberingAfterBreak="0">
    <w:nsid w:val="71C26178"/>
    <w:multiLevelType w:val="hybridMultilevel"/>
    <w:tmpl w:val="9FBED11A"/>
    <w:lvl w:ilvl="0" w:tplc="A432BC34">
      <w:start w:val="1"/>
      <w:numFmt w:val="decimal"/>
      <w:lvlText w:val="%1)"/>
      <w:lvlJc w:val="left"/>
      <w:pPr>
        <w:ind w:left="720" w:hanging="360"/>
      </w:pPr>
      <w:rPr>
        <w:rFonts w:hint="default"/>
      </w:rPr>
    </w:lvl>
    <w:lvl w:ilvl="1" w:tplc="8A4E48BA" w:tentative="1">
      <w:start w:val="1"/>
      <w:numFmt w:val="lowerLetter"/>
      <w:lvlText w:val="%2."/>
      <w:lvlJc w:val="left"/>
      <w:pPr>
        <w:ind w:left="1440" w:hanging="360"/>
      </w:pPr>
    </w:lvl>
    <w:lvl w:ilvl="2" w:tplc="8EA248BC" w:tentative="1">
      <w:start w:val="1"/>
      <w:numFmt w:val="lowerRoman"/>
      <w:lvlText w:val="%3."/>
      <w:lvlJc w:val="right"/>
      <w:pPr>
        <w:ind w:left="2160" w:hanging="180"/>
      </w:pPr>
    </w:lvl>
    <w:lvl w:ilvl="3" w:tplc="E3A611FE" w:tentative="1">
      <w:start w:val="1"/>
      <w:numFmt w:val="decimal"/>
      <w:lvlText w:val="%4."/>
      <w:lvlJc w:val="left"/>
      <w:pPr>
        <w:ind w:left="2880" w:hanging="360"/>
      </w:pPr>
    </w:lvl>
    <w:lvl w:ilvl="4" w:tplc="B554D1C0" w:tentative="1">
      <w:start w:val="1"/>
      <w:numFmt w:val="lowerLetter"/>
      <w:lvlText w:val="%5."/>
      <w:lvlJc w:val="left"/>
      <w:pPr>
        <w:ind w:left="3600" w:hanging="360"/>
      </w:pPr>
    </w:lvl>
    <w:lvl w:ilvl="5" w:tplc="6D62E65C" w:tentative="1">
      <w:start w:val="1"/>
      <w:numFmt w:val="lowerRoman"/>
      <w:lvlText w:val="%6."/>
      <w:lvlJc w:val="right"/>
      <w:pPr>
        <w:ind w:left="4320" w:hanging="180"/>
      </w:pPr>
    </w:lvl>
    <w:lvl w:ilvl="6" w:tplc="138095DE" w:tentative="1">
      <w:start w:val="1"/>
      <w:numFmt w:val="decimal"/>
      <w:lvlText w:val="%7."/>
      <w:lvlJc w:val="left"/>
      <w:pPr>
        <w:ind w:left="5040" w:hanging="360"/>
      </w:pPr>
    </w:lvl>
    <w:lvl w:ilvl="7" w:tplc="DCDC8090" w:tentative="1">
      <w:start w:val="1"/>
      <w:numFmt w:val="lowerLetter"/>
      <w:lvlText w:val="%8."/>
      <w:lvlJc w:val="left"/>
      <w:pPr>
        <w:ind w:left="5760" w:hanging="360"/>
      </w:pPr>
    </w:lvl>
    <w:lvl w:ilvl="8" w:tplc="96108AE6" w:tentative="1">
      <w:start w:val="1"/>
      <w:numFmt w:val="lowerRoman"/>
      <w:lvlText w:val="%9."/>
      <w:lvlJc w:val="right"/>
      <w:pPr>
        <w:ind w:left="6480" w:hanging="180"/>
      </w:pPr>
    </w:lvl>
  </w:abstractNum>
  <w:abstractNum w:abstractNumId="10" w15:restartNumberingAfterBreak="0">
    <w:nsid w:val="74F8102F"/>
    <w:multiLevelType w:val="hybridMultilevel"/>
    <w:tmpl w:val="A48283C8"/>
    <w:lvl w:ilvl="0" w:tplc="1ADE2DB0">
      <w:start w:val="1"/>
      <w:numFmt w:val="decimal"/>
      <w:lvlText w:val="%1)"/>
      <w:lvlJc w:val="left"/>
      <w:pPr>
        <w:ind w:left="720" w:hanging="360"/>
      </w:pPr>
      <w:rPr>
        <w:rFonts w:hint="default"/>
      </w:rPr>
    </w:lvl>
    <w:lvl w:ilvl="1" w:tplc="387C3560" w:tentative="1">
      <w:start w:val="1"/>
      <w:numFmt w:val="lowerLetter"/>
      <w:lvlText w:val="%2."/>
      <w:lvlJc w:val="left"/>
      <w:pPr>
        <w:ind w:left="1440" w:hanging="360"/>
      </w:pPr>
    </w:lvl>
    <w:lvl w:ilvl="2" w:tplc="0004F6AE" w:tentative="1">
      <w:start w:val="1"/>
      <w:numFmt w:val="lowerRoman"/>
      <w:lvlText w:val="%3."/>
      <w:lvlJc w:val="right"/>
      <w:pPr>
        <w:ind w:left="2160" w:hanging="180"/>
      </w:pPr>
    </w:lvl>
    <w:lvl w:ilvl="3" w:tplc="F2FC4D34" w:tentative="1">
      <w:start w:val="1"/>
      <w:numFmt w:val="decimal"/>
      <w:lvlText w:val="%4."/>
      <w:lvlJc w:val="left"/>
      <w:pPr>
        <w:ind w:left="2880" w:hanging="360"/>
      </w:pPr>
    </w:lvl>
    <w:lvl w:ilvl="4" w:tplc="544C3D16" w:tentative="1">
      <w:start w:val="1"/>
      <w:numFmt w:val="lowerLetter"/>
      <w:lvlText w:val="%5."/>
      <w:lvlJc w:val="left"/>
      <w:pPr>
        <w:ind w:left="3600" w:hanging="360"/>
      </w:pPr>
    </w:lvl>
    <w:lvl w:ilvl="5" w:tplc="C8062364" w:tentative="1">
      <w:start w:val="1"/>
      <w:numFmt w:val="lowerRoman"/>
      <w:lvlText w:val="%6."/>
      <w:lvlJc w:val="right"/>
      <w:pPr>
        <w:ind w:left="4320" w:hanging="180"/>
      </w:pPr>
    </w:lvl>
    <w:lvl w:ilvl="6" w:tplc="3EC80560" w:tentative="1">
      <w:start w:val="1"/>
      <w:numFmt w:val="decimal"/>
      <w:lvlText w:val="%7."/>
      <w:lvlJc w:val="left"/>
      <w:pPr>
        <w:ind w:left="5040" w:hanging="360"/>
      </w:pPr>
    </w:lvl>
    <w:lvl w:ilvl="7" w:tplc="6DD89586" w:tentative="1">
      <w:start w:val="1"/>
      <w:numFmt w:val="lowerLetter"/>
      <w:lvlText w:val="%8."/>
      <w:lvlJc w:val="left"/>
      <w:pPr>
        <w:ind w:left="5760" w:hanging="360"/>
      </w:pPr>
    </w:lvl>
    <w:lvl w:ilvl="8" w:tplc="D7B01546" w:tentative="1">
      <w:start w:val="1"/>
      <w:numFmt w:val="lowerRoman"/>
      <w:lvlText w:val="%9."/>
      <w:lvlJc w:val="right"/>
      <w:pPr>
        <w:ind w:left="6480" w:hanging="180"/>
      </w:pPr>
    </w:lvl>
  </w:abstractNum>
  <w:abstractNum w:abstractNumId="11" w15:restartNumberingAfterBreak="0">
    <w:nsid w:val="7F7619F5"/>
    <w:multiLevelType w:val="hybridMultilevel"/>
    <w:tmpl w:val="C758ED3C"/>
    <w:lvl w:ilvl="0" w:tplc="A9F0EC62">
      <w:start w:val="1"/>
      <w:numFmt w:val="decimal"/>
      <w:lvlText w:val="%1)"/>
      <w:lvlJc w:val="left"/>
      <w:pPr>
        <w:ind w:left="720" w:hanging="360"/>
      </w:pPr>
      <w:rPr>
        <w:rFonts w:hint="default"/>
      </w:rPr>
    </w:lvl>
    <w:lvl w:ilvl="1" w:tplc="EC7037BA" w:tentative="1">
      <w:start w:val="1"/>
      <w:numFmt w:val="lowerLetter"/>
      <w:lvlText w:val="%2."/>
      <w:lvlJc w:val="left"/>
      <w:pPr>
        <w:ind w:left="1440" w:hanging="360"/>
      </w:pPr>
    </w:lvl>
    <w:lvl w:ilvl="2" w:tplc="5820178A" w:tentative="1">
      <w:start w:val="1"/>
      <w:numFmt w:val="lowerRoman"/>
      <w:lvlText w:val="%3."/>
      <w:lvlJc w:val="right"/>
      <w:pPr>
        <w:ind w:left="2160" w:hanging="180"/>
      </w:pPr>
    </w:lvl>
    <w:lvl w:ilvl="3" w:tplc="8B1AF176" w:tentative="1">
      <w:start w:val="1"/>
      <w:numFmt w:val="decimal"/>
      <w:lvlText w:val="%4."/>
      <w:lvlJc w:val="left"/>
      <w:pPr>
        <w:ind w:left="2880" w:hanging="360"/>
      </w:pPr>
    </w:lvl>
    <w:lvl w:ilvl="4" w:tplc="D32CC9B8" w:tentative="1">
      <w:start w:val="1"/>
      <w:numFmt w:val="lowerLetter"/>
      <w:lvlText w:val="%5."/>
      <w:lvlJc w:val="left"/>
      <w:pPr>
        <w:ind w:left="3600" w:hanging="360"/>
      </w:pPr>
    </w:lvl>
    <w:lvl w:ilvl="5" w:tplc="3778557C" w:tentative="1">
      <w:start w:val="1"/>
      <w:numFmt w:val="lowerRoman"/>
      <w:lvlText w:val="%6."/>
      <w:lvlJc w:val="right"/>
      <w:pPr>
        <w:ind w:left="4320" w:hanging="180"/>
      </w:pPr>
    </w:lvl>
    <w:lvl w:ilvl="6" w:tplc="0FFEEEB4" w:tentative="1">
      <w:start w:val="1"/>
      <w:numFmt w:val="decimal"/>
      <w:lvlText w:val="%7."/>
      <w:lvlJc w:val="left"/>
      <w:pPr>
        <w:ind w:left="5040" w:hanging="360"/>
      </w:pPr>
    </w:lvl>
    <w:lvl w:ilvl="7" w:tplc="1DC8F246" w:tentative="1">
      <w:start w:val="1"/>
      <w:numFmt w:val="lowerLetter"/>
      <w:lvlText w:val="%8."/>
      <w:lvlJc w:val="left"/>
      <w:pPr>
        <w:ind w:left="5760" w:hanging="360"/>
      </w:pPr>
    </w:lvl>
    <w:lvl w:ilvl="8" w:tplc="FF1EDB62"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6"/>
  </w:num>
  <w:num w:numId="5">
    <w:abstractNumId w:val="4"/>
  </w:num>
  <w:num w:numId="6">
    <w:abstractNumId w:val="7"/>
  </w:num>
  <w:num w:numId="7">
    <w:abstractNumId w:val="0"/>
  </w:num>
  <w:num w:numId="8">
    <w:abstractNumId w:val="10"/>
  </w:num>
  <w:num w:numId="9">
    <w:abstractNumId w:val="11"/>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01C"/>
    <w:rsid w:val="00002F83"/>
    <w:rsid w:val="00006319"/>
    <w:rsid w:val="0001181E"/>
    <w:rsid w:val="00014C1A"/>
    <w:rsid w:val="00017924"/>
    <w:rsid w:val="000224E1"/>
    <w:rsid w:val="00044224"/>
    <w:rsid w:val="00047A59"/>
    <w:rsid w:val="000532A9"/>
    <w:rsid w:val="00055596"/>
    <w:rsid w:val="00055FF5"/>
    <w:rsid w:val="000604AB"/>
    <w:rsid w:val="00061D4E"/>
    <w:rsid w:val="00062D18"/>
    <w:rsid w:val="000726BF"/>
    <w:rsid w:val="000730BD"/>
    <w:rsid w:val="0008144C"/>
    <w:rsid w:val="0008412E"/>
    <w:rsid w:val="00085D03"/>
    <w:rsid w:val="000864C7"/>
    <w:rsid w:val="000952B3"/>
    <w:rsid w:val="00097F2D"/>
    <w:rsid w:val="000A4245"/>
    <w:rsid w:val="000A4EDF"/>
    <w:rsid w:val="000A7A0E"/>
    <w:rsid w:val="000B0D83"/>
    <w:rsid w:val="000C0676"/>
    <w:rsid w:val="000C5969"/>
    <w:rsid w:val="000C6E5E"/>
    <w:rsid w:val="000D24CB"/>
    <w:rsid w:val="000D3669"/>
    <w:rsid w:val="000D4162"/>
    <w:rsid w:val="000D5927"/>
    <w:rsid w:val="000E1BAD"/>
    <w:rsid w:val="000E20A5"/>
    <w:rsid w:val="000E35A0"/>
    <w:rsid w:val="000E3D41"/>
    <w:rsid w:val="000E3DEB"/>
    <w:rsid w:val="000F01C5"/>
    <w:rsid w:val="000F2179"/>
    <w:rsid w:val="000F21B1"/>
    <w:rsid w:val="000F796B"/>
    <w:rsid w:val="001077C2"/>
    <w:rsid w:val="001226BE"/>
    <w:rsid w:val="0012611F"/>
    <w:rsid w:val="001273A7"/>
    <w:rsid w:val="00130DDE"/>
    <w:rsid w:val="001351FC"/>
    <w:rsid w:val="001435F6"/>
    <w:rsid w:val="001511BC"/>
    <w:rsid w:val="001522EB"/>
    <w:rsid w:val="0015241F"/>
    <w:rsid w:val="00162663"/>
    <w:rsid w:val="00171C79"/>
    <w:rsid w:val="00171EA7"/>
    <w:rsid w:val="00173A4C"/>
    <w:rsid w:val="001740A1"/>
    <w:rsid w:val="0017518B"/>
    <w:rsid w:val="001859B2"/>
    <w:rsid w:val="001930D7"/>
    <w:rsid w:val="0019383F"/>
    <w:rsid w:val="001A037F"/>
    <w:rsid w:val="001B348C"/>
    <w:rsid w:val="001B7A26"/>
    <w:rsid w:val="001C0AEA"/>
    <w:rsid w:val="001C0C9B"/>
    <w:rsid w:val="001C2F1E"/>
    <w:rsid w:val="001D3C5A"/>
    <w:rsid w:val="001E2C60"/>
    <w:rsid w:val="001E5A9E"/>
    <w:rsid w:val="001F097E"/>
    <w:rsid w:val="001F3907"/>
    <w:rsid w:val="00222CBC"/>
    <w:rsid w:val="0023009A"/>
    <w:rsid w:val="0023047B"/>
    <w:rsid w:val="002312B7"/>
    <w:rsid w:val="002446AA"/>
    <w:rsid w:val="00244B40"/>
    <w:rsid w:val="00254E50"/>
    <w:rsid w:val="00261E34"/>
    <w:rsid w:val="00273251"/>
    <w:rsid w:val="00273E66"/>
    <w:rsid w:val="00276D5D"/>
    <w:rsid w:val="00277223"/>
    <w:rsid w:val="002813F3"/>
    <w:rsid w:val="00286914"/>
    <w:rsid w:val="00295889"/>
    <w:rsid w:val="002960B5"/>
    <w:rsid w:val="00297863"/>
    <w:rsid w:val="002A0265"/>
    <w:rsid w:val="002A1724"/>
    <w:rsid w:val="002B0E96"/>
    <w:rsid w:val="002B7C2F"/>
    <w:rsid w:val="002C22BE"/>
    <w:rsid w:val="002C4557"/>
    <w:rsid w:val="002D02E7"/>
    <w:rsid w:val="002D5A49"/>
    <w:rsid w:val="002D6F10"/>
    <w:rsid w:val="002D7102"/>
    <w:rsid w:val="002D7460"/>
    <w:rsid w:val="002E0194"/>
    <w:rsid w:val="002F2800"/>
    <w:rsid w:val="002F28A3"/>
    <w:rsid w:val="00301E2B"/>
    <w:rsid w:val="00307791"/>
    <w:rsid w:val="003104E6"/>
    <w:rsid w:val="00331EF7"/>
    <w:rsid w:val="0033471D"/>
    <w:rsid w:val="00337394"/>
    <w:rsid w:val="003439F2"/>
    <w:rsid w:val="00344140"/>
    <w:rsid w:val="0034707A"/>
    <w:rsid w:val="0034796B"/>
    <w:rsid w:val="00352B88"/>
    <w:rsid w:val="00352BE9"/>
    <w:rsid w:val="00364B5A"/>
    <w:rsid w:val="00365DEC"/>
    <w:rsid w:val="003676E2"/>
    <w:rsid w:val="00371D3E"/>
    <w:rsid w:val="00376346"/>
    <w:rsid w:val="00385B26"/>
    <w:rsid w:val="00391D79"/>
    <w:rsid w:val="003A21D1"/>
    <w:rsid w:val="003B01C6"/>
    <w:rsid w:val="003C2699"/>
    <w:rsid w:val="003D27E9"/>
    <w:rsid w:val="003F61CB"/>
    <w:rsid w:val="00403B9D"/>
    <w:rsid w:val="004040B1"/>
    <w:rsid w:val="00407F82"/>
    <w:rsid w:val="00410D75"/>
    <w:rsid w:val="0041305A"/>
    <w:rsid w:val="00413BD9"/>
    <w:rsid w:val="0041486E"/>
    <w:rsid w:val="004210D4"/>
    <w:rsid w:val="004219C7"/>
    <w:rsid w:val="00423B48"/>
    <w:rsid w:val="00442A7F"/>
    <w:rsid w:val="00442B44"/>
    <w:rsid w:val="0045535A"/>
    <w:rsid w:val="00456ADA"/>
    <w:rsid w:val="004622C3"/>
    <w:rsid w:val="0046368E"/>
    <w:rsid w:val="00465C98"/>
    <w:rsid w:val="00477435"/>
    <w:rsid w:val="00477F62"/>
    <w:rsid w:val="004843ED"/>
    <w:rsid w:val="00484E6B"/>
    <w:rsid w:val="004A2068"/>
    <w:rsid w:val="004A4EBE"/>
    <w:rsid w:val="004C4068"/>
    <w:rsid w:val="004C45BE"/>
    <w:rsid w:val="004D2E35"/>
    <w:rsid w:val="004D5248"/>
    <w:rsid w:val="004E19AB"/>
    <w:rsid w:val="004E48E4"/>
    <w:rsid w:val="00501221"/>
    <w:rsid w:val="005038A5"/>
    <w:rsid w:val="00510199"/>
    <w:rsid w:val="00521075"/>
    <w:rsid w:val="0052108D"/>
    <w:rsid w:val="005274B8"/>
    <w:rsid w:val="0053202D"/>
    <w:rsid w:val="0054472C"/>
    <w:rsid w:val="005464A0"/>
    <w:rsid w:val="0055278E"/>
    <w:rsid w:val="00553EFC"/>
    <w:rsid w:val="00554F03"/>
    <w:rsid w:val="00580670"/>
    <w:rsid w:val="005875E4"/>
    <w:rsid w:val="00591D08"/>
    <w:rsid w:val="00592684"/>
    <w:rsid w:val="00594F40"/>
    <w:rsid w:val="005A7DA9"/>
    <w:rsid w:val="005B5B3D"/>
    <w:rsid w:val="005C451C"/>
    <w:rsid w:val="005D070A"/>
    <w:rsid w:val="00605C6C"/>
    <w:rsid w:val="006109C0"/>
    <w:rsid w:val="00610BA5"/>
    <w:rsid w:val="006130EC"/>
    <w:rsid w:val="00616CE1"/>
    <w:rsid w:val="00621927"/>
    <w:rsid w:val="00624449"/>
    <w:rsid w:val="006260FC"/>
    <w:rsid w:val="006269F8"/>
    <w:rsid w:val="00636186"/>
    <w:rsid w:val="00640087"/>
    <w:rsid w:val="006417BF"/>
    <w:rsid w:val="00646B92"/>
    <w:rsid w:val="006565DB"/>
    <w:rsid w:val="00661D6E"/>
    <w:rsid w:val="00673B96"/>
    <w:rsid w:val="0067518D"/>
    <w:rsid w:val="006763E0"/>
    <w:rsid w:val="006858EB"/>
    <w:rsid w:val="006960CA"/>
    <w:rsid w:val="006A00FD"/>
    <w:rsid w:val="006A453B"/>
    <w:rsid w:val="006B096F"/>
    <w:rsid w:val="006B17C4"/>
    <w:rsid w:val="006B4F32"/>
    <w:rsid w:val="006B7B8F"/>
    <w:rsid w:val="006C03A6"/>
    <w:rsid w:val="006C1BA2"/>
    <w:rsid w:val="006C4B7C"/>
    <w:rsid w:val="006D1EAD"/>
    <w:rsid w:val="006D231B"/>
    <w:rsid w:val="006D4F7C"/>
    <w:rsid w:val="006E2626"/>
    <w:rsid w:val="006E48A2"/>
    <w:rsid w:val="006E6C0E"/>
    <w:rsid w:val="006E7918"/>
    <w:rsid w:val="006F6703"/>
    <w:rsid w:val="0070334C"/>
    <w:rsid w:val="00704DDD"/>
    <w:rsid w:val="007164D3"/>
    <w:rsid w:val="0072528C"/>
    <w:rsid w:val="007257CB"/>
    <w:rsid w:val="0073096B"/>
    <w:rsid w:val="00745F7A"/>
    <w:rsid w:val="0074623E"/>
    <w:rsid w:val="007467A2"/>
    <w:rsid w:val="007574B3"/>
    <w:rsid w:val="00764616"/>
    <w:rsid w:val="007660C6"/>
    <w:rsid w:val="00780E7D"/>
    <w:rsid w:val="00781529"/>
    <w:rsid w:val="00782FE5"/>
    <w:rsid w:val="00792051"/>
    <w:rsid w:val="007A045B"/>
    <w:rsid w:val="007A2571"/>
    <w:rsid w:val="007B1CFF"/>
    <w:rsid w:val="007B1EF9"/>
    <w:rsid w:val="007B4E53"/>
    <w:rsid w:val="007C27EB"/>
    <w:rsid w:val="007D38CA"/>
    <w:rsid w:val="007E7FCB"/>
    <w:rsid w:val="008108F6"/>
    <w:rsid w:val="00814195"/>
    <w:rsid w:val="0082110E"/>
    <w:rsid w:val="0083701C"/>
    <w:rsid w:val="00837A3B"/>
    <w:rsid w:val="008542CA"/>
    <w:rsid w:val="0085612F"/>
    <w:rsid w:val="008573E5"/>
    <w:rsid w:val="008605BD"/>
    <w:rsid w:val="00867D90"/>
    <w:rsid w:val="008772B7"/>
    <w:rsid w:val="0088288C"/>
    <w:rsid w:val="00887C6F"/>
    <w:rsid w:val="008939F7"/>
    <w:rsid w:val="00895249"/>
    <w:rsid w:val="008954AD"/>
    <w:rsid w:val="00896040"/>
    <w:rsid w:val="008A0436"/>
    <w:rsid w:val="008A5F99"/>
    <w:rsid w:val="008A603E"/>
    <w:rsid w:val="008B392D"/>
    <w:rsid w:val="008B7D56"/>
    <w:rsid w:val="008D1D6C"/>
    <w:rsid w:val="008D772F"/>
    <w:rsid w:val="00901ED8"/>
    <w:rsid w:val="00912260"/>
    <w:rsid w:val="00913D6E"/>
    <w:rsid w:val="00913F8C"/>
    <w:rsid w:val="009152F1"/>
    <w:rsid w:val="0092196F"/>
    <w:rsid w:val="009247F6"/>
    <w:rsid w:val="00930F1B"/>
    <w:rsid w:val="0094289F"/>
    <w:rsid w:val="00946F67"/>
    <w:rsid w:val="009512B6"/>
    <w:rsid w:val="00960BCD"/>
    <w:rsid w:val="00962FB9"/>
    <w:rsid w:val="00964508"/>
    <w:rsid w:val="009755BE"/>
    <w:rsid w:val="0098188F"/>
    <w:rsid w:val="00983624"/>
    <w:rsid w:val="00993742"/>
    <w:rsid w:val="0099481D"/>
    <w:rsid w:val="009966FA"/>
    <w:rsid w:val="00997420"/>
    <w:rsid w:val="0099780F"/>
    <w:rsid w:val="009A1BBC"/>
    <w:rsid w:val="009B1E75"/>
    <w:rsid w:val="009D5B03"/>
    <w:rsid w:val="009E2DD6"/>
    <w:rsid w:val="009E40C8"/>
    <w:rsid w:val="009E55E5"/>
    <w:rsid w:val="009F0CDF"/>
    <w:rsid w:val="009F28F9"/>
    <w:rsid w:val="009F476B"/>
    <w:rsid w:val="00A262E5"/>
    <w:rsid w:val="00A31586"/>
    <w:rsid w:val="00A35A6F"/>
    <w:rsid w:val="00A40BB2"/>
    <w:rsid w:val="00A423D5"/>
    <w:rsid w:val="00A43762"/>
    <w:rsid w:val="00A52C2E"/>
    <w:rsid w:val="00A62E2E"/>
    <w:rsid w:val="00A86A24"/>
    <w:rsid w:val="00A963F2"/>
    <w:rsid w:val="00AB3584"/>
    <w:rsid w:val="00AC2DC1"/>
    <w:rsid w:val="00AC7118"/>
    <w:rsid w:val="00AD30AF"/>
    <w:rsid w:val="00AD5381"/>
    <w:rsid w:val="00AD5C13"/>
    <w:rsid w:val="00AE008E"/>
    <w:rsid w:val="00AE0688"/>
    <w:rsid w:val="00AE0973"/>
    <w:rsid w:val="00AE1DA4"/>
    <w:rsid w:val="00AE2653"/>
    <w:rsid w:val="00AE68DA"/>
    <w:rsid w:val="00AE6D6A"/>
    <w:rsid w:val="00AF0453"/>
    <w:rsid w:val="00AF0818"/>
    <w:rsid w:val="00AF1864"/>
    <w:rsid w:val="00AF3941"/>
    <w:rsid w:val="00AF60F9"/>
    <w:rsid w:val="00AF6FBF"/>
    <w:rsid w:val="00B14A76"/>
    <w:rsid w:val="00B15E8C"/>
    <w:rsid w:val="00B17F1A"/>
    <w:rsid w:val="00B25163"/>
    <w:rsid w:val="00B26191"/>
    <w:rsid w:val="00B31328"/>
    <w:rsid w:val="00B35ED6"/>
    <w:rsid w:val="00B4020C"/>
    <w:rsid w:val="00B5309D"/>
    <w:rsid w:val="00B53338"/>
    <w:rsid w:val="00B62816"/>
    <w:rsid w:val="00B650B7"/>
    <w:rsid w:val="00B6710B"/>
    <w:rsid w:val="00B71017"/>
    <w:rsid w:val="00B77F99"/>
    <w:rsid w:val="00B85D3B"/>
    <w:rsid w:val="00B91644"/>
    <w:rsid w:val="00B94A93"/>
    <w:rsid w:val="00B94D4E"/>
    <w:rsid w:val="00BA020E"/>
    <w:rsid w:val="00BA7A9F"/>
    <w:rsid w:val="00BB4F00"/>
    <w:rsid w:val="00BB66C5"/>
    <w:rsid w:val="00BC0741"/>
    <w:rsid w:val="00BC0E04"/>
    <w:rsid w:val="00BC4492"/>
    <w:rsid w:val="00BD4D3D"/>
    <w:rsid w:val="00BE06CF"/>
    <w:rsid w:val="00C00421"/>
    <w:rsid w:val="00C00777"/>
    <w:rsid w:val="00C02315"/>
    <w:rsid w:val="00C11118"/>
    <w:rsid w:val="00C171A2"/>
    <w:rsid w:val="00C20D0C"/>
    <w:rsid w:val="00C232D2"/>
    <w:rsid w:val="00C3351F"/>
    <w:rsid w:val="00C3472F"/>
    <w:rsid w:val="00C34D87"/>
    <w:rsid w:val="00C37BBD"/>
    <w:rsid w:val="00C4035B"/>
    <w:rsid w:val="00C456EF"/>
    <w:rsid w:val="00C46410"/>
    <w:rsid w:val="00C53C73"/>
    <w:rsid w:val="00C55E67"/>
    <w:rsid w:val="00C722A7"/>
    <w:rsid w:val="00C76082"/>
    <w:rsid w:val="00C92565"/>
    <w:rsid w:val="00CA4B12"/>
    <w:rsid w:val="00CA4C21"/>
    <w:rsid w:val="00CB495F"/>
    <w:rsid w:val="00CB57CE"/>
    <w:rsid w:val="00CF5953"/>
    <w:rsid w:val="00CF5CAE"/>
    <w:rsid w:val="00CF733A"/>
    <w:rsid w:val="00D019DA"/>
    <w:rsid w:val="00D03271"/>
    <w:rsid w:val="00D06379"/>
    <w:rsid w:val="00D15822"/>
    <w:rsid w:val="00D15CDC"/>
    <w:rsid w:val="00D24CD2"/>
    <w:rsid w:val="00D26436"/>
    <w:rsid w:val="00D279D0"/>
    <w:rsid w:val="00D27C0A"/>
    <w:rsid w:val="00D30BBA"/>
    <w:rsid w:val="00D378AD"/>
    <w:rsid w:val="00D41C83"/>
    <w:rsid w:val="00D47E43"/>
    <w:rsid w:val="00D544B7"/>
    <w:rsid w:val="00D6166B"/>
    <w:rsid w:val="00D63F38"/>
    <w:rsid w:val="00D645B5"/>
    <w:rsid w:val="00D71A77"/>
    <w:rsid w:val="00D7325C"/>
    <w:rsid w:val="00D756F8"/>
    <w:rsid w:val="00D761D9"/>
    <w:rsid w:val="00D83AB0"/>
    <w:rsid w:val="00D85B21"/>
    <w:rsid w:val="00D872A3"/>
    <w:rsid w:val="00DA10BF"/>
    <w:rsid w:val="00DA1882"/>
    <w:rsid w:val="00DA669F"/>
    <w:rsid w:val="00DB3555"/>
    <w:rsid w:val="00DB3879"/>
    <w:rsid w:val="00DC2C4F"/>
    <w:rsid w:val="00DC752D"/>
    <w:rsid w:val="00DD5E7A"/>
    <w:rsid w:val="00DD69D9"/>
    <w:rsid w:val="00DF3C5B"/>
    <w:rsid w:val="00DF4080"/>
    <w:rsid w:val="00DF62E9"/>
    <w:rsid w:val="00E00F84"/>
    <w:rsid w:val="00E1295E"/>
    <w:rsid w:val="00E12AC7"/>
    <w:rsid w:val="00E23120"/>
    <w:rsid w:val="00E24D2C"/>
    <w:rsid w:val="00E263CE"/>
    <w:rsid w:val="00E501E8"/>
    <w:rsid w:val="00E564C6"/>
    <w:rsid w:val="00E5666D"/>
    <w:rsid w:val="00E60CE4"/>
    <w:rsid w:val="00E645DB"/>
    <w:rsid w:val="00E64D98"/>
    <w:rsid w:val="00E74F9D"/>
    <w:rsid w:val="00E81B39"/>
    <w:rsid w:val="00E86E59"/>
    <w:rsid w:val="00EA151B"/>
    <w:rsid w:val="00EB177C"/>
    <w:rsid w:val="00EB241B"/>
    <w:rsid w:val="00EB586E"/>
    <w:rsid w:val="00EC2DD1"/>
    <w:rsid w:val="00EC39EF"/>
    <w:rsid w:val="00EC6C87"/>
    <w:rsid w:val="00ED6931"/>
    <w:rsid w:val="00EE071D"/>
    <w:rsid w:val="00EE4F08"/>
    <w:rsid w:val="00EE61B7"/>
    <w:rsid w:val="00EF1CC5"/>
    <w:rsid w:val="00F06174"/>
    <w:rsid w:val="00F07651"/>
    <w:rsid w:val="00F119FC"/>
    <w:rsid w:val="00F14906"/>
    <w:rsid w:val="00F16E7B"/>
    <w:rsid w:val="00F27283"/>
    <w:rsid w:val="00F3153D"/>
    <w:rsid w:val="00F31CB6"/>
    <w:rsid w:val="00F4193B"/>
    <w:rsid w:val="00F430BE"/>
    <w:rsid w:val="00F436F4"/>
    <w:rsid w:val="00F52689"/>
    <w:rsid w:val="00F569F9"/>
    <w:rsid w:val="00F6381D"/>
    <w:rsid w:val="00F73AD7"/>
    <w:rsid w:val="00F77D07"/>
    <w:rsid w:val="00F8323A"/>
    <w:rsid w:val="00F863D0"/>
    <w:rsid w:val="00F86F16"/>
    <w:rsid w:val="00F90CC2"/>
    <w:rsid w:val="00FA2247"/>
    <w:rsid w:val="00FA699C"/>
    <w:rsid w:val="00FB6A69"/>
    <w:rsid w:val="00FD41E1"/>
    <w:rsid w:val="00FD487B"/>
    <w:rsid w:val="00FE18F0"/>
    <w:rsid w:val="00FE282F"/>
    <w:rsid w:val="00FE414E"/>
    <w:rsid w:val="00FE5FE2"/>
    <w:rsid w:val="00FE715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68801CB-A39C-4400-B728-A97C5C9E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B3"/>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
    <w:basedOn w:val="Normal"/>
    <w:link w:val="ListParagraphChar"/>
    <w:uiPriority w:val="34"/>
    <w:qFormat/>
    <w:rsid w:val="000952B3"/>
    <w:pPr>
      <w:ind w:left="720"/>
      <w:contextualSpacing/>
    </w:pPr>
    <w:rPr>
      <w:rFonts w:eastAsia="Times New Roman"/>
      <w:sz w:val="22"/>
      <w:szCs w:val="22"/>
    </w:rPr>
  </w:style>
  <w:style w:type="character" w:customStyle="1" w:styleId="ListParagraphChar">
    <w:name w:val="List Paragraph Char"/>
    <w:aliases w:val="2 Char,Strip Char"/>
    <w:link w:val="ListParagraph"/>
    <w:uiPriority w:val="34"/>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rFonts w:eastAsia="Times New Roman"/>
    </w:rPr>
  </w:style>
  <w:style w:type="paragraph" w:customStyle="1" w:styleId="naisnod">
    <w:name w:val="naisnod"/>
    <w:basedOn w:val="Normal"/>
    <w:rsid w:val="000952B3"/>
    <w:pPr>
      <w:spacing w:before="100" w:beforeAutospacing="1" w:after="100" w:afterAutospacing="1"/>
    </w:pPr>
    <w:rPr>
      <w:rFonts w:eastAsia="Times New Roman"/>
    </w:rPr>
  </w:style>
  <w:style w:type="character" w:styleId="CommentReference">
    <w:name w:val="annotation reference"/>
    <w:unhideWhenUsed/>
    <w:rsid w:val="00055596"/>
    <w:rPr>
      <w:sz w:val="16"/>
      <w:szCs w:val="16"/>
    </w:rPr>
  </w:style>
  <w:style w:type="paragraph" w:styleId="CommentText">
    <w:name w:val="annotation text"/>
    <w:basedOn w:val="Normal"/>
    <w:link w:val="CommentTextChar"/>
    <w:unhideWhenUsed/>
    <w:rsid w:val="00055596"/>
    <w:pPr>
      <w:spacing w:after="200"/>
    </w:pPr>
    <w:rPr>
      <w:rFonts w:ascii="Calibri" w:hAnsi="Calibri"/>
      <w:sz w:val="20"/>
      <w:szCs w:val="20"/>
      <w:lang w:val="x-none" w:eastAsia="x-none"/>
    </w:rPr>
  </w:style>
  <w:style w:type="character" w:customStyle="1" w:styleId="CommentTextChar">
    <w:name w:val="Comment Text Char"/>
    <w:basedOn w:val="DefaultParagraphFont"/>
    <w:link w:val="CommentText"/>
    <w:rsid w:val="0005559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045B"/>
    <w:pPr>
      <w:spacing w:before="100" w:beforeAutospacing="1" w:after="100" w:afterAutospacing="1"/>
    </w:pPr>
    <w:rPr>
      <w:rFonts w:eastAsia="Times New Roman"/>
    </w:rPr>
  </w:style>
  <w:style w:type="paragraph" w:styleId="Header">
    <w:name w:val="header"/>
    <w:basedOn w:val="Normal"/>
    <w:link w:val="HeaderChar"/>
    <w:uiPriority w:val="99"/>
    <w:unhideWhenUsed/>
    <w:rsid w:val="007A045B"/>
    <w:pPr>
      <w:tabs>
        <w:tab w:val="center" w:pos="4153"/>
        <w:tab w:val="right" w:pos="8306"/>
      </w:tabs>
    </w:p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lang w:val="lv-LV" w:eastAsia="lv-LV"/>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val="x-none"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 w:type="character" w:styleId="FootnoteReference">
    <w:name w:val="footnote reference"/>
    <w:basedOn w:val="DefaultParagraphFont"/>
    <w:uiPriority w:val="99"/>
    <w:semiHidden/>
    <w:unhideWhenUsed/>
    <w:rsid w:val="00B31328"/>
    <w:rPr>
      <w:vertAlign w:val="superscript"/>
    </w:rPr>
  </w:style>
  <w:style w:type="paragraph" w:styleId="FootnoteText">
    <w:name w:val="footnote text"/>
    <w:basedOn w:val="Normal"/>
    <w:link w:val="FootnoteTextChar"/>
    <w:uiPriority w:val="99"/>
    <w:semiHidden/>
    <w:unhideWhenUsed/>
    <w:rsid w:val="003F61CB"/>
    <w:rPr>
      <w:sz w:val="20"/>
      <w:szCs w:val="20"/>
    </w:rPr>
  </w:style>
  <w:style w:type="character" w:customStyle="1" w:styleId="FootnoteTextChar">
    <w:name w:val="Footnote Text Char"/>
    <w:basedOn w:val="DefaultParagraphFont"/>
    <w:link w:val="FootnoteText"/>
    <w:uiPriority w:val="99"/>
    <w:semiHidden/>
    <w:rsid w:val="003F61CB"/>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30493">
      <w:bodyDiv w:val="1"/>
      <w:marLeft w:val="0"/>
      <w:marRight w:val="0"/>
      <w:marTop w:val="0"/>
      <w:marBottom w:val="0"/>
      <w:divBdr>
        <w:top w:val="none" w:sz="0" w:space="0" w:color="auto"/>
        <w:left w:val="none" w:sz="0" w:space="0" w:color="auto"/>
        <w:bottom w:val="none" w:sz="0" w:space="0" w:color="auto"/>
        <w:right w:val="none" w:sz="0" w:space="0" w:color="auto"/>
      </w:divBdr>
    </w:div>
    <w:div w:id="949895100">
      <w:bodyDiv w:val="1"/>
      <w:marLeft w:val="0"/>
      <w:marRight w:val="0"/>
      <w:marTop w:val="0"/>
      <w:marBottom w:val="0"/>
      <w:divBdr>
        <w:top w:val="none" w:sz="0" w:space="0" w:color="auto"/>
        <w:left w:val="none" w:sz="0" w:space="0" w:color="auto"/>
        <w:bottom w:val="none" w:sz="0" w:space="0" w:color="auto"/>
        <w:right w:val="none" w:sz="0" w:space="0" w:color="auto"/>
      </w:divBdr>
    </w:div>
    <w:div w:id="1168205278">
      <w:bodyDiv w:val="1"/>
      <w:marLeft w:val="0"/>
      <w:marRight w:val="0"/>
      <w:marTop w:val="0"/>
      <w:marBottom w:val="0"/>
      <w:divBdr>
        <w:top w:val="none" w:sz="0" w:space="0" w:color="auto"/>
        <w:left w:val="none" w:sz="0" w:space="0" w:color="auto"/>
        <w:bottom w:val="none" w:sz="0" w:space="0" w:color="auto"/>
        <w:right w:val="none" w:sz="0" w:space="0" w:color="auto"/>
      </w:divBdr>
    </w:div>
    <w:div w:id="1456213429">
      <w:bodyDiv w:val="1"/>
      <w:marLeft w:val="0"/>
      <w:marRight w:val="0"/>
      <w:marTop w:val="0"/>
      <w:marBottom w:val="0"/>
      <w:divBdr>
        <w:top w:val="none" w:sz="0" w:space="0" w:color="auto"/>
        <w:left w:val="none" w:sz="0" w:space="0" w:color="auto"/>
        <w:bottom w:val="none" w:sz="0" w:space="0" w:color="auto"/>
        <w:right w:val="none" w:sz="0" w:space="0" w:color="auto"/>
      </w:divBdr>
    </w:div>
    <w:div w:id="167773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se.Kalva@iz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zm.gov.lv/lv/izglitiba/augstaka-izglitiba/petijums-augstakas-izglitibas-parvaldibas-efektivizacij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8155D-2D2F-4539-931F-664D08F2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2537</Words>
  <Characters>14464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16968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8.2.4.SAM MK noteikumu grozījumi</dc:subject>
  <dc:creator>Inese Kalva</dc:creator>
  <dc:description>tālr. 67047941_x000d_
Inese.Kalva@izm.gov.lv</dc:description>
  <cp:lastModifiedBy>Zanda Rudene</cp:lastModifiedBy>
  <cp:revision>6</cp:revision>
  <cp:lastPrinted>2018-11-01T11:52:00Z</cp:lastPrinted>
  <dcterms:created xsi:type="dcterms:W3CDTF">2019-01-30T14:24:00Z</dcterms:created>
  <dcterms:modified xsi:type="dcterms:W3CDTF">2019-02-07T09:11:00Z</dcterms:modified>
</cp:coreProperties>
</file>