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C1587" w14:textId="56A60B80" w:rsidR="00B56814" w:rsidRPr="00936457" w:rsidRDefault="00B56814" w:rsidP="00BA7ADE">
      <w:pPr>
        <w:pStyle w:val="Standard"/>
        <w:spacing w:after="0" w:line="240" w:lineRule="auto"/>
        <w:jc w:val="center"/>
        <w:rPr>
          <w:rFonts w:ascii="Times New Roman" w:hAnsi="Times New Roman" w:cs="Times New Roman"/>
          <w:b/>
          <w:sz w:val="26"/>
          <w:szCs w:val="28"/>
        </w:rPr>
      </w:pPr>
      <w:r w:rsidRPr="00936457">
        <w:rPr>
          <w:rFonts w:ascii="Times New Roman" w:hAnsi="Times New Roman" w:cs="Times New Roman"/>
          <w:b/>
          <w:sz w:val="26"/>
          <w:szCs w:val="28"/>
        </w:rPr>
        <w:t>Likumprojekta “Grozījum</w:t>
      </w:r>
      <w:r w:rsidR="00BA7ADE" w:rsidRPr="00936457">
        <w:rPr>
          <w:rFonts w:ascii="Times New Roman" w:hAnsi="Times New Roman" w:cs="Times New Roman"/>
          <w:b/>
          <w:sz w:val="26"/>
          <w:szCs w:val="28"/>
        </w:rPr>
        <w:t>s</w:t>
      </w:r>
      <w:r w:rsidRPr="00936457">
        <w:rPr>
          <w:rFonts w:ascii="Times New Roman" w:hAnsi="Times New Roman" w:cs="Times New Roman"/>
          <w:b/>
          <w:sz w:val="26"/>
          <w:szCs w:val="28"/>
        </w:rPr>
        <w:t xml:space="preserve"> Izglītības likumā” </w:t>
      </w:r>
    </w:p>
    <w:p w14:paraId="0152984A" w14:textId="25AC9DA1" w:rsidR="004F5E02" w:rsidRPr="00936457" w:rsidRDefault="00B56814" w:rsidP="0028132D">
      <w:pPr>
        <w:pStyle w:val="Standard"/>
        <w:spacing w:after="0" w:line="240" w:lineRule="auto"/>
        <w:jc w:val="center"/>
        <w:rPr>
          <w:rFonts w:ascii="Times New Roman" w:hAnsi="Times New Roman" w:cs="Times New Roman"/>
          <w:b/>
          <w:sz w:val="26"/>
          <w:szCs w:val="28"/>
        </w:rPr>
      </w:pPr>
      <w:r w:rsidRPr="00936457">
        <w:rPr>
          <w:rFonts w:ascii="Times New Roman" w:hAnsi="Times New Roman" w:cs="Times New Roman"/>
          <w:b/>
          <w:sz w:val="26"/>
          <w:szCs w:val="28"/>
        </w:rPr>
        <w:t xml:space="preserve">sākotnējās ietekmes </w:t>
      </w:r>
      <w:r w:rsidR="000C2F6D" w:rsidRPr="00936457">
        <w:rPr>
          <w:rFonts w:ascii="Times New Roman" w:hAnsi="Times New Roman" w:cs="Times New Roman"/>
          <w:b/>
          <w:sz w:val="26"/>
          <w:szCs w:val="28"/>
        </w:rPr>
        <w:t>novērtējum</w:t>
      </w:r>
      <w:r w:rsidR="000C2F6D">
        <w:rPr>
          <w:rFonts w:ascii="Times New Roman" w:hAnsi="Times New Roman" w:cs="Times New Roman"/>
          <w:b/>
          <w:sz w:val="26"/>
          <w:szCs w:val="28"/>
        </w:rPr>
        <w:t>a ziņojums</w:t>
      </w:r>
      <w:r w:rsidR="000C2F6D" w:rsidRPr="00936457">
        <w:rPr>
          <w:rFonts w:ascii="Times New Roman" w:hAnsi="Times New Roman" w:cs="Times New Roman"/>
          <w:b/>
          <w:sz w:val="26"/>
          <w:szCs w:val="28"/>
        </w:rPr>
        <w:t xml:space="preserve"> </w:t>
      </w:r>
      <w:r w:rsidRPr="00936457">
        <w:rPr>
          <w:rFonts w:ascii="Times New Roman" w:hAnsi="Times New Roman" w:cs="Times New Roman"/>
          <w:b/>
          <w:sz w:val="26"/>
          <w:szCs w:val="28"/>
        </w:rPr>
        <w:t>(anotācija)</w:t>
      </w:r>
    </w:p>
    <w:p w14:paraId="58A903DB" w14:textId="77777777" w:rsidR="004F5E02" w:rsidRPr="00936457" w:rsidRDefault="004F5E02" w:rsidP="00936457">
      <w:pPr>
        <w:pStyle w:val="Title"/>
        <w:jc w:val="both"/>
        <w:rPr>
          <w:sz w:val="26"/>
          <w:szCs w:val="28"/>
        </w:rPr>
      </w:pPr>
    </w:p>
    <w:tbl>
      <w:tblPr>
        <w:tblStyle w:val="TableGrid"/>
        <w:tblW w:w="0" w:type="auto"/>
        <w:tblLook w:val="04A0" w:firstRow="1" w:lastRow="0" w:firstColumn="1" w:lastColumn="0" w:noHBand="0" w:noVBand="1"/>
      </w:tblPr>
      <w:tblGrid>
        <w:gridCol w:w="3256"/>
        <w:gridCol w:w="5805"/>
      </w:tblGrid>
      <w:tr w:rsidR="00BA7ADE" w:rsidRPr="002A3DBF" w14:paraId="43F7B3A9" w14:textId="77777777" w:rsidTr="00656740">
        <w:tc>
          <w:tcPr>
            <w:tcW w:w="9061" w:type="dxa"/>
            <w:gridSpan w:val="2"/>
          </w:tcPr>
          <w:p w14:paraId="4F2E72D2" w14:textId="3847DD98" w:rsidR="00BA7ADE" w:rsidRPr="00936457" w:rsidRDefault="00BA7ADE" w:rsidP="00936457">
            <w:pPr>
              <w:pStyle w:val="Title"/>
              <w:rPr>
                <w:b/>
                <w:sz w:val="26"/>
                <w:szCs w:val="28"/>
              </w:rPr>
            </w:pPr>
            <w:r w:rsidRPr="00936457">
              <w:rPr>
                <w:b/>
                <w:sz w:val="26"/>
                <w:szCs w:val="28"/>
              </w:rPr>
              <w:t xml:space="preserve">Tiesību akta projekta anotācijas kopsavilkums </w:t>
            </w:r>
          </w:p>
        </w:tc>
      </w:tr>
      <w:tr w:rsidR="00BA7ADE" w:rsidRPr="002A3DBF" w14:paraId="5B1E0653" w14:textId="77777777" w:rsidTr="00DC146D">
        <w:tc>
          <w:tcPr>
            <w:tcW w:w="3256" w:type="dxa"/>
          </w:tcPr>
          <w:p w14:paraId="167A4080" w14:textId="0E5CFEE1" w:rsidR="00BA7ADE" w:rsidRPr="00936457" w:rsidRDefault="00BA7ADE" w:rsidP="00936457">
            <w:pPr>
              <w:pStyle w:val="Title"/>
              <w:jc w:val="both"/>
              <w:rPr>
                <w:sz w:val="26"/>
                <w:szCs w:val="28"/>
              </w:rPr>
            </w:pPr>
            <w:r w:rsidRPr="00936457">
              <w:rPr>
                <w:sz w:val="26"/>
                <w:szCs w:val="28"/>
              </w:rPr>
              <w:t>Mērķis, risinājums un projekta spēkā stāšanās laiks (500 zīmes bez atstarpēm)</w:t>
            </w:r>
          </w:p>
        </w:tc>
        <w:tc>
          <w:tcPr>
            <w:tcW w:w="5805" w:type="dxa"/>
          </w:tcPr>
          <w:p w14:paraId="6B093408" w14:textId="64CA93C2" w:rsidR="00BA7ADE" w:rsidRPr="00936457" w:rsidRDefault="00BA7ADE" w:rsidP="00936457">
            <w:pPr>
              <w:pStyle w:val="Title"/>
              <w:jc w:val="both"/>
              <w:rPr>
                <w:sz w:val="26"/>
                <w:szCs w:val="28"/>
              </w:rPr>
            </w:pPr>
            <w:r w:rsidRPr="00936457">
              <w:rPr>
                <w:sz w:val="26"/>
                <w:szCs w:val="28"/>
              </w:rPr>
              <w:t>Likumprojekts šo jomu neskar.</w:t>
            </w:r>
          </w:p>
        </w:tc>
      </w:tr>
    </w:tbl>
    <w:p w14:paraId="1EB3B3AA" w14:textId="77777777" w:rsidR="00BA7ADE" w:rsidRPr="00936457" w:rsidRDefault="00BA7ADE" w:rsidP="00936457">
      <w:pPr>
        <w:pStyle w:val="Title"/>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6569A462"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05D282" w14:textId="77777777" w:rsidR="004F5E02" w:rsidRPr="00936457" w:rsidRDefault="004F5E02" w:rsidP="00936457">
            <w:pPr>
              <w:jc w:val="center"/>
              <w:rPr>
                <w:b/>
                <w:bCs/>
                <w:sz w:val="26"/>
                <w:szCs w:val="28"/>
                <w:lang w:eastAsia="en-US"/>
              </w:rPr>
            </w:pPr>
            <w:r w:rsidRPr="00936457">
              <w:rPr>
                <w:b/>
                <w:bCs/>
                <w:sz w:val="26"/>
                <w:szCs w:val="28"/>
                <w:lang w:eastAsia="en-US"/>
              </w:rPr>
              <w:t>I. Tiesību akta projekta izstrādes nepieciešamība</w:t>
            </w:r>
          </w:p>
        </w:tc>
      </w:tr>
      <w:tr w:rsidR="004F5E02" w:rsidRPr="002A3DBF" w14:paraId="43CABDC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20D437AB"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08685C76" w14:textId="77777777" w:rsidR="004F5E02" w:rsidRPr="00936457" w:rsidRDefault="004F5E02" w:rsidP="00936457">
            <w:pPr>
              <w:rPr>
                <w:sz w:val="26"/>
                <w:szCs w:val="28"/>
                <w:lang w:eastAsia="en-US"/>
              </w:rPr>
            </w:pPr>
            <w:r w:rsidRPr="00936457">
              <w:rPr>
                <w:sz w:val="26"/>
                <w:szCs w:val="28"/>
                <w:lang w:eastAsia="en-US"/>
              </w:rPr>
              <w:t>Pamatojums</w:t>
            </w:r>
          </w:p>
        </w:tc>
        <w:tc>
          <w:tcPr>
            <w:tcW w:w="3210" w:type="pct"/>
            <w:tcBorders>
              <w:top w:val="single" w:sz="4" w:space="0" w:color="auto"/>
              <w:left w:val="single" w:sz="4" w:space="0" w:color="auto"/>
              <w:bottom w:val="single" w:sz="4" w:space="0" w:color="auto"/>
              <w:right w:val="single" w:sz="4" w:space="0" w:color="auto"/>
            </w:tcBorders>
            <w:hideMark/>
          </w:tcPr>
          <w:p w14:paraId="26AFDD55" w14:textId="6D737612" w:rsidR="004F5E02" w:rsidRPr="00936457" w:rsidRDefault="00EA0140" w:rsidP="00D31B3B">
            <w:pPr>
              <w:ind w:firstLine="295"/>
              <w:jc w:val="both"/>
              <w:rPr>
                <w:sz w:val="26"/>
                <w:szCs w:val="28"/>
                <w:lang w:eastAsia="en-US"/>
              </w:rPr>
            </w:pPr>
            <w:r w:rsidRPr="00936457">
              <w:rPr>
                <w:bCs/>
                <w:sz w:val="26"/>
                <w:szCs w:val="28"/>
              </w:rPr>
              <w:t>Likumprojekts “Grozījum</w:t>
            </w:r>
            <w:r w:rsidR="00BA7ADE" w:rsidRPr="00936457">
              <w:rPr>
                <w:bCs/>
                <w:sz w:val="26"/>
                <w:szCs w:val="28"/>
              </w:rPr>
              <w:t>s</w:t>
            </w:r>
            <w:r w:rsidRPr="00936457">
              <w:rPr>
                <w:bCs/>
                <w:sz w:val="26"/>
                <w:szCs w:val="28"/>
              </w:rPr>
              <w:t xml:space="preserve"> Izglītības likumā” (turpmāk – likumprojekts) izstrād</w:t>
            </w:r>
            <w:r w:rsidR="00F23EA5" w:rsidRPr="00936457">
              <w:rPr>
                <w:bCs/>
                <w:sz w:val="26"/>
                <w:szCs w:val="28"/>
              </w:rPr>
              <w:t xml:space="preserve">āts pēc Izglītības un zinātnes ministrijas iniciatīvas, </w:t>
            </w:r>
            <w:r w:rsidR="005E6BB5" w:rsidRPr="00936457">
              <w:rPr>
                <w:bCs/>
                <w:sz w:val="26"/>
                <w:szCs w:val="28"/>
              </w:rPr>
              <w:t>ievērojot  Ministru kabineta 2019.</w:t>
            </w:r>
            <w:r w:rsidR="000320FD">
              <w:rPr>
                <w:bCs/>
                <w:sz w:val="26"/>
                <w:szCs w:val="28"/>
              </w:rPr>
              <w:t> </w:t>
            </w:r>
            <w:r w:rsidR="005E6BB5" w:rsidRPr="00936457">
              <w:rPr>
                <w:bCs/>
                <w:sz w:val="26"/>
                <w:szCs w:val="28"/>
              </w:rPr>
              <w:t>gada 8.</w:t>
            </w:r>
            <w:r w:rsidR="000320FD">
              <w:rPr>
                <w:bCs/>
                <w:sz w:val="26"/>
                <w:szCs w:val="28"/>
              </w:rPr>
              <w:t> </w:t>
            </w:r>
            <w:r w:rsidR="005E6BB5" w:rsidRPr="00936457">
              <w:rPr>
                <w:bCs/>
                <w:sz w:val="26"/>
                <w:szCs w:val="28"/>
              </w:rPr>
              <w:t xml:space="preserve">februāra </w:t>
            </w:r>
            <w:r w:rsidR="00BE42FA" w:rsidRPr="00936457">
              <w:rPr>
                <w:bCs/>
                <w:sz w:val="26"/>
                <w:szCs w:val="28"/>
              </w:rPr>
              <w:t>sēdes protokollēmuma (prot. Nr.</w:t>
            </w:r>
            <w:r w:rsidR="000320FD">
              <w:rPr>
                <w:bCs/>
                <w:sz w:val="26"/>
                <w:szCs w:val="28"/>
              </w:rPr>
              <w:t> </w:t>
            </w:r>
            <w:r w:rsidR="00BE42FA" w:rsidRPr="00936457">
              <w:rPr>
                <w:bCs/>
                <w:sz w:val="26"/>
                <w:szCs w:val="28"/>
              </w:rPr>
              <w:t>6 1.§) “Informatīvais ziņojums “Par fiskālo telpu palielinošiem pasākumiem un izdevumiem prioritārajiem pasākumiem valsts budžetam 2019.gadam”” 32.</w:t>
            </w:r>
            <w:r w:rsidR="000320FD">
              <w:rPr>
                <w:bCs/>
                <w:sz w:val="26"/>
                <w:szCs w:val="28"/>
              </w:rPr>
              <w:t> </w:t>
            </w:r>
            <w:r w:rsidR="00BE42FA" w:rsidRPr="00936457">
              <w:rPr>
                <w:bCs/>
                <w:sz w:val="26"/>
                <w:szCs w:val="28"/>
              </w:rPr>
              <w:t>punktā doto uzdevumu ministrijām, ņemot vērā Ministru kabinetā neatbalstītos papildu pieprasījumus, izvērtēt nepieciešamību veikt grozījumus normatīvajos aktos, nevirzīt tālāk sagatavotos likumprojektus, kā arī izvērtēt iespēju nodrošināt to īstenošanu esošā finansējuma ietvaros.</w:t>
            </w:r>
          </w:p>
        </w:tc>
      </w:tr>
      <w:tr w:rsidR="004F5E02" w:rsidRPr="002A3DBF" w14:paraId="2F485B52" w14:textId="77777777" w:rsidTr="00BA7803">
        <w:tc>
          <w:tcPr>
            <w:tcW w:w="311" w:type="pct"/>
            <w:tcBorders>
              <w:top w:val="single" w:sz="4" w:space="0" w:color="auto"/>
              <w:left w:val="single" w:sz="4" w:space="0" w:color="auto"/>
              <w:bottom w:val="single" w:sz="4" w:space="0" w:color="auto"/>
              <w:right w:val="single" w:sz="4" w:space="0" w:color="auto"/>
            </w:tcBorders>
            <w:hideMark/>
          </w:tcPr>
          <w:p w14:paraId="53DF4219"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36F7ABE0" w14:textId="644A4940" w:rsidR="005E2049" w:rsidRPr="00936457" w:rsidRDefault="004F5E02" w:rsidP="00936457">
            <w:pPr>
              <w:rPr>
                <w:sz w:val="26"/>
                <w:szCs w:val="28"/>
                <w:lang w:eastAsia="en-US"/>
              </w:rPr>
            </w:pPr>
            <w:r w:rsidRPr="00936457">
              <w:rPr>
                <w:sz w:val="26"/>
                <w:szCs w:val="28"/>
                <w:lang w:eastAsia="en-US"/>
              </w:rPr>
              <w:t>Pašreizējā situācija un problēmas, kuru risināšanai tiesību akta projekts izstrādāts, tiesiskā regulējuma mērķis un būtība</w:t>
            </w:r>
          </w:p>
          <w:p w14:paraId="59592899" w14:textId="77777777" w:rsidR="005E2049" w:rsidRPr="00936457" w:rsidRDefault="005E2049" w:rsidP="00BA7ADE">
            <w:pPr>
              <w:rPr>
                <w:sz w:val="26"/>
                <w:szCs w:val="28"/>
                <w:lang w:eastAsia="en-US"/>
              </w:rPr>
            </w:pPr>
          </w:p>
          <w:p w14:paraId="18FACABA" w14:textId="77777777" w:rsidR="005E2049" w:rsidRPr="00936457" w:rsidRDefault="005E2049" w:rsidP="0028132D">
            <w:pPr>
              <w:rPr>
                <w:sz w:val="26"/>
                <w:szCs w:val="28"/>
                <w:lang w:eastAsia="en-US"/>
              </w:rPr>
            </w:pPr>
          </w:p>
          <w:p w14:paraId="7ABC671A" w14:textId="77777777" w:rsidR="005E2049" w:rsidRPr="00936457" w:rsidRDefault="005E2049" w:rsidP="0028132D">
            <w:pPr>
              <w:rPr>
                <w:sz w:val="26"/>
                <w:szCs w:val="28"/>
                <w:lang w:eastAsia="en-US"/>
              </w:rPr>
            </w:pPr>
          </w:p>
          <w:p w14:paraId="41E85A7F" w14:textId="77777777" w:rsidR="005E2049" w:rsidRPr="00936457" w:rsidRDefault="005E2049" w:rsidP="00E174BD">
            <w:pPr>
              <w:rPr>
                <w:sz w:val="26"/>
                <w:szCs w:val="28"/>
                <w:lang w:eastAsia="en-US"/>
              </w:rPr>
            </w:pPr>
          </w:p>
          <w:p w14:paraId="2121CE97" w14:textId="77777777" w:rsidR="005E2049" w:rsidRPr="00936457" w:rsidRDefault="005E2049">
            <w:pPr>
              <w:rPr>
                <w:sz w:val="26"/>
                <w:szCs w:val="28"/>
                <w:lang w:eastAsia="en-US"/>
              </w:rPr>
            </w:pPr>
          </w:p>
          <w:p w14:paraId="6163A0E7" w14:textId="77777777" w:rsidR="005E2049" w:rsidRPr="00936457" w:rsidRDefault="005E2049">
            <w:pPr>
              <w:rPr>
                <w:sz w:val="26"/>
                <w:szCs w:val="28"/>
                <w:lang w:eastAsia="en-US"/>
              </w:rPr>
            </w:pPr>
          </w:p>
          <w:p w14:paraId="6B5C5FCB" w14:textId="77777777" w:rsidR="005E2049" w:rsidRPr="00936457" w:rsidRDefault="005E2049">
            <w:pPr>
              <w:rPr>
                <w:sz w:val="26"/>
                <w:szCs w:val="28"/>
                <w:lang w:eastAsia="en-US"/>
              </w:rPr>
            </w:pPr>
          </w:p>
          <w:p w14:paraId="47C83160" w14:textId="77777777" w:rsidR="005E2049" w:rsidRPr="00936457" w:rsidRDefault="005E2049">
            <w:pPr>
              <w:rPr>
                <w:sz w:val="26"/>
                <w:szCs w:val="28"/>
                <w:lang w:eastAsia="en-US"/>
              </w:rPr>
            </w:pPr>
          </w:p>
          <w:p w14:paraId="10E908D3" w14:textId="661B0D3C" w:rsidR="005E2049" w:rsidRPr="00936457" w:rsidRDefault="005E2049">
            <w:pPr>
              <w:rPr>
                <w:sz w:val="26"/>
                <w:szCs w:val="28"/>
                <w:lang w:eastAsia="en-US"/>
              </w:rPr>
            </w:pPr>
          </w:p>
          <w:p w14:paraId="36D79D13" w14:textId="08B1B96C" w:rsidR="005E2049" w:rsidRPr="00936457" w:rsidRDefault="005E2049">
            <w:pPr>
              <w:rPr>
                <w:sz w:val="26"/>
                <w:szCs w:val="28"/>
                <w:lang w:eastAsia="en-US"/>
              </w:rPr>
            </w:pPr>
          </w:p>
          <w:p w14:paraId="25231DB5" w14:textId="77777777" w:rsidR="004F5E02" w:rsidRPr="00936457" w:rsidRDefault="004F5E02">
            <w:pPr>
              <w:rPr>
                <w:sz w:val="26"/>
                <w:szCs w:val="28"/>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56896E57" w14:textId="652AFDDF" w:rsidR="00F02217" w:rsidRPr="00936457" w:rsidRDefault="009606AE">
            <w:pPr>
              <w:ind w:firstLine="295"/>
              <w:jc w:val="both"/>
              <w:rPr>
                <w:bCs/>
                <w:sz w:val="26"/>
                <w:szCs w:val="28"/>
              </w:rPr>
            </w:pPr>
            <w:r w:rsidRPr="00936457">
              <w:rPr>
                <w:bCs/>
                <w:sz w:val="26"/>
                <w:szCs w:val="28"/>
              </w:rPr>
              <w:t xml:space="preserve">Ar </w:t>
            </w:r>
            <w:r w:rsidR="00F332CF" w:rsidRPr="00936457">
              <w:rPr>
                <w:bCs/>
                <w:sz w:val="26"/>
                <w:szCs w:val="28"/>
              </w:rPr>
              <w:t>2018. gada 20. septembr</w:t>
            </w:r>
            <w:r w:rsidRPr="00936457">
              <w:rPr>
                <w:bCs/>
                <w:sz w:val="26"/>
                <w:szCs w:val="28"/>
              </w:rPr>
              <w:t xml:space="preserve">a likumu “Grozījumi Izglītības likumā” Izglītības likumā </w:t>
            </w:r>
            <w:proofErr w:type="spellStart"/>
            <w:r w:rsidRPr="00936457">
              <w:rPr>
                <w:bCs/>
                <w:sz w:val="26"/>
                <w:szCs w:val="28"/>
              </w:rPr>
              <w:t>citastarp</w:t>
            </w:r>
            <w:proofErr w:type="spellEnd"/>
            <w:r w:rsidRPr="00936457">
              <w:rPr>
                <w:bCs/>
                <w:sz w:val="26"/>
                <w:szCs w:val="28"/>
              </w:rPr>
              <w:t xml:space="preserve"> </w:t>
            </w:r>
            <w:r w:rsidR="0028132D" w:rsidRPr="00936457">
              <w:rPr>
                <w:bCs/>
                <w:sz w:val="26"/>
                <w:szCs w:val="28"/>
              </w:rPr>
              <w:t xml:space="preserve">tika </w:t>
            </w:r>
            <w:r w:rsidRPr="00936457">
              <w:rPr>
                <w:bCs/>
                <w:sz w:val="26"/>
                <w:szCs w:val="28"/>
              </w:rPr>
              <w:t xml:space="preserve">izdarīti grozījumi, kas </w:t>
            </w:r>
            <w:r w:rsidR="00F332CF" w:rsidRPr="00936457">
              <w:rPr>
                <w:bCs/>
                <w:sz w:val="26"/>
                <w:szCs w:val="28"/>
              </w:rPr>
              <w:t xml:space="preserve">paredz </w:t>
            </w:r>
            <w:r w:rsidR="0028132D" w:rsidRPr="00936457">
              <w:rPr>
                <w:bCs/>
                <w:sz w:val="26"/>
                <w:szCs w:val="28"/>
              </w:rPr>
              <w:t xml:space="preserve">tiesības </w:t>
            </w:r>
            <w:r w:rsidR="0028132D" w:rsidRPr="00936457">
              <w:rPr>
                <w:sz w:val="26"/>
                <w:szCs w:val="28"/>
              </w:rPr>
              <w:t>interešu izglītības iestādēm, kas īsteno interešu izglītības programmas</w:t>
            </w:r>
            <w:r w:rsidR="00BE42FA" w:rsidRPr="00936457">
              <w:rPr>
                <w:sz w:val="26"/>
                <w:szCs w:val="28"/>
              </w:rPr>
              <w:t xml:space="preserve"> </w:t>
            </w:r>
            <w:r w:rsidR="0028132D" w:rsidRPr="00936457">
              <w:rPr>
                <w:sz w:val="26"/>
                <w:szCs w:val="28"/>
              </w:rPr>
              <w:t xml:space="preserve">un papildus veic interešu izglītības metodiskā centra un pedagogu tālākizglītības centra funkcijas, iegūt valsts nozīmes interešu izglītības iestādes statusu </w:t>
            </w:r>
            <w:r w:rsidR="0028132D" w:rsidRPr="00936457">
              <w:rPr>
                <w:bCs/>
                <w:sz w:val="26"/>
                <w:szCs w:val="28"/>
              </w:rPr>
              <w:t>(</w:t>
            </w:r>
            <w:r w:rsidR="00F02217" w:rsidRPr="00936457">
              <w:rPr>
                <w:bCs/>
                <w:sz w:val="26"/>
                <w:szCs w:val="28"/>
              </w:rPr>
              <w:t>Izglītības likuma 19.</w:t>
            </w:r>
            <w:r w:rsidR="00F02217" w:rsidRPr="00936457">
              <w:rPr>
                <w:bCs/>
                <w:sz w:val="26"/>
                <w:szCs w:val="28"/>
                <w:vertAlign w:val="superscript"/>
              </w:rPr>
              <w:t>1</w:t>
            </w:r>
            <w:r w:rsidR="00F02217" w:rsidRPr="00936457">
              <w:rPr>
                <w:bCs/>
                <w:sz w:val="26"/>
                <w:szCs w:val="28"/>
              </w:rPr>
              <w:t> pant</w:t>
            </w:r>
            <w:r w:rsidR="0028132D" w:rsidRPr="00936457">
              <w:rPr>
                <w:bCs/>
                <w:sz w:val="26"/>
                <w:szCs w:val="28"/>
              </w:rPr>
              <w:t>s</w:t>
            </w:r>
            <w:r w:rsidR="00F02217" w:rsidRPr="00936457">
              <w:rPr>
                <w:bCs/>
                <w:sz w:val="26"/>
                <w:szCs w:val="28"/>
              </w:rPr>
              <w:t>)</w:t>
            </w:r>
            <w:r w:rsidR="00F332CF" w:rsidRPr="00936457">
              <w:rPr>
                <w:bCs/>
                <w:sz w:val="26"/>
                <w:szCs w:val="28"/>
              </w:rPr>
              <w:t xml:space="preserve">. </w:t>
            </w:r>
            <w:r w:rsidRPr="00936457">
              <w:rPr>
                <w:bCs/>
                <w:sz w:val="26"/>
                <w:szCs w:val="28"/>
              </w:rPr>
              <w:t xml:space="preserve">Minētie grozījumi </w:t>
            </w:r>
            <w:r w:rsidR="00BE42FA" w:rsidRPr="00936457">
              <w:rPr>
                <w:bCs/>
                <w:sz w:val="26"/>
                <w:szCs w:val="28"/>
              </w:rPr>
              <w:t xml:space="preserve">Izglītības likumā </w:t>
            </w:r>
            <w:r w:rsidRPr="00936457">
              <w:rPr>
                <w:bCs/>
                <w:sz w:val="26"/>
                <w:szCs w:val="28"/>
              </w:rPr>
              <w:t xml:space="preserve">paredz arī </w:t>
            </w:r>
            <w:r w:rsidR="00F332CF" w:rsidRPr="00936457">
              <w:rPr>
                <w:bCs/>
                <w:sz w:val="26"/>
                <w:szCs w:val="28"/>
              </w:rPr>
              <w:t>deleģējum</w:t>
            </w:r>
            <w:r w:rsidRPr="00936457">
              <w:rPr>
                <w:bCs/>
                <w:sz w:val="26"/>
                <w:szCs w:val="28"/>
              </w:rPr>
              <w:t>u</w:t>
            </w:r>
            <w:r w:rsidR="00F332CF" w:rsidRPr="00936457">
              <w:rPr>
                <w:bCs/>
                <w:sz w:val="26"/>
                <w:szCs w:val="28"/>
              </w:rPr>
              <w:t xml:space="preserve"> Ministru kabinetam: pirmkārt, noteikt valsts nozīmes interešu izglītības iestāžu finansēšanas kārtību</w:t>
            </w:r>
            <w:r w:rsidR="00F02217" w:rsidRPr="00936457">
              <w:rPr>
                <w:bCs/>
                <w:sz w:val="26"/>
                <w:szCs w:val="28"/>
              </w:rPr>
              <w:t xml:space="preserve"> (grozījum</w:t>
            </w:r>
            <w:r w:rsidRPr="00936457">
              <w:rPr>
                <w:bCs/>
                <w:sz w:val="26"/>
                <w:szCs w:val="28"/>
              </w:rPr>
              <w:t>i</w:t>
            </w:r>
            <w:r w:rsidR="00F02217" w:rsidRPr="00936457">
              <w:rPr>
                <w:bCs/>
                <w:sz w:val="26"/>
                <w:szCs w:val="28"/>
              </w:rPr>
              <w:t xml:space="preserve"> Izglītības likuma 14. panta 24. punkt</w:t>
            </w:r>
            <w:r w:rsidRPr="00936457">
              <w:rPr>
                <w:bCs/>
                <w:sz w:val="26"/>
                <w:szCs w:val="28"/>
              </w:rPr>
              <w:t>ā</w:t>
            </w:r>
            <w:r w:rsidR="00F02217" w:rsidRPr="00936457">
              <w:rPr>
                <w:bCs/>
                <w:sz w:val="26"/>
                <w:szCs w:val="28"/>
              </w:rPr>
              <w:t>)</w:t>
            </w:r>
            <w:r w:rsidR="00F332CF" w:rsidRPr="00936457">
              <w:rPr>
                <w:bCs/>
                <w:sz w:val="26"/>
                <w:szCs w:val="28"/>
              </w:rPr>
              <w:t>; otrkārt, noteikt kritērijus un kārtību, kādā interešu izglītības iestādēm tiek piešķirts un anulēts valsts nozīmes interešu izglītības iestādes statuss</w:t>
            </w:r>
            <w:r w:rsidR="00F02217" w:rsidRPr="00936457">
              <w:rPr>
                <w:bCs/>
                <w:sz w:val="26"/>
                <w:szCs w:val="28"/>
              </w:rPr>
              <w:t xml:space="preserve"> (Izglītības likuma 14. panta 24.</w:t>
            </w:r>
            <w:r w:rsidR="00F02217" w:rsidRPr="00936457">
              <w:rPr>
                <w:bCs/>
                <w:sz w:val="26"/>
                <w:szCs w:val="28"/>
                <w:vertAlign w:val="superscript"/>
              </w:rPr>
              <w:t>1</w:t>
            </w:r>
            <w:r w:rsidR="00F02217" w:rsidRPr="00936457">
              <w:rPr>
                <w:bCs/>
                <w:sz w:val="26"/>
                <w:szCs w:val="28"/>
              </w:rPr>
              <w:t> punkt</w:t>
            </w:r>
            <w:r w:rsidRPr="00936457">
              <w:rPr>
                <w:bCs/>
                <w:sz w:val="26"/>
                <w:szCs w:val="28"/>
              </w:rPr>
              <w:t>s</w:t>
            </w:r>
            <w:r w:rsidR="00F02217" w:rsidRPr="00936457">
              <w:rPr>
                <w:bCs/>
                <w:sz w:val="26"/>
                <w:szCs w:val="28"/>
              </w:rPr>
              <w:t>)</w:t>
            </w:r>
            <w:r w:rsidR="00F332CF" w:rsidRPr="00936457">
              <w:rPr>
                <w:bCs/>
                <w:sz w:val="26"/>
                <w:szCs w:val="28"/>
              </w:rPr>
              <w:t xml:space="preserve">. </w:t>
            </w:r>
            <w:r w:rsidR="00E174BD" w:rsidRPr="00936457">
              <w:rPr>
                <w:bCs/>
                <w:sz w:val="26"/>
                <w:szCs w:val="28"/>
              </w:rPr>
              <w:t xml:space="preserve">Saskaņā ar </w:t>
            </w:r>
            <w:r w:rsidRPr="00936457">
              <w:rPr>
                <w:bCs/>
                <w:sz w:val="26"/>
                <w:szCs w:val="28"/>
              </w:rPr>
              <w:t xml:space="preserve">Izglītības likuma </w:t>
            </w:r>
            <w:r w:rsidR="00E174BD" w:rsidRPr="00936457">
              <w:rPr>
                <w:bCs/>
                <w:sz w:val="26"/>
                <w:szCs w:val="28"/>
              </w:rPr>
              <w:t>60.panta desmito daļu</w:t>
            </w:r>
            <w:r w:rsidR="00F332CF" w:rsidRPr="00936457">
              <w:rPr>
                <w:bCs/>
                <w:sz w:val="26"/>
                <w:szCs w:val="28"/>
              </w:rPr>
              <w:t xml:space="preserve"> valsts nozīmes interešu izglītības iestādes saņem papildu valsts budžeta finansējumu Izglītības likuma 19.</w:t>
            </w:r>
            <w:r w:rsidR="00F332CF" w:rsidRPr="00936457">
              <w:rPr>
                <w:bCs/>
                <w:sz w:val="26"/>
                <w:szCs w:val="28"/>
                <w:vertAlign w:val="superscript"/>
              </w:rPr>
              <w:t>1</w:t>
            </w:r>
            <w:r w:rsidR="00F332CF" w:rsidRPr="00936457">
              <w:rPr>
                <w:bCs/>
                <w:sz w:val="26"/>
                <w:szCs w:val="28"/>
              </w:rPr>
              <w:t> panta pirmajā daļā noteikto funkciju veikšanai</w:t>
            </w:r>
            <w:r w:rsidR="00E174BD" w:rsidRPr="00936457">
              <w:rPr>
                <w:bCs/>
                <w:sz w:val="26"/>
                <w:szCs w:val="28"/>
              </w:rPr>
              <w:t>.</w:t>
            </w:r>
            <w:r w:rsidR="00F02217" w:rsidRPr="00936457">
              <w:rPr>
                <w:bCs/>
                <w:sz w:val="26"/>
                <w:szCs w:val="28"/>
              </w:rPr>
              <w:t xml:space="preserve"> </w:t>
            </w:r>
          </w:p>
          <w:p w14:paraId="09F26866" w14:textId="3EC7E475" w:rsidR="00E174BD" w:rsidRPr="00936457" w:rsidRDefault="00F332CF">
            <w:pPr>
              <w:ind w:firstLine="295"/>
              <w:jc w:val="both"/>
              <w:rPr>
                <w:bCs/>
                <w:sz w:val="26"/>
                <w:szCs w:val="28"/>
              </w:rPr>
            </w:pPr>
            <w:r w:rsidRPr="00936457">
              <w:rPr>
                <w:bCs/>
                <w:sz w:val="26"/>
                <w:szCs w:val="28"/>
              </w:rPr>
              <w:t>Atbilstoši Izglītības likuma pārejas noteikumu 78. </w:t>
            </w:r>
            <w:r w:rsidR="002D5671" w:rsidRPr="00936457">
              <w:rPr>
                <w:bCs/>
                <w:sz w:val="26"/>
                <w:szCs w:val="28"/>
              </w:rPr>
              <w:t>punktam</w:t>
            </w:r>
            <w:r w:rsidR="00E174BD" w:rsidRPr="00936457">
              <w:rPr>
                <w:bCs/>
                <w:sz w:val="26"/>
                <w:szCs w:val="28"/>
              </w:rPr>
              <w:t xml:space="preserve"> grozījumi </w:t>
            </w:r>
            <w:r w:rsidR="00BE42FA" w:rsidRPr="00936457">
              <w:rPr>
                <w:bCs/>
                <w:sz w:val="26"/>
                <w:szCs w:val="28"/>
              </w:rPr>
              <w:t xml:space="preserve">Izglītības </w:t>
            </w:r>
            <w:r w:rsidR="00E174BD" w:rsidRPr="00936457">
              <w:rPr>
                <w:bCs/>
                <w:sz w:val="26"/>
                <w:szCs w:val="28"/>
              </w:rPr>
              <w:t>likuma 14. panta 24.</w:t>
            </w:r>
            <w:r w:rsidR="000320FD">
              <w:rPr>
                <w:bCs/>
                <w:sz w:val="26"/>
                <w:szCs w:val="28"/>
              </w:rPr>
              <w:t> </w:t>
            </w:r>
            <w:r w:rsidR="00E174BD" w:rsidRPr="00936457">
              <w:rPr>
                <w:bCs/>
                <w:sz w:val="26"/>
                <w:szCs w:val="28"/>
              </w:rPr>
              <w:t>punktā, kā arī šā likuma 14. panta 24.</w:t>
            </w:r>
            <w:r w:rsidR="00E174BD" w:rsidRPr="00936457">
              <w:rPr>
                <w:bCs/>
                <w:sz w:val="26"/>
                <w:szCs w:val="28"/>
                <w:vertAlign w:val="superscript"/>
              </w:rPr>
              <w:t>1</w:t>
            </w:r>
            <w:r w:rsidR="00E174BD" w:rsidRPr="00936457">
              <w:rPr>
                <w:bCs/>
                <w:sz w:val="26"/>
                <w:szCs w:val="28"/>
              </w:rPr>
              <w:t xml:space="preserve"> punkts, 19.</w:t>
            </w:r>
            <w:r w:rsidR="00E174BD" w:rsidRPr="00936457">
              <w:rPr>
                <w:bCs/>
                <w:sz w:val="26"/>
                <w:szCs w:val="28"/>
                <w:vertAlign w:val="superscript"/>
              </w:rPr>
              <w:t>1</w:t>
            </w:r>
            <w:r w:rsidR="000320FD">
              <w:rPr>
                <w:bCs/>
                <w:sz w:val="26"/>
                <w:szCs w:val="28"/>
              </w:rPr>
              <w:t> </w:t>
            </w:r>
            <w:r w:rsidR="00E174BD" w:rsidRPr="00936457">
              <w:rPr>
                <w:bCs/>
                <w:sz w:val="26"/>
                <w:szCs w:val="28"/>
              </w:rPr>
              <w:t>pants un 60. panta desmitā daļa stājas spēkā 2019.</w:t>
            </w:r>
            <w:r w:rsidR="000320FD">
              <w:rPr>
                <w:bCs/>
                <w:sz w:val="26"/>
                <w:szCs w:val="28"/>
              </w:rPr>
              <w:t> </w:t>
            </w:r>
            <w:r w:rsidR="00E174BD" w:rsidRPr="00936457">
              <w:rPr>
                <w:bCs/>
                <w:sz w:val="26"/>
                <w:szCs w:val="28"/>
              </w:rPr>
              <w:t xml:space="preserve">gada 1. septembrī. </w:t>
            </w:r>
          </w:p>
          <w:p w14:paraId="4693CDBB" w14:textId="77CE049D" w:rsidR="004F5E02" w:rsidRPr="00936457" w:rsidRDefault="00F23EA5" w:rsidP="00936457">
            <w:pPr>
              <w:ind w:firstLine="295"/>
              <w:jc w:val="both"/>
              <w:rPr>
                <w:sz w:val="26"/>
                <w:szCs w:val="28"/>
              </w:rPr>
            </w:pPr>
            <w:r w:rsidRPr="00936457">
              <w:rPr>
                <w:sz w:val="26"/>
                <w:szCs w:val="28"/>
              </w:rPr>
              <w:lastRenderedPageBreak/>
              <w:t>Izglītības likuma 60. panta desmitajā daļā minētais papildu valsts bud</w:t>
            </w:r>
            <w:r w:rsidR="00BA7803" w:rsidRPr="00936457">
              <w:rPr>
                <w:sz w:val="26"/>
                <w:szCs w:val="28"/>
              </w:rPr>
              <w:t>žeta finansējuma apjoms</w:t>
            </w:r>
            <w:r w:rsidRPr="00936457">
              <w:rPr>
                <w:sz w:val="26"/>
                <w:szCs w:val="28"/>
              </w:rPr>
              <w:t xml:space="preserve"> tika plānots, norādot papildu nepieciešamo finansējumu Izglītības un zinātnes ministrijas prioritārā pasākuma pieteikumā vidējam termiņam</w:t>
            </w:r>
            <w:r w:rsidR="00922149" w:rsidRPr="00936457">
              <w:rPr>
                <w:sz w:val="26"/>
                <w:szCs w:val="28"/>
              </w:rPr>
              <w:t xml:space="preserve"> (2019. gadam – 202 515 </w:t>
            </w:r>
            <w:r w:rsidR="00922149" w:rsidRPr="00936457">
              <w:rPr>
                <w:i/>
                <w:sz w:val="26"/>
                <w:szCs w:val="28"/>
              </w:rPr>
              <w:t>euro</w:t>
            </w:r>
            <w:r w:rsidR="00922149" w:rsidRPr="00936457">
              <w:rPr>
                <w:sz w:val="26"/>
                <w:szCs w:val="28"/>
              </w:rPr>
              <w:t xml:space="preserve"> (noteiktā zemākā mēneša darba algas likme pedagogam 680 </w:t>
            </w:r>
            <w:r w:rsidR="00922149" w:rsidRPr="00936457">
              <w:rPr>
                <w:i/>
                <w:sz w:val="26"/>
                <w:szCs w:val="28"/>
              </w:rPr>
              <w:t>euro</w:t>
            </w:r>
            <w:r w:rsidR="00922149" w:rsidRPr="00936457">
              <w:rPr>
                <w:sz w:val="26"/>
                <w:szCs w:val="28"/>
              </w:rPr>
              <w:t xml:space="preserve">), 2020. gadam – 211 450 </w:t>
            </w:r>
            <w:r w:rsidR="00922149" w:rsidRPr="00936457">
              <w:rPr>
                <w:i/>
                <w:sz w:val="26"/>
                <w:szCs w:val="28"/>
              </w:rPr>
              <w:t>euro</w:t>
            </w:r>
            <w:r w:rsidR="00922149" w:rsidRPr="00936457">
              <w:rPr>
                <w:sz w:val="26"/>
                <w:szCs w:val="28"/>
              </w:rPr>
              <w:t xml:space="preserve"> (noteiktā zemākā mēneša darba algas likme pedagogam 710 </w:t>
            </w:r>
            <w:r w:rsidR="00922149" w:rsidRPr="00936457">
              <w:rPr>
                <w:i/>
                <w:sz w:val="26"/>
                <w:szCs w:val="28"/>
              </w:rPr>
              <w:t>euro</w:t>
            </w:r>
            <w:r w:rsidR="00922149" w:rsidRPr="00936457">
              <w:rPr>
                <w:sz w:val="26"/>
                <w:szCs w:val="28"/>
              </w:rPr>
              <w:t xml:space="preserve">) un 2021. gadam – 223 362 </w:t>
            </w:r>
            <w:r w:rsidR="00922149" w:rsidRPr="00936457">
              <w:rPr>
                <w:i/>
                <w:sz w:val="26"/>
                <w:szCs w:val="28"/>
              </w:rPr>
              <w:t>euro</w:t>
            </w:r>
            <w:r w:rsidR="00922149" w:rsidRPr="00936457">
              <w:rPr>
                <w:sz w:val="26"/>
                <w:szCs w:val="28"/>
              </w:rPr>
              <w:t xml:space="preserve"> (noteiktā zemākā mēneša darba algas likme pedagogam 750 </w:t>
            </w:r>
            <w:r w:rsidR="00922149" w:rsidRPr="00936457">
              <w:rPr>
                <w:i/>
                <w:sz w:val="26"/>
                <w:szCs w:val="28"/>
              </w:rPr>
              <w:t>euro</w:t>
            </w:r>
            <w:r w:rsidR="00922149" w:rsidRPr="00936457">
              <w:rPr>
                <w:sz w:val="26"/>
                <w:szCs w:val="28"/>
              </w:rPr>
              <w:t>)</w:t>
            </w:r>
            <w:r w:rsidRPr="00936457">
              <w:rPr>
                <w:sz w:val="26"/>
                <w:szCs w:val="28"/>
              </w:rPr>
              <w:t xml:space="preserve">. </w:t>
            </w:r>
            <w:r w:rsidR="00F02217" w:rsidRPr="00936457">
              <w:rPr>
                <w:sz w:val="26"/>
                <w:szCs w:val="28"/>
              </w:rPr>
              <w:t xml:space="preserve">Ņemot vērā to, ka </w:t>
            </w:r>
            <w:r w:rsidR="00272AFB" w:rsidRPr="00936457">
              <w:rPr>
                <w:sz w:val="26"/>
                <w:szCs w:val="28"/>
              </w:rPr>
              <w:t xml:space="preserve">2019. gadā tiek strādāts tehniskā budžeta </w:t>
            </w:r>
            <w:r w:rsidR="000667D7" w:rsidRPr="00936457">
              <w:rPr>
                <w:sz w:val="26"/>
                <w:szCs w:val="28"/>
              </w:rPr>
              <w:t>ietvarā</w:t>
            </w:r>
            <w:r w:rsidR="00272AFB" w:rsidRPr="00936457">
              <w:rPr>
                <w:sz w:val="26"/>
                <w:szCs w:val="28"/>
              </w:rPr>
              <w:t xml:space="preserve"> un netiek skatīti prioritāro pasākumu pieteikumi,</w:t>
            </w:r>
            <w:r w:rsidR="00F02217" w:rsidRPr="00936457">
              <w:rPr>
                <w:sz w:val="26"/>
                <w:szCs w:val="28"/>
              </w:rPr>
              <w:t xml:space="preserve"> likumprojekts paredz pagarināt Izglītības likuma pārejas noteikumu 78. punktā no</w:t>
            </w:r>
            <w:r w:rsidR="00E174BD" w:rsidRPr="00936457">
              <w:rPr>
                <w:sz w:val="26"/>
                <w:szCs w:val="28"/>
              </w:rPr>
              <w:t xml:space="preserve">teiktā regulējuma </w:t>
            </w:r>
            <w:r w:rsidR="00F02217" w:rsidRPr="00936457">
              <w:rPr>
                <w:sz w:val="26"/>
                <w:szCs w:val="28"/>
              </w:rPr>
              <w:t xml:space="preserve">spēkā stāšanās laiku par </w:t>
            </w:r>
            <w:r w:rsidR="00BA7803" w:rsidRPr="00936457">
              <w:rPr>
                <w:sz w:val="26"/>
                <w:szCs w:val="28"/>
              </w:rPr>
              <w:t>vienu gadu</w:t>
            </w:r>
            <w:r w:rsidR="00F02217" w:rsidRPr="00936457">
              <w:rPr>
                <w:sz w:val="26"/>
                <w:szCs w:val="28"/>
              </w:rPr>
              <w:t>, to</w:t>
            </w:r>
            <w:r w:rsidR="00936457">
              <w:rPr>
                <w:sz w:val="26"/>
                <w:szCs w:val="28"/>
              </w:rPr>
              <w:t xml:space="preserve"> nosakot 2020.</w:t>
            </w:r>
            <w:r w:rsidR="00F02217" w:rsidRPr="00936457">
              <w:rPr>
                <w:sz w:val="26"/>
                <w:szCs w:val="28"/>
              </w:rPr>
              <w:t> gada 1. septembri.</w:t>
            </w:r>
          </w:p>
        </w:tc>
      </w:tr>
      <w:tr w:rsidR="004F5E02" w:rsidRPr="002A3DBF" w14:paraId="43390CE4"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05E43135" w14:textId="56ACAE3C" w:rsidR="004F5E02" w:rsidRPr="00936457" w:rsidRDefault="004F5E02" w:rsidP="00936457">
            <w:pPr>
              <w:jc w:val="center"/>
              <w:rPr>
                <w:sz w:val="26"/>
                <w:szCs w:val="28"/>
                <w:lang w:eastAsia="en-US"/>
              </w:rPr>
            </w:pPr>
            <w:r w:rsidRPr="00936457">
              <w:rPr>
                <w:sz w:val="26"/>
                <w:szCs w:val="28"/>
                <w:lang w:eastAsia="en-US"/>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E407E9F" w14:textId="77777777" w:rsidR="004F5E02" w:rsidRPr="00936457" w:rsidRDefault="004F5E02" w:rsidP="00936457">
            <w:pPr>
              <w:rPr>
                <w:sz w:val="26"/>
                <w:szCs w:val="28"/>
                <w:lang w:eastAsia="en-US"/>
              </w:rPr>
            </w:pPr>
            <w:r w:rsidRPr="00936457">
              <w:rPr>
                <w:sz w:val="26"/>
                <w:szCs w:val="28"/>
                <w:lang w:eastAsia="en-US"/>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2B464E5D" w14:textId="77777777" w:rsidR="004F5E02" w:rsidRPr="00936457" w:rsidRDefault="00247DF8" w:rsidP="00936457">
            <w:pPr>
              <w:rPr>
                <w:sz w:val="26"/>
                <w:szCs w:val="28"/>
                <w:lang w:eastAsia="en-US"/>
              </w:rPr>
            </w:pPr>
            <w:r w:rsidRPr="00936457">
              <w:rPr>
                <w:sz w:val="26"/>
                <w:szCs w:val="28"/>
                <w:lang w:eastAsia="en-US"/>
              </w:rPr>
              <w:t>Izglītības un zinātnes ministrija.</w:t>
            </w:r>
          </w:p>
        </w:tc>
      </w:tr>
      <w:tr w:rsidR="004F5E02" w:rsidRPr="002A3DBF" w14:paraId="48A10DF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EB06F20"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51A418D5"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F59871C" w14:textId="77777777" w:rsidR="004F5E02" w:rsidRPr="00936457" w:rsidRDefault="00247DF8" w:rsidP="00936457">
            <w:pPr>
              <w:rPr>
                <w:sz w:val="26"/>
                <w:szCs w:val="28"/>
                <w:lang w:eastAsia="en-US"/>
              </w:rPr>
            </w:pPr>
            <w:r w:rsidRPr="00936457">
              <w:rPr>
                <w:sz w:val="26"/>
                <w:szCs w:val="28"/>
                <w:lang w:eastAsia="en-US"/>
              </w:rPr>
              <w:t>Nav.</w:t>
            </w:r>
          </w:p>
        </w:tc>
      </w:tr>
    </w:tbl>
    <w:p w14:paraId="65A0CF68"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27B41E20"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541C875" w14:textId="77777777" w:rsidR="004F5E02" w:rsidRPr="00936457" w:rsidRDefault="004F5E02" w:rsidP="00936457">
            <w:pPr>
              <w:jc w:val="center"/>
              <w:rPr>
                <w:b/>
                <w:bCs/>
                <w:sz w:val="26"/>
                <w:szCs w:val="28"/>
                <w:lang w:eastAsia="en-US"/>
              </w:rPr>
            </w:pPr>
            <w:r w:rsidRPr="00936457">
              <w:rPr>
                <w:b/>
                <w:bCs/>
                <w:sz w:val="26"/>
                <w:szCs w:val="28"/>
                <w:lang w:eastAsia="en-US"/>
              </w:rPr>
              <w:t>II. Tiesību akta projekta ietekme uz sabiedrību, tautsaimniecības attīstību un administratīvo slogu</w:t>
            </w:r>
          </w:p>
        </w:tc>
      </w:tr>
      <w:tr w:rsidR="004F5E02" w:rsidRPr="002A3DBF" w14:paraId="41EDB39E"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43F48180"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1618D71B" w14:textId="77777777" w:rsidR="004F5E02" w:rsidRPr="00936457" w:rsidRDefault="004F5E02" w:rsidP="00936457">
            <w:pPr>
              <w:rPr>
                <w:sz w:val="26"/>
                <w:szCs w:val="28"/>
                <w:lang w:eastAsia="en-US"/>
              </w:rPr>
            </w:pPr>
            <w:r w:rsidRPr="00936457">
              <w:rPr>
                <w:sz w:val="26"/>
                <w:szCs w:val="28"/>
                <w:lang w:eastAsia="en-US"/>
              </w:rPr>
              <w:t xml:space="preserve">Sabiedrības </w:t>
            </w:r>
            <w:proofErr w:type="spellStart"/>
            <w:r w:rsidRPr="00936457">
              <w:rPr>
                <w:sz w:val="26"/>
                <w:szCs w:val="28"/>
                <w:lang w:eastAsia="en-US"/>
              </w:rPr>
              <w:t>mērķgrupas</w:t>
            </w:r>
            <w:proofErr w:type="spellEnd"/>
            <w:r w:rsidRPr="00936457">
              <w:rPr>
                <w:sz w:val="26"/>
                <w:szCs w:val="28"/>
                <w:lang w:eastAsia="en-US"/>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5FE727C6" w14:textId="0BF5B0A0" w:rsidR="00340F88" w:rsidRPr="00936457" w:rsidRDefault="00BE42FA" w:rsidP="00BE42FA">
            <w:pPr>
              <w:ind w:firstLine="295"/>
              <w:jc w:val="both"/>
              <w:rPr>
                <w:sz w:val="26"/>
                <w:szCs w:val="28"/>
                <w:lang w:eastAsia="en-US"/>
              </w:rPr>
            </w:pPr>
            <w:r w:rsidRPr="00936457">
              <w:rPr>
                <w:bCs/>
                <w:sz w:val="26"/>
                <w:szCs w:val="28"/>
              </w:rPr>
              <w:t>Saskaņā ar V</w:t>
            </w:r>
            <w:r w:rsidR="002D5671" w:rsidRPr="00936457">
              <w:rPr>
                <w:bCs/>
                <w:sz w:val="26"/>
                <w:szCs w:val="28"/>
              </w:rPr>
              <w:t>alsts izglītības informācijas sistēm</w:t>
            </w:r>
            <w:r w:rsidRPr="00936457">
              <w:rPr>
                <w:bCs/>
                <w:sz w:val="26"/>
                <w:szCs w:val="28"/>
              </w:rPr>
              <w:t>ā</w:t>
            </w:r>
            <w:r w:rsidR="002D5671" w:rsidRPr="00936457">
              <w:rPr>
                <w:bCs/>
                <w:sz w:val="26"/>
                <w:szCs w:val="28"/>
              </w:rPr>
              <w:t xml:space="preserve"> </w:t>
            </w:r>
            <w:r w:rsidR="00340F88" w:rsidRPr="00936457">
              <w:rPr>
                <w:bCs/>
                <w:sz w:val="26"/>
                <w:szCs w:val="28"/>
              </w:rPr>
              <w:t xml:space="preserve"> pieejamajiem datiem uz 2018. gada 15. oktobri</w:t>
            </w:r>
            <w:r w:rsidRPr="00936457">
              <w:rPr>
                <w:bCs/>
                <w:sz w:val="26"/>
                <w:szCs w:val="28"/>
              </w:rPr>
              <w:t xml:space="preserve"> </w:t>
            </w:r>
            <w:r w:rsidR="00340F88" w:rsidRPr="00936457">
              <w:rPr>
                <w:bCs/>
                <w:sz w:val="26"/>
                <w:szCs w:val="28"/>
              </w:rPr>
              <w:t xml:space="preserve">120 </w:t>
            </w:r>
            <w:r w:rsidRPr="00936457">
              <w:rPr>
                <w:bCs/>
                <w:sz w:val="26"/>
                <w:szCs w:val="28"/>
              </w:rPr>
              <w:t xml:space="preserve">“aktīvas” interešu izglītības iestādes </w:t>
            </w:r>
            <w:r w:rsidR="00340F88" w:rsidRPr="00936457">
              <w:rPr>
                <w:bCs/>
                <w:sz w:val="26"/>
                <w:szCs w:val="28"/>
              </w:rPr>
              <w:t>(pēc veida “bērnu un jauniešu interešu izglītības iestāde”), tai skaitā 73 privātās iestādes un 47 pašvaldību iestādes</w:t>
            </w:r>
            <w:r w:rsidRPr="00936457">
              <w:rPr>
                <w:bCs/>
                <w:sz w:val="26"/>
                <w:szCs w:val="28"/>
              </w:rPr>
              <w:t xml:space="preserve">, </w:t>
            </w:r>
            <w:r w:rsidR="00340F88" w:rsidRPr="00936457">
              <w:rPr>
                <w:bCs/>
                <w:sz w:val="26"/>
                <w:szCs w:val="28"/>
              </w:rPr>
              <w:t>to dibinātāji, iestādēs nodarbinātās personas, izglītojamie un viņu vecāki (uz minēto datumu izglītojamie bijuši reģistrēti 49 no iepriekš minētajām iestādēm, tai skaitā sešās privātajās iestādēs un 43 pašvaldību iestādēs).</w:t>
            </w:r>
          </w:p>
        </w:tc>
      </w:tr>
      <w:tr w:rsidR="004F5E02" w:rsidRPr="002A3DBF" w14:paraId="0480DA8E"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7108253" w14:textId="46306C46"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2F648065" w14:textId="77777777" w:rsidR="004F5E02" w:rsidRPr="00936457" w:rsidRDefault="004F5E02" w:rsidP="00936457">
            <w:pPr>
              <w:rPr>
                <w:sz w:val="26"/>
                <w:szCs w:val="28"/>
                <w:lang w:eastAsia="en-US"/>
              </w:rPr>
            </w:pPr>
            <w:r w:rsidRPr="00936457">
              <w:rPr>
                <w:sz w:val="26"/>
                <w:szCs w:val="28"/>
                <w:lang w:eastAsia="en-US"/>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3D9E7F27"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5EF444A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E4D35D4"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316E15A" w14:textId="77777777" w:rsidR="004F5E02" w:rsidRPr="00936457" w:rsidRDefault="004F5E02" w:rsidP="00936457">
            <w:pPr>
              <w:rPr>
                <w:sz w:val="26"/>
                <w:szCs w:val="28"/>
                <w:lang w:eastAsia="en-US"/>
              </w:rPr>
            </w:pPr>
            <w:r w:rsidRPr="00936457">
              <w:rPr>
                <w:sz w:val="26"/>
                <w:szCs w:val="28"/>
                <w:lang w:eastAsia="en-US"/>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2FD023A5"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4D56D7B9"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5BF9F6EE"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1F8300DF" w14:textId="77777777" w:rsidR="004F5E02" w:rsidRPr="00936457" w:rsidRDefault="004F5E02" w:rsidP="00936457">
            <w:pPr>
              <w:rPr>
                <w:sz w:val="26"/>
                <w:szCs w:val="28"/>
                <w:lang w:eastAsia="en-US"/>
              </w:rPr>
            </w:pPr>
            <w:r w:rsidRPr="00936457">
              <w:rPr>
                <w:sz w:val="26"/>
                <w:szCs w:val="28"/>
                <w:lang w:eastAsia="en-US"/>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7FC540E0"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31D940FD"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179EA1E9" w14:textId="77777777" w:rsidR="004F5E02" w:rsidRPr="00936457" w:rsidRDefault="004F5E02" w:rsidP="00936457">
            <w:pPr>
              <w:jc w:val="center"/>
              <w:rPr>
                <w:sz w:val="26"/>
                <w:szCs w:val="28"/>
                <w:lang w:eastAsia="en-US"/>
              </w:rPr>
            </w:pPr>
            <w:r w:rsidRPr="00936457">
              <w:rPr>
                <w:sz w:val="26"/>
                <w:szCs w:val="28"/>
                <w:lang w:eastAsia="en-US"/>
              </w:rPr>
              <w:t>5.</w:t>
            </w:r>
          </w:p>
        </w:tc>
        <w:tc>
          <w:tcPr>
            <w:tcW w:w="1479" w:type="pct"/>
            <w:tcBorders>
              <w:top w:val="single" w:sz="4" w:space="0" w:color="auto"/>
              <w:left w:val="single" w:sz="4" w:space="0" w:color="auto"/>
              <w:bottom w:val="single" w:sz="4" w:space="0" w:color="auto"/>
              <w:right w:val="single" w:sz="4" w:space="0" w:color="auto"/>
            </w:tcBorders>
            <w:hideMark/>
          </w:tcPr>
          <w:p w14:paraId="3BB628FC"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564F0E02" w14:textId="77777777" w:rsidR="004F5E02" w:rsidRPr="00936457" w:rsidRDefault="007D6E97" w:rsidP="00936457">
            <w:pPr>
              <w:rPr>
                <w:sz w:val="26"/>
                <w:szCs w:val="28"/>
                <w:lang w:eastAsia="en-US"/>
              </w:rPr>
            </w:pPr>
            <w:r w:rsidRPr="00936457">
              <w:rPr>
                <w:sz w:val="26"/>
                <w:szCs w:val="28"/>
                <w:lang w:eastAsia="en-US"/>
              </w:rPr>
              <w:t>Nav.</w:t>
            </w:r>
          </w:p>
        </w:tc>
      </w:tr>
    </w:tbl>
    <w:p w14:paraId="769EF0B7" w14:textId="77777777" w:rsidR="004F5E02" w:rsidRDefault="004F5E02" w:rsidP="00BA7ADE">
      <w:pPr>
        <w:rPr>
          <w:sz w:val="26"/>
          <w:szCs w:val="28"/>
        </w:rPr>
      </w:pPr>
    </w:p>
    <w:p w14:paraId="01857D57" w14:textId="77777777" w:rsidR="00D31B3B" w:rsidRPr="00936457" w:rsidRDefault="00D31B3B" w:rsidP="00BA7ADE">
      <w:pPr>
        <w:rPr>
          <w:sz w:val="26"/>
          <w:szCs w:val="28"/>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3"/>
        <w:gridCol w:w="1073"/>
        <w:gridCol w:w="1073"/>
        <w:gridCol w:w="941"/>
        <w:gridCol w:w="940"/>
        <w:gridCol w:w="940"/>
        <w:gridCol w:w="940"/>
        <w:gridCol w:w="995"/>
      </w:tblGrid>
      <w:tr w:rsidR="00F52411" w:rsidRPr="002D7166" w14:paraId="4E35493E" w14:textId="77777777" w:rsidTr="008D1F0E">
        <w:trPr>
          <w:cantSplit/>
        </w:trPr>
        <w:tc>
          <w:tcPr>
            <w:tcW w:w="8365" w:type="dxa"/>
            <w:gridSpan w:val="8"/>
            <w:shd w:val="clear" w:color="auto" w:fill="auto"/>
            <w:vAlign w:val="center"/>
            <w:hideMark/>
          </w:tcPr>
          <w:p w14:paraId="7684581D" w14:textId="77777777" w:rsidR="00F52411" w:rsidRPr="00F52411" w:rsidRDefault="00F52411" w:rsidP="008D1F0E">
            <w:pPr>
              <w:jc w:val="center"/>
              <w:rPr>
                <w:b/>
                <w:bCs/>
                <w:sz w:val="26"/>
                <w:szCs w:val="26"/>
                <w:lang w:eastAsia="en-US"/>
              </w:rPr>
            </w:pPr>
            <w:r w:rsidRPr="00F52411">
              <w:rPr>
                <w:b/>
                <w:bCs/>
                <w:sz w:val="26"/>
                <w:szCs w:val="26"/>
                <w:lang w:eastAsia="en-US"/>
              </w:rPr>
              <w:lastRenderedPageBreak/>
              <w:t>III. Tiesību akta projekta ietekme uz valsts budžetu un pašvaldību budžetiem</w:t>
            </w:r>
          </w:p>
        </w:tc>
      </w:tr>
      <w:tr w:rsidR="00F52411" w:rsidRPr="002D7166" w14:paraId="07F5331F" w14:textId="77777777" w:rsidTr="0052534B">
        <w:trPr>
          <w:cantSplit/>
        </w:trPr>
        <w:tc>
          <w:tcPr>
            <w:tcW w:w="1997" w:type="dxa"/>
            <w:vMerge w:val="restart"/>
            <w:shd w:val="clear" w:color="auto" w:fill="FFFFFF"/>
            <w:vAlign w:val="center"/>
          </w:tcPr>
          <w:p w14:paraId="6D47C156" w14:textId="77777777" w:rsidR="00F52411" w:rsidRPr="00F52411" w:rsidRDefault="00F52411" w:rsidP="008D1F0E">
            <w:pPr>
              <w:jc w:val="center"/>
              <w:rPr>
                <w:bCs/>
                <w:sz w:val="26"/>
                <w:szCs w:val="26"/>
                <w:lang w:eastAsia="en-US"/>
              </w:rPr>
            </w:pPr>
            <w:r w:rsidRPr="00F52411">
              <w:rPr>
                <w:bCs/>
                <w:sz w:val="26"/>
                <w:szCs w:val="26"/>
                <w:lang w:eastAsia="en-US"/>
              </w:rPr>
              <w:t>Rādītāji</w:t>
            </w:r>
          </w:p>
        </w:tc>
        <w:tc>
          <w:tcPr>
            <w:tcW w:w="1981" w:type="dxa"/>
            <w:gridSpan w:val="2"/>
            <w:vMerge w:val="restart"/>
            <w:shd w:val="clear" w:color="auto" w:fill="auto"/>
            <w:vAlign w:val="center"/>
            <w:hideMark/>
          </w:tcPr>
          <w:p w14:paraId="74D0FD12" w14:textId="7E64DC2F" w:rsidR="00F52411" w:rsidRPr="0052534B" w:rsidRDefault="00557EAB" w:rsidP="008D1F0E">
            <w:pPr>
              <w:jc w:val="center"/>
              <w:rPr>
                <w:bCs/>
                <w:sz w:val="26"/>
                <w:szCs w:val="26"/>
                <w:lang w:eastAsia="en-US"/>
              </w:rPr>
            </w:pPr>
            <w:r w:rsidRPr="0052534B">
              <w:rPr>
                <w:bCs/>
                <w:sz w:val="26"/>
                <w:szCs w:val="26"/>
                <w:lang w:eastAsia="en-US"/>
              </w:rPr>
              <w:t>2019.</w:t>
            </w:r>
            <w:r w:rsidR="00F52411" w:rsidRPr="0052534B">
              <w:rPr>
                <w:bCs/>
                <w:sz w:val="26"/>
                <w:szCs w:val="26"/>
                <w:lang w:eastAsia="en-US"/>
              </w:rPr>
              <w:t>gads</w:t>
            </w:r>
          </w:p>
        </w:tc>
        <w:tc>
          <w:tcPr>
            <w:tcW w:w="4387" w:type="dxa"/>
            <w:gridSpan w:val="5"/>
            <w:shd w:val="clear" w:color="auto" w:fill="auto"/>
            <w:vAlign w:val="center"/>
            <w:hideMark/>
          </w:tcPr>
          <w:p w14:paraId="10898D0F" w14:textId="77777777" w:rsidR="00F52411" w:rsidRPr="0052534B" w:rsidRDefault="00F52411" w:rsidP="008D1F0E">
            <w:pPr>
              <w:jc w:val="center"/>
              <w:rPr>
                <w:sz w:val="26"/>
                <w:szCs w:val="26"/>
                <w:lang w:eastAsia="en-US"/>
              </w:rPr>
            </w:pPr>
            <w:r w:rsidRPr="0052534B">
              <w:rPr>
                <w:sz w:val="26"/>
                <w:szCs w:val="26"/>
                <w:lang w:eastAsia="en-US"/>
              </w:rPr>
              <w:t>Turpmākie trīs gadi (</w:t>
            </w:r>
            <w:r w:rsidRPr="0052534B">
              <w:rPr>
                <w:i/>
                <w:iCs/>
                <w:sz w:val="26"/>
                <w:szCs w:val="26"/>
                <w:lang w:eastAsia="en-US"/>
              </w:rPr>
              <w:t>euro</w:t>
            </w:r>
            <w:r w:rsidRPr="0052534B">
              <w:rPr>
                <w:sz w:val="26"/>
                <w:szCs w:val="26"/>
                <w:lang w:eastAsia="en-US"/>
              </w:rPr>
              <w:t>)</w:t>
            </w:r>
          </w:p>
        </w:tc>
      </w:tr>
      <w:tr w:rsidR="00F52411" w:rsidRPr="002D7166" w14:paraId="7C5DF15D" w14:textId="77777777" w:rsidTr="0052534B">
        <w:trPr>
          <w:cantSplit/>
        </w:trPr>
        <w:tc>
          <w:tcPr>
            <w:tcW w:w="1997" w:type="dxa"/>
            <w:vMerge/>
            <w:shd w:val="clear" w:color="auto" w:fill="auto"/>
            <w:vAlign w:val="center"/>
            <w:hideMark/>
          </w:tcPr>
          <w:p w14:paraId="64B6E85A" w14:textId="77777777" w:rsidR="00F52411" w:rsidRPr="00F52411" w:rsidRDefault="00F52411" w:rsidP="008D1F0E">
            <w:pPr>
              <w:jc w:val="center"/>
              <w:rPr>
                <w:bCs/>
                <w:sz w:val="26"/>
                <w:szCs w:val="26"/>
                <w:lang w:eastAsia="en-US"/>
              </w:rPr>
            </w:pPr>
          </w:p>
        </w:tc>
        <w:tc>
          <w:tcPr>
            <w:tcW w:w="1981" w:type="dxa"/>
            <w:gridSpan w:val="2"/>
            <w:vMerge/>
            <w:shd w:val="clear" w:color="auto" w:fill="auto"/>
            <w:vAlign w:val="center"/>
            <w:hideMark/>
          </w:tcPr>
          <w:p w14:paraId="57FCB875" w14:textId="77777777" w:rsidR="00F52411" w:rsidRPr="0052534B" w:rsidRDefault="00F52411" w:rsidP="008D1F0E">
            <w:pPr>
              <w:jc w:val="center"/>
              <w:rPr>
                <w:bCs/>
                <w:sz w:val="26"/>
                <w:szCs w:val="26"/>
                <w:lang w:eastAsia="en-US"/>
              </w:rPr>
            </w:pPr>
          </w:p>
        </w:tc>
        <w:tc>
          <w:tcPr>
            <w:tcW w:w="1735" w:type="dxa"/>
            <w:gridSpan w:val="2"/>
            <w:shd w:val="clear" w:color="auto" w:fill="auto"/>
            <w:vAlign w:val="center"/>
            <w:hideMark/>
          </w:tcPr>
          <w:p w14:paraId="153D52B3" w14:textId="4302CC17" w:rsidR="00F52411" w:rsidRPr="0052534B" w:rsidRDefault="00557EAB" w:rsidP="008D1F0E">
            <w:pPr>
              <w:jc w:val="center"/>
              <w:rPr>
                <w:bCs/>
                <w:sz w:val="26"/>
                <w:szCs w:val="26"/>
                <w:lang w:eastAsia="en-US"/>
              </w:rPr>
            </w:pPr>
            <w:r w:rsidRPr="0052534B">
              <w:rPr>
                <w:bCs/>
                <w:sz w:val="26"/>
                <w:szCs w:val="26"/>
                <w:lang w:eastAsia="en-US"/>
              </w:rPr>
              <w:t>2020.gads</w:t>
            </w:r>
          </w:p>
        </w:tc>
        <w:tc>
          <w:tcPr>
            <w:tcW w:w="1734" w:type="dxa"/>
            <w:gridSpan w:val="2"/>
            <w:shd w:val="clear" w:color="auto" w:fill="auto"/>
            <w:vAlign w:val="center"/>
            <w:hideMark/>
          </w:tcPr>
          <w:p w14:paraId="6C9A499B" w14:textId="3AC032BC" w:rsidR="00F52411" w:rsidRPr="0052534B" w:rsidRDefault="00557EAB" w:rsidP="008D1F0E">
            <w:pPr>
              <w:jc w:val="center"/>
              <w:rPr>
                <w:bCs/>
                <w:sz w:val="26"/>
                <w:szCs w:val="26"/>
                <w:lang w:eastAsia="en-US"/>
              </w:rPr>
            </w:pPr>
            <w:r w:rsidRPr="0052534B">
              <w:rPr>
                <w:bCs/>
                <w:sz w:val="26"/>
                <w:szCs w:val="26"/>
                <w:lang w:eastAsia="en-US"/>
              </w:rPr>
              <w:t>2021.gads</w:t>
            </w:r>
          </w:p>
        </w:tc>
        <w:tc>
          <w:tcPr>
            <w:tcW w:w="918" w:type="dxa"/>
            <w:shd w:val="clear" w:color="auto" w:fill="auto"/>
            <w:vAlign w:val="center"/>
            <w:hideMark/>
          </w:tcPr>
          <w:p w14:paraId="5F13136F" w14:textId="77777777" w:rsidR="00A379BB" w:rsidRPr="0052534B" w:rsidRDefault="00557EAB" w:rsidP="008D1F0E">
            <w:pPr>
              <w:jc w:val="center"/>
              <w:rPr>
                <w:bCs/>
                <w:sz w:val="26"/>
                <w:szCs w:val="26"/>
                <w:lang w:eastAsia="en-US"/>
              </w:rPr>
            </w:pPr>
            <w:r w:rsidRPr="0052534B">
              <w:rPr>
                <w:bCs/>
                <w:sz w:val="26"/>
                <w:szCs w:val="26"/>
                <w:lang w:eastAsia="en-US"/>
              </w:rPr>
              <w:t>2022.</w:t>
            </w:r>
          </w:p>
          <w:p w14:paraId="7606C26E" w14:textId="79DD71EC" w:rsidR="00F52411" w:rsidRPr="0052534B" w:rsidRDefault="00A379BB" w:rsidP="008D1F0E">
            <w:pPr>
              <w:jc w:val="center"/>
              <w:rPr>
                <w:bCs/>
                <w:sz w:val="26"/>
                <w:szCs w:val="26"/>
                <w:lang w:eastAsia="en-US"/>
              </w:rPr>
            </w:pPr>
            <w:r w:rsidRPr="0052534B">
              <w:rPr>
                <w:bCs/>
                <w:sz w:val="26"/>
                <w:szCs w:val="26"/>
                <w:lang w:eastAsia="en-US"/>
              </w:rPr>
              <w:t>gads</w:t>
            </w:r>
          </w:p>
        </w:tc>
      </w:tr>
      <w:tr w:rsidR="00F52411" w:rsidRPr="002D7166" w14:paraId="1A36555F" w14:textId="77777777" w:rsidTr="001E1276">
        <w:tc>
          <w:tcPr>
            <w:tcW w:w="1997" w:type="dxa"/>
            <w:vMerge/>
            <w:shd w:val="clear" w:color="auto" w:fill="auto"/>
            <w:vAlign w:val="center"/>
            <w:hideMark/>
          </w:tcPr>
          <w:p w14:paraId="3B018348" w14:textId="77777777" w:rsidR="00F52411" w:rsidRPr="00877A42" w:rsidRDefault="00F52411" w:rsidP="008D1F0E">
            <w:pPr>
              <w:jc w:val="center"/>
              <w:rPr>
                <w:b/>
                <w:bCs/>
                <w:sz w:val="28"/>
                <w:szCs w:val="19"/>
                <w:lang w:eastAsia="en-US"/>
              </w:rPr>
            </w:pPr>
          </w:p>
        </w:tc>
        <w:tc>
          <w:tcPr>
            <w:tcW w:w="991" w:type="dxa"/>
            <w:shd w:val="clear" w:color="auto" w:fill="auto"/>
            <w:vAlign w:val="center"/>
            <w:hideMark/>
          </w:tcPr>
          <w:p w14:paraId="44163CCB" w14:textId="77777777" w:rsidR="00F52411" w:rsidRPr="0052534B" w:rsidRDefault="00F52411" w:rsidP="008D1F0E">
            <w:pPr>
              <w:jc w:val="center"/>
              <w:rPr>
                <w:sz w:val="22"/>
                <w:szCs w:val="19"/>
                <w:lang w:eastAsia="en-US"/>
              </w:rPr>
            </w:pPr>
            <w:r w:rsidRPr="0052534B">
              <w:rPr>
                <w:sz w:val="22"/>
                <w:szCs w:val="19"/>
                <w:lang w:eastAsia="en-US"/>
              </w:rPr>
              <w:t>saskaņā ar valsts budžetu kārtējam gadam</w:t>
            </w:r>
          </w:p>
        </w:tc>
        <w:tc>
          <w:tcPr>
            <w:tcW w:w="990" w:type="dxa"/>
            <w:shd w:val="clear" w:color="auto" w:fill="auto"/>
            <w:vAlign w:val="center"/>
            <w:hideMark/>
          </w:tcPr>
          <w:p w14:paraId="24271735" w14:textId="77777777" w:rsidR="00F52411" w:rsidRPr="0052534B" w:rsidRDefault="00F52411" w:rsidP="008D1F0E">
            <w:pPr>
              <w:jc w:val="center"/>
              <w:rPr>
                <w:sz w:val="22"/>
                <w:szCs w:val="19"/>
                <w:lang w:eastAsia="en-US"/>
              </w:rPr>
            </w:pPr>
            <w:r w:rsidRPr="0052534B">
              <w:rPr>
                <w:sz w:val="22"/>
                <w:szCs w:val="19"/>
                <w:lang w:eastAsia="en-US"/>
              </w:rPr>
              <w:t>izmaiņas kārtējā gadā, salīdzinot ar valsts budžetu kārtējam gadam</w:t>
            </w:r>
          </w:p>
        </w:tc>
        <w:tc>
          <w:tcPr>
            <w:tcW w:w="868" w:type="dxa"/>
            <w:shd w:val="clear" w:color="auto" w:fill="auto"/>
            <w:vAlign w:val="center"/>
            <w:hideMark/>
          </w:tcPr>
          <w:p w14:paraId="0AB20F78" w14:textId="77777777" w:rsidR="00F52411" w:rsidRPr="0052534B" w:rsidRDefault="00F52411" w:rsidP="008D1F0E">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6C081F72" w14:textId="0E2ADA6D" w:rsidR="00F52411"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00557EAB" w:rsidRPr="0052534B">
              <w:rPr>
                <w:sz w:val="22"/>
                <w:szCs w:val="19"/>
                <w:lang w:eastAsia="en-US"/>
              </w:rPr>
              <w:t>2020.</w:t>
            </w:r>
            <w:r w:rsidRPr="0052534B">
              <w:rPr>
                <w:sz w:val="22"/>
                <w:szCs w:val="19"/>
                <w:lang w:eastAsia="en-US"/>
              </w:rPr>
              <w:t xml:space="preserve"> gadam</w:t>
            </w:r>
          </w:p>
        </w:tc>
        <w:tc>
          <w:tcPr>
            <w:tcW w:w="867" w:type="dxa"/>
            <w:shd w:val="clear" w:color="auto" w:fill="auto"/>
            <w:vAlign w:val="center"/>
            <w:hideMark/>
          </w:tcPr>
          <w:p w14:paraId="0EAB42BE" w14:textId="77777777" w:rsidR="00F52411" w:rsidRPr="0052534B" w:rsidRDefault="00F52411" w:rsidP="008D1F0E">
            <w:pPr>
              <w:jc w:val="center"/>
              <w:rPr>
                <w:sz w:val="22"/>
                <w:szCs w:val="19"/>
                <w:lang w:eastAsia="en-US"/>
              </w:rPr>
            </w:pPr>
            <w:r w:rsidRPr="0052534B">
              <w:rPr>
                <w:sz w:val="22"/>
                <w:szCs w:val="19"/>
                <w:lang w:eastAsia="en-US"/>
              </w:rPr>
              <w:t>saskaņā ar vidēja termiņa budžeta ietvaru</w:t>
            </w:r>
          </w:p>
        </w:tc>
        <w:tc>
          <w:tcPr>
            <w:tcW w:w="867" w:type="dxa"/>
            <w:shd w:val="clear" w:color="auto" w:fill="auto"/>
            <w:vAlign w:val="center"/>
            <w:hideMark/>
          </w:tcPr>
          <w:p w14:paraId="5B2C1CE8" w14:textId="2E32866F" w:rsidR="00F52411"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00557EAB" w:rsidRPr="0052534B">
              <w:rPr>
                <w:sz w:val="22"/>
                <w:szCs w:val="19"/>
                <w:lang w:eastAsia="en-US"/>
              </w:rPr>
              <w:t>2021.</w:t>
            </w:r>
            <w:r w:rsidRPr="0052534B">
              <w:rPr>
                <w:sz w:val="22"/>
                <w:szCs w:val="19"/>
                <w:lang w:eastAsia="en-US"/>
              </w:rPr>
              <w:t xml:space="preserve"> gadam</w:t>
            </w:r>
          </w:p>
        </w:tc>
        <w:tc>
          <w:tcPr>
            <w:tcW w:w="918" w:type="dxa"/>
            <w:shd w:val="clear" w:color="auto" w:fill="auto"/>
            <w:vAlign w:val="center"/>
            <w:hideMark/>
          </w:tcPr>
          <w:p w14:paraId="5D979B53" w14:textId="77777777" w:rsidR="00557EAB" w:rsidRPr="0052534B" w:rsidRDefault="00F52411" w:rsidP="00557EAB">
            <w:pPr>
              <w:jc w:val="center"/>
              <w:rPr>
                <w:sz w:val="22"/>
                <w:szCs w:val="19"/>
                <w:lang w:eastAsia="en-US"/>
              </w:rPr>
            </w:pPr>
            <w:r w:rsidRPr="0052534B">
              <w:rPr>
                <w:sz w:val="22"/>
                <w:szCs w:val="19"/>
                <w:lang w:eastAsia="en-US"/>
              </w:rPr>
              <w:t xml:space="preserve">izmaiņas, salīdzinot ar vidēja termiņa budžeta ietvaru </w:t>
            </w:r>
            <w:r w:rsidRPr="0052534B">
              <w:rPr>
                <w:sz w:val="22"/>
                <w:szCs w:val="19"/>
                <w:lang w:eastAsia="en-US"/>
              </w:rPr>
              <w:br/>
            </w:r>
            <w:r w:rsidR="00557EAB" w:rsidRPr="0052534B">
              <w:rPr>
                <w:sz w:val="22"/>
                <w:szCs w:val="19"/>
                <w:lang w:eastAsia="en-US"/>
              </w:rPr>
              <w:t>2021.</w:t>
            </w:r>
          </w:p>
          <w:p w14:paraId="465DDEBA" w14:textId="1C2EA13C" w:rsidR="00F52411" w:rsidRPr="0052534B" w:rsidRDefault="00F52411" w:rsidP="00557EAB">
            <w:pPr>
              <w:jc w:val="center"/>
              <w:rPr>
                <w:sz w:val="22"/>
                <w:szCs w:val="19"/>
                <w:lang w:eastAsia="en-US"/>
              </w:rPr>
            </w:pPr>
            <w:r w:rsidRPr="0052534B">
              <w:rPr>
                <w:sz w:val="22"/>
                <w:szCs w:val="19"/>
                <w:lang w:eastAsia="en-US"/>
              </w:rPr>
              <w:t>gadam</w:t>
            </w:r>
          </w:p>
        </w:tc>
      </w:tr>
      <w:tr w:rsidR="00F52411" w:rsidRPr="002D7166" w14:paraId="07873B3F" w14:textId="77777777" w:rsidTr="001E1276">
        <w:tc>
          <w:tcPr>
            <w:tcW w:w="1997" w:type="dxa"/>
            <w:shd w:val="clear" w:color="auto" w:fill="FFFFFF"/>
            <w:vAlign w:val="center"/>
            <w:hideMark/>
          </w:tcPr>
          <w:p w14:paraId="3175E226" w14:textId="77777777" w:rsidR="00F52411" w:rsidRPr="00F52411" w:rsidRDefault="00F52411" w:rsidP="008D1F0E">
            <w:pPr>
              <w:jc w:val="center"/>
              <w:rPr>
                <w:sz w:val="26"/>
                <w:szCs w:val="26"/>
                <w:lang w:eastAsia="en-US"/>
              </w:rPr>
            </w:pPr>
            <w:r w:rsidRPr="00F52411">
              <w:rPr>
                <w:sz w:val="26"/>
                <w:szCs w:val="26"/>
                <w:lang w:eastAsia="en-US"/>
              </w:rPr>
              <w:t>1</w:t>
            </w:r>
          </w:p>
        </w:tc>
        <w:tc>
          <w:tcPr>
            <w:tcW w:w="991" w:type="dxa"/>
            <w:shd w:val="clear" w:color="auto" w:fill="FFFFFF"/>
            <w:vAlign w:val="center"/>
            <w:hideMark/>
          </w:tcPr>
          <w:p w14:paraId="12718DF8" w14:textId="77777777" w:rsidR="00F52411" w:rsidRPr="00F52411" w:rsidRDefault="00F52411" w:rsidP="008D1F0E">
            <w:pPr>
              <w:jc w:val="center"/>
              <w:rPr>
                <w:sz w:val="26"/>
                <w:szCs w:val="26"/>
                <w:lang w:eastAsia="en-US"/>
              </w:rPr>
            </w:pPr>
            <w:r w:rsidRPr="00F52411">
              <w:rPr>
                <w:sz w:val="26"/>
                <w:szCs w:val="26"/>
                <w:lang w:eastAsia="en-US"/>
              </w:rPr>
              <w:t>2</w:t>
            </w:r>
          </w:p>
        </w:tc>
        <w:tc>
          <w:tcPr>
            <w:tcW w:w="990" w:type="dxa"/>
            <w:shd w:val="clear" w:color="auto" w:fill="FFFFFF"/>
            <w:vAlign w:val="center"/>
            <w:hideMark/>
          </w:tcPr>
          <w:p w14:paraId="2960257B" w14:textId="77777777" w:rsidR="00F52411" w:rsidRPr="00F52411" w:rsidRDefault="00F52411" w:rsidP="008D1F0E">
            <w:pPr>
              <w:jc w:val="center"/>
              <w:rPr>
                <w:sz w:val="26"/>
                <w:szCs w:val="26"/>
                <w:lang w:eastAsia="en-US"/>
              </w:rPr>
            </w:pPr>
            <w:r w:rsidRPr="00F52411">
              <w:rPr>
                <w:sz w:val="26"/>
                <w:szCs w:val="26"/>
                <w:lang w:eastAsia="en-US"/>
              </w:rPr>
              <w:t>3</w:t>
            </w:r>
          </w:p>
        </w:tc>
        <w:tc>
          <w:tcPr>
            <w:tcW w:w="868" w:type="dxa"/>
            <w:shd w:val="clear" w:color="auto" w:fill="FFFFFF"/>
            <w:vAlign w:val="center"/>
            <w:hideMark/>
          </w:tcPr>
          <w:p w14:paraId="688AB6F9" w14:textId="77777777" w:rsidR="00F52411" w:rsidRPr="00F52411" w:rsidRDefault="00F52411" w:rsidP="008D1F0E">
            <w:pPr>
              <w:jc w:val="center"/>
              <w:rPr>
                <w:sz w:val="26"/>
                <w:szCs w:val="26"/>
                <w:lang w:eastAsia="en-US"/>
              </w:rPr>
            </w:pPr>
            <w:r w:rsidRPr="00F52411">
              <w:rPr>
                <w:sz w:val="26"/>
                <w:szCs w:val="26"/>
                <w:lang w:eastAsia="en-US"/>
              </w:rPr>
              <w:t>4</w:t>
            </w:r>
          </w:p>
        </w:tc>
        <w:tc>
          <w:tcPr>
            <w:tcW w:w="867" w:type="dxa"/>
            <w:shd w:val="clear" w:color="auto" w:fill="FFFFFF"/>
            <w:vAlign w:val="center"/>
            <w:hideMark/>
          </w:tcPr>
          <w:p w14:paraId="2C9A5FC0" w14:textId="77777777" w:rsidR="00F52411" w:rsidRPr="00F52411" w:rsidRDefault="00F52411" w:rsidP="008D1F0E">
            <w:pPr>
              <w:jc w:val="center"/>
              <w:rPr>
                <w:sz w:val="26"/>
                <w:szCs w:val="26"/>
                <w:lang w:eastAsia="en-US"/>
              </w:rPr>
            </w:pPr>
            <w:r w:rsidRPr="00F52411">
              <w:rPr>
                <w:sz w:val="26"/>
                <w:szCs w:val="26"/>
                <w:lang w:eastAsia="en-US"/>
              </w:rPr>
              <w:t>5</w:t>
            </w:r>
          </w:p>
        </w:tc>
        <w:tc>
          <w:tcPr>
            <w:tcW w:w="867" w:type="dxa"/>
            <w:shd w:val="clear" w:color="auto" w:fill="FFFFFF"/>
            <w:vAlign w:val="center"/>
            <w:hideMark/>
          </w:tcPr>
          <w:p w14:paraId="395814CE" w14:textId="77777777" w:rsidR="00F52411" w:rsidRPr="00F52411" w:rsidRDefault="00F52411" w:rsidP="008D1F0E">
            <w:pPr>
              <w:jc w:val="center"/>
              <w:rPr>
                <w:sz w:val="26"/>
                <w:szCs w:val="26"/>
                <w:lang w:eastAsia="en-US"/>
              </w:rPr>
            </w:pPr>
            <w:r w:rsidRPr="00F52411">
              <w:rPr>
                <w:sz w:val="26"/>
                <w:szCs w:val="26"/>
                <w:lang w:eastAsia="en-US"/>
              </w:rPr>
              <w:t>6</w:t>
            </w:r>
          </w:p>
        </w:tc>
        <w:tc>
          <w:tcPr>
            <w:tcW w:w="867" w:type="dxa"/>
            <w:shd w:val="clear" w:color="auto" w:fill="FFFFFF"/>
            <w:vAlign w:val="center"/>
            <w:hideMark/>
          </w:tcPr>
          <w:p w14:paraId="0322E454" w14:textId="77777777" w:rsidR="00F52411" w:rsidRPr="00F52411" w:rsidRDefault="00F52411" w:rsidP="008D1F0E">
            <w:pPr>
              <w:jc w:val="center"/>
              <w:rPr>
                <w:sz w:val="26"/>
                <w:szCs w:val="26"/>
                <w:lang w:eastAsia="en-US"/>
              </w:rPr>
            </w:pPr>
            <w:r w:rsidRPr="00F52411">
              <w:rPr>
                <w:sz w:val="26"/>
                <w:szCs w:val="26"/>
                <w:lang w:eastAsia="en-US"/>
              </w:rPr>
              <w:t>7</w:t>
            </w:r>
          </w:p>
        </w:tc>
        <w:tc>
          <w:tcPr>
            <w:tcW w:w="918" w:type="dxa"/>
            <w:shd w:val="clear" w:color="auto" w:fill="FFFFFF"/>
            <w:vAlign w:val="center"/>
            <w:hideMark/>
          </w:tcPr>
          <w:p w14:paraId="6C9E148C" w14:textId="77777777" w:rsidR="00F52411" w:rsidRPr="00F52411" w:rsidRDefault="00F52411" w:rsidP="008D1F0E">
            <w:pPr>
              <w:jc w:val="center"/>
              <w:rPr>
                <w:sz w:val="26"/>
                <w:szCs w:val="26"/>
                <w:lang w:eastAsia="en-US"/>
              </w:rPr>
            </w:pPr>
            <w:r w:rsidRPr="00F52411">
              <w:rPr>
                <w:sz w:val="26"/>
                <w:szCs w:val="26"/>
                <w:lang w:eastAsia="en-US"/>
              </w:rPr>
              <w:t>8</w:t>
            </w:r>
          </w:p>
        </w:tc>
      </w:tr>
      <w:tr w:rsidR="00F52411" w:rsidRPr="002D7166" w14:paraId="5B65146E" w14:textId="77777777" w:rsidTr="001E1276">
        <w:tc>
          <w:tcPr>
            <w:tcW w:w="1997" w:type="dxa"/>
            <w:shd w:val="clear" w:color="auto" w:fill="FFFFFF"/>
            <w:hideMark/>
          </w:tcPr>
          <w:p w14:paraId="69F89828" w14:textId="77777777" w:rsidR="00F52411" w:rsidRPr="00F52411" w:rsidRDefault="00F52411" w:rsidP="008D1F0E">
            <w:pPr>
              <w:rPr>
                <w:sz w:val="26"/>
                <w:szCs w:val="26"/>
                <w:lang w:eastAsia="en-US"/>
              </w:rPr>
            </w:pPr>
            <w:r w:rsidRPr="00F52411">
              <w:rPr>
                <w:sz w:val="26"/>
                <w:szCs w:val="26"/>
                <w:lang w:eastAsia="en-US"/>
              </w:rPr>
              <w:t>1. Budžeta ieņēmumi</w:t>
            </w:r>
          </w:p>
        </w:tc>
        <w:tc>
          <w:tcPr>
            <w:tcW w:w="991" w:type="dxa"/>
            <w:shd w:val="clear" w:color="auto" w:fill="FFFFFF"/>
            <w:vAlign w:val="center"/>
            <w:hideMark/>
          </w:tcPr>
          <w:p w14:paraId="00F2202F" w14:textId="050154C9"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FFFFFF"/>
            <w:vAlign w:val="center"/>
            <w:hideMark/>
          </w:tcPr>
          <w:p w14:paraId="63C962E5" w14:textId="1F1E4CE8"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FFFFFF"/>
            <w:vAlign w:val="center"/>
            <w:hideMark/>
          </w:tcPr>
          <w:p w14:paraId="3FE3D165" w14:textId="1701CE0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21E4EBB5" w14:textId="3B4A53AA"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66333453" w14:textId="2D78682A"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FFFFFF"/>
            <w:vAlign w:val="center"/>
            <w:hideMark/>
          </w:tcPr>
          <w:p w14:paraId="556B4F7C" w14:textId="7F40F111"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FFFFFF"/>
            <w:vAlign w:val="center"/>
            <w:hideMark/>
          </w:tcPr>
          <w:p w14:paraId="10D52124" w14:textId="796D02E5" w:rsidR="00F52411" w:rsidRPr="00F52411" w:rsidRDefault="008309CF" w:rsidP="008D1F0E">
            <w:pPr>
              <w:jc w:val="center"/>
              <w:rPr>
                <w:sz w:val="26"/>
                <w:szCs w:val="26"/>
                <w:lang w:eastAsia="en-US"/>
              </w:rPr>
            </w:pPr>
            <w:r>
              <w:rPr>
                <w:sz w:val="26"/>
                <w:szCs w:val="26"/>
                <w:lang w:eastAsia="en-US"/>
              </w:rPr>
              <w:t>0</w:t>
            </w:r>
          </w:p>
        </w:tc>
      </w:tr>
      <w:tr w:rsidR="00F52411" w:rsidRPr="002D7166" w14:paraId="6EFF2FE1" w14:textId="77777777" w:rsidTr="001E1276">
        <w:tc>
          <w:tcPr>
            <w:tcW w:w="1997" w:type="dxa"/>
            <w:shd w:val="clear" w:color="auto" w:fill="auto"/>
            <w:hideMark/>
          </w:tcPr>
          <w:p w14:paraId="4FCD9C32" w14:textId="77777777" w:rsidR="00F52411" w:rsidRPr="00F52411" w:rsidRDefault="00F52411" w:rsidP="008D1F0E">
            <w:pPr>
              <w:rPr>
                <w:sz w:val="26"/>
                <w:szCs w:val="26"/>
                <w:lang w:eastAsia="en-US"/>
              </w:rPr>
            </w:pPr>
            <w:r w:rsidRPr="00F52411">
              <w:rPr>
                <w:sz w:val="26"/>
                <w:szCs w:val="26"/>
                <w:lang w:eastAsia="en-US"/>
              </w:rPr>
              <w:t>1.1. valsts pamatbudžets, tai skaitā ieņēmumi no maksas pakalpojumiem un citi pašu ieņēmumi</w:t>
            </w:r>
          </w:p>
        </w:tc>
        <w:tc>
          <w:tcPr>
            <w:tcW w:w="991" w:type="dxa"/>
            <w:shd w:val="clear" w:color="auto" w:fill="auto"/>
            <w:vAlign w:val="center"/>
            <w:hideMark/>
          </w:tcPr>
          <w:p w14:paraId="1DEE1B02" w14:textId="5CD9D3F7"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528EE455" w14:textId="464B9682"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4EDA6B18" w14:textId="6E080F9B" w:rsidR="008309CF" w:rsidRDefault="008309CF" w:rsidP="008D1F0E">
            <w:pPr>
              <w:jc w:val="center"/>
              <w:rPr>
                <w:sz w:val="26"/>
                <w:szCs w:val="26"/>
                <w:lang w:eastAsia="en-US"/>
              </w:rPr>
            </w:pPr>
            <w:r>
              <w:rPr>
                <w:sz w:val="26"/>
                <w:szCs w:val="26"/>
                <w:lang w:eastAsia="en-US"/>
              </w:rPr>
              <w:t>0</w:t>
            </w:r>
          </w:p>
          <w:p w14:paraId="368A2DB3" w14:textId="77777777" w:rsidR="00F52411" w:rsidRPr="008309CF" w:rsidRDefault="00F52411" w:rsidP="008309CF">
            <w:pPr>
              <w:rPr>
                <w:sz w:val="26"/>
                <w:szCs w:val="26"/>
                <w:lang w:eastAsia="en-US"/>
              </w:rPr>
            </w:pPr>
          </w:p>
        </w:tc>
        <w:tc>
          <w:tcPr>
            <w:tcW w:w="867" w:type="dxa"/>
            <w:shd w:val="clear" w:color="auto" w:fill="auto"/>
            <w:vAlign w:val="center"/>
            <w:hideMark/>
          </w:tcPr>
          <w:p w14:paraId="2C4B45DF" w14:textId="275E045D"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EC440CB" w14:textId="78F0CF6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9F6A236" w14:textId="5217DFC8"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75B9ABC2" w14:textId="661516C8" w:rsidR="00F52411" w:rsidRPr="00F52411" w:rsidRDefault="008309CF" w:rsidP="008D1F0E">
            <w:pPr>
              <w:jc w:val="center"/>
              <w:rPr>
                <w:sz w:val="26"/>
                <w:szCs w:val="26"/>
                <w:lang w:eastAsia="en-US"/>
              </w:rPr>
            </w:pPr>
            <w:r>
              <w:rPr>
                <w:sz w:val="26"/>
                <w:szCs w:val="26"/>
                <w:lang w:eastAsia="en-US"/>
              </w:rPr>
              <w:t>0</w:t>
            </w:r>
          </w:p>
        </w:tc>
      </w:tr>
      <w:tr w:rsidR="00F52411" w:rsidRPr="002D7166" w14:paraId="10044DF3" w14:textId="77777777" w:rsidTr="001E1276">
        <w:tc>
          <w:tcPr>
            <w:tcW w:w="1997" w:type="dxa"/>
            <w:shd w:val="clear" w:color="auto" w:fill="auto"/>
            <w:hideMark/>
          </w:tcPr>
          <w:p w14:paraId="4EDCB510" w14:textId="77777777" w:rsidR="00F52411" w:rsidRPr="00F52411" w:rsidRDefault="00F52411" w:rsidP="008D1F0E">
            <w:pPr>
              <w:rPr>
                <w:sz w:val="26"/>
                <w:szCs w:val="26"/>
                <w:lang w:eastAsia="en-US"/>
              </w:rPr>
            </w:pPr>
            <w:r w:rsidRPr="00F52411">
              <w:rPr>
                <w:sz w:val="26"/>
                <w:szCs w:val="26"/>
                <w:lang w:eastAsia="en-US"/>
              </w:rPr>
              <w:t>1.2. valsts speciālais budžets</w:t>
            </w:r>
          </w:p>
        </w:tc>
        <w:tc>
          <w:tcPr>
            <w:tcW w:w="991" w:type="dxa"/>
            <w:shd w:val="clear" w:color="auto" w:fill="auto"/>
            <w:vAlign w:val="center"/>
            <w:hideMark/>
          </w:tcPr>
          <w:p w14:paraId="041AF711" w14:textId="2BA5834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1984E8E5" w14:textId="643F8F01" w:rsidR="008309CF" w:rsidRDefault="008309CF" w:rsidP="008D1F0E">
            <w:pPr>
              <w:jc w:val="center"/>
              <w:rPr>
                <w:sz w:val="26"/>
                <w:szCs w:val="26"/>
                <w:lang w:eastAsia="en-US"/>
              </w:rPr>
            </w:pPr>
            <w:r>
              <w:rPr>
                <w:sz w:val="26"/>
                <w:szCs w:val="26"/>
                <w:lang w:eastAsia="en-US"/>
              </w:rPr>
              <w:t>0</w:t>
            </w:r>
          </w:p>
          <w:p w14:paraId="3DEA655E" w14:textId="77777777" w:rsidR="00F52411" w:rsidRPr="008309CF" w:rsidRDefault="00F52411" w:rsidP="008309CF">
            <w:pPr>
              <w:rPr>
                <w:sz w:val="26"/>
                <w:szCs w:val="26"/>
                <w:lang w:eastAsia="en-US"/>
              </w:rPr>
            </w:pPr>
          </w:p>
        </w:tc>
        <w:tc>
          <w:tcPr>
            <w:tcW w:w="868" w:type="dxa"/>
            <w:shd w:val="clear" w:color="auto" w:fill="auto"/>
            <w:vAlign w:val="center"/>
            <w:hideMark/>
          </w:tcPr>
          <w:p w14:paraId="1AE768FE" w14:textId="762CD7F3" w:rsidR="008309CF" w:rsidRDefault="008309CF" w:rsidP="008D1F0E">
            <w:pPr>
              <w:jc w:val="center"/>
              <w:rPr>
                <w:sz w:val="26"/>
                <w:szCs w:val="26"/>
                <w:lang w:eastAsia="en-US"/>
              </w:rPr>
            </w:pPr>
            <w:r>
              <w:rPr>
                <w:sz w:val="26"/>
                <w:szCs w:val="26"/>
                <w:lang w:eastAsia="en-US"/>
              </w:rPr>
              <w:t>0</w:t>
            </w:r>
          </w:p>
          <w:p w14:paraId="316476C3" w14:textId="77777777" w:rsidR="00F52411" w:rsidRPr="008309CF" w:rsidRDefault="00F52411" w:rsidP="008309CF">
            <w:pPr>
              <w:rPr>
                <w:sz w:val="26"/>
                <w:szCs w:val="26"/>
                <w:lang w:eastAsia="en-US"/>
              </w:rPr>
            </w:pPr>
          </w:p>
        </w:tc>
        <w:tc>
          <w:tcPr>
            <w:tcW w:w="867" w:type="dxa"/>
            <w:shd w:val="clear" w:color="auto" w:fill="auto"/>
            <w:vAlign w:val="center"/>
            <w:hideMark/>
          </w:tcPr>
          <w:p w14:paraId="3AB39CE9" w14:textId="36284EF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9758CF" w14:textId="021EB893" w:rsidR="008309CF" w:rsidRDefault="008309CF" w:rsidP="008D1F0E">
            <w:pPr>
              <w:jc w:val="center"/>
              <w:rPr>
                <w:sz w:val="26"/>
                <w:szCs w:val="26"/>
                <w:lang w:eastAsia="en-US"/>
              </w:rPr>
            </w:pPr>
            <w:r>
              <w:rPr>
                <w:sz w:val="26"/>
                <w:szCs w:val="26"/>
                <w:lang w:eastAsia="en-US"/>
              </w:rPr>
              <w:t>0</w:t>
            </w:r>
          </w:p>
          <w:p w14:paraId="5CB0B50E" w14:textId="77777777" w:rsidR="00F52411" w:rsidRPr="008309CF" w:rsidRDefault="00F52411" w:rsidP="008309CF">
            <w:pPr>
              <w:rPr>
                <w:sz w:val="26"/>
                <w:szCs w:val="26"/>
                <w:lang w:eastAsia="en-US"/>
              </w:rPr>
            </w:pPr>
          </w:p>
        </w:tc>
        <w:tc>
          <w:tcPr>
            <w:tcW w:w="867" w:type="dxa"/>
            <w:shd w:val="clear" w:color="auto" w:fill="auto"/>
            <w:vAlign w:val="center"/>
            <w:hideMark/>
          </w:tcPr>
          <w:p w14:paraId="2436BF96" w14:textId="122A6ACF" w:rsidR="008309CF" w:rsidRDefault="008309CF" w:rsidP="008D1F0E">
            <w:pPr>
              <w:jc w:val="center"/>
              <w:rPr>
                <w:sz w:val="26"/>
                <w:szCs w:val="26"/>
                <w:lang w:eastAsia="en-US"/>
              </w:rPr>
            </w:pPr>
            <w:r>
              <w:rPr>
                <w:sz w:val="26"/>
                <w:szCs w:val="26"/>
                <w:lang w:eastAsia="en-US"/>
              </w:rPr>
              <w:t>0</w:t>
            </w:r>
          </w:p>
          <w:p w14:paraId="3EA6702E" w14:textId="77777777" w:rsidR="00F52411" w:rsidRPr="008309CF" w:rsidRDefault="00F52411" w:rsidP="008309CF">
            <w:pPr>
              <w:rPr>
                <w:sz w:val="26"/>
                <w:szCs w:val="26"/>
                <w:lang w:eastAsia="en-US"/>
              </w:rPr>
            </w:pPr>
          </w:p>
        </w:tc>
        <w:tc>
          <w:tcPr>
            <w:tcW w:w="918" w:type="dxa"/>
            <w:shd w:val="clear" w:color="auto" w:fill="auto"/>
            <w:vAlign w:val="center"/>
            <w:hideMark/>
          </w:tcPr>
          <w:p w14:paraId="6360B4C8" w14:textId="00502F5D" w:rsidR="00F52411" w:rsidRPr="00F52411" w:rsidRDefault="008309CF" w:rsidP="008D1F0E">
            <w:pPr>
              <w:jc w:val="center"/>
              <w:rPr>
                <w:sz w:val="26"/>
                <w:szCs w:val="26"/>
                <w:lang w:eastAsia="en-US"/>
              </w:rPr>
            </w:pPr>
            <w:r>
              <w:rPr>
                <w:sz w:val="26"/>
                <w:szCs w:val="26"/>
                <w:lang w:eastAsia="en-US"/>
              </w:rPr>
              <w:t>0</w:t>
            </w:r>
          </w:p>
        </w:tc>
      </w:tr>
      <w:tr w:rsidR="00F52411" w:rsidRPr="002D7166" w14:paraId="1E609C66" w14:textId="77777777" w:rsidTr="001E1276">
        <w:tc>
          <w:tcPr>
            <w:tcW w:w="1997" w:type="dxa"/>
            <w:shd w:val="clear" w:color="auto" w:fill="auto"/>
            <w:hideMark/>
          </w:tcPr>
          <w:p w14:paraId="102F2F55" w14:textId="77777777" w:rsidR="00F52411" w:rsidRPr="00F52411" w:rsidRDefault="00F52411" w:rsidP="008D1F0E">
            <w:pPr>
              <w:rPr>
                <w:sz w:val="26"/>
                <w:szCs w:val="26"/>
                <w:lang w:eastAsia="en-US"/>
              </w:rPr>
            </w:pPr>
            <w:r w:rsidRPr="00F52411">
              <w:rPr>
                <w:sz w:val="26"/>
                <w:szCs w:val="26"/>
                <w:lang w:eastAsia="en-US"/>
              </w:rPr>
              <w:t>1.3. pašvaldību budžets</w:t>
            </w:r>
          </w:p>
        </w:tc>
        <w:tc>
          <w:tcPr>
            <w:tcW w:w="991" w:type="dxa"/>
            <w:shd w:val="clear" w:color="auto" w:fill="auto"/>
            <w:vAlign w:val="center"/>
            <w:hideMark/>
          </w:tcPr>
          <w:p w14:paraId="7D37915D" w14:textId="75A177E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57D0938C" w14:textId="1FAE1D29" w:rsidR="008309CF" w:rsidRDefault="008309CF" w:rsidP="008D1F0E">
            <w:pPr>
              <w:jc w:val="center"/>
              <w:rPr>
                <w:sz w:val="26"/>
                <w:szCs w:val="26"/>
                <w:lang w:eastAsia="en-US"/>
              </w:rPr>
            </w:pPr>
            <w:r>
              <w:rPr>
                <w:sz w:val="26"/>
                <w:szCs w:val="26"/>
                <w:lang w:eastAsia="en-US"/>
              </w:rPr>
              <w:t>0</w:t>
            </w:r>
          </w:p>
          <w:p w14:paraId="63CF3842" w14:textId="77777777" w:rsidR="00F52411" w:rsidRPr="008309CF" w:rsidRDefault="00F52411" w:rsidP="008309CF">
            <w:pPr>
              <w:rPr>
                <w:sz w:val="26"/>
                <w:szCs w:val="26"/>
                <w:lang w:eastAsia="en-US"/>
              </w:rPr>
            </w:pPr>
          </w:p>
        </w:tc>
        <w:tc>
          <w:tcPr>
            <w:tcW w:w="868" w:type="dxa"/>
            <w:shd w:val="clear" w:color="auto" w:fill="auto"/>
            <w:vAlign w:val="center"/>
            <w:hideMark/>
          </w:tcPr>
          <w:p w14:paraId="77B937F3" w14:textId="61D0272B"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A45A2B" w14:textId="26D8AF7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723E4E3" w14:textId="0C2948C0"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71093F5" w14:textId="6CAEE237"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32090063" w14:textId="1F35C40D" w:rsidR="00F52411" w:rsidRPr="00F52411" w:rsidRDefault="008309CF" w:rsidP="008D1F0E">
            <w:pPr>
              <w:jc w:val="center"/>
              <w:rPr>
                <w:sz w:val="26"/>
                <w:szCs w:val="26"/>
                <w:lang w:eastAsia="en-US"/>
              </w:rPr>
            </w:pPr>
            <w:r>
              <w:rPr>
                <w:sz w:val="26"/>
                <w:szCs w:val="26"/>
                <w:lang w:eastAsia="en-US"/>
              </w:rPr>
              <w:t>0</w:t>
            </w:r>
          </w:p>
        </w:tc>
      </w:tr>
      <w:tr w:rsidR="00F52411" w:rsidRPr="002D7166" w14:paraId="60DA1D70" w14:textId="77777777" w:rsidTr="001E1276">
        <w:tc>
          <w:tcPr>
            <w:tcW w:w="1997" w:type="dxa"/>
            <w:shd w:val="clear" w:color="auto" w:fill="auto"/>
            <w:hideMark/>
          </w:tcPr>
          <w:p w14:paraId="7B5CC500" w14:textId="77777777" w:rsidR="00F52411" w:rsidRPr="00F52411" w:rsidRDefault="00F52411" w:rsidP="008D1F0E">
            <w:pPr>
              <w:rPr>
                <w:sz w:val="26"/>
                <w:szCs w:val="26"/>
                <w:lang w:eastAsia="en-US"/>
              </w:rPr>
            </w:pPr>
            <w:r w:rsidRPr="00F52411">
              <w:rPr>
                <w:sz w:val="26"/>
                <w:szCs w:val="26"/>
                <w:lang w:eastAsia="en-US"/>
              </w:rPr>
              <w:t>2. Budžeta izdevumi</w:t>
            </w:r>
          </w:p>
        </w:tc>
        <w:tc>
          <w:tcPr>
            <w:tcW w:w="991" w:type="dxa"/>
            <w:shd w:val="clear" w:color="auto" w:fill="auto"/>
            <w:vAlign w:val="center"/>
            <w:hideMark/>
          </w:tcPr>
          <w:p w14:paraId="30FE89EF" w14:textId="4C70875C" w:rsidR="008309CF" w:rsidRDefault="008309CF" w:rsidP="008D1F0E">
            <w:pPr>
              <w:jc w:val="center"/>
              <w:rPr>
                <w:sz w:val="26"/>
                <w:szCs w:val="26"/>
                <w:lang w:eastAsia="en-US"/>
              </w:rPr>
            </w:pPr>
            <w:r>
              <w:rPr>
                <w:sz w:val="26"/>
                <w:szCs w:val="26"/>
                <w:lang w:eastAsia="en-US"/>
              </w:rPr>
              <w:t>0</w:t>
            </w:r>
          </w:p>
          <w:p w14:paraId="0018A4A2" w14:textId="77777777" w:rsidR="00F52411" w:rsidRPr="008309CF" w:rsidRDefault="00F52411" w:rsidP="008309CF">
            <w:pPr>
              <w:rPr>
                <w:sz w:val="26"/>
                <w:szCs w:val="26"/>
                <w:lang w:eastAsia="en-US"/>
              </w:rPr>
            </w:pPr>
          </w:p>
        </w:tc>
        <w:tc>
          <w:tcPr>
            <w:tcW w:w="990" w:type="dxa"/>
            <w:shd w:val="clear" w:color="auto" w:fill="auto"/>
            <w:vAlign w:val="center"/>
            <w:hideMark/>
          </w:tcPr>
          <w:p w14:paraId="2FFE7642" w14:textId="521FA8D8" w:rsidR="008309CF" w:rsidRDefault="008309CF" w:rsidP="008D1F0E">
            <w:pPr>
              <w:jc w:val="center"/>
              <w:rPr>
                <w:sz w:val="26"/>
                <w:szCs w:val="26"/>
                <w:lang w:eastAsia="en-US"/>
              </w:rPr>
            </w:pPr>
            <w:r>
              <w:rPr>
                <w:sz w:val="26"/>
                <w:szCs w:val="26"/>
                <w:lang w:eastAsia="en-US"/>
              </w:rPr>
              <w:t>0</w:t>
            </w:r>
          </w:p>
          <w:p w14:paraId="385FE6A2" w14:textId="77777777" w:rsidR="00F52411" w:rsidRPr="008309CF" w:rsidRDefault="00F52411" w:rsidP="008309CF">
            <w:pPr>
              <w:rPr>
                <w:sz w:val="26"/>
                <w:szCs w:val="26"/>
                <w:lang w:eastAsia="en-US"/>
              </w:rPr>
            </w:pPr>
          </w:p>
        </w:tc>
        <w:tc>
          <w:tcPr>
            <w:tcW w:w="868" w:type="dxa"/>
            <w:shd w:val="clear" w:color="auto" w:fill="auto"/>
            <w:vAlign w:val="center"/>
            <w:hideMark/>
          </w:tcPr>
          <w:p w14:paraId="500B930C" w14:textId="239D5810"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671521BA" w14:textId="2D19856C" w:rsidR="008309CF" w:rsidRDefault="008309CF" w:rsidP="008D1F0E">
            <w:pPr>
              <w:jc w:val="center"/>
              <w:rPr>
                <w:sz w:val="26"/>
                <w:szCs w:val="26"/>
                <w:lang w:eastAsia="en-US"/>
              </w:rPr>
            </w:pPr>
            <w:r>
              <w:rPr>
                <w:sz w:val="26"/>
                <w:szCs w:val="26"/>
                <w:lang w:eastAsia="en-US"/>
              </w:rPr>
              <w:t>0</w:t>
            </w:r>
          </w:p>
          <w:p w14:paraId="77E87D3D" w14:textId="77777777" w:rsidR="00F52411" w:rsidRPr="008309CF" w:rsidRDefault="00F52411" w:rsidP="008309CF">
            <w:pPr>
              <w:rPr>
                <w:sz w:val="26"/>
                <w:szCs w:val="26"/>
                <w:lang w:eastAsia="en-US"/>
              </w:rPr>
            </w:pPr>
          </w:p>
        </w:tc>
        <w:tc>
          <w:tcPr>
            <w:tcW w:w="867" w:type="dxa"/>
            <w:shd w:val="clear" w:color="auto" w:fill="auto"/>
            <w:vAlign w:val="center"/>
            <w:hideMark/>
          </w:tcPr>
          <w:p w14:paraId="30BBCBC4" w14:textId="4720483E"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F84E6F6" w14:textId="10E445B7" w:rsidR="008309CF" w:rsidRDefault="008309CF" w:rsidP="008D1F0E">
            <w:pPr>
              <w:jc w:val="center"/>
              <w:rPr>
                <w:sz w:val="26"/>
                <w:szCs w:val="26"/>
                <w:lang w:eastAsia="en-US"/>
              </w:rPr>
            </w:pPr>
            <w:r>
              <w:rPr>
                <w:sz w:val="26"/>
                <w:szCs w:val="26"/>
                <w:lang w:eastAsia="en-US"/>
              </w:rPr>
              <w:t>0</w:t>
            </w:r>
          </w:p>
          <w:p w14:paraId="1E71DAD1" w14:textId="77777777" w:rsidR="00F52411" w:rsidRPr="008309CF" w:rsidRDefault="00F52411" w:rsidP="008309CF">
            <w:pPr>
              <w:rPr>
                <w:sz w:val="26"/>
                <w:szCs w:val="26"/>
                <w:lang w:eastAsia="en-US"/>
              </w:rPr>
            </w:pPr>
          </w:p>
        </w:tc>
        <w:tc>
          <w:tcPr>
            <w:tcW w:w="918" w:type="dxa"/>
            <w:shd w:val="clear" w:color="auto" w:fill="auto"/>
            <w:vAlign w:val="center"/>
            <w:hideMark/>
          </w:tcPr>
          <w:p w14:paraId="189D2D28" w14:textId="69BF9F57" w:rsidR="008309CF" w:rsidRDefault="008309CF" w:rsidP="008D1F0E">
            <w:pPr>
              <w:jc w:val="center"/>
              <w:rPr>
                <w:sz w:val="26"/>
                <w:szCs w:val="26"/>
                <w:lang w:eastAsia="en-US"/>
              </w:rPr>
            </w:pPr>
            <w:r>
              <w:rPr>
                <w:sz w:val="26"/>
                <w:szCs w:val="26"/>
                <w:lang w:eastAsia="en-US"/>
              </w:rPr>
              <w:t>0</w:t>
            </w:r>
          </w:p>
          <w:p w14:paraId="354D18DD" w14:textId="77777777" w:rsidR="00F52411" w:rsidRPr="008309CF" w:rsidRDefault="00F52411" w:rsidP="008309CF">
            <w:pPr>
              <w:rPr>
                <w:sz w:val="26"/>
                <w:szCs w:val="26"/>
                <w:lang w:eastAsia="en-US"/>
              </w:rPr>
            </w:pPr>
          </w:p>
        </w:tc>
      </w:tr>
      <w:tr w:rsidR="00F52411" w:rsidRPr="002D7166" w14:paraId="10EB619B" w14:textId="77777777" w:rsidTr="001E1276">
        <w:tc>
          <w:tcPr>
            <w:tcW w:w="1997" w:type="dxa"/>
            <w:shd w:val="clear" w:color="auto" w:fill="auto"/>
            <w:hideMark/>
          </w:tcPr>
          <w:p w14:paraId="2AA83D96" w14:textId="77777777" w:rsidR="00F52411" w:rsidRPr="00F52411" w:rsidRDefault="00F52411" w:rsidP="008D1F0E">
            <w:pPr>
              <w:rPr>
                <w:sz w:val="26"/>
                <w:szCs w:val="26"/>
                <w:lang w:eastAsia="en-US"/>
              </w:rPr>
            </w:pPr>
            <w:r w:rsidRPr="00F52411">
              <w:rPr>
                <w:sz w:val="26"/>
                <w:szCs w:val="26"/>
                <w:lang w:eastAsia="en-US"/>
              </w:rPr>
              <w:t>2.1. valsts pamatbudžets</w:t>
            </w:r>
          </w:p>
        </w:tc>
        <w:tc>
          <w:tcPr>
            <w:tcW w:w="991" w:type="dxa"/>
            <w:shd w:val="clear" w:color="auto" w:fill="auto"/>
            <w:vAlign w:val="center"/>
            <w:hideMark/>
          </w:tcPr>
          <w:p w14:paraId="134F6C8D" w14:textId="5476241C"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69041484" w14:textId="6495C831"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5C940E1A" w14:textId="287FC2B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36EDE8D7" w14:textId="7EB2B2B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600A6170" w14:textId="73B8416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0948DDA8" w14:textId="5CF6661D"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B6C32F3" w14:textId="701E7EE1" w:rsidR="008309CF" w:rsidRDefault="008309CF" w:rsidP="008D1F0E">
            <w:pPr>
              <w:jc w:val="center"/>
              <w:rPr>
                <w:sz w:val="26"/>
                <w:szCs w:val="26"/>
                <w:lang w:eastAsia="en-US"/>
              </w:rPr>
            </w:pPr>
            <w:r>
              <w:rPr>
                <w:sz w:val="26"/>
                <w:szCs w:val="26"/>
                <w:lang w:eastAsia="en-US"/>
              </w:rPr>
              <w:t>0</w:t>
            </w:r>
          </w:p>
          <w:p w14:paraId="6CA0CE7D" w14:textId="77777777" w:rsidR="00F52411" w:rsidRPr="008309CF" w:rsidRDefault="00F52411" w:rsidP="008309CF">
            <w:pPr>
              <w:rPr>
                <w:sz w:val="26"/>
                <w:szCs w:val="26"/>
                <w:lang w:eastAsia="en-US"/>
              </w:rPr>
            </w:pPr>
          </w:p>
        </w:tc>
      </w:tr>
      <w:tr w:rsidR="00F52411" w:rsidRPr="002D7166" w14:paraId="592E95E0" w14:textId="77777777" w:rsidTr="001E1276">
        <w:tc>
          <w:tcPr>
            <w:tcW w:w="1997" w:type="dxa"/>
            <w:shd w:val="clear" w:color="auto" w:fill="auto"/>
            <w:hideMark/>
          </w:tcPr>
          <w:p w14:paraId="310C3C2B" w14:textId="77777777" w:rsidR="00F52411" w:rsidRPr="00F52411" w:rsidRDefault="00F52411" w:rsidP="008D1F0E">
            <w:pPr>
              <w:rPr>
                <w:sz w:val="26"/>
                <w:szCs w:val="26"/>
                <w:lang w:eastAsia="en-US"/>
              </w:rPr>
            </w:pPr>
            <w:r w:rsidRPr="00F52411">
              <w:rPr>
                <w:sz w:val="26"/>
                <w:szCs w:val="26"/>
                <w:lang w:eastAsia="en-US"/>
              </w:rPr>
              <w:t>2.2. valsts speciālais budžets</w:t>
            </w:r>
          </w:p>
        </w:tc>
        <w:tc>
          <w:tcPr>
            <w:tcW w:w="991" w:type="dxa"/>
            <w:shd w:val="clear" w:color="auto" w:fill="auto"/>
            <w:vAlign w:val="center"/>
            <w:hideMark/>
          </w:tcPr>
          <w:p w14:paraId="3D6D14B0" w14:textId="65676192" w:rsidR="008309CF" w:rsidRDefault="008309CF" w:rsidP="008D1F0E">
            <w:pPr>
              <w:jc w:val="center"/>
              <w:rPr>
                <w:sz w:val="26"/>
                <w:szCs w:val="26"/>
                <w:lang w:eastAsia="en-US"/>
              </w:rPr>
            </w:pPr>
            <w:r>
              <w:rPr>
                <w:sz w:val="26"/>
                <w:szCs w:val="26"/>
                <w:lang w:eastAsia="en-US"/>
              </w:rPr>
              <w:t>0</w:t>
            </w:r>
          </w:p>
          <w:p w14:paraId="5D6E23FC" w14:textId="77777777" w:rsidR="00F52411" w:rsidRPr="008309CF" w:rsidRDefault="00F52411" w:rsidP="008309CF">
            <w:pPr>
              <w:rPr>
                <w:sz w:val="26"/>
                <w:szCs w:val="26"/>
                <w:lang w:eastAsia="en-US"/>
              </w:rPr>
            </w:pPr>
          </w:p>
        </w:tc>
        <w:tc>
          <w:tcPr>
            <w:tcW w:w="990" w:type="dxa"/>
            <w:shd w:val="clear" w:color="auto" w:fill="auto"/>
            <w:vAlign w:val="center"/>
            <w:hideMark/>
          </w:tcPr>
          <w:p w14:paraId="1CBF8054" w14:textId="012F5D3A" w:rsidR="008309CF" w:rsidRDefault="008309CF" w:rsidP="008D1F0E">
            <w:pPr>
              <w:jc w:val="center"/>
              <w:rPr>
                <w:sz w:val="26"/>
                <w:szCs w:val="26"/>
                <w:lang w:eastAsia="en-US"/>
              </w:rPr>
            </w:pPr>
            <w:r>
              <w:rPr>
                <w:sz w:val="26"/>
                <w:szCs w:val="26"/>
                <w:lang w:eastAsia="en-US"/>
              </w:rPr>
              <w:t>0</w:t>
            </w:r>
          </w:p>
          <w:p w14:paraId="7288B25C" w14:textId="77777777" w:rsidR="00F52411" w:rsidRPr="008309CF" w:rsidRDefault="00F52411" w:rsidP="008309CF">
            <w:pPr>
              <w:rPr>
                <w:sz w:val="26"/>
                <w:szCs w:val="26"/>
                <w:lang w:eastAsia="en-US"/>
              </w:rPr>
            </w:pPr>
          </w:p>
        </w:tc>
        <w:tc>
          <w:tcPr>
            <w:tcW w:w="868" w:type="dxa"/>
            <w:shd w:val="clear" w:color="auto" w:fill="auto"/>
            <w:vAlign w:val="center"/>
            <w:hideMark/>
          </w:tcPr>
          <w:p w14:paraId="79AAC891" w14:textId="612DDC99"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27DD4967" w14:textId="19B030C3" w:rsidR="008309CF" w:rsidRDefault="008309CF" w:rsidP="008D1F0E">
            <w:pPr>
              <w:jc w:val="center"/>
              <w:rPr>
                <w:sz w:val="26"/>
                <w:szCs w:val="26"/>
                <w:lang w:eastAsia="en-US"/>
              </w:rPr>
            </w:pPr>
            <w:r>
              <w:rPr>
                <w:sz w:val="26"/>
                <w:szCs w:val="26"/>
                <w:lang w:eastAsia="en-US"/>
              </w:rPr>
              <w:t>0</w:t>
            </w:r>
          </w:p>
          <w:p w14:paraId="15BD4942" w14:textId="77777777" w:rsidR="00F52411" w:rsidRPr="008309CF" w:rsidRDefault="00F52411" w:rsidP="008309CF">
            <w:pPr>
              <w:rPr>
                <w:sz w:val="26"/>
                <w:szCs w:val="26"/>
                <w:lang w:eastAsia="en-US"/>
              </w:rPr>
            </w:pPr>
          </w:p>
        </w:tc>
        <w:tc>
          <w:tcPr>
            <w:tcW w:w="867" w:type="dxa"/>
            <w:shd w:val="clear" w:color="auto" w:fill="auto"/>
            <w:vAlign w:val="center"/>
            <w:hideMark/>
          </w:tcPr>
          <w:p w14:paraId="6F55CF74" w14:textId="174B5CC5"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A048994" w14:textId="4132A052"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2B1ED719" w14:textId="6964500A" w:rsidR="008309CF" w:rsidRDefault="008309CF" w:rsidP="008D1F0E">
            <w:pPr>
              <w:jc w:val="center"/>
              <w:rPr>
                <w:sz w:val="26"/>
                <w:szCs w:val="26"/>
                <w:lang w:eastAsia="en-US"/>
              </w:rPr>
            </w:pPr>
            <w:r>
              <w:rPr>
                <w:sz w:val="26"/>
                <w:szCs w:val="26"/>
                <w:lang w:eastAsia="en-US"/>
              </w:rPr>
              <w:t>0</w:t>
            </w:r>
          </w:p>
          <w:p w14:paraId="21523267" w14:textId="77777777" w:rsidR="00F52411" w:rsidRPr="008309CF" w:rsidRDefault="00F52411" w:rsidP="008309CF">
            <w:pPr>
              <w:rPr>
                <w:sz w:val="26"/>
                <w:szCs w:val="26"/>
                <w:lang w:eastAsia="en-US"/>
              </w:rPr>
            </w:pPr>
          </w:p>
        </w:tc>
      </w:tr>
      <w:tr w:rsidR="00F52411" w:rsidRPr="002D7166" w14:paraId="509DA753" w14:textId="77777777" w:rsidTr="001E1276">
        <w:tc>
          <w:tcPr>
            <w:tcW w:w="1997" w:type="dxa"/>
            <w:shd w:val="clear" w:color="auto" w:fill="auto"/>
            <w:hideMark/>
          </w:tcPr>
          <w:p w14:paraId="6B388A43" w14:textId="77777777" w:rsidR="00F52411" w:rsidRPr="00F52411" w:rsidRDefault="00F52411" w:rsidP="008D1F0E">
            <w:pPr>
              <w:rPr>
                <w:sz w:val="26"/>
                <w:szCs w:val="26"/>
                <w:lang w:eastAsia="en-US"/>
              </w:rPr>
            </w:pPr>
            <w:r w:rsidRPr="00F52411">
              <w:rPr>
                <w:sz w:val="26"/>
                <w:szCs w:val="26"/>
                <w:lang w:eastAsia="en-US"/>
              </w:rPr>
              <w:t>2.3. pašvaldību budžets</w:t>
            </w:r>
          </w:p>
        </w:tc>
        <w:tc>
          <w:tcPr>
            <w:tcW w:w="991" w:type="dxa"/>
            <w:shd w:val="clear" w:color="auto" w:fill="auto"/>
            <w:vAlign w:val="center"/>
            <w:hideMark/>
          </w:tcPr>
          <w:p w14:paraId="731D2F03" w14:textId="0A666477" w:rsidR="008309CF" w:rsidRDefault="008309CF" w:rsidP="008D1F0E">
            <w:pPr>
              <w:jc w:val="center"/>
              <w:rPr>
                <w:sz w:val="26"/>
                <w:szCs w:val="26"/>
                <w:lang w:eastAsia="en-US"/>
              </w:rPr>
            </w:pPr>
            <w:r>
              <w:rPr>
                <w:sz w:val="26"/>
                <w:szCs w:val="26"/>
                <w:lang w:eastAsia="en-US"/>
              </w:rPr>
              <w:t>0</w:t>
            </w:r>
          </w:p>
          <w:p w14:paraId="4CDB0BF4" w14:textId="77777777" w:rsidR="00F52411" w:rsidRPr="008309CF" w:rsidRDefault="00F52411" w:rsidP="008309CF">
            <w:pPr>
              <w:rPr>
                <w:sz w:val="26"/>
                <w:szCs w:val="26"/>
                <w:lang w:eastAsia="en-US"/>
              </w:rPr>
            </w:pPr>
          </w:p>
        </w:tc>
        <w:tc>
          <w:tcPr>
            <w:tcW w:w="990" w:type="dxa"/>
            <w:shd w:val="clear" w:color="auto" w:fill="auto"/>
            <w:vAlign w:val="center"/>
            <w:hideMark/>
          </w:tcPr>
          <w:p w14:paraId="41A17DE7" w14:textId="15792119"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6B67CB7A" w14:textId="611C4B14"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07F5E8E1" w14:textId="559CF95C" w:rsidR="008309CF" w:rsidRDefault="008309CF" w:rsidP="008D1F0E">
            <w:pPr>
              <w:jc w:val="center"/>
              <w:rPr>
                <w:sz w:val="26"/>
                <w:szCs w:val="26"/>
                <w:lang w:eastAsia="en-US"/>
              </w:rPr>
            </w:pPr>
            <w:r>
              <w:rPr>
                <w:sz w:val="26"/>
                <w:szCs w:val="26"/>
                <w:lang w:eastAsia="en-US"/>
              </w:rPr>
              <w:t>0</w:t>
            </w:r>
          </w:p>
          <w:p w14:paraId="3E5ECAF5" w14:textId="77777777" w:rsidR="00F52411" w:rsidRPr="008309CF" w:rsidRDefault="00F52411" w:rsidP="008309CF">
            <w:pPr>
              <w:rPr>
                <w:sz w:val="26"/>
                <w:szCs w:val="26"/>
                <w:lang w:eastAsia="en-US"/>
              </w:rPr>
            </w:pPr>
          </w:p>
        </w:tc>
        <w:tc>
          <w:tcPr>
            <w:tcW w:w="867" w:type="dxa"/>
            <w:shd w:val="clear" w:color="auto" w:fill="auto"/>
            <w:vAlign w:val="center"/>
            <w:hideMark/>
          </w:tcPr>
          <w:p w14:paraId="7FF3C664" w14:textId="6879CC96"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60EF58B" w14:textId="11C25D16"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6EEC238" w14:textId="485F796E" w:rsidR="00F52411" w:rsidRPr="00F52411" w:rsidRDefault="008309CF" w:rsidP="008D1F0E">
            <w:pPr>
              <w:jc w:val="center"/>
              <w:rPr>
                <w:sz w:val="26"/>
                <w:szCs w:val="26"/>
                <w:lang w:eastAsia="en-US"/>
              </w:rPr>
            </w:pPr>
            <w:r>
              <w:rPr>
                <w:sz w:val="26"/>
                <w:szCs w:val="26"/>
                <w:lang w:eastAsia="en-US"/>
              </w:rPr>
              <w:t>0</w:t>
            </w:r>
          </w:p>
        </w:tc>
      </w:tr>
      <w:tr w:rsidR="00F52411" w:rsidRPr="002D7166" w14:paraId="78F9B790" w14:textId="77777777" w:rsidTr="001E1276">
        <w:tc>
          <w:tcPr>
            <w:tcW w:w="1997" w:type="dxa"/>
            <w:shd w:val="clear" w:color="auto" w:fill="auto"/>
            <w:hideMark/>
          </w:tcPr>
          <w:p w14:paraId="4B28F1D8" w14:textId="77777777" w:rsidR="00F52411" w:rsidRPr="00F52411" w:rsidRDefault="00F52411" w:rsidP="008D1F0E">
            <w:pPr>
              <w:rPr>
                <w:sz w:val="26"/>
                <w:szCs w:val="26"/>
                <w:lang w:eastAsia="en-US"/>
              </w:rPr>
            </w:pPr>
            <w:r w:rsidRPr="00F52411">
              <w:rPr>
                <w:sz w:val="26"/>
                <w:szCs w:val="26"/>
                <w:lang w:eastAsia="en-US"/>
              </w:rPr>
              <w:t>3. Finansiālā ietekme</w:t>
            </w:r>
          </w:p>
        </w:tc>
        <w:tc>
          <w:tcPr>
            <w:tcW w:w="991" w:type="dxa"/>
            <w:shd w:val="clear" w:color="auto" w:fill="auto"/>
            <w:vAlign w:val="center"/>
            <w:hideMark/>
          </w:tcPr>
          <w:p w14:paraId="7CD2CB60" w14:textId="1528CE06"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3DD10EE5" w14:textId="597476C6"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18354C1F" w14:textId="2D786D25" w:rsidR="008309CF" w:rsidRDefault="008309CF" w:rsidP="008D1F0E">
            <w:pPr>
              <w:jc w:val="center"/>
              <w:rPr>
                <w:sz w:val="26"/>
                <w:szCs w:val="26"/>
                <w:lang w:eastAsia="en-US"/>
              </w:rPr>
            </w:pPr>
            <w:r>
              <w:rPr>
                <w:sz w:val="26"/>
                <w:szCs w:val="26"/>
                <w:lang w:eastAsia="en-US"/>
              </w:rPr>
              <w:t>0</w:t>
            </w:r>
          </w:p>
          <w:p w14:paraId="0B288B66" w14:textId="77777777" w:rsidR="00F52411" w:rsidRPr="008309CF" w:rsidRDefault="00F52411" w:rsidP="008309CF">
            <w:pPr>
              <w:rPr>
                <w:sz w:val="26"/>
                <w:szCs w:val="26"/>
                <w:lang w:eastAsia="en-US"/>
              </w:rPr>
            </w:pPr>
          </w:p>
        </w:tc>
        <w:tc>
          <w:tcPr>
            <w:tcW w:w="867" w:type="dxa"/>
            <w:shd w:val="clear" w:color="auto" w:fill="auto"/>
            <w:vAlign w:val="center"/>
            <w:hideMark/>
          </w:tcPr>
          <w:p w14:paraId="4FB60E70" w14:textId="7FFFFAE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654BBFA" w14:textId="1A4987A6"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BBC1EC4" w14:textId="11E5BE67"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0AF520D8" w14:textId="35C639C1" w:rsidR="00F52411" w:rsidRPr="00F52411" w:rsidRDefault="008309CF" w:rsidP="008D1F0E">
            <w:pPr>
              <w:jc w:val="center"/>
              <w:rPr>
                <w:sz w:val="26"/>
                <w:szCs w:val="26"/>
                <w:lang w:eastAsia="en-US"/>
              </w:rPr>
            </w:pPr>
            <w:r>
              <w:rPr>
                <w:sz w:val="26"/>
                <w:szCs w:val="26"/>
                <w:lang w:eastAsia="en-US"/>
              </w:rPr>
              <w:t>0</w:t>
            </w:r>
          </w:p>
        </w:tc>
      </w:tr>
      <w:tr w:rsidR="00F52411" w:rsidRPr="002D7166" w14:paraId="4B0C7C6B" w14:textId="77777777" w:rsidTr="001E1276">
        <w:tc>
          <w:tcPr>
            <w:tcW w:w="1997" w:type="dxa"/>
            <w:shd w:val="clear" w:color="auto" w:fill="auto"/>
            <w:hideMark/>
          </w:tcPr>
          <w:p w14:paraId="1F03F8E4" w14:textId="77777777" w:rsidR="00F52411" w:rsidRPr="00F52411" w:rsidRDefault="00F52411" w:rsidP="008D1F0E">
            <w:pPr>
              <w:rPr>
                <w:sz w:val="26"/>
                <w:szCs w:val="26"/>
                <w:lang w:eastAsia="en-US"/>
              </w:rPr>
            </w:pPr>
            <w:r w:rsidRPr="00F52411">
              <w:rPr>
                <w:sz w:val="26"/>
                <w:szCs w:val="26"/>
                <w:lang w:eastAsia="en-US"/>
              </w:rPr>
              <w:t>3.1. valsts pamatbudžets</w:t>
            </w:r>
          </w:p>
        </w:tc>
        <w:tc>
          <w:tcPr>
            <w:tcW w:w="991" w:type="dxa"/>
            <w:shd w:val="clear" w:color="auto" w:fill="auto"/>
            <w:vAlign w:val="center"/>
            <w:hideMark/>
          </w:tcPr>
          <w:p w14:paraId="766FF3C1" w14:textId="334B4D92"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3FE72468" w14:textId="791B9C62"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216C75D6" w14:textId="578DE1C8"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8F1543A" w14:textId="02321CF7" w:rsidR="008309CF" w:rsidRDefault="008309CF" w:rsidP="008D1F0E">
            <w:pPr>
              <w:jc w:val="center"/>
              <w:rPr>
                <w:sz w:val="26"/>
                <w:szCs w:val="26"/>
                <w:lang w:eastAsia="en-US"/>
              </w:rPr>
            </w:pPr>
            <w:r>
              <w:rPr>
                <w:sz w:val="26"/>
                <w:szCs w:val="26"/>
                <w:lang w:eastAsia="en-US"/>
              </w:rPr>
              <w:t>0</w:t>
            </w:r>
          </w:p>
          <w:p w14:paraId="4998B3AF" w14:textId="77777777" w:rsidR="00F52411" w:rsidRPr="008309CF" w:rsidRDefault="00F52411" w:rsidP="008309CF">
            <w:pPr>
              <w:rPr>
                <w:sz w:val="26"/>
                <w:szCs w:val="26"/>
                <w:lang w:eastAsia="en-US"/>
              </w:rPr>
            </w:pPr>
          </w:p>
        </w:tc>
        <w:tc>
          <w:tcPr>
            <w:tcW w:w="867" w:type="dxa"/>
            <w:shd w:val="clear" w:color="auto" w:fill="auto"/>
            <w:vAlign w:val="center"/>
            <w:hideMark/>
          </w:tcPr>
          <w:p w14:paraId="3D392BD5" w14:textId="67029C21" w:rsidR="008309CF" w:rsidRDefault="008309CF" w:rsidP="008D1F0E">
            <w:pPr>
              <w:jc w:val="center"/>
              <w:rPr>
                <w:sz w:val="26"/>
                <w:szCs w:val="26"/>
                <w:lang w:eastAsia="en-US"/>
              </w:rPr>
            </w:pPr>
            <w:r>
              <w:rPr>
                <w:sz w:val="26"/>
                <w:szCs w:val="26"/>
                <w:lang w:eastAsia="en-US"/>
              </w:rPr>
              <w:t>0</w:t>
            </w:r>
          </w:p>
          <w:p w14:paraId="72D4C125" w14:textId="77777777" w:rsidR="00F52411" w:rsidRPr="008309CF" w:rsidRDefault="00F52411" w:rsidP="008309CF">
            <w:pPr>
              <w:rPr>
                <w:sz w:val="26"/>
                <w:szCs w:val="26"/>
                <w:lang w:eastAsia="en-US"/>
              </w:rPr>
            </w:pPr>
          </w:p>
        </w:tc>
        <w:tc>
          <w:tcPr>
            <w:tcW w:w="867" w:type="dxa"/>
            <w:shd w:val="clear" w:color="auto" w:fill="auto"/>
            <w:vAlign w:val="center"/>
            <w:hideMark/>
          </w:tcPr>
          <w:p w14:paraId="55536065" w14:textId="4E6EACF4"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7AA5F09C" w14:textId="02172EE5" w:rsidR="00F52411" w:rsidRPr="00F52411" w:rsidRDefault="008309CF" w:rsidP="008D1F0E">
            <w:pPr>
              <w:jc w:val="center"/>
              <w:rPr>
                <w:sz w:val="26"/>
                <w:szCs w:val="26"/>
                <w:lang w:eastAsia="en-US"/>
              </w:rPr>
            </w:pPr>
            <w:r>
              <w:rPr>
                <w:sz w:val="26"/>
                <w:szCs w:val="26"/>
                <w:lang w:eastAsia="en-US"/>
              </w:rPr>
              <w:t>0</w:t>
            </w:r>
          </w:p>
        </w:tc>
      </w:tr>
      <w:tr w:rsidR="00F52411" w:rsidRPr="002D7166" w14:paraId="01872011" w14:textId="77777777" w:rsidTr="001E1276">
        <w:tc>
          <w:tcPr>
            <w:tcW w:w="1997" w:type="dxa"/>
            <w:shd w:val="clear" w:color="auto" w:fill="auto"/>
            <w:hideMark/>
          </w:tcPr>
          <w:p w14:paraId="390DF681" w14:textId="77777777" w:rsidR="00F52411" w:rsidRPr="00F52411" w:rsidRDefault="00F52411" w:rsidP="008D1F0E">
            <w:pPr>
              <w:rPr>
                <w:sz w:val="26"/>
                <w:szCs w:val="26"/>
                <w:lang w:eastAsia="en-US"/>
              </w:rPr>
            </w:pPr>
            <w:r w:rsidRPr="00F52411">
              <w:rPr>
                <w:sz w:val="26"/>
                <w:szCs w:val="26"/>
                <w:lang w:eastAsia="en-US"/>
              </w:rPr>
              <w:t>3.2. speciālais budžets</w:t>
            </w:r>
          </w:p>
        </w:tc>
        <w:tc>
          <w:tcPr>
            <w:tcW w:w="991" w:type="dxa"/>
            <w:shd w:val="clear" w:color="auto" w:fill="auto"/>
            <w:vAlign w:val="center"/>
            <w:hideMark/>
          </w:tcPr>
          <w:p w14:paraId="67B68056" w14:textId="04CBD9FE" w:rsidR="008309CF" w:rsidRDefault="008309CF" w:rsidP="008D1F0E">
            <w:pPr>
              <w:jc w:val="center"/>
              <w:rPr>
                <w:sz w:val="26"/>
                <w:szCs w:val="26"/>
                <w:lang w:eastAsia="en-US"/>
              </w:rPr>
            </w:pPr>
            <w:r>
              <w:rPr>
                <w:sz w:val="26"/>
                <w:szCs w:val="26"/>
                <w:lang w:eastAsia="en-US"/>
              </w:rPr>
              <w:t>0</w:t>
            </w:r>
          </w:p>
          <w:p w14:paraId="6B390042" w14:textId="77777777" w:rsidR="00F52411" w:rsidRPr="008309CF" w:rsidRDefault="00F52411" w:rsidP="008309CF">
            <w:pPr>
              <w:rPr>
                <w:sz w:val="26"/>
                <w:szCs w:val="26"/>
                <w:lang w:eastAsia="en-US"/>
              </w:rPr>
            </w:pPr>
          </w:p>
        </w:tc>
        <w:tc>
          <w:tcPr>
            <w:tcW w:w="990" w:type="dxa"/>
            <w:shd w:val="clear" w:color="auto" w:fill="auto"/>
            <w:vAlign w:val="center"/>
            <w:hideMark/>
          </w:tcPr>
          <w:p w14:paraId="5F665C66" w14:textId="20126ED1" w:rsidR="008309CF" w:rsidRDefault="008309CF" w:rsidP="008D1F0E">
            <w:pPr>
              <w:jc w:val="center"/>
              <w:rPr>
                <w:sz w:val="26"/>
                <w:szCs w:val="26"/>
                <w:lang w:eastAsia="en-US"/>
              </w:rPr>
            </w:pPr>
            <w:r>
              <w:rPr>
                <w:sz w:val="26"/>
                <w:szCs w:val="26"/>
                <w:lang w:eastAsia="en-US"/>
              </w:rPr>
              <w:t>0</w:t>
            </w:r>
          </w:p>
          <w:p w14:paraId="304D49BC" w14:textId="77777777" w:rsidR="00F52411" w:rsidRPr="008309CF" w:rsidRDefault="00F52411" w:rsidP="008309CF">
            <w:pPr>
              <w:rPr>
                <w:sz w:val="26"/>
                <w:szCs w:val="26"/>
                <w:lang w:eastAsia="en-US"/>
              </w:rPr>
            </w:pPr>
          </w:p>
        </w:tc>
        <w:tc>
          <w:tcPr>
            <w:tcW w:w="868" w:type="dxa"/>
            <w:shd w:val="clear" w:color="auto" w:fill="auto"/>
            <w:vAlign w:val="center"/>
            <w:hideMark/>
          </w:tcPr>
          <w:p w14:paraId="74F3AA3D" w14:textId="7E320045"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2D6E9A9" w14:textId="5F4147AF"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9CEC9D7" w14:textId="1260E6B7"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D2227F5" w14:textId="39D7D9AA"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263963B" w14:textId="28C617AA" w:rsidR="00F52411" w:rsidRPr="00F52411" w:rsidRDefault="008309CF" w:rsidP="008D1F0E">
            <w:pPr>
              <w:jc w:val="center"/>
              <w:rPr>
                <w:sz w:val="26"/>
                <w:szCs w:val="26"/>
                <w:lang w:eastAsia="en-US"/>
              </w:rPr>
            </w:pPr>
            <w:r>
              <w:rPr>
                <w:sz w:val="26"/>
                <w:szCs w:val="26"/>
                <w:lang w:eastAsia="en-US"/>
              </w:rPr>
              <w:t>0</w:t>
            </w:r>
          </w:p>
        </w:tc>
      </w:tr>
      <w:tr w:rsidR="00F52411" w:rsidRPr="002D7166" w14:paraId="52161705" w14:textId="77777777" w:rsidTr="001E1276">
        <w:tc>
          <w:tcPr>
            <w:tcW w:w="1997" w:type="dxa"/>
            <w:shd w:val="clear" w:color="auto" w:fill="auto"/>
            <w:hideMark/>
          </w:tcPr>
          <w:p w14:paraId="37E5DC5B" w14:textId="77777777" w:rsidR="00F52411" w:rsidRPr="00F52411" w:rsidRDefault="00F52411" w:rsidP="008D1F0E">
            <w:pPr>
              <w:rPr>
                <w:sz w:val="26"/>
                <w:szCs w:val="26"/>
                <w:lang w:eastAsia="en-US"/>
              </w:rPr>
            </w:pPr>
            <w:r w:rsidRPr="00F52411">
              <w:rPr>
                <w:sz w:val="26"/>
                <w:szCs w:val="26"/>
                <w:lang w:eastAsia="en-US"/>
              </w:rPr>
              <w:t>3.3. pašvaldību budžets</w:t>
            </w:r>
          </w:p>
        </w:tc>
        <w:tc>
          <w:tcPr>
            <w:tcW w:w="991" w:type="dxa"/>
            <w:shd w:val="clear" w:color="auto" w:fill="auto"/>
            <w:vAlign w:val="center"/>
            <w:hideMark/>
          </w:tcPr>
          <w:p w14:paraId="08436109" w14:textId="65B62D90"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1BEE4A46" w14:textId="2BAEA329" w:rsidR="008309CF" w:rsidRDefault="008309CF" w:rsidP="008D1F0E">
            <w:pPr>
              <w:jc w:val="center"/>
              <w:rPr>
                <w:sz w:val="26"/>
                <w:szCs w:val="26"/>
                <w:lang w:eastAsia="en-US"/>
              </w:rPr>
            </w:pPr>
            <w:r>
              <w:rPr>
                <w:sz w:val="26"/>
                <w:szCs w:val="26"/>
                <w:lang w:eastAsia="en-US"/>
              </w:rPr>
              <w:t>0</w:t>
            </w:r>
          </w:p>
          <w:p w14:paraId="1CB3757B" w14:textId="77777777" w:rsidR="00F52411" w:rsidRPr="008309CF" w:rsidRDefault="00F52411" w:rsidP="008309CF">
            <w:pPr>
              <w:rPr>
                <w:sz w:val="26"/>
                <w:szCs w:val="26"/>
                <w:lang w:eastAsia="en-US"/>
              </w:rPr>
            </w:pPr>
          </w:p>
        </w:tc>
        <w:tc>
          <w:tcPr>
            <w:tcW w:w="868" w:type="dxa"/>
            <w:shd w:val="clear" w:color="auto" w:fill="auto"/>
            <w:vAlign w:val="center"/>
            <w:hideMark/>
          </w:tcPr>
          <w:p w14:paraId="1FA41528" w14:textId="17B48F61" w:rsidR="008309CF" w:rsidRDefault="008309CF" w:rsidP="008D1F0E">
            <w:pPr>
              <w:jc w:val="center"/>
              <w:rPr>
                <w:sz w:val="26"/>
                <w:szCs w:val="26"/>
                <w:lang w:eastAsia="en-US"/>
              </w:rPr>
            </w:pPr>
            <w:r>
              <w:rPr>
                <w:sz w:val="26"/>
                <w:szCs w:val="26"/>
                <w:lang w:eastAsia="en-US"/>
              </w:rPr>
              <w:t>0</w:t>
            </w:r>
          </w:p>
          <w:p w14:paraId="6A8BFEA2" w14:textId="77777777" w:rsidR="00F52411" w:rsidRPr="008309CF" w:rsidRDefault="00F52411" w:rsidP="008309CF">
            <w:pPr>
              <w:rPr>
                <w:sz w:val="26"/>
                <w:szCs w:val="26"/>
                <w:lang w:eastAsia="en-US"/>
              </w:rPr>
            </w:pPr>
          </w:p>
        </w:tc>
        <w:tc>
          <w:tcPr>
            <w:tcW w:w="867" w:type="dxa"/>
            <w:shd w:val="clear" w:color="auto" w:fill="auto"/>
            <w:vAlign w:val="center"/>
            <w:hideMark/>
          </w:tcPr>
          <w:p w14:paraId="74CC5C12" w14:textId="0354AC49"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5EF515C0" w14:textId="2956D5CC"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7B504049" w14:textId="0212E138"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50BF330B" w14:textId="2A7FC0C4" w:rsidR="00F52411" w:rsidRPr="00F52411" w:rsidRDefault="008309CF" w:rsidP="008D1F0E">
            <w:pPr>
              <w:jc w:val="center"/>
              <w:rPr>
                <w:sz w:val="26"/>
                <w:szCs w:val="26"/>
                <w:lang w:eastAsia="en-US"/>
              </w:rPr>
            </w:pPr>
            <w:r>
              <w:rPr>
                <w:sz w:val="26"/>
                <w:szCs w:val="26"/>
                <w:lang w:eastAsia="en-US"/>
              </w:rPr>
              <w:t>0</w:t>
            </w:r>
          </w:p>
        </w:tc>
      </w:tr>
      <w:tr w:rsidR="00F52411" w:rsidRPr="002D7166" w14:paraId="30ADE243" w14:textId="77777777" w:rsidTr="001E1276">
        <w:tc>
          <w:tcPr>
            <w:tcW w:w="1997" w:type="dxa"/>
            <w:shd w:val="clear" w:color="auto" w:fill="auto"/>
            <w:hideMark/>
          </w:tcPr>
          <w:p w14:paraId="347DF57B" w14:textId="77777777" w:rsidR="00F52411" w:rsidRPr="00F52411" w:rsidRDefault="00F52411" w:rsidP="008D1F0E">
            <w:pPr>
              <w:rPr>
                <w:sz w:val="26"/>
                <w:szCs w:val="26"/>
                <w:lang w:eastAsia="en-US"/>
              </w:rPr>
            </w:pPr>
            <w:r w:rsidRPr="00F52411">
              <w:rPr>
                <w:sz w:val="26"/>
                <w:szCs w:val="26"/>
                <w:lang w:eastAsia="en-US"/>
              </w:rPr>
              <w:t xml:space="preserve">4. Finanšu līdzekļi papildu izdevumu finansēšanai </w:t>
            </w:r>
            <w:r w:rsidRPr="00F52411">
              <w:rPr>
                <w:sz w:val="26"/>
                <w:szCs w:val="26"/>
                <w:lang w:eastAsia="en-US"/>
              </w:rPr>
              <w:lastRenderedPageBreak/>
              <w:t>(kompensējošu izdevumu samazinājumu norāda ar "+" zīmi)</w:t>
            </w:r>
          </w:p>
        </w:tc>
        <w:tc>
          <w:tcPr>
            <w:tcW w:w="991" w:type="dxa"/>
            <w:shd w:val="clear" w:color="auto" w:fill="auto"/>
            <w:vAlign w:val="center"/>
            <w:hideMark/>
          </w:tcPr>
          <w:p w14:paraId="5F3F4147" w14:textId="18FEED11" w:rsidR="00F52411" w:rsidRPr="00F52411" w:rsidRDefault="008309CF" w:rsidP="008D1F0E">
            <w:pPr>
              <w:jc w:val="center"/>
              <w:rPr>
                <w:sz w:val="26"/>
                <w:szCs w:val="26"/>
                <w:lang w:eastAsia="en-US"/>
              </w:rPr>
            </w:pPr>
            <w:r>
              <w:rPr>
                <w:sz w:val="26"/>
                <w:szCs w:val="26"/>
                <w:lang w:eastAsia="en-US"/>
              </w:rPr>
              <w:lastRenderedPageBreak/>
              <w:t>0</w:t>
            </w:r>
          </w:p>
        </w:tc>
        <w:tc>
          <w:tcPr>
            <w:tcW w:w="990" w:type="dxa"/>
            <w:shd w:val="clear" w:color="auto" w:fill="auto"/>
            <w:vAlign w:val="center"/>
            <w:hideMark/>
          </w:tcPr>
          <w:p w14:paraId="18B83995" w14:textId="06D97368" w:rsidR="00F52411" w:rsidRPr="00F52411" w:rsidRDefault="008309CF" w:rsidP="008D1F0E">
            <w:pPr>
              <w:jc w:val="center"/>
              <w:rPr>
                <w:sz w:val="26"/>
                <w:szCs w:val="26"/>
                <w:lang w:eastAsia="en-US"/>
              </w:rPr>
            </w:pPr>
            <w:r>
              <w:rPr>
                <w:sz w:val="26"/>
                <w:szCs w:val="26"/>
                <w:lang w:eastAsia="en-US"/>
              </w:rPr>
              <w:t>0</w:t>
            </w:r>
          </w:p>
        </w:tc>
        <w:tc>
          <w:tcPr>
            <w:tcW w:w="868" w:type="dxa"/>
            <w:shd w:val="clear" w:color="auto" w:fill="auto"/>
            <w:vAlign w:val="center"/>
            <w:hideMark/>
          </w:tcPr>
          <w:p w14:paraId="6E85B51C" w14:textId="44BF4740" w:rsidR="008309CF" w:rsidRDefault="008309CF" w:rsidP="008D1F0E">
            <w:pPr>
              <w:jc w:val="center"/>
              <w:rPr>
                <w:sz w:val="26"/>
                <w:szCs w:val="26"/>
                <w:lang w:eastAsia="en-US"/>
              </w:rPr>
            </w:pPr>
            <w:r>
              <w:rPr>
                <w:sz w:val="26"/>
                <w:szCs w:val="26"/>
                <w:lang w:eastAsia="en-US"/>
              </w:rPr>
              <w:t>0</w:t>
            </w:r>
          </w:p>
          <w:p w14:paraId="5CB91DF6" w14:textId="77777777" w:rsidR="00F52411" w:rsidRPr="008309CF" w:rsidRDefault="00F52411" w:rsidP="008309CF">
            <w:pPr>
              <w:rPr>
                <w:sz w:val="26"/>
                <w:szCs w:val="26"/>
                <w:lang w:eastAsia="en-US"/>
              </w:rPr>
            </w:pPr>
          </w:p>
        </w:tc>
        <w:tc>
          <w:tcPr>
            <w:tcW w:w="867" w:type="dxa"/>
            <w:shd w:val="clear" w:color="auto" w:fill="auto"/>
            <w:vAlign w:val="center"/>
            <w:hideMark/>
          </w:tcPr>
          <w:p w14:paraId="1A81E4EA" w14:textId="35C757C5" w:rsidR="008309CF" w:rsidRDefault="008309CF" w:rsidP="008D1F0E">
            <w:pPr>
              <w:jc w:val="center"/>
              <w:rPr>
                <w:sz w:val="26"/>
                <w:szCs w:val="26"/>
                <w:lang w:eastAsia="en-US"/>
              </w:rPr>
            </w:pPr>
            <w:r>
              <w:rPr>
                <w:sz w:val="26"/>
                <w:szCs w:val="26"/>
                <w:lang w:eastAsia="en-US"/>
              </w:rPr>
              <w:t>0</w:t>
            </w:r>
          </w:p>
          <w:p w14:paraId="70CAF935" w14:textId="77777777" w:rsidR="00F52411" w:rsidRPr="008309CF" w:rsidRDefault="00F52411" w:rsidP="008309CF">
            <w:pPr>
              <w:rPr>
                <w:sz w:val="26"/>
                <w:szCs w:val="26"/>
                <w:lang w:eastAsia="en-US"/>
              </w:rPr>
            </w:pPr>
          </w:p>
        </w:tc>
        <w:tc>
          <w:tcPr>
            <w:tcW w:w="867" w:type="dxa"/>
            <w:shd w:val="clear" w:color="auto" w:fill="auto"/>
            <w:vAlign w:val="center"/>
            <w:hideMark/>
          </w:tcPr>
          <w:p w14:paraId="0437B4A9" w14:textId="0165A60A" w:rsidR="008309CF" w:rsidRDefault="008309CF" w:rsidP="008D1F0E">
            <w:pPr>
              <w:jc w:val="center"/>
              <w:rPr>
                <w:sz w:val="26"/>
                <w:szCs w:val="26"/>
                <w:lang w:eastAsia="en-US"/>
              </w:rPr>
            </w:pPr>
            <w:r>
              <w:rPr>
                <w:sz w:val="26"/>
                <w:szCs w:val="26"/>
                <w:lang w:eastAsia="en-US"/>
              </w:rPr>
              <w:t>0</w:t>
            </w:r>
          </w:p>
          <w:p w14:paraId="126D2D0A" w14:textId="77777777" w:rsidR="00F52411" w:rsidRPr="008309CF" w:rsidRDefault="00F52411" w:rsidP="008309CF">
            <w:pPr>
              <w:rPr>
                <w:sz w:val="26"/>
                <w:szCs w:val="26"/>
                <w:lang w:eastAsia="en-US"/>
              </w:rPr>
            </w:pPr>
          </w:p>
        </w:tc>
        <w:tc>
          <w:tcPr>
            <w:tcW w:w="867" w:type="dxa"/>
            <w:shd w:val="clear" w:color="auto" w:fill="auto"/>
            <w:vAlign w:val="center"/>
            <w:hideMark/>
          </w:tcPr>
          <w:p w14:paraId="681A6E17" w14:textId="339F7319"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58FE591F" w14:textId="48374761" w:rsidR="008309CF" w:rsidRDefault="008309CF" w:rsidP="008D1F0E">
            <w:pPr>
              <w:jc w:val="center"/>
              <w:rPr>
                <w:sz w:val="26"/>
                <w:szCs w:val="26"/>
                <w:lang w:eastAsia="en-US"/>
              </w:rPr>
            </w:pPr>
            <w:r>
              <w:rPr>
                <w:sz w:val="26"/>
                <w:szCs w:val="26"/>
                <w:lang w:eastAsia="en-US"/>
              </w:rPr>
              <w:t>0</w:t>
            </w:r>
          </w:p>
          <w:p w14:paraId="72D749CE" w14:textId="77777777" w:rsidR="00F52411" w:rsidRPr="008309CF" w:rsidRDefault="00F52411" w:rsidP="008309CF">
            <w:pPr>
              <w:rPr>
                <w:sz w:val="26"/>
                <w:szCs w:val="26"/>
                <w:lang w:eastAsia="en-US"/>
              </w:rPr>
            </w:pPr>
          </w:p>
        </w:tc>
      </w:tr>
      <w:tr w:rsidR="00F52411" w:rsidRPr="002D7166" w14:paraId="1CD52B19" w14:textId="77777777" w:rsidTr="001E1276">
        <w:tc>
          <w:tcPr>
            <w:tcW w:w="1997" w:type="dxa"/>
            <w:shd w:val="clear" w:color="auto" w:fill="auto"/>
            <w:hideMark/>
          </w:tcPr>
          <w:p w14:paraId="19CE02AD" w14:textId="77777777" w:rsidR="00F52411" w:rsidRPr="00F52411" w:rsidRDefault="00F52411" w:rsidP="008D1F0E">
            <w:pPr>
              <w:rPr>
                <w:sz w:val="26"/>
                <w:szCs w:val="26"/>
                <w:lang w:eastAsia="en-US"/>
              </w:rPr>
            </w:pPr>
            <w:r w:rsidRPr="00F52411">
              <w:rPr>
                <w:sz w:val="26"/>
                <w:szCs w:val="26"/>
                <w:lang w:eastAsia="en-US"/>
              </w:rPr>
              <w:t>5. Precizēta finansiālā ietekme</w:t>
            </w:r>
          </w:p>
        </w:tc>
        <w:tc>
          <w:tcPr>
            <w:tcW w:w="991" w:type="dxa"/>
            <w:vMerge w:val="restart"/>
            <w:shd w:val="clear" w:color="auto" w:fill="auto"/>
            <w:vAlign w:val="center"/>
            <w:hideMark/>
          </w:tcPr>
          <w:p w14:paraId="0F4974A0" w14:textId="16151624" w:rsidR="00F52411" w:rsidRPr="00F52411" w:rsidRDefault="008309CF" w:rsidP="008D1F0E">
            <w:pPr>
              <w:jc w:val="center"/>
              <w:rPr>
                <w:sz w:val="26"/>
                <w:szCs w:val="26"/>
                <w:lang w:eastAsia="en-US"/>
              </w:rPr>
            </w:pPr>
            <w:r>
              <w:rPr>
                <w:sz w:val="26"/>
                <w:szCs w:val="26"/>
                <w:lang w:eastAsia="en-US"/>
              </w:rPr>
              <w:t>0</w:t>
            </w:r>
          </w:p>
        </w:tc>
        <w:tc>
          <w:tcPr>
            <w:tcW w:w="990" w:type="dxa"/>
            <w:shd w:val="clear" w:color="auto" w:fill="auto"/>
            <w:vAlign w:val="center"/>
            <w:hideMark/>
          </w:tcPr>
          <w:p w14:paraId="100BE66F" w14:textId="32ADAE9A" w:rsidR="00F52411" w:rsidRPr="00F52411" w:rsidRDefault="008309CF" w:rsidP="008D1F0E">
            <w:pPr>
              <w:jc w:val="center"/>
              <w:rPr>
                <w:sz w:val="26"/>
                <w:szCs w:val="26"/>
                <w:lang w:eastAsia="en-US"/>
              </w:rPr>
            </w:pPr>
            <w:r>
              <w:rPr>
                <w:sz w:val="26"/>
                <w:szCs w:val="26"/>
                <w:lang w:eastAsia="en-US"/>
              </w:rPr>
              <w:t>0</w:t>
            </w:r>
          </w:p>
        </w:tc>
        <w:tc>
          <w:tcPr>
            <w:tcW w:w="868" w:type="dxa"/>
            <w:vMerge w:val="restart"/>
            <w:shd w:val="clear" w:color="auto" w:fill="auto"/>
            <w:vAlign w:val="center"/>
            <w:hideMark/>
          </w:tcPr>
          <w:p w14:paraId="3393EEAA" w14:textId="5070E52F"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4D37CE64" w14:textId="698BC912" w:rsidR="00F52411" w:rsidRPr="00F52411" w:rsidRDefault="008309CF" w:rsidP="008D1F0E">
            <w:pPr>
              <w:jc w:val="center"/>
              <w:rPr>
                <w:sz w:val="26"/>
                <w:szCs w:val="26"/>
                <w:lang w:eastAsia="en-US"/>
              </w:rPr>
            </w:pPr>
            <w:r>
              <w:rPr>
                <w:sz w:val="26"/>
                <w:szCs w:val="26"/>
                <w:lang w:eastAsia="en-US"/>
              </w:rPr>
              <w:t>0</w:t>
            </w:r>
          </w:p>
        </w:tc>
        <w:tc>
          <w:tcPr>
            <w:tcW w:w="867" w:type="dxa"/>
            <w:vMerge w:val="restart"/>
            <w:shd w:val="clear" w:color="auto" w:fill="auto"/>
            <w:vAlign w:val="center"/>
            <w:hideMark/>
          </w:tcPr>
          <w:p w14:paraId="70F5BBF9" w14:textId="593B3BC5" w:rsidR="00F52411" w:rsidRPr="00F52411" w:rsidRDefault="008309CF" w:rsidP="008D1F0E">
            <w:pPr>
              <w:jc w:val="center"/>
              <w:rPr>
                <w:sz w:val="26"/>
                <w:szCs w:val="26"/>
                <w:lang w:eastAsia="en-US"/>
              </w:rPr>
            </w:pPr>
            <w:r>
              <w:rPr>
                <w:sz w:val="26"/>
                <w:szCs w:val="26"/>
                <w:lang w:eastAsia="en-US"/>
              </w:rPr>
              <w:t>0</w:t>
            </w:r>
          </w:p>
        </w:tc>
        <w:tc>
          <w:tcPr>
            <w:tcW w:w="867" w:type="dxa"/>
            <w:shd w:val="clear" w:color="auto" w:fill="auto"/>
            <w:vAlign w:val="center"/>
            <w:hideMark/>
          </w:tcPr>
          <w:p w14:paraId="1E394402" w14:textId="7F729359"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15F2C0A5" w14:textId="0BBA26E3" w:rsidR="00F52411" w:rsidRPr="00F52411" w:rsidRDefault="008309CF" w:rsidP="008D1F0E">
            <w:pPr>
              <w:jc w:val="center"/>
              <w:rPr>
                <w:sz w:val="26"/>
                <w:szCs w:val="26"/>
                <w:lang w:eastAsia="en-US"/>
              </w:rPr>
            </w:pPr>
            <w:r>
              <w:rPr>
                <w:sz w:val="26"/>
                <w:szCs w:val="26"/>
                <w:lang w:eastAsia="en-US"/>
              </w:rPr>
              <w:t>0</w:t>
            </w:r>
          </w:p>
        </w:tc>
      </w:tr>
      <w:tr w:rsidR="00F52411" w:rsidRPr="002D7166" w14:paraId="236F6176" w14:textId="77777777" w:rsidTr="001E1276">
        <w:tc>
          <w:tcPr>
            <w:tcW w:w="1997" w:type="dxa"/>
            <w:shd w:val="clear" w:color="auto" w:fill="auto"/>
            <w:hideMark/>
          </w:tcPr>
          <w:p w14:paraId="38E3178E" w14:textId="77777777" w:rsidR="00F52411" w:rsidRPr="00F52411" w:rsidRDefault="00F52411" w:rsidP="008D1F0E">
            <w:pPr>
              <w:rPr>
                <w:sz w:val="26"/>
                <w:szCs w:val="26"/>
                <w:lang w:eastAsia="en-US"/>
              </w:rPr>
            </w:pPr>
            <w:r w:rsidRPr="00F52411">
              <w:rPr>
                <w:sz w:val="26"/>
                <w:szCs w:val="26"/>
                <w:lang w:eastAsia="en-US"/>
              </w:rPr>
              <w:t>5.1. valsts pamatbudžets</w:t>
            </w:r>
          </w:p>
        </w:tc>
        <w:tc>
          <w:tcPr>
            <w:tcW w:w="991" w:type="dxa"/>
            <w:vMerge/>
            <w:shd w:val="clear" w:color="auto" w:fill="auto"/>
            <w:vAlign w:val="center"/>
            <w:hideMark/>
          </w:tcPr>
          <w:p w14:paraId="7B0B6246"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EC60067" w14:textId="4C101579" w:rsidR="00F52411" w:rsidRPr="00F52411" w:rsidRDefault="008309CF" w:rsidP="008D1F0E">
            <w:pPr>
              <w:jc w:val="center"/>
              <w:rPr>
                <w:sz w:val="26"/>
                <w:szCs w:val="26"/>
                <w:lang w:eastAsia="en-US"/>
              </w:rPr>
            </w:pPr>
            <w:r>
              <w:rPr>
                <w:sz w:val="26"/>
                <w:szCs w:val="26"/>
                <w:lang w:eastAsia="en-US"/>
              </w:rPr>
              <w:t>0</w:t>
            </w:r>
          </w:p>
        </w:tc>
        <w:tc>
          <w:tcPr>
            <w:tcW w:w="868" w:type="dxa"/>
            <w:vMerge/>
            <w:shd w:val="clear" w:color="auto" w:fill="auto"/>
            <w:vAlign w:val="center"/>
            <w:hideMark/>
          </w:tcPr>
          <w:p w14:paraId="0D0A5BB1"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616C5AE8" w14:textId="2014A065"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14E86CAC"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339DB5A9" w14:textId="525A0993"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444EF08E" w14:textId="79E6C6F4" w:rsidR="008309CF" w:rsidRDefault="008309CF" w:rsidP="008D1F0E">
            <w:pPr>
              <w:jc w:val="center"/>
              <w:rPr>
                <w:sz w:val="26"/>
                <w:szCs w:val="26"/>
                <w:lang w:eastAsia="en-US"/>
              </w:rPr>
            </w:pPr>
            <w:r>
              <w:rPr>
                <w:sz w:val="26"/>
                <w:szCs w:val="26"/>
                <w:lang w:eastAsia="en-US"/>
              </w:rPr>
              <w:t>0</w:t>
            </w:r>
          </w:p>
          <w:p w14:paraId="7B86B550" w14:textId="77777777" w:rsidR="00F52411" w:rsidRPr="008309CF" w:rsidRDefault="00F52411" w:rsidP="008309CF">
            <w:pPr>
              <w:rPr>
                <w:sz w:val="26"/>
                <w:szCs w:val="26"/>
                <w:lang w:eastAsia="en-US"/>
              </w:rPr>
            </w:pPr>
          </w:p>
        </w:tc>
      </w:tr>
      <w:tr w:rsidR="00F52411" w:rsidRPr="002D7166" w14:paraId="2832B329" w14:textId="77777777" w:rsidTr="001E1276">
        <w:tc>
          <w:tcPr>
            <w:tcW w:w="1997" w:type="dxa"/>
            <w:shd w:val="clear" w:color="auto" w:fill="auto"/>
            <w:hideMark/>
          </w:tcPr>
          <w:p w14:paraId="02FAB899" w14:textId="77777777" w:rsidR="00F52411" w:rsidRPr="00F52411" w:rsidRDefault="00F52411" w:rsidP="008D1F0E">
            <w:pPr>
              <w:rPr>
                <w:sz w:val="26"/>
                <w:szCs w:val="26"/>
                <w:lang w:eastAsia="en-US"/>
              </w:rPr>
            </w:pPr>
            <w:r w:rsidRPr="00F52411">
              <w:rPr>
                <w:sz w:val="26"/>
                <w:szCs w:val="26"/>
                <w:lang w:eastAsia="en-US"/>
              </w:rPr>
              <w:t>5.2. speciālais budžets</w:t>
            </w:r>
          </w:p>
        </w:tc>
        <w:tc>
          <w:tcPr>
            <w:tcW w:w="991" w:type="dxa"/>
            <w:vMerge/>
            <w:shd w:val="clear" w:color="auto" w:fill="auto"/>
            <w:vAlign w:val="center"/>
            <w:hideMark/>
          </w:tcPr>
          <w:p w14:paraId="6788790E"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999061F" w14:textId="2BB7E8F3" w:rsidR="00F52411" w:rsidRPr="00F52411" w:rsidRDefault="008309CF" w:rsidP="008D1F0E">
            <w:pPr>
              <w:jc w:val="center"/>
              <w:rPr>
                <w:sz w:val="26"/>
                <w:szCs w:val="26"/>
                <w:lang w:eastAsia="en-US"/>
              </w:rPr>
            </w:pPr>
            <w:r>
              <w:rPr>
                <w:sz w:val="26"/>
                <w:szCs w:val="26"/>
                <w:lang w:eastAsia="en-US"/>
              </w:rPr>
              <w:t>0</w:t>
            </w:r>
          </w:p>
        </w:tc>
        <w:tc>
          <w:tcPr>
            <w:tcW w:w="868" w:type="dxa"/>
            <w:vMerge/>
            <w:shd w:val="clear" w:color="auto" w:fill="auto"/>
            <w:vAlign w:val="center"/>
            <w:hideMark/>
          </w:tcPr>
          <w:p w14:paraId="7E8CC3A7"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793AC930" w14:textId="1A2F82C1"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5F452973"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7B541A15" w14:textId="3937511C"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64799AC0" w14:textId="6B3DB435" w:rsidR="008309CF" w:rsidRDefault="008309CF" w:rsidP="008D1F0E">
            <w:pPr>
              <w:jc w:val="center"/>
              <w:rPr>
                <w:sz w:val="26"/>
                <w:szCs w:val="26"/>
                <w:lang w:eastAsia="en-US"/>
              </w:rPr>
            </w:pPr>
            <w:r>
              <w:rPr>
                <w:sz w:val="26"/>
                <w:szCs w:val="26"/>
                <w:lang w:eastAsia="en-US"/>
              </w:rPr>
              <w:t>0</w:t>
            </w:r>
          </w:p>
          <w:p w14:paraId="271EFF87" w14:textId="77777777" w:rsidR="00F52411" w:rsidRPr="008309CF" w:rsidRDefault="00F52411" w:rsidP="008309CF">
            <w:pPr>
              <w:rPr>
                <w:sz w:val="26"/>
                <w:szCs w:val="26"/>
                <w:lang w:eastAsia="en-US"/>
              </w:rPr>
            </w:pPr>
          </w:p>
        </w:tc>
      </w:tr>
      <w:tr w:rsidR="00F52411" w:rsidRPr="002D7166" w14:paraId="2E44BFC3" w14:textId="77777777" w:rsidTr="001E1276">
        <w:tc>
          <w:tcPr>
            <w:tcW w:w="1997" w:type="dxa"/>
            <w:shd w:val="clear" w:color="auto" w:fill="auto"/>
            <w:hideMark/>
          </w:tcPr>
          <w:p w14:paraId="3C0FE597" w14:textId="77777777" w:rsidR="00F52411" w:rsidRPr="00F52411" w:rsidRDefault="00F52411" w:rsidP="008D1F0E">
            <w:pPr>
              <w:rPr>
                <w:sz w:val="26"/>
                <w:szCs w:val="26"/>
                <w:lang w:eastAsia="en-US"/>
              </w:rPr>
            </w:pPr>
            <w:r w:rsidRPr="00F52411">
              <w:rPr>
                <w:sz w:val="26"/>
                <w:szCs w:val="26"/>
                <w:lang w:eastAsia="en-US"/>
              </w:rPr>
              <w:t>5.3. pašvaldību budžets</w:t>
            </w:r>
          </w:p>
        </w:tc>
        <w:tc>
          <w:tcPr>
            <w:tcW w:w="991" w:type="dxa"/>
            <w:vMerge/>
            <w:shd w:val="clear" w:color="auto" w:fill="auto"/>
            <w:vAlign w:val="center"/>
            <w:hideMark/>
          </w:tcPr>
          <w:p w14:paraId="48E7A673" w14:textId="77777777" w:rsidR="00F52411" w:rsidRPr="00F52411" w:rsidRDefault="00F52411" w:rsidP="008D1F0E">
            <w:pPr>
              <w:jc w:val="center"/>
              <w:rPr>
                <w:sz w:val="26"/>
                <w:szCs w:val="26"/>
                <w:lang w:eastAsia="en-US"/>
              </w:rPr>
            </w:pPr>
          </w:p>
        </w:tc>
        <w:tc>
          <w:tcPr>
            <w:tcW w:w="990" w:type="dxa"/>
            <w:shd w:val="clear" w:color="auto" w:fill="auto"/>
            <w:vAlign w:val="center"/>
            <w:hideMark/>
          </w:tcPr>
          <w:p w14:paraId="79E96663" w14:textId="6253AD1D" w:rsidR="008309CF" w:rsidRDefault="008309CF" w:rsidP="008D1F0E">
            <w:pPr>
              <w:jc w:val="center"/>
              <w:rPr>
                <w:sz w:val="26"/>
                <w:szCs w:val="26"/>
                <w:lang w:eastAsia="en-US"/>
              </w:rPr>
            </w:pPr>
            <w:r>
              <w:rPr>
                <w:sz w:val="26"/>
                <w:szCs w:val="26"/>
                <w:lang w:eastAsia="en-US"/>
              </w:rPr>
              <w:t>0</w:t>
            </w:r>
          </w:p>
          <w:p w14:paraId="7DDEAB04" w14:textId="77777777" w:rsidR="00F52411" w:rsidRPr="008309CF" w:rsidRDefault="00F52411" w:rsidP="008309CF">
            <w:pPr>
              <w:rPr>
                <w:sz w:val="26"/>
                <w:szCs w:val="26"/>
                <w:lang w:eastAsia="en-US"/>
              </w:rPr>
            </w:pPr>
          </w:p>
        </w:tc>
        <w:tc>
          <w:tcPr>
            <w:tcW w:w="868" w:type="dxa"/>
            <w:vMerge/>
            <w:shd w:val="clear" w:color="auto" w:fill="auto"/>
            <w:vAlign w:val="center"/>
            <w:hideMark/>
          </w:tcPr>
          <w:p w14:paraId="0A09D14A"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35AEB7F5" w14:textId="3F252AB2" w:rsidR="00F52411" w:rsidRPr="00F52411" w:rsidRDefault="008309CF" w:rsidP="008D1F0E">
            <w:pPr>
              <w:jc w:val="center"/>
              <w:rPr>
                <w:sz w:val="26"/>
                <w:szCs w:val="26"/>
                <w:lang w:eastAsia="en-US"/>
              </w:rPr>
            </w:pPr>
            <w:r>
              <w:rPr>
                <w:sz w:val="26"/>
                <w:szCs w:val="26"/>
                <w:lang w:eastAsia="en-US"/>
              </w:rPr>
              <w:t>0</w:t>
            </w:r>
          </w:p>
        </w:tc>
        <w:tc>
          <w:tcPr>
            <w:tcW w:w="867" w:type="dxa"/>
            <w:vMerge/>
            <w:shd w:val="clear" w:color="auto" w:fill="auto"/>
            <w:vAlign w:val="center"/>
            <w:hideMark/>
          </w:tcPr>
          <w:p w14:paraId="0AD41510" w14:textId="77777777" w:rsidR="00F52411" w:rsidRPr="00F52411" w:rsidRDefault="00F52411" w:rsidP="008D1F0E">
            <w:pPr>
              <w:jc w:val="center"/>
              <w:rPr>
                <w:sz w:val="26"/>
                <w:szCs w:val="26"/>
                <w:lang w:eastAsia="en-US"/>
              </w:rPr>
            </w:pPr>
          </w:p>
        </w:tc>
        <w:tc>
          <w:tcPr>
            <w:tcW w:w="867" w:type="dxa"/>
            <w:shd w:val="clear" w:color="auto" w:fill="auto"/>
            <w:vAlign w:val="center"/>
            <w:hideMark/>
          </w:tcPr>
          <w:p w14:paraId="0538BF3D" w14:textId="0FE3BD7E" w:rsidR="00F52411" w:rsidRPr="00F52411" w:rsidRDefault="008309CF" w:rsidP="008D1F0E">
            <w:pPr>
              <w:jc w:val="center"/>
              <w:rPr>
                <w:sz w:val="26"/>
                <w:szCs w:val="26"/>
                <w:lang w:eastAsia="en-US"/>
              </w:rPr>
            </w:pPr>
            <w:r>
              <w:rPr>
                <w:sz w:val="26"/>
                <w:szCs w:val="26"/>
                <w:lang w:eastAsia="en-US"/>
              </w:rPr>
              <w:t>0</w:t>
            </w:r>
          </w:p>
        </w:tc>
        <w:tc>
          <w:tcPr>
            <w:tcW w:w="918" w:type="dxa"/>
            <w:shd w:val="clear" w:color="auto" w:fill="auto"/>
            <w:vAlign w:val="center"/>
            <w:hideMark/>
          </w:tcPr>
          <w:p w14:paraId="6D0D3204" w14:textId="03C5E051" w:rsidR="008309CF" w:rsidRDefault="008309CF" w:rsidP="008D1F0E">
            <w:pPr>
              <w:jc w:val="center"/>
              <w:rPr>
                <w:sz w:val="26"/>
                <w:szCs w:val="26"/>
                <w:lang w:eastAsia="en-US"/>
              </w:rPr>
            </w:pPr>
            <w:r>
              <w:rPr>
                <w:sz w:val="26"/>
                <w:szCs w:val="26"/>
                <w:lang w:eastAsia="en-US"/>
              </w:rPr>
              <w:t>0</w:t>
            </w:r>
          </w:p>
          <w:p w14:paraId="4584693B" w14:textId="77777777" w:rsidR="00F52411" w:rsidRPr="008309CF" w:rsidRDefault="00F52411" w:rsidP="008309CF">
            <w:pPr>
              <w:rPr>
                <w:sz w:val="26"/>
                <w:szCs w:val="26"/>
                <w:lang w:eastAsia="en-US"/>
              </w:rPr>
            </w:pPr>
          </w:p>
        </w:tc>
      </w:tr>
      <w:tr w:rsidR="00F52411" w:rsidRPr="002D7166" w14:paraId="5C9E6D3A" w14:textId="77777777" w:rsidTr="001E1276">
        <w:tc>
          <w:tcPr>
            <w:tcW w:w="1997" w:type="dxa"/>
            <w:shd w:val="clear" w:color="auto" w:fill="auto"/>
            <w:hideMark/>
          </w:tcPr>
          <w:p w14:paraId="1E7D5C81" w14:textId="77777777" w:rsidR="00F52411" w:rsidRPr="00F52411" w:rsidRDefault="00F52411" w:rsidP="008D1F0E">
            <w:pPr>
              <w:rPr>
                <w:sz w:val="26"/>
                <w:szCs w:val="26"/>
                <w:lang w:eastAsia="en-US"/>
              </w:rPr>
            </w:pPr>
            <w:r w:rsidRPr="00F52411">
              <w:rPr>
                <w:sz w:val="26"/>
                <w:szCs w:val="26"/>
                <w:lang w:eastAsia="en-US"/>
              </w:rPr>
              <w:t>6. Detalizēts ieņēmumu un izdevumu aprēķins (ja nepieciešams, detalizētu ieņēmumu un izdevumu aprēķinu var pievienot anotācijas pielikumā)</w:t>
            </w:r>
          </w:p>
        </w:tc>
        <w:tc>
          <w:tcPr>
            <w:tcW w:w="6368" w:type="dxa"/>
            <w:gridSpan w:val="7"/>
            <w:vMerge w:val="restart"/>
            <w:shd w:val="clear" w:color="auto" w:fill="auto"/>
            <w:vAlign w:val="center"/>
            <w:hideMark/>
          </w:tcPr>
          <w:p w14:paraId="4A529156" w14:textId="4F7869C7" w:rsidR="00F52411" w:rsidRPr="00F52411" w:rsidRDefault="008309CF" w:rsidP="008309CF">
            <w:pPr>
              <w:rPr>
                <w:sz w:val="26"/>
                <w:szCs w:val="26"/>
                <w:lang w:eastAsia="en-US"/>
              </w:rPr>
            </w:pPr>
            <w:r w:rsidRPr="00F52411">
              <w:rPr>
                <w:sz w:val="26"/>
                <w:szCs w:val="26"/>
                <w:lang w:eastAsia="en-US"/>
              </w:rPr>
              <w:t>Likumprojekts šo jomu neskar.</w:t>
            </w:r>
          </w:p>
        </w:tc>
      </w:tr>
      <w:tr w:rsidR="00F52411" w:rsidRPr="002D7166" w14:paraId="5DF9DE86" w14:textId="77777777" w:rsidTr="001E1276">
        <w:tc>
          <w:tcPr>
            <w:tcW w:w="1997" w:type="dxa"/>
            <w:shd w:val="clear" w:color="auto" w:fill="auto"/>
            <w:hideMark/>
          </w:tcPr>
          <w:p w14:paraId="44D133DE" w14:textId="77777777" w:rsidR="00F52411" w:rsidRPr="00F52411" w:rsidRDefault="00F52411" w:rsidP="008D1F0E">
            <w:pPr>
              <w:rPr>
                <w:sz w:val="26"/>
                <w:szCs w:val="26"/>
                <w:lang w:eastAsia="en-US"/>
              </w:rPr>
            </w:pPr>
            <w:r w:rsidRPr="00F52411">
              <w:rPr>
                <w:sz w:val="26"/>
                <w:szCs w:val="26"/>
                <w:lang w:eastAsia="en-US"/>
              </w:rPr>
              <w:t>6.1. detalizēts ieņēmumu aprēķins</w:t>
            </w:r>
          </w:p>
        </w:tc>
        <w:tc>
          <w:tcPr>
            <w:tcW w:w="6368" w:type="dxa"/>
            <w:gridSpan w:val="7"/>
            <w:vMerge/>
            <w:shd w:val="clear" w:color="auto" w:fill="auto"/>
            <w:vAlign w:val="center"/>
            <w:hideMark/>
          </w:tcPr>
          <w:p w14:paraId="28BFB7C6" w14:textId="77777777" w:rsidR="00F52411" w:rsidRPr="00F52411" w:rsidRDefault="00F52411" w:rsidP="008D1F0E">
            <w:pPr>
              <w:jc w:val="center"/>
              <w:rPr>
                <w:sz w:val="26"/>
                <w:szCs w:val="26"/>
                <w:lang w:eastAsia="en-US"/>
              </w:rPr>
            </w:pPr>
          </w:p>
        </w:tc>
      </w:tr>
      <w:tr w:rsidR="00F52411" w:rsidRPr="002D7166" w14:paraId="77CCFAC8" w14:textId="77777777" w:rsidTr="001E1276">
        <w:tc>
          <w:tcPr>
            <w:tcW w:w="1997" w:type="dxa"/>
            <w:shd w:val="clear" w:color="auto" w:fill="auto"/>
            <w:hideMark/>
          </w:tcPr>
          <w:p w14:paraId="55DAB257" w14:textId="77777777" w:rsidR="00F52411" w:rsidRPr="00F52411" w:rsidRDefault="00F52411" w:rsidP="008D1F0E">
            <w:pPr>
              <w:rPr>
                <w:sz w:val="26"/>
                <w:szCs w:val="26"/>
                <w:lang w:eastAsia="en-US"/>
              </w:rPr>
            </w:pPr>
            <w:r w:rsidRPr="00F52411">
              <w:rPr>
                <w:sz w:val="26"/>
                <w:szCs w:val="26"/>
                <w:lang w:eastAsia="en-US"/>
              </w:rPr>
              <w:t>6.2. detalizēts izdevumu aprēķins</w:t>
            </w:r>
          </w:p>
        </w:tc>
        <w:tc>
          <w:tcPr>
            <w:tcW w:w="6368" w:type="dxa"/>
            <w:gridSpan w:val="7"/>
            <w:vMerge/>
            <w:shd w:val="clear" w:color="auto" w:fill="auto"/>
            <w:vAlign w:val="center"/>
            <w:hideMark/>
          </w:tcPr>
          <w:p w14:paraId="41F89084" w14:textId="77777777" w:rsidR="00F52411" w:rsidRPr="00F52411" w:rsidRDefault="00F52411" w:rsidP="008D1F0E">
            <w:pPr>
              <w:jc w:val="center"/>
              <w:rPr>
                <w:sz w:val="26"/>
                <w:szCs w:val="26"/>
                <w:lang w:eastAsia="en-US"/>
              </w:rPr>
            </w:pPr>
          </w:p>
        </w:tc>
      </w:tr>
      <w:tr w:rsidR="00F52411" w:rsidRPr="002D7166" w14:paraId="2430E4A4" w14:textId="77777777" w:rsidTr="001E1276">
        <w:tc>
          <w:tcPr>
            <w:tcW w:w="1997" w:type="dxa"/>
            <w:shd w:val="clear" w:color="auto" w:fill="auto"/>
            <w:hideMark/>
          </w:tcPr>
          <w:p w14:paraId="0DBDBAE7" w14:textId="77777777" w:rsidR="00F52411" w:rsidRPr="00F52411" w:rsidRDefault="00F52411" w:rsidP="008D1F0E">
            <w:pPr>
              <w:rPr>
                <w:sz w:val="26"/>
                <w:szCs w:val="26"/>
                <w:lang w:eastAsia="en-US"/>
              </w:rPr>
            </w:pPr>
            <w:r w:rsidRPr="00F52411">
              <w:rPr>
                <w:sz w:val="26"/>
                <w:szCs w:val="26"/>
                <w:lang w:eastAsia="en-US"/>
              </w:rPr>
              <w:t>7. Amata vietu skaita izmaiņas</w:t>
            </w:r>
          </w:p>
        </w:tc>
        <w:tc>
          <w:tcPr>
            <w:tcW w:w="6368" w:type="dxa"/>
            <w:gridSpan w:val="7"/>
            <w:shd w:val="clear" w:color="auto" w:fill="auto"/>
            <w:hideMark/>
          </w:tcPr>
          <w:p w14:paraId="42B7E74A" w14:textId="3439AAD1" w:rsidR="00F52411" w:rsidRPr="00F52411" w:rsidRDefault="00F52411" w:rsidP="008D1F0E">
            <w:pPr>
              <w:rPr>
                <w:sz w:val="26"/>
                <w:szCs w:val="26"/>
                <w:lang w:eastAsia="en-US"/>
              </w:rPr>
            </w:pPr>
            <w:r w:rsidRPr="00F52411">
              <w:rPr>
                <w:sz w:val="26"/>
                <w:szCs w:val="26"/>
                <w:lang w:eastAsia="en-US"/>
              </w:rPr>
              <w:t>Likumprojekts šo jomu neskar.</w:t>
            </w:r>
          </w:p>
        </w:tc>
      </w:tr>
      <w:tr w:rsidR="00F52411" w:rsidRPr="002D7166" w14:paraId="04BE5659" w14:textId="77777777" w:rsidTr="001E1276">
        <w:tc>
          <w:tcPr>
            <w:tcW w:w="1997" w:type="dxa"/>
            <w:shd w:val="clear" w:color="auto" w:fill="auto"/>
            <w:hideMark/>
          </w:tcPr>
          <w:p w14:paraId="02C02A7E" w14:textId="77777777" w:rsidR="00F52411" w:rsidRPr="00F52411" w:rsidRDefault="00F52411" w:rsidP="008D1F0E">
            <w:pPr>
              <w:rPr>
                <w:sz w:val="26"/>
                <w:szCs w:val="26"/>
                <w:lang w:eastAsia="en-US"/>
              </w:rPr>
            </w:pPr>
            <w:r w:rsidRPr="00F52411">
              <w:rPr>
                <w:sz w:val="26"/>
                <w:szCs w:val="26"/>
                <w:lang w:eastAsia="en-US"/>
              </w:rPr>
              <w:t>8. Cita informācija</w:t>
            </w:r>
          </w:p>
        </w:tc>
        <w:tc>
          <w:tcPr>
            <w:tcW w:w="6368" w:type="dxa"/>
            <w:gridSpan w:val="7"/>
            <w:shd w:val="clear" w:color="auto" w:fill="auto"/>
            <w:hideMark/>
          </w:tcPr>
          <w:p w14:paraId="52530D89" w14:textId="77777777" w:rsidR="00F52411" w:rsidRPr="0052534B" w:rsidRDefault="00F52411" w:rsidP="00F52411">
            <w:pPr>
              <w:jc w:val="both"/>
              <w:rPr>
                <w:sz w:val="26"/>
                <w:szCs w:val="28"/>
              </w:rPr>
            </w:pPr>
            <w:r w:rsidRPr="00936457">
              <w:rPr>
                <w:sz w:val="26"/>
                <w:szCs w:val="28"/>
              </w:rPr>
              <w:t xml:space="preserve">Izglītības likuma 60. panta desmitajā daļā minētais papildu valsts budžeta finansējuma apjoms tika plānots, norādot papildu nepieciešamo finansējumu Izglītības un zinātnes ministrijas prioritārā pasākuma pieteikumā vidējam termiņam (2019. gadam – 202 515 </w:t>
            </w:r>
            <w:r w:rsidRPr="00936457">
              <w:rPr>
                <w:i/>
                <w:sz w:val="26"/>
                <w:szCs w:val="28"/>
              </w:rPr>
              <w:t>euro</w:t>
            </w:r>
            <w:r w:rsidRPr="00936457">
              <w:rPr>
                <w:sz w:val="26"/>
                <w:szCs w:val="28"/>
              </w:rPr>
              <w:t xml:space="preserve"> (noteiktā zemākā mēneša darba algas likme pedagogam 680 </w:t>
            </w:r>
            <w:r w:rsidRPr="00936457">
              <w:rPr>
                <w:i/>
                <w:sz w:val="26"/>
                <w:szCs w:val="28"/>
              </w:rPr>
              <w:t>euro</w:t>
            </w:r>
            <w:r w:rsidRPr="00936457">
              <w:rPr>
                <w:sz w:val="26"/>
                <w:szCs w:val="28"/>
              </w:rPr>
              <w:t xml:space="preserve">), 2020. gadam – 211 450 </w:t>
            </w:r>
            <w:r w:rsidRPr="00936457">
              <w:rPr>
                <w:i/>
                <w:sz w:val="26"/>
                <w:szCs w:val="28"/>
              </w:rPr>
              <w:t>euro</w:t>
            </w:r>
            <w:r w:rsidRPr="00936457">
              <w:rPr>
                <w:sz w:val="26"/>
                <w:szCs w:val="28"/>
              </w:rPr>
              <w:t xml:space="preserve"> (noteiktā zemākā mēneša darba algas likme pedagogam 710 </w:t>
            </w:r>
            <w:r w:rsidRPr="00936457">
              <w:rPr>
                <w:i/>
                <w:sz w:val="26"/>
                <w:szCs w:val="28"/>
              </w:rPr>
              <w:t>euro</w:t>
            </w:r>
            <w:r w:rsidRPr="00936457">
              <w:rPr>
                <w:sz w:val="26"/>
                <w:szCs w:val="28"/>
              </w:rPr>
              <w:t xml:space="preserve">) un 2021. gadam – 223 362 </w:t>
            </w:r>
            <w:r w:rsidRPr="00936457">
              <w:rPr>
                <w:i/>
                <w:sz w:val="26"/>
                <w:szCs w:val="28"/>
              </w:rPr>
              <w:t>euro</w:t>
            </w:r>
            <w:r w:rsidRPr="00936457">
              <w:rPr>
                <w:sz w:val="26"/>
                <w:szCs w:val="28"/>
              </w:rPr>
              <w:t xml:space="preserve"> (noteiktā zemākā mēneša darba algas likme pedagogam 750 </w:t>
            </w:r>
            <w:r w:rsidRPr="00936457">
              <w:rPr>
                <w:i/>
                <w:sz w:val="26"/>
                <w:szCs w:val="28"/>
              </w:rPr>
              <w:t>euro</w:t>
            </w:r>
            <w:r w:rsidRPr="00936457">
              <w:rPr>
                <w:sz w:val="26"/>
                <w:szCs w:val="28"/>
              </w:rPr>
              <w:t xml:space="preserve">). Ņemot vērā to, ka 2019. gadā tiek strādāts tehniskā budžeta ietvarā un netiek skatīti prioritāro pasākumu pieteikumi, likumprojekts paredz pagarināt Izglītības likuma pārejas noteikumu 78. punktā noteiktā regulējuma spēkā stāšanās </w:t>
            </w:r>
            <w:r w:rsidRPr="0052534B">
              <w:rPr>
                <w:sz w:val="26"/>
                <w:szCs w:val="28"/>
              </w:rPr>
              <w:t>laiku par vienu gadu, to nosakot 2020. gada 1. septembri.</w:t>
            </w:r>
          </w:p>
          <w:p w14:paraId="212ADF1E" w14:textId="33B2ACF6" w:rsidR="00A379BB" w:rsidRPr="006E3FAF" w:rsidRDefault="00A379BB" w:rsidP="0052534B">
            <w:pPr>
              <w:jc w:val="both"/>
              <w:rPr>
                <w:sz w:val="26"/>
                <w:szCs w:val="26"/>
                <w:lang w:eastAsia="en-US"/>
              </w:rPr>
            </w:pPr>
            <w:r w:rsidRPr="0052534B">
              <w:rPr>
                <w:sz w:val="26"/>
                <w:szCs w:val="26"/>
              </w:rPr>
              <w:t xml:space="preserve">Jautājums par papildus nepieciešamo finansējumu  2020. gadam un turpmāk, skatāms Ministru kabinetā likumprojekta </w:t>
            </w:r>
            <w:r w:rsidR="0052534B" w:rsidRPr="0052534B">
              <w:rPr>
                <w:sz w:val="26"/>
                <w:szCs w:val="26"/>
              </w:rPr>
              <w:t>“</w:t>
            </w:r>
            <w:r w:rsidRPr="0052534B">
              <w:rPr>
                <w:sz w:val="26"/>
                <w:szCs w:val="26"/>
              </w:rPr>
              <w:t>Par vidēja termiņa budžeta ietvaru 2020., 2021. un 2022. gadam</w:t>
            </w:r>
            <w:r w:rsidR="0052534B" w:rsidRPr="0052534B">
              <w:rPr>
                <w:sz w:val="26"/>
                <w:szCs w:val="26"/>
              </w:rPr>
              <w:t>”</w:t>
            </w:r>
            <w:r w:rsidRPr="0052534B">
              <w:rPr>
                <w:sz w:val="26"/>
                <w:szCs w:val="26"/>
              </w:rPr>
              <w:t xml:space="preserve"> un </w:t>
            </w:r>
            <w:r w:rsidRPr="0052534B">
              <w:rPr>
                <w:sz w:val="26"/>
                <w:szCs w:val="26"/>
              </w:rPr>
              <w:lastRenderedPageBreak/>
              <w:t xml:space="preserve">likumprojekta </w:t>
            </w:r>
            <w:r w:rsidR="0052534B" w:rsidRPr="0052534B">
              <w:rPr>
                <w:sz w:val="26"/>
                <w:szCs w:val="26"/>
              </w:rPr>
              <w:t>“</w:t>
            </w:r>
            <w:r w:rsidRPr="0052534B">
              <w:rPr>
                <w:sz w:val="26"/>
                <w:szCs w:val="26"/>
              </w:rPr>
              <w:t>Par va</w:t>
            </w:r>
            <w:bookmarkStart w:id="0" w:name="_GoBack"/>
            <w:bookmarkEnd w:id="0"/>
            <w:r w:rsidRPr="0052534B">
              <w:rPr>
                <w:sz w:val="26"/>
                <w:szCs w:val="26"/>
              </w:rPr>
              <w:t>lsts budžetu 2020. gadam</w:t>
            </w:r>
            <w:r w:rsidR="0052534B" w:rsidRPr="0052534B">
              <w:rPr>
                <w:sz w:val="26"/>
                <w:szCs w:val="26"/>
              </w:rPr>
              <w:t>”</w:t>
            </w:r>
            <w:r w:rsidRPr="0052534B">
              <w:rPr>
                <w:sz w:val="26"/>
                <w:szCs w:val="26"/>
              </w:rPr>
              <w:t xml:space="preserve"> sagatavošanas un izskatīšanas procesā.</w:t>
            </w:r>
          </w:p>
        </w:tc>
      </w:tr>
    </w:tbl>
    <w:p w14:paraId="56BA3D61" w14:textId="77777777" w:rsidR="00F52411" w:rsidRPr="00936457" w:rsidRDefault="00F52411" w:rsidP="00F52411">
      <w:pPr>
        <w:pStyle w:val="Title"/>
        <w:jc w:val="both"/>
        <w:rPr>
          <w:sz w:val="26"/>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4F5E02" w:rsidRPr="002A3DBF" w14:paraId="6CCD381E" w14:textId="77777777" w:rsidTr="007D6E97">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4A48FAE0" w14:textId="77777777" w:rsidR="004F5E02" w:rsidRPr="00936457" w:rsidRDefault="004F5E02" w:rsidP="00936457">
            <w:pPr>
              <w:jc w:val="center"/>
              <w:rPr>
                <w:b/>
                <w:bCs/>
                <w:sz w:val="26"/>
                <w:szCs w:val="28"/>
                <w:lang w:eastAsia="en-US"/>
              </w:rPr>
            </w:pPr>
            <w:r w:rsidRPr="00936457">
              <w:rPr>
                <w:b/>
                <w:bCs/>
                <w:sz w:val="26"/>
                <w:szCs w:val="28"/>
                <w:lang w:eastAsia="en-US"/>
              </w:rPr>
              <w:t>IV. Tiesību akta projekta ietekme uz spēkā esošo tiesību normu sistēmu</w:t>
            </w:r>
          </w:p>
        </w:tc>
      </w:tr>
      <w:tr w:rsidR="007D6E97" w:rsidRPr="002A3DBF" w14:paraId="3D8017A5" w14:textId="77777777" w:rsidTr="007D6E97">
        <w:trPr>
          <w:cantSplit/>
          <w:trHeight w:val="40"/>
        </w:trPr>
        <w:tc>
          <w:tcPr>
            <w:tcW w:w="9061" w:type="dxa"/>
            <w:tcBorders>
              <w:top w:val="single" w:sz="4" w:space="0" w:color="auto"/>
              <w:left w:val="single" w:sz="4" w:space="0" w:color="auto"/>
              <w:right w:val="single" w:sz="4" w:space="0" w:color="auto"/>
            </w:tcBorders>
            <w:tcMar>
              <w:top w:w="30" w:type="dxa"/>
              <w:left w:w="30" w:type="dxa"/>
              <w:bottom w:w="30" w:type="dxa"/>
              <w:right w:w="30" w:type="dxa"/>
            </w:tcMar>
            <w:hideMark/>
          </w:tcPr>
          <w:p w14:paraId="17EEC173" w14:textId="77777777" w:rsidR="007D6E97" w:rsidRPr="00936457" w:rsidRDefault="007D6E97" w:rsidP="00936457">
            <w:pPr>
              <w:jc w:val="center"/>
              <w:rPr>
                <w:sz w:val="26"/>
                <w:szCs w:val="28"/>
                <w:lang w:eastAsia="en-US"/>
              </w:rPr>
            </w:pPr>
            <w:r w:rsidRPr="00936457">
              <w:rPr>
                <w:sz w:val="26"/>
                <w:szCs w:val="28"/>
                <w:lang w:eastAsia="en-US"/>
              </w:rPr>
              <w:t>Likumprojekts šo jomu neskar</w:t>
            </w:r>
          </w:p>
        </w:tc>
      </w:tr>
    </w:tbl>
    <w:p w14:paraId="7617D7A0" w14:textId="77777777" w:rsidR="004F5E02" w:rsidRPr="00936457" w:rsidRDefault="004F5E02" w:rsidP="00936457">
      <w:pPr>
        <w:pStyle w:val="Title"/>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F5E02" w:rsidRPr="002A3DBF" w14:paraId="2E22DFC4" w14:textId="77777777" w:rsidTr="004F5E02">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0BB8084B" w14:textId="77777777" w:rsidR="004F5E02" w:rsidRPr="00936457" w:rsidRDefault="004F5E02" w:rsidP="00936457">
            <w:pPr>
              <w:jc w:val="center"/>
              <w:rPr>
                <w:b/>
                <w:bCs/>
                <w:sz w:val="26"/>
                <w:szCs w:val="28"/>
                <w:lang w:eastAsia="en-US"/>
              </w:rPr>
            </w:pPr>
            <w:r w:rsidRPr="00936457">
              <w:rPr>
                <w:b/>
                <w:bCs/>
                <w:sz w:val="26"/>
                <w:szCs w:val="28"/>
                <w:lang w:eastAsia="en-US"/>
              </w:rPr>
              <w:t>V. Tiesību akta projekta atbilstība Latvijas Republikas starptautiskajām saistībām</w:t>
            </w:r>
          </w:p>
        </w:tc>
      </w:tr>
      <w:tr w:rsidR="004F5E02" w:rsidRPr="002A3DBF" w14:paraId="16132CDA" w14:textId="77777777" w:rsidTr="004F5E02">
        <w:trPr>
          <w:cantSplit/>
          <w:trHeight w:val="439"/>
        </w:trPr>
        <w:tc>
          <w:tcPr>
            <w:tcW w:w="5000" w:type="pct"/>
            <w:tcBorders>
              <w:top w:val="single" w:sz="4" w:space="0" w:color="auto"/>
              <w:left w:val="single" w:sz="4" w:space="0" w:color="auto"/>
              <w:right w:val="single" w:sz="4" w:space="0" w:color="auto"/>
            </w:tcBorders>
            <w:hideMark/>
          </w:tcPr>
          <w:p w14:paraId="0AEF36BA" w14:textId="77777777" w:rsidR="004F5E02" w:rsidRPr="00936457" w:rsidRDefault="004F5E02" w:rsidP="00936457">
            <w:pPr>
              <w:jc w:val="center"/>
              <w:rPr>
                <w:sz w:val="26"/>
                <w:szCs w:val="28"/>
                <w:lang w:eastAsia="en-US"/>
              </w:rPr>
            </w:pPr>
            <w:r w:rsidRPr="00936457">
              <w:rPr>
                <w:sz w:val="26"/>
                <w:szCs w:val="28"/>
                <w:lang w:eastAsia="en-US"/>
              </w:rPr>
              <w:t>Likumprojekts šo jomu neskar</w:t>
            </w:r>
          </w:p>
        </w:tc>
      </w:tr>
    </w:tbl>
    <w:p w14:paraId="78AC7245"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0711058F"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AA8C16C" w14:textId="77777777" w:rsidR="004F5E02" w:rsidRPr="00936457" w:rsidRDefault="004F5E02" w:rsidP="00936457">
            <w:pPr>
              <w:jc w:val="center"/>
              <w:rPr>
                <w:b/>
                <w:bCs/>
                <w:sz w:val="26"/>
                <w:szCs w:val="28"/>
                <w:lang w:eastAsia="en-US"/>
              </w:rPr>
            </w:pPr>
            <w:r w:rsidRPr="00936457">
              <w:rPr>
                <w:b/>
                <w:bCs/>
                <w:sz w:val="26"/>
                <w:szCs w:val="28"/>
                <w:lang w:eastAsia="en-US"/>
              </w:rPr>
              <w:t>VI. Sabiedrības līdzdalība un komunikācijas aktivitātes</w:t>
            </w:r>
          </w:p>
        </w:tc>
      </w:tr>
      <w:tr w:rsidR="004F5E02" w:rsidRPr="002A3DBF" w14:paraId="76BEBB32"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330EF0B4"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5F34F43E" w14:textId="77777777" w:rsidR="004F5E02" w:rsidRPr="00936457" w:rsidRDefault="004F5E02" w:rsidP="00936457">
            <w:pPr>
              <w:rPr>
                <w:sz w:val="26"/>
                <w:szCs w:val="28"/>
                <w:lang w:eastAsia="en-US"/>
              </w:rPr>
            </w:pPr>
            <w:r w:rsidRPr="00936457">
              <w:rPr>
                <w:sz w:val="26"/>
                <w:szCs w:val="28"/>
                <w:lang w:eastAsia="en-US"/>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22D8EB11" w14:textId="3198E38C" w:rsidR="00FF4D6C" w:rsidRPr="00936457" w:rsidRDefault="00FF4D6C" w:rsidP="00BA7ADE">
            <w:pPr>
              <w:ind w:firstLine="295"/>
              <w:jc w:val="both"/>
              <w:rPr>
                <w:sz w:val="26"/>
                <w:szCs w:val="28"/>
                <w:lang w:eastAsia="en-US"/>
              </w:rPr>
            </w:pPr>
            <w:r w:rsidRPr="00936457">
              <w:rPr>
                <w:bCs/>
                <w:sz w:val="26"/>
                <w:szCs w:val="28"/>
              </w:rPr>
              <w:t xml:space="preserve">Par likumprojektu plānots informēt </w:t>
            </w:r>
            <w:r w:rsidR="00DA04DD" w:rsidRPr="00936457">
              <w:rPr>
                <w:bCs/>
                <w:sz w:val="26"/>
                <w:szCs w:val="28"/>
              </w:rPr>
              <w:t>republikas pilsētu un novadu izglītības pārvaldes un izglītības speciālistus</w:t>
            </w:r>
            <w:r w:rsidR="008550F4">
              <w:rPr>
                <w:bCs/>
                <w:sz w:val="26"/>
                <w:szCs w:val="28"/>
              </w:rPr>
              <w:t xml:space="preserve"> seminārā, kas paredzēts 2019. gada martā</w:t>
            </w:r>
            <w:r w:rsidR="00DA04DD" w:rsidRPr="00936457">
              <w:rPr>
                <w:bCs/>
                <w:sz w:val="26"/>
                <w:szCs w:val="28"/>
              </w:rPr>
              <w:t>.</w:t>
            </w:r>
          </w:p>
        </w:tc>
      </w:tr>
      <w:tr w:rsidR="004F5E02" w:rsidRPr="002A3DBF" w14:paraId="5FCFF784"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0E206D12"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0D05016A" w14:textId="77777777" w:rsidR="004F5E02" w:rsidRPr="00936457" w:rsidRDefault="004F5E02" w:rsidP="00936457">
            <w:pPr>
              <w:rPr>
                <w:sz w:val="26"/>
                <w:szCs w:val="28"/>
                <w:lang w:eastAsia="en-US"/>
              </w:rPr>
            </w:pPr>
            <w:r w:rsidRPr="00936457">
              <w:rPr>
                <w:sz w:val="26"/>
                <w:szCs w:val="28"/>
                <w:lang w:eastAsia="en-US"/>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141409FD"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102F3495"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48575D2B"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A9E08C5" w14:textId="77777777" w:rsidR="004F5E02" w:rsidRPr="00936457" w:rsidRDefault="004F5E02" w:rsidP="00936457">
            <w:pPr>
              <w:rPr>
                <w:sz w:val="26"/>
                <w:szCs w:val="28"/>
                <w:lang w:eastAsia="en-US"/>
              </w:rPr>
            </w:pPr>
            <w:r w:rsidRPr="00936457">
              <w:rPr>
                <w:sz w:val="26"/>
                <w:szCs w:val="28"/>
                <w:lang w:eastAsia="en-US"/>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7BC358B6" w14:textId="77777777" w:rsidR="004F5E02" w:rsidRPr="00936457" w:rsidRDefault="007D6E97" w:rsidP="00936457">
            <w:pPr>
              <w:rPr>
                <w:sz w:val="26"/>
                <w:szCs w:val="28"/>
                <w:lang w:eastAsia="en-US"/>
              </w:rPr>
            </w:pPr>
            <w:r w:rsidRPr="00936457">
              <w:rPr>
                <w:sz w:val="26"/>
                <w:szCs w:val="28"/>
                <w:lang w:eastAsia="en-US"/>
              </w:rPr>
              <w:t>Likumprojekts šo jomu neskar.</w:t>
            </w:r>
          </w:p>
        </w:tc>
      </w:tr>
      <w:tr w:rsidR="004F5E02" w:rsidRPr="002A3DBF" w14:paraId="21D81FE1"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E00F258" w14:textId="77777777" w:rsidR="004F5E02" w:rsidRPr="00936457" w:rsidRDefault="004F5E02" w:rsidP="00936457">
            <w:pPr>
              <w:jc w:val="center"/>
              <w:rPr>
                <w:sz w:val="26"/>
                <w:szCs w:val="28"/>
                <w:lang w:eastAsia="en-US"/>
              </w:rPr>
            </w:pPr>
            <w:r w:rsidRPr="00936457">
              <w:rPr>
                <w:sz w:val="26"/>
                <w:szCs w:val="28"/>
                <w:lang w:eastAsia="en-US"/>
              </w:rPr>
              <w:t>4.</w:t>
            </w:r>
          </w:p>
        </w:tc>
        <w:tc>
          <w:tcPr>
            <w:tcW w:w="1479" w:type="pct"/>
            <w:tcBorders>
              <w:top w:val="single" w:sz="4" w:space="0" w:color="auto"/>
              <w:left w:val="single" w:sz="4" w:space="0" w:color="auto"/>
              <w:bottom w:val="single" w:sz="4" w:space="0" w:color="auto"/>
              <w:right w:val="single" w:sz="4" w:space="0" w:color="auto"/>
            </w:tcBorders>
            <w:hideMark/>
          </w:tcPr>
          <w:p w14:paraId="055E1F58"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6E532BD" w14:textId="77777777" w:rsidR="004F5E02" w:rsidRPr="00936457" w:rsidRDefault="007D6E97" w:rsidP="00936457">
            <w:pPr>
              <w:rPr>
                <w:sz w:val="26"/>
                <w:szCs w:val="28"/>
                <w:lang w:eastAsia="en-US"/>
              </w:rPr>
            </w:pPr>
            <w:r w:rsidRPr="00936457">
              <w:rPr>
                <w:sz w:val="26"/>
                <w:szCs w:val="28"/>
                <w:lang w:eastAsia="en-US"/>
              </w:rPr>
              <w:t>Nav.</w:t>
            </w:r>
          </w:p>
        </w:tc>
      </w:tr>
    </w:tbl>
    <w:p w14:paraId="7B4BBC72" w14:textId="77777777" w:rsidR="004F5E02" w:rsidRPr="00936457" w:rsidRDefault="004F5E02" w:rsidP="00936457">
      <w:pPr>
        <w:pStyle w:val="Title"/>
        <w:ind w:firstLine="539"/>
        <w:jc w:val="both"/>
        <w:rPr>
          <w:sz w:val="2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F5E02" w:rsidRPr="002A3DBF" w14:paraId="6A2A8848" w14:textId="77777777" w:rsidTr="004F5E02">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3896D15" w14:textId="77777777" w:rsidR="004F5E02" w:rsidRPr="00936457" w:rsidRDefault="004F5E02" w:rsidP="00936457">
            <w:pPr>
              <w:jc w:val="center"/>
              <w:rPr>
                <w:b/>
                <w:bCs/>
                <w:sz w:val="26"/>
                <w:szCs w:val="28"/>
                <w:lang w:eastAsia="en-US"/>
              </w:rPr>
            </w:pPr>
            <w:r w:rsidRPr="00936457">
              <w:rPr>
                <w:b/>
                <w:bCs/>
                <w:sz w:val="26"/>
                <w:szCs w:val="28"/>
                <w:lang w:eastAsia="en-US"/>
              </w:rPr>
              <w:t>VII. Tiesību akta projekta izpildes nodrošināšana un tās ietekme uz institūcijām</w:t>
            </w:r>
          </w:p>
        </w:tc>
      </w:tr>
      <w:tr w:rsidR="004F5E02" w:rsidRPr="002A3DBF" w14:paraId="63C038D5"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7CBB2132" w14:textId="77777777" w:rsidR="004F5E02" w:rsidRPr="00936457" w:rsidRDefault="004F5E02" w:rsidP="00936457">
            <w:pPr>
              <w:jc w:val="center"/>
              <w:rPr>
                <w:sz w:val="26"/>
                <w:szCs w:val="28"/>
                <w:lang w:eastAsia="en-US"/>
              </w:rPr>
            </w:pPr>
            <w:r w:rsidRPr="00936457">
              <w:rPr>
                <w:sz w:val="26"/>
                <w:szCs w:val="28"/>
                <w:lang w:eastAsia="en-US"/>
              </w:rPr>
              <w:t>1.</w:t>
            </w:r>
          </w:p>
        </w:tc>
        <w:tc>
          <w:tcPr>
            <w:tcW w:w="1479" w:type="pct"/>
            <w:tcBorders>
              <w:top w:val="single" w:sz="4" w:space="0" w:color="auto"/>
              <w:left w:val="single" w:sz="4" w:space="0" w:color="auto"/>
              <w:bottom w:val="single" w:sz="4" w:space="0" w:color="auto"/>
              <w:right w:val="single" w:sz="4" w:space="0" w:color="auto"/>
            </w:tcBorders>
            <w:hideMark/>
          </w:tcPr>
          <w:p w14:paraId="31F582B6" w14:textId="77777777" w:rsidR="004F5E02" w:rsidRPr="00936457" w:rsidRDefault="004F5E02" w:rsidP="00936457">
            <w:pPr>
              <w:rPr>
                <w:sz w:val="26"/>
                <w:szCs w:val="28"/>
                <w:lang w:eastAsia="en-US"/>
              </w:rPr>
            </w:pPr>
            <w:r w:rsidRPr="00936457">
              <w:rPr>
                <w:sz w:val="26"/>
                <w:szCs w:val="28"/>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32A44A39" w14:textId="77777777" w:rsidR="004F5E02" w:rsidRPr="00936457" w:rsidRDefault="008E4A0A" w:rsidP="00936457">
            <w:pPr>
              <w:rPr>
                <w:sz w:val="26"/>
                <w:szCs w:val="28"/>
                <w:lang w:eastAsia="en-US"/>
              </w:rPr>
            </w:pPr>
            <w:r w:rsidRPr="00936457">
              <w:rPr>
                <w:sz w:val="26"/>
                <w:szCs w:val="28"/>
                <w:lang w:eastAsia="en-US"/>
              </w:rPr>
              <w:t>Izglītības un zinātnes ministrija.</w:t>
            </w:r>
          </w:p>
        </w:tc>
      </w:tr>
      <w:tr w:rsidR="004F5E02" w:rsidRPr="002A3DBF" w14:paraId="6736467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60513232" w14:textId="77777777" w:rsidR="004F5E02" w:rsidRPr="00936457" w:rsidRDefault="004F5E02" w:rsidP="00936457">
            <w:pPr>
              <w:jc w:val="center"/>
              <w:rPr>
                <w:sz w:val="26"/>
                <w:szCs w:val="28"/>
                <w:lang w:eastAsia="en-US"/>
              </w:rPr>
            </w:pPr>
            <w:r w:rsidRPr="00936457">
              <w:rPr>
                <w:sz w:val="26"/>
                <w:szCs w:val="28"/>
                <w:lang w:eastAsia="en-US"/>
              </w:rPr>
              <w:t>2.</w:t>
            </w:r>
          </w:p>
        </w:tc>
        <w:tc>
          <w:tcPr>
            <w:tcW w:w="1479" w:type="pct"/>
            <w:tcBorders>
              <w:top w:val="single" w:sz="4" w:space="0" w:color="auto"/>
              <w:left w:val="single" w:sz="4" w:space="0" w:color="auto"/>
              <w:bottom w:val="single" w:sz="4" w:space="0" w:color="auto"/>
              <w:right w:val="single" w:sz="4" w:space="0" w:color="auto"/>
            </w:tcBorders>
            <w:hideMark/>
          </w:tcPr>
          <w:p w14:paraId="25FF9ACE" w14:textId="77777777" w:rsidR="004F5E02" w:rsidRPr="00936457" w:rsidRDefault="004F5E02" w:rsidP="00936457">
            <w:pPr>
              <w:rPr>
                <w:sz w:val="26"/>
                <w:szCs w:val="28"/>
                <w:lang w:eastAsia="en-US"/>
              </w:rPr>
            </w:pPr>
            <w:r w:rsidRPr="00936457">
              <w:rPr>
                <w:sz w:val="26"/>
                <w:szCs w:val="28"/>
                <w:lang w:eastAsia="en-US"/>
              </w:rPr>
              <w:t>Projekta izpildes ietekme uz pārvaldes funkcijām un institucionālo struktūru.</w:t>
            </w:r>
            <w:r w:rsidRPr="00936457">
              <w:rPr>
                <w:sz w:val="26"/>
                <w:szCs w:val="28"/>
                <w:lang w:eastAsia="en-US"/>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59E2A73A" w14:textId="77777777" w:rsidR="004F5E02" w:rsidRPr="00936457" w:rsidRDefault="004B6F16" w:rsidP="00BA7ADE">
            <w:pPr>
              <w:ind w:firstLine="295"/>
              <w:jc w:val="both"/>
              <w:rPr>
                <w:sz w:val="26"/>
                <w:szCs w:val="28"/>
                <w:lang w:eastAsia="en-US"/>
              </w:rPr>
            </w:pPr>
            <w:r w:rsidRPr="00936457">
              <w:rPr>
                <w:sz w:val="26"/>
                <w:szCs w:val="28"/>
                <w:lang w:eastAsia="en-US"/>
              </w:rPr>
              <w:t>Likumprojekta izpildē iesaistīt</w:t>
            </w:r>
            <w:r w:rsidR="008E4A0A" w:rsidRPr="00936457">
              <w:rPr>
                <w:sz w:val="26"/>
                <w:szCs w:val="28"/>
                <w:lang w:eastAsia="en-US"/>
              </w:rPr>
              <w:t>ās</w:t>
            </w:r>
            <w:r w:rsidRPr="00936457">
              <w:rPr>
                <w:sz w:val="26"/>
                <w:szCs w:val="28"/>
                <w:lang w:eastAsia="en-US"/>
              </w:rPr>
              <w:t xml:space="preserve"> institūcij</w:t>
            </w:r>
            <w:r w:rsidR="008E4A0A" w:rsidRPr="00936457">
              <w:rPr>
                <w:sz w:val="26"/>
                <w:szCs w:val="28"/>
                <w:lang w:eastAsia="en-US"/>
              </w:rPr>
              <w:t>as</w:t>
            </w:r>
            <w:r w:rsidRPr="00936457">
              <w:rPr>
                <w:sz w:val="26"/>
                <w:szCs w:val="28"/>
                <w:lang w:eastAsia="en-US"/>
              </w:rPr>
              <w:t xml:space="preserve"> </w:t>
            </w:r>
            <w:r w:rsidR="008E4A0A" w:rsidRPr="00936457">
              <w:rPr>
                <w:sz w:val="26"/>
                <w:szCs w:val="28"/>
                <w:lang w:eastAsia="en-US"/>
              </w:rPr>
              <w:t xml:space="preserve">funkcijas </w:t>
            </w:r>
            <w:r w:rsidR="008E4A0A" w:rsidRPr="00936457">
              <w:rPr>
                <w:bCs/>
                <w:sz w:val="26"/>
                <w:szCs w:val="28"/>
              </w:rPr>
              <w:t>un</w:t>
            </w:r>
            <w:r w:rsidR="008E4A0A" w:rsidRPr="00936457">
              <w:rPr>
                <w:sz w:val="26"/>
                <w:szCs w:val="28"/>
                <w:lang w:eastAsia="en-US"/>
              </w:rPr>
              <w:t xml:space="preserve"> </w:t>
            </w:r>
            <w:r w:rsidRPr="00936457">
              <w:rPr>
                <w:sz w:val="26"/>
                <w:szCs w:val="28"/>
                <w:lang w:eastAsia="en-US"/>
              </w:rPr>
              <w:t>uzdevumi netiek paplašināti vai sašaurināti.</w:t>
            </w:r>
          </w:p>
        </w:tc>
      </w:tr>
      <w:tr w:rsidR="004F5E02" w:rsidRPr="002A3DBF" w14:paraId="75C0FD77" w14:textId="77777777" w:rsidTr="004F5E02">
        <w:trPr>
          <w:cantSplit/>
        </w:trPr>
        <w:tc>
          <w:tcPr>
            <w:tcW w:w="311" w:type="pct"/>
            <w:tcBorders>
              <w:top w:val="single" w:sz="4" w:space="0" w:color="auto"/>
              <w:left w:val="single" w:sz="4" w:space="0" w:color="auto"/>
              <w:bottom w:val="single" w:sz="4" w:space="0" w:color="auto"/>
              <w:right w:val="single" w:sz="4" w:space="0" w:color="auto"/>
            </w:tcBorders>
            <w:hideMark/>
          </w:tcPr>
          <w:p w14:paraId="283A40BD" w14:textId="77777777" w:rsidR="004F5E02" w:rsidRPr="00936457" w:rsidRDefault="004F5E02" w:rsidP="00936457">
            <w:pPr>
              <w:jc w:val="center"/>
              <w:rPr>
                <w:sz w:val="26"/>
                <w:szCs w:val="28"/>
                <w:lang w:eastAsia="en-US"/>
              </w:rPr>
            </w:pPr>
            <w:r w:rsidRPr="00936457">
              <w:rPr>
                <w:sz w:val="26"/>
                <w:szCs w:val="28"/>
                <w:lang w:eastAsia="en-US"/>
              </w:rPr>
              <w:t>3.</w:t>
            </w:r>
          </w:p>
        </w:tc>
        <w:tc>
          <w:tcPr>
            <w:tcW w:w="1479" w:type="pct"/>
            <w:tcBorders>
              <w:top w:val="single" w:sz="4" w:space="0" w:color="auto"/>
              <w:left w:val="single" w:sz="4" w:space="0" w:color="auto"/>
              <w:bottom w:val="single" w:sz="4" w:space="0" w:color="auto"/>
              <w:right w:val="single" w:sz="4" w:space="0" w:color="auto"/>
            </w:tcBorders>
            <w:hideMark/>
          </w:tcPr>
          <w:p w14:paraId="5DD24FA6" w14:textId="77777777" w:rsidR="004F5E02" w:rsidRPr="00936457" w:rsidRDefault="004F5E02" w:rsidP="00936457">
            <w:pPr>
              <w:rPr>
                <w:sz w:val="26"/>
                <w:szCs w:val="28"/>
                <w:lang w:eastAsia="en-US"/>
              </w:rPr>
            </w:pPr>
            <w:r w:rsidRPr="00936457">
              <w:rPr>
                <w:sz w:val="26"/>
                <w:szCs w:val="28"/>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8468DF6" w14:textId="77777777" w:rsidR="004F5E02" w:rsidRPr="00936457" w:rsidRDefault="004B6F16" w:rsidP="00936457">
            <w:pPr>
              <w:rPr>
                <w:sz w:val="26"/>
                <w:szCs w:val="28"/>
                <w:lang w:eastAsia="en-US"/>
              </w:rPr>
            </w:pPr>
            <w:r w:rsidRPr="00936457">
              <w:rPr>
                <w:sz w:val="26"/>
                <w:szCs w:val="28"/>
                <w:lang w:eastAsia="en-US"/>
              </w:rPr>
              <w:t>Nav.</w:t>
            </w:r>
          </w:p>
        </w:tc>
      </w:tr>
    </w:tbl>
    <w:p w14:paraId="07C8BC0A" w14:textId="77777777" w:rsidR="004B6F16" w:rsidRPr="00936457" w:rsidRDefault="004B6F16" w:rsidP="00BA7ADE">
      <w:pPr>
        <w:rPr>
          <w:sz w:val="26"/>
          <w:szCs w:val="28"/>
        </w:rPr>
      </w:pPr>
    </w:p>
    <w:p w14:paraId="3AE27E36" w14:textId="77777777" w:rsidR="008E4A0A" w:rsidRPr="00936457" w:rsidRDefault="008E4A0A" w:rsidP="0028132D">
      <w:pPr>
        <w:rPr>
          <w:sz w:val="26"/>
          <w:szCs w:val="28"/>
        </w:rPr>
      </w:pPr>
    </w:p>
    <w:p w14:paraId="09D65898" w14:textId="77777777" w:rsidR="008E4A0A" w:rsidRPr="00936457" w:rsidRDefault="008E4A0A">
      <w:pPr>
        <w:rPr>
          <w:sz w:val="26"/>
          <w:szCs w:val="28"/>
        </w:rPr>
      </w:pPr>
    </w:p>
    <w:p w14:paraId="7F116BB9" w14:textId="77777777" w:rsidR="006715F3" w:rsidRPr="00936457" w:rsidRDefault="004F5E02">
      <w:pPr>
        <w:rPr>
          <w:sz w:val="26"/>
          <w:szCs w:val="28"/>
        </w:rPr>
      </w:pPr>
      <w:r w:rsidRPr="00936457">
        <w:rPr>
          <w:sz w:val="26"/>
          <w:szCs w:val="28"/>
        </w:rPr>
        <w:t>Iesniedz</w:t>
      </w:r>
      <w:r w:rsidR="006715F3" w:rsidRPr="00936457">
        <w:rPr>
          <w:sz w:val="26"/>
          <w:szCs w:val="28"/>
        </w:rPr>
        <w:t>ējs:</w:t>
      </w:r>
    </w:p>
    <w:p w14:paraId="5A5E945D" w14:textId="77777777" w:rsidR="006715F3" w:rsidRPr="00936457" w:rsidRDefault="006715F3">
      <w:pPr>
        <w:rPr>
          <w:sz w:val="26"/>
          <w:szCs w:val="28"/>
        </w:rPr>
      </w:pPr>
    </w:p>
    <w:p w14:paraId="796E8CDF" w14:textId="77777777" w:rsidR="006715F3" w:rsidRPr="00936457" w:rsidRDefault="006715F3">
      <w:pPr>
        <w:rPr>
          <w:sz w:val="26"/>
          <w:szCs w:val="28"/>
        </w:rPr>
      </w:pPr>
      <w:r w:rsidRPr="00936457">
        <w:rPr>
          <w:sz w:val="26"/>
          <w:szCs w:val="28"/>
        </w:rPr>
        <w:t>Izglītības un zinātnes ministre</w:t>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proofErr w:type="spellStart"/>
      <w:r w:rsidRPr="00936457">
        <w:rPr>
          <w:sz w:val="26"/>
          <w:szCs w:val="28"/>
        </w:rPr>
        <w:t>I.Šuplinska</w:t>
      </w:r>
      <w:proofErr w:type="spellEnd"/>
    </w:p>
    <w:p w14:paraId="211F4618" w14:textId="77777777" w:rsidR="006715F3" w:rsidRPr="00936457" w:rsidRDefault="006715F3">
      <w:pPr>
        <w:rPr>
          <w:sz w:val="26"/>
          <w:szCs w:val="28"/>
        </w:rPr>
      </w:pPr>
    </w:p>
    <w:p w14:paraId="47D0BC98" w14:textId="77777777" w:rsidR="006715F3" w:rsidRPr="00936457" w:rsidRDefault="006715F3">
      <w:pPr>
        <w:rPr>
          <w:sz w:val="26"/>
          <w:szCs w:val="28"/>
        </w:rPr>
      </w:pPr>
      <w:r w:rsidRPr="00936457">
        <w:rPr>
          <w:sz w:val="26"/>
          <w:szCs w:val="28"/>
        </w:rPr>
        <w:lastRenderedPageBreak/>
        <w:t>Vizē:</w:t>
      </w:r>
    </w:p>
    <w:p w14:paraId="2DDFDDB3" w14:textId="77777777" w:rsidR="006715F3" w:rsidRPr="00936457" w:rsidRDefault="006715F3">
      <w:pPr>
        <w:rPr>
          <w:sz w:val="26"/>
          <w:szCs w:val="28"/>
        </w:rPr>
      </w:pPr>
    </w:p>
    <w:p w14:paraId="0048E4A3" w14:textId="77777777" w:rsidR="006715F3" w:rsidRPr="00936457" w:rsidRDefault="006715F3">
      <w:pPr>
        <w:rPr>
          <w:sz w:val="26"/>
          <w:szCs w:val="28"/>
        </w:rPr>
      </w:pPr>
      <w:r w:rsidRPr="00936457">
        <w:rPr>
          <w:sz w:val="26"/>
          <w:szCs w:val="28"/>
        </w:rPr>
        <w:t>Valsts sekretāre</w:t>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r>
      <w:r w:rsidRPr="00936457">
        <w:rPr>
          <w:sz w:val="26"/>
          <w:szCs w:val="28"/>
        </w:rPr>
        <w:tab/>
        <w:t>L.Lejiņa</w:t>
      </w:r>
    </w:p>
    <w:p w14:paraId="0777F512" w14:textId="77777777" w:rsidR="006715F3" w:rsidRPr="00936457" w:rsidRDefault="006715F3">
      <w:pPr>
        <w:rPr>
          <w:sz w:val="26"/>
          <w:szCs w:val="28"/>
        </w:rPr>
      </w:pPr>
    </w:p>
    <w:p w14:paraId="20015B54" w14:textId="77777777" w:rsidR="006715F3" w:rsidRDefault="006715F3">
      <w:pPr>
        <w:rPr>
          <w:sz w:val="28"/>
          <w:szCs w:val="28"/>
        </w:rPr>
      </w:pPr>
    </w:p>
    <w:p w14:paraId="6F1978AD" w14:textId="77777777" w:rsidR="006715F3" w:rsidRDefault="006715F3">
      <w:pPr>
        <w:rPr>
          <w:sz w:val="28"/>
          <w:szCs w:val="28"/>
        </w:rPr>
      </w:pPr>
    </w:p>
    <w:p w14:paraId="3F376744" w14:textId="77777777" w:rsidR="006715F3" w:rsidRDefault="006715F3"/>
    <w:p w14:paraId="4B8178D7" w14:textId="77777777" w:rsidR="006715F3" w:rsidRPr="006715F3" w:rsidRDefault="006715F3">
      <w:r w:rsidRPr="006715F3">
        <w:t>Rudzīte 67047807</w:t>
      </w:r>
    </w:p>
    <w:p w14:paraId="4105A17A" w14:textId="77777777" w:rsidR="006715F3" w:rsidRPr="006715F3" w:rsidRDefault="00A034D2">
      <w:hyperlink r:id="rId6" w:history="1">
        <w:r w:rsidR="006715F3" w:rsidRPr="006715F3">
          <w:rPr>
            <w:rStyle w:val="Hyperlink"/>
            <w:color w:val="auto"/>
            <w:u w:val="none"/>
          </w:rPr>
          <w:t>ance.rudzite@izm.gov.lv</w:t>
        </w:r>
      </w:hyperlink>
      <w:r w:rsidR="006715F3" w:rsidRPr="006715F3">
        <w:t>;</w:t>
      </w:r>
    </w:p>
    <w:p w14:paraId="1010A934" w14:textId="77777777" w:rsidR="006715F3" w:rsidRPr="006715F3" w:rsidRDefault="006715F3">
      <w:r w:rsidRPr="006715F3">
        <w:t>Trokša 67047858</w:t>
      </w:r>
    </w:p>
    <w:p w14:paraId="6A37E83C" w14:textId="77777777" w:rsidR="006715F3" w:rsidRPr="006715F3" w:rsidRDefault="006715F3">
      <w:r w:rsidRPr="006715F3">
        <w:t>alise.troksa@izm.gov.lv</w:t>
      </w:r>
    </w:p>
    <w:sectPr w:rsidR="006715F3" w:rsidRPr="006715F3" w:rsidSect="004F5E02">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E8AB" w14:textId="77777777" w:rsidR="00A034D2" w:rsidRDefault="00A034D2" w:rsidP="004F5E02">
      <w:r>
        <w:separator/>
      </w:r>
    </w:p>
  </w:endnote>
  <w:endnote w:type="continuationSeparator" w:id="0">
    <w:p w14:paraId="507AE3E4" w14:textId="77777777" w:rsidR="00A034D2" w:rsidRDefault="00A034D2" w:rsidP="004F5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FADF6" w14:textId="77777777" w:rsidR="004F5E02" w:rsidRDefault="004F5E02" w:rsidP="004F5E02">
    <w:pPr>
      <w:pStyle w:val="Header"/>
    </w:pPr>
  </w:p>
  <w:p w14:paraId="60B17109" w14:textId="50C5F46A" w:rsidR="004F5E02" w:rsidRDefault="004F5E02">
    <w:pPr>
      <w:pStyle w:val="Footer"/>
    </w:pPr>
    <w:r>
      <w:t>IZMAnot_</w:t>
    </w:r>
    <w:r w:rsidR="00936457">
      <w:t>1</w:t>
    </w:r>
    <w:r w:rsidR="008309CF">
      <w:t>9</w:t>
    </w:r>
    <w:r w:rsidR="00936457">
      <w:t>0219</w:t>
    </w:r>
    <w:r>
      <w:t>_IL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4D4F9" w14:textId="563C59E8" w:rsidR="004F5E02" w:rsidRDefault="004F5E02">
    <w:pPr>
      <w:pStyle w:val="Footer"/>
    </w:pPr>
    <w:r>
      <w:t>IZMAnot_</w:t>
    </w:r>
    <w:r w:rsidR="00936457">
      <w:t>1</w:t>
    </w:r>
    <w:r w:rsidR="008309CF">
      <w:t>9</w:t>
    </w:r>
    <w:r w:rsidR="00936457">
      <w:t>0219</w:t>
    </w:r>
    <w:r>
      <w:t>_IL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C8BCC" w14:textId="77777777" w:rsidR="00A034D2" w:rsidRDefault="00A034D2" w:rsidP="004F5E02">
      <w:r>
        <w:separator/>
      </w:r>
    </w:p>
  </w:footnote>
  <w:footnote w:type="continuationSeparator" w:id="0">
    <w:p w14:paraId="2AC0FDA3" w14:textId="77777777" w:rsidR="00A034D2" w:rsidRDefault="00A034D2" w:rsidP="004F5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710671"/>
      <w:docPartObj>
        <w:docPartGallery w:val="Page Numbers (Top of Page)"/>
        <w:docPartUnique/>
      </w:docPartObj>
    </w:sdtPr>
    <w:sdtEndPr>
      <w:rPr>
        <w:noProof/>
      </w:rPr>
    </w:sdtEndPr>
    <w:sdtContent>
      <w:p w14:paraId="2D4ABA09" w14:textId="77777777" w:rsidR="004F5E02" w:rsidRDefault="004F5E02">
        <w:pPr>
          <w:pStyle w:val="Header"/>
          <w:jc w:val="center"/>
        </w:pPr>
        <w:r>
          <w:fldChar w:fldCharType="begin"/>
        </w:r>
        <w:r>
          <w:instrText xml:space="preserve"> PAGE   \* MERGEFORMAT </w:instrText>
        </w:r>
        <w:r>
          <w:fldChar w:fldCharType="separate"/>
        </w:r>
        <w:r w:rsidR="001E1276">
          <w:rPr>
            <w:noProof/>
          </w:rPr>
          <w:t>4</w:t>
        </w:r>
        <w:r>
          <w:rPr>
            <w:noProof/>
          </w:rPr>
          <w:fldChar w:fldCharType="end"/>
        </w:r>
      </w:p>
    </w:sdtContent>
  </w:sdt>
  <w:p w14:paraId="2CE3D682" w14:textId="77777777" w:rsidR="00FD0288" w:rsidRDefault="00FD0288" w:rsidP="00936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02"/>
    <w:rsid w:val="000320FD"/>
    <w:rsid w:val="000667D7"/>
    <w:rsid w:val="000C2F6D"/>
    <w:rsid w:val="001E1276"/>
    <w:rsid w:val="001F006A"/>
    <w:rsid w:val="00247DF8"/>
    <w:rsid w:val="00272AFB"/>
    <w:rsid w:val="0028132D"/>
    <w:rsid w:val="002A3DBF"/>
    <w:rsid w:val="002D3777"/>
    <w:rsid w:val="002D5671"/>
    <w:rsid w:val="00340F88"/>
    <w:rsid w:val="00457AF5"/>
    <w:rsid w:val="00487E9D"/>
    <w:rsid w:val="004B6F16"/>
    <w:rsid w:val="004D3045"/>
    <w:rsid w:val="004E4CF6"/>
    <w:rsid w:val="004F5E02"/>
    <w:rsid w:val="00521A32"/>
    <w:rsid w:val="0052534B"/>
    <w:rsid w:val="00557EAB"/>
    <w:rsid w:val="005E2049"/>
    <w:rsid w:val="005E6BB5"/>
    <w:rsid w:val="00663C3D"/>
    <w:rsid w:val="006715F3"/>
    <w:rsid w:val="006B1EFF"/>
    <w:rsid w:val="006E3FAF"/>
    <w:rsid w:val="006E5A2B"/>
    <w:rsid w:val="007D6E97"/>
    <w:rsid w:val="007F5BF3"/>
    <w:rsid w:val="008309CF"/>
    <w:rsid w:val="008550F4"/>
    <w:rsid w:val="008E4A0A"/>
    <w:rsid w:val="00922149"/>
    <w:rsid w:val="00936457"/>
    <w:rsid w:val="0095077C"/>
    <w:rsid w:val="009606AE"/>
    <w:rsid w:val="00A034D2"/>
    <w:rsid w:val="00A13A08"/>
    <w:rsid w:val="00A379BB"/>
    <w:rsid w:val="00B56814"/>
    <w:rsid w:val="00B57374"/>
    <w:rsid w:val="00BA7803"/>
    <w:rsid w:val="00BA7ADE"/>
    <w:rsid w:val="00BB2753"/>
    <w:rsid w:val="00BE42FA"/>
    <w:rsid w:val="00C16C6E"/>
    <w:rsid w:val="00D31A83"/>
    <w:rsid w:val="00D31B3B"/>
    <w:rsid w:val="00D7359D"/>
    <w:rsid w:val="00DA04DD"/>
    <w:rsid w:val="00E174BD"/>
    <w:rsid w:val="00EA0140"/>
    <w:rsid w:val="00EC190A"/>
    <w:rsid w:val="00F02217"/>
    <w:rsid w:val="00F23EA5"/>
    <w:rsid w:val="00F332CF"/>
    <w:rsid w:val="00F52411"/>
    <w:rsid w:val="00F7355F"/>
    <w:rsid w:val="00FD0288"/>
    <w:rsid w:val="00FF4D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1211"/>
  <w15:chartTrackingRefBased/>
  <w15:docId w15:val="{EA1251F7-1674-4B61-9B7B-51DCF48A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E0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5E02"/>
    <w:pPr>
      <w:jc w:val="center"/>
    </w:pPr>
    <w:rPr>
      <w:sz w:val="28"/>
      <w:szCs w:val="20"/>
      <w:lang w:eastAsia="en-US"/>
    </w:rPr>
  </w:style>
  <w:style w:type="character" w:customStyle="1" w:styleId="TitleChar">
    <w:name w:val="Title Char"/>
    <w:basedOn w:val="DefaultParagraphFont"/>
    <w:link w:val="Title"/>
    <w:rsid w:val="004F5E02"/>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4F5E02"/>
    <w:pPr>
      <w:tabs>
        <w:tab w:val="center" w:pos="4153"/>
        <w:tab w:val="right" w:pos="8306"/>
      </w:tabs>
    </w:pPr>
  </w:style>
  <w:style w:type="character" w:customStyle="1" w:styleId="HeaderChar">
    <w:name w:val="Header Char"/>
    <w:basedOn w:val="DefaultParagraphFont"/>
    <w:link w:val="Header"/>
    <w:uiPriority w:val="99"/>
    <w:rsid w:val="004F5E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F5E02"/>
    <w:pPr>
      <w:tabs>
        <w:tab w:val="center" w:pos="4153"/>
        <w:tab w:val="right" w:pos="8306"/>
      </w:tabs>
    </w:pPr>
  </w:style>
  <w:style w:type="character" w:customStyle="1" w:styleId="FooterChar">
    <w:name w:val="Footer Char"/>
    <w:basedOn w:val="DefaultParagraphFont"/>
    <w:link w:val="Footer"/>
    <w:uiPriority w:val="99"/>
    <w:rsid w:val="004F5E02"/>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715F3"/>
    <w:rPr>
      <w:color w:val="0563C1" w:themeColor="hyperlink"/>
      <w:u w:val="single"/>
    </w:rPr>
  </w:style>
  <w:style w:type="paragraph" w:customStyle="1" w:styleId="Standard">
    <w:name w:val="Standard"/>
    <w:rsid w:val="00B56814"/>
    <w:pPr>
      <w:suppressAutoHyphens/>
      <w:autoSpaceDN w:val="0"/>
      <w:spacing w:after="200" w:line="276" w:lineRule="auto"/>
    </w:pPr>
    <w:rPr>
      <w:rFonts w:ascii="Calibri" w:eastAsia="Times New Roman" w:hAnsi="Calibri" w:cs="Calibri"/>
      <w:kern w:val="3"/>
      <w:lang w:eastAsia="lv-LV"/>
    </w:rPr>
  </w:style>
  <w:style w:type="paragraph" w:styleId="BalloonText">
    <w:name w:val="Balloon Text"/>
    <w:basedOn w:val="Normal"/>
    <w:link w:val="BalloonTextChar"/>
    <w:uiPriority w:val="99"/>
    <w:semiHidden/>
    <w:unhideWhenUsed/>
    <w:rsid w:val="004B6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F16"/>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922149"/>
    <w:rPr>
      <w:sz w:val="16"/>
      <w:szCs w:val="16"/>
    </w:rPr>
  </w:style>
  <w:style w:type="paragraph" w:styleId="CommentText">
    <w:name w:val="annotation text"/>
    <w:basedOn w:val="Normal"/>
    <w:link w:val="CommentTextChar"/>
    <w:uiPriority w:val="99"/>
    <w:semiHidden/>
    <w:unhideWhenUsed/>
    <w:rsid w:val="00922149"/>
    <w:rPr>
      <w:sz w:val="20"/>
      <w:szCs w:val="20"/>
    </w:rPr>
  </w:style>
  <w:style w:type="character" w:customStyle="1" w:styleId="CommentTextChar">
    <w:name w:val="Comment Text Char"/>
    <w:basedOn w:val="DefaultParagraphFont"/>
    <w:link w:val="CommentText"/>
    <w:uiPriority w:val="99"/>
    <w:semiHidden/>
    <w:rsid w:val="0092214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2149"/>
    <w:rPr>
      <w:b/>
      <w:bCs/>
    </w:rPr>
  </w:style>
  <w:style w:type="character" w:customStyle="1" w:styleId="CommentSubjectChar">
    <w:name w:val="Comment Subject Char"/>
    <w:basedOn w:val="CommentTextChar"/>
    <w:link w:val="CommentSubject"/>
    <w:uiPriority w:val="99"/>
    <w:semiHidden/>
    <w:rsid w:val="00922149"/>
    <w:rPr>
      <w:rFonts w:ascii="Times New Roman" w:eastAsia="Times New Roman" w:hAnsi="Times New Roman" w:cs="Times New Roman"/>
      <w:b/>
      <w:bCs/>
      <w:sz w:val="20"/>
      <w:szCs w:val="20"/>
      <w:lang w:eastAsia="lv-LV"/>
    </w:rPr>
  </w:style>
  <w:style w:type="table" w:styleId="TableGrid">
    <w:name w:val="Table Grid"/>
    <w:basedOn w:val="TableNormal"/>
    <w:uiPriority w:val="39"/>
    <w:rsid w:val="00BA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3645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98969">
      <w:bodyDiv w:val="1"/>
      <w:marLeft w:val="0"/>
      <w:marRight w:val="0"/>
      <w:marTop w:val="0"/>
      <w:marBottom w:val="0"/>
      <w:divBdr>
        <w:top w:val="none" w:sz="0" w:space="0" w:color="auto"/>
        <w:left w:val="none" w:sz="0" w:space="0" w:color="auto"/>
        <w:bottom w:val="none" w:sz="0" w:space="0" w:color="auto"/>
        <w:right w:val="none" w:sz="0" w:space="0" w:color="auto"/>
      </w:divBdr>
    </w:div>
    <w:div w:id="1396902615">
      <w:bodyDiv w:val="1"/>
      <w:marLeft w:val="0"/>
      <w:marRight w:val="0"/>
      <w:marTop w:val="0"/>
      <w:marBottom w:val="0"/>
      <w:divBdr>
        <w:top w:val="none" w:sz="0" w:space="0" w:color="auto"/>
        <w:left w:val="none" w:sz="0" w:space="0" w:color="auto"/>
        <w:bottom w:val="none" w:sz="0" w:space="0" w:color="auto"/>
        <w:right w:val="none" w:sz="0" w:space="0" w:color="auto"/>
      </w:divBdr>
      <w:divsChild>
        <w:div w:id="86929108">
          <w:marLeft w:val="0"/>
          <w:marRight w:val="0"/>
          <w:marTop w:val="0"/>
          <w:marBottom w:val="0"/>
          <w:divBdr>
            <w:top w:val="none" w:sz="0" w:space="0" w:color="auto"/>
            <w:left w:val="none" w:sz="0" w:space="0" w:color="auto"/>
            <w:bottom w:val="none" w:sz="0" w:space="0" w:color="auto"/>
            <w:right w:val="none" w:sz="0" w:space="0" w:color="auto"/>
          </w:divBdr>
          <w:divsChild>
            <w:div w:id="1256207107">
              <w:marLeft w:val="0"/>
              <w:marRight w:val="0"/>
              <w:marTop w:val="0"/>
              <w:marBottom w:val="0"/>
              <w:divBdr>
                <w:top w:val="none" w:sz="0" w:space="0" w:color="auto"/>
                <w:left w:val="none" w:sz="0" w:space="0" w:color="auto"/>
                <w:bottom w:val="none" w:sz="0" w:space="0" w:color="auto"/>
                <w:right w:val="none" w:sz="0" w:space="0" w:color="auto"/>
              </w:divBdr>
              <w:divsChild>
                <w:div w:id="1971784189">
                  <w:marLeft w:val="0"/>
                  <w:marRight w:val="0"/>
                  <w:marTop w:val="0"/>
                  <w:marBottom w:val="0"/>
                  <w:divBdr>
                    <w:top w:val="none" w:sz="0" w:space="0" w:color="auto"/>
                    <w:left w:val="none" w:sz="0" w:space="0" w:color="auto"/>
                    <w:bottom w:val="none" w:sz="0" w:space="0" w:color="auto"/>
                    <w:right w:val="none" w:sz="0" w:space="0" w:color="auto"/>
                  </w:divBdr>
                  <w:divsChild>
                    <w:div w:id="2042582332">
                      <w:marLeft w:val="0"/>
                      <w:marRight w:val="0"/>
                      <w:marTop w:val="0"/>
                      <w:marBottom w:val="0"/>
                      <w:divBdr>
                        <w:top w:val="none" w:sz="0" w:space="0" w:color="auto"/>
                        <w:left w:val="none" w:sz="0" w:space="0" w:color="auto"/>
                        <w:bottom w:val="none" w:sz="0" w:space="0" w:color="auto"/>
                        <w:right w:val="none" w:sz="0" w:space="0" w:color="auto"/>
                      </w:divBdr>
                      <w:divsChild>
                        <w:div w:id="1336496646">
                          <w:marLeft w:val="0"/>
                          <w:marRight w:val="0"/>
                          <w:marTop w:val="0"/>
                          <w:marBottom w:val="0"/>
                          <w:divBdr>
                            <w:top w:val="none" w:sz="0" w:space="0" w:color="auto"/>
                            <w:left w:val="none" w:sz="0" w:space="0" w:color="auto"/>
                            <w:bottom w:val="none" w:sz="0" w:space="0" w:color="auto"/>
                            <w:right w:val="none" w:sz="0" w:space="0" w:color="auto"/>
                          </w:divBdr>
                          <w:divsChild>
                            <w:div w:id="19646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ce.rudzite@i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5400</Words>
  <Characters>3079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Rudzīte</cp:lastModifiedBy>
  <cp:revision>7</cp:revision>
  <cp:lastPrinted>2019-02-19T08:38:00Z</cp:lastPrinted>
  <dcterms:created xsi:type="dcterms:W3CDTF">2019-02-19T08:32:00Z</dcterms:created>
  <dcterms:modified xsi:type="dcterms:W3CDTF">2019-02-19T09:05:00Z</dcterms:modified>
</cp:coreProperties>
</file>