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8267" w14:textId="7DFF6026" w:rsidR="004F1C38" w:rsidRPr="0029043E" w:rsidRDefault="004F1C38" w:rsidP="00B3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88831" w14:textId="4D2D9957" w:rsidR="003A693D" w:rsidRPr="0029043E" w:rsidRDefault="003A693D" w:rsidP="00B3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07AC4" w14:textId="77777777" w:rsidR="003A693D" w:rsidRPr="0029043E" w:rsidRDefault="003A693D" w:rsidP="00B3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7557F" w14:textId="6FB41606" w:rsidR="00B34D00" w:rsidRPr="0029043E" w:rsidRDefault="00B34D00" w:rsidP="00B34D0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43E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D6492F" w:rsidRPr="00D6492F">
        <w:rPr>
          <w:rFonts w:ascii="Times New Roman" w:hAnsi="Times New Roman" w:cs="Times New Roman"/>
          <w:sz w:val="28"/>
          <w:szCs w:val="28"/>
        </w:rPr>
        <w:t>5. martā</w:t>
      </w:r>
      <w:r w:rsidRPr="0029043E">
        <w:rPr>
          <w:rFonts w:ascii="Times New Roman" w:hAnsi="Times New Roman" w:cs="Times New Roman"/>
          <w:sz w:val="28"/>
          <w:szCs w:val="28"/>
        </w:rPr>
        <w:tab/>
        <w:t>Noteikumi Nr.</w:t>
      </w:r>
      <w:r w:rsidR="00D6492F">
        <w:rPr>
          <w:rFonts w:ascii="Times New Roman" w:hAnsi="Times New Roman" w:cs="Times New Roman"/>
          <w:sz w:val="28"/>
          <w:szCs w:val="28"/>
        </w:rPr>
        <w:t> 103</w:t>
      </w:r>
    </w:p>
    <w:p w14:paraId="6957C871" w14:textId="78DDEEE8" w:rsidR="00B34D00" w:rsidRPr="0029043E" w:rsidRDefault="00B34D00" w:rsidP="00B34D0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43E">
        <w:rPr>
          <w:rFonts w:ascii="Times New Roman" w:hAnsi="Times New Roman" w:cs="Times New Roman"/>
          <w:sz w:val="28"/>
          <w:szCs w:val="28"/>
        </w:rPr>
        <w:t>Rīgā</w:t>
      </w:r>
      <w:r w:rsidRPr="0029043E">
        <w:rPr>
          <w:rFonts w:ascii="Times New Roman" w:hAnsi="Times New Roman" w:cs="Times New Roman"/>
          <w:sz w:val="28"/>
          <w:szCs w:val="28"/>
        </w:rPr>
        <w:tab/>
        <w:t>(prot. Nr. </w:t>
      </w:r>
      <w:r w:rsidR="00D6492F">
        <w:rPr>
          <w:rFonts w:ascii="Times New Roman" w:hAnsi="Times New Roman" w:cs="Times New Roman"/>
          <w:sz w:val="28"/>
          <w:szCs w:val="28"/>
        </w:rPr>
        <w:t>11</w:t>
      </w:r>
      <w:r w:rsidRPr="0029043E">
        <w:rPr>
          <w:rFonts w:ascii="Times New Roman" w:hAnsi="Times New Roman" w:cs="Times New Roman"/>
          <w:sz w:val="28"/>
          <w:szCs w:val="28"/>
        </w:rPr>
        <w:t> </w:t>
      </w:r>
      <w:r w:rsidR="00D6492F">
        <w:rPr>
          <w:rFonts w:ascii="Times New Roman" w:hAnsi="Times New Roman" w:cs="Times New Roman"/>
          <w:sz w:val="28"/>
          <w:szCs w:val="28"/>
        </w:rPr>
        <w:t>9</w:t>
      </w:r>
      <w:r w:rsidRPr="0029043E">
        <w:rPr>
          <w:rFonts w:ascii="Times New Roman" w:hAnsi="Times New Roman" w:cs="Times New Roman"/>
          <w:sz w:val="28"/>
          <w:szCs w:val="28"/>
        </w:rPr>
        <w:t>. §)</w:t>
      </w:r>
    </w:p>
    <w:p w14:paraId="31F97562" w14:textId="77777777" w:rsidR="00E27355" w:rsidRPr="0029043E" w:rsidRDefault="00E27355" w:rsidP="00B34D00">
      <w:pPr>
        <w:tabs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2E28AC" w14:textId="007A64FA" w:rsidR="004A432D" w:rsidRPr="0029043E" w:rsidRDefault="003A693D" w:rsidP="00B34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9043E">
        <w:rPr>
          <w:rFonts w:ascii="Times New Roman" w:hAnsi="Times New Roman" w:cs="Times New Roman"/>
          <w:b/>
          <w:sz w:val="28"/>
          <w:szCs w:val="28"/>
        </w:rPr>
        <w:t>Kārtība, kādā sedz ar personas profesionālās kvalifikācijas atzīšanu saistītos i</w:t>
      </w:r>
      <w:r w:rsidR="00123795" w:rsidRPr="0029043E">
        <w:rPr>
          <w:rFonts w:ascii="Times New Roman" w:hAnsi="Times New Roman" w:cs="Times New Roman"/>
          <w:b/>
          <w:sz w:val="28"/>
          <w:szCs w:val="28"/>
        </w:rPr>
        <w:t xml:space="preserve">zdevumus </w:t>
      </w:r>
    </w:p>
    <w:p w14:paraId="4CBA94C8" w14:textId="77777777" w:rsidR="007D111D" w:rsidRPr="0029043E" w:rsidRDefault="007D111D" w:rsidP="00B34D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bookmarkStart w:id="0" w:name="_GoBack"/>
      <w:bookmarkEnd w:id="0"/>
    </w:p>
    <w:p w14:paraId="6870AEC8" w14:textId="77777777" w:rsidR="003A693D" w:rsidRPr="0029043E" w:rsidRDefault="00275A4B" w:rsidP="00B34D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likuma </w:t>
      </w:r>
    </w:p>
    <w:p w14:paraId="635449CC" w14:textId="25C09714" w:rsidR="007D111D" w:rsidRPr="0029043E" w:rsidRDefault="00B34D00" w:rsidP="00B34D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782893" w:rsidRPr="0029043E">
        <w:rPr>
          <w:rFonts w:ascii="Times New Roman" w:hAnsi="Times New Roman" w:cs="Times New Roman"/>
          <w:sz w:val="28"/>
          <w:szCs w:val="28"/>
        </w:rPr>
        <w:fldChar w:fldCharType="begin"/>
      </w:r>
      <w:r w:rsidR="00782893" w:rsidRPr="0029043E">
        <w:rPr>
          <w:rFonts w:ascii="Times New Roman" w:hAnsi="Times New Roman" w:cs="Times New Roman"/>
          <w:sz w:val="28"/>
          <w:szCs w:val="28"/>
        </w:rPr>
        <w:instrText xml:space="preserve"> HYPERLINK "https://m.likumi.lv/ta/id/26021-par-reglamentetajam-profesijam-un-profesionalas-kvalifikacijas-atzisanu" \t "_blank" </w:instrText>
      </w:r>
      <w:r w:rsidR="00782893" w:rsidRPr="0029043E">
        <w:rPr>
          <w:rFonts w:ascii="Times New Roman" w:hAnsi="Times New Roman" w:cs="Times New Roman"/>
          <w:sz w:val="28"/>
          <w:szCs w:val="28"/>
        </w:rPr>
        <w:fldChar w:fldCharType="separate"/>
      </w:r>
      <w:r w:rsidR="00275A4B"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 reglamentētajām profesijām un</w:t>
      </w:r>
      <w:r w:rsidR="007D111D"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3C896A7" w14:textId="77777777" w:rsidR="003A693D" w:rsidRPr="0029043E" w:rsidRDefault="00275A4B" w:rsidP="00B34D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profesionālās kvalifikācijas atzīšanu</w:t>
      </w:r>
      <w:r w:rsidR="00782893"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end"/>
      </w:r>
      <w:r w:rsidR="00B34D00"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3A693D"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2EDB25A1" w14:textId="41ED32F4" w:rsidR="00275A4B" w:rsidRPr="0029043E" w:rsidRDefault="00BE1EA3" w:rsidP="00B34D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anchor="p58" w:tgtFrame="_blank" w:history="1">
        <w:r w:rsidR="000E68EB" w:rsidRPr="0029043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36</w:t>
        </w:r>
        <w:r w:rsidR="00275A4B" w:rsidRPr="0029043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.</w:t>
        </w:r>
        <w:r w:rsidR="0075271B" w:rsidRPr="0029043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275A4B" w:rsidRPr="0029043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275A4B"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E68EB"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14.</w:t>
      </w:r>
      <w:r w:rsidR="0075271B"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E68EB" w:rsidRPr="002904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283F4E7B" w14:textId="77777777" w:rsidR="004A432D" w:rsidRPr="0029043E" w:rsidRDefault="004A432D" w:rsidP="00B34D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FB298FB" w14:textId="500E87A7" w:rsidR="00275A4B" w:rsidRPr="0029043E" w:rsidRDefault="00275A4B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245993"/>
      <w:bookmarkEnd w:id="1"/>
      <w:bookmarkEnd w:id="2"/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1. Noteikumi nosaka</w:t>
      </w:r>
      <w:r w:rsidR="002257A6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</w:p>
    <w:p w14:paraId="4F451E3C" w14:textId="6444DAE2" w:rsidR="00FF08D7" w:rsidRPr="0029043E" w:rsidRDefault="00FF08D7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3A693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115D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profesionālo kvalifikāciju ārvalstīs ieguvus</w:t>
      </w:r>
      <w:r w:rsidR="00260E61"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 (turpmāk </w:t>
      </w:r>
      <w:r w:rsidR="0032247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pretendents) sedz izdevumus, kas saistīti ar profesionālās kvalifikācijas atzīšanu</w:t>
      </w:r>
      <w:r w:rsidR="009E5BA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EDC2AB3" w14:textId="595E4674" w:rsidR="00FF08D7" w:rsidRPr="0029043E" w:rsidRDefault="00FF08D7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115D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pretendents sedz izdevumus, kas saistīti ar kvalifikācijas pārbaudi īslaicīgu profesionālo pakalpojumu (turpmāk – īslaicīgi pakalpojumi) sniegšanai</w:t>
      </w:r>
      <w:r w:rsidR="009E5BA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808C965" w14:textId="18A14896" w:rsidR="00FF08D7" w:rsidRPr="0029043E" w:rsidRDefault="00FF08D7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1.3.</w:t>
      </w:r>
      <w:r w:rsidR="003A693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115D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pretendents vai persona, kas izglītību un profesionālo kvalifikāciju ieguvusi Latvij</w:t>
      </w:r>
      <w:r w:rsidR="00A30E12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Republikā, kā arī 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persona, kam Latvijas Republikā ir atzīta profesionālā kvalifikācija un kas pretendē uz Eiropas profesionālās kartes saņemšanu, sedz izdevumus, kas saistīti ar Eiropas profesionālās kartes pieteikuma apstrādi un Eiropas profesionālās kartes izdošanu</w:t>
      </w:r>
      <w:r w:rsidR="009E5BA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FC13C71" w14:textId="76B44B11" w:rsidR="00FF08D7" w:rsidRPr="0029043E" w:rsidRDefault="00FF08D7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1.4.</w:t>
      </w:r>
      <w:r w:rsidR="003A693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1.1., 1.2. un 1.3. apakšpunktā minēto izdevumu apmēru. </w:t>
      </w:r>
    </w:p>
    <w:p w14:paraId="42E75B83" w14:textId="77777777" w:rsidR="007D5280" w:rsidRPr="0029043E" w:rsidRDefault="007D5280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AE7B12" w14:textId="51ACE1CF" w:rsidR="007D5280" w:rsidRPr="0029043E" w:rsidRDefault="007D5280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3A693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</w:t>
      </w:r>
      <w:proofErr w:type="gramEnd"/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nepiemēro attiecībā uz reglamentētajām profesijām, kurās ārvalstīs iegūt</w:t>
      </w:r>
      <w:r w:rsidR="0032247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profesionāl</w:t>
      </w:r>
      <w:r w:rsidR="00322474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kvalifikācij</w:t>
      </w:r>
      <w:r w:rsidR="0032247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atzīšanu nosaka Latvijas Republikai saistoši starptautiskie līgumi.</w:t>
      </w:r>
    </w:p>
    <w:p w14:paraId="21A395EC" w14:textId="77777777" w:rsidR="0063214B" w:rsidRPr="0029043E" w:rsidRDefault="0063214B" w:rsidP="00B34D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37C550" w14:textId="171FFF1E" w:rsidR="002F0758" w:rsidRPr="0029043E" w:rsidRDefault="00540C69" w:rsidP="00B34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245994"/>
      <w:bookmarkEnd w:id="3"/>
      <w:bookmarkEnd w:id="4"/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F075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A693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35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Ar profesionālās kvalifikācijas atzīšanu, kvalifikācijas pārbaudi īslaicīgu pakalpojumu sniegšanai, Eiropas profesionālās kartes pieteikumu apstrādi un Eiropas profesionālās kartes izdošanu Latvijas Republikā reglamentētajās profesijās saistītais izdevumu apmērs ir šāds:</w:t>
      </w:r>
    </w:p>
    <w:p w14:paraId="495349E5" w14:textId="1F619E9F" w:rsidR="0066227F" w:rsidRPr="0029043E" w:rsidRDefault="00540C6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F075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3A693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F0758" w:rsidRPr="0029043E">
        <w:rPr>
          <w:rFonts w:ascii="Times New Roman" w:hAnsi="Times New Roman" w:cs="Times New Roman"/>
          <w:sz w:val="28"/>
          <w:szCs w:val="28"/>
        </w:rPr>
        <w:t>personas profesionālās kvalifikācijas atzīšana</w:t>
      </w:r>
      <w:r w:rsidR="005F6C3E" w:rsidRPr="0029043E">
        <w:rPr>
          <w:rFonts w:ascii="Times New Roman" w:hAnsi="Times New Roman" w:cs="Times New Roman"/>
          <w:sz w:val="28"/>
          <w:szCs w:val="28"/>
        </w:rPr>
        <w:t xml:space="preserve"> 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– </w:t>
      </w:r>
      <w:r w:rsidR="00545B8D" w:rsidRPr="0029043E">
        <w:rPr>
          <w:rFonts w:ascii="Times New Roman" w:hAnsi="Times New Roman" w:cs="Times New Roman"/>
          <w:sz w:val="28"/>
          <w:szCs w:val="28"/>
        </w:rPr>
        <w:t>2</w:t>
      </w:r>
      <w:r w:rsidR="00DB1CF2" w:rsidRPr="0029043E">
        <w:rPr>
          <w:rFonts w:ascii="Times New Roman" w:hAnsi="Times New Roman" w:cs="Times New Roman"/>
          <w:sz w:val="28"/>
          <w:szCs w:val="28"/>
        </w:rPr>
        <w:t>40</w:t>
      </w:r>
      <w:r w:rsidR="003A693D" w:rsidRPr="002904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F0758" w:rsidRPr="0029043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A693D" w:rsidRPr="0029043E">
        <w:rPr>
          <w:rFonts w:ascii="Times New Roman" w:hAnsi="Times New Roman" w:cs="Times New Roman"/>
          <w:sz w:val="28"/>
          <w:szCs w:val="28"/>
        </w:rPr>
        <w:t>,</w:t>
      </w:r>
      <w:r w:rsidR="0066227F" w:rsidRPr="0029043E">
        <w:rPr>
          <w:rFonts w:ascii="Times New Roman" w:hAnsi="Times New Roman" w:cs="Times New Roman"/>
          <w:sz w:val="28"/>
          <w:szCs w:val="28"/>
        </w:rPr>
        <w:t xml:space="preserve"> un tas ietver:</w:t>
      </w:r>
    </w:p>
    <w:p w14:paraId="1BBB562E" w14:textId="59DDD173" w:rsidR="00275A4B" w:rsidRPr="0029043E" w:rsidRDefault="00540C6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3E">
        <w:rPr>
          <w:rFonts w:ascii="Times New Roman" w:hAnsi="Times New Roman" w:cs="Times New Roman"/>
          <w:sz w:val="28"/>
          <w:szCs w:val="28"/>
        </w:rPr>
        <w:t>3</w:t>
      </w:r>
      <w:r w:rsidR="0066227F" w:rsidRPr="0029043E">
        <w:rPr>
          <w:rFonts w:ascii="Times New Roman" w:hAnsi="Times New Roman" w:cs="Times New Roman"/>
          <w:sz w:val="28"/>
          <w:szCs w:val="28"/>
        </w:rPr>
        <w:t>.1.1.</w:t>
      </w:r>
      <w:r w:rsidR="003A693D" w:rsidRPr="0029043E">
        <w:rPr>
          <w:rFonts w:ascii="Times New Roman" w:hAnsi="Times New Roman" w:cs="Times New Roman"/>
          <w:sz w:val="28"/>
          <w:szCs w:val="28"/>
        </w:rPr>
        <w:t> </w:t>
      </w:r>
      <w:r w:rsidR="0066227F" w:rsidRPr="0029043E">
        <w:rPr>
          <w:rFonts w:ascii="Times New Roman" w:hAnsi="Times New Roman" w:cs="Times New Roman"/>
          <w:sz w:val="28"/>
          <w:szCs w:val="28"/>
        </w:rPr>
        <w:t>informācijas institūcijas izdevumus –</w:t>
      </w:r>
      <w:r w:rsidR="00CE7152" w:rsidRPr="0029043E">
        <w:rPr>
          <w:rFonts w:ascii="Times New Roman" w:hAnsi="Times New Roman" w:cs="Times New Roman"/>
          <w:sz w:val="28"/>
          <w:szCs w:val="28"/>
        </w:rPr>
        <w:t xml:space="preserve"> 8</w:t>
      </w:r>
      <w:r w:rsidR="00E5644B" w:rsidRPr="0029043E">
        <w:rPr>
          <w:rFonts w:ascii="Times New Roman" w:hAnsi="Times New Roman" w:cs="Times New Roman"/>
          <w:sz w:val="28"/>
          <w:szCs w:val="28"/>
        </w:rPr>
        <w:t>0</w:t>
      </w:r>
      <w:r w:rsidR="00CE7152" w:rsidRPr="00290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27F" w:rsidRPr="0029043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F0758" w:rsidRPr="0029043E">
        <w:rPr>
          <w:rFonts w:ascii="Times New Roman" w:hAnsi="Times New Roman" w:cs="Times New Roman"/>
          <w:sz w:val="28"/>
          <w:szCs w:val="28"/>
        </w:rPr>
        <w:t>;</w:t>
      </w:r>
    </w:p>
    <w:p w14:paraId="4DE56286" w14:textId="6B12D01B" w:rsidR="0066227F" w:rsidRPr="0029043E" w:rsidRDefault="00540C6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3E">
        <w:rPr>
          <w:rFonts w:ascii="Times New Roman" w:hAnsi="Times New Roman" w:cs="Times New Roman"/>
          <w:sz w:val="28"/>
          <w:szCs w:val="28"/>
        </w:rPr>
        <w:t>3</w:t>
      </w:r>
      <w:r w:rsidR="0066227F" w:rsidRPr="0029043E">
        <w:rPr>
          <w:rFonts w:ascii="Times New Roman" w:hAnsi="Times New Roman" w:cs="Times New Roman"/>
          <w:sz w:val="28"/>
          <w:szCs w:val="28"/>
        </w:rPr>
        <w:t>.1.2.</w:t>
      </w:r>
      <w:r w:rsidR="003A693D" w:rsidRPr="0029043E">
        <w:rPr>
          <w:rFonts w:ascii="Times New Roman" w:hAnsi="Times New Roman" w:cs="Times New Roman"/>
          <w:sz w:val="28"/>
          <w:szCs w:val="28"/>
        </w:rPr>
        <w:t xml:space="preserve"> tās </w:t>
      </w:r>
      <w:r w:rsidR="0066227F" w:rsidRPr="0029043E">
        <w:rPr>
          <w:rFonts w:ascii="Times New Roman" w:hAnsi="Times New Roman" w:cs="Times New Roman"/>
          <w:sz w:val="28"/>
          <w:szCs w:val="28"/>
        </w:rPr>
        <w:t>institūcija</w:t>
      </w:r>
      <w:r w:rsidR="00EA0186" w:rsidRPr="0029043E">
        <w:rPr>
          <w:rFonts w:ascii="Times New Roman" w:hAnsi="Times New Roman" w:cs="Times New Roman"/>
          <w:sz w:val="28"/>
          <w:szCs w:val="28"/>
        </w:rPr>
        <w:t>s</w:t>
      </w:r>
      <w:r w:rsidR="003A693D" w:rsidRPr="0029043E">
        <w:rPr>
          <w:rFonts w:ascii="Times New Roman" w:hAnsi="Times New Roman" w:cs="Times New Roman"/>
          <w:sz w:val="28"/>
          <w:szCs w:val="28"/>
        </w:rPr>
        <w:t xml:space="preserve"> izdevumus</w:t>
      </w:r>
      <w:r w:rsidR="0066227F" w:rsidRPr="0029043E">
        <w:rPr>
          <w:rFonts w:ascii="Times New Roman" w:hAnsi="Times New Roman" w:cs="Times New Roman"/>
          <w:sz w:val="28"/>
          <w:szCs w:val="28"/>
        </w:rPr>
        <w:t>, kas izsniedz profesionālās kvalifikācijas atzīšanas apliecības reglamentētajās profesijās (turpmāk – atzīšanas institūcija)</w:t>
      </w:r>
      <w:r w:rsidR="003A1EAD" w:rsidRPr="0029043E">
        <w:rPr>
          <w:rFonts w:ascii="Times New Roman" w:hAnsi="Times New Roman" w:cs="Times New Roman"/>
          <w:sz w:val="28"/>
          <w:szCs w:val="28"/>
        </w:rPr>
        <w:t>,</w:t>
      </w:r>
      <w:r w:rsidR="009F7F02" w:rsidRPr="0029043E">
        <w:rPr>
          <w:rFonts w:ascii="Times New Roman" w:hAnsi="Times New Roman" w:cs="Times New Roman"/>
          <w:sz w:val="28"/>
          <w:szCs w:val="28"/>
        </w:rPr>
        <w:t>–</w:t>
      </w:r>
      <w:r w:rsidR="00A4348A" w:rsidRPr="0029043E">
        <w:rPr>
          <w:rFonts w:ascii="Times New Roman" w:hAnsi="Times New Roman" w:cs="Times New Roman"/>
          <w:sz w:val="28"/>
          <w:szCs w:val="28"/>
        </w:rPr>
        <w:t>1</w:t>
      </w:r>
      <w:r w:rsidR="00F8268A" w:rsidRPr="0029043E">
        <w:rPr>
          <w:rFonts w:ascii="Times New Roman" w:hAnsi="Times New Roman" w:cs="Times New Roman"/>
          <w:sz w:val="28"/>
          <w:szCs w:val="28"/>
        </w:rPr>
        <w:t>6</w:t>
      </w:r>
      <w:r w:rsidR="00A4348A" w:rsidRPr="0029043E">
        <w:rPr>
          <w:rFonts w:ascii="Times New Roman" w:hAnsi="Times New Roman" w:cs="Times New Roman"/>
          <w:sz w:val="28"/>
          <w:szCs w:val="28"/>
        </w:rPr>
        <w:t>0</w:t>
      </w:r>
      <w:r w:rsidR="003A693D" w:rsidRPr="002904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F7F02" w:rsidRPr="0029043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0C3636" w:rsidRPr="0029043E">
        <w:rPr>
          <w:rFonts w:ascii="Times New Roman" w:hAnsi="Times New Roman" w:cs="Times New Roman"/>
          <w:sz w:val="28"/>
          <w:szCs w:val="28"/>
        </w:rPr>
        <w:t>;</w:t>
      </w:r>
    </w:p>
    <w:p w14:paraId="57D54374" w14:textId="44A203A0" w:rsidR="002F0758" w:rsidRPr="0029043E" w:rsidRDefault="00540C6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3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F0758" w:rsidRPr="0029043E">
        <w:rPr>
          <w:rFonts w:ascii="Times New Roman" w:hAnsi="Times New Roman" w:cs="Times New Roman"/>
          <w:sz w:val="28"/>
          <w:szCs w:val="28"/>
        </w:rPr>
        <w:t>.2.</w:t>
      </w:r>
      <w:r w:rsidR="003A693D" w:rsidRPr="0029043E">
        <w:rPr>
          <w:rFonts w:ascii="Times New Roman" w:hAnsi="Times New Roman" w:cs="Times New Roman"/>
          <w:sz w:val="28"/>
          <w:szCs w:val="28"/>
        </w:rPr>
        <w:t> </w:t>
      </w:r>
      <w:r w:rsidR="001B2DF1" w:rsidRPr="0029043E">
        <w:rPr>
          <w:rFonts w:ascii="Times New Roman" w:hAnsi="Times New Roman" w:cs="Times New Roman"/>
          <w:sz w:val="28"/>
          <w:szCs w:val="28"/>
        </w:rPr>
        <w:t>atzīšanas institūcijas izdevum</w:t>
      </w:r>
      <w:r w:rsidR="0029043E" w:rsidRPr="0029043E">
        <w:rPr>
          <w:rFonts w:ascii="Times New Roman" w:hAnsi="Times New Roman" w:cs="Times New Roman"/>
          <w:sz w:val="28"/>
          <w:szCs w:val="28"/>
        </w:rPr>
        <w:t>i</w:t>
      </w:r>
      <w:r w:rsidR="001B2DF1" w:rsidRPr="0029043E">
        <w:rPr>
          <w:rFonts w:ascii="Times New Roman" w:hAnsi="Times New Roman" w:cs="Times New Roman"/>
          <w:sz w:val="28"/>
          <w:szCs w:val="28"/>
        </w:rPr>
        <w:t xml:space="preserve"> </w:t>
      </w:r>
      <w:r w:rsidR="00D63268">
        <w:rPr>
          <w:rFonts w:ascii="Times New Roman" w:hAnsi="Times New Roman" w:cs="Times New Roman"/>
          <w:sz w:val="28"/>
          <w:szCs w:val="28"/>
        </w:rPr>
        <w:t xml:space="preserve">saistībā ar </w:t>
      </w:r>
      <w:r w:rsidR="002F0758" w:rsidRPr="0029043E">
        <w:rPr>
          <w:rFonts w:ascii="Times New Roman" w:hAnsi="Times New Roman" w:cs="Times New Roman"/>
          <w:sz w:val="28"/>
          <w:szCs w:val="28"/>
        </w:rPr>
        <w:t>kvalifikācijas pārbaud</w:t>
      </w:r>
      <w:r w:rsidR="001B2DF1" w:rsidRPr="0029043E">
        <w:rPr>
          <w:rFonts w:ascii="Times New Roman" w:hAnsi="Times New Roman" w:cs="Times New Roman"/>
          <w:sz w:val="28"/>
          <w:szCs w:val="28"/>
        </w:rPr>
        <w:t>i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 īslaicīgu pakalpojumu sniegšanai – </w:t>
      </w:r>
      <w:r w:rsidR="00A4348A" w:rsidRPr="0029043E">
        <w:rPr>
          <w:rFonts w:ascii="Times New Roman" w:hAnsi="Times New Roman" w:cs="Times New Roman"/>
          <w:sz w:val="28"/>
          <w:szCs w:val="28"/>
        </w:rPr>
        <w:t>100 </w:t>
      </w:r>
      <w:proofErr w:type="spellStart"/>
      <w:r w:rsidR="002F0758" w:rsidRPr="0029043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F0758" w:rsidRPr="0029043E">
        <w:rPr>
          <w:rFonts w:ascii="Times New Roman" w:hAnsi="Times New Roman" w:cs="Times New Roman"/>
          <w:sz w:val="28"/>
          <w:szCs w:val="28"/>
        </w:rPr>
        <w:t>;</w:t>
      </w:r>
    </w:p>
    <w:p w14:paraId="481F2F5C" w14:textId="2B8F75CF" w:rsidR="002F0758" w:rsidRPr="0029043E" w:rsidRDefault="00540C69" w:rsidP="00B34D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43E">
        <w:rPr>
          <w:rFonts w:ascii="Times New Roman" w:hAnsi="Times New Roman" w:cs="Times New Roman"/>
          <w:sz w:val="28"/>
          <w:szCs w:val="28"/>
        </w:rPr>
        <w:t>3</w:t>
      </w:r>
      <w:r w:rsidR="002F0758" w:rsidRPr="0029043E">
        <w:rPr>
          <w:rFonts w:ascii="Times New Roman" w:hAnsi="Times New Roman" w:cs="Times New Roman"/>
          <w:sz w:val="28"/>
          <w:szCs w:val="28"/>
        </w:rPr>
        <w:t>.3.</w:t>
      </w:r>
      <w:r w:rsidR="003A693D" w:rsidRPr="0029043E">
        <w:rPr>
          <w:rFonts w:ascii="Times New Roman" w:hAnsi="Times New Roman" w:cs="Times New Roman"/>
          <w:sz w:val="28"/>
          <w:szCs w:val="28"/>
        </w:rPr>
        <w:t> 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Eiropas profesionālās kartes pieteikuma apstrāde – </w:t>
      </w:r>
      <w:r w:rsidR="0029043E">
        <w:rPr>
          <w:rFonts w:ascii="Times New Roman" w:hAnsi="Times New Roman" w:cs="Times New Roman"/>
          <w:sz w:val="28"/>
          <w:szCs w:val="28"/>
        </w:rPr>
        <w:t xml:space="preserve">pieteikumu saņemot 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no personas, kas izglītību un profesionālo kvalifikāciju ieguvusi Latvijas Republikā, kā arī no personas, kam Latvijas Republikā ir atzīta profesionālā kvalifikācija un kas pretendē uz Eiropas profesionālās kartes saņemšanu </w:t>
      </w:r>
      <w:r w:rsidR="00EA0F2A" w:rsidRPr="0029043E">
        <w:rPr>
          <w:rFonts w:ascii="Times New Roman" w:hAnsi="Times New Roman" w:cs="Times New Roman"/>
          <w:sz w:val="28"/>
          <w:szCs w:val="28"/>
        </w:rPr>
        <w:t xml:space="preserve">pastāvīgai </w:t>
      </w:r>
      <w:r w:rsidR="002F0758" w:rsidRPr="0029043E">
        <w:rPr>
          <w:rFonts w:ascii="Times New Roman" w:hAnsi="Times New Roman" w:cs="Times New Roman"/>
          <w:sz w:val="28"/>
          <w:szCs w:val="28"/>
        </w:rPr>
        <w:t>profesionālajai darbībai māsas, farmaceita, fizioterapeita, nekustamā īpašuma aģenta vai kalnu gida reglamentētajā profesijā citā Eiropas Savienības vai Eiropas Ekonomikas zonas valstī</w:t>
      </w:r>
      <w:r w:rsidR="003A693D" w:rsidRPr="0029043E">
        <w:rPr>
          <w:rFonts w:ascii="Times New Roman" w:hAnsi="Times New Roman" w:cs="Times New Roman"/>
          <w:sz w:val="28"/>
          <w:szCs w:val="28"/>
        </w:rPr>
        <w:t>,</w:t>
      </w:r>
      <w:r w:rsidR="003A1EAD" w:rsidRPr="0029043E">
        <w:rPr>
          <w:rFonts w:ascii="Times New Roman" w:hAnsi="Times New Roman" w:cs="Times New Roman"/>
          <w:sz w:val="28"/>
          <w:szCs w:val="28"/>
        </w:rPr>
        <w:t xml:space="preserve"> 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– </w:t>
      </w:r>
      <w:r w:rsidR="00E5644B" w:rsidRPr="0029043E">
        <w:rPr>
          <w:rFonts w:ascii="Times New Roman" w:hAnsi="Times New Roman" w:cs="Times New Roman"/>
          <w:sz w:val="28"/>
          <w:szCs w:val="28"/>
        </w:rPr>
        <w:t>80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758" w:rsidRPr="0029043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F0758" w:rsidRPr="0029043E">
        <w:rPr>
          <w:rFonts w:ascii="Times New Roman" w:hAnsi="Times New Roman" w:cs="Times New Roman"/>
          <w:sz w:val="28"/>
          <w:szCs w:val="28"/>
        </w:rPr>
        <w:t>;</w:t>
      </w:r>
    </w:p>
    <w:p w14:paraId="0AA6164F" w14:textId="60DD16D6" w:rsidR="002F0758" w:rsidRPr="0029043E" w:rsidRDefault="00540C6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43E">
        <w:rPr>
          <w:rFonts w:ascii="Times New Roman" w:hAnsi="Times New Roman" w:cs="Times New Roman"/>
          <w:sz w:val="28"/>
          <w:szCs w:val="28"/>
        </w:rPr>
        <w:t>3</w:t>
      </w:r>
      <w:r w:rsidR="002F0758" w:rsidRPr="0029043E">
        <w:rPr>
          <w:rFonts w:ascii="Times New Roman" w:hAnsi="Times New Roman" w:cs="Times New Roman"/>
          <w:sz w:val="28"/>
          <w:szCs w:val="28"/>
        </w:rPr>
        <w:t>.4.</w:t>
      </w:r>
      <w:r w:rsidR="003A693D" w:rsidRPr="0029043E">
        <w:rPr>
          <w:rFonts w:ascii="Times New Roman" w:hAnsi="Times New Roman" w:cs="Times New Roman"/>
          <w:sz w:val="28"/>
          <w:szCs w:val="28"/>
        </w:rPr>
        <w:t> </w:t>
      </w:r>
      <w:r w:rsidR="002F0758" w:rsidRPr="0029043E">
        <w:rPr>
          <w:rFonts w:ascii="Times New Roman" w:hAnsi="Times New Roman" w:cs="Times New Roman"/>
          <w:sz w:val="28"/>
          <w:szCs w:val="28"/>
        </w:rPr>
        <w:t>Eiropas profesionālās kartes pieteikuma apstrāde</w:t>
      </w:r>
      <w:r w:rsidR="00585203" w:rsidRPr="0029043E">
        <w:rPr>
          <w:rFonts w:ascii="Times New Roman" w:hAnsi="Times New Roman" w:cs="Times New Roman"/>
          <w:sz w:val="28"/>
          <w:szCs w:val="28"/>
        </w:rPr>
        <w:t xml:space="preserve"> un Eiropas profesionālās kartes izdošana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 – </w:t>
      </w:r>
      <w:r w:rsidR="0029043E">
        <w:rPr>
          <w:rFonts w:ascii="Times New Roman" w:hAnsi="Times New Roman" w:cs="Times New Roman"/>
          <w:sz w:val="28"/>
          <w:szCs w:val="28"/>
        </w:rPr>
        <w:t>pieteikumu saņemot</w:t>
      </w:r>
      <w:r w:rsidR="0029043E" w:rsidRPr="0029043E">
        <w:rPr>
          <w:rFonts w:ascii="Times New Roman" w:hAnsi="Times New Roman" w:cs="Times New Roman"/>
          <w:sz w:val="28"/>
          <w:szCs w:val="28"/>
        </w:rPr>
        <w:t xml:space="preserve"> 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no personas, kas izglītību un profesionālo kvalifikāciju ieguvusi Latvijas Republikā, kā arī no personas, kam Latvijas Republikā ir atzīta profesionālā kvalifikācija un kas pretendē uz Eiropas profesionālās kartes saņemšanu īslaicīgu pakalpojumu sniegšanai </w:t>
      </w:r>
      <w:r w:rsidR="008E0549" w:rsidRPr="0029043E">
        <w:rPr>
          <w:rFonts w:ascii="Times New Roman" w:hAnsi="Times New Roman" w:cs="Times New Roman"/>
          <w:sz w:val="28"/>
          <w:szCs w:val="28"/>
        </w:rPr>
        <w:t xml:space="preserve">māsas, farmaceita, </w:t>
      </w:r>
      <w:r w:rsidR="002F0758" w:rsidRPr="0029043E">
        <w:rPr>
          <w:rFonts w:ascii="Times New Roman" w:hAnsi="Times New Roman" w:cs="Times New Roman"/>
          <w:sz w:val="28"/>
          <w:szCs w:val="28"/>
        </w:rPr>
        <w:t>fizioterapeita</w:t>
      </w:r>
      <w:r w:rsidR="008E0549" w:rsidRPr="0029043E">
        <w:rPr>
          <w:rFonts w:ascii="Times New Roman" w:hAnsi="Times New Roman" w:cs="Times New Roman"/>
          <w:sz w:val="28"/>
          <w:szCs w:val="28"/>
        </w:rPr>
        <w:t>,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 </w:t>
      </w:r>
      <w:r w:rsidR="008E0549" w:rsidRPr="0029043E">
        <w:rPr>
          <w:rFonts w:ascii="Times New Roman" w:hAnsi="Times New Roman" w:cs="Times New Roman"/>
          <w:sz w:val="28"/>
          <w:szCs w:val="28"/>
        </w:rPr>
        <w:t xml:space="preserve">nekustamo īpašumu aģenta vai kalnu gida </w:t>
      </w:r>
      <w:r w:rsidR="002F0758" w:rsidRPr="0029043E">
        <w:rPr>
          <w:rFonts w:ascii="Times New Roman" w:hAnsi="Times New Roman" w:cs="Times New Roman"/>
          <w:sz w:val="28"/>
          <w:szCs w:val="28"/>
        </w:rPr>
        <w:t>reglamentētajā profesijā citā Eiropas Savienības vai Eiropas Ekonomikas zonas valstī</w:t>
      </w:r>
      <w:r w:rsidR="003A693D" w:rsidRPr="0029043E">
        <w:rPr>
          <w:rFonts w:ascii="Times New Roman" w:hAnsi="Times New Roman" w:cs="Times New Roman"/>
          <w:sz w:val="28"/>
          <w:szCs w:val="28"/>
        </w:rPr>
        <w:t>,</w:t>
      </w:r>
      <w:r w:rsidR="00550919" w:rsidRPr="0029043E">
        <w:rPr>
          <w:rFonts w:ascii="Times New Roman" w:hAnsi="Times New Roman" w:cs="Times New Roman"/>
          <w:sz w:val="28"/>
          <w:szCs w:val="28"/>
        </w:rPr>
        <w:t xml:space="preserve"> 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– </w:t>
      </w:r>
      <w:r w:rsidR="00E5644B" w:rsidRPr="0029043E">
        <w:rPr>
          <w:rFonts w:ascii="Times New Roman" w:hAnsi="Times New Roman" w:cs="Times New Roman"/>
          <w:sz w:val="28"/>
          <w:szCs w:val="28"/>
        </w:rPr>
        <w:t>80</w:t>
      </w:r>
      <w:r w:rsidR="003A693D" w:rsidRPr="002904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F0758" w:rsidRPr="0029043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F0758" w:rsidRPr="0029043E">
        <w:rPr>
          <w:rFonts w:ascii="Times New Roman" w:hAnsi="Times New Roman" w:cs="Times New Roman"/>
          <w:sz w:val="28"/>
          <w:szCs w:val="28"/>
        </w:rPr>
        <w:t>;</w:t>
      </w:r>
    </w:p>
    <w:p w14:paraId="2333AFF8" w14:textId="57293FD2" w:rsidR="002F0758" w:rsidRPr="0029043E" w:rsidRDefault="00540C6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F075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7175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F075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A693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F0758" w:rsidRPr="0029043E">
        <w:rPr>
          <w:rFonts w:ascii="Times New Roman" w:hAnsi="Times New Roman" w:cs="Times New Roman"/>
          <w:sz w:val="28"/>
          <w:szCs w:val="28"/>
        </w:rPr>
        <w:t>Eiropas profesionālās kartes pieteikuma apstrāde</w:t>
      </w:r>
      <w:r w:rsidR="00585203" w:rsidRPr="0029043E">
        <w:rPr>
          <w:rFonts w:ascii="Times New Roman" w:hAnsi="Times New Roman" w:cs="Times New Roman"/>
          <w:sz w:val="28"/>
          <w:szCs w:val="28"/>
        </w:rPr>
        <w:t xml:space="preserve"> un Eiropas profesionālās kartes izdošana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 – </w:t>
      </w:r>
      <w:r w:rsidR="00BB5364">
        <w:rPr>
          <w:rFonts w:ascii="Times New Roman" w:hAnsi="Times New Roman" w:cs="Times New Roman"/>
          <w:sz w:val="28"/>
          <w:szCs w:val="28"/>
        </w:rPr>
        <w:t>pieteikumu saņemot</w:t>
      </w:r>
      <w:r w:rsidR="00BB5364" w:rsidRPr="0029043E">
        <w:rPr>
          <w:rFonts w:ascii="Times New Roman" w:hAnsi="Times New Roman" w:cs="Times New Roman"/>
          <w:sz w:val="28"/>
          <w:szCs w:val="28"/>
        </w:rPr>
        <w:t xml:space="preserve"> 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no personas, kas izglītību un profesionālo kvalifikāciju ieguvusi citā Eiropas Savienības vai Eiropas Ekonomikas zonas valstī un </w:t>
      </w:r>
      <w:r w:rsidR="00D63268">
        <w:rPr>
          <w:rFonts w:ascii="Times New Roman" w:hAnsi="Times New Roman" w:cs="Times New Roman"/>
          <w:sz w:val="28"/>
          <w:szCs w:val="28"/>
        </w:rPr>
        <w:t xml:space="preserve">kas 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pretendē uz Eiropas profesionālās kartes saņemšanu pastāvīgai profesionālajai darbībai vai īslaicīgu pakalpojumu sniegšanai </w:t>
      </w:r>
      <w:r w:rsidR="00EA0F2A" w:rsidRPr="0029043E">
        <w:rPr>
          <w:rFonts w:ascii="Times New Roman" w:hAnsi="Times New Roman" w:cs="Times New Roman"/>
          <w:sz w:val="28"/>
          <w:szCs w:val="28"/>
        </w:rPr>
        <w:t xml:space="preserve">māsas, farmaceita vai fizioterapeita reglamentētajā profesijā </w:t>
      </w:r>
      <w:r w:rsidR="002F0758" w:rsidRPr="0029043E">
        <w:rPr>
          <w:rFonts w:ascii="Times New Roman" w:hAnsi="Times New Roman" w:cs="Times New Roman"/>
          <w:sz w:val="28"/>
          <w:szCs w:val="28"/>
        </w:rPr>
        <w:t>Latvijas Republikā</w:t>
      </w:r>
      <w:r w:rsidR="003A693D" w:rsidRPr="0029043E">
        <w:rPr>
          <w:rFonts w:ascii="Times New Roman" w:hAnsi="Times New Roman" w:cs="Times New Roman"/>
          <w:sz w:val="28"/>
          <w:szCs w:val="28"/>
        </w:rPr>
        <w:t>,</w:t>
      </w:r>
      <w:r w:rsidR="00550919" w:rsidRPr="0029043E">
        <w:rPr>
          <w:rFonts w:ascii="Times New Roman" w:hAnsi="Times New Roman" w:cs="Times New Roman"/>
          <w:sz w:val="28"/>
          <w:szCs w:val="28"/>
        </w:rPr>
        <w:t xml:space="preserve"> </w:t>
      </w:r>
      <w:r w:rsidR="002F0758" w:rsidRPr="0029043E">
        <w:rPr>
          <w:rFonts w:ascii="Times New Roman" w:hAnsi="Times New Roman" w:cs="Times New Roman"/>
          <w:sz w:val="28"/>
          <w:szCs w:val="28"/>
        </w:rPr>
        <w:t xml:space="preserve">– </w:t>
      </w:r>
      <w:r w:rsidR="00A4348A" w:rsidRPr="0029043E">
        <w:rPr>
          <w:rFonts w:ascii="Times New Roman" w:hAnsi="Times New Roman" w:cs="Times New Roman"/>
          <w:sz w:val="28"/>
          <w:szCs w:val="28"/>
        </w:rPr>
        <w:t>2</w:t>
      </w:r>
      <w:r w:rsidR="0045131E" w:rsidRPr="0029043E">
        <w:rPr>
          <w:rFonts w:ascii="Times New Roman" w:hAnsi="Times New Roman" w:cs="Times New Roman"/>
          <w:sz w:val="28"/>
          <w:szCs w:val="28"/>
        </w:rPr>
        <w:t>40</w:t>
      </w:r>
      <w:r w:rsidR="003A693D" w:rsidRPr="002904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F0758" w:rsidRPr="0029043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F0758" w:rsidRPr="0029043E">
        <w:rPr>
          <w:rFonts w:ascii="Times New Roman" w:hAnsi="Times New Roman" w:cs="Times New Roman"/>
          <w:sz w:val="28"/>
          <w:szCs w:val="28"/>
        </w:rPr>
        <w:t>.</w:t>
      </w:r>
    </w:p>
    <w:p w14:paraId="7CE5D536" w14:textId="77777777" w:rsidR="0063214B" w:rsidRPr="0029043E" w:rsidRDefault="0063214B" w:rsidP="00B34D0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3162CB" w14:textId="2D9A03B8" w:rsidR="00BC0EBD" w:rsidRPr="0029043E" w:rsidRDefault="00540C6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3"/>
      <w:bookmarkStart w:id="6" w:name="p-245995"/>
      <w:bookmarkEnd w:id="5"/>
      <w:bookmarkEnd w:id="6"/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75A4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5A4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Iesniedzot informācijas institūcijā profesionālās kvalifikācijas atzīšanai nepieciešamos dokumentus, pretendents tiem pievieno apliecin</w:t>
      </w:r>
      <w:r w:rsidR="00450968">
        <w:rPr>
          <w:rFonts w:ascii="Times New Roman" w:eastAsia="Times New Roman" w:hAnsi="Times New Roman" w:cs="Times New Roman"/>
          <w:sz w:val="28"/>
          <w:szCs w:val="28"/>
          <w:lang w:eastAsia="lv-LV"/>
        </w:rPr>
        <w:t>ājumu par</w:t>
      </w:r>
      <w:r w:rsidR="00275A4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9" w:anchor="p4" w:tgtFrame="_blank" w:history="1">
        <w:r w:rsidR="00F476FE" w:rsidRPr="0029043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3.1</w:t>
        </w:r>
        <w:r w:rsidR="009D3CC5" w:rsidRPr="0029043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</w:t>
        </w:r>
        <w:r w:rsidR="000912AF" w:rsidRPr="0029043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="00F476FE" w:rsidRPr="0029043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apakš</w:t>
        </w:r>
        <w:r w:rsidR="009D3CC5" w:rsidRPr="0029043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punktā</w:t>
        </w:r>
      </w:hyperlink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5A4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 maks</w:t>
      </w:r>
      <w:r w:rsidR="00BB5364">
        <w:rPr>
          <w:rFonts w:ascii="Times New Roman" w:eastAsia="Times New Roman" w:hAnsi="Times New Roman" w:cs="Times New Roman"/>
          <w:sz w:val="28"/>
          <w:szCs w:val="28"/>
          <w:lang w:eastAsia="lv-LV"/>
        </w:rPr>
        <w:t>ājum</w:t>
      </w:r>
      <w:r w:rsidR="00275A4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a veikšanu</w:t>
      </w:r>
      <w:r w:rsidR="00BC0EB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38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informācijas institūcijas no</w:t>
      </w:r>
      <w:r w:rsidR="00450968">
        <w:rPr>
          <w:rFonts w:ascii="Times New Roman" w:eastAsia="Times New Roman" w:hAnsi="Times New Roman" w:cs="Times New Roman"/>
          <w:sz w:val="28"/>
          <w:szCs w:val="28"/>
          <w:lang w:eastAsia="lv-LV"/>
        </w:rPr>
        <w:t>rādī</w:t>
      </w:r>
      <w:r w:rsidR="00B238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tajā bankas kontā. </w:t>
      </w:r>
    </w:p>
    <w:p w14:paraId="39A7C80F" w14:textId="77777777" w:rsidR="00BC0EBD" w:rsidRPr="0029043E" w:rsidRDefault="00BC0EBD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B2B7C5" w14:textId="6AB1DD61" w:rsidR="00BC0EBD" w:rsidRPr="0029043E" w:rsidRDefault="00540C6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C0EBD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4DF9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A782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Atzīšanas institūcija pēc tam, kad s</w:t>
      </w:r>
      <w:r w:rsidR="00BE297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aņemt</w:t>
      </w:r>
      <w:r w:rsidR="00BA782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E297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</w:t>
      </w:r>
      <w:r w:rsidR="00BC0EBD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nformācijas institūcija</w:t>
      </w:r>
      <w:r w:rsidR="00BE297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C0EBD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E297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izziņ</w:t>
      </w:r>
      <w:r w:rsidR="00BA782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E297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pretendenta izglītības un profesionālās kvalifikācijas atbilstību Latvijas Republikā </w:t>
      </w:r>
      <w:r w:rsidR="00BA782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attiecīgajai reglamentētajai profesijai </w:t>
      </w:r>
      <w:r w:rsidR="00BE297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noteiktajām prasībām </w:t>
      </w:r>
      <w:r w:rsidR="0042104C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</w:t>
      </w:r>
      <w:r w:rsidR="00BA782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2104C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– informācijas institūcijas izziņa)</w:t>
      </w:r>
      <w:r w:rsidR="00BE297A" w:rsidRPr="00945C24">
        <w:rPr>
          <w:rFonts w:ascii="Times New Roman" w:eastAsia="Times New Roman" w:hAnsi="Times New Roman" w:cs="Times New Roman"/>
          <w:sz w:val="28"/>
          <w:szCs w:val="28"/>
          <w:lang w:eastAsia="lv-LV"/>
        </w:rPr>
        <w:t>, izraksta</w:t>
      </w:r>
      <w:r w:rsidR="00BE29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nosūta informācijas institūcijai rēķinu par</w:t>
      </w:r>
      <w:r w:rsidR="008F3BC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4348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B2DF1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8F3BC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0 </w:t>
      </w:r>
      <w:proofErr w:type="spellStart"/>
      <w:r w:rsidR="008F3BCB" w:rsidRPr="0029043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A782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  <w:r w:rsidR="00BE29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782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E29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nformācijas institūcija </w:t>
      </w:r>
      <w:r w:rsidR="00BA78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rēķin</w:t>
      </w:r>
      <w:r w:rsidR="00BA782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A78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E29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apmaksā 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10 </w:t>
      </w:r>
      <w:r w:rsidR="00BE29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darbdienu laikā pēc</w:t>
      </w:r>
      <w:r w:rsidR="00BA78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</w:t>
      </w:r>
      <w:r w:rsidR="00BE29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saņemšanas.</w:t>
      </w:r>
      <w:r w:rsidR="008F3BC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BB0DAEE" w14:textId="77777777" w:rsidR="001C6F8A" w:rsidRPr="0029043E" w:rsidRDefault="001C6F8A" w:rsidP="00B3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7" w:name="p4"/>
      <w:bookmarkStart w:id="8" w:name="p-582189"/>
      <w:bookmarkStart w:id="9" w:name="p5"/>
      <w:bookmarkStart w:id="10" w:name="p-245997"/>
      <w:bookmarkEnd w:id="7"/>
      <w:bookmarkEnd w:id="8"/>
      <w:bookmarkEnd w:id="9"/>
      <w:bookmarkEnd w:id="10"/>
    </w:p>
    <w:p w14:paraId="6FD05277" w14:textId="5B4D2D0B" w:rsidR="00971ADE" w:rsidRPr="00D24CE1" w:rsidRDefault="00540C6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6"/>
      <w:bookmarkStart w:id="12" w:name="p-484248"/>
      <w:bookmarkEnd w:id="11"/>
      <w:bookmarkEnd w:id="12"/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275A4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5A4B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</w:t>
      </w:r>
      <w:r w:rsidR="007D4DF9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75A4B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</w:t>
      </w:r>
      <w:r w:rsidR="00F964DF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275A4B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28B1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964DF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275A4B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minētajiem izdevumiem pretendents sedz </w:t>
      </w:r>
      <w:r w:rsidR="00BC5C43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atzīšanas institūcijai izdevumus</w:t>
      </w:r>
      <w:r w:rsidR="00F71C8E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</w:t>
      </w:r>
      <w:r w:rsidR="00D24CE1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radušies </w:t>
      </w:r>
      <w:r w:rsidR="00F71C8E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</w:t>
      </w:r>
      <w:r w:rsidR="00D24CE1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bā</w:t>
      </w:r>
      <w:r w:rsidR="00F71C8E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BC5C43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</w:p>
    <w:p w14:paraId="3EB25A7B" w14:textId="2906F7B8" w:rsidR="001E59F1" w:rsidRPr="00D24CE1" w:rsidRDefault="00971ADE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6.1.</w:t>
      </w:r>
      <w:r w:rsidR="007D4DF9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5A65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 prasību </w:t>
      </w:r>
      <w:r w:rsidR="00965A65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2D"/>
      </w:r>
      <w:r w:rsidR="00965A65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kvalifikācijas atbilstības pārbaudes vai adaptācijas perioda </w:t>
      </w:r>
      <w:r w:rsidR="00965A65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2D"/>
      </w:r>
      <w:r w:rsidR="00965A65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nodrošināšanu atbilstoši </w:t>
      </w:r>
      <w:r w:rsidR="001E59F1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965A65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1E59F1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965A65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1E59F1" w:rsidRPr="00D24C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papildu prasībām ārvalstīs iegūtas profesionālās kvalifikācijas atzīšanai Latvijas Republikā reglamentētajās profesijās;</w:t>
      </w:r>
    </w:p>
    <w:p w14:paraId="72F64CEE" w14:textId="623DC817" w:rsidR="001E59F1" w:rsidRPr="0029043E" w:rsidRDefault="001E59F1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6.2.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 informācijas iegūšanu un izvērtēšanu, ja pretendent</w:t>
      </w:r>
      <w:r w:rsidR="00F71C8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 mītnes valsts nav Eiropas Savienības dalībvalsts vai Eiropas Brīvās tirdzniecības asociācijas dalībvalsts, </w:t>
      </w:r>
      <w:r w:rsidR="00506C23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iesniegumam pievienotajos </w:t>
      </w:r>
      <w:r w:rsidR="00995A67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dokumentos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71C8E">
        <w:rPr>
          <w:rFonts w:ascii="Times New Roman" w:eastAsia="Times New Roman" w:hAnsi="Times New Roman" w:cs="Times New Roman"/>
          <w:sz w:val="28"/>
          <w:szCs w:val="28"/>
          <w:lang w:eastAsia="lv-LV"/>
        </w:rPr>
        <w:t>nav norādījis pilnīgu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</w:t>
      </w:r>
      <w:r w:rsidR="00F71C8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</w:t>
      </w:r>
      <w:r w:rsidR="00995A67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viņa</w:t>
      </w: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iegūto izglītību, profesionālo kvalifikāciju vai profesionālo pieredzi.</w:t>
      </w:r>
    </w:p>
    <w:p w14:paraId="7FD3A846" w14:textId="77777777" w:rsidR="001E59F1" w:rsidRPr="0029043E" w:rsidRDefault="001E59F1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5D3ED1" w14:textId="0876AE46" w:rsidR="008C396F" w:rsidRPr="0029043E" w:rsidRDefault="00920C67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8F149B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750D7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atzīšanas institūcijai rodas šo noteikumu 6.2. apakšpunktā 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3750D7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tie izdevumi, tā divu mēnešu laikā pēc informācijas institūcijas izziņas saņemšanas</w:t>
      </w:r>
      <w:r w:rsidR="00443B63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rakstiski </w:t>
      </w:r>
      <w:r w:rsidR="00F71C8E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informē pretendent</w:t>
      </w:r>
      <w:r w:rsidR="00F71C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F71C8E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612DD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nepieciešamību segt 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attiecīgos </w:t>
      </w:r>
      <w:r w:rsidR="00F71C8E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izdevumu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s, kā arī </w:t>
      </w:r>
      <w:r w:rsidR="006650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norāda 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F71C8E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apmēru un 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 segšanas </w:t>
      </w:r>
      <w:r w:rsidR="00F71C8E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kārtību</w:t>
      </w:r>
      <w:r w:rsidR="00443B63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6EE555B" w14:textId="77777777" w:rsidR="0062075E" w:rsidRPr="0029043E" w:rsidRDefault="0062075E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CD8F28" w14:textId="2D17BDF9" w:rsidR="007C648C" w:rsidRPr="0029043E" w:rsidRDefault="00920C67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5E62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E62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retendent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E62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divu nedēļu laikā 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</w:t>
      </w:r>
      <w:r w:rsidR="00612DD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7. punktā minēt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612DD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612DD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12DD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aņem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>šanas</w:t>
      </w:r>
      <w:r w:rsidR="00612DD8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62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informē atzīšanas institūcija par to, vai </w:t>
      </w:r>
      <w:r w:rsidR="00B9779C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viņš </w:t>
      </w:r>
      <w:r w:rsidR="005E62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piekrīt segt atzīšanas institūcijas no</w:t>
      </w:r>
      <w:r w:rsidR="00612DD8">
        <w:rPr>
          <w:rFonts w:ascii="Times New Roman" w:eastAsia="Times New Roman" w:hAnsi="Times New Roman" w:cs="Times New Roman"/>
          <w:sz w:val="28"/>
          <w:szCs w:val="28"/>
          <w:lang w:eastAsia="lv-LV"/>
        </w:rPr>
        <w:t>rādī</w:t>
      </w:r>
      <w:r w:rsidR="005E627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izmaksas. Ja pretendents nepiekrīt segt minētās izmaksas, atzīšanas institūcija pieņem lēmumu </w:t>
      </w:r>
      <w:r w:rsidR="00A00C06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tās rīcībā esošajai informācijai.</w:t>
      </w:r>
    </w:p>
    <w:p w14:paraId="25DA2D26" w14:textId="77777777" w:rsidR="00290D30" w:rsidRPr="0029043E" w:rsidRDefault="00290D30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13A081" w14:textId="429484B8" w:rsidR="006550EC" w:rsidRPr="0029043E" w:rsidRDefault="00F838F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550EC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550EC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Pretendentam ir tiesības saņemt atpakaļ </w:t>
      </w:r>
      <w:r w:rsidR="00120BC4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3.1.2. apakšpunktā no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rādī</w:t>
      </w:r>
      <w:r w:rsidR="00120BC4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6550EC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maks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ājuma</w:t>
      </w:r>
      <w:r w:rsidR="006550EC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par profesionālās kvalifikācijas atzīšanu, ja </w:t>
      </w:r>
      <w:r w:rsidR="00511A24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divu nedēļu laikā </w:t>
      </w:r>
      <w:r w:rsidR="006550EC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profesionālās kvalifikācijas atzīšanas procesa uzsākšanas 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viņš </w:t>
      </w:r>
      <w:r w:rsidR="006550EC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rakstiski (norādot arī savus bankas rekvizītus) </w:t>
      </w:r>
      <w:r w:rsidR="006550EC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atsaucis informācijas institūcijai 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adresēto iesniegumu </w:t>
      </w:r>
      <w:r w:rsidR="006550EC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profesionālās kvalifikācijas atzīšanu reglamentētajās profesijās. Šādā gadījumā bankas pakalpojumu izmaksas sedz pretendents.</w:t>
      </w:r>
    </w:p>
    <w:p w14:paraId="7A015CB6" w14:textId="77777777" w:rsidR="006550EC" w:rsidRPr="0029043E" w:rsidRDefault="006550EC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754BF9" w14:textId="103C5732" w:rsidR="00F964DF" w:rsidRPr="0029043E" w:rsidRDefault="00F838F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964DF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964DF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atzīšanas institūcija saskaņā ar normatīvajiem aktiem, kas nosaka īslaicīgu pakalpojumu sniedzēja kvalifikācijas pārbaudes veikšanas kārtību, ir pieņēmusi lēmumu </w:t>
      </w:r>
      <w:r w:rsidR="000213DD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veikt kvalifikācijas pārbaudi </w:t>
      </w:r>
      <w:r w:rsidR="00F964DF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personai, kas pirmo reizi uzsāk sniegt īslaicīgus pakalpojumus, 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tad </w:t>
      </w:r>
      <w:r w:rsidR="006650FE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 persona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64DF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kvalifikācijas pārbaudes veikšanai iesniedz 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atzīšanas institūcijā </w:t>
      </w:r>
      <w:r w:rsidR="00F964DF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dokumentus, kas apliecina šo noteikumu </w:t>
      </w:r>
      <w:r w:rsidR="00540C6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964DF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.2. apakšpunktā minēt</w:t>
      </w:r>
      <w:r w:rsidR="00EA0F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o izdevumu</w:t>
      </w:r>
      <w:r w:rsidR="00F964DF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samaksu</w:t>
      </w:r>
      <w:r w:rsidR="00F964DF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atzīšanas institūcijas no</w:t>
      </w:r>
      <w:r w:rsidR="00A52F9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rādī</w:t>
      </w:r>
      <w:r w:rsidR="00F964DF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tajā bankas kontā. </w:t>
      </w:r>
    </w:p>
    <w:p w14:paraId="31D45A58" w14:textId="77777777" w:rsidR="008E0549" w:rsidRPr="0029043E" w:rsidRDefault="008E054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60FE97" w14:textId="293D4BCD" w:rsidR="00051DC7" w:rsidRPr="0029043E" w:rsidRDefault="00F838F9" w:rsidP="00B34D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gramStart"/>
      <w:r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8E054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0F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Izdevumus</w:t>
      </w:r>
      <w:r w:rsidR="008E054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šo noteikumu</w:t>
      </w:r>
      <w:proofErr w:type="gramEnd"/>
      <w:r w:rsidR="008E054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0C6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A0F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.3., </w:t>
      </w:r>
      <w:r w:rsidR="00540C6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A0F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.4. vai </w:t>
      </w:r>
      <w:r w:rsidR="00540C6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A0F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.5.</w:t>
      </w:r>
      <w:r w:rsidR="007D4DF9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0F2A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pakalpojumu </w:t>
      </w:r>
      <w:r w:rsidR="00051DC7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saņēmējs </w:t>
      </w:r>
      <w:r w:rsidR="0015322E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>sedz</w:t>
      </w:r>
      <w:r w:rsidR="00051DC7" w:rsidRPr="002904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r w:rsidR="00051DC7" w:rsidRPr="002904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normatīvajiem aktiem, kas nosaka informācijas apmaiņas un uzraudzības kārtību Iekšējā tirgus informācijas sistēmas ietvaros, informācijas apmaiņā iesaistīto iestāžu atbildību un Eiropas profesionālās kartes izdošanas kārtību.</w:t>
      </w:r>
    </w:p>
    <w:p w14:paraId="2244390C" w14:textId="77777777" w:rsidR="00B34D00" w:rsidRPr="0029043E" w:rsidRDefault="00B34D00" w:rsidP="00B34D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"/>
      <w:bookmarkStart w:id="14" w:name="p-245999"/>
      <w:bookmarkStart w:id="15" w:name="p8"/>
      <w:bookmarkStart w:id="16" w:name="p-246000"/>
      <w:bookmarkEnd w:id="13"/>
      <w:bookmarkEnd w:id="14"/>
      <w:bookmarkEnd w:id="15"/>
      <w:bookmarkEnd w:id="16"/>
    </w:p>
    <w:p w14:paraId="2E4D5727" w14:textId="77777777" w:rsidR="00B34D00" w:rsidRPr="0029043E" w:rsidRDefault="00B34D00" w:rsidP="00B3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54C2E" w14:textId="77777777" w:rsidR="00B34D00" w:rsidRPr="0029043E" w:rsidRDefault="00B34D00" w:rsidP="007D4DF9">
      <w:pPr>
        <w:tabs>
          <w:tab w:val="left" w:pos="694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878D3" w14:textId="07339791" w:rsidR="00B34D00" w:rsidRPr="0029043E" w:rsidRDefault="00B34D00" w:rsidP="007D4DF9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9043E">
        <w:rPr>
          <w:sz w:val="28"/>
          <w:szCs w:val="28"/>
        </w:rPr>
        <w:t>Ministru prezidents</w:t>
      </w:r>
      <w:r w:rsidRPr="0029043E">
        <w:rPr>
          <w:sz w:val="28"/>
          <w:szCs w:val="28"/>
        </w:rPr>
        <w:tab/>
        <w:t>A. K. Kariņš</w:t>
      </w:r>
    </w:p>
    <w:p w14:paraId="09DFF0A7" w14:textId="77777777" w:rsidR="00B34D00" w:rsidRPr="0029043E" w:rsidRDefault="00B34D00" w:rsidP="007D4DF9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</w:pPr>
    </w:p>
    <w:p w14:paraId="6F1FDA68" w14:textId="77777777" w:rsidR="00B34D00" w:rsidRPr="0029043E" w:rsidRDefault="00B34D00" w:rsidP="007D4DF9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</w:pPr>
    </w:p>
    <w:p w14:paraId="340ABA46" w14:textId="77777777" w:rsidR="00B34D00" w:rsidRPr="0029043E" w:rsidRDefault="00B34D00" w:rsidP="007D4DF9">
      <w:pPr>
        <w:pStyle w:val="naisf"/>
        <w:tabs>
          <w:tab w:val="left" w:pos="6521"/>
          <w:tab w:val="left" w:pos="6946"/>
          <w:tab w:val="right" w:pos="8820"/>
        </w:tabs>
        <w:spacing w:before="0" w:beforeAutospacing="0" w:after="0" w:afterAutospacing="0"/>
        <w:ind w:firstLine="709"/>
      </w:pPr>
    </w:p>
    <w:p w14:paraId="1A98D7E3" w14:textId="22AFA4BF" w:rsidR="00B34D00" w:rsidRPr="0029043E" w:rsidRDefault="00B34D00" w:rsidP="007D4DF9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9043E">
        <w:rPr>
          <w:sz w:val="28"/>
          <w:szCs w:val="28"/>
        </w:rPr>
        <w:t>Izglītības un zinātnes ministre</w:t>
      </w:r>
      <w:r w:rsidRPr="0029043E">
        <w:rPr>
          <w:sz w:val="28"/>
          <w:szCs w:val="28"/>
        </w:rPr>
        <w:tab/>
        <w:t>I. </w:t>
      </w:r>
      <w:proofErr w:type="spellStart"/>
      <w:r w:rsidRPr="0029043E">
        <w:rPr>
          <w:sz w:val="28"/>
          <w:szCs w:val="28"/>
        </w:rPr>
        <w:t>Šuplinska</w:t>
      </w:r>
      <w:proofErr w:type="spellEnd"/>
    </w:p>
    <w:sectPr w:rsidR="00B34D00" w:rsidRPr="0029043E" w:rsidSect="00B34D0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C9DF" w14:textId="77777777" w:rsidR="003C383E" w:rsidRDefault="003C383E" w:rsidP="00E40CE3">
      <w:pPr>
        <w:spacing w:after="0" w:line="240" w:lineRule="auto"/>
      </w:pPr>
      <w:r>
        <w:separator/>
      </w:r>
    </w:p>
  </w:endnote>
  <w:endnote w:type="continuationSeparator" w:id="0">
    <w:p w14:paraId="2A67C18E" w14:textId="77777777" w:rsidR="003C383E" w:rsidRDefault="003C383E" w:rsidP="00E4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BA36" w14:textId="77777777" w:rsidR="00B34D00" w:rsidRPr="00B34D00" w:rsidRDefault="00B34D00" w:rsidP="00B34D0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N0383_9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199C" w14:textId="013F89AB" w:rsidR="00B34D00" w:rsidRPr="00B34D00" w:rsidRDefault="00B34D0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N0383_9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1BE7" w14:textId="77777777" w:rsidR="003C383E" w:rsidRDefault="003C383E" w:rsidP="00E40CE3">
      <w:pPr>
        <w:spacing w:after="0" w:line="240" w:lineRule="auto"/>
      </w:pPr>
      <w:r>
        <w:separator/>
      </w:r>
    </w:p>
  </w:footnote>
  <w:footnote w:type="continuationSeparator" w:id="0">
    <w:p w14:paraId="3B4B2CF6" w14:textId="77777777" w:rsidR="003C383E" w:rsidRDefault="003C383E" w:rsidP="00E4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767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A6983B" w14:textId="39938853" w:rsidR="00E40CE3" w:rsidRPr="00B34D00" w:rsidRDefault="00E40CE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4D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4D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4D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5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4D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42D" w14:textId="7627B8B0" w:rsidR="00B34D00" w:rsidRDefault="00B34D00">
    <w:pPr>
      <w:pStyle w:val="Header"/>
      <w:rPr>
        <w:rFonts w:ascii="Times New Roman" w:hAnsi="Times New Roman" w:cs="Times New Roman"/>
        <w:sz w:val="24"/>
        <w:szCs w:val="24"/>
      </w:rPr>
    </w:pPr>
  </w:p>
  <w:p w14:paraId="3344D253" w14:textId="7F0A7C9E" w:rsidR="00B34D00" w:rsidRPr="00A142D0" w:rsidRDefault="00B34D00" w:rsidP="00501350">
    <w:pPr>
      <w:pStyle w:val="Header"/>
    </w:pPr>
    <w:r>
      <w:rPr>
        <w:noProof/>
      </w:rPr>
      <w:drawing>
        <wp:inline distT="0" distB="0" distL="0" distR="0" wp14:anchorId="438A7F5C" wp14:editId="044C52A0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B"/>
    <w:rsid w:val="00004FA6"/>
    <w:rsid w:val="000159D9"/>
    <w:rsid w:val="000213DD"/>
    <w:rsid w:val="00024470"/>
    <w:rsid w:val="00033834"/>
    <w:rsid w:val="000338ED"/>
    <w:rsid w:val="00033A4B"/>
    <w:rsid w:val="00036348"/>
    <w:rsid w:val="00050AE9"/>
    <w:rsid w:val="00051DC7"/>
    <w:rsid w:val="00065C43"/>
    <w:rsid w:val="00073D02"/>
    <w:rsid w:val="000912AF"/>
    <w:rsid w:val="0009503A"/>
    <w:rsid w:val="000B0F6D"/>
    <w:rsid w:val="000C3636"/>
    <w:rsid w:val="000E1281"/>
    <w:rsid w:val="000E38E4"/>
    <w:rsid w:val="000E68EB"/>
    <w:rsid w:val="0011191E"/>
    <w:rsid w:val="00120BC4"/>
    <w:rsid w:val="00120D6F"/>
    <w:rsid w:val="00123795"/>
    <w:rsid w:val="0015322E"/>
    <w:rsid w:val="001647C6"/>
    <w:rsid w:val="00191B35"/>
    <w:rsid w:val="001A2AFB"/>
    <w:rsid w:val="001B215A"/>
    <w:rsid w:val="001B2DF1"/>
    <w:rsid w:val="001B6031"/>
    <w:rsid w:val="001C6F8A"/>
    <w:rsid w:val="001D3CE4"/>
    <w:rsid w:val="001D4AE0"/>
    <w:rsid w:val="001E4550"/>
    <w:rsid w:val="001E59F1"/>
    <w:rsid w:val="001F6BA5"/>
    <w:rsid w:val="00210238"/>
    <w:rsid w:val="002257A6"/>
    <w:rsid w:val="00230519"/>
    <w:rsid w:val="0024358E"/>
    <w:rsid w:val="00245E5A"/>
    <w:rsid w:val="00260E61"/>
    <w:rsid w:val="002650F0"/>
    <w:rsid w:val="002665E0"/>
    <w:rsid w:val="00275A4B"/>
    <w:rsid w:val="0029043E"/>
    <w:rsid w:val="00290D30"/>
    <w:rsid w:val="0029548B"/>
    <w:rsid w:val="00295CDB"/>
    <w:rsid w:val="002A2F74"/>
    <w:rsid w:val="002C398E"/>
    <w:rsid w:val="002C4DA5"/>
    <w:rsid w:val="002E775A"/>
    <w:rsid w:val="002F0758"/>
    <w:rsid w:val="00300A31"/>
    <w:rsid w:val="00313D37"/>
    <w:rsid w:val="00322474"/>
    <w:rsid w:val="00331F13"/>
    <w:rsid w:val="003660F2"/>
    <w:rsid w:val="003741C3"/>
    <w:rsid w:val="003750D7"/>
    <w:rsid w:val="00396BB8"/>
    <w:rsid w:val="003A1EAD"/>
    <w:rsid w:val="003A693D"/>
    <w:rsid w:val="003B0665"/>
    <w:rsid w:val="003B20B4"/>
    <w:rsid w:val="003C383E"/>
    <w:rsid w:val="003D5F9F"/>
    <w:rsid w:val="003D7463"/>
    <w:rsid w:val="003E0799"/>
    <w:rsid w:val="004115DD"/>
    <w:rsid w:val="004135A4"/>
    <w:rsid w:val="0042081C"/>
    <w:rsid w:val="0042104C"/>
    <w:rsid w:val="00443B63"/>
    <w:rsid w:val="00444E34"/>
    <w:rsid w:val="00450968"/>
    <w:rsid w:val="0045131E"/>
    <w:rsid w:val="00457113"/>
    <w:rsid w:val="004638E2"/>
    <w:rsid w:val="004760BF"/>
    <w:rsid w:val="00483CCF"/>
    <w:rsid w:val="004A432D"/>
    <w:rsid w:val="004B636D"/>
    <w:rsid w:val="004C1844"/>
    <w:rsid w:val="004D57FA"/>
    <w:rsid w:val="004F1C38"/>
    <w:rsid w:val="00503A9E"/>
    <w:rsid w:val="00506C23"/>
    <w:rsid w:val="00511A24"/>
    <w:rsid w:val="00540C69"/>
    <w:rsid w:val="00545B8D"/>
    <w:rsid w:val="00550919"/>
    <w:rsid w:val="00557016"/>
    <w:rsid w:val="00562C7C"/>
    <w:rsid w:val="005673A2"/>
    <w:rsid w:val="0058451D"/>
    <w:rsid w:val="00585203"/>
    <w:rsid w:val="005C0AA2"/>
    <w:rsid w:val="005C7E16"/>
    <w:rsid w:val="005E627A"/>
    <w:rsid w:val="005F0E04"/>
    <w:rsid w:val="005F50D6"/>
    <w:rsid w:val="005F6C3E"/>
    <w:rsid w:val="00612DD8"/>
    <w:rsid w:val="006140DC"/>
    <w:rsid w:val="0062075E"/>
    <w:rsid w:val="0063214B"/>
    <w:rsid w:val="006550EC"/>
    <w:rsid w:val="0066227F"/>
    <w:rsid w:val="006634BC"/>
    <w:rsid w:val="006650FE"/>
    <w:rsid w:val="00670D23"/>
    <w:rsid w:val="00673819"/>
    <w:rsid w:val="006A7A06"/>
    <w:rsid w:val="006D0BC6"/>
    <w:rsid w:val="006D4D7E"/>
    <w:rsid w:val="00701239"/>
    <w:rsid w:val="007420AD"/>
    <w:rsid w:val="007440C2"/>
    <w:rsid w:val="0075271B"/>
    <w:rsid w:val="007650F6"/>
    <w:rsid w:val="007808C1"/>
    <w:rsid w:val="00782893"/>
    <w:rsid w:val="007922C2"/>
    <w:rsid w:val="007940B6"/>
    <w:rsid w:val="007957EA"/>
    <w:rsid w:val="007C648C"/>
    <w:rsid w:val="007D111D"/>
    <w:rsid w:val="007D2AA1"/>
    <w:rsid w:val="007D4DF9"/>
    <w:rsid w:val="007D5280"/>
    <w:rsid w:val="007D612C"/>
    <w:rsid w:val="007D6EA2"/>
    <w:rsid w:val="007E34D9"/>
    <w:rsid w:val="007F2991"/>
    <w:rsid w:val="007F47DF"/>
    <w:rsid w:val="0083073A"/>
    <w:rsid w:val="00834098"/>
    <w:rsid w:val="008404BE"/>
    <w:rsid w:val="00851333"/>
    <w:rsid w:val="008561A1"/>
    <w:rsid w:val="00861A5C"/>
    <w:rsid w:val="00877FD4"/>
    <w:rsid w:val="00880724"/>
    <w:rsid w:val="008852DE"/>
    <w:rsid w:val="008860DB"/>
    <w:rsid w:val="008A72B6"/>
    <w:rsid w:val="008A7E7C"/>
    <w:rsid w:val="008C024F"/>
    <w:rsid w:val="008C396F"/>
    <w:rsid w:val="008C4EFC"/>
    <w:rsid w:val="008D564A"/>
    <w:rsid w:val="008E0549"/>
    <w:rsid w:val="008E083C"/>
    <w:rsid w:val="008E5ACB"/>
    <w:rsid w:val="008F149B"/>
    <w:rsid w:val="008F2B49"/>
    <w:rsid w:val="008F3BCB"/>
    <w:rsid w:val="00905A4E"/>
    <w:rsid w:val="00913C1E"/>
    <w:rsid w:val="00920C67"/>
    <w:rsid w:val="00930888"/>
    <w:rsid w:val="009328B1"/>
    <w:rsid w:val="00945C24"/>
    <w:rsid w:val="0095393C"/>
    <w:rsid w:val="00954D92"/>
    <w:rsid w:val="00965A65"/>
    <w:rsid w:val="00971ADE"/>
    <w:rsid w:val="00973456"/>
    <w:rsid w:val="00991FBC"/>
    <w:rsid w:val="00992D54"/>
    <w:rsid w:val="009938EC"/>
    <w:rsid w:val="00995A67"/>
    <w:rsid w:val="009B5F8B"/>
    <w:rsid w:val="009C7B19"/>
    <w:rsid w:val="009D3CC5"/>
    <w:rsid w:val="009E4075"/>
    <w:rsid w:val="009E5BA9"/>
    <w:rsid w:val="009E6D0E"/>
    <w:rsid w:val="009F7F02"/>
    <w:rsid w:val="00A00C06"/>
    <w:rsid w:val="00A23A99"/>
    <w:rsid w:val="00A30E12"/>
    <w:rsid w:val="00A40A1A"/>
    <w:rsid w:val="00A4348A"/>
    <w:rsid w:val="00A461A9"/>
    <w:rsid w:val="00A52F99"/>
    <w:rsid w:val="00A54592"/>
    <w:rsid w:val="00A57F96"/>
    <w:rsid w:val="00A7200C"/>
    <w:rsid w:val="00A84285"/>
    <w:rsid w:val="00AB78CB"/>
    <w:rsid w:val="00AE19E4"/>
    <w:rsid w:val="00AE3716"/>
    <w:rsid w:val="00AF5ABF"/>
    <w:rsid w:val="00B216CE"/>
    <w:rsid w:val="00B2382A"/>
    <w:rsid w:val="00B24090"/>
    <w:rsid w:val="00B34D00"/>
    <w:rsid w:val="00B36C2A"/>
    <w:rsid w:val="00B509AC"/>
    <w:rsid w:val="00B71F69"/>
    <w:rsid w:val="00B73E29"/>
    <w:rsid w:val="00B92B98"/>
    <w:rsid w:val="00B9489D"/>
    <w:rsid w:val="00B9779C"/>
    <w:rsid w:val="00BA782A"/>
    <w:rsid w:val="00BB1D01"/>
    <w:rsid w:val="00BB5364"/>
    <w:rsid w:val="00BC0EBD"/>
    <w:rsid w:val="00BC5C43"/>
    <w:rsid w:val="00BC731B"/>
    <w:rsid w:val="00BE1EA3"/>
    <w:rsid w:val="00BE297A"/>
    <w:rsid w:val="00BF0E39"/>
    <w:rsid w:val="00BF4BB3"/>
    <w:rsid w:val="00C01BE0"/>
    <w:rsid w:val="00C05483"/>
    <w:rsid w:val="00C13BCF"/>
    <w:rsid w:val="00C15C30"/>
    <w:rsid w:val="00C16F43"/>
    <w:rsid w:val="00C34723"/>
    <w:rsid w:val="00C50E32"/>
    <w:rsid w:val="00C67FC8"/>
    <w:rsid w:val="00C74C22"/>
    <w:rsid w:val="00C83F5B"/>
    <w:rsid w:val="00CB28ED"/>
    <w:rsid w:val="00CD250E"/>
    <w:rsid w:val="00CE0A9E"/>
    <w:rsid w:val="00CE37DF"/>
    <w:rsid w:val="00CE61FA"/>
    <w:rsid w:val="00CE7152"/>
    <w:rsid w:val="00D0225D"/>
    <w:rsid w:val="00D056A5"/>
    <w:rsid w:val="00D11226"/>
    <w:rsid w:val="00D143D6"/>
    <w:rsid w:val="00D24C3E"/>
    <w:rsid w:val="00D24CE1"/>
    <w:rsid w:val="00D33A6C"/>
    <w:rsid w:val="00D63268"/>
    <w:rsid w:val="00D63438"/>
    <w:rsid w:val="00D6492F"/>
    <w:rsid w:val="00D7478E"/>
    <w:rsid w:val="00D84CBB"/>
    <w:rsid w:val="00D913A2"/>
    <w:rsid w:val="00D97FBB"/>
    <w:rsid w:val="00DA05EE"/>
    <w:rsid w:val="00DB1CF2"/>
    <w:rsid w:val="00DC44B3"/>
    <w:rsid w:val="00DE34CB"/>
    <w:rsid w:val="00DE6851"/>
    <w:rsid w:val="00E06239"/>
    <w:rsid w:val="00E20831"/>
    <w:rsid w:val="00E27355"/>
    <w:rsid w:val="00E40CE3"/>
    <w:rsid w:val="00E5644B"/>
    <w:rsid w:val="00E71759"/>
    <w:rsid w:val="00E94616"/>
    <w:rsid w:val="00EA0186"/>
    <w:rsid w:val="00EA0F2A"/>
    <w:rsid w:val="00EA6F5B"/>
    <w:rsid w:val="00EC218E"/>
    <w:rsid w:val="00EF0F0F"/>
    <w:rsid w:val="00F22E1B"/>
    <w:rsid w:val="00F26F45"/>
    <w:rsid w:val="00F3374E"/>
    <w:rsid w:val="00F47395"/>
    <w:rsid w:val="00F476FE"/>
    <w:rsid w:val="00F54A9D"/>
    <w:rsid w:val="00F71C8E"/>
    <w:rsid w:val="00F75F9B"/>
    <w:rsid w:val="00F8268A"/>
    <w:rsid w:val="00F838F9"/>
    <w:rsid w:val="00F928D5"/>
    <w:rsid w:val="00F964DF"/>
    <w:rsid w:val="00FC3E70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C2AF"/>
  <w15:chartTrackingRefBased/>
  <w15:docId w15:val="{2E233D64-C365-4294-A37C-AFBA8A1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27355"/>
    <w:pPr>
      <w:keepNext/>
      <w:numPr>
        <w:numId w:val="1"/>
      </w:num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7355"/>
    <w:pPr>
      <w:keepNext/>
      <w:numPr>
        <w:ilvl w:val="1"/>
        <w:numId w:val="1"/>
      </w:numPr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7355"/>
    <w:pPr>
      <w:keepNext/>
      <w:numPr>
        <w:ilvl w:val="2"/>
        <w:numId w:val="1"/>
      </w:numPr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7355"/>
    <w:pPr>
      <w:keepNext/>
      <w:numPr>
        <w:ilvl w:val="3"/>
        <w:numId w:val="1"/>
      </w:numPr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7355"/>
    <w:pPr>
      <w:keepNext/>
      <w:numPr>
        <w:ilvl w:val="4"/>
        <w:numId w:val="1"/>
      </w:numPr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caps/>
      <w:sz w:val="28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7355"/>
    <w:pPr>
      <w:keepNext/>
      <w:numPr>
        <w:ilvl w:val="5"/>
        <w:numId w:val="1"/>
      </w:numPr>
      <w:spacing w:after="12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i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7355"/>
    <w:pPr>
      <w:keepNext/>
      <w:numPr>
        <w:ilvl w:val="6"/>
        <w:numId w:val="1"/>
      </w:numPr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7355"/>
    <w:pPr>
      <w:numPr>
        <w:ilvl w:val="7"/>
        <w:numId w:val="1"/>
      </w:num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7355"/>
    <w:pPr>
      <w:keepNext/>
      <w:numPr>
        <w:ilvl w:val="8"/>
        <w:numId w:val="1"/>
      </w:numPr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A4B"/>
    <w:rPr>
      <w:color w:val="0000FF"/>
      <w:u w:val="single"/>
    </w:rPr>
  </w:style>
  <w:style w:type="paragraph" w:customStyle="1" w:styleId="tv213">
    <w:name w:val="tv213"/>
    <w:basedOn w:val="Normal"/>
    <w:rsid w:val="0027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27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321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2735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2735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E27355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E2735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E27355"/>
    <w:rPr>
      <w:rFonts w:ascii="Times New Roman" w:eastAsia="Times New Roman" w:hAnsi="Times New Roman" w:cs="Times New Roman"/>
      <w:caps/>
      <w:sz w:val="28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E27355"/>
    <w:rPr>
      <w:rFonts w:ascii="Times New Roman" w:eastAsia="Times New Roman" w:hAnsi="Times New Roman" w:cs="Times New Roman"/>
      <w:iCs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E2735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E2735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E2735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55"/>
    <w:rPr>
      <w:rFonts w:ascii="Segoe UI" w:hAnsi="Segoe UI" w:cs="Segoe UI"/>
      <w:sz w:val="18"/>
      <w:szCs w:val="18"/>
    </w:rPr>
  </w:style>
  <w:style w:type="paragraph" w:customStyle="1" w:styleId="tvhtml">
    <w:name w:val="tv_html"/>
    <w:basedOn w:val="Normal"/>
    <w:rsid w:val="00D7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CB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E3"/>
  </w:style>
  <w:style w:type="paragraph" w:styleId="Footer">
    <w:name w:val="footer"/>
    <w:basedOn w:val="Normal"/>
    <w:link w:val="FooterChar"/>
    <w:uiPriority w:val="99"/>
    <w:unhideWhenUsed/>
    <w:rsid w:val="00E40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E3"/>
  </w:style>
  <w:style w:type="character" w:styleId="CommentReference">
    <w:name w:val="annotation reference"/>
    <w:basedOn w:val="DefaultParagraphFont"/>
    <w:uiPriority w:val="99"/>
    <w:semiHidden/>
    <w:unhideWhenUsed/>
    <w:rsid w:val="00BC0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EBD"/>
    <w:rPr>
      <w:b/>
      <w:bCs/>
      <w:sz w:val="20"/>
      <w:szCs w:val="20"/>
    </w:rPr>
  </w:style>
  <w:style w:type="paragraph" w:customStyle="1" w:styleId="naisf">
    <w:name w:val="naisf"/>
    <w:basedOn w:val="Normal"/>
    <w:rsid w:val="0055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6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7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6021-par-reglamentetajam-profesijam-un-profesionalas-kvalifikacijas-atzisan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doc.php?id=7625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F126-D7E8-496A-9781-1375432F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4603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Leontine Babkina</cp:lastModifiedBy>
  <cp:revision>45</cp:revision>
  <cp:lastPrinted>2019-02-26T12:33:00Z</cp:lastPrinted>
  <dcterms:created xsi:type="dcterms:W3CDTF">2019-02-05T14:36:00Z</dcterms:created>
  <dcterms:modified xsi:type="dcterms:W3CDTF">2019-03-07T08:22:00Z</dcterms:modified>
</cp:coreProperties>
</file>