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97D" w:rsidRPr="00AC75BC" w:rsidRDefault="003C7C57" w:rsidP="003C7C57">
      <w:pPr>
        <w:spacing w:line="240" w:lineRule="auto"/>
        <w:jc w:val="center"/>
        <w:rPr>
          <w:b/>
          <w:sz w:val="24"/>
          <w:szCs w:val="28"/>
        </w:rPr>
      </w:pPr>
      <w:bookmarkStart w:id="0" w:name="_Hlk502916799"/>
      <w:r>
        <w:rPr>
          <w:b/>
          <w:sz w:val="24"/>
          <w:szCs w:val="28"/>
        </w:rPr>
        <w:t>Ministru kabineta noteikumu projekta</w:t>
      </w:r>
      <w:r w:rsidRPr="000A6A60">
        <w:rPr>
          <w:b/>
          <w:sz w:val="24"/>
          <w:szCs w:val="28"/>
        </w:rPr>
        <w:t xml:space="preserve"> </w:t>
      </w:r>
      <w:r>
        <w:rPr>
          <w:b/>
          <w:sz w:val="24"/>
          <w:szCs w:val="28"/>
        </w:rPr>
        <w:t>“</w:t>
      </w:r>
      <w:r w:rsidR="00445483">
        <w:rPr>
          <w:b/>
          <w:sz w:val="24"/>
          <w:szCs w:val="28"/>
        </w:rPr>
        <w:t>Par Ministru kabineta 2008.</w:t>
      </w:r>
      <w:r w:rsidR="00445483" w:rsidRPr="00445483">
        <w:rPr>
          <w:b/>
          <w:sz w:val="24"/>
          <w:szCs w:val="28"/>
        </w:rPr>
        <w:t xml:space="preserve">gada 17.jūnija noteikumu Nr.438 </w:t>
      </w:r>
      <w:r w:rsidR="00445483">
        <w:rPr>
          <w:b/>
          <w:sz w:val="24"/>
          <w:szCs w:val="28"/>
        </w:rPr>
        <w:t>“</w:t>
      </w:r>
      <w:r w:rsidR="00445483" w:rsidRPr="00445483">
        <w:rPr>
          <w:b/>
          <w:sz w:val="24"/>
          <w:szCs w:val="28"/>
        </w:rPr>
        <w:t>Noteikumi par valsts aģentūras “Rīgas Motormuzejs” sniegto publisko maksas pakalpojumu cenrādi</w:t>
      </w:r>
      <w:r w:rsidR="00445483">
        <w:rPr>
          <w:b/>
          <w:sz w:val="24"/>
          <w:szCs w:val="28"/>
        </w:rPr>
        <w:t>”</w:t>
      </w:r>
      <w:r w:rsidR="00445483" w:rsidRPr="00445483">
        <w:rPr>
          <w:b/>
          <w:sz w:val="24"/>
          <w:szCs w:val="28"/>
        </w:rPr>
        <w:t xml:space="preserve"> atzīšanu par spēku zaudējušiem</w:t>
      </w:r>
      <w:r w:rsidRPr="000A6A60">
        <w:rPr>
          <w:b/>
          <w:sz w:val="24"/>
          <w:szCs w:val="28"/>
        </w:rPr>
        <w:t>” sākotnējās ietekmes novērtējuma ziņojums (anotācija)</w:t>
      </w:r>
    </w:p>
    <w:bookmarkEnd w:id="0"/>
    <w:p w:rsidR="003C7C57" w:rsidRDefault="003C7C57" w:rsidP="003C7C57">
      <w:pPr>
        <w:jc w:val="center"/>
        <w:rPr>
          <w:rFonts w:eastAsia="Times New Roman"/>
          <w:b/>
          <w:bCs/>
          <w:sz w:val="24"/>
          <w:szCs w:val="24"/>
          <w:lang w:eastAsia="lv-LV"/>
        </w:rPr>
      </w:pPr>
    </w:p>
    <w:tbl>
      <w:tblPr>
        <w:tblW w:w="5039" w:type="pct"/>
        <w:tblInd w:w="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32"/>
      </w:tblGrid>
      <w:tr w:rsidR="005E297D" w:rsidRPr="00C708B6" w:rsidTr="00E86F8D">
        <w:tc>
          <w:tcPr>
            <w:tcW w:w="5000" w:type="pct"/>
          </w:tcPr>
          <w:p w:rsidR="005E297D" w:rsidRPr="00C708B6" w:rsidRDefault="005E297D" w:rsidP="00E86F8D">
            <w:pPr>
              <w:pStyle w:val="Parastais1"/>
              <w:spacing w:before="100" w:beforeAutospacing="1" w:after="100" w:afterAutospacing="1"/>
              <w:jc w:val="center"/>
              <w:rPr>
                <w:b/>
                <w:bCs/>
              </w:rPr>
            </w:pPr>
            <w:r w:rsidRPr="005E297D">
              <w:rPr>
                <w:b/>
                <w:bCs/>
                <w:iCs/>
                <w:lang w:val="sv-SE"/>
              </w:rPr>
              <w:t>Tiesību akta projekta anotācijas kopsavilkums</w:t>
            </w:r>
          </w:p>
        </w:tc>
      </w:tr>
      <w:tr w:rsidR="005E297D" w:rsidRPr="00C708B6" w:rsidTr="005E297D">
        <w:tc>
          <w:tcPr>
            <w:tcW w:w="5000" w:type="pct"/>
          </w:tcPr>
          <w:p w:rsidR="005E297D" w:rsidRPr="00C708B6" w:rsidRDefault="005E297D" w:rsidP="00E86F8D">
            <w:pPr>
              <w:spacing w:line="240" w:lineRule="auto"/>
              <w:ind w:firstLine="0"/>
              <w:rPr>
                <w:iCs/>
                <w:sz w:val="24"/>
                <w:szCs w:val="24"/>
              </w:rPr>
            </w:pPr>
            <w:r w:rsidRPr="005E297D">
              <w:rPr>
                <w:rFonts w:eastAsia="Times New Roman"/>
                <w:iCs/>
                <w:sz w:val="24"/>
                <w:szCs w:val="24"/>
                <w:lang w:eastAsia="lv-LV"/>
              </w:rPr>
              <w:t>Saskaņā ar Ministru kabineta 2009. gada 15. decembra instrukcijas Nr. 19 “Tiesību akta projekta sākotnējās ietekmes izvērtēšanas kārtība” 5.</w:t>
            </w:r>
            <w:r w:rsidRPr="005E297D">
              <w:rPr>
                <w:rFonts w:eastAsia="Times New Roman"/>
                <w:iCs/>
                <w:sz w:val="24"/>
                <w:szCs w:val="24"/>
                <w:vertAlign w:val="superscript"/>
                <w:lang w:eastAsia="lv-LV"/>
              </w:rPr>
              <w:t>1</w:t>
            </w:r>
            <w:r w:rsidRPr="005E297D">
              <w:rPr>
                <w:rFonts w:eastAsia="Times New Roman"/>
                <w:iCs/>
                <w:sz w:val="24"/>
                <w:szCs w:val="24"/>
                <w:lang w:eastAsia="lv-LV"/>
              </w:rPr>
              <w:t xml:space="preserve"> punktu anotācijas kopsavilkumu neaizpilda.</w:t>
            </w:r>
          </w:p>
        </w:tc>
      </w:tr>
    </w:tbl>
    <w:p w:rsidR="005E297D" w:rsidRPr="00C708B6" w:rsidRDefault="005E297D" w:rsidP="003C7C57">
      <w:pPr>
        <w:jc w:val="center"/>
        <w:rPr>
          <w:rFonts w:eastAsia="Times New Roman"/>
          <w:b/>
          <w:bCs/>
          <w:sz w:val="24"/>
          <w:szCs w:val="24"/>
          <w:lang w:eastAsia="lv-LV"/>
        </w:rPr>
      </w:pPr>
    </w:p>
    <w:tbl>
      <w:tblPr>
        <w:tblW w:w="5039" w:type="pct"/>
        <w:tblInd w:w="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9"/>
        <w:gridCol w:w="3094"/>
        <w:gridCol w:w="5589"/>
      </w:tblGrid>
      <w:tr w:rsidR="003C7C57" w:rsidRPr="00C708B6" w:rsidTr="007F3E52">
        <w:tc>
          <w:tcPr>
            <w:tcW w:w="5000" w:type="pct"/>
            <w:gridSpan w:val="3"/>
          </w:tcPr>
          <w:p w:rsidR="003C7C57" w:rsidRPr="00C708B6" w:rsidRDefault="003C7C57" w:rsidP="00EA1DFC">
            <w:pPr>
              <w:pStyle w:val="Parastais1"/>
              <w:spacing w:before="100" w:beforeAutospacing="1" w:after="100" w:afterAutospacing="1"/>
              <w:jc w:val="center"/>
              <w:rPr>
                <w:b/>
                <w:bCs/>
              </w:rPr>
            </w:pPr>
            <w:r w:rsidRPr="00C708B6">
              <w:rPr>
                <w:b/>
                <w:bCs/>
              </w:rPr>
              <w:t>I. Tiesību akta projekta izstrādes nepieciešamība</w:t>
            </w:r>
          </w:p>
        </w:tc>
      </w:tr>
      <w:tr w:rsidR="003C7C57" w:rsidRPr="00C708B6" w:rsidTr="007F3E52">
        <w:tc>
          <w:tcPr>
            <w:tcW w:w="246" w:type="pct"/>
          </w:tcPr>
          <w:p w:rsidR="003C7C57" w:rsidRPr="00C708B6" w:rsidRDefault="003C7C57" w:rsidP="00EA1DFC">
            <w:pPr>
              <w:pStyle w:val="Parastais1"/>
              <w:spacing w:before="100" w:beforeAutospacing="1" w:after="100" w:afterAutospacing="1"/>
              <w:jc w:val="both"/>
            </w:pPr>
            <w:r w:rsidRPr="00C708B6">
              <w:t>1.</w:t>
            </w:r>
          </w:p>
        </w:tc>
        <w:tc>
          <w:tcPr>
            <w:tcW w:w="1694" w:type="pct"/>
          </w:tcPr>
          <w:p w:rsidR="003C7C57" w:rsidRPr="00C708B6" w:rsidRDefault="003C7C57" w:rsidP="00EA1DFC">
            <w:pPr>
              <w:pStyle w:val="Parastais1"/>
              <w:spacing w:before="100" w:beforeAutospacing="1" w:after="100" w:afterAutospacing="1"/>
              <w:jc w:val="both"/>
            </w:pPr>
            <w:r w:rsidRPr="00C708B6">
              <w:t>Pamatojums</w:t>
            </w:r>
          </w:p>
        </w:tc>
        <w:tc>
          <w:tcPr>
            <w:tcW w:w="3060" w:type="pct"/>
          </w:tcPr>
          <w:p w:rsidR="003C7C57" w:rsidRPr="00C708B6" w:rsidRDefault="003C7C57" w:rsidP="003C7C57">
            <w:pPr>
              <w:spacing w:line="240" w:lineRule="auto"/>
              <w:ind w:firstLine="0"/>
              <w:rPr>
                <w:iCs/>
                <w:sz w:val="24"/>
                <w:szCs w:val="24"/>
              </w:rPr>
            </w:pPr>
            <w:r w:rsidRPr="003C7C57">
              <w:rPr>
                <w:iCs/>
                <w:sz w:val="24"/>
                <w:szCs w:val="24"/>
              </w:rPr>
              <w:t>Likuma par budžetu</w:t>
            </w:r>
            <w:r>
              <w:rPr>
                <w:iCs/>
                <w:sz w:val="24"/>
                <w:szCs w:val="24"/>
              </w:rPr>
              <w:t xml:space="preserve"> </w:t>
            </w:r>
            <w:r w:rsidRPr="003C7C57">
              <w:rPr>
                <w:iCs/>
                <w:sz w:val="24"/>
                <w:szCs w:val="24"/>
              </w:rPr>
              <w:t>un finanšu vadību 5.panta devīt</w:t>
            </w:r>
            <w:r w:rsidR="00CE3EF5">
              <w:rPr>
                <w:iCs/>
                <w:sz w:val="24"/>
                <w:szCs w:val="24"/>
              </w:rPr>
              <w:t>ā</w:t>
            </w:r>
            <w:r w:rsidRPr="003C7C57">
              <w:rPr>
                <w:iCs/>
                <w:sz w:val="24"/>
                <w:szCs w:val="24"/>
              </w:rPr>
              <w:t xml:space="preserve"> daļ</w:t>
            </w:r>
            <w:r w:rsidR="00CE3EF5">
              <w:rPr>
                <w:iCs/>
                <w:sz w:val="24"/>
                <w:szCs w:val="24"/>
              </w:rPr>
              <w:t>a</w:t>
            </w:r>
            <w:r>
              <w:rPr>
                <w:iCs/>
                <w:sz w:val="24"/>
                <w:szCs w:val="24"/>
              </w:rPr>
              <w:t xml:space="preserve">. </w:t>
            </w:r>
            <w:r w:rsidRPr="003C7C57">
              <w:rPr>
                <w:iCs/>
                <w:sz w:val="24"/>
                <w:szCs w:val="24"/>
              </w:rPr>
              <w:t>Ministru kabineta 2009. gada 30. jūnija rīkojum</w:t>
            </w:r>
            <w:r>
              <w:rPr>
                <w:iCs/>
                <w:sz w:val="24"/>
                <w:szCs w:val="24"/>
              </w:rPr>
              <w:t>s</w:t>
            </w:r>
            <w:r w:rsidRPr="003C7C57">
              <w:rPr>
                <w:iCs/>
                <w:sz w:val="24"/>
                <w:szCs w:val="24"/>
              </w:rPr>
              <w:t xml:space="preserve"> Nr.418 “Par valsts aģentūras “Rīgas motormuzejs” likvidāciju”</w:t>
            </w:r>
            <w:r>
              <w:rPr>
                <w:iCs/>
                <w:sz w:val="24"/>
                <w:szCs w:val="24"/>
              </w:rPr>
              <w:t xml:space="preserve">. </w:t>
            </w:r>
            <w:r w:rsidRPr="003C7C57">
              <w:rPr>
                <w:iCs/>
                <w:sz w:val="24"/>
                <w:szCs w:val="24"/>
              </w:rPr>
              <w:t xml:space="preserve"> </w:t>
            </w:r>
          </w:p>
        </w:tc>
      </w:tr>
      <w:tr w:rsidR="003C7C57" w:rsidRPr="00C708B6" w:rsidTr="007F3E52">
        <w:tc>
          <w:tcPr>
            <w:tcW w:w="246" w:type="pct"/>
          </w:tcPr>
          <w:p w:rsidR="003C7C57" w:rsidRPr="00C708B6" w:rsidRDefault="003C7C57" w:rsidP="00EA1DFC">
            <w:pPr>
              <w:pStyle w:val="Parastais1"/>
              <w:spacing w:before="100" w:beforeAutospacing="1" w:after="100" w:afterAutospacing="1"/>
              <w:jc w:val="both"/>
            </w:pPr>
            <w:r w:rsidRPr="00C708B6">
              <w:t>2.</w:t>
            </w:r>
          </w:p>
        </w:tc>
        <w:tc>
          <w:tcPr>
            <w:tcW w:w="1694" w:type="pct"/>
          </w:tcPr>
          <w:p w:rsidR="003C7C57" w:rsidRDefault="003C7C57" w:rsidP="00EA1DFC">
            <w:pPr>
              <w:pStyle w:val="Parastais1"/>
              <w:spacing w:before="100" w:beforeAutospacing="1" w:after="100" w:afterAutospacing="1"/>
            </w:pPr>
            <w:r w:rsidRPr="00C708B6">
              <w:t>Pašreizējā situācija un problēmas, kuru risināšanai tiesību akta projekts izstrādāts, tiesiskā regulējuma mērķis un būtība</w:t>
            </w: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Pr="00CE250F" w:rsidRDefault="00CE250F" w:rsidP="00CE250F">
            <w:pPr>
              <w:rPr>
                <w:lang w:eastAsia="lv-LV"/>
              </w:rPr>
            </w:pPr>
          </w:p>
          <w:p w:rsidR="00CE250F" w:rsidRDefault="00CE250F" w:rsidP="00CE250F">
            <w:pPr>
              <w:rPr>
                <w:rFonts w:eastAsia="Times New Roman"/>
                <w:sz w:val="24"/>
                <w:szCs w:val="24"/>
                <w:lang w:eastAsia="lv-LV"/>
              </w:rPr>
            </w:pPr>
          </w:p>
          <w:p w:rsidR="00CE250F" w:rsidRPr="00CE250F" w:rsidRDefault="00CE250F" w:rsidP="00CE250F">
            <w:pPr>
              <w:rPr>
                <w:lang w:eastAsia="lv-LV"/>
              </w:rPr>
            </w:pPr>
          </w:p>
          <w:p w:rsidR="00CE250F" w:rsidRPr="00CE250F" w:rsidRDefault="00CE250F" w:rsidP="00CE250F">
            <w:pPr>
              <w:rPr>
                <w:lang w:eastAsia="lv-LV"/>
              </w:rPr>
            </w:pPr>
          </w:p>
        </w:tc>
        <w:tc>
          <w:tcPr>
            <w:tcW w:w="3060" w:type="pct"/>
            <w:shd w:val="clear" w:color="auto" w:fill="auto"/>
          </w:tcPr>
          <w:p w:rsidR="00EF5C09" w:rsidRDefault="00445483" w:rsidP="003C7C57">
            <w:pPr>
              <w:spacing w:line="240" w:lineRule="auto"/>
              <w:ind w:firstLine="0"/>
              <w:rPr>
                <w:iCs/>
                <w:sz w:val="24"/>
                <w:szCs w:val="24"/>
              </w:rPr>
            </w:pPr>
            <w:r>
              <w:rPr>
                <w:iCs/>
                <w:sz w:val="24"/>
                <w:szCs w:val="24"/>
              </w:rPr>
              <w:lastRenderedPageBreak/>
              <w:t>S</w:t>
            </w:r>
            <w:r w:rsidR="003C7C57" w:rsidRPr="003C7C57">
              <w:rPr>
                <w:iCs/>
                <w:sz w:val="24"/>
                <w:szCs w:val="24"/>
              </w:rPr>
              <w:t>as</w:t>
            </w:r>
            <w:r>
              <w:rPr>
                <w:iCs/>
                <w:sz w:val="24"/>
                <w:szCs w:val="24"/>
              </w:rPr>
              <w:t>kaņā ar Ministru kabineta 2009.gada 30.</w:t>
            </w:r>
            <w:r w:rsidR="003C7C57" w:rsidRPr="003C7C57">
              <w:rPr>
                <w:iCs/>
                <w:sz w:val="24"/>
                <w:szCs w:val="24"/>
              </w:rPr>
              <w:t xml:space="preserve">jūnija rīkojumu Nr.418 “Par valsts aģentūras “Rīgas motormuzejs” likvidāciju” valsts aģentūra “Rīgas motormuzejs” ir likvidēta un tās tiesību, saistību, uzdevumu, mantas, finanšu līdzekļu un arhīva dokumentu pārņēmēja ir valsts akciju sabiedrība “Ceļu satiksmes drošības direkcija”. Savukārt </w:t>
            </w:r>
            <w:r w:rsidR="00CE3EF5">
              <w:rPr>
                <w:iCs/>
                <w:sz w:val="24"/>
                <w:szCs w:val="24"/>
              </w:rPr>
              <w:t>tīmekļa</w:t>
            </w:r>
            <w:r w:rsidR="003C7C57" w:rsidRPr="003C7C57">
              <w:rPr>
                <w:iCs/>
                <w:sz w:val="24"/>
                <w:szCs w:val="24"/>
              </w:rPr>
              <w:t xml:space="preserve"> vietnē https://likumi.lv/ kā spēkā esoši ir pieejami Ministru kabineta 2008. gada 17. jūnija noteikumi Nr.438 “Noteikumi par valsts aģentūras “Rīgas Motormuzejs” sniegto publisko maksas pakalpojumu cenrādi”, kuros kā publiskie pakalpojumi ir noteikti arī pakalpojumi</w:t>
            </w:r>
            <w:r>
              <w:rPr>
                <w:iCs/>
                <w:sz w:val="24"/>
                <w:szCs w:val="24"/>
              </w:rPr>
              <w:t xml:space="preserve">, kurus </w:t>
            </w:r>
            <w:r w:rsidR="00F11846">
              <w:rPr>
                <w:iCs/>
                <w:sz w:val="24"/>
                <w:szCs w:val="24"/>
              </w:rPr>
              <w:t xml:space="preserve">Rīgas motormuzejs </w:t>
            </w:r>
            <w:r>
              <w:rPr>
                <w:iCs/>
                <w:sz w:val="24"/>
                <w:szCs w:val="24"/>
              </w:rPr>
              <w:t xml:space="preserve">šobrīd nodrošina </w:t>
            </w:r>
            <w:r w:rsidR="00F11846">
              <w:rPr>
                <w:iCs/>
                <w:sz w:val="24"/>
                <w:szCs w:val="24"/>
              </w:rPr>
              <w:t xml:space="preserve">kā </w:t>
            </w:r>
            <w:r>
              <w:rPr>
                <w:iCs/>
                <w:sz w:val="24"/>
                <w:szCs w:val="24"/>
              </w:rPr>
              <w:t>CSDD</w:t>
            </w:r>
            <w:r w:rsidR="00F11846">
              <w:rPr>
                <w:iCs/>
                <w:sz w:val="24"/>
                <w:szCs w:val="24"/>
              </w:rPr>
              <w:t xml:space="preserve"> struktūrvienība</w:t>
            </w:r>
            <w:r w:rsidR="003C7C57" w:rsidRPr="003C7C57">
              <w:rPr>
                <w:iCs/>
                <w:sz w:val="24"/>
                <w:szCs w:val="24"/>
              </w:rPr>
              <w:t>.</w:t>
            </w:r>
            <w:r w:rsidR="00913EC3">
              <w:rPr>
                <w:iCs/>
                <w:sz w:val="24"/>
                <w:szCs w:val="24"/>
              </w:rPr>
              <w:t xml:space="preserve"> Attiecīgi </w:t>
            </w:r>
            <w:r w:rsidR="00F11846">
              <w:rPr>
                <w:iCs/>
                <w:sz w:val="24"/>
                <w:szCs w:val="24"/>
              </w:rPr>
              <w:t xml:space="preserve">Rīgas motormuzeja sniegto publisko pakalpojumu cenas jānosaka </w:t>
            </w:r>
            <w:r w:rsidR="00913EC3">
              <w:rPr>
                <w:iCs/>
                <w:sz w:val="24"/>
                <w:szCs w:val="24"/>
              </w:rPr>
              <w:t>CSDD publisko maksas pakalpojumu cenrād</w:t>
            </w:r>
            <w:r w:rsidR="00F11846">
              <w:rPr>
                <w:iCs/>
                <w:sz w:val="24"/>
                <w:szCs w:val="24"/>
              </w:rPr>
              <w:t>ī, kas</w:t>
            </w:r>
            <w:r w:rsidR="00913EC3">
              <w:rPr>
                <w:iCs/>
                <w:sz w:val="24"/>
                <w:szCs w:val="24"/>
              </w:rPr>
              <w:t xml:space="preserve"> noteikts ar </w:t>
            </w:r>
            <w:r w:rsidR="00913EC3" w:rsidRPr="00913EC3">
              <w:rPr>
                <w:iCs/>
                <w:sz w:val="24"/>
                <w:szCs w:val="24"/>
              </w:rPr>
              <w:t>Ministru kabineta 2013. gada 24. septembra noteikumi</w:t>
            </w:r>
            <w:r w:rsidR="00913EC3">
              <w:rPr>
                <w:iCs/>
                <w:sz w:val="24"/>
                <w:szCs w:val="24"/>
              </w:rPr>
              <w:t>em</w:t>
            </w:r>
            <w:r w:rsidR="00913EC3" w:rsidRPr="00913EC3">
              <w:rPr>
                <w:iCs/>
                <w:sz w:val="24"/>
                <w:szCs w:val="24"/>
              </w:rPr>
              <w:t xml:space="preserve"> Nr. 1000 </w:t>
            </w:r>
            <w:r w:rsidR="00F11846">
              <w:rPr>
                <w:iCs/>
                <w:sz w:val="24"/>
                <w:szCs w:val="24"/>
              </w:rPr>
              <w:t>“</w:t>
            </w:r>
            <w:r w:rsidR="00913EC3" w:rsidRPr="00913EC3">
              <w:rPr>
                <w:iCs/>
                <w:sz w:val="24"/>
                <w:szCs w:val="24"/>
              </w:rPr>
              <w:t>Valsts akciju sabiedrības "Ceļu satiksmes drošības direkcija</w:t>
            </w:r>
            <w:r w:rsidR="00F11846">
              <w:rPr>
                <w:iCs/>
                <w:sz w:val="24"/>
                <w:szCs w:val="24"/>
              </w:rPr>
              <w:t>”</w:t>
            </w:r>
            <w:r w:rsidR="00913EC3" w:rsidRPr="00913EC3">
              <w:rPr>
                <w:iCs/>
                <w:sz w:val="24"/>
                <w:szCs w:val="24"/>
              </w:rPr>
              <w:t xml:space="preserve"> publisko maksas pakalpojumu cenrādis</w:t>
            </w:r>
            <w:r w:rsidR="002D33AE">
              <w:rPr>
                <w:iCs/>
                <w:sz w:val="24"/>
                <w:szCs w:val="24"/>
              </w:rPr>
              <w:t>”</w:t>
            </w:r>
            <w:r w:rsidR="00913EC3">
              <w:rPr>
                <w:iCs/>
                <w:sz w:val="24"/>
                <w:szCs w:val="24"/>
              </w:rPr>
              <w:t xml:space="preserve">. </w:t>
            </w:r>
            <w:r w:rsidR="00F11846">
              <w:rPr>
                <w:iCs/>
                <w:sz w:val="24"/>
                <w:szCs w:val="24"/>
              </w:rPr>
              <w:t xml:space="preserve">Kopā ar </w:t>
            </w:r>
            <w:r w:rsidR="00F11846" w:rsidRPr="00F11846">
              <w:rPr>
                <w:iCs/>
                <w:sz w:val="24"/>
                <w:szCs w:val="24"/>
              </w:rPr>
              <w:t>Ministru kabineta noteikumu projekt</w:t>
            </w:r>
            <w:r w:rsidR="00F11846">
              <w:rPr>
                <w:iCs/>
                <w:sz w:val="24"/>
                <w:szCs w:val="24"/>
              </w:rPr>
              <w:t>u</w:t>
            </w:r>
            <w:r w:rsidR="00F11846" w:rsidRPr="00F11846">
              <w:rPr>
                <w:iCs/>
                <w:sz w:val="24"/>
                <w:szCs w:val="24"/>
              </w:rPr>
              <w:t xml:space="preserve"> “Par Ministru kabineta 2008.gada 17.jūnija noteikumu Nr.438 “Noteikumi par valsts aģentūras “Rīgas Motormuzejs” sniegto publisko maksas pakalpojumu cenrādi” atzīšanu par spēku zaudējušiem”</w:t>
            </w:r>
            <w:r w:rsidR="00F11846">
              <w:rPr>
                <w:iCs/>
                <w:sz w:val="24"/>
                <w:szCs w:val="24"/>
              </w:rPr>
              <w:t xml:space="preserve"> tiek virzīti atbilstoši grozījumi </w:t>
            </w:r>
            <w:r w:rsidR="00F11846" w:rsidRPr="00F11846">
              <w:rPr>
                <w:iCs/>
                <w:sz w:val="24"/>
                <w:szCs w:val="24"/>
              </w:rPr>
              <w:t>Ministru kabineta 2013. gada 24. septembra noteikum</w:t>
            </w:r>
            <w:r w:rsidR="008638BE">
              <w:rPr>
                <w:iCs/>
                <w:sz w:val="24"/>
                <w:szCs w:val="24"/>
              </w:rPr>
              <w:t>os</w:t>
            </w:r>
            <w:r w:rsidR="00F11846" w:rsidRPr="00F11846">
              <w:rPr>
                <w:iCs/>
                <w:sz w:val="24"/>
                <w:szCs w:val="24"/>
              </w:rPr>
              <w:t xml:space="preserve"> Nr. 1000 "Valsts akciju sabiedrības "Ceļu satiksmes drošības direkcija" publisko maksas pakalpojumu cenrādis"</w:t>
            </w:r>
            <w:r w:rsidR="008638BE">
              <w:rPr>
                <w:iCs/>
                <w:sz w:val="24"/>
                <w:szCs w:val="24"/>
              </w:rPr>
              <w:t>.</w:t>
            </w:r>
          </w:p>
          <w:p w:rsidR="00445483" w:rsidRPr="002D33AE" w:rsidRDefault="00EF5C09" w:rsidP="003C7C57">
            <w:pPr>
              <w:spacing w:line="240" w:lineRule="auto"/>
              <w:ind w:firstLine="0"/>
              <w:rPr>
                <w:iCs/>
                <w:sz w:val="24"/>
                <w:szCs w:val="24"/>
              </w:rPr>
            </w:pPr>
            <w:r w:rsidRPr="00EF5C09">
              <w:rPr>
                <w:iCs/>
                <w:sz w:val="24"/>
                <w:szCs w:val="24"/>
              </w:rPr>
              <w:t>Ministru kabineta 2013. gada 24. septembra noteikumos Nr. 1000 "Valsts akciju sabiedrības "Ceļu satiksmes drošības direkcija" publisko maksas pakalpojumu cenrādis"</w:t>
            </w:r>
            <w:r>
              <w:rPr>
                <w:iCs/>
                <w:sz w:val="24"/>
                <w:szCs w:val="24"/>
              </w:rPr>
              <w:t xml:space="preserve"> tiek pārņemti pakalpojumi, kas saistīti ar vēsturiskā statusa piešķiršanu transportlīdzeklim, t.i. </w:t>
            </w:r>
            <w:r w:rsidRPr="00EF5C09">
              <w:rPr>
                <w:iCs/>
                <w:sz w:val="24"/>
                <w:szCs w:val="24"/>
              </w:rPr>
              <w:t>seno spēkratu ekspertīz</w:t>
            </w:r>
            <w:r>
              <w:rPr>
                <w:iCs/>
                <w:sz w:val="24"/>
                <w:szCs w:val="24"/>
              </w:rPr>
              <w:t>e</w:t>
            </w:r>
            <w:r w:rsidRPr="00EF5C09">
              <w:rPr>
                <w:iCs/>
                <w:sz w:val="24"/>
                <w:szCs w:val="24"/>
              </w:rPr>
              <w:t xml:space="preserve"> (</w:t>
            </w:r>
            <w:r>
              <w:rPr>
                <w:iCs/>
                <w:sz w:val="24"/>
                <w:szCs w:val="24"/>
              </w:rPr>
              <w:t xml:space="preserve">CSDD </w:t>
            </w:r>
            <w:r w:rsidRPr="00EF5C09">
              <w:rPr>
                <w:iCs/>
                <w:sz w:val="24"/>
                <w:szCs w:val="24"/>
              </w:rPr>
              <w:t>publisko maksas pakalpojumu cenrād</w:t>
            </w:r>
            <w:r>
              <w:rPr>
                <w:iCs/>
                <w:sz w:val="24"/>
                <w:szCs w:val="24"/>
              </w:rPr>
              <w:t xml:space="preserve">ī </w:t>
            </w:r>
            <w:r w:rsidRPr="00EF5C09">
              <w:rPr>
                <w:iCs/>
                <w:sz w:val="24"/>
                <w:szCs w:val="24"/>
              </w:rPr>
              <w:t>“Pārbaude par transportlīdzekļa atbilstību vēsturiskā spēkrata statusam”) un vēsturiskā spēkrata statusa noformēšan</w:t>
            </w:r>
            <w:r>
              <w:rPr>
                <w:iCs/>
                <w:sz w:val="24"/>
                <w:szCs w:val="24"/>
              </w:rPr>
              <w:t>a</w:t>
            </w:r>
            <w:r w:rsidRPr="00EF5C09">
              <w:rPr>
                <w:iCs/>
                <w:sz w:val="24"/>
                <w:szCs w:val="24"/>
              </w:rPr>
              <w:t xml:space="preserve"> (CSDD publisko maksas pakalpojumu cenrādī “Apliecinājuma par </w:t>
            </w:r>
            <w:r w:rsidRPr="00EF5C09">
              <w:rPr>
                <w:iCs/>
                <w:sz w:val="24"/>
                <w:szCs w:val="24"/>
              </w:rPr>
              <w:lastRenderedPageBreak/>
              <w:t>transportlīdzekļa atbilstību vēsturiskā spēkrata statusam noformēšana”, “Apliecinājuma par transportlīdzekļa atbilstību vēsturiskā spēkrata statusam atkārtota noformēšana pēc termiņa beigām”)</w:t>
            </w:r>
            <w:r>
              <w:rPr>
                <w:iCs/>
                <w:sz w:val="24"/>
                <w:szCs w:val="24"/>
              </w:rPr>
              <w:t>.</w:t>
            </w:r>
            <w:r w:rsidR="00460619">
              <w:rPr>
                <w:iCs/>
                <w:sz w:val="24"/>
                <w:szCs w:val="24"/>
              </w:rPr>
              <w:t xml:space="preserve"> Pārējie </w:t>
            </w:r>
            <w:r w:rsidR="00460619" w:rsidRPr="00460619">
              <w:rPr>
                <w:iCs/>
                <w:sz w:val="24"/>
                <w:szCs w:val="24"/>
              </w:rPr>
              <w:t>Ministru kabineta 2008. gada 17. jūnija noteikum</w:t>
            </w:r>
            <w:r w:rsidR="00460619">
              <w:rPr>
                <w:iCs/>
                <w:sz w:val="24"/>
                <w:szCs w:val="24"/>
              </w:rPr>
              <w:t>os</w:t>
            </w:r>
            <w:r w:rsidR="00460619" w:rsidRPr="00460619">
              <w:rPr>
                <w:iCs/>
                <w:sz w:val="24"/>
                <w:szCs w:val="24"/>
              </w:rPr>
              <w:t xml:space="preserve"> Nr.438 “Noteikumi par valsts aģentūras “Rīgas Motormuzejs” sniegto publisko maksas pakalpojumu cenrādi”</w:t>
            </w:r>
            <w:r w:rsidR="00460619">
              <w:rPr>
                <w:iCs/>
                <w:sz w:val="24"/>
                <w:szCs w:val="24"/>
              </w:rPr>
              <w:t xml:space="preserve"> ietvertie maksas pakalpojumi un to cenas tiks noteiktas ar </w:t>
            </w:r>
            <w:r w:rsidR="00460619" w:rsidRPr="00460619">
              <w:rPr>
                <w:iCs/>
                <w:sz w:val="24"/>
                <w:szCs w:val="24"/>
              </w:rPr>
              <w:t xml:space="preserve">CSDD </w:t>
            </w:r>
            <w:r w:rsidR="00460619">
              <w:rPr>
                <w:iCs/>
                <w:sz w:val="24"/>
                <w:szCs w:val="24"/>
              </w:rPr>
              <w:t xml:space="preserve">valdes lēmumu kā cenas par </w:t>
            </w:r>
            <w:r w:rsidR="00460619" w:rsidRPr="00460619">
              <w:rPr>
                <w:iCs/>
                <w:sz w:val="24"/>
                <w:szCs w:val="24"/>
              </w:rPr>
              <w:t xml:space="preserve">maksas pakalpojumu, kas nav publiskie pakalpojumi, </w:t>
            </w:r>
            <w:r w:rsidR="00460619">
              <w:rPr>
                <w:iCs/>
                <w:sz w:val="24"/>
                <w:szCs w:val="24"/>
              </w:rPr>
              <w:t xml:space="preserve">grozot cenrādi, kas </w:t>
            </w:r>
            <w:r w:rsidR="00460619" w:rsidRPr="00460619">
              <w:rPr>
                <w:iCs/>
                <w:sz w:val="24"/>
                <w:szCs w:val="24"/>
              </w:rPr>
              <w:t>apstiprināts CSDD valdes 25.04.2018, sēdē, protokols Nr.19, lēmums Nr.4.1.</w:t>
            </w:r>
            <w:r w:rsidR="002D33AE">
              <w:rPr>
                <w:iCs/>
                <w:sz w:val="24"/>
                <w:szCs w:val="24"/>
              </w:rPr>
              <w:t xml:space="preserve"> </w:t>
            </w:r>
            <w:r w:rsidR="002D33AE" w:rsidRPr="007F3E52">
              <w:rPr>
                <w:iCs/>
                <w:sz w:val="24"/>
                <w:szCs w:val="24"/>
              </w:rPr>
              <w:t>Minētais pamatots ar apsvērumu, ka līdz ar Rīga</w:t>
            </w:r>
            <w:r w:rsidR="00B158C4">
              <w:rPr>
                <w:iCs/>
                <w:sz w:val="24"/>
                <w:szCs w:val="24"/>
              </w:rPr>
              <w:t>s</w:t>
            </w:r>
            <w:r w:rsidR="002D33AE" w:rsidRPr="007F3E52">
              <w:rPr>
                <w:iCs/>
                <w:sz w:val="24"/>
                <w:szCs w:val="24"/>
              </w:rPr>
              <w:t xml:space="preserve"> Motormuzeja pāreju no valsts aģentūras valsts kapitālsabiedrībai atbilstoši Muzeja likumam ir mainījies muzeja statuss. Attiecīgi saskaņā ar Muzeju likuma 14.pantu Rīga</w:t>
            </w:r>
            <w:r w:rsidR="00B158C4">
              <w:rPr>
                <w:iCs/>
                <w:sz w:val="24"/>
                <w:szCs w:val="24"/>
              </w:rPr>
              <w:t>s</w:t>
            </w:r>
            <w:r w:rsidR="002D33AE" w:rsidRPr="007F3E52">
              <w:rPr>
                <w:iCs/>
                <w:sz w:val="24"/>
                <w:szCs w:val="24"/>
              </w:rPr>
              <w:t xml:space="preserve"> </w:t>
            </w:r>
            <w:r w:rsidR="00B158C4">
              <w:rPr>
                <w:iCs/>
                <w:sz w:val="24"/>
                <w:szCs w:val="24"/>
              </w:rPr>
              <w:t>M</w:t>
            </w:r>
            <w:r w:rsidR="002D33AE" w:rsidRPr="007F3E52">
              <w:rPr>
                <w:iCs/>
                <w:sz w:val="24"/>
                <w:szCs w:val="24"/>
              </w:rPr>
              <w:t xml:space="preserve">otormuzejs nav valsts muzejs, jo netiek finansēts no valsts budžeta, kas savukārt nosaka kārtību, ka Rīgas </w:t>
            </w:r>
            <w:r w:rsidR="00B158C4">
              <w:rPr>
                <w:iCs/>
                <w:sz w:val="24"/>
                <w:szCs w:val="24"/>
              </w:rPr>
              <w:t>M</w:t>
            </w:r>
            <w:r w:rsidR="002D33AE" w:rsidRPr="007F3E52">
              <w:rPr>
                <w:iCs/>
                <w:sz w:val="24"/>
                <w:szCs w:val="24"/>
              </w:rPr>
              <w:t>otormuzeja kā CSDD struktūrvienības sniegtie pakalpojumi, izņemot pakalpojumus attiecībā uz vēsturiskā spēkrata statuss piešķiršanu, šobrīd nav publiski maskas pakalpojumi, kuru cenas būtu nosakāmas ar</w:t>
            </w:r>
            <w:r w:rsidR="002D33AE" w:rsidRPr="007F3E52">
              <w:t xml:space="preserve"> </w:t>
            </w:r>
            <w:r w:rsidR="002D33AE" w:rsidRPr="007F3E52">
              <w:rPr>
                <w:iCs/>
                <w:sz w:val="24"/>
                <w:szCs w:val="24"/>
              </w:rPr>
              <w:t xml:space="preserve">Ministru kabineta 2013. gada 24. septembra noteikumiem Nr. 1000 “Valsts akciju sabiedrības "Ceļu satiksmes drošības direkcija” publisko maksas pakalpojumu cenrādis”. Vienlaikus ņemot vērā nepieciešamību noteikt Rīgas </w:t>
            </w:r>
            <w:r w:rsidR="00B158C4">
              <w:rPr>
                <w:iCs/>
                <w:sz w:val="24"/>
                <w:szCs w:val="24"/>
              </w:rPr>
              <w:t>M</w:t>
            </w:r>
            <w:r w:rsidR="002D33AE" w:rsidRPr="007F3E52">
              <w:rPr>
                <w:iCs/>
                <w:sz w:val="24"/>
                <w:szCs w:val="24"/>
              </w:rPr>
              <w:t>otormuzeja kā CSDD struktūrvienības sniegtie pakalpojumu cenas, pozīcijas, kas nosaka ekspozīcijas un izstādes apmeklējumu, izglītojošie un metodiskie pakalpojumus (izņemot vēsturiskā spēkrata statuss piešķiršanu), kā arī muzeja krājuma izmantošanu tiks noteikti ar CSDD valdes apstiprināto cenrādi.</w:t>
            </w:r>
          </w:p>
          <w:p w:rsidR="00DA28D4" w:rsidRPr="008638BE" w:rsidRDefault="00047268" w:rsidP="00DA28D4">
            <w:pPr>
              <w:spacing w:line="240" w:lineRule="auto"/>
              <w:ind w:firstLine="0"/>
              <w:rPr>
                <w:iCs/>
                <w:sz w:val="24"/>
                <w:szCs w:val="24"/>
              </w:rPr>
            </w:pPr>
            <w:r w:rsidRPr="002D33AE">
              <w:rPr>
                <w:iCs/>
                <w:sz w:val="24"/>
                <w:szCs w:val="24"/>
              </w:rPr>
              <w:t>Lai novērstu</w:t>
            </w:r>
            <w:r w:rsidR="008638BE" w:rsidRPr="002D33AE">
              <w:rPr>
                <w:sz w:val="24"/>
                <w:szCs w:val="24"/>
              </w:rPr>
              <w:t xml:space="preserve"> situāciju, kad</w:t>
            </w:r>
            <w:r w:rsidR="008638BE" w:rsidRPr="008638BE">
              <w:rPr>
                <w:sz w:val="24"/>
                <w:szCs w:val="24"/>
              </w:rPr>
              <w:t xml:space="preserve"> </w:t>
            </w:r>
            <w:r w:rsidR="008638BE">
              <w:rPr>
                <w:sz w:val="24"/>
                <w:szCs w:val="24"/>
              </w:rPr>
              <w:t>ir</w:t>
            </w:r>
            <w:r w:rsidR="008638BE" w:rsidRPr="008638BE">
              <w:rPr>
                <w:sz w:val="24"/>
                <w:szCs w:val="24"/>
              </w:rPr>
              <w:t xml:space="preserve"> spēkā </w:t>
            </w:r>
            <w:r w:rsidR="008638BE">
              <w:rPr>
                <w:sz w:val="24"/>
                <w:szCs w:val="24"/>
              </w:rPr>
              <w:t>esošs likvidētas v</w:t>
            </w:r>
            <w:r w:rsidR="008638BE" w:rsidRPr="008638BE">
              <w:rPr>
                <w:iCs/>
                <w:sz w:val="24"/>
                <w:szCs w:val="24"/>
              </w:rPr>
              <w:t xml:space="preserve">alsts aģentūras “Rīgas </w:t>
            </w:r>
            <w:r w:rsidR="00B158C4">
              <w:rPr>
                <w:iCs/>
                <w:sz w:val="24"/>
                <w:szCs w:val="24"/>
              </w:rPr>
              <w:t>M</w:t>
            </w:r>
            <w:bookmarkStart w:id="1" w:name="_GoBack"/>
            <w:bookmarkEnd w:id="1"/>
            <w:r w:rsidR="008638BE" w:rsidRPr="008638BE">
              <w:rPr>
                <w:iCs/>
                <w:sz w:val="24"/>
                <w:szCs w:val="24"/>
              </w:rPr>
              <w:t xml:space="preserve">otormuzejs” </w:t>
            </w:r>
            <w:r w:rsidR="008638BE">
              <w:rPr>
                <w:iCs/>
                <w:sz w:val="24"/>
                <w:szCs w:val="24"/>
              </w:rPr>
              <w:t xml:space="preserve">publisko maksas pakalpojumu cenrādis, </w:t>
            </w:r>
            <w:r w:rsidRPr="008638BE">
              <w:rPr>
                <w:iCs/>
                <w:sz w:val="24"/>
                <w:szCs w:val="24"/>
              </w:rPr>
              <w:t xml:space="preserve">nepieciešamas atzīt par spēku zaudējušiem </w:t>
            </w:r>
            <w:r w:rsidR="003C7C57" w:rsidRPr="008638BE">
              <w:rPr>
                <w:iCs/>
                <w:sz w:val="24"/>
                <w:szCs w:val="24"/>
              </w:rPr>
              <w:t>Ministru kabineta 2008. gada 17. jūnija noteikumu Nr.438 “Noteikumi par valsts aģentūras “Rīgas Motormuzejs” sniegto publisko maksas pakalpojumu cenrādi”.</w:t>
            </w:r>
            <w:r w:rsidR="00DA28D4">
              <w:rPr>
                <w:iCs/>
                <w:sz w:val="24"/>
                <w:szCs w:val="24"/>
              </w:rPr>
              <w:t xml:space="preserve"> </w:t>
            </w:r>
            <w:r w:rsidR="00DA28D4" w:rsidRPr="007F3E52">
              <w:rPr>
                <w:iCs/>
                <w:sz w:val="24"/>
                <w:szCs w:val="24"/>
              </w:rPr>
              <w:t>Tā kā vienlaikus ar noteikumu projektu tiek virzīti atbilstoši grozījumi Ministru kabineta 2013.gada 24.septembra noteikumos Nr. 1000 “Valsts akciju sabiedrības “Ceļu satiksmes drošības direkcija" publisko maksas pakalpojumu cenrādis”, tad paredzams, ka Ministru kabineta noteikumu projekts “Par Ministru kabineta 2008.gada 17.jūnija noteikumu Nr.438 “Noteikumi par valsts aģentūras “Rīgas Motormuzejs” sniegto publisko maksas pakalpojumu cenrādi” atzīšanu par spēku zaudējušiem” un Ministru kabineta noteikumu projekts “Grozījumi Ministru kabineta 2013.gada 24.septembra noteikumos Nr. 1000 "Valsts akciju sabiedrības "Ceļu satiksmes drošības direkcija” publisko maksas pakalpojumu cenrādis" tiks pieņemti Ministru kabinetā un stāsies spēkā vienlaikus.</w:t>
            </w:r>
          </w:p>
        </w:tc>
      </w:tr>
      <w:tr w:rsidR="003C7C57" w:rsidRPr="00C708B6" w:rsidTr="007F3E52">
        <w:tc>
          <w:tcPr>
            <w:tcW w:w="246" w:type="pct"/>
          </w:tcPr>
          <w:p w:rsidR="003C7C57" w:rsidRPr="00C708B6" w:rsidRDefault="003C7C57" w:rsidP="00EA1DFC">
            <w:pPr>
              <w:pStyle w:val="Parastais1"/>
              <w:spacing w:before="100" w:beforeAutospacing="1" w:after="100" w:afterAutospacing="1"/>
              <w:jc w:val="both"/>
            </w:pPr>
            <w:r w:rsidRPr="00C708B6">
              <w:lastRenderedPageBreak/>
              <w:t>3.</w:t>
            </w:r>
          </w:p>
        </w:tc>
        <w:tc>
          <w:tcPr>
            <w:tcW w:w="1694" w:type="pct"/>
          </w:tcPr>
          <w:p w:rsidR="003C7C57" w:rsidRPr="00C708B6" w:rsidRDefault="003C7C57" w:rsidP="00EA1DFC">
            <w:pPr>
              <w:pStyle w:val="Parastais1"/>
              <w:spacing w:before="100" w:beforeAutospacing="1" w:after="100" w:afterAutospacing="1"/>
            </w:pPr>
            <w:r w:rsidRPr="00C708B6">
              <w:t>Projekta izstrādē iesaistītās institūcijas un publiskas personas kapitālsabiedrības</w:t>
            </w:r>
          </w:p>
        </w:tc>
        <w:tc>
          <w:tcPr>
            <w:tcW w:w="3060" w:type="pct"/>
          </w:tcPr>
          <w:p w:rsidR="003C7C57" w:rsidRPr="00C708B6" w:rsidRDefault="003C7C57" w:rsidP="00EA1DFC">
            <w:pPr>
              <w:pStyle w:val="Parastais1"/>
              <w:spacing w:before="100" w:beforeAutospacing="1" w:after="100" w:afterAutospacing="1"/>
              <w:jc w:val="both"/>
            </w:pPr>
            <w:r>
              <w:t>Satiksmes ministrija, v</w:t>
            </w:r>
            <w:r w:rsidRPr="00C708B6">
              <w:t>alsts akciju sabiedrība „Ceļu satiksmes drošības direkcija”</w:t>
            </w:r>
            <w:r>
              <w:t>.</w:t>
            </w:r>
          </w:p>
        </w:tc>
      </w:tr>
      <w:tr w:rsidR="003C7C57" w:rsidRPr="00C708B6" w:rsidTr="007F3E52">
        <w:tc>
          <w:tcPr>
            <w:tcW w:w="246" w:type="pct"/>
          </w:tcPr>
          <w:p w:rsidR="003C7C57" w:rsidRPr="00C708B6" w:rsidRDefault="003C7C57" w:rsidP="00EA1DFC">
            <w:pPr>
              <w:pStyle w:val="Parastais1"/>
              <w:spacing w:before="100" w:beforeAutospacing="1" w:after="100" w:afterAutospacing="1"/>
              <w:jc w:val="both"/>
            </w:pPr>
            <w:r w:rsidRPr="00C708B6">
              <w:t>4.</w:t>
            </w:r>
          </w:p>
        </w:tc>
        <w:tc>
          <w:tcPr>
            <w:tcW w:w="1694" w:type="pct"/>
          </w:tcPr>
          <w:p w:rsidR="003C7C57" w:rsidRPr="00C708B6" w:rsidRDefault="003C7C57" w:rsidP="00EA1DFC">
            <w:pPr>
              <w:pStyle w:val="Parastais1"/>
              <w:spacing w:before="100" w:beforeAutospacing="1" w:after="100" w:afterAutospacing="1"/>
              <w:jc w:val="both"/>
            </w:pPr>
            <w:r w:rsidRPr="00C708B6">
              <w:t>Cita informācija</w:t>
            </w:r>
          </w:p>
        </w:tc>
        <w:tc>
          <w:tcPr>
            <w:tcW w:w="3060" w:type="pct"/>
          </w:tcPr>
          <w:p w:rsidR="003C7C57" w:rsidRPr="00C708B6" w:rsidRDefault="003C7C57" w:rsidP="00EA1DFC">
            <w:pPr>
              <w:pStyle w:val="Parastais1"/>
              <w:spacing w:before="100" w:beforeAutospacing="1" w:after="100" w:afterAutospacing="1"/>
              <w:jc w:val="both"/>
            </w:pPr>
            <w:r>
              <w:t>Nav</w:t>
            </w:r>
          </w:p>
        </w:tc>
      </w:tr>
    </w:tbl>
    <w:p w:rsidR="003C7C57" w:rsidRPr="00C708B6" w:rsidRDefault="003C7C57" w:rsidP="003C7C57">
      <w:pPr>
        <w:pStyle w:val="Parastais1"/>
        <w:jc w:val="both"/>
      </w:pPr>
      <w:r w:rsidRPr="00C708B6">
        <w:t> </w:t>
      </w:r>
    </w:p>
    <w:tbl>
      <w:tblPr>
        <w:tblW w:w="50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84"/>
        <w:gridCol w:w="2898"/>
        <w:gridCol w:w="5679"/>
      </w:tblGrid>
      <w:tr w:rsidR="003C7C57" w:rsidRPr="00C708B6" w:rsidTr="007F3E52">
        <w:tc>
          <w:tcPr>
            <w:tcW w:w="5000" w:type="pct"/>
            <w:gridSpan w:val="3"/>
          </w:tcPr>
          <w:p w:rsidR="003C7C57" w:rsidRPr="00C708B6" w:rsidRDefault="003C7C57" w:rsidP="00EA1DFC">
            <w:pPr>
              <w:pStyle w:val="Parastais1"/>
              <w:spacing w:before="100" w:beforeAutospacing="1" w:after="100" w:afterAutospacing="1"/>
              <w:jc w:val="center"/>
              <w:rPr>
                <w:b/>
                <w:bCs/>
              </w:rPr>
            </w:pPr>
            <w:r w:rsidRPr="00C708B6">
              <w:rPr>
                <w:b/>
                <w:bCs/>
              </w:rPr>
              <w:t>II. Tiesību akta projekta ietekme uz sabiedrību, tautsaimniecības attīstību un administratīvo slogu</w:t>
            </w:r>
          </w:p>
        </w:tc>
      </w:tr>
      <w:tr w:rsidR="003C7C57" w:rsidRPr="00C708B6" w:rsidTr="007F3E52">
        <w:tc>
          <w:tcPr>
            <w:tcW w:w="267" w:type="pct"/>
          </w:tcPr>
          <w:p w:rsidR="003C7C57" w:rsidRPr="00C708B6" w:rsidRDefault="003C7C57" w:rsidP="00EA1DFC">
            <w:pPr>
              <w:pStyle w:val="Parastais1"/>
              <w:spacing w:before="100" w:beforeAutospacing="1" w:after="100" w:afterAutospacing="1"/>
              <w:jc w:val="both"/>
            </w:pPr>
            <w:r w:rsidRPr="00C708B6">
              <w:t>1.</w:t>
            </w:r>
          </w:p>
        </w:tc>
        <w:tc>
          <w:tcPr>
            <w:tcW w:w="1599" w:type="pct"/>
          </w:tcPr>
          <w:p w:rsidR="003C7C57" w:rsidRPr="00C708B6" w:rsidRDefault="003C7C57" w:rsidP="00EA1DFC">
            <w:pPr>
              <w:pStyle w:val="Parastais1"/>
              <w:spacing w:before="100" w:beforeAutospacing="1" w:after="100" w:afterAutospacing="1"/>
              <w:jc w:val="both"/>
            </w:pPr>
            <w:r>
              <w:t xml:space="preserve">Sabiedrības </w:t>
            </w:r>
            <w:proofErr w:type="spellStart"/>
            <w:r>
              <w:t>mērķ</w:t>
            </w:r>
            <w:r w:rsidRPr="00C708B6">
              <w:t>grupa</w:t>
            </w:r>
            <w:proofErr w:type="spellEnd"/>
            <w:r w:rsidRPr="00C708B6">
              <w:t>, kuras tiesiskais regulējums arī ietekmē vai varētu ietekmēt</w:t>
            </w:r>
          </w:p>
        </w:tc>
        <w:tc>
          <w:tcPr>
            <w:tcW w:w="3133" w:type="pct"/>
          </w:tcPr>
          <w:p w:rsidR="003C7C57" w:rsidRPr="00C708B6" w:rsidRDefault="003C7C57" w:rsidP="00EA1DFC">
            <w:pPr>
              <w:spacing w:before="100" w:beforeAutospacing="1" w:after="100" w:afterAutospacing="1" w:line="240" w:lineRule="auto"/>
              <w:ind w:firstLine="0"/>
              <w:rPr>
                <w:rFonts w:eastAsia="Times New Roman"/>
                <w:sz w:val="24"/>
                <w:szCs w:val="24"/>
                <w:lang w:eastAsia="lv-LV"/>
              </w:rPr>
            </w:pPr>
            <w:r w:rsidRPr="000D4F7F">
              <w:rPr>
                <w:rFonts w:eastAsia="Times New Roman"/>
                <w:sz w:val="24"/>
                <w:szCs w:val="24"/>
                <w:lang w:eastAsia="lv-LV"/>
              </w:rPr>
              <w:t>Noteikumu projekts attiecas uz fiziskām un juridiskām personām</w:t>
            </w:r>
            <w:r w:rsidR="00F840A2">
              <w:rPr>
                <w:rFonts w:eastAsia="Times New Roman"/>
                <w:sz w:val="24"/>
                <w:szCs w:val="24"/>
                <w:lang w:eastAsia="lv-LV"/>
              </w:rPr>
              <w:t>, kas ir CSDD un tās struktūrvienības Rīgas Motormuzejs pakalpojumu saņēmēji</w:t>
            </w:r>
            <w:r w:rsidRPr="000D4F7F">
              <w:rPr>
                <w:rFonts w:eastAsia="Times New Roman"/>
                <w:sz w:val="24"/>
                <w:szCs w:val="24"/>
                <w:lang w:eastAsia="lv-LV"/>
              </w:rPr>
              <w:t>.</w:t>
            </w:r>
          </w:p>
        </w:tc>
      </w:tr>
      <w:tr w:rsidR="003C7C57" w:rsidRPr="00C708B6" w:rsidTr="007F3E52">
        <w:tc>
          <w:tcPr>
            <w:tcW w:w="267" w:type="pct"/>
          </w:tcPr>
          <w:p w:rsidR="003C7C57" w:rsidRPr="00C708B6" w:rsidRDefault="003C7C57" w:rsidP="00EA1DFC">
            <w:pPr>
              <w:pStyle w:val="Parastais1"/>
              <w:spacing w:before="100" w:beforeAutospacing="1" w:after="100" w:afterAutospacing="1"/>
              <w:jc w:val="both"/>
            </w:pPr>
            <w:r w:rsidRPr="00C708B6">
              <w:t>2.</w:t>
            </w:r>
          </w:p>
        </w:tc>
        <w:tc>
          <w:tcPr>
            <w:tcW w:w="1599" w:type="pct"/>
          </w:tcPr>
          <w:p w:rsidR="008638BE" w:rsidRDefault="003C7C57" w:rsidP="00EA1DFC">
            <w:pPr>
              <w:pStyle w:val="Parastais1"/>
              <w:spacing w:before="100" w:beforeAutospacing="1" w:after="100" w:afterAutospacing="1"/>
              <w:jc w:val="both"/>
            </w:pPr>
            <w:r w:rsidRPr="00C708B6">
              <w:t>Tiesiskā regulējuma ietekme uz tautsaimniecību un administratīvo slogu</w:t>
            </w:r>
          </w:p>
          <w:p w:rsidR="003C7C57" w:rsidRPr="008638BE" w:rsidRDefault="003C7C57" w:rsidP="008638BE">
            <w:pPr>
              <w:rPr>
                <w:lang w:eastAsia="lv-LV"/>
              </w:rPr>
            </w:pPr>
          </w:p>
        </w:tc>
        <w:tc>
          <w:tcPr>
            <w:tcW w:w="3133" w:type="pct"/>
          </w:tcPr>
          <w:p w:rsidR="003C7C57" w:rsidRPr="00C708B6" w:rsidRDefault="003C7C57" w:rsidP="00EA1DFC">
            <w:pPr>
              <w:spacing w:line="240" w:lineRule="auto"/>
              <w:ind w:firstLine="0"/>
              <w:jc w:val="left"/>
            </w:pPr>
            <w:r w:rsidRPr="00C708B6">
              <w:rPr>
                <w:rFonts w:eastAsia="Times New Roman"/>
                <w:sz w:val="24"/>
                <w:szCs w:val="24"/>
                <w:lang w:eastAsia="lv-LV"/>
              </w:rPr>
              <w:t>Projekts šo jomu</w:t>
            </w:r>
            <w:r>
              <w:rPr>
                <w:rFonts w:eastAsia="Times New Roman"/>
                <w:sz w:val="24"/>
                <w:szCs w:val="24"/>
                <w:lang w:eastAsia="lv-LV"/>
              </w:rPr>
              <w:t xml:space="preserve"> neskar</w:t>
            </w:r>
            <w:r w:rsidR="007F3E52">
              <w:rPr>
                <w:rFonts w:eastAsia="Times New Roman"/>
                <w:sz w:val="24"/>
                <w:szCs w:val="24"/>
                <w:lang w:eastAsia="lv-LV"/>
              </w:rPr>
              <w:t>.</w:t>
            </w:r>
          </w:p>
        </w:tc>
      </w:tr>
      <w:tr w:rsidR="003C7C57" w:rsidRPr="00C708B6" w:rsidTr="007F3E52">
        <w:tc>
          <w:tcPr>
            <w:tcW w:w="267" w:type="pct"/>
          </w:tcPr>
          <w:p w:rsidR="003C7C57" w:rsidRPr="00C708B6" w:rsidRDefault="003C7C57" w:rsidP="00EA1DFC">
            <w:pPr>
              <w:pStyle w:val="Parastais1"/>
              <w:spacing w:before="100" w:beforeAutospacing="1" w:after="100" w:afterAutospacing="1"/>
              <w:jc w:val="both"/>
            </w:pPr>
            <w:r w:rsidRPr="00C708B6">
              <w:t>3.</w:t>
            </w:r>
          </w:p>
        </w:tc>
        <w:tc>
          <w:tcPr>
            <w:tcW w:w="1599" w:type="pct"/>
          </w:tcPr>
          <w:p w:rsidR="003C7C57" w:rsidRPr="00C708B6" w:rsidRDefault="003C7C57" w:rsidP="00EA1DFC">
            <w:pPr>
              <w:pStyle w:val="Parastais1"/>
              <w:spacing w:before="100" w:beforeAutospacing="1" w:after="100" w:afterAutospacing="1"/>
              <w:jc w:val="both"/>
            </w:pPr>
            <w:r w:rsidRPr="00C708B6">
              <w:t>Administratīvo izmaksu monetārs novērtējums</w:t>
            </w:r>
          </w:p>
        </w:tc>
        <w:tc>
          <w:tcPr>
            <w:tcW w:w="3133" w:type="pct"/>
          </w:tcPr>
          <w:p w:rsidR="003C7C57" w:rsidRPr="00C708B6" w:rsidRDefault="003C7C57" w:rsidP="00EA1DFC">
            <w:pPr>
              <w:pStyle w:val="Parastais1"/>
              <w:spacing w:before="100" w:beforeAutospacing="1" w:after="100" w:afterAutospacing="1"/>
              <w:jc w:val="both"/>
            </w:pPr>
            <w:r w:rsidRPr="00C708B6">
              <w:rPr>
                <w:iCs/>
              </w:rPr>
              <w:t>Projekts šo jomu neskar</w:t>
            </w:r>
            <w:r w:rsidR="007F3E52">
              <w:rPr>
                <w:iCs/>
              </w:rPr>
              <w:t>.</w:t>
            </w:r>
          </w:p>
        </w:tc>
      </w:tr>
      <w:tr w:rsidR="003C7C57" w:rsidRPr="002F6DC1" w:rsidTr="007F3E52">
        <w:tc>
          <w:tcPr>
            <w:tcW w:w="267" w:type="pct"/>
          </w:tcPr>
          <w:p w:rsidR="003C7C57" w:rsidRPr="002F6DC1" w:rsidRDefault="003C7C57" w:rsidP="00EA1DFC">
            <w:pPr>
              <w:pStyle w:val="Parastais1"/>
              <w:spacing w:before="100" w:beforeAutospacing="1" w:after="100" w:afterAutospacing="1"/>
              <w:jc w:val="both"/>
              <w:rPr>
                <w:color w:val="000000"/>
              </w:rPr>
            </w:pPr>
            <w:r w:rsidRPr="002F6DC1">
              <w:rPr>
                <w:color w:val="000000"/>
              </w:rPr>
              <w:t>4.</w:t>
            </w:r>
          </w:p>
        </w:tc>
        <w:tc>
          <w:tcPr>
            <w:tcW w:w="1599" w:type="pct"/>
          </w:tcPr>
          <w:p w:rsidR="003C7C57" w:rsidRPr="002F6DC1" w:rsidRDefault="003C7C57" w:rsidP="00EA1DFC">
            <w:pPr>
              <w:pStyle w:val="Parastais1"/>
              <w:spacing w:before="100" w:beforeAutospacing="1" w:after="100" w:afterAutospacing="1"/>
              <w:jc w:val="both"/>
              <w:rPr>
                <w:color w:val="000000"/>
              </w:rPr>
            </w:pPr>
            <w:r w:rsidRPr="002F6DC1">
              <w:rPr>
                <w:color w:val="000000"/>
              </w:rPr>
              <w:t>Atbilstības izmaksu monetārs novērtējums</w:t>
            </w:r>
          </w:p>
        </w:tc>
        <w:tc>
          <w:tcPr>
            <w:tcW w:w="3133" w:type="pct"/>
          </w:tcPr>
          <w:p w:rsidR="003C7C57" w:rsidRPr="002F6DC1" w:rsidRDefault="003C7C57" w:rsidP="00EA1DFC">
            <w:pPr>
              <w:pStyle w:val="Parastais1"/>
              <w:spacing w:before="100" w:beforeAutospacing="1" w:after="100" w:afterAutospacing="1"/>
              <w:jc w:val="both"/>
              <w:rPr>
                <w:iCs/>
                <w:color w:val="000000"/>
              </w:rPr>
            </w:pPr>
            <w:r w:rsidRPr="00C708B6">
              <w:rPr>
                <w:iCs/>
              </w:rPr>
              <w:t>Projekts šo jomu neskar</w:t>
            </w:r>
            <w:r w:rsidR="007F3E52">
              <w:rPr>
                <w:iCs/>
              </w:rPr>
              <w:t>.</w:t>
            </w:r>
          </w:p>
        </w:tc>
      </w:tr>
      <w:tr w:rsidR="003C7C57" w:rsidRPr="00C708B6" w:rsidTr="007F3E52">
        <w:tc>
          <w:tcPr>
            <w:tcW w:w="267" w:type="pct"/>
          </w:tcPr>
          <w:p w:rsidR="003C7C57" w:rsidRPr="00C708B6" w:rsidRDefault="003C7C57" w:rsidP="00EA1DFC">
            <w:pPr>
              <w:pStyle w:val="Parastais1"/>
              <w:spacing w:before="100" w:beforeAutospacing="1" w:after="100" w:afterAutospacing="1"/>
              <w:jc w:val="both"/>
            </w:pPr>
            <w:r w:rsidRPr="00C708B6">
              <w:t>5.</w:t>
            </w:r>
          </w:p>
        </w:tc>
        <w:tc>
          <w:tcPr>
            <w:tcW w:w="1599" w:type="pct"/>
          </w:tcPr>
          <w:p w:rsidR="003C7C57" w:rsidRPr="00C708B6" w:rsidRDefault="003C7C57" w:rsidP="00EA1DFC">
            <w:pPr>
              <w:pStyle w:val="Parastais1"/>
              <w:spacing w:before="100" w:beforeAutospacing="1" w:after="100" w:afterAutospacing="1"/>
              <w:jc w:val="both"/>
            </w:pPr>
            <w:r w:rsidRPr="00C708B6">
              <w:t>Cita informācija</w:t>
            </w:r>
          </w:p>
        </w:tc>
        <w:tc>
          <w:tcPr>
            <w:tcW w:w="3133" w:type="pct"/>
          </w:tcPr>
          <w:p w:rsidR="003C7C57" w:rsidRPr="00C708B6" w:rsidRDefault="003C7C57" w:rsidP="007F3E52">
            <w:pPr>
              <w:pStyle w:val="Parastais1"/>
              <w:spacing w:before="100" w:beforeAutospacing="1" w:after="100" w:afterAutospacing="1"/>
              <w:jc w:val="both"/>
            </w:pPr>
            <w:r>
              <w:t>Nav</w:t>
            </w:r>
            <w:r w:rsidR="007F3E52">
              <w:t>.</w:t>
            </w:r>
          </w:p>
        </w:tc>
      </w:tr>
    </w:tbl>
    <w:p w:rsidR="003C7C57" w:rsidRPr="00C66FB8" w:rsidRDefault="003C7C57" w:rsidP="003C7C57">
      <w:pPr>
        <w:spacing w:line="240" w:lineRule="auto"/>
        <w:ind w:firstLine="0"/>
        <w:jc w:val="left"/>
        <w:rPr>
          <w:color w:val="000000"/>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C7C57" w:rsidRPr="00C66FB8" w:rsidTr="007F3E52">
        <w:tc>
          <w:tcPr>
            <w:tcW w:w="9101" w:type="dxa"/>
            <w:shd w:val="clear" w:color="auto" w:fill="auto"/>
          </w:tcPr>
          <w:p w:rsidR="003C7C57" w:rsidRPr="00C66FB8" w:rsidRDefault="003C7C57" w:rsidP="00EA1DFC">
            <w:pPr>
              <w:spacing w:line="240" w:lineRule="auto"/>
              <w:ind w:firstLine="0"/>
              <w:jc w:val="center"/>
              <w:rPr>
                <w:color w:val="000000"/>
                <w:sz w:val="24"/>
                <w:szCs w:val="24"/>
              </w:rPr>
            </w:pPr>
            <w:r w:rsidRPr="00C66FB8">
              <w:rPr>
                <w:b/>
                <w:bCs/>
                <w:color w:val="000000"/>
                <w:sz w:val="24"/>
                <w:szCs w:val="24"/>
                <w:shd w:val="clear" w:color="auto" w:fill="FFFFFF"/>
              </w:rPr>
              <w:t>III. Tiesību akta projekta ietekme uz valsts budžetu un pašvaldību budžetiem</w:t>
            </w:r>
          </w:p>
        </w:tc>
      </w:tr>
      <w:tr w:rsidR="003C7C57" w:rsidRPr="00C66FB8" w:rsidTr="007F3E52">
        <w:tc>
          <w:tcPr>
            <w:tcW w:w="9101" w:type="dxa"/>
            <w:shd w:val="clear" w:color="auto" w:fill="auto"/>
          </w:tcPr>
          <w:p w:rsidR="003C7C57" w:rsidRPr="00C66FB8" w:rsidRDefault="003C7C57" w:rsidP="00EA1DFC">
            <w:pPr>
              <w:spacing w:line="240" w:lineRule="auto"/>
              <w:ind w:firstLine="0"/>
              <w:jc w:val="center"/>
              <w:rPr>
                <w:color w:val="000000"/>
                <w:sz w:val="24"/>
                <w:szCs w:val="24"/>
              </w:rPr>
            </w:pPr>
            <w:r w:rsidRPr="00C66FB8">
              <w:rPr>
                <w:rFonts w:eastAsia="Times New Roman"/>
                <w:color w:val="000000"/>
                <w:sz w:val="24"/>
                <w:szCs w:val="24"/>
              </w:rPr>
              <w:t>Projekts šo jomu neskar</w:t>
            </w:r>
            <w:r w:rsidR="00924EE4">
              <w:rPr>
                <w:rFonts w:eastAsia="Times New Roman"/>
                <w:color w:val="000000"/>
                <w:sz w:val="24"/>
                <w:szCs w:val="24"/>
              </w:rPr>
              <w:t>.</w:t>
            </w:r>
          </w:p>
        </w:tc>
      </w:tr>
    </w:tbl>
    <w:p w:rsidR="003C7C57" w:rsidRDefault="003C7C57" w:rsidP="003C7C57">
      <w:pPr>
        <w:spacing w:line="240" w:lineRule="auto"/>
        <w:ind w:firstLine="0"/>
        <w:jc w:val="left"/>
        <w:rPr>
          <w:color w:val="000000"/>
          <w:sz w:val="24"/>
          <w:szCs w:val="24"/>
        </w:rPr>
      </w:pPr>
    </w:p>
    <w:tbl>
      <w:tblPr>
        <w:tblW w:w="500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7"/>
        <w:gridCol w:w="2774"/>
        <w:gridCol w:w="5940"/>
      </w:tblGrid>
      <w:tr w:rsidR="00460619" w:rsidRPr="00317536" w:rsidTr="007F3E5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60619" w:rsidRPr="00317536" w:rsidRDefault="00460619" w:rsidP="00FC7929">
            <w:pPr>
              <w:spacing w:before="100" w:beforeAutospacing="1" w:after="100" w:afterAutospacing="1" w:line="293" w:lineRule="atLeast"/>
              <w:ind w:firstLine="0"/>
              <w:jc w:val="center"/>
              <w:rPr>
                <w:rFonts w:eastAsia="Times New Roman"/>
                <w:b/>
                <w:bCs/>
                <w:color w:val="000000" w:themeColor="text1"/>
                <w:sz w:val="24"/>
                <w:szCs w:val="24"/>
                <w:lang w:eastAsia="lv-LV"/>
              </w:rPr>
            </w:pPr>
            <w:r w:rsidRPr="00317536">
              <w:rPr>
                <w:rFonts w:eastAsia="Times New Roman"/>
                <w:b/>
                <w:bCs/>
                <w:color w:val="000000" w:themeColor="text1"/>
                <w:sz w:val="24"/>
                <w:szCs w:val="24"/>
                <w:lang w:eastAsia="lv-LV"/>
              </w:rPr>
              <w:t>IV. Tiesību akta projekta ietekme uz spēkā esošo tiesību normu sistēmu</w:t>
            </w:r>
          </w:p>
        </w:tc>
      </w:tr>
      <w:tr w:rsidR="00460619" w:rsidRPr="00317536" w:rsidTr="007F3E52">
        <w:tc>
          <w:tcPr>
            <w:tcW w:w="197" w:type="pct"/>
            <w:tcBorders>
              <w:top w:val="outset" w:sz="6" w:space="0" w:color="414142"/>
              <w:left w:val="outset" w:sz="6" w:space="0" w:color="414142"/>
              <w:bottom w:val="outset" w:sz="6" w:space="0" w:color="414142"/>
              <w:right w:val="outset" w:sz="6" w:space="0" w:color="414142"/>
            </w:tcBorders>
            <w:hideMark/>
          </w:tcPr>
          <w:p w:rsidR="00460619" w:rsidRPr="00317536" w:rsidRDefault="00460619" w:rsidP="00FC7929">
            <w:pPr>
              <w:spacing w:before="100" w:beforeAutospacing="1" w:after="100" w:afterAutospacing="1" w:line="293" w:lineRule="atLeast"/>
              <w:ind w:firstLine="0"/>
              <w:jc w:val="center"/>
              <w:rPr>
                <w:rFonts w:eastAsia="Times New Roman"/>
                <w:color w:val="000000" w:themeColor="text1"/>
                <w:sz w:val="24"/>
                <w:szCs w:val="24"/>
                <w:lang w:eastAsia="lv-LV"/>
              </w:rPr>
            </w:pPr>
            <w:r w:rsidRPr="00317536">
              <w:rPr>
                <w:rFonts w:eastAsia="Times New Roman"/>
                <w:color w:val="000000" w:themeColor="text1"/>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rsidR="00460619" w:rsidRPr="00317536" w:rsidRDefault="00460619" w:rsidP="00FC7929">
            <w:pPr>
              <w:spacing w:line="240" w:lineRule="auto"/>
              <w:ind w:firstLine="0"/>
              <w:rPr>
                <w:rFonts w:eastAsia="Times New Roman"/>
                <w:color w:val="000000" w:themeColor="text1"/>
                <w:sz w:val="24"/>
                <w:szCs w:val="24"/>
                <w:lang w:eastAsia="lv-LV"/>
              </w:rPr>
            </w:pPr>
            <w:r w:rsidRPr="00317536">
              <w:rPr>
                <w:rFonts w:eastAsia="Times New Roman"/>
                <w:color w:val="000000" w:themeColor="text1"/>
                <w:sz w:val="24"/>
                <w:szCs w:val="24"/>
                <w:lang w:eastAsia="lv-LV"/>
              </w:rPr>
              <w:t>Saistītie tiesību aktu projekti</w:t>
            </w:r>
          </w:p>
        </w:tc>
        <w:tc>
          <w:tcPr>
            <w:tcW w:w="3273" w:type="pct"/>
            <w:tcBorders>
              <w:top w:val="outset" w:sz="6" w:space="0" w:color="414142"/>
              <w:left w:val="outset" w:sz="6" w:space="0" w:color="414142"/>
              <w:bottom w:val="outset" w:sz="6" w:space="0" w:color="414142"/>
              <w:right w:val="outset" w:sz="6" w:space="0" w:color="414142"/>
            </w:tcBorders>
            <w:hideMark/>
          </w:tcPr>
          <w:p w:rsidR="00460619" w:rsidRPr="00317536" w:rsidRDefault="00460619" w:rsidP="00FC7929">
            <w:pPr>
              <w:spacing w:line="240" w:lineRule="auto"/>
              <w:ind w:firstLine="0"/>
              <w:rPr>
                <w:rFonts w:eastAsia="Times New Roman"/>
                <w:color w:val="000000" w:themeColor="text1"/>
                <w:sz w:val="24"/>
                <w:szCs w:val="24"/>
                <w:lang w:eastAsia="lv-LV"/>
              </w:rPr>
            </w:pPr>
            <w:r>
              <w:rPr>
                <w:color w:val="000000" w:themeColor="text1"/>
                <w:sz w:val="24"/>
                <w:szCs w:val="24"/>
              </w:rPr>
              <w:t>V</w:t>
            </w:r>
            <w:r w:rsidRPr="00460619">
              <w:rPr>
                <w:color w:val="000000" w:themeColor="text1"/>
                <w:sz w:val="24"/>
                <w:szCs w:val="24"/>
              </w:rPr>
              <w:t xml:space="preserve">ienlaikus </w:t>
            </w:r>
            <w:r>
              <w:rPr>
                <w:color w:val="000000" w:themeColor="text1"/>
                <w:sz w:val="24"/>
                <w:szCs w:val="24"/>
              </w:rPr>
              <w:t xml:space="preserve">ar noteikumu projektu </w:t>
            </w:r>
            <w:r w:rsidRPr="00460619">
              <w:rPr>
                <w:color w:val="000000" w:themeColor="text1"/>
                <w:sz w:val="24"/>
                <w:szCs w:val="24"/>
              </w:rPr>
              <w:t>tiek virzīti atbilstoši grozījumi Ministru kabineta 2013.gada 24.septembra noteikumos Nr. 1000 "Valsts akciju sabiedrības "Ceļu satiksmes drošības direkcija" publisko maksas pakalpojumu cenrādis".</w:t>
            </w:r>
            <w:r w:rsidR="007F3E52">
              <w:rPr>
                <w:rFonts w:eastAsia="Times New Roman"/>
                <w:color w:val="000000" w:themeColor="text1"/>
                <w:sz w:val="24"/>
                <w:szCs w:val="24"/>
                <w:lang w:eastAsia="lv-LV"/>
              </w:rPr>
              <w:t xml:space="preserve"> Ministru kabineta noteikumu projekts ir izsludināts 2018.gada 11.oktobra Valsts sekretāru sanāksmē </w:t>
            </w:r>
            <w:r w:rsidR="007F3E52" w:rsidRPr="007F3E52">
              <w:rPr>
                <w:rFonts w:eastAsia="Times New Roman"/>
                <w:color w:val="000000" w:themeColor="text1"/>
                <w:sz w:val="24"/>
                <w:szCs w:val="24"/>
                <w:lang w:eastAsia="lv-LV"/>
              </w:rPr>
              <w:t>2018.gada (VSS-1030, Prot.Nr.39, 19.§)</w:t>
            </w:r>
          </w:p>
        </w:tc>
      </w:tr>
      <w:tr w:rsidR="00460619" w:rsidRPr="00317536" w:rsidTr="007F3E52">
        <w:tc>
          <w:tcPr>
            <w:tcW w:w="197" w:type="pct"/>
            <w:tcBorders>
              <w:top w:val="outset" w:sz="6" w:space="0" w:color="414142"/>
              <w:left w:val="outset" w:sz="6" w:space="0" w:color="414142"/>
              <w:bottom w:val="outset" w:sz="6" w:space="0" w:color="414142"/>
              <w:right w:val="outset" w:sz="6" w:space="0" w:color="414142"/>
            </w:tcBorders>
            <w:hideMark/>
          </w:tcPr>
          <w:p w:rsidR="00460619" w:rsidRPr="00317536" w:rsidRDefault="00460619" w:rsidP="00FC7929">
            <w:pPr>
              <w:spacing w:before="100" w:beforeAutospacing="1" w:after="100" w:afterAutospacing="1" w:line="293" w:lineRule="atLeast"/>
              <w:ind w:firstLine="0"/>
              <w:jc w:val="center"/>
              <w:rPr>
                <w:rFonts w:eastAsia="Times New Roman"/>
                <w:color w:val="000000" w:themeColor="text1"/>
                <w:sz w:val="24"/>
                <w:szCs w:val="24"/>
                <w:lang w:eastAsia="lv-LV"/>
              </w:rPr>
            </w:pPr>
            <w:r w:rsidRPr="00317536">
              <w:rPr>
                <w:rFonts w:eastAsia="Times New Roman"/>
                <w:color w:val="000000" w:themeColor="text1"/>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rsidR="00460619" w:rsidRPr="00317536" w:rsidRDefault="00460619" w:rsidP="00FC7929">
            <w:pPr>
              <w:spacing w:line="240" w:lineRule="auto"/>
              <w:ind w:firstLine="0"/>
              <w:rPr>
                <w:rFonts w:eastAsia="Times New Roman"/>
                <w:color w:val="000000" w:themeColor="text1"/>
                <w:sz w:val="24"/>
                <w:szCs w:val="24"/>
                <w:lang w:eastAsia="lv-LV"/>
              </w:rPr>
            </w:pPr>
            <w:r w:rsidRPr="00317536">
              <w:rPr>
                <w:rFonts w:eastAsia="Times New Roman"/>
                <w:color w:val="000000" w:themeColor="text1"/>
                <w:sz w:val="24"/>
                <w:szCs w:val="24"/>
                <w:lang w:eastAsia="lv-LV"/>
              </w:rPr>
              <w:t>Atbildīgā institūcija</w:t>
            </w:r>
          </w:p>
        </w:tc>
        <w:tc>
          <w:tcPr>
            <w:tcW w:w="3273" w:type="pct"/>
            <w:tcBorders>
              <w:top w:val="outset" w:sz="6" w:space="0" w:color="414142"/>
              <w:left w:val="outset" w:sz="6" w:space="0" w:color="414142"/>
              <w:bottom w:val="outset" w:sz="6" w:space="0" w:color="414142"/>
              <w:right w:val="outset" w:sz="6" w:space="0" w:color="414142"/>
            </w:tcBorders>
            <w:hideMark/>
          </w:tcPr>
          <w:p w:rsidR="00460619" w:rsidRPr="00317536" w:rsidRDefault="00460619" w:rsidP="00FC7929">
            <w:pPr>
              <w:spacing w:line="240" w:lineRule="auto"/>
              <w:ind w:firstLine="0"/>
              <w:rPr>
                <w:rFonts w:eastAsia="Times New Roman"/>
                <w:color w:val="000000" w:themeColor="text1"/>
                <w:sz w:val="24"/>
                <w:szCs w:val="24"/>
                <w:lang w:eastAsia="lv-LV"/>
              </w:rPr>
            </w:pPr>
            <w:r w:rsidRPr="00317536">
              <w:rPr>
                <w:rFonts w:eastAsia="Times New Roman"/>
                <w:color w:val="000000" w:themeColor="text1"/>
                <w:sz w:val="24"/>
                <w:szCs w:val="24"/>
                <w:lang w:eastAsia="lv-LV"/>
              </w:rPr>
              <w:t>Satiksmes ministrija.</w:t>
            </w:r>
          </w:p>
        </w:tc>
      </w:tr>
      <w:tr w:rsidR="00460619" w:rsidRPr="00317536" w:rsidTr="007F3E52">
        <w:tc>
          <w:tcPr>
            <w:tcW w:w="197" w:type="pct"/>
            <w:tcBorders>
              <w:top w:val="outset" w:sz="6" w:space="0" w:color="414142"/>
              <w:left w:val="outset" w:sz="6" w:space="0" w:color="414142"/>
              <w:bottom w:val="outset" w:sz="6" w:space="0" w:color="414142"/>
              <w:right w:val="outset" w:sz="6" w:space="0" w:color="414142"/>
            </w:tcBorders>
            <w:hideMark/>
          </w:tcPr>
          <w:p w:rsidR="00460619" w:rsidRPr="00317536" w:rsidRDefault="00460619" w:rsidP="00FC7929">
            <w:pPr>
              <w:spacing w:before="100" w:beforeAutospacing="1" w:after="100" w:afterAutospacing="1" w:line="293" w:lineRule="atLeast"/>
              <w:ind w:firstLine="0"/>
              <w:jc w:val="center"/>
              <w:rPr>
                <w:rFonts w:eastAsia="Times New Roman"/>
                <w:color w:val="000000" w:themeColor="text1"/>
                <w:sz w:val="24"/>
                <w:szCs w:val="24"/>
                <w:lang w:eastAsia="lv-LV"/>
              </w:rPr>
            </w:pPr>
            <w:r w:rsidRPr="00317536">
              <w:rPr>
                <w:rFonts w:eastAsia="Times New Roman"/>
                <w:color w:val="000000" w:themeColor="text1"/>
                <w:sz w:val="24"/>
                <w:szCs w:val="24"/>
                <w:lang w:eastAsia="lv-LV"/>
              </w:rPr>
              <w:t>3.</w:t>
            </w:r>
          </w:p>
        </w:tc>
        <w:tc>
          <w:tcPr>
            <w:tcW w:w="1529" w:type="pct"/>
            <w:tcBorders>
              <w:top w:val="outset" w:sz="6" w:space="0" w:color="414142"/>
              <w:left w:val="outset" w:sz="6" w:space="0" w:color="414142"/>
              <w:bottom w:val="outset" w:sz="6" w:space="0" w:color="414142"/>
              <w:right w:val="outset" w:sz="6" w:space="0" w:color="414142"/>
            </w:tcBorders>
            <w:hideMark/>
          </w:tcPr>
          <w:p w:rsidR="00460619" w:rsidRPr="00317536" w:rsidRDefault="00460619" w:rsidP="00FC7929">
            <w:pPr>
              <w:spacing w:line="240" w:lineRule="auto"/>
              <w:ind w:firstLine="0"/>
              <w:rPr>
                <w:rFonts w:eastAsia="Times New Roman"/>
                <w:color w:val="000000" w:themeColor="text1"/>
                <w:sz w:val="24"/>
                <w:szCs w:val="24"/>
                <w:lang w:eastAsia="lv-LV"/>
              </w:rPr>
            </w:pPr>
            <w:r w:rsidRPr="00317536">
              <w:rPr>
                <w:rFonts w:eastAsia="Times New Roman"/>
                <w:color w:val="000000" w:themeColor="text1"/>
                <w:sz w:val="24"/>
                <w:szCs w:val="24"/>
                <w:lang w:eastAsia="lv-LV"/>
              </w:rPr>
              <w:t>Cita informācija</w:t>
            </w:r>
          </w:p>
        </w:tc>
        <w:tc>
          <w:tcPr>
            <w:tcW w:w="3273" w:type="pct"/>
            <w:tcBorders>
              <w:top w:val="outset" w:sz="6" w:space="0" w:color="414142"/>
              <w:left w:val="outset" w:sz="6" w:space="0" w:color="414142"/>
              <w:bottom w:val="outset" w:sz="6" w:space="0" w:color="414142"/>
              <w:right w:val="outset" w:sz="6" w:space="0" w:color="414142"/>
            </w:tcBorders>
            <w:hideMark/>
          </w:tcPr>
          <w:p w:rsidR="00460619" w:rsidRPr="00317536" w:rsidRDefault="00460619" w:rsidP="00FC7929">
            <w:pPr>
              <w:spacing w:line="240" w:lineRule="auto"/>
              <w:ind w:firstLine="0"/>
              <w:rPr>
                <w:rFonts w:eastAsia="Times New Roman"/>
                <w:color w:val="000000" w:themeColor="text1"/>
                <w:sz w:val="24"/>
                <w:szCs w:val="24"/>
                <w:lang w:eastAsia="lv-LV"/>
              </w:rPr>
            </w:pPr>
            <w:r w:rsidRPr="00317536">
              <w:rPr>
                <w:rFonts w:eastAsia="Times New Roman"/>
                <w:color w:val="000000" w:themeColor="text1"/>
                <w:sz w:val="24"/>
                <w:szCs w:val="24"/>
                <w:lang w:eastAsia="lv-LV"/>
              </w:rPr>
              <w:t>Nav.</w:t>
            </w:r>
          </w:p>
        </w:tc>
      </w:tr>
    </w:tbl>
    <w:p w:rsidR="003C7C57" w:rsidRPr="00C66FB8" w:rsidRDefault="003C7C57" w:rsidP="003C7C57">
      <w:pPr>
        <w:spacing w:line="240" w:lineRule="auto"/>
        <w:ind w:firstLine="0"/>
        <w:jc w:val="left"/>
        <w:rPr>
          <w:b/>
          <w:bCs/>
          <w:color w:val="000000"/>
          <w:sz w:val="24"/>
          <w:szCs w:val="24"/>
          <w:shd w:val="clear" w:color="auto" w:fill="FFFFFF"/>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C7C57" w:rsidRPr="00C66FB8" w:rsidTr="007F3E52">
        <w:tc>
          <w:tcPr>
            <w:tcW w:w="9101" w:type="dxa"/>
            <w:shd w:val="clear" w:color="auto" w:fill="auto"/>
          </w:tcPr>
          <w:p w:rsidR="003C7C57" w:rsidRPr="00C66FB8" w:rsidRDefault="003C7C57" w:rsidP="00EA1DFC">
            <w:pPr>
              <w:tabs>
                <w:tab w:val="center" w:pos="4924"/>
              </w:tabs>
              <w:spacing w:line="240" w:lineRule="auto"/>
              <w:ind w:firstLine="0"/>
              <w:rPr>
                <w:b/>
                <w:bCs/>
                <w:color w:val="000000"/>
                <w:sz w:val="24"/>
                <w:szCs w:val="24"/>
                <w:shd w:val="clear" w:color="auto" w:fill="FFFFFF"/>
              </w:rPr>
            </w:pPr>
            <w:r>
              <w:rPr>
                <w:b/>
                <w:color w:val="000000"/>
                <w:sz w:val="24"/>
                <w:szCs w:val="24"/>
              </w:rPr>
              <w:tab/>
            </w:r>
            <w:r w:rsidRPr="00C66FB8">
              <w:rPr>
                <w:b/>
                <w:color w:val="000000"/>
                <w:sz w:val="24"/>
                <w:szCs w:val="24"/>
              </w:rPr>
              <w:t>V. Tiesību akta projekta atbilstība Latvijas Republikas starptautiskajām saistībām</w:t>
            </w:r>
          </w:p>
        </w:tc>
      </w:tr>
      <w:tr w:rsidR="003C7C57" w:rsidRPr="00C66FB8" w:rsidTr="007F3E52">
        <w:tc>
          <w:tcPr>
            <w:tcW w:w="9101" w:type="dxa"/>
            <w:shd w:val="clear" w:color="auto" w:fill="auto"/>
          </w:tcPr>
          <w:p w:rsidR="003C7C57" w:rsidRPr="00C66FB8" w:rsidRDefault="003C7C57" w:rsidP="00EA1DFC">
            <w:pPr>
              <w:spacing w:line="240" w:lineRule="auto"/>
              <w:ind w:firstLine="0"/>
              <w:jc w:val="center"/>
              <w:rPr>
                <w:b/>
                <w:bCs/>
                <w:color w:val="000000"/>
                <w:sz w:val="24"/>
                <w:szCs w:val="24"/>
                <w:shd w:val="clear" w:color="auto" w:fill="FFFFFF"/>
              </w:rPr>
            </w:pPr>
            <w:r w:rsidRPr="00C66FB8">
              <w:rPr>
                <w:rFonts w:eastAsia="Times New Roman"/>
                <w:color w:val="000000"/>
                <w:sz w:val="24"/>
                <w:szCs w:val="24"/>
              </w:rPr>
              <w:t>Projekts šo jomu neskar</w:t>
            </w:r>
            <w:r w:rsidR="00924EE4">
              <w:rPr>
                <w:rFonts w:eastAsia="Times New Roman"/>
                <w:color w:val="000000"/>
                <w:sz w:val="24"/>
                <w:szCs w:val="24"/>
              </w:rPr>
              <w:t>.</w:t>
            </w:r>
          </w:p>
        </w:tc>
      </w:tr>
    </w:tbl>
    <w:p w:rsidR="003C7C57" w:rsidRDefault="003C7C57" w:rsidP="003C7C57">
      <w:pPr>
        <w:spacing w:line="240" w:lineRule="auto"/>
        <w:ind w:firstLine="0"/>
        <w:jc w:val="left"/>
        <w:rPr>
          <w:b/>
          <w:bCs/>
          <w:color w:val="414142"/>
          <w:sz w:val="24"/>
          <w:szCs w:val="24"/>
          <w:shd w:val="clear" w:color="auto" w:fill="FFFFFF"/>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845"/>
        <w:gridCol w:w="5660"/>
      </w:tblGrid>
      <w:tr w:rsidR="003C7C57" w:rsidRPr="00DD49B6" w:rsidTr="007F3E52">
        <w:trPr>
          <w:trHeight w:val="421"/>
        </w:trPr>
        <w:tc>
          <w:tcPr>
            <w:tcW w:w="9072" w:type="dxa"/>
            <w:gridSpan w:val="3"/>
            <w:vAlign w:val="center"/>
          </w:tcPr>
          <w:p w:rsidR="003C7C57" w:rsidRPr="00DD49B6" w:rsidRDefault="003C7C57" w:rsidP="00EA1DFC">
            <w:pPr>
              <w:pStyle w:val="naisnod"/>
              <w:spacing w:before="0" w:beforeAutospacing="0" w:after="120" w:afterAutospacing="0"/>
              <w:ind w:left="57" w:right="57"/>
              <w:jc w:val="center"/>
            </w:pPr>
            <w:r w:rsidRPr="00DD49B6">
              <w:rPr>
                <w:b/>
              </w:rPr>
              <w:t>VI. Sabiedrības līdzdalība un komunikācijas aktivitātes</w:t>
            </w:r>
          </w:p>
        </w:tc>
      </w:tr>
      <w:tr w:rsidR="003C7C57" w:rsidRPr="00DD49B6" w:rsidTr="007F3E52">
        <w:trPr>
          <w:trHeight w:val="553"/>
        </w:trPr>
        <w:tc>
          <w:tcPr>
            <w:tcW w:w="567" w:type="dxa"/>
          </w:tcPr>
          <w:p w:rsidR="003C7C57" w:rsidRPr="00DD49B6" w:rsidRDefault="003C7C57" w:rsidP="00EA1DFC">
            <w:pPr>
              <w:tabs>
                <w:tab w:val="left" w:pos="170"/>
              </w:tabs>
              <w:spacing w:after="120" w:line="240" w:lineRule="auto"/>
              <w:ind w:left="57" w:right="57" w:firstLine="46"/>
              <w:rPr>
                <w:sz w:val="24"/>
                <w:szCs w:val="24"/>
                <w:lang w:eastAsia="lv-LV"/>
              </w:rPr>
            </w:pPr>
            <w:r>
              <w:rPr>
                <w:sz w:val="24"/>
                <w:szCs w:val="24"/>
                <w:lang w:eastAsia="lv-LV"/>
              </w:rPr>
              <w:t>1.</w:t>
            </w:r>
          </w:p>
        </w:tc>
        <w:tc>
          <w:tcPr>
            <w:tcW w:w="2845" w:type="dxa"/>
          </w:tcPr>
          <w:p w:rsidR="003C7C57" w:rsidRPr="00DD49B6" w:rsidRDefault="003C7C57" w:rsidP="00EA1DFC">
            <w:pPr>
              <w:tabs>
                <w:tab w:val="left" w:pos="170"/>
              </w:tabs>
              <w:spacing w:after="120" w:line="240" w:lineRule="auto"/>
              <w:ind w:left="57" w:right="57" w:firstLine="46"/>
              <w:jc w:val="left"/>
              <w:rPr>
                <w:sz w:val="24"/>
                <w:szCs w:val="24"/>
                <w:lang w:eastAsia="lv-LV"/>
              </w:rPr>
            </w:pPr>
            <w:r w:rsidRPr="00DD49B6">
              <w:rPr>
                <w:sz w:val="24"/>
                <w:szCs w:val="24"/>
                <w:lang w:eastAsia="lv-LV"/>
              </w:rPr>
              <w:t>Plānotās sabiedrības līdzdalības un komunikācijas aktivitātes saistībā ar projektu</w:t>
            </w:r>
          </w:p>
        </w:tc>
        <w:tc>
          <w:tcPr>
            <w:tcW w:w="5660" w:type="dxa"/>
          </w:tcPr>
          <w:p w:rsidR="003C7C57" w:rsidRPr="00DD49B6" w:rsidRDefault="003C7C57" w:rsidP="00EA1DFC">
            <w:pPr>
              <w:shd w:val="clear" w:color="auto" w:fill="FFFFFF"/>
              <w:spacing w:after="120" w:line="240" w:lineRule="auto"/>
              <w:ind w:left="47" w:firstLine="0"/>
              <w:rPr>
                <w:sz w:val="24"/>
                <w:szCs w:val="24"/>
                <w:lang w:eastAsia="lv-LV"/>
              </w:rPr>
            </w:pPr>
            <w:r>
              <w:rPr>
                <w:sz w:val="24"/>
                <w:szCs w:val="24"/>
              </w:rPr>
              <w:t>Atbilstoši Ministru kabineta 2009.gada 25.augusta noteikumu Nr.970 „Sabiedrības līdzdalības kārtība attīstības plānošanas procesā” 7.4.</w:t>
            </w:r>
            <w:r>
              <w:rPr>
                <w:sz w:val="24"/>
                <w:szCs w:val="24"/>
                <w:vertAlign w:val="superscript"/>
              </w:rPr>
              <w:t xml:space="preserve">1 </w:t>
            </w:r>
            <w:r>
              <w:rPr>
                <w:sz w:val="24"/>
                <w:szCs w:val="24"/>
              </w:rPr>
              <w:t>apakšpunktam, sabiedrībai tika dota iespēja rakstiski sniegt viedokli par noteikumu projektu tā izstrādes stadijā.</w:t>
            </w:r>
          </w:p>
        </w:tc>
      </w:tr>
      <w:tr w:rsidR="003C7C57" w:rsidRPr="00E46FBE" w:rsidTr="007F3E52">
        <w:trPr>
          <w:trHeight w:val="339"/>
        </w:trPr>
        <w:tc>
          <w:tcPr>
            <w:tcW w:w="567" w:type="dxa"/>
          </w:tcPr>
          <w:p w:rsidR="003C7C57" w:rsidRPr="00DD49B6" w:rsidRDefault="003C7C57" w:rsidP="00EA1DFC">
            <w:pPr>
              <w:spacing w:after="120" w:line="240" w:lineRule="auto"/>
              <w:ind w:left="57" w:right="57" w:firstLine="46"/>
              <w:rPr>
                <w:sz w:val="24"/>
                <w:szCs w:val="24"/>
                <w:lang w:eastAsia="lv-LV"/>
              </w:rPr>
            </w:pPr>
            <w:r>
              <w:rPr>
                <w:sz w:val="24"/>
                <w:szCs w:val="24"/>
                <w:lang w:eastAsia="lv-LV"/>
              </w:rPr>
              <w:t>2.</w:t>
            </w:r>
          </w:p>
        </w:tc>
        <w:tc>
          <w:tcPr>
            <w:tcW w:w="2845" w:type="dxa"/>
          </w:tcPr>
          <w:p w:rsidR="003C7C57" w:rsidRPr="00DD49B6" w:rsidRDefault="003C7C57" w:rsidP="00EA1DFC">
            <w:pPr>
              <w:spacing w:after="120" w:line="240" w:lineRule="auto"/>
              <w:ind w:left="57" w:right="57" w:firstLine="46"/>
              <w:rPr>
                <w:sz w:val="24"/>
                <w:szCs w:val="24"/>
                <w:lang w:eastAsia="lv-LV"/>
              </w:rPr>
            </w:pPr>
            <w:r w:rsidRPr="00DD49B6">
              <w:rPr>
                <w:sz w:val="24"/>
                <w:szCs w:val="24"/>
                <w:lang w:eastAsia="lv-LV"/>
              </w:rPr>
              <w:t>Sabiedrības līdzdalība projekta izstrādē</w:t>
            </w:r>
          </w:p>
        </w:tc>
        <w:tc>
          <w:tcPr>
            <w:tcW w:w="5660" w:type="dxa"/>
          </w:tcPr>
          <w:p w:rsidR="003C7C57" w:rsidRPr="00E46FBE" w:rsidRDefault="007F3E52" w:rsidP="00CE250F">
            <w:pPr>
              <w:spacing w:line="240" w:lineRule="auto"/>
              <w:ind w:left="47" w:firstLine="0"/>
              <w:jc w:val="left"/>
              <w:rPr>
                <w:sz w:val="24"/>
                <w:szCs w:val="24"/>
                <w:lang w:eastAsia="lv-LV"/>
              </w:rPr>
            </w:pPr>
            <w:r w:rsidRPr="007F3E52">
              <w:rPr>
                <w:bCs/>
                <w:sz w:val="24"/>
                <w:szCs w:val="24"/>
              </w:rPr>
              <w:t>Paziņojums par līdzdalības iespējām tiesību akta izstrādes procesā ievietots Satiksmes ministrijas tīmekļa vietnē 2018. gada 10. septembrī.</w:t>
            </w:r>
            <w:r w:rsidRPr="007F3E52">
              <w:rPr>
                <w:sz w:val="24"/>
                <w:szCs w:val="24"/>
              </w:rPr>
              <w:t xml:space="preserve"> </w:t>
            </w:r>
            <w:hyperlink r:id="rId6" w:history="1">
              <w:r w:rsidRPr="007F3E52">
                <w:rPr>
                  <w:color w:val="0000FF"/>
                  <w:sz w:val="24"/>
                  <w:szCs w:val="24"/>
                  <w:u w:val="single"/>
                </w:rPr>
                <w:t>http://www.sam.gov.lv/satmin/content/?cat=553</w:t>
              </w:r>
            </w:hyperlink>
            <w:r w:rsidRPr="007F3E52">
              <w:t xml:space="preserve"> </w:t>
            </w:r>
            <w:r w:rsidRPr="007F3E52">
              <w:rPr>
                <w:bCs/>
                <w:color w:val="0000FF"/>
                <w:sz w:val="24"/>
                <w:szCs w:val="24"/>
                <w:u w:val="single"/>
              </w:rPr>
              <w:t xml:space="preserve"> </w:t>
            </w:r>
          </w:p>
        </w:tc>
      </w:tr>
      <w:tr w:rsidR="003C7C57" w:rsidRPr="00E46FBE" w:rsidTr="007F3E52">
        <w:trPr>
          <w:trHeight w:val="339"/>
        </w:trPr>
        <w:tc>
          <w:tcPr>
            <w:tcW w:w="567" w:type="dxa"/>
          </w:tcPr>
          <w:p w:rsidR="003C7C57" w:rsidRPr="00DD49B6" w:rsidRDefault="003C7C57" w:rsidP="00EA1DFC">
            <w:pPr>
              <w:spacing w:after="120" w:line="240" w:lineRule="auto"/>
              <w:ind w:left="57" w:right="57" w:firstLine="46"/>
              <w:rPr>
                <w:sz w:val="24"/>
                <w:szCs w:val="24"/>
                <w:lang w:eastAsia="lv-LV"/>
              </w:rPr>
            </w:pPr>
            <w:r>
              <w:rPr>
                <w:sz w:val="24"/>
                <w:szCs w:val="24"/>
                <w:lang w:eastAsia="lv-LV"/>
              </w:rPr>
              <w:lastRenderedPageBreak/>
              <w:t>3.</w:t>
            </w:r>
          </w:p>
        </w:tc>
        <w:tc>
          <w:tcPr>
            <w:tcW w:w="2845" w:type="dxa"/>
          </w:tcPr>
          <w:p w:rsidR="003C7C57" w:rsidRPr="00DD49B6" w:rsidRDefault="003C7C57" w:rsidP="00EA1DFC">
            <w:pPr>
              <w:spacing w:after="120" w:line="240" w:lineRule="auto"/>
              <w:ind w:left="57" w:right="57" w:firstLine="46"/>
              <w:jc w:val="left"/>
              <w:rPr>
                <w:sz w:val="24"/>
                <w:szCs w:val="24"/>
                <w:lang w:eastAsia="lv-LV"/>
              </w:rPr>
            </w:pPr>
            <w:r w:rsidRPr="00DD49B6">
              <w:rPr>
                <w:sz w:val="24"/>
                <w:szCs w:val="24"/>
                <w:lang w:eastAsia="lv-LV"/>
              </w:rPr>
              <w:t>Sabiedrības līdzdalības rezultāti</w:t>
            </w:r>
          </w:p>
        </w:tc>
        <w:tc>
          <w:tcPr>
            <w:tcW w:w="5660" w:type="dxa"/>
          </w:tcPr>
          <w:p w:rsidR="003C7C57" w:rsidRDefault="007F3E52" w:rsidP="00EA1DFC">
            <w:pPr>
              <w:shd w:val="clear" w:color="auto" w:fill="FFFFFF"/>
              <w:spacing w:after="120" w:line="240" w:lineRule="auto"/>
              <w:ind w:left="47" w:firstLine="0"/>
              <w:rPr>
                <w:sz w:val="24"/>
                <w:szCs w:val="24"/>
                <w:lang w:eastAsia="lv-LV"/>
              </w:rPr>
            </w:pPr>
            <w:r>
              <w:rPr>
                <w:sz w:val="24"/>
                <w:szCs w:val="24"/>
              </w:rPr>
              <w:t>I</w:t>
            </w:r>
            <w:r w:rsidRPr="004F4970">
              <w:rPr>
                <w:sz w:val="24"/>
                <w:szCs w:val="24"/>
              </w:rPr>
              <w:t>ebildumi un priekšlikumi netika saņemti.</w:t>
            </w:r>
          </w:p>
        </w:tc>
      </w:tr>
      <w:tr w:rsidR="003C7C57" w:rsidRPr="00DD49B6" w:rsidTr="007F3E52">
        <w:trPr>
          <w:trHeight w:val="476"/>
        </w:trPr>
        <w:tc>
          <w:tcPr>
            <w:tcW w:w="567" w:type="dxa"/>
          </w:tcPr>
          <w:p w:rsidR="003C7C57" w:rsidRPr="00DD49B6" w:rsidRDefault="003C7C57" w:rsidP="00EA1DFC">
            <w:pPr>
              <w:spacing w:after="120" w:line="240" w:lineRule="auto"/>
              <w:ind w:left="57" w:right="57" w:firstLine="46"/>
              <w:rPr>
                <w:sz w:val="24"/>
                <w:szCs w:val="24"/>
                <w:lang w:eastAsia="lv-LV"/>
              </w:rPr>
            </w:pPr>
            <w:r>
              <w:rPr>
                <w:sz w:val="24"/>
                <w:szCs w:val="24"/>
                <w:lang w:eastAsia="lv-LV"/>
              </w:rPr>
              <w:t>4.</w:t>
            </w:r>
          </w:p>
        </w:tc>
        <w:tc>
          <w:tcPr>
            <w:tcW w:w="2845" w:type="dxa"/>
          </w:tcPr>
          <w:p w:rsidR="003C7C57" w:rsidRPr="00DD49B6" w:rsidRDefault="003C7C57" w:rsidP="00EA1DFC">
            <w:pPr>
              <w:spacing w:after="120" w:line="240" w:lineRule="auto"/>
              <w:ind w:left="57" w:right="57" w:firstLine="46"/>
              <w:rPr>
                <w:sz w:val="24"/>
                <w:szCs w:val="24"/>
                <w:lang w:eastAsia="lv-LV"/>
              </w:rPr>
            </w:pPr>
            <w:r>
              <w:rPr>
                <w:sz w:val="24"/>
                <w:szCs w:val="24"/>
                <w:lang w:eastAsia="lv-LV"/>
              </w:rPr>
              <w:t>Cita informācija</w:t>
            </w:r>
          </w:p>
        </w:tc>
        <w:tc>
          <w:tcPr>
            <w:tcW w:w="5660" w:type="dxa"/>
          </w:tcPr>
          <w:p w:rsidR="003C7C57" w:rsidRPr="00DD49B6" w:rsidRDefault="003C7C57" w:rsidP="00EA1DFC">
            <w:pPr>
              <w:shd w:val="clear" w:color="auto" w:fill="FFFFFF"/>
              <w:spacing w:after="120" w:line="240" w:lineRule="auto"/>
              <w:ind w:left="47" w:firstLine="0"/>
              <w:rPr>
                <w:sz w:val="24"/>
                <w:szCs w:val="24"/>
                <w:lang w:eastAsia="lv-LV"/>
              </w:rPr>
            </w:pPr>
            <w:r>
              <w:rPr>
                <w:sz w:val="24"/>
                <w:szCs w:val="24"/>
                <w:lang w:eastAsia="lv-LV"/>
              </w:rPr>
              <w:t>Nav.</w:t>
            </w:r>
          </w:p>
        </w:tc>
      </w:tr>
    </w:tbl>
    <w:p w:rsidR="003C7C57" w:rsidRPr="00C708B6" w:rsidRDefault="003C7C57" w:rsidP="003C7C57">
      <w:pPr>
        <w:pStyle w:val="Parastais1"/>
        <w:jc w:val="both"/>
      </w:pPr>
    </w:p>
    <w:tbl>
      <w:tblPr>
        <w:tblpPr w:leftFromText="180" w:rightFromText="180" w:vertAnchor="text" w:horzAnchor="margin" w:tblpX="183" w:tblpY="11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06"/>
        <w:gridCol w:w="3070"/>
        <w:gridCol w:w="5585"/>
      </w:tblGrid>
      <w:tr w:rsidR="003C7C57" w:rsidRPr="00C708B6" w:rsidTr="007F3E52">
        <w:tc>
          <w:tcPr>
            <w:tcW w:w="5000" w:type="pct"/>
            <w:gridSpan w:val="3"/>
          </w:tcPr>
          <w:p w:rsidR="003C7C57" w:rsidRPr="00C708B6" w:rsidRDefault="003C7C57" w:rsidP="00EA1DFC">
            <w:pPr>
              <w:pStyle w:val="Parastais1"/>
              <w:spacing w:before="100" w:beforeAutospacing="1" w:after="100" w:afterAutospacing="1"/>
              <w:jc w:val="center"/>
              <w:rPr>
                <w:b/>
                <w:bCs/>
              </w:rPr>
            </w:pPr>
            <w:r w:rsidRPr="00C708B6">
              <w:rPr>
                <w:b/>
                <w:bCs/>
              </w:rPr>
              <w:t>VII. Tiesību akta projekta izpildes nodrošināšana un tās ietekme uz institūcijām</w:t>
            </w:r>
          </w:p>
        </w:tc>
      </w:tr>
      <w:tr w:rsidR="003C7C57" w:rsidRPr="00C708B6" w:rsidTr="007F3E52">
        <w:tc>
          <w:tcPr>
            <w:tcW w:w="224" w:type="pct"/>
          </w:tcPr>
          <w:p w:rsidR="003C7C57" w:rsidRPr="00C708B6" w:rsidRDefault="003C7C57" w:rsidP="00EA1DFC">
            <w:pPr>
              <w:pStyle w:val="Parastais1"/>
              <w:spacing w:before="100" w:beforeAutospacing="1" w:after="100" w:afterAutospacing="1"/>
            </w:pPr>
            <w:r w:rsidRPr="00C708B6">
              <w:t>1.</w:t>
            </w:r>
          </w:p>
        </w:tc>
        <w:tc>
          <w:tcPr>
            <w:tcW w:w="1694" w:type="pct"/>
          </w:tcPr>
          <w:p w:rsidR="003C7C57" w:rsidRPr="00C708B6" w:rsidRDefault="003C7C57" w:rsidP="00EA1DFC">
            <w:pPr>
              <w:pStyle w:val="Parastais1"/>
              <w:spacing w:before="100" w:beforeAutospacing="1" w:after="100" w:afterAutospacing="1"/>
            </w:pPr>
            <w:r w:rsidRPr="00C708B6">
              <w:t>Projekta izpildē iesaistītās institūcijas</w:t>
            </w:r>
          </w:p>
        </w:tc>
        <w:tc>
          <w:tcPr>
            <w:tcW w:w="3082" w:type="pct"/>
          </w:tcPr>
          <w:p w:rsidR="003C7C57" w:rsidRPr="00E14427" w:rsidRDefault="003C7C57" w:rsidP="00EA1DFC">
            <w:pPr>
              <w:pStyle w:val="NoSpacing"/>
              <w:rPr>
                <w:rFonts w:ascii="Times New Roman" w:hAnsi="Times New Roman"/>
                <w:sz w:val="24"/>
                <w:szCs w:val="24"/>
              </w:rPr>
            </w:pPr>
            <w:r w:rsidRPr="00E14427">
              <w:rPr>
                <w:rFonts w:ascii="Times New Roman" w:hAnsi="Times New Roman"/>
                <w:sz w:val="24"/>
                <w:szCs w:val="24"/>
              </w:rPr>
              <w:t>Valsts akciju sabiedrība „Ceļu satiksmes drošības direkcija”.</w:t>
            </w:r>
          </w:p>
        </w:tc>
      </w:tr>
      <w:tr w:rsidR="003C7C57" w:rsidRPr="00C708B6" w:rsidTr="007F3E52">
        <w:tc>
          <w:tcPr>
            <w:tcW w:w="224" w:type="pct"/>
          </w:tcPr>
          <w:p w:rsidR="003C7C57" w:rsidRPr="00C708B6" w:rsidRDefault="003C7C57" w:rsidP="00EA1DFC">
            <w:pPr>
              <w:pStyle w:val="Parastais1"/>
              <w:spacing w:before="100" w:beforeAutospacing="1" w:after="100" w:afterAutospacing="1"/>
            </w:pPr>
            <w:r w:rsidRPr="00C708B6">
              <w:t>2.</w:t>
            </w:r>
          </w:p>
        </w:tc>
        <w:tc>
          <w:tcPr>
            <w:tcW w:w="1694" w:type="pct"/>
          </w:tcPr>
          <w:p w:rsidR="003C7C57" w:rsidRPr="00C708B6" w:rsidRDefault="003C7C57" w:rsidP="00924EE4">
            <w:pPr>
              <w:pStyle w:val="Parastais1"/>
              <w:spacing w:before="100" w:beforeAutospacing="1" w:after="100" w:afterAutospacing="1"/>
              <w:jc w:val="both"/>
            </w:pPr>
            <w:r w:rsidRPr="00C708B6">
              <w:t>Projekta izpildes ietekme uz pārvaldes funkcijām un institucionālo struktūru. Jaunu institūciju izveide, esošu institūciju likvidācija vai reorganizācija, to ietekme uz institūcijas cilvēkresursiem.</w:t>
            </w:r>
          </w:p>
        </w:tc>
        <w:tc>
          <w:tcPr>
            <w:tcW w:w="3082" w:type="pct"/>
          </w:tcPr>
          <w:p w:rsidR="003C7C57" w:rsidRPr="00E14427" w:rsidRDefault="003C7C57" w:rsidP="00924EE4">
            <w:pPr>
              <w:pStyle w:val="NoSpacing"/>
              <w:jc w:val="both"/>
              <w:rPr>
                <w:rFonts w:ascii="Times New Roman" w:hAnsi="Times New Roman"/>
                <w:sz w:val="24"/>
                <w:szCs w:val="24"/>
              </w:rPr>
            </w:pPr>
            <w:r w:rsidRPr="00E14427">
              <w:rPr>
                <w:rFonts w:ascii="Times New Roman" w:hAnsi="Times New Roman"/>
                <w:sz w:val="24"/>
                <w:szCs w:val="24"/>
              </w:rPr>
              <w:t>Noteikumu projekta izpilde tiks nodrošināta anotācijas VII. sadaļas 1.punktā minēto institūciju līdzšinējo funkciju ietvaros un institūciju cilvēkresursus neietekmēs.</w:t>
            </w:r>
          </w:p>
        </w:tc>
      </w:tr>
      <w:tr w:rsidR="003C7C57" w:rsidRPr="00C708B6" w:rsidTr="007F3E52">
        <w:tc>
          <w:tcPr>
            <w:tcW w:w="224" w:type="pct"/>
          </w:tcPr>
          <w:p w:rsidR="003C7C57" w:rsidRPr="00C708B6" w:rsidRDefault="003C7C57" w:rsidP="00EA1DFC">
            <w:pPr>
              <w:pStyle w:val="Parastais1"/>
              <w:spacing w:before="100" w:beforeAutospacing="1" w:after="100" w:afterAutospacing="1"/>
              <w:jc w:val="both"/>
            </w:pPr>
            <w:r w:rsidRPr="00C708B6">
              <w:t>3.</w:t>
            </w:r>
          </w:p>
        </w:tc>
        <w:tc>
          <w:tcPr>
            <w:tcW w:w="1694" w:type="pct"/>
          </w:tcPr>
          <w:p w:rsidR="003C7C57" w:rsidRPr="00C708B6" w:rsidRDefault="003C7C57" w:rsidP="00EA1DFC">
            <w:pPr>
              <w:pStyle w:val="Parastais1"/>
              <w:spacing w:before="100" w:beforeAutospacing="1" w:after="100" w:afterAutospacing="1"/>
              <w:jc w:val="both"/>
            </w:pPr>
            <w:r w:rsidRPr="00C708B6">
              <w:t>Cita informācija</w:t>
            </w:r>
          </w:p>
        </w:tc>
        <w:tc>
          <w:tcPr>
            <w:tcW w:w="3082" w:type="pct"/>
          </w:tcPr>
          <w:p w:rsidR="003C7C57" w:rsidRPr="00C708B6" w:rsidRDefault="003C7C57" w:rsidP="00EA1DFC">
            <w:pPr>
              <w:pStyle w:val="Parastais1"/>
              <w:spacing w:before="100" w:beforeAutospacing="1" w:after="100" w:afterAutospacing="1"/>
              <w:jc w:val="both"/>
            </w:pPr>
            <w:r w:rsidRPr="00C708B6">
              <w:t>Nav</w:t>
            </w:r>
            <w:r w:rsidR="00924EE4">
              <w:t>.</w:t>
            </w:r>
          </w:p>
        </w:tc>
      </w:tr>
    </w:tbl>
    <w:p w:rsidR="003C7C57" w:rsidRDefault="003C7C57" w:rsidP="003C7C57">
      <w:pPr>
        <w:spacing w:before="58" w:after="58"/>
        <w:ind w:right="-341" w:firstLine="0"/>
        <w:rPr>
          <w:sz w:val="24"/>
          <w:szCs w:val="28"/>
        </w:rPr>
      </w:pPr>
    </w:p>
    <w:p w:rsidR="007F3E52" w:rsidRPr="007F3E52" w:rsidRDefault="007F3E52" w:rsidP="003C7C57">
      <w:pPr>
        <w:spacing w:before="58" w:after="58"/>
        <w:ind w:right="-341" w:firstLine="0"/>
        <w:rPr>
          <w:sz w:val="24"/>
          <w:szCs w:val="24"/>
        </w:rPr>
      </w:pPr>
    </w:p>
    <w:p w:rsidR="007F3E52" w:rsidRPr="007F3E52" w:rsidRDefault="007F3E52" w:rsidP="007F3E52">
      <w:pPr>
        <w:spacing w:line="240" w:lineRule="auto"/>
        <w:ind w:firstLine="0"/>
        <w:rPr>
          <w:bCs/>
          <w:sz w:val="24"/>
          <w:szCs w:val="24"/>
        </w:rPr>
      </w:pPr>
      <w:r w:rsidRPr="007F3E52">
        <w:rPr>
          <w:bCs/>
          <w:sz w:val="24"/>
          <w:szCs w:val="24"/>
        </w:rPr>
        <w:t xml:space="preserve">Satiksmes ministrs </w:t>
      </w:r>
      <w:r w:rsidRPr="007F3E52">
        <w:rPr>
          <w:bCs/>
          <w:sz w:val="24"/>
          <w:szCs w:val="24"/>
        </w:rPr>
        <w:tab/>
      </w:r>
      <w:r w:rsidRPr="007F3E52">
        <w:rPr>
          <w:bCs/>
          <w:sz w:val="24"/>
          <w:szCs w:val="24"/>
        </w:rPr>
        <w:tab/>
      </w:r>
      <w:r w:rsidRPr="007F3E52">
        <w:rPr>
          <w:bCs/>
          <w:sz w:val="24"/>
          <w:szCs w:val="24"/>
        </w:rPr>
        <w:tab/>
      </w:r>
      <w:r w:rsidRPr="007F3E52">
        <w:rPr>
          <w:bCs/>
          <w:sz w:val="24"/>
          <w:szCs w:val="24"/>
        </w:rPr>
        <w:tab/>
      </w:r>
      <w:r w:rsidRPr="007F3E52">
        <w:rPr>
          <w:bCs/>
          <w:sz w:val="24"/>
          <w:szCs w:val="24"/>
        </w:rPr>
        <w:tab/>
      </w:r>
      <w:r w:rsidRPr="007F3E52">
        <w:rPr>
          <w:bCs/>
          <w:sz w:val="24"/>
          <w:szCs w:val="24"/>
        </w:rPr>
        <w:tab/>
      </w:r>
      <w:r w:rsidRPr="007F3E52">
        <w:rPr>
          <w:bCs/>
          <w:sz w:val="24"/>
          <w:szCs w:val="24"/>
        </w:rPr>
        <w:tab/>
        <w:t xml:space="preserve">          </w:t>
      </w:r>
      <w:r>
        <w:rPr>
          <w:bCs/>
          <w:sz w:val="24"/>
          <w:szCs w:val="24"/>
        </w:rPr>
        <w:tab/>
      </w:r>
      <w:r>
        <w:rPr>
          <w:bCs/>
          <w:sz w:val="24"/>
          <w:szCs w:val="24"/>
        </w:rPr>
        <w:tab/>
      </w:r>
      <w:r w:rsidRPr="007F3E52">
        <w:rPr>
          <w:sz w:val="24"/>
          <w:szCs w:val="24"/>
        </w:rPr>
        <w:t>T.Linkaits</w:t>
      </w:r>
      <w:r w:rsidRPr="007F3E52">
        <w:rPr>
          <w:bCs/>
          <w:sz w:val="24"/>
          <w:szCs w:val="24"/>
        </w:rPr>
        <w:tab/>
      </w:r>
    </w:p>
    <w:p w:rsidR="007F3E52" w:rsidRPr="007F3E52" w:rsidRDefault="007F3E52" w:rsidP="007F3E52">
      <w:pPr>
        <w:spacing w:line="240" w:lineRule="auto"/>
        <w:ind w:firstLine="0"/>
        <w:rPr>
          <w:sz w:val="24"/>
          <w:szCs w:val="24"/>
        </w:rPr>
      </w:pPr>
    </w:p>
    <w:p w:rsidR="007F3E52" w:rsidRPr="007F3E52" w:rsidRDefault="007F3E52" w:rsidP="007F3E52">
      <w:pPr>
        <w:spacing w:line="240" w:lineRule="auto"/>
        <w:ind w:firstLine="0"/>
        <w:rPr>
          <w:sz w:val="24"/>
          <w:szCs w:val="24"/>
        </w:rPr>
      </w:pPr>
    </w:p>
    <w:p w:rsidR="007F3E52" w:rsidRPr="007F3E52" w:rsidRDefault="007F3E52" w:rsidP="007F3E52">
      <w:pPr>
        <w:spacing w:line="240" w:lineRule="auto"/>
        <w:ind w:firstLine="0"/>
        <w:rPr>
          <w:sz w:val="24"/>
          <w:szCs w:val="24"/>
        </w:rPr>
      </w:pPr>
      <w:r w:rsidRPr="007F3E52">
        <w:rPr>
          <w:sz w:val="24"/>
          <w:szCs w:val="24"/>
        </w:rPr>
        <w:t>Vīza: Valsts sekretārs</w:t>
      </w:r>
      <w:r w:rsidRPr="007F3E52">
        <w:rPr>
          <w:sz w:val="24"/>
          <w:szCs w:val="24"/>
        </w:rPr>
        <w:tab/>
      </w:r>
      <w:r w:rsidRPr="007F3E52">
        <w:rPr>
          <w:sz w:val="24"/>
          <w:szCs w:val="24"/>
        </w:rPr>
        <w:tab/>
      </w:r>
      <w:r w:rsidRPr="007F3E52">
        <w:rPr>
          <w:sz w:val="24"/>
          <w:szCs w:val="24"/>
        </w:rPr>
        <w:tab/>
      </w:r>
      <w:r w:rsidRPr="007F3E52">
        <w:rPr>
          <w:sz w:val="24"/>
          <w:szCs w:val="24"/>
        </w:rPr>
        <w:tab/>
      </w:r>
      <w:r w:rsidRPr="007F3E52">
        <w:rPr>
          <w:sz w:val="24"/>
          <w:szCs w:val="24"/>
        </w:rPr>
        <w:tab/>
      </w:r>
      <w:r w:rsidRPr="007F3E52">
        <w:rPr>
          <w:sz w:val="24"/>
          <w:szCs w:val="24"/>
        </w:rPr>
        <w:tab/>
      </w:r>
      <w:r w:rsidRPr="007F3E52">
        <w:rPr>
          <w:sz w:val="24"/>
          <w:szCs w:val="24"/>
        </w:rPr>
        <w:tab/>
        <w:t xml:space="preserve">         </w:t>
      </w:r>
      <w:r>
        <w:rPr>
          <w:sz w:val="24"/>
          <w:szCs w:val="24"/>
        </w:rPr>
        <w:tab/>
      </w:r>
      <w:r>
        <w:rPr>
          <w:sz w:val="24"/>
          <w:szCs w:val="24"/>
        </w:rPr>
        <w:tab/>
      </w:r>
      <w:r w:rsidRPr="007F3E52">
        <w:rPr>
          <w:sz w:val="24"/>
          <w:szCs w:val="24"/>
        </w:rPr>
        <w:t xml:space="preserve"> K.Ozoliņš</w:t>
      </w:r>
    </w:p>
    <w:p w:rsidR="003C7C57" w:rsidRDefault="003C7C57" w:rsidP="003C7C57">
      <w:pPr>
        <w:pStyle w:val="Header"/>
        <w:ind w:firstLine="0"/>
        <w:rPr>
          <w:sz w:val="22"/>
          <w:lang w:val="lv-LV"/>
        </w:rPr>
      </w:pPr>
    </w:p>
    <w:p w:rsidR="00247DA9" w:rsidRPr="003C7C57" w:rsidRDefault="00247DA9" w:rsidP="003C7C57"/>
    <w:sectPr w:rsidR="00247DA9" w:rsidRPr="003C7C57" w:rsidSect="005E297D">
      <w:headerReference w:type="default" r:id="rId7"/>
      <w:footerReference w:type="default" r:id="rId8"/>
      <w:footerReference w:type="first" r:id="rId9"/>
      <w:pgSz w:w="11906" w:h="16838"/>
      <w:pgMar w:top="851" w:right="1134" w:bottom="1134" w:left="1701" w:header="284" w:footer="44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9F6" w:rsidRDefault="006C69F6" w:rsidP="003C7C57">
      <w:pPr>
        <w:spacing w:line="240" w:lineRule="auto"/>
      </w:pPr>
      <w:r>
        <w:separator/>
      </w:r>
    </w:p>
  </w:endnote>
  <w:endnote w:type="continuationSeparator" w:id="0">
    <w:p w:rsidR="006C69F6" w:rsidRDefault="006C69F6" w:rsidP="003C7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52" w:rsidRPr="007F3E52" w:rsidRDefault="007F3E52" w:rsidP="007F3E52">
    <w:pPr>
      <w:pStyle w:val="Footer"/>
      <w:ind w:firstLine="0"/>
      <w:rPr>
        <w:sz w:val="20"/>
        <w:szCs w:val="20"/>
      </w:rPr>
    </w:pPr>
    <w:proofErr w:type="spellStart"/>
    <w:r w:rsidRPr="007F3E52">
      <w:rPr>
        <w:sz w:val="20"/>
        <w:szCs w:val="20"/>
      </w:rPr>
      <w:t>SM</w:t>
    </w:r>
    <w:r w:rsidR="00CE250F">
      <w:rPr>
        <w:sz w:val="20"/>
        <w:szCs w:val="20"/>
        <w:lang w:val="lv-LV"/>
      </w:rPr>
      <w:t>a</w:t>
    </w:r>
    <w:proofErr w:type="spellEnd"/>
    <w:r w:rsidRPr="007F3E52">
      <w:rPr>
        <w:sz w:val="20"/>
        <w:szCs w:val="20"/>
      </w:rPr>
      <w:t>not_040219_RMM_cenradis</w:t>
    </w:r>
  </w:p>
  <w:p w:rsidR="00EA1DFC" w:rsidRPr="007F3E52" w:rsidRDefault="00EA1DFC" w:rsidP="003C7C57">
    <w:pPr>
      <w:pStyle w:val="Footer"/>
      <w:ind w:firstLine="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FC" w:rsidRPr="00706EE0" w:rsidRDefault="000827D2" w:rsidP="00EA1DFC">
    <w:pPr>
      <w:pStyle w:val="Footer"/>
      <w:spacing w:line="240" w:lineRule="auto"/>
      <w:ind w:firstLine="0"/>
    </w:pPr>
    <w:r>
      <w:rPr>
        <w:sz w:val="20"/>
        <w:szCs w:val="20"/>
        <w:lang w:val="lv-LV"/>
      </w:rPr>
      <w:t>S</w:t>
    </w:r>
    <w:r w:rsidRPr="00706EE0">
      <w:rPr>
        <w:sz w:val="20"/>
        <w:szCs w:val="20"/>
        <w:lang w:val="lv-LV"/>
      </w:rPr>
      <w:t>MAnot_</w:t>
    </w:r>
    <w:r>
      <w:rPr>
        <w:sz w:val="20"/>
        <w:szCs w:val="20"/>
        <w:lang w:val="lv-LV"/>
      </w:rPr>
      <w:t>190218_CSL</w:t>
    </w:r>
    <w:r w:rsidRPr="00706EE0">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9F6" w:rsidRDefault="006C69F6" w:rsidP="003C7C57">
      <w:pPr>
        <w:spacing w:line="240" w:lineRule="auto"/>
      </w:pPr>
      <w:r>
        <w:separator/>
      </w:r>
    </w:p>
  </w:footnote>
  <w:footnote w:type="continuationSeparator" w:id="0">
    <w:p w:rsidR="006C69F6" w:rsidRDefault="006C69F6" w:rsidP="003C7C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FC" w:rsidRPr="004967C9" w:rsidRDefault="00EA1DFC" w:rsidP="00EA1DFC">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047"/>
    <w:rsid w:val="00047268"/>
    <w:rsid w:val="000827D2"/>
    <w:rsid w:val="00124047"/>
    <w:rsid w:val="00247DA9"/>
    <w:rsid w:val="002D33AE"/>
    <w:rsid w:val="00311D0D"/>
    <w:rsid w:val="00356F8A"/>
    <w:rsid w:val="003B57B5"/>
    <w:rsid w:val="003C7C57"/>
    <w:rsid w:val="00445483"/>
    <w:rsid w:val="00460619"/>
    <w:rsid w:val="005611F0"/>
    <w:rsid w:val="005E297D"/>
    <w:rsid w:val="00684934"/>
    <w:rsid w:val="006C69F6"/>
    <w:rsid w:val="007F3E52"/>
    <w:rsid w:val="008638BE"/>
    <w:rsid w:val="00891B88"/>
    <w:rsid w:val="009069C4"/>
    <w:rsid w:val="00913EC3"/>
    <w:rsid w:val="00924EE4"/>
    <w:rsid w:val="009C08C1"/>
    <w:rsid w:val="00A71336"/>
    <w:rsid w:val="00AC7D77"/>
    <w:rsid w:val="00B158C4"/>
    <w:rsid w:val="00C13AC6"/>
    <w:rsid w:val="00CE250F"/>
    <w:rsid w:val="00CE3EF5"/>
    <w:rsid w:val="00DA28D4"/>
    <w:rsid w:val="00EA1DFC"/>
    <w:rsid w:val="00ED7329"/>
    <w:rsid w:val="00EF5C09"/>
    <w:rsid w:val="00F11846"/>
    <w:rsid w:val="00F840A2"/>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08AB"/>
  <w15:chartTrackingRefBased/>
  <w15:docId w15:val="{FCC8C836-9B19-4398-ACD3-E959B582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C57"/>
    <w:pPr>
      <w:spacing w:after="0" w:line="276" w:lineRule="auto"/>
      <w:ind w:firstLine="720"/>
      <w:jc w:val="both"/>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3C7C57"/>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3C7C57"/>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C7C57"/>
    <w:pPr>
      <w:tabs>
        <w:tab w:val="center" w:pos="4153"/>
        <w:tab w:val="right" w:pos="8306"/>
      </w:tabs>
    </w:pPr>
    <w:rPr>
      <w:lang w:val="x-none"/>
    </w:rPr>
  </w:style>
  <w:style w:type="character" w:customStyle="1" w:styleId="HeaderChar">
    <w:name w:val="Header Char"/>
    <w:basedOn w:val="DefaultParagraphFont"/>
    <w:link w:val="Header"/>
    <w:uiPriority w:val="99"/>
    <w:rsid w:val="003C7C57"/>
    <w:rPr>
      <w:rFonts w:ascii="Times New Roman" w:eastAsia="Calibri" w:hAnsi="Times New Roman" w:cs="Times New Roman"/>
      <w:sz w:val="28"/>
      <w:lang w:val="x-none"/>
    </w:rPr>
  </w:style>
  <w:style w:type="paragraph" w:styleId="Footer">
    <w:name w:val="footer"/>
    <w:basedOn w:val="Normal"/>
    <w:link w:val="FooterChar"/>
    <w:uiPriority w:val="99"/>
    <w:unhideWhenUsed/>
    <w:rsid w:val="003C7C57"/>
    <w:pPr>
      <w:tabs>
        <w:tab w:val="center" w:pos="4153"/>
        <w:tab w:val="right" w:pos="8306"/>
      </w:tabs>
    </w:pPr>
    <w:rPr>
      <w:lang w:val="x-none"/>
    </w:rPr>
  </w:style>
  <w:style w:type="character" w:customStyle="1" w:styleId="FooterChar">
    <w:name w:val="Footer Char"/>
    <w:basedOn w:val="DefaultParagraphFont"/>
    <w:link w:val="Footer"/>
    <w:uiPriority w:val="99"/>
    <w:rsid w:val="003C7C57"/>
    <w:rPr>
      <w:rFonts w:ascii="Times New Roman" w:eastAsia="Calibri" w:hAnsi="Times New Roman" w:cs="Times New Roman"/>
      <w:sz w:val="28"/>
      <w:lang w:val="x-none"/>
    </w:rPr>
  </w:style>
  <w:style w:type="paragraph" w:customStyle="1" w:styleId="Parastais1">
    <w:name w:val="Parastais1"/>
    <w:qFormat/>
    <w:rsid w:val="003C7C57"/>
    <w:pPr>
      <w:spacing w:after="0" w:line="240" w:lineRule="auto"/>
    </w:pPr>
    <w:rPr>
      <w:rFonts w:ascii="Times New Roman" w:eastAsia="Times New Roman" w:hAnsi="Times New Roman" w:cs="Times New Roman"/>
      <w:sz w:val="24"/>
      <w:szCs w:val="24"/>
      <w:lang w:val="lv-LV" w:eastAsia="lv-LV"/>
    </w:rPr>
  </w:style>
  <w:style w:type="paragraph" w:styleId="NoSpacing">
    <w:name w:val="No Spacing"/>
    <w:uiPriority w:val="1"/>
    <w:qFormat/>
    <w:rsid w:val="003C7C57"/>
    <w:pPr>
      <w:spacing w:after="0" w:line="240" w:lineRule="auto"/>
    </w:pPr>
    <w:rPr>
      <w:rFonts w:ascii="Calibri" w:eastAsia="Calibri" w:hAnsi="Calibri" w:cs="Times New Roman"/>
      <w:lang w:val="lv-LV"/>
    </w:rPr>
  </w:style>
  <w:style w:type="character" w:styleId="CommentReference">
    <w:name w:val="annotation reference"/>
    <w:basedOn w:val="DefaultParagraphFont"/>
    <w:uiPriority w:val="99"/>
    <w:semiHidden/>
    <w:unhideWhenUsed/>
    <w:rsid w:val="008638BE"/>
    <w:rPr>
      <w:sz w:val="16"/>
      <w:szCs w:val="16"/>
    </w:rPr>
  </w:style>
  <w:style w:type="paragraph" w:styleId="CommentText">
    <w:name w:val="annotation text"/>
    <w:basedOn w:val="Normal"/>
    <w:link w:val="CommentTextChar"/>
    <w:uiPriority w:val="99"/>
    <w:semiHidden/>
    <w:unhideWhenUsed/>
    <w:rsid w:val="008638BE"/>
    <w:pPr>
      <w:spacing w:line="240" w:lineRule="auto"/>
    </w:pPr>
    <w:rPr>
      <w:sz w:val="20"/>
      <w:szCs w:val="20"/>
    </w:rPr>
  </w:style>
  <w:style w:type="character" w:customStyle="1" w:styleId="CommentTextChar">
    <w:name w:val="Comment Text Char"/>
    <w:basedOn w:val="DefaultParagraphFont"/>
    <w:link w:val="CommentText"/>
    <w:uiPriority w:val="99"/>
    <w:semiHidden/>
    <w:rsid w:val="008638BE"/>
    <w:rPr>
      <w:rFonts w:ascii="Times New Roman" w:eastAsia="Calibri"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8638BE"/>
    <w:rPr>
      <w:b/>
      <w:bCs/>
    </w:rPr>
  </w:style>
  <w:style w:type="character" w:customStyle="1" w:styleId="CommentSubjectChar">
    <w:name w:val="Comment Subject Char"/>
    <w:basedOn w:val="CommentTextChar"/>
    <w:link w:val="CommentSubject"/>
    <w:uiPriority w:val="99"/>
    <w:semiHidden/>
    <w:rsid w:val="008638BE"/>
    <w:rPr>
      <w:rFonts w:ascii="Times New Roman" w:eastAsia="Calibri" w:hAnsi="Times New Roman" w:cs="Times New Roman"/>
      <w:b/>
      <w:bCs/>
      <w:sz w:val="20"/>
      <w:szCs w:val="20"/>
      <w:lang w:val="lv-LV"/>
    </w:rPr>
  </w:style>
  <w:style w:type="paragraph" w:styleId="BalloonText">
    <w:name w:val="Balloon Text"/>
    <w:basedOn w:val="Normal"/>
    <w:link w:val="BalloonTextChar"/>
    <w:uiPriority w:val="99"/>
    <w:semiHidden/>
    <w:unhideWhenUsed/>
    <w:rsid w:val="008638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8BE"/>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satmin/content/?cat=5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5474</Words>
  <Characters>3121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“Par Ministru kabineta 2008.gada 17.jūnija noteikumu Nr.438 “Noteikumi par valsts aģentūras “Rīgas Motormuzejs” sniegto publisko maksas pakalpojumu cenrādi” atzīšanu par spēku zaudējušiem” sākotnējās ietekmes novērtēju</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2008.gada 17.jūnija noteikumu Nr.438 “Noteikumi par valsts aģentūras “Rīgas Motormuzejs” sniegto publisko maksas pakalpojumu cenrādi” atzīšanu par spēku zaudējušiem” sākotnējās ietekmes novērtējuma ziņojums (anotācija)</dc:title>
  <dc:subject/>
  <dc:creator>Sintija.Ziedone@sam.gov.lv</dc:creator>
  <cp:keywords/>
  <dc:description/>
  <cp:lastModifiedBy>Sintija Ziedone</cp:lastModifiedBy>
  <cp:revision>8</cp:revision>
  <cp:lastPrinted>2019-02-12T09:10:00Z</cp:lastPrinted>
  <dcterms:created xsi:type="dcterms:W3CDTF">2019-01-24T11:15:00Z</dcterms:created>
  <dcterms:modified xsi:type="dcterms:W3CDTF">2019-02-12T09:12:00Z</dcterms:modified>
</cp:coreProperties>
</file>