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5FF" w:rsidP="00F818DA" w:rsidRDefault="006705FF" w14:paraId="4DF4F68B" w14:textId="3581742B">
      <w:pPr>
        <w:spacing w:after="0" w:line="240" w:lineRule="auto"/>
        <w:jc w:val="center"/>
        <w:rPr>
          <w:rFonts w:ascii="Times New Roman" w:hAnsi="Times New Roman" w:cs="Times New Roman"/>
          <w:b/>
          <w:sz w:val="24"/>
          <w:szCs w:val="24"/>
        </w:rPr>
      </w:pPr>
      <w:bookmarkStart w:name="_Hlk532285441" w:id="0"/>
      <w:r w:rsidRPr="00F818DA">
        <w:rPr>
          <w:rFonts w:ascii="Times New Roman" w:hAnsi="Times New Roman" w:cs="Times New Roman"/>
          <w:b/>
          <w:sz w:val="24"/>
          <w:szCs w:val="24"/>
        </w:rPr>
        <w:t>Ministru kabineta noteikumu projekta "</w:t>
      </w:r>
      <w:r w:rsidRPr="009001AE" w:rsidR="009001AE">
        <w:rPr>
          <w:rFonts w:ascii="Times New Roman" w:hAnsi="Times New Roman" w:cs="Times New Roman"/>
          <w:b/>
          <w:sz w:val="24"/>
          <w:szCs w:val="24"/>
        </w:rPr>
        <w:t>Grozījumi M</w:t>
      </w:r>
      <w:r w:rsidR="009001AE">
        <w:rPr>
          <w:rFonts w:ascii="Times New Roman" w:hAnsi="Times New Roman" w:cs="Times New Roman"/>
          <w:b/>
          <w:sz w:val="24"/>
          <w:szCs w:val="24"/>
        </w:rPr>
        <w:t>inistru kabineta 2004.</w:t>
      </w:r>
      <w:r w:rsidR="00954A9E">
        <w:rPr>
          <w:rFonts w:ascii="Times New Roman" w:hAnsi="Times New Roman" w:cs="Times New Roman"/>
          <w:b/>
          <w:sz w:val="24"/>
          <w:szCs w:val="24"/>
        </w:rPr>
        <w:t> </w:t>
      </w:r>
      <w:r w:rsidR="009001AE">
        <w:rPr>
          <w:rFonts w:ascii="Times New Roman" w:hAnsi="Times New Roman" w:cs="Times New Roman"/>
          <w:b/>
          <w:sz w:val="24"/>
          <w:szCs w:val="24"/>
        </w:rPr>
        <w:t>gada 20. </w:t>
      </w:r>
      <w:r w:rsidRPr="009001AE" w:rsidR="009001AE">
        <w:rPr>
          <w:rFonts w:ascii="Times New Roman" w:hAnsi="Times New Roman" w:cs="Times New Roman"/>
          <w:b/>
          <w:sz w:val="24"/>
          <w:szCs w:val="24"/>
        </w:rPr>
        <w:t>janvāra noteikumos Nr.</w:t>
      </w:r>
      <w:r w:rsidR="00954A9E">
        <w:rPr>
          <w:rFonts w:ascii="Times New Roman" w:hAnsi="Times New Roman" w:cs="Times New Roman"/>
          <w:b/>
          <w:sz w:val="24"/>
          <w:szCs w:val="24"/>
        </w:rPr>
        <w:t> </w:t>
      </w:r>
      <w:r w:rsidRPr="009001AE" w:rsidR="009001AE">
        <w:rPr>
          <w:rFonts w:ascii="Times New Roman" w:hAnsi="Times New Roman" w:cs="Times New Roman"/>
          <w:b/>
          <w:sz w:val="24"/>
          <w:szCs w:val="24"/>
        </w:rPr>
        <w:t>42 "Noziedzības novēršanas padomes nolikums"</w:t>
      </w:r>
      <w:r w:rsidRPr="00F818DA">
        <w:rPr>
          <w:rFonts w:ascii="Times New Roman" w:hAnsi="Times New Roman" w:cs="Times New Roman"/>
          <w:b/>
          <w:sz w:val="24"/>
          <w:szCs w:val="24"/>
        </w:rPr>
        <w:t>" sākotnējās ietekmes novērtējuma ziņojums (anotācija)</w:t>
      </w:r>
    </w:p>
    <w:p w:rsidR="00F818DA" w:rsidP="00F818DA" w:rsidRDefault="00F818DA" w14:paraId="49A31BEC" w14:textId="77777777">
      <w:pPr>
        <w:spacing w:after="0" w:line="240" w:lineRule="auto"/>
        <w:jc w:val="center"/>
        <w:rPr>
          <w:rFonts w:ascii="Times New Roman" w:hAnsi="Times New Roman" w:cs="Times New Roman"/>
          <w:b/>
          <w:sz w:val="24"/>
          <w:szCs w:val="24"/>
        </w:rPr>
      </w:pPr>
    </w:p>
    <w:tbl>
      <w:tblPr>
        <w:tblW w:w="5025"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418"/>
        <w:gridCol w:w="2268"/>
        <w:gridCol w:w="850"/>
        <w:gridCol w:w="5564"/>
      </w:tblGrid>
      <w:tr w:rsidRPr="00F818DA" w:rsidR="006705FF" w:rsidTr="00487CD0" w14:paraId="0254C3A9" w14:textId="77777777">
        <w:trPr>
          <w:trHeight w:val="434"/>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F818DA" w:rsidR="006705FF" w:rsidP="009001AE" w:rsidRDefault="00DF5707" w14:paraId="1172F604" w14:textId="05E604C9">
            <w:pPr>
              <w:spacing w:after="0" w:line="240" w:lineRule="auto"/>
              <w:jc w:val="center"/>
              <w:rPr>
                <w:rFonts w:ascii="Times New Roman" w:hAnsi="Times New Roman" w:eastAsia="Times New Roman" w:cs="Times New Roman"/>
                <w:b/>
                <w:bCs/>
                <w:sz w:val="24"/>
                <w:szCs w:val="24"/>
                <w:lang w:eastAsia="lv-LV"/>
              </w:rPr>
            </w:pPr>
            <w:r w:rsidRPr="00DF5707">
              <w:rPr>
                <w:rFonts w:ascii="Times New Roman" w:hAnsi="Times New Roman" w:eastAsia="Times New Roman" w:cs="Times New Roman"/>
                <w:b/>
                <w:bCs/>
                <w:sz w:val="24"/>
                <w:szCs w:val="24"/>
                <w:lang w:eastAsia="lv-LV"/>
              </w:rPr>
              <w:t>Tiesību akta projekta anotācijas kopsavilkums</w:t>
            </w:r>
          </w:p>
        </w:tc>
      </w:tr>
      <w:tr w:rsidRPr="00F818DA" w:rsidR="00487CD0" w:rsidTr="00487CD0" w14:paraId="53837523" w14:textId="77777777">
        <w:trPr>
          <w:trHeight w:val="85"/>
        </w:trPr>
        <w:tc>
          <w:tcPr>
            <w:tcW w:w="1476" w:type="pct"/>
            <w:gridSpan w:val="2"/>
            <w:tcBorders>
              <w:top w:val="outset" w:color="414142" w:sz="6" w:space="0"/>
              <w:left w:val="outset" w:color="414142" w:sz="6" w:space="0"/>
              <w:bottom w:val="single" w:color="auto" w:sz="4" w:space="0"/>
              <w:right w:val="outset" w:color="414142" w:sz="6" w:space="0"/>
            </w:tcBorders>
          </w:tcPr>
          <w:p w:rsidRPr="00F818DA" w:rsidR="00DF5707" w:rsidP="00DF5707" w:rsidRDefault="00DF5707" w14:paraId="00D6F7AB" w14:textId="1554866A">
            <w:pPr>
              <w:spacing w:after="0" w:line="240" w:lineRule="auto"/>
              <w:jc w:val="both"/>
              <w:rPr>
                <w:rFonts w:ascii="Times New Roman" w:hAnsi="Times New Roman" w:eastAsia="Times New Roman" w:cs="Times New Roman"/>
                <w:sz w:val="24"/>
                <w:szCs w:val="24"/>
                <w:lang w:eastAsia="lv-LV"/>
              </w:rPr>
            </w:pPr>
            <w:r w:rsidRPr="00DF5707">
              <w:rPr>
                <w:rFonts w:ascii="Times New Roman" w:hAnsi="Times New Roman" w:eastAsia="Times New Roman" w:cs="Times New Roman"/>
                <w:sz w:val="24"/>
                <w:szCs w:val="24"/>
                <w:lang w:eastAsia="lv-LV"/>
              </w:rPr>
              <w:t>Mērķis, risinājums un projekta spēkā stāšanās laiks (500 zīmes bez atstarpēm)</w:t>
            </w:r>
          </w:p>
        </w:tc>
        <w:tc>
          <w:tcPr>
            <w:tcW w:w="3524" w:type="pct"/>
            <w:gridSpan w:val="2"/>
            <w:tcBorders>
              <w:top w:val="outset" w:color="414142" w:sz="6" w:space="0"/>
              <w:left w:val="outset" w:color="414142" w:sz="6" w:space="0"/>
              <w:bottom w:val="single" w:color="auto" w:sz="4" w:space="0"/>
              <w:right w:val="outset" w:color="414142" w:sz="6" w:space="0"/>
            </w:tcBorders>
          </w:tcPr>
          <w:p w:rsidR="00DF5707" w:rsidP="000B1544" w:rsidRDefault="00DF5707" w14:paraId="1603C378" w14:textId="57CDEBF0">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Mērķis </w:t>
            </w:r>
            <w:r w:rsidR="00FE5DDC">
              <w:rPr>
                <w:rFonts w:ascii="Times New Roman" w:hAnsi="Times New Roman" w:cs="Times New Roman"/>
                <w:sz w:val="24"/>
                <w:szCs w:val="24"/>
              </w:rPr>
              <w:t xml:space="preserve">ir </w:t>
            </w:r>
            <w:r>
              <w:rPr>
                <w:rFonts w:ascii="Times New Roman" w:hAnsi="Times New Roman" w:cs="Times New Roman"/>
                <w:sz w:val="24"/>
                <w:szCs w:val="24"/>
              </w:rPr>
              <w:t>grozīt</w:t>
            </w:r>
            <w:r w:rsidRPr="006D70E0">
              <w:rPr>
                <w:rFonts w:ascii="Times New Roman" w:hAnsi="Times New Roman" w:cs="Times New Roman"/>
                <w:sz w:val="24"/>
                <w:szCs w:val="24"/>
              </w:rPr>
              <w:t xml:space="preserve"> Noziedzības novēršanas padomes </w:t>
            </w:r>
            <w:r w:rsidRPr="00877049">
              <w:rPr>
                <w:rFonts w:ascii="Times New Roman" w:hAnsi="Times New Roman" w:cs="Times New Roman"/>
                <w:sz w:val="24"/>
                <w:szCs w:val="24"/>
              </w:rPr>
              <w:t>(turpmāk – padome)</w:t>
            </w:r>
            <w:r>
              <w:rPr>
                <w:rFonts w:ascii="Times New Roman" w:hAnsi="Times New Roman" w:cs="Times New Roman"/>
                <w:sz w:val="24"/>
                <w:szCs w:val="24"/>
              </w:rPr>
              <w:t xml:space="preserve"> </w:t>
            </w:r>
            <w:r w:rsidRPr="006D70E0">
              <w:rPr>
                <w:rFonts w:ascii="Times New Roman" w:hAnsi="Times New Roman" w:cs="Times New Roman"/>
                <w:sz w:val="24"/>
                <w:szCs w:val="24"/>
              </w:rPr>
              <w:t>sastāvu</w:t>
            </w:r>
            <w:r>
              <w:rPr>
                <w:rFonts w:ascii="Times New Roman" w:hAnsi="Times New Roman" w:cs="Times New Roman"/>
                <w:sz w:val="24"/>
                <w:szCs w:val="24"/>
              </w:rPr>
              <w:t xml:space="preserve"> </w:t>
            </w:r>
            <w:r w:rsidRPr="006D70E0">
              <w:rPr>
                <w:rFonts w:ascii="Times New Roman" w:hAnsi="Times New Roman" w:cs="Times New Roman"/>
                <w:sz w:val="24"/>
                <w:szCs w:val="24"/>
              </w:rPr>
              <w:t>un atrunāt kārtību, kādā padomes locekļi ir tiesīgi deleģēt pārstāvjus dalībai padomes sēdē</w:t>
            </w:r>
            <w:r>
              <w:rPr>
                <w:rFonts w:ascii="Times New Roman" w:hAnsi="Times New Roman" w:cs="Times New Roman"/>
                <w:sz w:val="24"/>
                <w:szCs w:val="24"/>
              </w:rPr>
              <w:t>.</w:t>
            </w:r>
          </w:p>
          <w:p w:rsidRPr="00877049" w:rsidR="00B0136A" w:rsidP="000B1544" w:rsidRDefault="00B0136A" w14:paraId="4BC15916" w14:textId="402A956E">
            <w:pPr>
              <w:spacing w:after="0" w:line="240" w:lineRule="auto"/>
              <w:ind w:firstLine="383"/>
              <w:jc w:val="both"/>
              <w:rPr>
                <w:rFonts w:ascii="Times New Roman" w:hAnsi="Times New Roman" w:cs="Times New Roman"/>
                <w:sz w:val="24"/>
                <w:szCs w:val="24"/>
              </w:rPr>
            </w:pPr>
            <w:r>
              <w:rPr>
                <w:rFonts w:ascii="Times New Roman" w:hAnsi="Times New Roman" w:eastAsia="Times New Roman" w:cs="Times New Roman"/>
                <w:sz w:val="24"/>
                <w:szCs w:val="24"/>
                <w:lang w:eastAsia="lv-LV"/>
              </w:rPr>
              <w:t>Noteikumu projekts stāsies spēkā atbilstoši Oficiālo publikāciju un tiesiskās informācijas likumā noteiktajai kārtībai.</w:t>
            </w:r>
          </w:p>
        </w:tc>
      </w:tr>
      <w:tr w:rsidRPr="00F818DA" w:rsidR="00487CD0" w:rsidTr="00487CD0" w14:paraId="0A0498A5" w14:textId="77777777">
        <w:trPr>
          <w:trHeight w:val="85"/>
        </w:trPr>
        <w:tc>
          <w:tcPr>
            <w:tcW w:w="1476" w:type="pct"/>
            <w:gridSpan w:val="2"/>
            <w:tcBorders>
              <w:top w:val="single" w:color="auto" w:sz="4" w:space="0"/>
              <w:left w:val="nil"/>
              <w:bottom w:val="single" w:color="auto" w:sz="4" w:space="0"/>
              <w:right w:val="nil"/>
            </w:tcBorders>
          </w:tcPr>
          <w:p w:rsidRPr="00DF5707" w:rsidR="00487CD0" w:rsidP="00DF5707" w:rsidRDefault="00487CD0" w14:paraId="2192D465" w14:textId="77777777">
            <w:pPr>
              <w:spacing w:after="0" w:line="240" w:lineRule="auto"/>
              <w:jc w:val="both"/>
              <w:rPr>
                <w:rFonts w:ascii="Times New Roman" w:hAnsi="Times New Roman" w:eastAsia="Times New Roman" w:cs="Times New Roman"/>
                <w:sz w:val="24"/>
                <w:szCs w:val="24"/>
                <w:lang w:eastAsia="lv-LV"/>
              </w:rPr>
            </w:pPr>
          </w:p>
        </w:tc>
        <w:tc>
          <w:tcPr>
            <w:tcW w:w="3524" w:type="pct"/>
            <w:gridSpan w:val="2"/>
            <w:tcBorders>
              <w:top w:val="single" w:color="auto" w:sz="4" w:space="0"/>
              <w:left w:val="nil"/>
              <w:bottom w:val="single" w:color="auto" w:sz="4" w:space="0"/>
              <w:right w:val="nil"/>
            </w:tcBorders>
          </w:tcPr>
          <w:p w:rsidR="00487CD0" w:rsidP="000B1544" w:rsidRDefault="00487CD0" w14:paraId="18EAFD50" w14:textId="77777777">
            <w:pPr>
              <w:spacing w:after="0" w:line="240" w:lineRule="auto"/>
              <w:ind w:firstLine="383"/>
              <w:jc w:val="both"/>
              <w:rPr>
                <w:rFonts w:ascii="Times New Roman" w:hAnsi="Times New Roman" w:cs="Times New Roman"/>
                <w:sz w:val="24"/>
                <w:szCs w:val="24"/>
              </w:rPr>
            </w:pPr>
          </w:p>
        </w:tc>
      </w:tr>
      <w:tr w:rsidRPr="00F818DA" w:rsidR="00DF5707" w:rsidTr="00487CD0" w14:paraId="53E45698" w14:textId="77777777">
        <w:trPr>
          <w:trHeight w:val="85"/>
        </w:trPr>
        <w:tc>
          <w:tcPr>
            <w:tcW w:w="5000" w:type="pct"/>
            <w:gridSpan w:val="4"/>
            <w:tcBorders>
              <w:top w:val="single" w:color="auto" w:sz="4" w:space="0"/>
              <w:left w:val="outset" w:color="414142" w:sz="6" w:space="0"/>
              <w:bottom w:val="outset" w:color="414142" w:sz="6" w:space="0"/>
              <w:right w:val="outset" w:color="414142" w:sz="6" w:space="0"/>
            </w:tcBorders>
          </w:tcPr>
          <w:p w:rsidRPr="00877049" w:rsidR="00DF5707" w:rsidP="00DF5707" w:rsidRDefault="00DF5707" w14:paraId="42BFD1E7" w14:textId="6E308571">
            <w:pPr>
              <w:spacing w:after="0" w:line="240" w:lineRule="auto"/>
              <w:jc w:val="center"/>
              <w:rPr>
                <w:rFonts w:ascii="Times New Roman" w:hAnsi="Times New Roman" w:cs="Times New Roman"/>
                <w:sz w:val="24"/>
                <w:szCs w:val="24"/>
              </w:rPr>
            </w:pPr>
            <w:r w:rsidRPr="00F818DA">
              <w:rPr>
                <w:rFonts w:ascii="Times New Roman" w:hAnsi="Times New Roman" w:eastAsia="Times New Roman" w:cs="Times New Roman"/>
                <w:b/>
                <w:bCs/>
                <w:sz w:val="24"/>
                <w:szCs w:val="24"/>
                <w:lang w:eastAsia="lv-LV"/>
              </w:rPr>
              <w:t>I. Tiesību akta projekta izstrādes nepieciešamība</w:t>
            </w:r>
          </w:p>
        </w:tc>
      </w:tr>
      <w:tr w:rsidRPr="00F818DA" w:rsidR="00487CD0" w:rsidTr="00487CD0" w14:paraId="2AEA44DC" w14:textId="77777777">
        <w:trPr>
          <w:trHeight w:val="85"/>
        </w:trPr>
        <w:tc>
          <w:tcPr>
            <w:tcW w:w="230" w:type="pct"/>
            <w:tcBorders>
              <w:top w:val="outset" w:color="414142" w:sz="6" w:space="0"/>
              <w:left w:val="outset" w:color="414142" w:sz="6" w:space="0"/>
              <w:bottom w:val="outset" w:color="414142" w:sz="6" w:space="0"/>
              <w:right w:val="outset" w:color="414142" w:sz="6" w:space="0"/>
            </w:tcBorders>
          </w:tcPr>
          <w:p w:rsidRPr="00F818DA" w:rsidR="00DF5707" w:rsidP="00DF5707" w:rsidRDefault="00DF5707" w14:paraId="74D41128" w14:textId="2D55F168">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1.</w:t>
            </w:r>
          </w:p>
        </w:tc>
        <w:tc>
          <w:tcPr>
            <w:tcW w:w="1246" w:type="pct"/>
            <w:tcBorders>
              <w:top w:val="outset" w:color="414142" w:sz="6" w:space="0"/>
              <w:left w:val="outset" w:color="414142" w:sz="6" w:space="0"/>
              <w:bottom w:val="outset" w:color="414142" w:sz="6" w:space="0"/>
              <w:right w:val="outset" w:color="414142" w:sz="6" w:space="0"/>
            </w:tcBorders>
          </w:tcPr>
          <w:p w:rsidRPr="00F818DA" w:rsidR="00DF5707" w:rsidP="00DF5707" w:rsidRDefault="00DF5707" w14:paraId="06A332EE" w14:textId="551AE1DF">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Pamatojums</w:t>
            </w:r>
          </w:p>
        </w:tc>
        <w:tc>
          <w:tcPr>
            <w:tcW w:w="3524" w:type="pct"/>
            <w:gridSpan w:val="2"/>
            <w:tcBorders>
              <w:top w:val="outset" w:color="414142" w:sz="6" w:space="0"/>
              <w:left w:val="outset" w:color="414142" w:sz="6" w:space="0"/>
              <w:bottom w:val="outset" w:color="414142" w:sz="6" w:space="0"/>
              <w:right w:val="outset" w:color="414142" w:sz="6" w:space="0"/>
            </w:tcBorders>
          </w:tcPr>
          <w:p w:rsidRPr="00C61D26" w:rsidR="00DF5707" w:rsidP="00DF5707" w:rsidRDefault="00DF5707" w14:paraId="3DE590A1" w14:textId="11E12A7C">
            <w:pPr>
              <w:spacing w:after="0" w:line="240" w:lineRule="auto"/>
              <w:ind w:firstLine="383"/>
              <w:jc w:val="both"/>
              <w:rPr>
                <w:rFonts w:ascii="Times New Roman" w:hAnsi="Times New Roman" w:cs="Times New Roman"/>
                <w:bCs/>
                <w:sz w:val="24"/>
                <w:szCs w:val="24"/>
              </w:rPr>
            </w:pPr>
            <w:r w:rsidRPr="00C61D26">
              <w:rPr>
                <w:rFonts w:ascii="Times New Roman" w:hAnsi="Times New Roman" w:cs="Times New Roman"/>
                <w:bCs/>
                <w:sz w:val="24"/>
                <w:szCs w:val="24"/>
              </w:rPr>
              <w:t>Ministru kabineta noteikumu projekt</w:t>
            </w:r>
            <w:r>
              <w:rPr>
                <w:rFonts w:ascii="Times New Roman" w:hAnsi="Times New Roman" w:cs="Times New Roman"/>
                <w:bCs/>
                <w:sz w:val="24"/>
                <w:szCs w:val="24"/>
              </w:rPr>
              <w:t>s</w:t>
            </w:r>
            <w:r w:rsidRPr="00C61D26">
              <w:rPr>
                <w:rFonts w:ascii="Times New Roman" w:hAnsi="Times New Roman" w:cs="Times New Roman"/>
                <w:bCs/>
                <w:sz w:val="24"/>
                <w:szCs w:val="24"/>
              </w:rPr>
              <w:t xml:space="preserve"> "</w:t>
            </w:r>
            <w:r w:rsidRPr="00C553FA">
              <w:rPr>
                <w:rFonts w:ascii="Times New Roman" w:hAnsi="Times New Roman" w:cs="Times New Roman"/>
                <w:bCs/>
                <w:sz w:val="24"/>
                <w:szCs w:val="24"/>
              </w:rPr>
              <w:t>Grozījumi Ministru kabineta 2004.</w:t>
            </w:r>
            <w:r>
              <w:rPr>
                <w:rFonts w:ascii="Times New Roman" w:hAnsi="Times New Roman" w:cs="Times New Roman"/>
                <w:bCs/>
                <w:sz w:val="24"/>
                <w:szCs w:val="24"/>
              </w:rPr>
              <w:t> </w:t>
            </w:r>
            <w:r w:rsidRPr="00C553FA">
              <w:rPr>
                <w:rFonts w:ascii="Times New Roman" w:hAnsi="Times New Roman" w:cs="Times New Roman"/>
                <w:bCs/>
                <w:sz w:val="24"/>
                <w:szCs w:val="24"/>
              </w:rPr>
              <w:t>gada 20.</w:t>
            </w:r>
            <w:r>
              <w:rPr>
                <w:rFonts w:ascii="Times New Roman" w:hAnsi="Times New Roman" w:cs="Times New Roman"/>
                <w:bCs/>
                <w:sz w:val="24"/>
                <w:szCs w:val="24"/>
              </w:rPr>
              <w:t> </w:t>
            </w:r>
            <w:r w:rsidRPr="00C553FA">
              <w:rPr>
                <w:rFonts w:ascii="Times New Roman" w:hAnsi="Times New Roman" w:cs="Times New Roman"/>
                <w:bCs/>
                <w:sz w:val="24"/>
                <w:szCs w:val="24"/>
              </w:rPr>
              <w:t>janvāra noteikumos Nr.</w:t>
            </w:r>
            <w:r>
              <w:rPr>
                <w:rFonts w:ascii="Times New Roman" w:hAnsi="Times New Roman" w:cs="Times New Roman"/>
                <w:bCs/>
                <w:sz w:val="24"/>
                <w:szCs w:val="24"/>
              </w:rPr>
              <w:t> </w:t>
            </w:r>
            <w:r w:rsidRPr="00C553FA">
              <w:rPr>
                <w:rFonts w:ascii="Times New Roman" w:hAnsi="Times New Roman" w:cs="Times New Roman"/>
                <w:bCs/>
                <w:sz w:val="24"/>
                <w:szCs w:val="24"/>
              </w:rPr>
              <w:t>42 "Noziedzības novēršanas padomes nolikums"</w:t>
            </w:r>
            <w:r w:rsidRPr="00C61D26">
              <w:rPr>
                <w:rFonts w:ascii="Times New Roman" w:hAnsi="Times New Roman" w:cs="Times New Roman"/>
                <w:bCs/>
                <w:sz w:val="24"/>
                <w:szCs w:val="24"/>
              </w:rPr>
              <w:t>"</w:t>
            </w:r>
            <w:r>
              <w:rPr>
                <w:rFonts w:ascii="Times New Roman" w:hAnsi="Times New Roman" w:cs="Times New Roman"/>
                <w:bCs/>
                <w:sz w:val="24"/>
                <w:szCs w:val="24"/>
              </w:rPr>
              <w:t xml:space="preserve"> (turpmāk – </w:t>
            </w:r>
            <w:r w:rsidRPr="00F818DA">
              <w:rPr>
                <w:rFonts w:ascii="Times New Roman" w:hAnsi="Times New Roman" w:cs="Times New Roman"/>
                <w:bCs/>
                <w:sz w:val="24"/>
                <w:szCs w:val="24"/>
              </w:rPr>
              <w:t>Noteikumu projekts</w:t>
            </w:r>
            <w:r>
              <w:rPr>
                <w:rFonts w:ascii="Times New Roman" w:hAnsi="Times New Roman" w:cs="Times New Roman"/>
                <w:bCs/>
                <w:sz w:val="24"/>
                <w:szCs w:val="24"/>
              </w:rPr>
              <w:t xml:space="preserve">) </w:t>
            </w:r>
            <w:r w:rsidRPr="00877049">
              <w:rPr>
                <w:rFonts w:ascii="Times New Roman" w:hAnsi="Times New Roman" w:cs="Times New Roman"/>
                <w:bCs/>
                <w:sz w:val="24"/>
                <w:szCs w:val="24"/>
              </w:rPr>
              <w:t xml:space="preserve">izstrādāts atbilstoši </w:t>
            </w:r>
            <w:r w:rsidRPr="00877049">
              <w:rPr>
                <w:rFonts w:ascii="Times New Roman" w:hAnsi="Times New Roman" w:cs="Times New Roman"/>
                <w:sz w:val="24"/>
                <w:szCs w:val="24"/>
              </w:rPr>
              <w:t>padomes 201</w:t>
            </w:r>
            <w:r>
              <w:rPr>
                <w:rFonts w:ascii="Times New Roman" w:hAnsi="Times New Roman" w:cs="Times New Roman"/>
                <w:sz w:val="24"/>
                <w:szCs w:val="24"/>
              </w:rPr>
              <w:t>8</w:t>
            </w:r>
            <w:r w:rsidRPr="00877049">
              <w:rPr>
                <w:rFonts w:ascii="Times New Roman" w:hAnsi="Times New Roman" w:cs="Times New Roman"/>
                <w:sz w:val="24"/>
                <w:szCs w:val="24"/>
              </w:rPr>
              <w:t xml:space="preserve">. gada </w:t>
            </w:r>
            <w:r>
              <w:rPr>
                <w:rFonts w:ascii="Times New Roman" w:hAnsi="Times New Roman" w:cs="Times New Roman"/>
                <w:sz w:val="24"/>
                <w:szCs w:val="24"/>
              </w:rPr>
              <w:t>26</w:t>
            </w:r>
            <w:r w:rsidRPr="00877049">
              <w:rPr>
                <w:rFonts w:ascii="Times New Roman" w:hAnsi="Times New Roman" w:cs="Times New Roman"/>
                <w:sz w:val="24"/>
                <w:szCs w:val="24"/>
              </w:rPr>
              <w:t>. </w:t>
            </w:r>
            <w:r>
              <w:rPr>
                <w:rFonts w:ascii="Times New Roman" w:hAnsi="Times New Roman" w:cs="Times New Roman"/>
                <w:sz w:val="24"/>
                <w:szCs w:val="24"/>
              </w:rPr>
              <w:t>oktobra</w:t>
            </w:r>
            <w:r w:rsidRPr="00877049">
              <w:rPr>
                <w:rFonts w:ascii="Times New Roman" w:hAnsi="Times New Roman" w:cs="Times New Roman"/>
                <w:sz w:val="24"/>
                <w:szCs w:val="24"/>
              </w:rPr>
              <w:t xml:space="preserve"> sēdes protokola Nr.</w:t>
            </w:r>
            <w:r>
              <w:rPr>
                <w:rFonts w:ascii="Times New Roman" w:hAnsi="Times New Roman" w:cs="Times New Roman"/>
                <w:sz w:val="24"/>
                <w:szCs w:val="24"/>
              </w:rPr>
              <w:t> 6</w:t>
            </w:r>
            <w:r w:rsidRPr="00877049">
              <w:rPr>
                <w:rFonts w:ascii="Times New Roman" w:hAnsi="Times New Roman" w:cs="Times New Roman"/>
                <w:sz w:val="24"/>
                <w:szCs w:val="24"/>
              </w:rPr>
              <w:t xml:space="preserve">, </w:t>
            </w:r>
            <w:r>
              <w:rPr>
                <w:rFonts w:ascii="Times New Roman" w:hAnsi="Times New Roman" w:cs="Times New Roman"/>
                <w:sz w:val="24"/>
                <w:szCs w:val="24"/>
              </w:rPr>
              <w:t>1</w:t>
            </w:r>
            <w:r w:rsidRPr="00877049">
              <w:rPr>
                <w:rFonts w:ascii="Times New Roman" w:hAnsi="Times New Roman" w:cs="Times New Roman"/>
                <w:sz w:val="24"/>
                <w:szCs w:val="24"/>
              </w:rPr>
              <w:t>.</w:t>
            </w:r>
            <w:r>
              <w:rPr>
                <w:rFonts w:ascii="Times New Roman" w:hAnsi="Times New Roman" w:cs="Times New Roman"/>
                <w:sz w:val="24"/>
                <w:szCs w:val="24"/>
              </w:rPr>
              <w:t> </w:t>
            </w:r>
            <w:r w:rsidRPr="00877049">
              <w:rPr>
                <w:rFonts w:ascii="Times New Roman" w:hAnsi="Times New Roman" w:cs="Times New Roman"/>
                <w:sz w:val="24"/>
                <w:szCs w:val="24"/>
              </w:rPr>
              <w:t xml:space="preserve">§, </w:t>
            </w:r>
            <w:r>
              <w:rPr>
                <w:rFonts w:ascii="Times New Roman" w:hAnsi="Times New Roman" w:cs="Times New Roman"/>
                <w:sz w:val="24"/>
                <w:szCs w:val="24"/>
              </w:rPr>
              <w:t>5</w:t>
            </w:r>
            <w:r w:rsidRPr="00877049">
              <w:rPr>
                <w:rFonts w:ascii="Times New Roman" w:hAnsi="Times New Roman" w:cs="Times New Roman"/>
                <w:sz w:val="24"/>
                <w:szCs w:val="24"/>
              </w:rPr>
              <w:t>.</w:t>
            </w:r>
            <w:r>
              <w:rPr>
                <w:rFonts w:ascii="Times New Roman" w:hAnsi="Times New Roman" w:cs="Times New Roman"/>
                <w:sz w:val="24"/>
                <w:szCs w:val="24"/>
              </w:rPr>
              <w:t> </w:t>
            </w:r>
            <w:r w:rsidRPr="00877049">
              <w:rPr>
                <w:rFonts w:ascii="Times New Roman" w:hAnsi="Times New Roman" w:cs="Times New Roman"/>
                <w:sz w:val="24"/>
                <w:szCs w:val="24"/>
              </w:rPr>
              <w:t xml:space="preserve">punktā uzdotajam </w:t>
            </w:r>
            <w:r w:rsidRPr="00877049">
              <w:rPr>
                <w:rFonts w:ascii="Times New Roman" w:hAnsi="Times New Roman" w:cs="Times New Roman"/>
                <w:bCs/>
                <w:sz w:val="24"/>
                <w:szCs w:val="24"/>
              </w:rPr>
              <w:t xml:space="preserve">– </w:t>
            </w:r>
            <w:r w:rsidRPr="006D70E0">
              <w:rPr>
                <w:rFonts w:ascii="Times New Roman" w:hAnsi="Times New Roman" w:cs="Times New Roman"/>
                <w:sz w:val="24"/>
                <w:szCs w:val="24"/>
              </w:rPr>
              <w:t>Tieslietu ministrijai izstrādāt grozījumus Ministru kabineta 2004. gada 20.</w:t>
            </w:r>
            <w:r>
              <w:rPr>
                <w:rFonts w:ascii="Times New Roman" w:hAnsi="Times New Roman" w:cs="Times New Roman"/>
                <w:sz w:val="24"/>
                <w:szCs w:val="24"/>
              </w:rPr>
              <w:t> </w:t>
            </w:r>
            <w:r w:rsidRPr="006D70E0">
              <w:rPr>
                <w:rFonts w:ascii="Times New Roman" w:hAnsi="Times New Roman" w:cs="Times New Roman"/>
                <w:sz w:val="24"/>
                <w:szCs w:val="24"/>
              </w:rPr>
              <w:t>janvāra noteikumos Nr.</w:t>
            </w:r>
            <w:r>
              <w:rPr>
                <w:rFonts w:ascii="Times New Roman" w:hAnsi="Times New Roman" w:cs="Times New Roman"/>
                <w:sz w:val="24"/>
                <w:szCs w:val="24"/>
              </w:rPr>
              <w:t> </w:t>
            </w:r>
            <w:r w:rsidRPr="006D70E0">
              <w:rPr>
                <w:rFonts w:ascii="Times New Roman" w:hAnsi="Times New Roman" w:cs="Times New Roman"/>
                <w:sz w:val="24"/>
                <w:szCs w:val="24"/>
              </w:rPr>
              <w:t>42 "Noziedzības novēršanas padomes nolikums"</w:t>
            </w:r>
            <w:r>
              <w:rPr>
                <w:rFonts w:ascii="Times New Roman" w:hAnsi="Times New Roman" w:cs="Times New Roman"/>
                <w:sz w:val="24"/>
                <w:szCs w:val="24"/>
              </w:rPr>
              <w:t xml:space="preserve"> </w:t>
            </w:r>
            <w:r w:rsidRPr="00877049">
              <w:rPr>
                <w:rFonts w:ascii="Times New Roman" w:hAnsi="Times New Roman" w:cs="Times New Roman"/>
                <w:sz w:val="24"/>
                <w:szCs w:val="24"/>
              </w:rPr>
              <w:t>(turpmāk – Noteikumi)</w:t>
            </w:r>
            <w:r w:rsidRPr="006D70E0">
              <w:rPr>
                <w:rFonts w:ascii="Times New Roman" w:hAnsi="Times New Roman" w:cs="Times New Roman"/>
                <w:sz w:val="24"/>
                <w:szCs w:val="24"/>
              </w:rPr>
              <w:t>, grozot padomes sastāvu un atrunājot kārtību, kādā padomes locekļi ir tiesīgi deleģēt pārstāvjus dalībai padomes sēdē</w:t>
            </w:r>
            <w:r w:rsidRPr="00877049">
              <w:rPr>
                <w:rFonts w:ascii="Times New Roman" w:hAnsi="Times New Roman" w:cs="Times New Roman"/>
                <w:sz w:val="24"/>
                <w:szCs w:val="24"/>
              </w:rPr>
              <w:t>.</w:t>
            </w:r>
          </w:p>
        </w:tc>
      </w:tr>
      <w:tr w:rsidRPr="00F818DA" w:rsidR="00487CD0" w:rsidTr="00487CD0" w14:paraId="73662A2D" w14:textId="77777777">
        <w:trPr>
          <w:trHeight w:val="498"/>
        </w:trPr>
        <w:tc>
          <w:tcPr>
            <w:tcW w:w="230" w:type="pct"/>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753198E0"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2.</w:t>
            </w:r>
          </w:p>
        </w:tc>
        <w:tc>
          <w:tcPr>
            <w:tcW w:w="1246" w:type="pct"/>
            <w:tcBorders>
              <w:top w:val="outset" w:color="414142" w:sz="6" w:space="0"/>
              <w:left w:val="outset" w:color="414142" w:sz="6" w:space="0"/>
              <w:bottom w:val="outset" w:color="414142" w:sz="6" w:space="0"/>
              <w:right w:val="outset" w:color="414142" w:sz="6" w:space="0"/>
            </w:tcBorders>
            <w:hideMark/>
          </w:tcPr>
          <w:p w:rsidR="00DF5707" w:rsidP="00DF5707" w:rsidRDefault="00DF5707" w14:paraId="0AC2CF6D" w14:textId="791F9E40">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985A25" w:rsidR="00DF5707" w:rsidP="00DF5707" w:rsidRDefault="00DF5707" w14:paraId="72BA6F8C" w14:textId="77777777">
            <w:pPr>
              <w:rPr>
                <w:rFonts w:ascii="Times New Roman" w:hAnsi="Times New Roman" w:eastAsia="Times New Roman" w:cs="Times New Roman"/>
                <w:sz w:val="24"/>
                <w:szCs w:val="24"/>
                <w:lang w:eastAsia="lv-LV"/>
              </w:rPr>
            </w:pPr>
          </w:p>
          <w:p w:rsidRPr="00985A25" w:rsidR="00DF5707" w:rsidP="00DF5707" w:rsidRDefault="00DF5707" w14:paraId="093761FF" w14:textId="77777777">
            <w:pPr>
              <w:rPr>
                <w:rFonts w:ascii="Times New Roman" w:hAnsi="Times New Roman" w:eastAsia="Times New Roman" w:cs="Times New Roman"/>
                <w:sz w:val="24"/>
                <w:szCs w:val="24"/>
                <w:lang w:eastAsia="lv-LV"/>
              </w:rPr>
            </w:pPr>
          </w:p>
          <w:p w:rsidRPr="00985A25" w:rsidR="00DF5707" w:rsidP="00DF5707" w:rsidRDefault="00DF5707" w14:paraId="0A390BA4" w14:textId="77777777">
            <w:pPr>
              <w:rPr>
                <w:rFonts w:ascii="Times New Roman" w:hAnsi="Times New Roman" w:eastAsia="Times New Roman" w:cs="Times New Roman"/>
                <w:sz w:val="24"/>
                <w:szCs w:val="24"/>
                <w:lang w:eastAsia="lv-LV"/>
              </w:rPr>
            </w:pPr>
          </w:p>
          <w:p w:rsidRPr="00985A25" w:rsidR="00DF5707" w:rsidP="00DF5707" w:rsidRDefault="00DF5707" w14:paraId="5945D62C" w14:textId="77777777">
            <w:pPr>
              <w:rPr>
                <w:rFonts w:ascii="Times New Roman" w:hAnsi="Times New Roman" w:eastAsia="Times New Roman" w:cs="Times New Roman"/>
                <w:sz w:val="24"/>
                <w:szCs w:val="24"/>
                <w:lang w:eastAsia="lv-LV"/>
              </w:rPr>
            </w:pPr>
          </w:p>
          <w:p w:rsidRPr="00985A25" w:rsidR="00DF5707" w:rsidP="00DF5707" w:rsidRDefault="00DF5707" w14:paraId="23E9CDEE" w14:textId="77777777">
            <w:pPr>
              <w:rPr>
                <w:rFonts w:ascii="Times New Roman" w:hAnsi="Times New Roman" w:eastAsia="Times New Roman" w:cs="Times New Roman"/>
                <w:sz w:val="24"/>
                <w:szCs w:val="24"/>
                <w:lang w:eastAsia="lv-LV"/>
              </w:rPr>
            </w:pPr>
          </w:p>
          <w:p w:rsidRPr="00985A25" w:rsidR="00DF5707" w:rsidP="00DF5707" w:rsidRDefault="00DF5707" w14:paraId="70105217" w14:textId="77777777">
            <w:pPr>
              <w:rPr>
                <w:rFonts w:ascii="Times New Roman" w:hAnsi="Times New Roman" w:eastAsia="Times New Roman" w:cs="Times New Roman"/>
                <w:sz w:val="24"/>
                <w:szCs w:val="24"/>
                <w:lang w:eastAsia="lv-LV"/>
              </w:rPr>
            </w:pPr>
          </w:p>
          <w:p w:rsidRPr="00985A25" w:rsidR="00DF5707" w:rsidP="00DF5707" w:rsidRDefault="00DF5707" w14:paraId="4D06F762" w14:textId="5B8DF582">
            <w:pPr>
              <w:rPr>
                <w:rFonts w:ascii="Times New Roman" w:hAnsi="Times New Roman" w:eastAsia="Times New Roman" w:cs="Times New Roman"/>
                <w:sz w:val="24"/>
                <w:szCs w:val="24"/>
                <w:lang w:eastAsia="lv-LV"/>
              </w:rPr>
            </w:pPr>
          </w:p>
        </w:tc>
        <w:tc>
          <w:tcPr>
            <w:tcW w:w="3524" w:type="pct"/>
            <w:gridSpan w:val="2"/>
            <w:tcBorders>
              <w:top w:val="outset" w:color="414142" w:sz="6" w:space="0"/>
              <w:left w:val="outset" w:color="414142" w:sz="6" w:space="0"/>
              <w:bottom w:val="outset" w:color="414142" w:sz="6" w:space="0"/>
              <w:right w:val="outset" w:color="414142" w:sz="6" w:space="0"/>
            </w:tcBorders>
          </w:tcPr>
          <w:p w:rsidR="00DF5707" w:rsidP="00F4250D" w:rsidRDefault="00DF5707" w14:paraId="3ACF6EC0" w14:textId="6ED9F229">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Saskaņā ar Noteikumu 1. punktu </w:t>
            </w:r>
            <w:r w:rsidRPr="006D70E0">
              <w:rPr>
                <w:rFonts w:ascii="Times New Roman" w:hAnsi="Times New Roman" w:cs="Times New Roman"/>
                <w:sz w:val="24"/>
                <w:szCs w:val="24"/>
              </w:rPr>
              <w:t xml:space="preserve">padome ir koleģiāla institūcija, kuras darbības mērķis ir koordinēt un pilnveidot valsts institūciju darbību </w:t>
            </w:r>
            <w:r w:rsidRPr="006D70E0">
              <w:rPr>
                <w:rFonts w:ascii="Times New Roman" w:hAnsi="Times New Roman" w:cs="Times New Roman"/>
                <w:sz w:val="24"/>
                <w:szCs w:val="24"/>
                <w:u w:val="single"/>
              </w:rPr>
              <w:t>noziedzības (tai skaitā korupcijas un organizētās noziedzības) novēršanā un apkarošanā</w:t>
            </w:r>
            <w:r>
              <w:rPr>
                <w:rFonts w:ascii="Times New Roman" w:hAnsi="Times New Roman" w:cs="Times New Roman"/>
                <w:sz w:val="24"/>
                <w:szCs w:val="24"/>
              </w:rPr>
              <w:t>.</w:t>
            </w:r>
          </w:p>
          <w:p w:rsidR="00DF5707" w:rsidP="00DF5707" w:rsidRDefault="00DF5707" w14:paraId="09AA96A3" w14:textId="445805C4">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Ievērojot to, ka Latvijas Bankas pamatfunkcijās neietilpst </w:t>
            </w:r>
            <w:r w:rsidRPr="006D70E0">
              <w:rPr>
                <w:rFonts w:ascii="Times New Roman" w:hAnsi="Times New Roman" w:cs="Times New Roman"/>
                <w:sz w:val="24"/>
                <w:szCs w:val="24"/>
              </w:rPr>
              <w:t>noziedzības novēršan</w:t>
            </w:r>
            <w:r w:rsidR="006F0D3D">
              <w:rPr>
                <w:rFonts w:ascii="Times New Roman" w:hAnsi="Times New Roman" w:cs="Times New Roman"/>
                <w:sz w:val="24"/>
                <w:szCs w:val="24"/>
              </w:rPr>
              <w:t>a</w:t>
            </w:r>
            <w:r w:rsidRPr="006D70E0">
              <w:rPr>
                <w:rFonts w:ascii="Times New Roman" w:hAnsi="Times New Roman" w:cs="Times New Roman"/>
                <w:sz w:val="24"/>
                <w:szCs w:val="24"/>
              </w:rPr>
              <w:t xml:space="preserve"> un apkarošan</w:t>
            </w:r>
            <w:r w:rsidR="006F0D3D">
              <w:rPr>
                <w:rFonts w:ascii="Times New Roman" w:hAnsi="Times New Roman" w:cs="Times New Roman"/>
                <w:sz w:val="24"/>
                <w:szCs w:val="24"/>
              </w:rPr>
              <w:t>a</w:t>
            </w:r>
            <w:r>
              <w:rPr>
                <w:rFonts w:ascii="Times New Roman" w:hAnsi="Times New Roman" w:cs="Times New Roman"/>
                <w:sz w:val="24"/>
                <w:szCs w:val="24"/>
              </w:rPr>
              <w:t xml:space="preserve">, Noteikumu projekts paredz no Notiekumu 5. punkta izslēgt </w:t>
            </w:r>
            <w:r w:rsidRPr="00135D79">
              <w:rPr>
                <w:rFonts w:ascii="Times New Roman" w:hAnsi="Times New Roman" w:cs="Times New Roman"/>
                <w:sz w:val="24"/>
                <w:szCs w:val="24"/>
              </w:rPr>
              <w:t>Latvijas Bankas prezident</w:t>
            </w:r>
            <w:r>
              <w:rPr>
                <w:rFonts w:ascii="Times New Roman" w:hAnsi="Times New Roman" w:cs="Times New Roman"/>
                <w:sz w:val="24"/>
                <w:szCs w:val="24"/>
              </w:rPr>
              <w:t>u.</w:t>
            </w:r>
          </w:p>
          <w:p w:rsidR="00DF5707" w:rsidP="00194EA8" w:rsidRDefault="00F4250D" w14:paraId="2035E038" w14:textId="12CE74BC">
            <w:pPr>
              <w:spacing w:after="0" w:line="240" w:lineRule="auto"/>
              <w:ind w:firstLine="383"/>
              <w:jc w:val="both"/>
              <w:rPr>
                <w:rFonts w:ascii="Times New Roman" w:hAnsi="Times New Roman" w:cs="Times New Roman"/>
                <w:sz w:val="24"/>
                <w:szCs w:val="24"/>
              </w:rPr>
            </w:pPr>
            <w:r w:rsidRPr="00347619">
              <w:rPr>
                <w:rFonts w:ascii="Times New Roman" w:hAnsi="Times New Roman" w:cs="Times New Roman"/>
                <w:sz w:val="24"/>
                <w:szCs w:val="24"/>
              </w:rPr>
              <w:t xml:space="preserve">Lai gan </w:t>
            </w:r>
            <w:r w:rsidRPr="00347619" w:rsidR="009E3E53">
              <w:rPr>
                <w:rFonts w:ascii="Times New Roman" w:hAnsi="Times New Roman" w:cs="Times New Roman"/>
                <w:sz w:val="24"/>
                <w:szCs w:val="24"/>
              </w:rPr>
              <w:t xml:space="preserve">arī </w:t>
            </w:r>
            <w:r w:rsidRPr="00347619">
              <w:rPr>
                <w:rFonts w:ascii="Times New Roman" w:hAnsi="Times New Roman" w:cs="Times New Roman"/>
                <w:sz w:val="24"/>
                <w:szCs w:val="24"/>
              </w:rPr>
              <w:t>Labklājības ministrijas un Izglītības un zinātnes ministrijas pamatfunkcijās neietilpst noziedzības novēršana un apkarošana, attiecībā uz minētajām ministrijām padomes sēdēs tiek izlemts jautājums par Tieslietu ministrijas pamatbudžeta programmas "Noziedzīgi iegūtu līdzekļu konfiskācijas fonds" līdzekļu sadali saskaņā ar Noteikumu 2.7.</w:t>
            </w:r>
            <w:r w:rsidR="00FE5DDC">
              <w:rPr>
                <w:rFonts w:ascii="Times New Roman" w:hAnsi="Times New Roman" w:cs="Times New Roman"/>
                <w:sz w:val="24"/>
                <w:szCs w:val="24"/>
              </w:rPr>
              <w:t> apakš</w:t>
            </w:r>
            <w:r w:rsidRPr="00347619">
              <w:rPr>
                <w:rFonts w:ascii="Times New Roman" w:hAnsi="Times New Roman" w:cs="Times New Roman"/>
                <w:sz w:val="24"/>
                <w:szCs w:val="24"/>
              </w:rPr>
              <w:t xml:space="preserve">punktu un </w:t>
            </w:r>
            <w:r w:rsidRPr="00347619">
              <w:rPr>
                <w:rFonts w:ascii="Times New Roman" w:hAnsi="Times New Roman" w:cs="Times New Roman"/>
                <w:bCs/>
                <w:sz w:val="24"/>
                <w:szCs w:val="24"/>
              </w:rPr>
              <w:t>Ministru kabineta 2017.</w:t>
            </w:r>
            <w:r w:rsidR="00FE5DDC">
              <w:rPr>
                <w:rFonts w:ascii="Times New Roman" w:hAnsi="Times New Roman" w:cs="Times New Roman"/>
                <w:bCs/>
                <w:sz w:val="24"/>
                <w:szCs w:val="24"/>
              </w:rPr>
              <w:t> </w:t>
            </w:r>
            <w:r w:rsidRPr="00347619">
              <w:rPr>
                <w:rFonts w:ascii="Times New Roman" w:hAnsi="Times New Roman" w:cs="Times New Roman"/>
                <w:bCs/>
                <w:sz w:val="24"/>
                <w:szCs w:val="24"/>
              </w:rPr>
              <w:t>gada 19.</w:t>
            </w:r>
            <w:r w:rsidR="00FE5DDC">
              <w:rPr>
                <w:rFonts w:ascii="Times New Roman" w:hAnsi="Times New Roman" w:cs="Times New Roman"/>
                <w:bCs/>
                <w:sz w:val="24"/>
                <w:szCs w:val="24"/>
              </w:rPr>
              <w:t> </w:t>
            </w:r>
            <w:r w:rsidRPr="00347619">
              <w:rPr>
                <w:rFonts w:ascii="Times New Roman" w:hAnsi="Times New Roman" w:cs="Times New Roman"/>
                <w:bCs/>
                <w:sz w:val="24"/>
                <w:szCs w:val="24"/>
              </w:rPr>
              <w:t>decembra noteikumiem Nr. 769 "Tieslietu ministrijas pamatbudžeta programmas "Noziedzīgi iegūtu līdzekļu konfiskācijas fonds" finanšu līdzekļu izmantošanas kārtība"</w:t>
            </w:r>
            <w:r w:rsidR="00FE5DDC">
              <w:rPr>
                <w:rFonts w:ascii="Times New Roman" w:hAnsi="Times New Roman" w:cs="Times New Roman"/>
                <w:bCs/>
                <w:sz w:val="24"/>
                <w:szCs w:val="24"/>
              </w:rPr>
              <w:t>"</w:t>
            </w:r>
            <w:r w:rsidRPr="00347619">
              <w:rPr>
                <w:rFonts w:ascii="Times New Roman" w:hAnsi="Times New Roman" w:cs="Times New Roman"/>
                <w:bCs/>
                <w:sz w:val="24"/>
                <w:szCs w:val="24"/>
              </w:rPr>
              <w:t>.</w:t>
            </w:r>
            <w:r w:rsidRPr="00347619">
              <w:rPr>
                <w:rFonts w:ascii="Times New Roman" w:hAnsi="Times New Roman" w:cs="Times New Roman"/>
                <w:sz w:val="24"/>
                <w:szCs w:val="24"/>
              </w:rPr>
              <w:t xml:space="preserve"> </w:t>
            </w:r>
            <w:r w:rsidRPr="00347619" w:rsidR="009E3E53">
              <w:rPr>
                <w:rFonts w:ascii="Times New Roman" w:hAnsi="Times New Roman" w:cs="Times New Roman"/>
                <w:sz w:val="24"/>
                <w:szCs w:val="24"/>
              </w:rPr>
              <w:t xml:space="preserve"> </w:t>
            </w:r>
            <w:r w:rsidRPr="00347619" w:rsidR="00D00045">
              <w:rPr>
                <w:rFonts w:ascii="Times New Roman" w:hAnsi="Times New Roman" w:cs="Times New Roman"/>
                <w:sz w:val="24"/>
                <w:szCs w:val="24"/>
              </w:rPr>
              <w:t>Ievērojot minēto, padomes sastāvā ir saglabājams labklājības ministrs un izglītības un zinātnes ministrs.</w:t>
            </w:r>
          </w:p>
          <w:p w:rsidR="00DF5707" w:rsidP="00194EA8" w:rsidRDefault="00DF5707" w14:paraId="2051CC14" w14:textId="1561141C">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Vienlaikus Noteikumu projekts paredz Noteikumu 6. punktā noteikt, ka p</w:t>
            </w:r>
            <w:r w:rsidRPr="005259DA">
              <w:rPr>
                <w:rFonts w:ascii="Times New Roman" w:hAnsi="Times New Roman" w:cs="Times New Roman"/>
                <w:sz w:val="24"/>
                <w:szCs w:val="24"/>
              </w:rPr>
              <w:t>ēc padomes priekšsēdētāja uzaicinājuma padomes sēdēs var piedalīties arī citu valsts institūciju amatpersonas un darbinieki</w:t>
            </w:r>
            <w:r>
              <w:rPr>
                <w:rFonts w:ascii="Times New Roman" w:hAnsi="Times New Roman" w:cs="Times New Roman"/>
                <w:sz w:val="24"/>
                <w:szCs w:val="24"/>
              </w:rPr>
              <w:t>. Tādējādi tiks nodrošināts, ka nepieciešamības gadījumā uz padomes sēdi varēs tikt uzaicināti pārstāvji no Latvijas Bankas</w:t>
            </w:r>
            <w:r w:rsidR="00611F39">
              <w:rPr>
                <w:rFonts w:ascii="Times New Roman" w:hAnsi="Times New Roman" w:cs="Times New Roman"/>
                <w:sz w:val="24"/>
                <w:szCs w:val="24"/>
              </w:rPr>
              <w:t xml:space="preserve"> un</w:t>
            </w:r>
            <w:r>
              <w:rPr>
                <w:rFonts w:ascii="Times New Roman" w:hAnsi="Times New Roman" w:cs="Times New Roman"/>
                <w:sz w:val="24"/>
                <w:szCs w:val="24"/>
              </w:rPr>
              <w:t xml:space="preserve"> </w:t>
            </w:r>
            <w:r w:rsidRPr="005259DA">
              <w:rPr>
                <w:rFonts w:ascii="Times New Roman" w:hAnsi="Times New Roman" w:cs="Times New Roman"/>
                <w:sz w:val="24"/>
                <w:szCs w:val="24"/>
              </w:rPr>
              <w:t>cit</w:t>
            </w:r>
            <w:r>
              <w:rPr>
                <w:rFonts w:ascii="Times New Roman" w:hAnsi="Times New Roman" w:cs="Times New Roman"/>
                <w:sz w:val="24"/>
                <w:szCs w:val="24"/>
              </w:rPr>
              <w:t>ām</w:t>
            </w:r>
            <w:r w:rsidRPr="005259DA">
              <w:rPr>
                <w:rFonts w:ascii="Times New Roman" w:hAnsi="Times New Roman" w:cs="Times New Roman"/>
                <w:sz w:val="24"/>
                <w:szCs w:val="24"/>
              </w:rPr>
              <w:t xml:space="preserve"> valsts institūcij</w:t>
            </w:r>
            <w:r>
              <w:rPr>
                <w:rFonts w:ascii="Times New Roman" w:hAnsi="Times New Roman" w:cs="Times New Roman"/>
                <w:sz w:val="24"/>
                <w:szCs w:val="24"/>
              </w:rPr>
              <w:t>ām.</w:t>
            </w:r>
          </w:p>
          <w:p w:rsidR="00DF5707" w:rsidP="00194EA8" w:rsidRDefault="00DF5707" w14:paraId="3447CC7E" w14:textId="484D3869">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281A93">
              <w:rPr>
                <w:rFonts w:ascii="Times New Roman" w:hAnsi="Times New Roman" w:cs="Times New Roman"/>
                <w:sz w:val="24"/>
                <w:szCs w:val="24"/>
              </w:rPr>
              <w:t>Noziedzīgi iegūtu līdzekļu legalizācijas un terorisma finansēšanas novēršanas likum</w:t>
            </w:r>
            <w:r>
              <w:rPr>
                <w:rFonts w:ascii="Times New Roman" w:hAnsi="Times New Roman" w:cs="Times New Roman"/>
                <w:sz w:val="24"/>
                <w:szCs w:val="24"/>
              </w:rPr>
              <w:t>a</w:t>
            </w:r>
            <w:r w:rsidRPr="00281A93">
              <w:rPr>
                <w:rFonts w:ascii="Times New Roman" w:hAnsi="Times New Roman" w:cs="Times New Roman"/>
                <w:sz w:val="24"/>
                <w:szCs w:val="24"/>
              </w:rPr>
              <w:t xml:space="preserve"> </w:t>
            </w:r>
            <w:r>
              <w:rPr>
                <w:rFonts w:ascii="Times New Roman" w:hAnsi="Times New Roman" w:cs="Times New Roman"/>
                <w:sz w:val="24"/>
                <w:szCs w:val="24"/>
              </w:rPr>
              <w:t xml:space="preserve">50. pantu </w:t>
            </w:r>
            <w:r w:rsidRPr="00281A93">
              <w:rPr>
                <w:rFonts w:ascii="Times New Roman" w:hAnsi="Times New Roman" w:cs="Times New Roman"/>
                <w:sz w:val="24"/>
                <w:szCs w:val="24"/>
              </w:rPr>
              <w:t xml:space="preserve">Noziedzīgi iegūtu līdzekļu legalizācijas novēršanas dienests (turpmāk </w:t>
            </w:r>
            <w:r w:rsidRPr="00877049">
              <w:rPr>
                <w:rFonts w:ascii="Times New Roman" w:hAnsi="Times New Roman" w:cs="Times New Roman"/>
                <w:bCs/>
                <w:sz w:val="24"/>
                <w:szCs w:val="24"/>
              </w:rPr>
              <w:t>–</w:t>
            </w:r>
            <w:r w:rsidRPr="00281A93">
              <w:rPr>
                <w:rFonts w:ascii="Times New Roman" w:hAnsi="Times New Roman" w:cs="Times New Roman"/>
                <w:sz w:val="24"/>
                <w:szCs w:val="24"/>
              </w:rPr>
              <w:t xml:space="preserve"> </w:t>
            </w:r>
            <w:r w:rsidRPr="00281A93">
              <w:rPr>
                <w:rFonts w:ascii="Times New Roman" w:hAnsi="Times New Roman" w:cs="Times New Roman"/>
                <w:sz w:val="24"/>
                <w:szCs w:val="24"/>
              </w:rPr>
              <w:lastRenderedPageBreak/>
              <w:t>Kontroles dienests) ir speciāli izveidota valsts institūcija, kas saskaņā ar šo likumu veic neparastu un aizdomīgu darījumu kontroli un iegūst, saņem, reģistrē, apstrādā, apkopo, uzglabā, analizē un sniedz pirmstiesas izmeklēšanas iestādēm, prokuratūrai un tiesai informāciju, kuru var izmantot noziedzīgi iegūtu līdzekļu legalizācijas, terorisma finansēšanas vai šo darbību mēģinājuma, vai cita ar to saistīta noziedzīga nodarījuma novēršanai, atklāšanai, pirmstiesas kriminālprocesam vai iztiesāšanai.</w:t>
            </w:r>
            <w:r>
              <w:rPr>
                <w:rFonts w:ascii="Times New Roman" w:hAnsi="Times New Roman" w:cs="Times New Roman"/>
                <w:sz w:val="24"/>
                <w:szCs w:val="24"/>
              </w:rPr>
              <w:t xml:space="preserve"> Ievērojot minēto, Noteikumu projekts paredz padomes sastāvā iekļaut Kontroles dienest</w:t>
            </w:r>
            <w:r w:rsidR="00DF5938">
              <w:rPr>
                <w:rFonts w:ascii="Times New Roman" w:hAnsi="Times New Roman" w:cs="Times New Roman"/>
                <w:sz w:val="24"/>
                <w:szCs w:val="24"/>
              </w:rPr>
              <w:t>a priekšnieku</w:t>
            </w:r>
            <w:r>
              <w:rPr>
                <w:rFonts w:ascii="Times New Roman" w:hAnsi="Times New Roman" w:cs="Times New Roman"/>
                <w:sz w:val="24"/>
                <w:szCs w:val="24"/>
              </w:rPr>
              <w:t>.</w:t>
            </w:r>
          </w:p>
          <w:p w:rsidR="00DF5707" w:rsidP="00DF5707" w:rsidRDefault="00DF5707" w14:paraId="6C575FFE" w14:textId="5579DD80">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751499">
              <w:rPr>
                <w:rFonts w:ascii="Times New Roman" w:hAnsi="Times New Roman" w:cs="Times New Roman"/>
                <w:sz w:val="24"/>
                <w:szCs w:val="24"/>
              </w:rPr>
              <w:t>Korupcijas novēršanas un apkarošanas biroja likum</w:t>
            </w:r>
            <w:r>
              <w:rPr>
                <w:rFonts w:ascii="Times New Roman" w:hAnsi="Times New Roman" w:cs="Times New Roman"/>
                <w:sz w:val="24"/>
                <w:szCs w:val="24"/>
              </w:rPr>
              <w:t>a</w:t>
            </w:r>
            <w:r w:rsidRPr="00751499">
              <w:rPr>
                <w:rFonts w:ascii="Times New Roman" w:hAnsi="Times New Roman" w:cs="Times New Roman"/>
                <w:sz w:val="24"/>
                <w:szCs w:val="24"/>
              </w:rPr>
              <w:t xml:space="preserve"> </w:t>
            </w:r>
            <w:r>
              <w:rPr>
                <w:rFonts w:ascii="Times New Roman" w:hAnsi="Times New Roman" w:cs="Times New Roman"/>
                <w:sz w:val="24"/>
                <w:szCs w:val="24"/>
              </w:rPr>
              <w:t xml:space="preserve">8. panta pirmās daļas 2. punktu </w:t>
            </w:r>
            <w:r w:rsidRPr="00751499">
              <w:rPr>
                <w:rFonts w:ascii="Times New Roman" w:hAnsi="Times New Roman" w:cs="Times New Roman"/>
                <w:sz w:val="24"/>
                <w:szCs w:val="24"/>
              </w:rPr>
              <w:t xml:space="preserve">Korupcijas novēršanas un apkarošanas </w:t>
            </w:r>
            <w:r>
              <w:rPr>
                <w:rFonts w:ascii="Times New Roman" w:hAnsi="Times New Roman" w:cs="Times New Roman"/>
                <w:sz w:val="24"/>
                <w:szCs w:val="24"/>
              </w:rPr>
              <w:t>b</w:t>
            </w:r>
            <w:r w:rsidRPr="00751499">
              <w:rPr>
                <w:rFonts w:ascii="Times New Roman" w:hAnsi="Times New Roman" w:cs="Times New Roman"/>
                <w:sz w:val="24"/>
                <w:szCs w:val="24"/>
              </w:rPr>
              <w:t>irojs korupcijas apkarošanā veic izmeklēšanu un operatīvo darbību, lai atklātu Krimināllikumā paredzētos noziedzīgos nodarījumus valsts institūciju dienestā, ja tie ir saistīti ar korupciju.</w:t>
            </w:r>
            <w:r>
              <w:rPr>
                <w:rFonts w:ascii="Times New Roman" w:hAnsi="Times New Roman" w:cs="Times New Roman"/>
                <w:sz w:val="24"/>
                <w:szCs w:val="24"/>
              </w:rPr>
              <w:t xml:space="preserve"> Ievērojot minēto, Noteikumu projekts paredz padomes sastāvā iekļaut arī </w:t>
            </w:r>
            <w:r w:rsidRPr="00751499">
              <w:rPr>
                <w:rFonts w:ascii="Times New Roman" w:hAnsi="Times New Roman" w:cs="Times New Roman"/>
                <w:sz w:val="24"/>
                <w:szCs w:val="24"/>
              </w:rPr>
              <w:t>Korupcijas novēršanas un apkarošanas biroj</w:t>
            </w:r>
            <w:r w:rsidR="00DF5938">
              <w:rPr>
                <w:rFonts w:ascii="Times New Roman" w:hAnsi="Times New Roman" w:cs="Times New Roman"/>
                <w:sz w:val="24"/>
                <w:szCs w:val="24"/>
              </w:rPr>
              <w:t>a priekšnieku</w:t>
            </w:r>
            <w:r>
              <w:rPr>
                <w:rFonts w:ascii="Times New Roman" w:hAnsi="Times New Roman" w:cs="Times New Roman"/>
                <w:sz w:val="24"/>
                <w:szCs w:val="24"/>
              </w:rPr>
              <w:t>.</w:t>
            </w:r>
          </w:p>
          <w:p w:rsidR="00DF5707" w:rsidP="00DF5707" w:rsidRDefault="00DF5707" w14:paraId="7A7A396B" w14:textId="77777777">
            <w:pPr>
              <w:spacing w:after="0" w:line="240" w:lineRule="auto"/>
              <w:ind w:firstLine="383"/>
              <w:jc w:val="both"/>
              <w:rPr>
                <w:rFonts w:ascii="Times New Roman" w:hAnsi="Times New Roman" w:cs="Times New Roman"/>
                <w:sz w:val="24"/>
                <w:szCs w:val="24"/>
              </w:rPr>
            </w:pPr>
          </w:p>
          <w:p w:rsidR="007B57D9" w:rsidP="00F4250D" w:rsidRDefault="00DF5707" w14:paraId="655BDC06" w14:textId="19D3D345">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projekts paredz p</w:t>
            </w:r>
            <w:r w:rsidRPr="0087469B">
              <w:rPr>
                <w:rFonts w:ascii="Times New Roman" w:hAnsi="Times New Roman" w:cs="Times New Roman"/>
                <w:sz w:val="24"/>
                <w:szCs w:val="24"/>
              </w:rPr>
              <w:t xml:space="preserve">apildināt </w:t>
            </w:r>
            <w:r>
              <w:rPr>
                <w:rFonts w:ascii="Times New Roman" w:hAnsi="Times New Roman" w:cs="Times New Roman"/>
                <w:sz w:val="24"/>
                <w:szCs w:val="24"/>
              </w:rPr>
              <w:t>Noteikumu</w:t>
            </w:r>
            <w:r w:rsidR="006F0D3D">
              <w:rPr>
                <w:rFonts w:ascii="Times New Roman" w:hAnsi="Times New Roman" w:cs="Times New Roman"/>
                <w:sz w:val="24"/>
                <w:szCs w:val="24"/>
              </w:rPr>
              <w:t xml:space="preserve">s ar </w:t>
            </w:r>
            <w:r>
              <w:rPr>
                <w:rFonts w:ascii="Times New Roman" w:hAnsi="Times New Roman" w:cs="Times New Roman"/>
                <w:sz w:val="24"/>
                <w:szCs w:val="24"/>
              </w:rPr>
              <w:t xml:space="preserve"> </w:t>
            </w:r>
            <w:r w:rsidR="009676AE">
              <w:rPr>
                <w:rFonts w:ascii="Times New Roman" w:hAnsi="Times New Roman" w:cs="Times New Roman"/>
                <w:sz w:val="24"/>
                <w:szCs w:val="24"/>
              </w:rPr>
              <w:t>5</w:t>
            </w:r>
            <w:r w:rsidRPr="0087469B">
              <w:rPr>
                <w:rFonts w:ascii="Times New Roman" w:hAnsi="Times New Roman" w:cs="Times New Roman"/>
                <w:sz w:val="24"/>
                <w:szCs w:val="24"/>
              </w:rPr>
              <w:t>.</w:t>
            </w:r>
            <w:r w:rsidRPr="009676AE" w:rsidR="009676AE">
              <w:rPr>
                <w:rFonts w:ascii="Times New Roman" w:hAnsi="Times New Roman" w:cs="Times New Roman"/>
                <w:sz w:val="24"/>
                <w:szCs w:val="24"/>
                <w:vertAlign w:val="superscript"/>
              </w:rPr>
              <w:t>1</w:t>
            </w:r>
            <w:r w:rsidRPr="0087469B">
              <w:rPr>
                <w:rFonts w:ascii="Times New Roman" w:hAnsi="Times New Roman" w:cs="Times New Roman"/>
                <w:sz w:val="24"/>
                <w:szCs w:val="24"/>
              </w:rPr>
              <w:t> punktu</w:t>
            </w:r>
            <w:r w:rsidR="009676AE">
              <w:rPr>
                <w:rFonts w:ascii="Times New Roman" w:hAnsi="Times New Roman" w:cs="Times New Roman"/>
                <w:sz w:val="24"/>
                <w:szCs w:val="24"/>
              </w:rPr>
              <w:t xml:space="preserve">, kas nosaka, </w:t>
            </w:r>
            <w:r w:rsidRPr="002854B5" w:rsidR="002854B5">
              <w:rPr>
                <w:rFonts w:ascii="Times New Roman" w:hAnsi="Times New Roman" w:cs="Times New Roman"/>
                <w:sz w:val="24"/>
                <w:szCs w:val="24"/>
                <w:u w:val="single"/>
              </w:rPr>
              <w:t>ja padomes loceklis nevar piedalīties sēdē, viņam ir tiesības pirms padomes sēdes iesniegt Tieslietu ministrijā rakstveida pilnvaru citai personai aizvietot viņu padomes sēdē</w:t>
            </w:r>
            <w:r w:rsidRPr="0087469B">
              <w:rPr>
                <w:rFonts w:ascii="Times New Roman" w:hAnsi="Times New Roman" w:cs="Times New Roman"/>
                <w:sz w:val="24"/>
                <w:szCs w:val="24"/>
              </w:rPr>
              <w:t>.</w:t>
            </w:r>
            <w:r>
              <w:rPr>
                <w:rFonts w:ascii="Times New Roman" w:hAnsi="Times New Roman" w:cs="Times New Roman"/>
                <w:sz w:val="24"/>
                <w:szCs w:val="24"/>
              </w:rPr>
              <w:t xml:space="preserve"> Tādējādi padomes locekļa prombūtnes laikā tiks nodrošināts padomes kvorums saskaņā ar Noteikumu 7. punktu.</w:t>
            </w:r>
            <w:r w:rsidR="009676AE">
              <w:rPr>
                <w:rFonts w:ascii="Times New Roman" w:hAnsi="Times New Roman" w:cs="Times New Roman"/>
                <w:sz w:val="24"/>
                <w:szCs w:val="24"/>
              </w:rPr>
              <w:t xml:space="preserve"> </w:t>
            </w:r>
          </w:p>
          <w:p w:rsidRPr="00347619" w:rsidR="007B57D9" w:rsidP="009676AE" w:rsidRDefault="007B57D9" w14:paraId="40A95935" w14:textId="77777777">
            <w:pPr>
              <w:spacing w:after="0" w:line="240" w:lineRule="auto"/>
              <w:ind w:firstLine="383"/>
              <w:jc w:val="both"/>
              <w:rPr>
                <w:rFonts w:ascii="Times New Roman" w:hAnsi="Times New Roman" w:cs="Times New Roman"/>
                <w:sz w:val="24"/>
                <w:szCs w:val="24"/>
              </w:rPr>
            </w:pPr>
            <w:r w:rsidRPr="00347619">
              <w:rPr>
                <w:rFonts w:ascii="Times New Roman" w:hAnsi="Times New Roman" w:cs="Times New Roman"/>
                <w:sz w:val="24"/>
                <w:szCs w:val="24"/>
              </w:rPr>
              <w:t>Rakstveida pilnvara iesniedzama Tieslietu ministrijai, jo saskaņā ar Noteikumu 13. punktu Tieslietu ministrija materiāltehniski nodrošina padomes pastāvīgo funkciju izpildi.</w:t>
            </w:r>
          </w:p>
          <w:p w:rsidRPr="00347619" w:rsidR="007B57D9" w:rsidP="009676AE" w:rsidRDefault="007B57D9" w14:paraId="05BBC613" w14:textId="2DC473CA">
            <w:pPr>
              <w:spacing w:after="0" w:line="240" w:lineRule="auto"/>
              <w:ind w:firstLine="383"/>
              <w:jc w:val="both"/>
              <w:rPr>
                <w:rFonts w:ascii="Times New Roman" w:hAnsi="Times New Roman" w:cs="Times New Roman"/>
                <w:sz w:val="24"/>
                <w:szCs w:val="24"/>
              </w:rPr>
            </w:pPr>
            <w:r w:rsidRPr="00347619">
              <w:rPr>
                <w:rFonts w:ascii="Times New Roman" w:hAnsi="Times New Roman" w:cs="Times New Roman"/>
                <w:sz w:val="24"/>
                <w:szCs w:val="24"/>
              </w:rPr>
              <w:t>Vēršam uzmanību uz to, ka pilnvaru iesniedz papīr</w:t>
            </w:r>
            <w:r w:rsidR="00480A40">
              <w:rPr>
                <w:rFonts w:ascii="Times New Roman" w:hAnsi="Times New Roman" w:cs="Times New Roman"/>
                <w:sz w:val="24"/>
                <w:szCs w:val="24"/>
              </w:rPr>
              <w:t>a formā</w:t>
            </w:r>
            <w:r w:rsidRPr="00347619">
              <w:rPr>
                <w:rFonts w:ascii="Times New Roman" w:hAnsi="Times New Roman" w:cs="Times New Roman"/>
                <w:sz w:val="24"/>
                <w:szCs w:val="24"/>
              </w:rPr>
              <w:t xml:space="preserve"> vai elektroniska dokumenta formā atbilstoši normatīvajiem aktiem par elektronisko dokumentu noformēšanu, lai veicinātu sabiedrības informētību un izpratni par iespēju izmantot elektroniskās saziņas veidu</w:t>
            </w:r>
            <w:r w:rsidRPr="00347619" w:rsidR="00F4250D">
              <w:rPr>
                <w:rFonts w:ascii="Times New Roman" w:hAnsi="Times New Roman" w:cs="Times New Roman"/>
                <w:sz w:val="24"/>
                <w:szCs w:val="24"/>
              </w:rPr>
              <w:t xml:space="preserve">. </w:t>
            </w:r>
            <w:r w:rsidRPr="00347619">
              <w:rPr>
                <w:rFonts w:ascii="Times New Roman" w:hAnsi="Times New Roman" w:cs="Times New Roman"/>
                <w:sz w:val="24"/>
                <w:szCs w:val="24"/>
              </w:rPr>
              <w:t xml:space="preserve">Saskaņā ar </w:t>
            </w:r>
            <w:r w:rsidRPr="00347619">
              <w:rPr>
                <w:rFonts w:ascii="Times New Roman" w:hAnsi="Times New Roman" w:eastAsia="Calibri" w:cs="Times New Roman"/>
                <w:sz w:val="24"/>
                <w:szCs w:val="24"/>
              </w:rPr>
              <w:t>Elektronisko dokumentu likuma 3.</w:t>
            </w:r>
            <w:r w:rsidR="00056848">
              <w:rPr>
                <w:rFonts w:ascii="Times New Roman" w:hAnsi="Times New Roman" w:eastAsia="Calibri" w:cs="Times New Roman"/>
                <w:sz w:val="24"/>
                <w:szCs w:val="24"/>
              </w:rPr>
              <w:t> </w:t>
            </w:r>
            <w:r w:rsidRPr="00347619">
              <w:rPr>
                <w:rFonts w:ascii="Times New Roman" w:hAnsi="Times New Roman" w:eastAsia="Calibri" w:cs="Times New Roman"/>
                <w:sz w:val="24"/>
                <w:szCs w:val="24"/>
              </w:rPr>
              <w:t>pantu</w:t>
            </w:r>
            <w:r w:rsidRPr="00347619">
              <w:t xml:space="preserve"> </w:t>
            </w:r>
            <w:r w:rsidRPr="00347619">
              <w:rPr>
                <w:rFonts w:ascii="Times New Roman" w:hAnsi="Times New Roman" w:eastAsia="Calibri" w:cs="Times New Roman"/>
                <w:sz w:val="24"/>
                <w:szCs w:val="24"/>
              </w:rPr>
              <w:t>prasība pēc dokumenta rakstveida formas attiecībā uz elektronisko dokumentu ir izpildīta, ja elektroniskajam dokumentam ir elektroniskais paraksts un elektroniskais dokuments atbilst citām normatīvajos aktos noteiktajām prasībām.</w:t>
            </w:r>
          </w:p>
          <w:p w:rsidR="007B57D9" w:rsidP="009676AE" w:rsidRDefault="007B57D9" w14:paraId="1AB28693" w14:textId="77777777">
            <w:pPr>
              <w:spacing w:after="0" w:line="240" w:lineRule="auto"/>
              <w:ind w:firstLine="383"/>
              <w:jc w:val="both"/>
              <w:rPr>
                <w:rFonts w:ascii="Times New Roman" w:hAnsi="Times New Roman" w:cs="Times New Roman"/>
                <w:sz w:val="24"/>
                <w:szCs w:val="24"/>
              </w:rPr>
            </w:pPr>
          </w:p>
          <w:p w:rsidRPr="00F818DA" w:rsidR="00DF5707" w:rsidP="009676AE" w:rsidRDefault="009676AE" w14:paraId="54DE68C5" w14:textId="0FAA7E0E">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Vienlaikus </w:t>
            </w:r>
            <w:r w:rsidR="006F0D3D">
              <w:rPr>
                <w:rFonts w:ascii="Times New Roman" w:hAnsi="Times New Roman" w:cs="Times New Roman"/>
                <w:sz w:val="24"/>
                <w:szCs w:val="24"/>
              </w:rPr>
              <w:t xml:space="preserve">Noteikumu </w:t>
            </w:r>
            <w:r>
              <w:rPr>
                <w:rFonts w:ascii="Times New Roman" w:hAnsi="Times New Roman" w:cs="Times New Roman"/>
                <w:sz w:val="24"/>
                <w:szCs w:val="24"/>
              </w:rPr>
              <w:t>projekts paredz p</w:t>
            </w:r>
            <w:r w:rsidRPr="0087469B">
              <w:rPr>
                <w:rFonts w:ascii="Times New Roman" w:hAnsi="Times New Roman" w:cs="Times New Roman"/>
                <w:sz w:val="24"/>
                <w:szCs w:val="24"/>
              </w:rPr>
              <w:t>apildināt</w:t>
            </w:r>
            <w:r>
              <w:rPr>
                <w:rFonts w:ascii="Times New Roman" w:hAnsi="Times New Roman" w:cs="Times New Roman"/>
                <w:sz w:val="24"/>
                <w:szCs w:val="24"/>
              </w:rPr>
              <w:t xml:space="preserve"> arī Noteikumu 7. punktu, nosakot, ka p</w:t>
            </w:r>
            <w:r w:rsidRPr="009676AE">
              <w:rPr>
                <w:rFonts w:ascii="Times New Roman" w:hAnsi="Times New Roman" w:cs="Times New Roman"/>
                <w:sz w:val="24"/>
                <w:szCs w:val="24"/>
              </w:rPr>
              <w:t>adome ir lemttiesīga, ja tās sēdē piedalās vairāk nekā puse no padomes locekļiem, vai pilnvarotajām personām, kas viņus aizvieto</w:t>
            </w:r>
            <w:r>
              <w:rPr>
                <w:rFonts w:ascii="Times New Roman" w:hAnsi="Times New Roman" w:cs="Times New Roman"/>
                <w:sz w:val="24"/>
                <w:szCs w:val="24"/>
              </w:rPr>
              <w:t>.</w:t>
            </w:r>
            <w:r w:rsidR="007B57D9">
              <w:rPr>
                <w:rFonts w:ascii="Times New Roman" w:hAnsi="Times New Roman" w:cs="Times New Roman"/>
                <w:sz w:val="24"/>
                <w:szCs w:val="24"/>
              </w:rPr>
              <w:t xml:space="preserve"> </w:t>
            </w:r>
          </w:p>
        </w:tc>
      </w:tr>
      <w:tr w:rsidRPr="00F818DA" w:rsidR="00487CD0" w:rsidTr="00487CD0" w14:paraId="351ADD26" w14:textId="77777777">
        <w:trPr>
          <w:trHeight w:val="498"/>
        </w:trPr>
        <w:tc>
          <w:tcPr>
            <w:tcW w:w="230" w:type="pct"/>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316CEDAB"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lastRenderedPageBreak/>
              <w:t>3.</w:t>
            </w:r>
          </w:p>
        </w:tc>
        <w:tc>
          <w:tcPr>
            <w:tcW w:w="1246" w:type="pct"/>
            <w:tcBorders>
              <w:top w:val="outset" w:color="414142" w:sz="6" w:space="0"/>
              <w:left w:val="outset" w:color="414142" w:sz="6" w:space="0"/>
              <w:bottom w:val="outset" w:color="414142" w:sz="6" w:space="0"/>
              <w:right w:val="outset" w:color="414142" w:sz="6" w:space="0"/>
            </w:tcBorders>
            <w:hideMark/>
          </w:tcPr>
          <w:p w:rsidRPr="00F818DA" w:rsidR="00DF5707" w:rsidP="00DF5707" w:rsidRDefault="00487CD0" w14:paraId="3AE6938F" w14:textId="6D4F0F55">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Pr>
                <w:rFonts w:ascii="Times New Roman" w:hAnsi="Times New Roman" w:eastAsia="Times New Roman" w:cs="Times New Roman"/>
                <w:sz w:val="24"/>
                <w:szCs w:val="24"/>
                <w:lang w:eastAsia="lv-LV"/>
              </w:rPr>
              <w:t xml:space="preserve"> </w:t>
            </w:r>
            <w:r w:rsidRPr="00A1552F">
              <w:rPr>
                <w:rFonts w:ascii="Times New Roman" w:hAnsi="Times New Roman" w:eastAsia="Times New Roman" w:cs="Times New Roman"/>
                <w:sz w:val="24"/>
                <w:szCs w:val="24"/>
                <w:lang w:eastAsia="lv-LV"/>
              </w:rPr>
              <w:t>un publiskas personas kapitālsabiedrības</w:t>
            </w:r>
          </w:p>
        </w:tc>
        <w:tc>
          <w:tcPr>
            <w:tcW w:w="3524" w:type="pct"/>
            <w:gridSpan w:val="2"/>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3AB7B801" w14:textId="77777777">
            <w:pPr>
              <w:spacing w:after="0" w:line="240" w:lineRule="auto"/>
              <w:ind w:firstLine="383"/>
              <w:jc w:val="both"/>
              <w:rPr>
                <w:rFonts w:ascii="Times New Roman" w:hAnsi="Times New Roman" w:eastAsia="Times New Roman" w:cs="Times New Roman"/>
                <w:bCs/>
                <w:color w:val="000000"/>
                <w:sz w:val="24"/>
                <w:szCs w:val="24"/>
                <w:lang w:eastAsia="lv-LV"/>
              </w:rPr>
            </w:pPr>
            <w:r w:rsidRPr="00F818DA">
              <w:rPr>
                <w:rFonts w:ascii="Times New Roman" w:hAnsi="Times New Roman" w:eastAsia="Times New Roman" w:cs="Times New Roman"/>
                <w:color w:val="000000"/>
                <w:sz w:val="24"/>
                <w:szCs w:val="24"/>
                <w:lang w:eastAsia="lv-LV"/>
              </w:rPr>
              <w:t>Noteikumu projektu izstrādāja Tieslietu ministrija</w:t>
            </w:r>
            <w:r w:rsidRPr="00F818DA">
              <w:rPr>
                <w:rFonts w:ascii="Times New Roman" w:hAnsi="Times New Roman" w:eastAsia="Times New Roman" w:cs="Times New Roman"/>
                <w:bCs/>
                <w:color w:val="000000"/>
                <w:sz w:val="24"/>
                <w:szCs w:val="24"/>
                <w:lang w:eastAsia="lv-LV"/>
              </w:rPr>
              <w:t>.</w:t>
            </w:r>
            <w:bookmarkStart w:name="_GoBack" w:id="1"/>
            <w:bookmarkEnd w:id="1"/>
          </w:p>
        </w:tc>
      </w:tr>
      <w:tr w:rsidRPr="00F818DA" w:rsidR="00487CD0" w:rsidTr="00487CD0" w14:paraId="7E334380" w14:textId="77777777">
        <w:trPr>
          <w:trHeight w:val="289"/>
        </w:trPr>
        <w:tc>
          <w:tcPr>
            <w:tcW w:w="230" w:type="pct"/>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62A2CC06"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4.</w:t>
            </w:r>
          </w:p>
        </w:tc>
        <w:tc>
          <w:tcPr>
            <w:tcW w:w="1246" w:type="pct"/>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1A79FE7D"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Cita informācija</w:t>
            </w:r>
          </w:p>
        </w:tc>
        <w:tc>
          <w:tcPr>
            <w:tcW w:w="3524" w:type="pct"/>
            <w:gridSpan w:val="2"/>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5524C1FF" w14:textId="7F9302FE">
            <w:pPr>
              <w:spacing w:after="0" w:line="240" w:lineRule="auto"/>
              <w:ind w:firstLine="383"/>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Nav.</w:t>
            </w:r>
          </w:p>
        </w:tc>
      </w:tr>
      <w:tr w:rsidRPr="00BC2633" w:rsidR="00DF5707" w:rsidTr="00487CD0" w14:paraId="28539C57" w14:textId="77777777">
        <w:trPr>
          <w:trHeight w:val="128"/>
        </w:trPr>
        <w:tc>
          <w:tcPr>
            <w:tcW w:w="5000" w:type="pct"/>
            <w:gridSpan w:val="4"/>
            <w:tcBorders>
              <w:top w:val="outset" w:color="414142" w:sz="6" w:space="0"/>
              <w:left w:val="nil"/>
              <w:bottom w:val="outset" w:color="414142" w:sz="6" w:space="0"/>
              <w:right w:val="nil"/>
            </w:tcBorders>
          </w:tcPr>
          <w:p w:rsidRPr="00BC2633" w:rsidR="00DF5707" w:rsidP="00DF5707" w:rsidRDefault="00DF5707" w14:paraId="2DAB8680"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DF5707" w:rsidTr="00487CD0" w14:paraId="11A46A20" w14:textId="77777777">
        <w:trPr>
          <w:trHeight w:val="555"/>
        </w:trPr>
        <w:tc>
          <w:tcPr>
            <w:tcW w:w="5000" w:type="pct"/>
            <w:gridSpan w:val="4"/>
            <w:tcBorders>
              <w:top w:val="nil"/>
              <w:left w:val="outset" w:color="414142" w:sz="6" w:space="0"/>
              <w:bottom w:val="outset" w:color="414142" w:sz="6" w:space="0"/>
              <w:right w:val="outset" w:color="414142" w:sz="6" w:space="0"/>
            </w:tcBorders>
            <w:vAlign w:val="center"/>
            <w:hideMark/>
          </w:tcPr>
          <w:p w:rsidRPr="00BC2633" w:rsidR="00DF5707" w:rsidP="00DF5707" w:rsidRDefault="00DF5707" w14:paraId="2AA18628"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DF5707" w:rsidTr="00487CD0" w14:paraId="5A391125" w14:textId="77777777">
        <w:trPr>
          <w:trHeight w:val="465"/>
        </w:trPr>
        <w:tc>
          <w:tcPr>
            <w:tcW w:w="230"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6B880CF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1.</w:t>
            </w:r>
          </w:p>
        </w:tc>
        <w:tc>
          <w:tcPr>
            <w:tcW w:w="1713" w:type="pct"/>
            <w:gridSpan w:val="2"/>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5D653FA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3057"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1048F704" w14:textId="5F19405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Regulējums attieksies uz padomi.</w:t>
            </w:r>
          </w:p>
        </w:tc>
      </w:tr>
      <w:tr w:rsidRPr="00BC2633" w:rsidR="00DF5707" w:rsidTr="00487CD0" w14:paraId="2F1C0464" w14:textId="77777777">
        <w:trPr>
          <w:trHeight w:val="510"/>
        </w:trPr>
        <w:tc>
          <w:tcPr>
            <w:tcW w:w="230"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5A53973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713" w:type="pct"/>
            <w:gridSpan w:val="2"/>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53DD5D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057" w:type="pct"/>
            <w:tcBorders>
              <w:top w:val="outset" w:color="414142" w:sz="6" w:space="0"/>
              <w:left w:val="outset" w:color="414142" w:sz="6" w:space="0"/>
              <w:bottom w:val="outset" w:color="414142" w:sz="6" w:space="0"/>
              <w:right w:val="outset" w:color="414142" w:sz="6" w:space="0"/>
            </w:tcBorders>
            <w:hideMark/>
          </w:tcPr>
          <w:p w:rsidR="00DF5707" w:rsidP="00DF5707" w:rsidRDefault="00DF5707" w14:paraId="3E66DF9C" w14:textId="1F2DEC14">
            <w:pPr>
              <w:spacing w:after="0" w:line="240" w:lineRule="auto"/>
              <w:jc w:val="both"/>
              <w:rPr>
                <w:rFonts w:ascii="Times New Roman" w:hAnsi="Times New Roman" w:eastAsia="Times New Roman" w:cs="Times New Roman"/>
                <w:sz w:val="24"/>
                <w:szCs w:val="24"/>
                <w:lang w:eastAsia="lv-LV"/>
              </w:rPr>
            </w:pPr>
            <w:r w:rsidRPr="0087469B">
              <w:rPr>
                <w:rFonts w:ascii="Times New Roman" w:hAnsi="Times New Roman" w:cs="Times New Roman"/>
                <w:sz w:val="24"/>
                <w:szCs w:val="24"/>
              </w:rPr>
              <w:t>Tiesisk</w:t>
            </w:r>
            <w:r>
              <w:rPr>
                <w:rFonts w:ascii="Times New Roman" w:hAnsi="Times New Roman" w:cs="Times New Roman"/>
                <w:sz w:val="24"/>
                <w:szCs w:val="24"/>
              </w:rPr>
              <w:t>ajam</w:t>
            </w:r>
            <w:r w:rsidRPr="0087469B">
              <w:rPr>
                <w:rFonts w:ascii="Times New Roman" w:hAnsi="Times New Roman" w:cs="Times New Roman"/>
                <w:sz w:val="24"/>
                <w:szCs w:val="24"/>
              </w:rPr>
              <w:t xml:space="preserve"> regulējuma</w:t>
            </w:r>
            <w:r>
              <w:rPr>
                <w:rFonts w:ascii="Times New Roman" w:hAnsi="Times New Roman" w:cs="Times New Roman"/>
                <w:sz w:val="24"/>
                <w:szCs w:val="24"/>
              </w:rPr>
              <w:t>m</w:t>
            </w:r>
            <w:r w:rsidRPr="0087469B">
              <w:rPr>
                <w:rFonts w:ascii="Times New Roman" w:hAnsi="Times New Roman" w:cs="Times New Roman"/>
                <w:sz w:val="24"/>
                <w:szCs w:val="24"/>
              </w:rPr>
              <w:t xml:space="preserve"> </w:t>
            </w:r>
            <w:r>
              <w:rPr>
                <w:rFonts w:ascii="Times New Roman" w:hAnsi="Times New Roman" w:cs="Times New Roman"/>
                <w:sz w:val="24"/>
                <w:szCs w:val="24"/>
              </w:rPr>
              <w:t xml:space="preserve">nav </w:t>
            </w:r>
            <w:r w:rsidRPr="0087469B">
              <w:rPr>
                <w:rFonts w:ascii="Times New Roman" w:hAnsi="Times New Roman" w:cs="Times New Roman"/>
                <w:sz w:val="24"/>
                <w:szCs w:val="24"/>
              </w:rPr>
              <w:t>ietekme</w:t>
            </w:r>
            <w:r>
              <w:rPr>
                <w:rFonts w:ascii="Times New Roman" w:hAnsi="Times New Roman" w:cs="Times New Roman"/>
                <w:sz w:val="24"/>
                <w:szCs w:val="24"/>
              </w:rPr>
              <w:t>s</w:t>
            </w:r>
            <w:r w:rsidRPr="0087469B">
              <w:rPr>
                <w:rFonts w:ascii="Times New Roman" w:hAnsi="Times New Roman" w:cs="Times New Roman"/>
                <w:sz w:val="24"/>
                <w:szCs w:val="24"/>
              </w:rPr>
              <w:t xml:space="preserve"> uz tautsaimniecību</w:t>
            </w:r>
            <w:r w:rsidRPr="00C62DCC">
              <w:rPr>
                <w:rFonts w:ascii="Times New Roman" w:hAnsi="Times New Roman" w:eastAsia="Times New Roman" w:cs="Times New Roman"/>
                <w:sz w:val="24"/>
                <w:szCs w:val="24"/>
                <w:lang w:eastAsia="lv-LV"/>
              </w:rPr>
              <w:t>.</w:t>
            </w:r>
            <w:r>
              <w:rPr>
                <w:rFonts w:ascii="Times New Roman" w:hAnsi="Times New Roman" w:cs="Times New Roman"/>
                <w:sz w:val="24"/>
                <w:szCs w:val="24"/>
              </w:rPr>
              <w:t xml:space="preserve"> Padome būs lemttiesīga arī </w:t>
            </w:r>
            <w:r w:rsidRPr="00D220C0">
              <w:rPr>
                <w:rFonts w:ascii="Times New Roman" w:hAnsi="Times New Roman" w:cs="Times New Roman"/>
                <w:sz w:val="24"/>
                <w:szCs w:val="24"/>
              </w:rPr>
              <w:t xml:space="preserve">padomes locekļa prombūtnes </w:t>
            </w:r>
            <w:r>
              <w:rPr>
                <w:rFonts w:ascii="Times New Roman" w:hAnsi="Times New Roman" w:cs="Times New Roman"/>
                <w:sz w:val="24"/>
                <w:szCs w:val="24"/>
              </w:rPr>
              <w:t>gadījumos.</w:t>
            </w:r>
          </w:p>
          <w:p w:rsidRPr="00BC2633" w:rsidR="00DF5707" w:rsidP="00DF5707" w:rsidRDefault="00DF5707" w14:paraId="6E50DC30" w14:textId="61420FD9">
            <w:pPr>
              <w:spacing w:after="0" w:line="240" w:lineRule="auto"/>
              <w:jc w:val="both"/>
              <w:rPr>
                <w:rFonts w:ascii="Times New Roman" w:hAnsi="Times New Roman" w:eastAsia="Times New Roman" w:cs="Times New Roman"/>
                <w:sz w:val="24"/>
                <w:szCs w:val="24"/>
                <w:lang w:eastAsia="lv-LV"/>
              </w:rPr>
            </w:pPr>
          </w:p>
        </w:tc>
      </w:tr>
      <w:tr w:rsidRPr="00BC2633" w:rsidR="00DF5707" w:rsidTr="00487CD0" w14:paraId="19929AA5" w14:textId="77777777">
        <w:trPr>
          <w:trHeight w:val="510"/>
        </w:trPr>
        <w:tc>
          <w:tcPr>
            <w:tcW w:w="230"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60E139F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713" w:type="pct"/>
            <w:gridSpan w:val="2"/>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3B7A413A"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057"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5C252F40" w14:textId="75B83AA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BC2633" w:rsidR="007C303E" w:rsidTr="00487CD0" w14:paraId="6C244A6F" w14:textId="77777777">
        <w:trPr>
          <w:trHeight w:val="510"/>
        </w:trPr>
        <w:tc>
          <w:tcPr>
            <w:tcW w:w="230" w:type="pct"/>
            <w:tcBorders>
              <w:top w:val="outset" w:color="414142" w:sz="6" w:space="0"/>
              <w:left w:val="outset" w:color="414142" w:sz="6" w:space="0"/>
              <w:bottom w:val="outset" w:color="414142" w:sz="6" w:space="0"/>
              <w:right w:val="outset" w:color="414142" w:sz="6" w:space="0"/>
            </w:tcBorders>
          </w:tcPr>
          <w:p w:rsidRPr="00BC2633" w:rsidR="007C303E" w:rsidP="00DF5707" w:rsidRDefault="007C303E" w14:paraId="33F655EC" w14:textId="40C6E30E">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713" w:type="pct"/>
            <w:gridSpan w:val="2"/>
            <w:tcBorders>
              <w:top w:val="outset" w:color="414142" w:sz="6" w:space="0"/>
              <w:left w:val="outset" w:color="414142" w:sz="6" w:space="0"/>
              <w:bottom w:val="outset" w:color="414142" w:sz="6" w:space="0"/>
              <w:right w:val="outset" w:color="414142" w:sz="6" w:space="0"/>
            </w:tcBorders>
          </w:tcPr>
          <w:p w:rsidRPr="00BC2633" w:rsidR="007C303E" w:rsidP="00DF5707" w:rsidRDefault="007C303E" w14:paraId="0C4AFDC1" w14:textId="47B989EC">
            <w:pPr>
              <w:spacing w:after="0" w:line="240" w:lineRule="auto"/>
              <w:rPr>
                <w:rFonts w:ascii="Times New Roman" w:hAnsi="Times New Roman" w:eastAsia="Times New Roman" w:cs="Times New Roman"/>
                <w:sz w:val="24"/>
                <w:szCs w:val="24"/>
                <w:lang w:eastAsia="lv-LV"/>
              </w:rPr>
            </w:pPr>
            <w:r w:rsidRPr="007C303E">
              <w:rPr>
                <w:rFonts w:ascii="Times New Roman" w:hAnsi="Times New Roman" w:eastAsia="Times New Roman" w:cs="Times New Roman"/>
                <w:sz w:val="24"/>
                <w:szCs w:val="24"/>
                <w:lang w:eastAsia="lv-LV"/>
              </w:rPr>
              <w:t>Atbilstības izmaksu monetārs novērtējums</w:t>
            </w:r>
          </w:p>
        </w:tc>
        <w:tc>
          <w:tcPr>
            <w:tcW w:w="3057" w:type="pct"/>
            <w:tcBorders>
              <w:top w:val="outset" w:color="414142" w:sz="6" w:space="0"/>
              <w:left w:val="outset" w:color="414142" w:sz="6" w:space="0"/>
              <w:bottom w:val="outset" w:color="414142" w:sz="6" w:space="0"/>
              <w:right w:val="outset" w:color="414142" w:sz="6" w:space="0"/>
            </w:tcBorders>
          </w:tcPr>
          <w:p w:rsidR="007C303E" w:rsidP="00DF5707" w:rsidRDefault="007C303E" w14:paraId="33F57F60" w14:textId="4DC4EB3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BC2633" w:rsidR="00DF5707" w:rsidTr="00487CD0" w14:paraId="7594A08A" w14:textId="77777777">
        <w:trPr>
          <w:trHeight w:val="345"/>
        </w:trPr>
        <w:tc>
          <w:tcPr>
            <w:tcW w:w="230"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7C303E" w14:paraId="2843711A" w14:textId="370FD1D9">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sidR="00DF5707">
              <w:rPr>
                <w:rFonts w:ascii="Times New Roman" w:hAnsi="Times New Roman" w:eastAsia="Times New Roman" w:cs="Times New Roman"/>
                <w:sz w:val="24"/>
                <w:szCs w:val="24"/>
                <w:lang w:eastAsia="lv-LV"/>
              </w:rPr>
              <w:t>.</w:t>
            </w:r>
          </w:p>
        </w:tc>
        <w:tc>
          <w:tcPr>
            <w:tcW w:w="1713" w:type="pct"/>
            <w:gridSpan w:val="2"/>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3E56BF0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057"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20EB1516"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F818DA" w:rsidR="00F818DA" w:rsidP="006705FF" w:rsidRDefault="00F818DA" w14:paraId="0FB18CF9" w14:textId="77777777">
      <w:pPr>
        <w:spacing w:after="0" w:line="240" w:lineRule="auto"/>
        <w:rPr>
          <w:rFonts w:ascii="Times New Roman" w:hAnsi="Times New Roman" w:cs="Times New Roman"/>
          <w:i/>
          <w:sz w:val="24"/>
          <w:szCs w:val="24"/>
        </w:rPr>
      </w:pPr>
    </w:p>
    <w:tbl>
      <w:tblPr>
        <w:tblStyle w:val="Reatabula"/>
        <w:tblW w:w="5000" w:type="pct"/>
        <w:tblLook w:val="04A0" w:firstRow="1" w:lastRow="0" w:firstColumn="1" w:lastColumn="0" w:noHBand="0" w:noVBand="1"/>
      </w:tblPr>
      <w:tblGrid>
        <w:gridCol w:w="9061"/>
      </w:tblGrid>
      <w:tr w:rsidRPr="0004143F" w:rsidR="0004143F" w:rsidTr="00485287" w14:paraId="0AB336B7" w14:textId="77777777">
        <w:trPr>
          <w:trHeight w:val="360"/>
        </w:trPr>
        <w:tc>
          <w:tcPr>
            <w:tcW w:w="0" w:type="auto"/>
            <w:hideMark/>
          </w:tcPr>
          <w:p w:rsidRPr="00454B59" w:rsidR="0004143F" w:rsidP="00454B59" w:rsidRDefault="0004143F" w14:paraId="7A2C25CE" w14:textId="77777777">
            <w:pPr>
              <w:ind w:firstLine="300"/>
              <w:jc w:val="center"/>
              <w:rPr>
                <w:rFonts w:ascii="Times New Roman" w:hAnsi="Times New Roman" w:eastAsia="Times New Roman" w:cs="Times New Roman"/>
                <w:b/>
                <w:bCs/>
                <w:sz w:val="24"/>
                <w:szCs w:val="24"/>
                <w:lang w:eastAsia="lv-LV"/>
              </w:rPr>
            </w:pPr>
            <w:r w:rsidRPr="00454B59">
              <w:rPr>
                <w:rFonts w:ascii="Times New Roman" w:hAnsi="Times New Roman" w:eastAsia="Times New Roman" w:cs="Times New Roman"/>
                <w:b/>
                <w:bCs/>
                <w:sz w:val="24"/>
                <w:szCs w:val="24"/>
                <w:lang w:eastAsia="lv-LV"/>
              </w:rPr>
              <w:t>III. Tiesību akta projekta ietekme uz valsts budžetu un pašvaldību budžetiem</w:t>
            </w:r>
          </w:p>
        </w:tc>
      </w:tr>
      <w:tr w:rsidRPr="0004143F" w:rsidR="0004143F" w:rsidTr="0004143F" w14:paraId="6F36D78D" w14:textId="77777777">
        <w:tc>
          <w:tcPr>
            <w:tcW w:w="5000" w:type="pct"/>
          </w:tcPr>
          <w:p w:rsidRPr="0004143F" w:rsidR="0004143F" w:rsidP="0004143F" w:rsidRDefault="0004143F" w14:paraId="1846CD18" w14:textId="77777777">
            <w:pPr>
              <w:spacing w:before="100" w:beforeAutospacing="1" w:after="100" w:afterAutospacing="1" w:line="360" w:lineRule="auto"/>
              <w:ind w:firstLine="300"/>
              <w:jc w:val="center"/>
              <w:rPr>
                <w:rFonts w:ascii="Times New Roman" w:hAnsi="Times New Roman" w:eastAsia="Times New Roman" w:cs="Times New Roman"/>
                <w:color w:val="414142"/>
                <w:sz w:val="24"/>
                <w:szCs w:val="24"/>
                <w:lang w:eastAsia="lv-LV"/>
              </w:rPr>
            </w:pPr>
            <w:r w:rsidRPr="0004143F">
              <w:rPr>
                <w:rFonts w:ascii="Times New Roman" w:hAnsi="Times New Roman" w:eastAsia="Times New Roman" w:cs="Times New Roman"/>
                <w:sz w:val="24"/>
                <w:szCs w:val="24"/>
                <w:lang w:eastAsia="lv-LV"/>
              </w:rPr>
              <w:t>Noteikumu projekts šo jomu neskar.</w:t>
            </w:r>
          </w:p>
        </w:tc>
      </w:tr>
    </w:tbl>
    <w:p w:rsidR="008547E3" w:rsidP="0004143F" w:rsidRDefault="008547E3" w14:paraId="3B1CA26B" w14:textId="4F628619">
      <w:pPr>
        <w:spacing w:after="0" w:line="240" w:lineRule="auto"/>
        <w:rPr>
          <w:rFonts w:ascii="Times New Roman" w:hAnsi="Times New Roman" w:eastAsia="Times New Roman" w:cs="Times New Roman"/>
          <w:color w:val="414142"/>
          <w:sz w:val="24"/>
          <w:szCs w:val="24"/>
          <w:lang w:eastAsia="lv-LV"/>
        </w:rPr>
      </w:pPr>
    </w:p>
    <w:tbl>
      <w:tblPr>
        <w:tblStyle w:val="Reatabula"/>
        <w:tblW w:w="5000" w:type="pct"/>
        <w:tblLook w:val="04A0" w:firstRow="1" w:lastRow="0" w:firstColumn="1" w:lastColumn="0" w:noHBand="0" w:noVBand="1"/>
      </w:tblPr>
      <w:tblGrid>
        <w:gridCol w:w="9061"/>
      </w:tblGrid>
      <w:tr w:rsidRPr="0004143F" w:rsidR="00D451CE" w:rsidTr="00190356" w14:paraId="086A44A8" w14:textId="77777777">
        <w:trPr>
          <w:trHeight w:val="450"/>
        </w:trPr>
        <w:tc>
          <w:tcPr>
            <w:tcW w:w="0" w:type="auto"/>
            <w:hideMark/>
          </w:tcPr>
          <w:p w:rsidRPr="0004143F" w:rsidR="00D451CE" w:rsidP="00190356" w:rsidRDefault="00D451CE" w14:paraId="791A7E40" w14:textId="77777777">
            <w:pPr>
              <w:ind w:firstLine="300"/>
              <w:jc w:val="center"/>
              <w:rPr>
                <w:rFonts w:ascii="Times New Roman" w:hAnsi="Times New Roman" w:eastAsia="Times New Roman" w:cs="Times New Roman"/>
                <w:b/>
                <w:bCs/>
                <w:color w:val="414142"/>
                <w:sz w:val="24"/>
                <w:szCs w:val="24"/>
                <w:lang w:eastAsia="lv-LV"/>
              </w:rPr>
            </w:pPr>
            <w:r w:rsidRPr="002E0C4D">
              <w:rPr>
                <w:rFonts w:ascii="Times New Roman" w:hAnsi="Times New Roman" w:eastAsia="Times New Roman" w:cs="Times New Roman"/>
                <w:b/>
                <w:bCs/>
                <w:color w:val="000000" w:themeColor="text1"/>
                <w:sz w:val="24"/>
                <w:szCs w:val="24"/>
                <w:lang w:eastAsia="lv-LV"/>
              </w:rPr>
              <w:t>IV. Tiesību akta projekta ietekme uz spēkā esošo tiesību normu sistēmu</w:t>
            </w:r>
          </w:p>
        </w:tc>
      </w:tr>
    </w:tbl>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F818DA" w:rsidR="00B0136A" w:rsidTr="00194EA8" w14:paraId="01538F02" w14:textId="77777777">
        <w:trPr>
          <w:trHeight w:val="338"/>
        </w:trPr>
        <w:tc>
          <w:tcPr>
            <w:tcW w:w="5000" w:type="pct"/>
            <w:tcBorders>
              <w:top w:val="outset" w:color="414142" w:sz="6" w:space="0"/>
              <w:left w:val="outset" w:color="414142" w:sz="6" w:space="0"/>
              <w:bottom w:val="outset" w:color="414142" w:sz="6" w:space="0"/>
              <w:right w:val="outset" w:color="414142" w:sz="6" w:space="0"/>
            </w:tcBorders>
            <w:hideMark/>
          </w:tcPr>
          <w:p w:rsidRPr="00F818DA" w:rsidR="00B0136A" w:rsidP="006F0D3D" w:rsidRDefault="00B0136A" w14:paraId="4C33FBE6" w14:textId="6EAC727E">
            <w:pPr>
              <w:spacing w:after="0" w:line="240" w:lineRule="auto"/>
              <w:jc w:val="center"/>
              <w:rPr>
                <w:rFonts w:ascii="Times New Roman" w:hAnsi="Times New Roman" w:cs="Times New Roman"/>
                <w:sz w:val="24"/>
                <w:szCs w:val="24"/>
              </w:rPr>
            </w:pPr>
            <w:r w:rsidRPr="00932B72">
              <w:rPr>
                <w:rFonts w:ascii="Times New Roman" w:hAnsi="Times New Roman" w:eastAsia="Times New Roman" w:cs="Times New Roman"/>
                <w:bCs/>
                <w:sz w:val="24"/>
                <w:szCs w:val="24"/>
                <w:lang w:eastAsia="lv-LV"/>
              </w:rPr>
              <w:t>Noteikumu projekts šo jomu neskar.</w:t>
            </w:r>
          </w:p>
        </w:tc>
      </w:tr>
    </w:tbl>
    <w:p w:rsidRPr="00454B59" w:rsidR="0004143F" w:rsidP="00454B59" w:rsidRDefault="0004143F" w14:paraId="19AF8994" w14:textId="77777777">
      <w:pPr>
        <w:spacing w:after="0" w:line="240" w:lineRule="auto"/>
        <w:ind w:firstLine="300"/>
        <w:jc w:val="center"/>
        <w:rPr>
          <w:rFonts w:ascii="Times New Roman" w:hAnsi="Times New Roman" w:eastAsia="Times New Roman" w:cs="Times New Roman"/>
          <w:b/>
          <w:bCs/>
          <w:sz w:val="24"/>
          <w:szCs w:val="24"/>
          <w:lang w:eastAsia="lv-LV"/>
        </w:rPr>
      </w:pPr>
      <w:r w:rsidRPr="00454B59">
        <w:rPr>
          <w:rFonts w:ascii="Times New Roman" w:hAnsi="Times New Roman" w:eastAsia="Times New Roman" w:cs="Times New Roman"/>
          <w:b/>
          <w:bCs/>
          <w:sz w:val="24"/>
          <w:szCs w:val="24"/>
          <w:lang w:eastAsia="lv-LV"/>
        </w:rPr>
        <w:t> </w:t>
      </w:r>
    </w:p>
    <w:tbl>
      <w:tblPr>
        <w:tblStyle w:val="Reatabula"/>
        <w:tblW w:w="5000" w:type="pct"/>
        <w:tblLook w:val="04A0" w:firstRow="1" w:lastRow="0" w:firstColumn="1" w:lastColumn="0" w:noHBand="0" w:noVBand="1"/>
      </w:tblPr>
      <w:tblGrid>
        <w:gridCol w:w="9061"/>
      </w:tblGrid>
      <w:tr w:rsidRPr="00932B72" w:rsidR="0004143F" w:rsidTr="00485287" w14:paraId="6779B6A5" w14:textId="77777777">
        <w:tc>
          <w:tcPr>
            <w:tcW w:w="0" w:type="auto"/>
            <w:hideMark/>
          </w:tcPr>
          <w:p w:rsidRPr="00454B59" w:rsidR="0004143F" w:rsidP="00C700E7" w:rsidRDefault="0004143F" w14:paraId="1E02AB7E" w14:textId="77777777">
            <w:pPr>
              <w:ind w:firstLine="22"/>
              <w:jc w:val="center"/>
              <w:rPr>
                <w:rFonts w:ascii="Times New Roman" w:hAnsi="Times New Roman" w:eastAsia="Times New Roman" w:cs="Times New Roman"/>
                <w:b/>
                <w:bCs/>
                <w:sz w:val="24"/>
                <w:szCs w:val="24"/>
                <w:lang w:eastAsia="lv-LV"/>
              </w:rPr>
            </w:pPr>
            <w:r w:rsidRPr="00454B59">
              <w:rPr>
                <w:rFonts w:ascii="Times New Roman" w:hAnsi="Times New Roman" w:eastAsia="Times New Roman" w:cs="Times New Roman"/>
                <w:b/>
                <w:bCs/>
                <w:sz w:val="24"/>
                <w:szCs w:val="24"/>
                <w:lang w:eastAsia="lv-LV"/>
              </w:rPr>
              <w:t>V. Tiesību akta projekta atbilstība Latvijas Republikas starptautiskajām saistībām</w:t>
            </w:r>
          </w:p>
        </w:tc>
      </w:tr>
      <w:tr w:rsidRPr="00932B72" w:rsidR="0004143F" w:rsidTr="00485287" w14:paraId="73038F9F" w14:textId="77777777">
        <w:trPr>
          <w:trHeight w:val="435"/>
        </w:trPr>
        <w:tc>
          <w:tcPr>
            <w:tcW w:w="4967" w:type="pct"/>
          </w:tcPr>
          <w:p w:rsidRPr="00454B59" w:rsidR="0004143F" w:rsidP="00C700E7" w:rsidRDefault="0004143F" w14:paraId="4360C8C9" w14:textId="77777777">
            <w:pPr>
              <w:ind w:firstLine="22"/>
              <w:jc w:val="center"/>
              <w:rPr>
                <w:rFonts w:ascii="Times New Roman" w:hAnsi="Times New Roman" w:eastAsia="Times New Roman" w:cs="Times New Roman"/>
                <w:bCs/>
                <w:sz w:val="24"/>
                <w:szCs w:val="24"/>
                <w:lang w:eastAsia="lv-LV"/>
              </w:rPr>
            </w:pPr>
            <w:r w:rsidRPr="00932B72">
              <w:rPr>
                <w:rFonts w:ascii="Times New Roman" w:hAnsi="Times New Roman" w:eastAsia="Times New Roman" w:cs="Times New Roman"/>
                <w:bCs/>
                <w:sz w:val="24"/>
                <w:szCs w:val="24"/>
                <w:lang w:eastAsia="lv-LV"/>
              </w:rPr>
              <w:t>Noteikumu projekts šo jomu neskar.</w:t>
            </w:r>
          </w:p>
        </w:tc>
      </w:tr>
    </w:tbl>
    <w:p w:rsidRPr="00F818DA" w:rsidR="008547E3" w:rsidP="006705FF" w:rsidRDefault="008547E3" w14:paraId="0E5122C2" w14:textId="77777777">
      <w:pPr>
        <w:spacing w:after="0" w:line="240" w:lineRule="auto"/>
        <w:rPr>
          <w:rFonts w:ascii="Times New Roman" w:hAnsi="Times New Roman" w:cs="Times New Roman"/>
          <w:sz w:val="24"/>
          <w:szCs w:val="24"/>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F818DA" w:rsidR="006705FF" w:rsidTr="009001AE" w14:paraId="3101A770"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F818DA" w:rsidR="006705FF" w:rsidP="00C700E7" w:rsidRDefault="006705FF" w14:paraId="59AF3142" w14:textId="77777777">
            <w:pPr>
              <w:spacing w:after="0" w:line="240" w:lineRule="auto"/>
              <w:jc w:val="center"/>
              <w:rPr>
                <w:rFonts w:ascii="Times New Roman" w:hAnsi="Times New Roman" w:eastAsia="Times New Roman" w:cs="Times New Roman"/>
                <w:b/>
                <w:bCs/>
                <w:color w:val="414142"/>
                <w:sz w:val="24"/>
                <w:szCs w:val="24"/>
                <w:lang w:eastAsia="lv-LV"/>
              </w:rPr>
            </w:pPr>
            <w:r w:rsidRPr="00F818DA">
              <w:rPr>
                <w:rFonts w:ascii="Times New Roman" w:hAnsi="Times New Roman" w:eastAsia="Times New Roman" w:cs="Times New Roman"/>
                <w:b/>
                <w:bCs/>
                <w:color w:val="000000" w:themeColor="text1"/>
                <w:sz w:val="24"/>
                <w:szCs w:val="24"/>
                <w:lang w:eastAsia="lv-LV"/>
              </w:rPr>
              <w:t>VI. Sabiedrības līdzdalība un komunikācijas aktivitātes</w:t>
            </w:r>
          </w:p>
        </w:tc>
      </w:tr>
      <w:tr w:rsidRPr="00F818DA" w:rsidR="00821D20" w:rsidTr="00454B59" w14:paraId="2787DA35" w14:textId="77777777">
        <w:trPr>
          <w:trHeight w:val="356"/>
        </w:trPr>
        <w:tc>
          <w:tcPr>
            <w:tcW w:w="5000" w:type="pct"/>
            <w:tcBorders>
              <w:top w:val="outset" w:color="414142" w:sz="6" w:space="0"/>
              <w:left w:val="outset" w:color="414142" w:sz="6" w:space="0"/>
              <w:bottom w:val="outset" w:color="414142" w:sz="6" w:space="0"/>
              <w:right w:val="outset" w:color="414142" w:sz="6" w:space="0"/>
            </w:tcBorders>
          </w:tcPr>
          <w:p w:rsidRPr="00F818DA" w:rsidR="00821D20" w:rsidP="00821D20" w:rsidRDefault="00821D20" w14:paraId="27815432" w14:textId="77777777">
            <w:pPr>
              <w:spacing w:after="0" w:line="240" w:lineRule="auto"/>
              <w:jc w:val="center"/>
              <w:rPr>
                <w:rFonts w:ascii="Times New Roman" w:hAnsi="Times New Roman" w:cs="Times New Roman"/>
                <w:sz w:val="24"/>
                <w:szCs w:val="24"/>
              </w:rPr>
            </w:pPr>
            <w:r w:rsidRPr="00821D20">
              <w:rPr>
                <w:rFonts w:ascii="Times New Roman" w:hAnsi="Times New Roman" w:cs="Times New Roman"/>
                <w:sz w:val="24"/>
                <w:szCs w:val="24"/>
              </w:rPr>
              <w:t>Noteikumu projekts šo jomu neskar.</w:t>
            </w:r>
          </w:p>
        </w:tc>
      </w:tr>
    </w:tbl>
    <w:p w:rsidRPr="00F818DA" w:rsidR="008547E3" w:rsidP="006705FF" w:rsidRDefault="008547E3" w14:paraId="21CAE724" w14:textId="77777777">
      <w:pPr>
        <w:spacing w:after="0" w:line="240" w:lineRule="auto"/>
        <w:rPr>
          <w:rFonts w:ascii="Times New Roman" w:hAnsi="Times New Roman" w:cs="Times New Roman"/>
          <w:i/>
          <w:sz w:val="24"/>
          <w:szCs w:val="24"/>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3082"/>
        <w:gridCol w:w="5520"/>
      </w:tblGrid>
      <w:tr w:rsidRPr="00F818DA" w:rsidR="006705FF" w:rsidTr="009001AE" w14:paraId="5160CAC1"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F818DA" w:rsidR="006705FF" w:rsidP="009001AE" w:rsidRDefault="006705FF" w14:paraId="0012194A" w14:textId="77777777">
            <w:pPr>
              <w:spacing w:after="0" w:line="240" w:lineRule="auto"/>
              <w:ind w:firstLine="300"/>
              <w:jc w:val="center"/>
              <w:rPr>
                <w:rFonts w:ascii="Times New Roman" w:hAnsi="Times New Roman" w:eastAsia="Times New Roman" w:cs="Times New Roman"/>
                <w:b/>
                <w:bCs/>
                <w:color w:val="000000" w:themeColor="text1"/>
                <w:sz w:val="24"/>
                <w:szCs w:val="24"/>
                <w:lang w:eastAsia="lv-LV"/>
              </w:rPr>
            </w:pPr>
            <w:r w:rsidRPr="00F818DA">
              <w:rPr>
                <w:rFonts w:ascii="Times New Roman" w:hAnsi="Times New Roman" w:eastAsia="Times New Roman" w:cs="Times New Roman"/>
                <w:b/>
                <w:bCs/>
                <w:color w:val="000000" w:themeColor="text1"/>
                <w:sz w:val="24"/>
                <w:szCs w:val="24"/>
                <w:lang w:eastAsia="lv-LV"/>
              </w:rPr>
              <w:t>VII. Tiesību akta projekta izpildes nodrošināšana un tās ietekme uz institūcijām</w:t>
            </w:r>
          </w:p>
        </w:tc>
      </w:tr>
      <w:tr w:rsidRPr="00F818DA" w:rsidR="006705FF" w:rsidTr="00454B59" w14:paraId="0B109A70"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F818DA" w:rsidR="006705FF" w:rsidP="009001AE" w:rsidRDefault="006705FF" w14:paraId="094F21AA"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1.</w:t>
            </w:r>
          </w:p>
        </w:tc>
        <w:tc>
          <w:tcPr>
            <w:tcW w:w="1702" w:type="pct"/>
            <w:tcBorders>
              <w:top w:val="outset" w:color="414142" w:sz="6" w:space="0"/>
              <w:left w:val="outset" w:color="414142" w:sz="6" w:space="0"/>
              <w:bottom w:val="outset" w:color="414142" w:sz="6" w:space="0"/>
              <w:right w:val="outset" w:color="414142" w:sz="6" w:space="0"/>
            </w:tcBorders>
            <w:hideMark/>
          </w:tcPr>
          <w:p w:rsidRPr="00F818DA" w:rsidR="006705FF" w:rsidP="009001AE" w:rsidRDefault="006705FF" w14:paraId="3BCB25D0"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cs="Times New Roman"/>
                <w:sz w:val="24"/>
                <w:szCs w:val="24"/>
              </w:rPr>
              <w:t>Projekta izpildē iesaistītās institūcijas</w:t>
            </w:r>
          </w:p>
        </w:tc>
        <w:tc>
          <w:tcPr>
            <w:tcW w:w="3047" w:type="pct"/>
            <w:tcBorders>
              <w:top w:val="outset" w:color="414142" w:sz="6" w:space="0"/>
              <w:left w:val="outset" w:color="414142" w:sz="6" w:space="0"/>
              <w:bottom w:val="outset" w:color="414142" w:sz="6" w:space="0"/>
              <w:right w:val="outset" w:color="414142" w:sz="6" w:space="0"/>
            </w:tcBorders>
            <w:hideMark/>
          </w:tcPr>
          <w:p w:rsidRPr="00F818DA" w:rsidR="006705FF" w:rsidP="00EF3A05" w:rsidRDefault="00821D20" w14:paraId="7B767918" w14:textId="77777777">
            <w:pPr>
              <w:spacing w:after="0" w:line="240" w:lineRule="auto"/>
              <w:ind w:firstLine="538"/>
              <w:jc w:val="both"/>
              <w:rPr>
                <w:rFonts w:ascii="Times New Roman" w:hAnsi="Times New Roman" w:cs="Times New Roman"/>
                <w:sz w:val="24"/>
                <w:szCs w:val="24"/>
              </w:rPr>
            </w:pPr>
            <w:r>
              <w:rPr>
                <w:rFonts w:ascii="Times New Roman" w:hAnsi="Times New Roman" w:eastAsia="Times New Roman" w:cs="Times New Roman"/>
                <w:sz w:val="24"/>
                <w:szCs w:val="24"/>
                <w:lang w:eastAsia="lv-LV"/>
              </w:rPr>
              <w:t>Tieslietu ministrija</w:t>
            </w:r>
            <w:r w:rsidRPr="00F818DA" w:rsidR="00907A1B">
              <w:rPr>
                <w:rFonts w:ascii="Times New Roman" w:hAnsi="Times New Roman" w:eastAsia="Times New Roman" w:cs="Times New Roman"/>
                <w:sz w:val="24"/>
                <w:szCs w:val="24"/>
                <w:lang w:eastAsia="lv-LV"/>
              </w:rPr>
              <w:t>.</w:t>
            </w:r>
          </w:p>
        </w:tc>
      </w:tr>
      <w:tr w:rsidRPr="00F818DA" w:rsidR="006705FF" w:rsidTr="00454B59" w14:paraId="6E47FC9A"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F818DA" w:rsidR="006705FF" w:rsidP="009001AE" w:rsidRDefault="006705FF" w14:paraId="170172F6"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2.</w:t>
            </w:r>
          </w:p>
        </w:tc>
        <w:tc>
          <w:tcPr>
            <w:tcW w:w="1702" w:type="pct"/>
            <w:tcBorders>
              <w:top w:val="outset" w:color="414142" w:sz="6" w:space="0"/>
              <w:left w:val="outset" w:color="414142" w:sz="6" w:space="0"/>
              <w:bottom w:val="outset" w:color="414142" w:sz="6" w:space="0"/>
              <w:right w:val="outset" w:color="414142" w:sz="6" w:space="0"/>
            </w:tcBorders>
            <w:hideMark/>
          </w:tcPr>
          <w:p w:rsidRPr="00F818DA" w:rsidR="006705FF" w:rsidP="009001AE" w:rsidRDefault="006705FF" w14:paraId="2DA40AA7"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 xml:space="preserve">Projekta izpildes ietekme uz pārvaldes funkcijām un institucionālo struktūru. </w:t>
            </w:r>
          </w:p>
          <w:p w:rsidRPr="00F818DA" w:rsidR="006705FF" w:rsidP="009001AE" w:rsidRDefault="006705FF" w14:paraId="093986DB"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color="414142" w:sz="6" w:space="0"/>
              <w:left w:val="outset" w:color="414142" w:sz="6" w:space="0"/>
              <w:bottom w:val="outset" w:color="414142" w:sz="6" w:space="0"/>
              <w:right w:val="outset" w:color="414142" w:sz="6" w:space="0"/>
            </w:tcBorders>
            <w:hideMark/>
          </w:tcPr>
          <w:p w:rsidR="006705FF" w:rsidP="00907A1B" w:rsidRDefault="00B04FCD" w14:paraId="3E60E3BE" w14:textId="7A2343C5">
            <w:pPr>
              <w:spacing w:after="0" w:line="240" w:lineRule="auto"/>
              <w:ind w:firstLine="538"/>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sz w:val="24"/>
                <w:szCs w:val="24"/>
                <w:lang w:eastAsia="lv-LV"/>
              </w:rPr>
              <w:t>Tiek grozīts padomes sastāvs</w:t>
            </w:r>
            <w:r w:rsidRPr="00F818DA" w:rsidR="00EF3A05">
              <w:rPr>
                <w:rFonts w:ascii="Times New Roman" w:hAnsi="Times New Roman" w:eastAsia="Times New Roman" w:cs="Times New Roman"/>
                <w:sz w:val="24"/>
                <w:szCs w:val="24"/>
                <w:lang w:eastAsia="lv-LV"/>
              </w:rPr>
              <w:t>.</w:t>
            </w:r>
          </w:p>
          <w:p w:rsidRPr="00292DA5" w:rsidR="00405068" w:rsidP="00907A1B" w:rsidRDefault="00405068" w14:paraId="7EF73F65" w14:textId="314E083F">
            <w:pPr>
              <w:spacing w:after="0" w:line="240" w:lineRule="auto"/>
              <w:ind w:firstLine="538"/>
              <w:jc w:val="both"/>
              <w:rPr>
                <w:rFonts w:ascii="Times New Roman" w:hAnsi="Times New Roman" w:eastAsia="Times New Roman" w:cs="Times New Roman"/>
                <w:sz w:val="24"/>
                <w:szCs w:val="24"/>
                <w:lang w:eastAsia="lv-LV"/>
              </w:rPr>
            </w:pPr>
          </w:p>
        </w:tc>
      </w:tr>
      <w:tr w:rsidRPr="00F818DA" w:rsidR="006705FF" w:rsidTr="00194EA8" w14:paraId="064AA9FF" w14:textId="77777777">
        <w:trPr>
          <w:trHeight w:val="300"/>
        </w:trPr>
        <w:tc>
          <w:tcPr>
            <w:tcW w:w="250" w:type="pct"/>
            <w:tcBorders>
              <w:top w:val="outset" w:color="414142" w:sz="6" w:space="0"/>
              <w:left w:val="outset" w:color="414142" w:sz="6" w:space="0"/>
              <w:bottom w:val="outset" w:color="414142" w:sz="6" w:space="0"/>
              <w:right w:val="outset" w:color="414142" w:sz="6" w:space="0"/>
            </w:tcBorders>
            <w:hideMark/>
          </w:tcPr>
          <w:p w:rsidRPr="00F818DA" w:rsidR="006705FF" w:rsidP="009001AE" w:rsidRDefault="006705FF" w14:paraId="5AB283F9"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3.</w:t>
            </w:r>
          </w:p>
        </w:tc>
        <w:tc>
          <w:tcPr>
            <w:tcW w:w="1702" w:type="pct"/>
            <w:tcBorders>
              <w:top w:val="outset" w:color="414142" w:sz="6" w:space="0"/>
              <w:left w:val="outset" w:color="414142" w:sz="6" w:space="0"/>
              <w:bottom w:val="outset" w:color="414142" w:sz="6" w:space="0"/>
              <w:right w:val="outset" w:color="414142" w:sz="6" w:space="0"/>
            </w:tcBorders>
            <w:hideMark/>
          </w:tcPr>
          <w:p w:rsidRPr="00F818DA" w:rsidR="006705FF" w:rsidP="009001AE" w:rsidRDefault="006705FF" w14:paraId="0D7DD42E" w14:textId="77777777">
            <w:pPr>
              <w:spacing w:after="0" w:line="240" w:lineRule="auto"/>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Cita informācija</w:t>
            </w:r>
          </w:p>
        </w:tc>
        <w:tc>
          <w:tcPr>
            <w:tcW w:w="3047" w:type="pct"/>
            <w:tcBorders>
              <w:top w:val="outset" w:color="414142" w:sz="6" w:space="0"/>
              <w:left w:val="outset" w:color="414142" w:sz="6" w:space="0"/>
              <w:bottom w:val="outset" w:color="414142" w:sz="6" w:space="0"/>
              <w:right w:val="outset" w:color="414142" w:sz="6" w:space="0"/>
            </w:tcBorders>
            <w:hideMark/>
          </w:tcPr>
          <w:p w:rsidRPr="00F818DA" w:rsidR="006705FF" w:rsidP="00F85963" w:rsidRDefault="006705FF" w14:paraId="2F41B1B1" w14:textId="77777777">
            <w:pPr>
              <w:spacing w:after="0" w:line="240" w:lineRule="auto"/>
              <w:ind w:firstLine="538"/>
              <w:rPr>
                <w:rFonts w:ascii="Times New Roman" w:hAnsi="Times New Roman" w:eastAsia="Times New Roman" w:cs="Times New Roman"/>
                <w:sz w:val="24"/>
                <w:szCs w:val="24"/>
                <w:lang w:eastAsia="lv-LV"/>
              </w:rPr>
            </w:pPr>
            <w:r w:rsidRPr="00F818DA">
              <w:rPr>
                <w:rFonts w:ascii="Times New Roman" w:hAnsi="Times New Roman" w:eastAsia="Times New Roman" w:cs="Times New Roman"/>
                <w:sz w:val="24"/>
                <w:szCs w:val="24"/>
                <w:lang w:eastAsia="lv-LV"/>
              </w:rPr>
              <w:t>Nav.</w:t>
            </w:r>
          </w:p>
        </w:tc>
      </w:tr>
    </w:tbl>
    <w:p w:rsidRPr="00F818DA" w:rsidR="006705FF" w:rsidP="006705FF" w:rsidRDefault="006705FF" w14:paraId="7968552E" w14:textId="77777777">
      <w:pPr>
        <w:spacing w:after="0" w:line="240" w:lineRule="auto"/>
        <w:rPr>
          <w:rFonts w:ascii="Times New Roman" w:hAnsi="Times New Roman" w:cs="Times New Roman"/>
          <w:i/>
          <w:sz w:val="24"/>
          <w:szCs w:val="24"/>
        </w:rPr>
      </w:pPr>
    </w:p>
    <w:p w:rsidRPr="00194EA8" w:rsidR="00194EA8" w:rsidP="00BE5E12" w:rsidRDefault="00194EA8" w14:paraId="782F997B" w14:textId="77777777">
      <w:pPr>
        <w:pStyle w:val="StyleRight"/>
        <w:tabs>
          <w:tab w:val="left" w:pos="7230"/>
        </w:tabs>
        <w:spacing w:after="0"/>
        <w:ind w:firstLine="0"/>
        <w:jc w:val="left"/>
        <w:rPr>
          <w:sz w:val="24"/>
          <w:szCs w:val="24"/>
        </w:rPr>
      </w:pPr>
      <w:r w:rsidRPr="00194EA8">
        <w:rPr>
          <w:sz w:val="24"/>
          <w:szCs w:val="24"/>
        </w:rPr>
        <w:t>Iesniedzējs:</w:t>
      </w:r>
    </w:p>
    <w:p w:rsidR="00BB515D" w:rsidP="00BE5E12" w:rsidRDefault="00194EA8" w14:paraId="2C79A358" w14:textId="7F23FBE3">
      <w:pPr>
        <w:pStyle w:val="StyleRight"/>
        <w:spacing w:after="0"/>
        <w:ind w:firstLine="0"/>
        <w:jc w:val="left"/>
        <w:rPr>
          <w:sz w:val="24"/>
          <w:szCs w:val="24"/>
        </w:rPr>
      </w:pPr>
      <w:r w:rsidRPr="00194EA8">
        <w:rPr>
          <w:sz w:val="24"/>
          <w:szCs w:val="24"/>
        </w:rPr>
        <w:t>tieslietu ministrs</w:t>
      </w:r>
      <w:r w:rsidRPr="00194EA8">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Jānis </w:t>
      </w:r>
      <w:proofErr w:type="spellStart"/>
      <w:r>
        <w:rPr>
          <w:sz w:val="24"/>
          <w:szCs w:val="24"/>
        </w:rPr>
        <w:t>Bordāns</w:t>
      </w:r>
      <w:bookmarkEnd w:id="0"/>
      <w:proofErr w:type="spellEnd"/>
    </w:p>
    <w:p w:rsidR="00BE5E12" w:rsidP="00BE5E12" w:rsidRDefault="00BE5E12" w14:paraId="22833CE3" w14:textId="65CD0130">
      <w:pPr>
        <w:pStyle w:val="StyleRight"/>
        <w:spacing w:after="0"/>
        <w:ind w:firstLine="0"/>
        <w:jc w:val="left"/>
        <w:rPr>
          <w:sz w:val="24"/>
          <w:szCs w:val="24"/>
        </w:rPr>
      </w:pPr>
    </w:p>
    <w:p w:rsidR="00BE5E12" w:rsidP="00BE5E12" w:rsidRDefault="00BE5E12" w14:paraId="5406EA7D"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Zemzars </w:t>
      </w:r>
      <w:r w:rsidRPr="00910D9E">
        <w:rPr>
          <w:rFonts w:ascii="Times New Roman" w:hAnsi="Times New Roman" w:cs="Times New Roman"/>
          <w:sz w:val="20"/>
          <w:szCs w:val="20"/>
        </w:rPr>
        <w:t>67036</w:t>
      </w:r>
      <w:r>
        <w:rPr>
          <w:rFonts w:ascii="Times New Roman" w:hAnsi="Times New Roman" w:cs="Times New Roman"/>
          <w:sz w:val="20"/>
          <w:szCs w:val="20"/>
        </w:rPr>
        <w:t>943</w:t>
      </w:r>
    </w:p>
    <w:p w:rsidRPr="00BE5E12" w:rsidR="00BE5E12" w:rsidP="00A23141" w:rsidRDefault="00487CD0" w14:paraId="1C5E8C6B" w14:textId="614C9462">
      <w:pPr>
        <w:spacing w:after="0" w:line="240" w:lineRule="auto"/>
      </w:pPr>
      <w:hyperlink w:history="1" r:id="rId7">
        <w:r w:rsidRPr="005E39B1" w:rsidR="00BE5E12">
          <w:rPr>
            <w:rStyle w:val="Hipersaite"/>
            <w:rFonts w:ascii="Times New Roman" w:hAnsi="Times New Roman" w:cs="Times New Roman"/>
            <w:sz w:val="20"/>
            <w:szCs w:val="20"/>
          </w:rPr>
          <w:t>Uldis.Zemzars@tm.gov.lv</w:t>
        </w:r>
      </w:hyperlink>
    </w:p>
    <w:sectPr w:rsidRPr="00BE5E12" w:rsidR="00BE5E12" w:rsidSect="0024327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82ED" w14:textId="77777777" w:rsidR="00AD7D35" w:rsidRDefault="00AD7D35" w:rsidP="00910D9E">
      <w:pPr>
        <w:spacing w:after="0" w:line="240" w:lineRule="auto"/>
      </w:pPr>
      <w:r>
        <w:separator/>
      </w:r>
    </w:p>
  </w:endnote>
  <w:endnote w:type="continuationSeparator" w:id="0">
    <w:p w14:paraId="7499753E" w14:textId="77777777" w:rsidR="00AD7D35" w:rsidRDefault="00AD7D35" w:rsidP="0091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508C" w14:textId="51E57022" w:rsidR="00AD7D35" w:rsidRPr="00907A1B" w:rsidRDefault="00AD7D35" w:rsidP="00907A1B">
    <w:pPr>
      <w:spacing w:after="0" w:line="240" w:lineRule="auto"/>
      <w:jc w:val="both"/>
      <w:rPr>
        <w:rFonts w:ascii="Times New Roman" w:hAnsi="Times New Roman" w:cs="Times New Roman"/>
        <w:sz w:val="20"/>
        <w:szCs w:val="20"/>
      </w:rPr>
    </w:pPr>
    <w:r w:rsidRPr="00027689">
      <w:rPr>
        <w:rFonts w:ascii="Times New Roman" w:hAnsi="Times New Roman" w:cs="Times New Roman"/>
        <w:sz w:val="20"/>
        <w:szCs w:val="20"/>
      </w:rPr>
      <w:t>TMAnot_</w:t>
    </w:r>
    <w:r w:rsidR="00BB515D">
      <w:rPr>
        <w:rFonts w:ascii="Times New Roman" w:hAnsi="Times New Roman" w:cs="Times New Roman"/>
        <w:sz w:val="20"/>
        <w:szCs w:val="20"/>
      </w:rPr>
      <w:t>0</w:t>
    </w:r>
    <w:r w:rsidR="00056848">
      <w:rPr>
        <w:rFonts w:ascii="Times New Roman" w:hAnsi="Times New Roman" w:cs="Times New Roman"/>
        <w:sz w:val="20"/>
        <w:szCs w:val="20"/>
      </w:rPr>
      <w:t>7</w:t>
    </w:r>
    <w:r w:rsidR="00BB515D">
      <w:rPr>
        <w:rFonts w:ascii="Times New Roman" w:hAnsi="Times New Roman" w:cs="Times New Roman"/>
        <w:sz w:val="20"/>
        <w:szCs w:val="20"/>
      </w:rPr>
      <w:t>02</w:t>
    </w:r>
    <w:r w:rsidR="00793919">
      <w:rPr>
        <w:rFonts w:ascii="Times New Roman" w:hAnsi="Times New Roman" w:cs="Times New Roman"/>
        <w:sz w:val="20"/>
        <w:szCs w:val="20"/>
      </w:rPr>
      <w:t>19</w:t>
    </w:r>
    <w:r w:rsidRPr="00027689">
      <w:rPr>
        <w:rFonts w:ascii="Times New Roman" w:hAnsi="Times New Roman" w:cs="Times New Roman"/>
        <w:sz w:val="20"/>
        <w:szCs w:val="20"/>
      </w:rPr>
      <w:t>_NNP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C754" w14:textId="6A0B9DD8" w:rsidR="00AD7D35" w:rsidRPr="00907A1B" w:rsidRDefault="00AD7D35" w:rsidP="00910D9E">
    <w:pPr>
      <w:spacing w:after="0" w:line="240" w:lineRule="auto"/>
      <w:jc w:val="both"/>
      <w:rPr>
        <w:rFonts w:ascii="Times New Roman" w:hAnsi="Times New Roman" w:cs="Times New Roman"/>
        <w:sz w:val="20"/>
        <w:szCs w:val="20"/>
      </w:rPr>
    </w:pPr>
    <w:r w:rsidRPr="00027689">
      <w:rPr>
        <w:rFonts w:ascii="Times New Roman" w:hAnsi="Times New Roman" w:cs="Times New Roman"/>
        <w:sz w:val="20"/>
        <w:szCs w:val="20"/>
      </w:rPr>
      <w:t>TMAnot_</w:t>
    </w:r>
    <w:r w:rsidR="00BB515D">
      <w:rPr>
        <w:rFonts w:ascii="Times New Roman" w:hAnsi="Times New Roman" w:cs="Times New Roman"/>
        <w:sz w:val="20"/>
        <w:szCs w:val="20"/>
      </w:rPr>
      <w:t>0</w:t>
    </w:r>
    <w:r w:rsidR="00056848">
      <w:rPr>
        <w:rFonts w:ascii="Times New Roman" w:hAnsi="Times New Roman" w:cs="Times New Roman"/>
        <w:sz w:val="20"/>
        <w:szCs w:val="20"/>
      </w:rPr>
      <w:t>7</w:t>
    </w:r>
    <w:r w:rsidR="00BB515D">
      <w:rPr>
        <w:rFonts w:ascii="Times New Roman" w:hAnsi="Times New Roman" w:cs="Times New Roman"/>
        <w:sz w:val="20"/>
        <w:szCs w:val="20"/>
      </w:rPr>
      <w:t>02</w:t>
    </w:r>
    <w:r w:rsidR="00793919">
      <w:rPr>
        <w:rFonts w:ascii="Times New Roman" w:hAnsi="Times New Roman" w:cs="Times New Roman"/>
        <w:sz w:val="20"/>
        <w:szCs w:val="20"/>
      </w:rPr>
      <w:t>19</w:t>
    </w:r>
    <w:r w:rsidRPr="00027689">
      <w:rPr>
        <w:rFonts w:ascii="Times New Roman" w:hAnsi="Times New Roman" w:cs="Times New Roman"/>
        <w:sz w:val="20"/>
        <w:szCs w:val="20"/>
      </w:rPr>
      <w:t>_NNP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475B" w14:textId="77777777" w:rsidR="00AD7D35" w:rsidRDefault="00AD7D35" w:rsidP="00910D9E">
      <w:pPr>
        <w:spacing w:after="0" w:line="240" w:lineRule="auto"/>
      </w:pPr>
      <w:r>
        <w:separator/>
      </w:r>
    </w:p>
  </w:footnote>
  <w:footnote w:type="continuationSeparator" w:id="0">
    <w:p w14:paraId="48495FEC" w14:textId="77777777" w:rsidR="00AD7D35" w:rsidRDefault="00AD7D35" w:rsidP="0091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rsidRPr="004D15A9" w:rsidR="00AD7D35" w:rsidRDefault="00AD7D35" w14:paraId="633E1A59" w14:textId="4D1AA30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2314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AD7D35" w:rsidRDefault="00AD7D35" w14:paraId="6085BA12"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FF"/>
    <w:rsid w:val="00012073"/>
    <w:rsid w:val="00013829"/>
    <w:rsid w:val="00016D7C"/>
    <w:rsid w:val="00024C1F"/>
    <w:rsid w:val="000269EF"/>
    <w:rsid w:val="00027689"/>
    <w:rsid w:val="000320DB"/>
    <w:rsid w:val="000369BE"/>
    <w:rsid w:val="0004143F"/>
    <w:rsid w:val="00044E67"/>
    <w:rsid w:val="0004614E"/>
    <w:rsid w:val="00056848"/>
    <w:rsid w:val="00091284"/>
    <w:rsid w:val="000A6C52"/>
    <w:rsid w:val="000B1544"/>
    <w:rsid w:val="000B4EBE"/>
    <w:rsid w:val="000C1945"/>
    <w:rsid w:val="000D13DE"/>
    <w:rsid w:val="000D3B8E"/>
    <w:rsid w:val="000D46A0"/>
    <w:rsid w:val="000E2349"/>
    <w:rsid w:val="000E3346"/>
    <w:rsid w:val="000E5BE6"/>
    <w:rsid w:val="000F0E11"/>
    <w:rsid w:val="00104AF5"/>
    <w:rsid w:val="0010589F"/>
    <w:rsid w:val="00110C2F"/>
    <w:rsid w:val="00126687"/>
    <w:rsid w:val="00135D79"/>
    <w:rsid w:val="00144104"/>
    <w:rsid w:val="00154D8E"/>
    <w:rsid w:val="00156DC7"/>
    <w:rsid w:val="00186A3F"/>
    <w:rsid w:val="00194EA8"/>
    <w:rsid w:val="001B10F6"/>
    <w:rsid w:val="001B1942"/>
    <w:rsid w:val="001C4859"/>
    <w:rsid w:val="001D14D0"/>
    <w:rsid w:val="001D3266"/>
    <w:rsid w:val="001E7907"/>
    <w:rsid w:val="001F3450"/>
    <w:rsid w:val="00205335"/>
    <w:rsid w:val="0021180D"/>
    <w:rsid w:val="0022408C"/>
    <w:rsid w:val="00232519"/>
    <w:rsid w:val="0024098F"/>
    <w:rsid w:val="0024327E"/>
    <w:rsid w:val="00255B1A"/>
    <w:rsid w:val="00265B38"/>
    <w:rsid w:val="00271E13"/>
    <w:rsid w:val="00281A93"/>
    <w:rsid w:val="002854B5"/>
    <w:rsid w:val="00292DA5"/>
    <w:rsid w:val="002A123D"/>
    <w:rsid w:val="002A1C7E"/>
    <w:rsid w:val="002B363A"/>
    <w:rsid w:val="002C2141"/>
    <w:rsid w:val="002C5423"/>
    <w:rsid w:val="002D0DB7"/>
    <w:rsid w:val="002D36A3"/>
    <w:rsid w:val="002D7069"/>
    <w:rsid w:val="002F331D"/>
    <w:rsid w:val="002F5A6E"/>
    <w:rsid w:val="00311B1C"/>
    <w:rsid w:val="00314AFC"/>
    <w:rsid w:val="00327861"/>
    <w:rsid w:val="00347619"/>
    <w:rsid w:val="00361A24"/>
    <w:rsid w:val="0037286B"/>
    <w:rsid w:val="00375791"/>
    <w:rsid w:val="003804A7"/>
    <w:rsid w:val="00395FE5"/>
    <w:rsid w:val="003B280C"/>
    <w:rsid w:val="003B365E"/>
    <w:rsid w:val="003D2B24"/>
    <w:rsid w:val="003E169B"/>
    <w:rsid w:val="00401260"/>
    <w:rsid w:val="00405068"/>
    <w:rsid w:val="00405C02"/>
    <w:rsid w:val="00405D77"/>
    <w:rsid w:val="00406FF4"/>
    <w:rsid w:val="00416314"/>
    <w:rsid w:val="004241C8"/>
    <w:rsid w:val="004259BF"/>
    <w:rsid w:val="004361EB"/>
    <w:rsid w:val="00454666"/>
    <w:rsid w:val="00454B59"/>
    <w:rsid w:val="00457855"/>
    <w:rsid w:val="00480A40"/>
    <w:rsid w:val="004834B7"/>
    <w:rsid w:val="00484542"/>
    <w:rsid w:val="00485287"/>
    <w:rsid w:val="00487CD0"/>
    <w:rsid w:val="004915D5"/>
    <w:rsid w:val="004D29FE"/>
    <w:rsid w:val="004E41F3"/>
    <w:rsid w:val="004F0560"/>
    <w:rsid w:val="004F1FEE"/>
    <w:rsid w:val="004F7AC7"/>
    <w:rsid w:val="004F7C37"/>
    <w:rsid w:val="005236A5"/>
    <w:rsid w:val="005259DA"/>
    <w:rsid w:val="005308A5"/>
    <w:rsid w:val="00532172"/>
    <w:rsid w:val="00582458"/>
    <w:rsid w:val="00591E5B"/>
    <w:rsid w:val="00597088"/>
    <w:rsid w:val="005D5B05"/>
    <w:rsid w:val="005D6D6D"/>
    <w:rsid w:val="005E54A7"/>
    <w:rsid w:val="005F0527"/>
    <w:rsid w:val="005F3BBF"/>
    <w:rsid w:val="005F5C80"/>
    <w:rsid w:val="0060125E"/>
    <w:rsid w:val="006029AB"/>
    <w:rsid w:val="00611F39"/>
    <w:rsid w:val="00614E7F"/>
    <w:rsid w:val="006340EA"/>
    <w:rsid w:val="006410F5"/>
    <w:rsid w:val="00646C9E"/>
    <w:rsid w:val="00652405"/>
    <w:rsid w:val="0065511A"/>
    <w:rsid w:val="006570DE"/>
    <w:rsid w:val="00661AC6"/>
    <w:rsid w:val="006705FF"/>
    <w:rsid w:val="006A2A68"/>
    <w:rsid w:val="006B43F2"/>
    <w:rsid w:val="006B58BF"/>
    <w:rsid w:val="006D70E0"/>
    <w:rsid w:val="006F0D3D"/>
    <w:rsid w:val="00730F81"/>
    <w:rsid w:val="0074548D"/>
    <w:rsid w:val="00746182"/>
    <w:rsid w:val="00751499"/>
    <w:rsid w:val="00766299"/>
    <w:rsid w:val="007664C1"/>
    <w:rsid w:val="00770918"/>
    <w:rsid w:val="0079082D"/>
    <w:rsid w:val="00793919"/>
    <w:rsid w:val="007A3854"/>
    <w:rsid w:val="007B57D9"/>
    <w:rsid w:val="007B73B9"/>
    <w:rsid w:val="007C0537"/>
    <w:rsid w:val="007C303E"/>
    <w:rsid w:val="007C5966"/>
    <w:rsid w:val="007D2FE8"/>
    <w:rsid w:val="007E63C0"/>
    <w:rsid w:val="00800317"/>
    <w:rsid w:val="00801F7E"/>
    <w:rsid w:val="00821D20"/>
    <w:rsid w:val="00835ACE"/>
    <w:rsid w:val="0085188C"/>
    <w:rsid w:val="0085437C"/>
    <w:rsid w:val="008547E3"/>
    <w:rsid w:val="00857311"/>
    <w:rsid w:val="00862212"/>
    <w:rsid w:val="00865EDD"/>
    <w:rsid w:val="0087469B"/>
    <w:rsid w:val="008768EA"/>
    <w:rsid w:val="00876F62"/>
    <w:rsid w:val="00877049"/>
    <w:rsid w:val="00882ABA"/>
    <w:rsid w:val="0089117B"/>
    <w:rsid w:val="00893645"/>
    <w:rsid w:val="008A23A4"/>
    <w:rsid w:val="008D41A1"/>
    <w:rsid w:val="008D7F3D"/>
    <w:rsid w:val="008E723D"/>
    <w:rsid w:val="008F7982"/>
    <w:rsid w:val="009001AE"/>
    <w:rsid w:val="00902BC7"/>
    <w:rsid w:val="00907A1B"/>
    <w:rsid w:val="00910D9E"/>
    <w:rsid w:val="00930D1D"/>
    <w:rsid w:val="00932B72"/>
    <w:rsid w:val="0094307D"/>
    <w:rsid w:val="009511C2"/>
    <w:rsid w:val="00954A9E"/>
    <w:rsid w:val="00964222"/>
    <w:rsid w:val="009676AE"/>
    <w:rsid w:val="00971500"/>
    <w:rsid w:val="00975667"/>
    <w:rsid w:val="00985A25"/>
    <w:rsid w:val="009930C1"/>
    <w:rsid w:val="009A0DF7"/>
    <w:rsid w:val="009B090E"/>
    <w:rsid w:val="009D55A6"/>
    <w:rsid w:val="009E0DB7"/>
    <w:rsid w:val="009E0E46"/>
    <w:rsid w:val="009E3E53"/>
    <w:rsid w:val="009F305C"/>
    <w:rsid w:val="009F6A64"/>
    <w:rsid w:val="00A04A65"/>
    <w:rsid w:val="00A11BA1"/>
    <w:rsid w:val="00A23141"/>
    <w:rsid w:val="00A35C69"/>
    <w:rsid w:val="00A44D9C"/>
    <w:rsid w:val="00A718DF"/>
    <w:rsid w:val="00AB200E"/>
    <w:rsid w:val="00AD7D35"/>
    <w:rsid w:val="00B0136A"/>
    <w:rsid w:val="00B04FCD"/>
    <w:rsid w:val="00B1426B"/>
    <w:rsid w:val="00B33971"/>
    <w:rsid w:val="00B35CCF"/>
    <w:rsid w:val="00B45B86"/>
    <w:rsid w:val="00B534EE"/>
    <w:rsid w:val="00B60524"/>
    <w:rsid w:val="00B833DA"/>
    <w:rsid w:val="00BB515D"/>
    <w:rsid w:val="00BD1AF2"/>
    <w:rsid w:val="00BD512A"/>
    <w:rsid w:val="00BD6DD0"/>
    <w:rsid w:val="00BE48CC"/>
    <w:rsid w:val="00BE5E12"/>
    <w:rsid w:val="00BF27BA"/>
    <w:rsid w:val="00C02865"/>
    <w:rsid w:val="00C05BC4"/>
    <w:rsid w:val="00C17410"/>
    <w:rsid w:val="00C3111C"/>
    <w:rsid w:val="00C37BA6"/>
    <w:rsid w:val="00C441D6"/>
    <w:rsid w:val="00C553FA"/>
    <w:rsid w:val="00C61D26"/>
    <w:rsid w:val="00C62DCC"/>
    <w:rsid w:val="00C700E7"/>
    <w:rsid w:val="00C73E16"/>
    <w:rsid w:val="00C8030B"/>
    <w:rsid w:val="00C82031"/>
    <w:rsid w:val="00CB000C"/>
    <w:rsid w:val="00CB756C"/>
    <w:rsid w:val="00CC68C9"/>
    <w:rsid w:val="00CF388F"/>
    <w:rsid w:val="00D00045"/>
    <w:rsid w:val="00D02FFC"/>
    <w:rsid w:val="00D036A5"/>
    <w:rsid w:val="00D06D0C"/>
    <w:rsid w:val="00D06E67"/>
    <w:rsid w:val="00D10D83"/>
    <w:rsid w:val="00D220C0"/>
    <w:rsid w:val="00D451CE"/>
    <w:rsid w:val="00D94AA2"/>
    <w:rsid w:val="00DD6747"/>
    <w:rsid w:val="00DD7C93"/>
    <w:rsid w:val="00DE2FCE"/>
    <w:rsid w:val="00DF5707"/>
    <w:rsid w:val="00DF5938"/>
    <w:rsid w:val="00E068D9"/>
    <w:rsid w:val="00E108DA"/>
    <w:rsid w:val="00E13F5D"/>
    <w:rsid w:val="00E27EDC"/>
    <w:rsid w:val="00E3405E"/>
    <w:rsid w:val="00E37CE6"/>
    <w:rsid w:val="00E677AE"/>
    <w:rsid w:val="00E71E87"/>
    <w:rsid w:val="00E7297F"/>
    <w:rsid w:val="00E77594"/>
    <w:rsid w:val="00E9671D"/>
    <w:rsid w:val="00EA0F3C"/>
    <w:rsid w:val="00EE33AB"/>
    <w:rsid w:val="00EF0022"/>
    <w:rsid w:val="00EF3A05"/>
    <w:rsid w:val="00F24635"/>
    <w:rsid w:val="00F4250D"/>
    <w:rsid w:val="00F7505D"/>
    <w:rsid w:val="00F818DA"/>
    <w:rsid w:val="00F82783"/>
    <w:rsid w:val="00F85963"/>
    <w:rsid w:val="00F94629"/>
    <w:rsid w:val="00F94DAA"/>
    <w:rsid w:val="00FA6C83"/>
    <w:rsid w:val="00FB2058"/>
    <w:rsid w:val="00FC3E80"/>
    <w:rsid w:val="00FE5D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8DB25C5"/>
  <w15:docId w15:val="{407FD7C7-CC83-4930-8924-7641639B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705F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705FF"/>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705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5FF"/>
  </w:style>
  <w:style w:type="paragraph" w:styleId="Kjene">
    <w:name w:val="footer"/>
    <w:basedOn w:val="Parasts"/>
    <w:link w:val="KjeneRakstz"/>
    <w:uiPriority w:val="99"/>
    <w:unhideWhenUsed/>
    <w:rsid w:val="006705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05FF"/>
  </w:style>
  <w:style w:type="character" w:styleId="Hipersaite">
    <w:name w:val="Hyperlink"/>
    <w:basedOn w:val="Noklusjumarindkopasfonts"/>
    <w:uiPriority w:val="99"/>
    <w:unhideWhenUsed/>
    <w:rsid w:val="006705FF"/>
    <w:rPr>
      <w:color w:val="0000FF" w:themeColor="hyperlink"/>
      <w:u w:val="single"/>
    </w:rPr>
  </w:style>
  <w:style w:type="paragraph" w:customStyle="1" w:styleId="naiskr">
    <w:name w:val="naiskr"/>
    <w:basedOn w:val="Parasts"/>
    <w:rsid w:val="006705FF"/>
    <w:pPr>
      <w:spacing w:before="75" w:after="75"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F7C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C37"/>
    <w:rPr>
      <w:rFonts w:ascii="Tahoma" w:hAnsi="Tahoma" w:cs="Tahoma"/>
      <w:sz w:val="16"/>
      <w:szCs w:val="16"/>
    </w:rPr>
  </w:style>
  <w:style w:type="character" w:styleId="Komentraatsauce">
    <w:name w:val="annotation reference"/>
    <w:basedOn w:val="Noklusjumarindkopasfonts"/>
    <w:uiPriority w:val="99"/>
    <w:semiHidden/>
    <w:unhideWhenUsed/>
    <w:rsid w:val="00F94DAA"/>
    <w:rPr>
      <w:sz w:val="16"/>
      <w:szCs w:val="16"/>
    </w:rPr>
  </w:style>
  <w:style w:type="paragraph" w:styleId="Komentrateksts">
    <w:name w:val="annotation text"/>
    <w:basedOn w:val="Parasts"/>
    <w:link w:val="KomentratekstsRakstz"/>
    <w:uiPriority w:val="99"/>
    <w:semiHidden/>
    <w:unhideWhenUsed/>
    <w:rsid w:val="00F94D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4DAA"/>
    <w:rPr>
      <w:sz w:val="20"/>
      <w:szCs w:val="20"/>
    </w:rPr>
  </w:style>
  <w:style w:type="paragraph" w:styleId="Komentratma">
    <w:name w:val="annotation subject"/>
    <w:basedOn w:val="Komentrateksts"/>
    <w:next w:val="Komentrateksts"/>
    <w:link w:val="KomentratmaRakstz"/>
    <w:uiPriority w:val="99"/>
    <w:semiHidden/>
    <w:unhideWhenUsed/>
    <w:rsid w:val="00F94DAA"/>
    <w:rPr>
      <w:b/>
      <w:bCs/>
    </w:rPr>
  </w:style>
  <w:style w:type="character" w:customStyle="1" w:styleId="KomentratmaRakstz">
    <w:name w:val="Komentāra tēma Rakstz."/>
    <w:basedOn w:val="KomentratekstsRakstz"/>
    <w:link w:val="Komentratma"/>
    <w:uiPriority w:val="99"/>
    <w:semiHidden/>
    <w:rsid w:val="00F94DAA"/>
    <w:rPr>
      <w:b/>
      <w:bCs/>
      <w:sz w:val="20"/>
      <w:szCs w:val="20"/>
    </w:rPr>
  </w:style>
  <w:style w:type="paragraph" w:customStyle="1" w:styleId="tv2132">
    <w:name w:val="tv2132"/>
    <w:basedOn w:val="Parasts"/>
    <w:rsid w:val="00457855"/>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59"/>
    <w:rsid w:val="0004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821D20"/>
    <w:rPr>
      <w:color w:val="808080"/>
      <w:shd w:val="clear" w:color="auto" w:fill="E6E6E6"/>
    </w:rPr>
  </w:style>
  <w:style w:type="paragraph" w:styleId="Prskatjums">
    <w:name w:val="Revision"/>
    <w:hidden/>
    <w:uiPriority w:val="99"/>
    <w:semiHidden/>
    <w:rsid w:val="00D45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0525">
      <w:bodyDiv w:val="1"/>
      <w:marLeft w:val="0"/>
      <w:marRight w:val="0"/>
      <w:marTop w:val="0"/>
      <w:marBottom w:val="0"/>
      <w:divBdr>
        <w:top w:val="none" w:sz="0" w:space="0" w:color="auto"/>
        <w:left w:val="none" w:sz="0" w:space="0" w:color="auto"/>
        <w:bottom w:val="none" w:sz="0" w:space="0" w:color="auto"/>
        <w:right w:val="none" w:sz="0" w:space="0" w:color="auto"/>
      </w:divBdr>
      <w:divsChild>
        <w:div w:id="2049643328">
          <w:marLeft w:val="0"/>
          <w:marRight w:val="0"/>
          <w:marTop w:val="0"/>
          <w:marBottom w:val="0"/>
          <w:divBdr>
            <w:top w:val="none" w:sz="0" w:space="0" w:color="auto"/>
            <w:left w:val="none" w:sz="0" w:space="0" w:color="auto"/>
            <w:bottom w:val="none" w:sz="0" w:space="0" w:color="auto"/>
            <w:right w:val="none" w:sz="0" w:space="0" w:color="auto"/>
          </w:divBdr>
          <w:divsChild>
            <w:div w:id="307168967">
              <w:marLeft w:val="0"/>
              <w:marRight w:val="0"/>
              <w:marTop w:val="0"/>
              <w:marBottom w:val="0"/>
              <w:divBdr>
                <w:top w:val="none" w:sz="0" w:space="0" w:color="auto"/>
                <w:left w:val="none" w:sz="0" w:space="0" w:color="auto"/>
                <w:bottom w:val="none" w:sz="0" w:space="0" w:color="auto"/>
                <w:right w:val="none" w:sz="0" w:space="0" w:color="auto"/>
              </w:divBdr>
              <w:divsChild>
                <w:div w:id="1621571675">
                  <w:marLeft w:val="0"/>
                  <w:marRight w:val="0"/>
                  <w:marTop w:val="0"/>
                  <w:marBottom w:val="0"/>
                  <w:divBdr>
                    <w:top w:val="none" w:sz="0" w:space="0" w:color="auto"/>
                    <w:left w:val="none" w:sz="0" w:space="0" w:color="auto"/>
                    <w:bottom w:val="none" w:sz="0" w:space="0" w:color="auto"/>
                    <w:right w:val="none" w:sz="0" w:space="0" w:color="auto"/>
                  </w:divBdr>
                  <w:divsChild>
                    <w:div w:id="656345098">
                      <w:marLeft w:val="0"/>
                      <w:marRight w:val="0"/>
                      <w:marTop w:val="0"/>
                      <w:marBottom w:val="0"/>
                      <w:divBdr>
                        <w:top w:val="none" w:sz="0" w:space="0" w:color="auto"/>
                        <w:left w:val="none" w:sz="0" w:space="0" w:color="auto"/>
                        <w:bottom w:val="none" w:sz="0" w:space="0" w:color="auto"/>
                        <w:right w:val="none" w:sz="0" w:space="0" w:color="auto"/>
                      </w:divBdr>
                      <w:divsChild>
                        <w:div w:id="920868189">
                          <w:marLeft w:val="0"/>
                          <w:marRight w:val="0"/>
                          <w:marTop w:val="0"/>
                          <w:marBottom w:val="0"/>
                          <w:divBdr>
                            <w:top w:val="none" w:sz="0" w:space="0" w:color="auto"/>
                            <w:left w:val="none" w:sz="0" w:space="0" w:color="auto"/>
                            <w:bottom w:val="none" w:sz="0" w:space="0" w:color="auto"/>
                            <w:right w:val="none" w:sz="0" w:space="0" w:color="auto"/>
                          </w:divBdr>
                          <w:divsChild>
                            <w:div w:id="1757631525">
                              <w:marLeft w:val="0"/>
                              <w:marRight w:val="0"/>
                              <w:marTop w:val="0"/>
                              <w:marBottom w:val="0"/>
                              <w:divBdr>
                                <w:top w:val="none" w:sz="0" w:space="0" w:color="auto"/>
                                <w:left w:val="none" w:sz="0" w:space="0" w:color="auto"/>
                                <w:bottom w:val="none" w:sz="0" w:space="0" w:color="auto"/>
                                <w:right w:val="none" w:sz="0" w:space="0" w:color="auto"/>
                              </w:divBdr>
                              <w:divsChild>
                                <w:div w:id="76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4081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925">
          <w:marLeft w:val="0"/>
          <w:marRight w:val="0"/>
          <w:marTop w:val="0"/>
          <w:marBottom w:val="0"/>
          <w:divBdr>
            <w:top w:val="none" w:sz="0" w:space="0" w:color="auto"/>
            <w:left w:val="none" w:sz="0" w:space="0" w:color="auto"/>
            <w:bottom w:val="none" w:sz="0" w:space="0" w:color="auto"/>
            <w:right w:val="none" w:sz="0" w:space="0" w:color="auto"/>
          </w:divBdr>
          <w:divsChild>
            <w:div w:id="134034292">
              <w:marLeft w:val="0"/>
              <w:marRight w:val="0"/>
              <w:marTop w:val="0"/>
              <w:marBottom w:val="0"/>
              <w:divBdr>
                <w:top w:val="none" w:sz="0" w:space="0" w:color="auto"/>
                <w:left w:val="none" w:sz="0" w:space="0" w:color="auto"/>
                <w:bottom w:val="none" w:sz="0" w:space="0" w:color="auto"/>
                <w:right w:val="none" w:sz="0" w:space="0" w:color="auto"/>
              </w:divBdr>
              <w:divsChild>
                <w:div w:id="429660739">
                  <w:marLeft w:val="0"/>
                  <w:marRight w:val="0"/>
                  <w:marTop w:val="0"/>
                  <w:marBottom w:val="0"/>
                  <w:divBdr>
                    <w:top w:val="none" w:sz="0" w:space="0" w:color="auto"/>
                    <w:left w:val="none" w:sz="0" w:space="0" w:color="auto"/>
                    <w:bottom w:val="none" w:sz="0" w:space="0" w:color="auto"/>
                    <w:right w:val="none" w:sz="0" w:space="0" w:color="auto"/>
                  </w:divBdr>
                  <w:divsChild>
                    <w:div w:id="73094758">
                      <w:marLeft w:val="0"/>
                      <w:marRight w:val="0"/>
                      <w:marTop w:val="0"/>
                      <w:marBottom w:val="0"/>
                      <w:divBdr>
                        <w:top w:val="none" w:sz="0" w:space="0" w:color="auto"/>
                        <w:left w:val="none" w:sz="0" w:space="0" w:color="auto"/>
                        <w:bottom w:val="none" w:sz="0" w:space="0" w:color="auto"/>
                        <w:right w:val="none" w:sz="0" w:space="0" w:color="auto"/>
                      </w:divBdr>
                      <w:divsChild>
                        <w:div w:id="1884561055">
                          <w:marLeft w:val="0"/>
                          <w:marRight w:val="0"/>
                          <w:marTop w:val="0"/>
                          <w:marBottom w:val="0"/>
                          <w:divBdr>
                            <w:top w:val="none" w:sz="0" w:space="0" w:color="auto"/>
                            <w:left w:val="none" w:sz="0" w:space="0" w:color="auto"/>
                            <w:bottom w:val="none" w:sz="0" w:space="0" w:color="auto"/>
                            <w:right w:val="none" w:sz="0" w:space="0" w:color="auto"/>
                          </w:divBdr>
                          <w:divsChild>
                            <w:div w:id="13404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562385">
      <w:bodyDiv w:val="1"/>
      <w:marLeft w:val="0"/>
      <w:marRight w:val="0"/>
      <w:marTop w:val="0"/>
      <w:marBottom w:val="0"/>
      <w:divBdr>
        <w:top w:val="none" w:sz="0" w:space="0" w:color="auto"/>
        <w:left w:val="none" w:sz="0" w:space="0" w:color="auto"/>
        <w:bottom w:val="none" w:sz="0" w:space="0" w:color="auto"/>
        <w:right w:val="none" w:sz="0" w:space="0" w:color="auto"/>
      </w:divBdr>
      <w:divsChild>
        <w:div w:id="775104392">
          <w:marLeft w:val="0"/>
          <w:marRight w:val="0"/>
          <w:marTop w:val="0"/>
          <w:marBottom w:val="0"/>
          <w:divBdr>
            <w:top w:val="none" w:sz="0" w:space="0" w:color="auto"/>
            <w:left w:val="none" w:sz="0" w:space="0" w:color="auto"/>
            <w:bottom w:val="none" w:sz="0" w:space="0" w:color="auto"/>
            <w:right w:val="none" w:sz="0" w:space="0" w:color="auto"/>
          </w:divBdr>
          <w:divsChild>
            <w:div w:id="35980142">
              <w:marLeft w:val="0"/>
              <w:marRight w:val="0"/>
              <w:marTop w:val="0"/>
              <w:marBottom w:val="0"/>
              <w:divBdr>
                <w:top w:val="none" w:sz="0" w:space="0" w:color="auto"/>
                <w:left w:val="none" w:sz="0" w:space="0" w:color="auto"/>
                <w:bottom w:val="none" w:sz="0" w:space="0" w:color="auto"/>
                <w:right w:val="none" w:sz="0" w:space="0" w:color="auto"/>
              </w:divBdr>
              <w:divsChild>
                <w:div w:id="1260455923">
                  <w:marLeft w:val="0"/>
                  <w:marRight w:val="0"/>
                  <w:marTop w:val="0"/>
                  <w:marBottom w:val="0"/>
                  <w:divBdr>
                    <w:top w:val="none" w:sz="0" w:space="0" w:color="auto"/>
                    <w:left w:val="none" w:sz="0" w:space="0" w:color="auto"/>
                    <w:bottom w:val="none" w:sz="0" w:space="0" w:color="auto"/>
                    <w:right w:val="none" w:sz="0" w:space="0" w:color="auto"/>
                  </w:divBdr>
                  <w:divsChild>
                    <w:div w:id="14922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3193">
      <w:bodyDiv w:val="1"/>
      <w:marLeft w:val="0"/>
      <w:marRight w:val="0"/>
      <w:marTop w:val="0"/>
      <w:marBottom w:val="0"/>
      <w:divBdr>
        <w:top w:val="none" w:sz="0" w:space="0" w:color="auto"/>
        <w:left w:val="none" w:sz="0" w:space="0" w:color="auto"/>
        <w:bottom w:val="none" w:sz="0" w:space="0" w:color="auto"/>
        <w:right w:val="none" w:sz="0" w:space="0" w:color="auto"/>
      </w:divBdr>
      <w:divsChild>
        <w:div w:id="349263472">
          <w:marLeft w:val="0"/>
          <w:marRight w:val="0"/>
          <w:marTop w:val="0"/>
          <w:marBottom w:val="0"/>
          <w:divBdr>
            <w:top w:val="none" w:sz="0" w:space="0" w:color="auto"/>
            <w:left w:val="none" w:sz="0" w:space="0" w:color="auto"/>
            <w:bottom w:val="none" w:sz="0" w:space="0" w:color="auto"/>
            <w:right w:val="none" w:sz="0" w:space="0" w:color="auto"/>
          </w:divBdr>
          <w:divsChild>
            <w:div w:id="1858888474">
              <w:marLeft w:val="0"/>
              <w:marRight w:val="0"/>
              <w:marTop w:val="0"/>
              <w:marBottom w:val="0"/>
              <w:divBdr>
                <w:top w:val="none" w:sz="0" w:space="0" w:color="auto"/>
                <w:left w:val="none" w:sz="0" w:space="0" w:color="auto"/>
                <w:bottom w:val="none" w:sz="0" w:space="0" w:color="auto"/>
                <w:right w:val="none" w:sz="0" w:space="0" w:color="auto"/>
              </w:divBdr>
              <w:divsChild>
                <w:div w:id="505902978">
                  <w:marLeft w:val="0"/>
                  <w:marRight w:val="0"/>
                  <w:marTop w:val="0"/>
                  <w:marBottom w:val="0"/>
                  <w:divBdr>
                    <w:top w:val="none" w:sz="0" w:space="0" w:color="auto"/>
                    <w:left w:val="none" w:sz="0" w:space="0" w:color="auto"/>
                    <w:bottom w:val="none" w:sz="0" w:space="0" w:color="auto"/>
                    <w:right w:val="none" w:sz="0" w:space="0" w:color="auto"/>
                  </w:divBdr>
                  <w:divsChild>
                    <w:div w:id="403533712">
                      <w:marLeft w:val="0"/>
                      <w:marRight w:val="0"/>
                      <w:marTop w:val="0"/>
                      <w:marBottom w:val="0"/>
                      <w:divBdr>
                        <w:top w:val="none" w:sz="0" w:space="0" w:color="auto"/>
                        <w:left w:val="none" w:sz="0" w:space="0" w:color="auto"/>
                        <w:bottom w:val="none" w:sz="0" w:space="0" w:color="auto"/>
                        <w:right w:val="none" w:sz="0" w:space="0" w:color="auto"/>
                      </w:divBdr>
                      <w:divsChild>
                        <w:div w:id="265431342">
                          <w:marLeft w:val="0"/>
                          <w:marRight w:val="0"/>
                          <w:marTop w:val="0"/>
                          <w:marBottom w:val="0"/>
                          <w:divBdr>
                            <w:top w:val="none" w:sz="0" w:space="0" w:color="auto"/>
                            <w:left w:val="none" w:sz="0" w:space="0" w:color="auto"/>
                            <w:bottom w:val="none" w:sz="0" w:space="0" w:color="auto"/>
                            <w:right w:val="none" w:sz="0" w:space="0" w:color="auto"/>
                          </w:divBdr>
                          <w:divsChild>
                            <w:div w:id="994798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84849">
      <w:bodyDiv w:val="1"/>
      <w:marLeft w:val="0"/>
      <w:marRight w:val="0"/>
      <w:marTop w:val="0"/>
      <w:marBottom w:val="0"/>
      <w:divBdr>
        <w:top w:val="none" w:sz="0" w:space="0" w:color="auto"/>
        <w:left w:val="none" w:sz="0" w:space="0" w:color="auto"/>
        <w:bottom w:val="none" w:sz="0" w:space="0" w:color="auto"/>
        <w:right w:val="none" w:sz="0" w:space="0" w:color="auto"/>
      </w:divBdr>
      <w:divsChild>
        <w:div w:id="1516535268">
          <w:marLeft w:val="0"/>
          <w:marRight w:val="0"/>
          <w:marTop w:val="0"/>
          <w:marBottom w:val="0"/>
          <w:divBdr>
            <w:top w:val="none" w:sz="0" w:space="0" w:color="auto"/>
            <w:left w:val="none" w:sz="0" w:space="0" w:color="auto"/>
            <w:bottom w:val="none" w:sz="0" w:space="0" w:color="auto"/>
            <w:right w:val="none" w:sz="0" w:space="0" w:color="auto"/>
          </w:divBdr>
          <w:divsChild>
            <w:div w:id="89400321">
              <w:marLeft w:val="0"/>
              <w:marRight w:val="0"/>
              <w:marTop w:val="0"/>
              <w:marBottom w:val="0"/>
              <w:divBdr>
                <w:top w:val="none" w:sz="0" w:space="0" w:color="auto"/>
                <w:left w:val="none" w:sz="0" w:space="0" w:color="auto"/>
                <w:bottom w:val="none" w:sz="0" w:space="0" w:color="auto"/>
                <w:right w:val="none" w:sz="0" w:space="0" w:color="auto"/>
              </w:divBdr>
              <w:divsChild>
                <w:div w:id="1972401520">
                  <w:marLeft w:val="0"/>
                  <w:marRight w:val="0"/>
                  <w:marTop w:val="0"/>
                  <w:marBottom w:val="0"/>
                  <w:divBdr>
                    <w:top w:val="none" w:sz="0" w:space="0" w:color="auto"/>
                    <w:left w:val="none" w:sz="0" w:space="0" w:color="auto"/>
                    <w:bottom w:val="none" w:sz="0" w:space="0" w:color="auto"/>
                    <w:right w:val="none" w:sz="0" w:space="0" w:color="auto"/>
                  </w:divBdr>
                  <w:divsChild>
                    <w:div w:id="1488135420">
                      <w:marLeft w:val="0"/>
                      <w:marRight w:val="0"/>
                      <w:marTop w:val="0"/>
                      <w:marBottom w:val="0"/>
                      <w:divBdr>
                        <w:top w:val="none" w:sz="0" w:space="0" w:color="auto"/>
                        <w:left w:val="none" w:sz="0" w:space="0" w:color="auto"/>
                        <w:bottom w:val="none" w:sz="0" w:space="0" w:color="auto"/>
                        <w:right w:val="none" w:sz="0" w:space="0" w:color="auto"/>
                      </w:divBdr>
                      <w:divsChild>
                        <w:div w:id="186451594">
                          <w:marLeft w:val="0"/>
                          <w:marRight w:val="0"/>
                          <w:marTop w:val="0"/>
                          <w:marBottom w:val="0"/>
                          <w:divBdr>
                            <w:top w:val="none" w:sz="0" w:space="0" w:color="auto"/>
                            <w:left w:val="none" w:sz="0" w:space="0" w:color="auto"/>
                            <w:bottom w:val="none" w:sz="0" w:space="0" w:color="auto"/>
                            <w:right w:val="none" w:sz="0" w:space="0" w:color="auto"/>
                          </w:divBdr>
                          <w:divsChild>
                            <w:div w:id="572932031">
                              <w:marLeft w:val="0"/>
                              <w:marRight w:val="0"/>
                              <w:marTop w:val="0"/>
                              <w:marBottom w:val="0"/>
                              <w:divBdr>
                                <w:top w:val="none" w:sz="0" w:space="0" w:color="auto"/>
                                <w:left w:val="none" w:sz="0" w:space="0" w:color="auto"/>
                                <w:bottom w:val="none" w:sz="0" w:space="0" w:color="auto"/>
                                <w:right w:val="none" w:sz="0" w:space="0" w:color="auto"/>
                              </w:divBdr>
                              <w:divsChild>
                                <w:div w:id="1421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28803">
      <w:bodyDiv w:val="1"/>
      <w:marLeft w:val="0"/>
      <w:marRight w:val="0"/>
      <w:marTop w:val="0"/>
      <w:marBottom w:val="0"/>
      <w:divBdr>
        <w:top w:val="none" w:sz="0" w:space="0" w:color="auto"/>
        <w:left w:val="none" w:sz="0" w:space="0" w:color="auto"/>
        <w:bottom w:val="none" w:sz="0" w:space="0" w:color="auto"/>
        <w:right w:val="none" w:sz="0" w:space="0" w:color="auto"/>
      </w:divBdr>
      <w:divsChild>
        <w:div w:id="2088069109">
          <w:marLeft w:val="0"/>
          <w:marRight w:val="0"/>
          <w:marTop w:val="0"/>
          <w:marBottom w:val="0"/>
          <w:divBdr>
            <w:top w:val="none" w:sz="0" w:space="0" w:color="auto"/>
            <w:left w:val="none" w:sz="0" w:space="0" w:color="auto"/>
            <w:bottom w:val="none" w:sz="0" w:space="0" w:color="auto"/>
            <w:right w:val="none" w:sz="0" w:space="0" w:color="auto"/>
          </w:divBdr>
          <w:divsChild>
            <w:div w:id="1181965695">
              <w:marLeft w:val="0"/>
              <w:marRight w:val="0"/>
              <w:marTop w:val="0"/>
              <w:marBottom w:val="0"/>
              <w:divBdr>
                <w:top w:val="none" w:sz="0" w:space="0" w:color="auto"/>
                <w:left w:val="none" w:sz="0" w:space="0" w:color="auto"/>
                <w:bottom w:val="none" w:sz="0" w:space="0" w:color="auto"/>
                <w:right w:val="none" w:sz="0" w:space="0" w:color="auto"/>
              </w:divBdr>
              <w:divsChild>
                <w:div w:id="989407517">
                  <w:marLeft w:val="0"/>
                  <w:marRight w:val="0"/>
                  <w:marTop w:val="0"/>
                  <w:marBottom w:val="0"/>
                  <w:divBdr>
                    <w:top w:val="none" w:sz="0" w:space="0" w:color="auto"/>
                    <w:left w:val="none" w:sz="0" w:space="0" w:color="auto"/>
                    <w:bottom w:val="none" w:sz="0" w:space="0" w:color="auto"/>
                    <w:right w:val="none" w:sz="0" w:space="0" w:color="auto"/>
                  </w:divBdr>
                  <w:divsChild>
                    <w:div w:id="1016036018">
                      <w:marLeft w:val="0"/>
                      <w:marRight w:val="0"/>
                      <w:marTop w:val="0"/>
                      <w:marBottom w:val="0"/>
                      <w:divBdr>
                        <w:top w:val="none" w:sz="0" w:space="0" w:color="auto"/>
                        <w:left w:val="none" w:sz="0" w:space="0" w:color="auto"/>
                        <w:bottom w:val="none" w:sz="0" w:space="0" w:color="auto"/>
                        <w:right w:val="none" w:sz="0" w:space="0" w:color="auto"/>
                      </w:divBdr>
                      <w:divsChild>
                        <w:div w:id="2121297919">
                          <w:marLeft w:val="0"/>
                          <w:marRight w:val="0"/>
                          <w:marTop w:val="0"/>
                          <w:marBottom w:val="0"/>
                          <w:divBdr>
                            <w:top w:val="none" w:sz="0" w:space="0" w:color="auto"/>
                            <w:left w:val="none" w:sz="0" w:space="0" w:color="auto"/>
                            <w:bottom w:val="none" w:sz="0" w:space="0" w:color="auto"/>
                            <w:right w:val="none" w:sz="0" w:space="0" w:color="auto"/>
                          </w:divBdr>
                          <w:divsChild>
                            <w:div w:id="1750039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79851">
      <w:bodyDiv w:val="1"/>
      <w:marLeft w:val="0"/>
      <w:marRight w:val="0"/>
      <w:marTop w:val="0"/>
      <w:marBottom w:val="0"/>
      <w:divBdr>
        <w:top w:val="none" w:sz="0" w:space="0" w:color="auto"/>
        <w:left w:val="none" w:sz="0" w:space="0" w:color="auto"/>
        <w:bottom w:val="none" w:sz="0" w:space="0" w:color="auto"/>
        <w:right w:val="none" w:sz="0" w:space="0" w:color="auto"/>
      </w:divBdr>
      <w:divsChild>
        <w:div w:id="1946305984">
          <w:marLeft w:val="0"/>
          <w:marRight w:val="0"/>
          <w:marTop w:val="0"/>
          <w:marBottom w:val="0"/>
          <w:divBdr>
            <w:top w:val="none" w:sz="0" w:space="0" w:color="auto"/>
            <w:left w:val="none" w:sz="0" w:space="0" w:color="auto"/>
            <w:bottom w:val="none" w:sz="0" w:space="0" w:color="auto"/>
            <w:right w:val="none" w:sz="0" w:space="0" w:color="auto"/>
          </w:divBdr>
          <w:divsChild>
            <w:div w:id="485513899">
              <w:marLeft w:val="0"/>
              <w:marRight w:val="0"/>
              <w:marTop w:val="0"/>
              <w:marBottom w:val="0"/>
              <w:divBdr>
                <w:top w:val="none" w:sz="0" w:space="0" w:color="auto"/>
                <w:left w:val="none" w:sz="0" w:space="0" w:color="auto"/>
                <w:bottom w:val="none" w:sz="0" w:space="0" w:color="auto"/>
                <w:right w:val="none" w:sz="0" w:space="0" w:color="auto"/>
              </w:divBdr>
              <w:divsChild>
                <w:div w:id="939602908">
                  <w:marLeft w:val="0"/>
                  <w:marRight w:val="0"/>
                  <w:marTop w:val="0"/>
                  <w:marBottom w:val="0"/>
                  <w:divBdr>
                    <w:top w:val="none" w:sz="0" w:space="0" w:color="auto"/>
                    <w:left w:val="none" w:sz="0" w:space="0" w:color="auto"/>
                    <w:bottom w:val="none" w:sz="0" w:space="0" w:color="auto"/>
                    <w:right w:val="none" w:sz="0" w:space="0" w:color="auto"/>
                  </w:divBdr>
                  <w:divsChild>
                    <w:div w:id="2031250731">
                      <w:marLeft w:val="0"/>
                      <w:marRight w:val="0"/>
                      <w:marTop w:val="0"/>
                      <w:marBottom w:val="0"/>
                      <w:divBdr>
                        <w:top w:val="none" w:sz="0" w:space="0" w:color="auto"/>
                        <w:left w:val="none" w:sz="0" w:space="0" w:color="auto"/>
                        <w:bottom w:val="none" w:sz="0" w:space="0" w:color="auto"/>
                        <w:right w:val="none" w:sz="0" w:space="0" w:color="auto"/>
                      </w:divBdr>
                      <w:divsChild>
                        <w:div w:id="1569071599">
                          <w:marLeft w:val="0"/>
                          <w:marRight w:val="0"/>
                          <w:marTop w:val="0"/>
                          <w:marBottom w:val="0"/>
                          <w:divBdr>
                            <w:top w:val="none" w:sz="0" w:space="0" w:color="auto"/>
                            <w:left w:val="none" w:sz="0" w:space="0" w:color="auto"/>
                            <w:bottom w:val="none" w:sz="0" w:space="0" w:color="auto"/>
                            <w:right w:val="none" w:sz="0" w:space="0" w:color="auto"/>
                          </w:divBdr>
                          <w:divsChild>
                            <w:div w:id="422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ldis.Zemzars@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66EA-377C-4AC0-98E1-060A6823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4531</Words>
  <Characters>2583</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2004. gada 20. janvāra noteikumos Nr. 42 "Noziedzības novēršanas padomes nolikums"" sākotnējās ietekmes novērtējuma ziņojums (anotācija)</vt:lpstr>
    </vt:vector>
  </TitlesOfParts>
  <Company>Tieslietu ministrija</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20. janvāra noteikumos Nr. 42 "Noziedzības novēršanas padomes nolikums"" sākotnējās ietekmes novērtējuma ziņojums (anotācija)</dc:title>
  <dc:subject>Anotācija</dc:subject>
  <dc:creator>Uldis Zemzars</dc:creator>
  <dc:description>67036943, Uldis.Zemzars@tm.gov.lv_x000d_
</dc:description>
  <cp:lastModifiedBy>Lelde Stepanova</cp:lastModifiedBy>
  <cp:revision>9</cp:revision>
  <cp:lastPrinted>2018-12-11T10:48:00Z</cp:lastPrinted>
  <dcterms:created xsi:type="dcterms:W3CDTF">2019-02-05T08:12:00Z</dcterms:created>
  <dcterms:modified xsi:type="dcterms:W3CDTF">2019-02-07T13:54:00Z</dcterms:modified>
</cp:coreProperties>
</file>