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B424A" w:rsidR="00546C28" w:rsidP="004B424A" w:rsidRDefault="00546C28" w14:paraId="4711D41A" w14:textId="77777777">
      <w:pPr>
        <w:spacing w:after="0" w:line="240" w:lineRule="auto"/>
        <w:jc w:val="center"/>
        <w:rPr>
          <w:rFonts w:ascii="Times New Roman" w:hAnsi="Times New Roman" w:eastAsia="Calibri" w:cs="Times New Roman"/>
          <w:b/>
          <w:sz w:val="24"/>
          <w:szCs w:val="24"/>
          <w:lang w:eastAsia="lv-LV"/>
        </w:rPr>
      </w:pPr>
      <w:r w:rsidRPr="004B424A">
        <w:rPr>
          <w:rFonts w:ascii="Times New Roman" w:hAnsi="Times New Roman" w:eastAsia="Calibri" w:cs="Times New Roman"/>
          <w:b/>
          <w:sz w:val="24"/>
          <w:szCs w:val="24"/>
          <w:lang w:eastAsia="lv-LV"/>
        </w:rPr>
        <w:t>Informatīvai</w:t>
      </w:r>
      <w:r w:rsidRPr="004B424A" w:rsidR="00112387">
        <w:rPr>
          <w:rFonts w:ascii="Times New Roman" w:hAnsi="Times New Roman" w:eastAsia="Calibri" w:cs="Times New Roman"/>
          <w:b/>
          <w:sz w:val="24"/>
          <w:szCs w:val="24"/>
          <w:lang w:eastAsia="lv-LV"/>
        </w:rPr>
        <w:t>s</w:t>
      </w:r>
      <w:r w:rsidRPr="004B424A">
        <w:rPr>
          <w:rFonts w:ascii="Times New Roman" w:hAnsi="Times New Roman" w:eastAsia="Calibri" w:cs="Times New Roman"/>
          <w:b/>
          <w:sz w:val="24"/>
          <w:szCs w:val="24"/>
          <w:lang w:eastAsia="lv-LV"/>
        </w:rPr>
        <w:t xml:space="preserve"> ziņojums par rīcības plānu tiesu ekspertīžu institūta reformas ieviešanai</w:t>
      </w:r>
    </w:p>
    <w:p w:rsidRPr="004B424A" w:rsidR="00546C28" w:rsidP="004B424A" w:rsidRDefault="00546C28" w14:paraId="4711D41B" w14:textId="77777777">
      <w:pPr>
        <w:spacing w:after="0" w:line="240" w:lineRule="auto"/>
        <w:jc w:val="both"/>
        <w:rPr>
          <w:rFonts w:ascii="Times New Roman" w:hAnsi="Times New Roman" w:eastAsia="Calibri" w:cs="Times New Roman"/>
          <w:sz w:val="24"/>
          <w:szCs w:val="24"/>
          <w:lang w:eastAsia="lv-LV"/>
        </w:rPr>
      </w:pPr>
    </w:p>
    <w:p w:rsidRPr="004B424A" w:rsidR="00546C28" w:rsidP="004B424A" w:rsidRDefault="00546C28" w14:paraId="4711D41C" w14:textId="77777777">
      <w:pPr>
        <w:spacing w:after="0" w:line="240" w:lineRule="auto"/>
        <w:jc w:val="center"/>
        <w:rPr>
          <w:rFonts w:ascii="Times New Roman" w:hAnsi="Times New Roman" w:eastAsia="Calibri" w:cs="Times New Roman"/>
          <w:b/>
          <w:bCs/>
          <w:i/>
          <w:sz w:val="24"/>
          <w:szCs w:val="24"/>
          <w:lang w:eastAsia="lv-LV"/>
        </w:rPr>
      </w:pPr>
      <w:r w:rsidRPr="004B424A">
        <w:rPr>
          <w:rFonts w:ascii="Times New Roman" w:hAnsi="Times New Roman" w:eastAsia="Calibri" w:cs="Times New Roman"/>
          <w:b/>
          <w:bCs/>
          <w:i/>
          <w:sz w:val="24"/>
          <w:szCs w:val="24"/>
          <w:lang w:eastAsia="lv-LV"/>
        </w:rPr>
        <w:t xml:space="preserve">I Informatīvā ziņojuma izstrādes mērķis </w:t>
      </w:r>
    </w:p>
    <w:p w:rsidRPr="004B424A" w:rsidR="00546C28" w:rsidP="004B424A" w:rsidRDefault="00546C28" w14:paraId="4711D41D" w14:textId="77777777">
      <w:pPr>
        <w:spacing w:after="0" w:line="240" w:lineRule="auto"/>
        <w:jc w:val="both"/>
        <w:rPr>
          <w:rFonts w:ascii="Times New Roman" w:hAnsi="Times New Roman" w:eastAsia="Calibri" w:cs="Times New Roman"/>
          <w:sz w:val="24"/>
          <w:szCs w:val="24"/>
          <w:lang w:eastAsia="lv-LV"/>
        </w:rPr>
      </w:pPr>
    </w:p>
    <w:p w:rsidRPr="004B424A" w:rsidR="00546C28" w:rsidP="004B424A" w:rsidRDefault="00546C28" w14:paraId="4711D41E" w14:textId="77777777">
      <w:pPr>
        <w:spacing w:after="0" w:line="240" w:lineRule="auto"/>
        <w:ind w:firstLine="720"/>
        <w:jc w:val="both"/>
        <w:rPr>
          <w:rFonts w:ascii="Times New Roman" w:hAnsi="Times New Roman" w:eastAsia="Calibri" w:cs="Times New Roman"/>
          <w:sz w:val="24"/>
          <w:szCs w:val="24"/>
          <w:lang w:eastAsia="lv-LV"/>
        </w:rPr>
      </w:pPr>
      <w:r w:rsidRPr="004B424A">
        <w:rPr>
          <w:rFonts w:ascii="Times New Roman" w:hAnsi="Times New Roman" w:eastAsia="Calibri" w:cs="Times New Roman"/>
          <w:sz w:val="24"/>
          <w:szCs w:val="24"/>
          <w:lang w:eastAsia="lv-LV"/>
        </w:rPr>
        <w:t>Ar Ministru kabineta 2017.</w:t>
      </w:r>
      <w:r w:rsidRPr="004B424A" w:rsidR="004B424A">
        <w:rPr>
          <w:rFonts w:ascii="Times New Roman" w:hAnsi="Times New Roman" w:eastAsia="Calibri" w:cs="Times New Roman"/>
          <w:sz w:val="24"/>
          <w:szCs w:val="24"/>
          <w:lang w:eastAsia="lv-LV"/>
        </w:rPr>
        <w:t> </w:t>
      </w:r>
      <w:r w:rsidRPr="004B424A">
        <w:rPr>
          <w:rFonts w:ascii="Times New Roman" w:hAnsi="Times New Roman" w:eastAsia="Calibri" w:cs="Times New Roman"/>
          <w:sz w:val="24"/>
          <w:szCs w:val="24"/>
          <w:lang w:eastAsia="lv-LV"/>
        </w:rPr>
        <w:t>gada 28.</w:t>
      </w:r>
      <w:r w:rsidRPr="004B424A" w:rsidR="004B424A">
        <w:rPr>
          <w:rFonts w:ascii="Times New Roman" w:hAnsi="Times New Roman" w:eastAsia="Calibri" w:cs="Times New Roman"/>
          <w:sz w:val="24"/>
          <w:szCs w:val="24"/>
          <w:lang w:eastAsia="lv-LV"/>
        </w:rPr>
        <w:t> </w:t>
      </w:r>
      <w:r w:rsidRPr="004B424A">
        <w:rPr>
          <w:rFonts w:ascii="Times New Roman" w:hAnsi="Times New Roman" w:eastAsia="Calibri" w:cs="Times New Roman"/>
          <w:sz w:val="24"/>
          <w:szCs w:val="24"/>
          <w:lang w:eastAsia="lv-LV"/>
        </w:rPr>
        <w:t>augusta sēdes protokola Nr.</w:t>
      </w:r>
      <w:r w:rsidRPr="004B424A" w:rsidR="004B424A">
        <w:rPr>
          <w:rFonts w:ascii="Times New Roman" w:hAnsi="Times New Roman" w:eastAsia="Calibri" w:cs="Times New Roman"/>
          <w:sz w:val="24"/>
          <w:szCs w:val="24"/>
          <w:lang w:eastAsia="lv-LV"/>
        </w:rPr>
        <w:t> </w:t>
      </w:r>
      <w:r w:rsidRPr="004B424A">
        <w:rPr>
          <w:rFonts w:ascii="Times New Roman" w:hAnsi="Times New Roman" w:eastAsia="Calibri" w:cs="Times New Roman"/>
          <w:sz w:val="24"/>
          <w:szCs w:val="24"/>
          <w:lang w:eastAsia="lv-LV"/>
        </w:rPr>
        <w:t>41 1.</w:t>
      </w:r>
      <w:r w:rsidRPr="004B424A" w:rsidR="004B424A">
        <w:rPr>
          <w:rFonts w:ascii="Times New Roman" w:hAnsi="Times New Roman" w:eastAsia="Calibri" w:cs="Times New Roman"/>
          <w:sz w:val="24"/>
          <w:szCs w:val="24"/>
          <w:lang w:eastAsia="lv-LV"/>
        </w:rPr>
        <w:t> </w:t>
      </w:r>
      <w:r w:rsidRPr="004B424A">
        <w:rPr>
          <w:rFonts w:ascii="Times New Roman" w:hAnsi="Times New Roman" w:eastAsia="Calibri" w:cs="Times New Roman"/>
          <w:sz w:val="24"/>
          <w:szCs w:val="24"/>
          <w:lang w:eastAsia="lv-LV"/>
        </w:rPr>
        <w:t>§ 24.</w:t>
      </w:r>
      <w:r w:rsidRPr="004B424A" w:rsidR="004B424A">
        <w:rPr>
          <w:rFonts w:ascii="Times New Roman" w:hAnsi="Times New Roman" w:eastAsia="Calibri" w:cs="Times New Roman"/>
          <w:sz w:val="24"/>
          <w:szCs w:val="24"/>
          <w:lang w:eastAsia="lv-LV"/>
        </w:rPr>
        <w:t> </w:t>
      </w:r>
      <w:r w:rsidRPr="004B424A">
        <w:rPr>
          <w:rFonts w:ascii="Times New Roman" w:hAnsi="Times New Roman" w:eastAsia="Calibri" w:cs="Times New Roman"/>
          <w:sz w:val="24"/>
          <w:szCs w:val="24"/>
          <w:lang w:eastAsia="lv-LV"/>
        </w:rPr>
        <w:t>punktu Tieslietu ministrijai uzdots:</w:t>
      </w:r>
    </w:p>
    <w:p w:rsidRPr="004B424A" w:rsidR="00546C28" w:rsidP="004B424A" w:rsidRDefault="00546C28" w14:paraId="4711D41F" w14:textId="77777777">
      <w:pPr>
        <w:spacing w:after="0" w:line="240" w:lineRule="auto"/>
        <w:ind w:firstLine="720"/>
        <w:jc w:val="both"/>
        <w:rPr>
          <w:rFonts w:ascii="Times New Roman" w:hAnsi="Times New Roman" w:eastAsia="Calibri" w:cs="Times New Roman"/>
          <w:sz w:val="24"/>
          <w:szCs w:val="24"/>
          <w:lang w:eastAsia="lv-LV"/>
        </w:rPr>
      </w:pPr>
      <w:r w:rsidRPr="004B424A">
        <w:rPr>
          <w:rFonts w:ascii="Times New Roman" w:hAnsi="Times New Roman" w:eastAsia="Calibri" w:cs="Times New Roman"/>
          <w:sz w:val="24"/>
          <w:szCs w:val="24"/>
          <w:lang w:eastAsia="lv-LV"/>
        </w:rPr>
        <w:t>1</w:t>
      </w:r>
      <w:r w:rsidRPr="004B424A" w:rsidR="004B424A">
        <w:rPr>
          <w:rFonts w:ascii="Times New Roman" w:hAnsi="Times New Roman" w:eastAsia="Calibri" w:cs="Times New Roman"/>
          <w:sz w:val="24"/>
          <w:szCs w:val="24"/>
          <w:lang w:eastAsia="lv-LV"/>
        </w:rPr>
        <w:t>)</w:t>
      </w:r>
      <w:r w:rsidRPr="004B424A">
        <w:rPr>
          <w:rFonts w:ascii="Times New Roman" w:hAnsi="Times New Roman" w:eastAsia="Calibri" w:cs="Times New Roman"/>
          <w:sz w:val="24"/>
          <w:szCs w:val="24"/>
          <w:lang w:eastAsia="lv-LV"/>
        </w:rPr>
        <w:t xml:space="preserve"> sadarbībā ar Iekšlietu ministriju, Veselības ministriju un Finanšu ministriju izveidot darba grupu rīcības plāna izstrādei tiesu ekspertīžu institūta reformas ieviešanai;</w:t>
      </w:r>
    </w:p>
    <w:p w:rsidRPr="004B424A" w:rsidR="00546C28" w:rsidP="004B424A" w:rsidRDefault="00546C28" w14:paraId="4711D420" w14:textId="77777777">
      <w:pPr>
        <w:spacing w:after="0" w:line="240" w:lineRule="auto"/>
        <w:ind w:firstLine="720"/>
        <w:jc w:val="both"/>
        <w:rPr>
          <w:rFonts w:ascii="Times New Roman" w:hAnsi="Times New Roman" w:eastAsia="Calibri" w:cs="Times New Roman"/>
          <w:sz w:val="24"/>
          <w:szCs w:val="24"/>
          <w:lang w:eastAsia="lv-LV"/>
        </w:rPr>
      </w:pPr>
      <w:r w:rsidRPr="004B424A">
        <w:rPr>
          <w:rFonts w:ascii="Times New Roman" w:hAnsi="Times New Roman" w:eastAsia="Calibri" w:cs="Times New Roman"/>
          <w:sz w:val="24"/>
          <w:szCs w:val="24"/>
          <w:lang w:eastAsia="lv-LV"/>
        </w:rPr>
        <w:t>2</w:t>
      </w:r>
      <w:r w:rsidRPr="004B424A" w:rsidR="004B424A">
        <w:rPr>
          <w:rFonts w:ascii="Times New Roman" w:hAnsi="Times New Roman" w:eastAsia="Calibri" w:cs="Times New Roman"/>
          <w:sz w:val="24"/>
          <w:szCs w:val="24"/>
          <w:lang w:eastAsia="lv-LV"/>
        </w:rPr>
        <w:t xml:space="preserve">) </w:t>
      </w:r>
      <w:r w:rsidRPr="004B424A">
        <w:rPr>
          <w:rFonts w:ascii="Times New Roman" w:hAnsi="Times New Roman" w:eastAsia="Calibri" w:cs="Times New Roman"/>
          <w:sz w:val="24"/>
          <w:szCs w:val="24"/>
          <w:lang w:eastAsia="lv-LV"/>
        </w:rPr>
        <w:t>līdz 2018. gada 31. jūlijam iesniegt Ministru kabinetā darba grupas izstrādāto rīcības plānu.</w:t>
      </w:r>
    </w:p>
    <w:p w:rsidRPr="004B424A" w:rsidR="00C524FA" w:rsidP="004B424A" w:rsidRDefault="00C524FA" w14:paraId="4711D421" w14:textId="77777777">
      <w:pPr>
        <w:spacing w:after="0" w:line="240" w:lineRule="auto"/>
        <w:jc w:val="center"/>
        <w:rPr>
          <w:rFonts w:ascii="Times New Roman" w:hAnsi="Times New Roman" w:eastAsia="Calibri" w:cs="Times New Roman"/>
          <w:b/>
          <w:bCs/>
          <w:i/>
          <w:sz w:val="24"/>
          <w:szCs w:val="24"/>
          <w:lang w:eastAsia="lv-LV"/>
        </w:rPr>
      </w:pPr>
    </w:p>
    <w:p w:rsidRPr="004B424A" w:rsidR="00546C28" w:rsidP="004B424A" w:rsidRDefault="00546C28" w14:paraId="4711D422" w14:textId="77777777">
      <w:pPr>
        <w:spacing w:after="0" w:line="240" w:lineRule="auto"/>
        <w:jc w:val="center"/>
        <w:rPr>
          <w:rFonts w:ascii="Times New Roman" w:hAnsi="Times New Roman" w:eastAsia="Calibri" w:cs="Times New Roman"/>
          <w:b/>
          <w:bCs/>
          <w:i/>
          <w:sz w:val="24"/>
          <w:szCs w:val="24"/>
          <w:lang w:eastAsia="lv-LV"/>
        </w:rPr>
      </w:pPr>
      <w:r w:rsidRPr="004B424A">
        <w:rPr>
          <w:rFonts w:ascii="Times New Roman" w:hAnsi="Times New Roman" w:eastAsia="Calibri" w:cs="Times New Roman"/>
          <w:b/>
          <w:bCs/>
          <w:i/>
          <w:sz w:val="24"/>
          <w:szCs w:val="24"/>
          <w:lang w:eastAsia="lv-LV"/>
        </w:rPr>
        <w:t>II Jautājuma līdzšinējā virzīb</w:t>
      </w:r>
      <w:r w:rsidR="000C1150">
        <w:rPr>
          <w:rFonts w:ascii="Times New Roman" w:hAnsi="Times New Roman" w:eastAsia="Calibri" w:cs="Times New Roman"/>
          <w:b/>
          <w:bCs/>
          <w:i/>
          <w:sz w:val="24"/>
          <w:szCs w:val="24"/>
          <w:lang w:eastAsia="lv-LV"/>
        </w:rPr>
        <w:t>a</w:t>
      </w:r>
    </w:p>
    <w:p w:rsidRPr="004B424A" w:rsidR="00546C28" w:rsidP="004B424A" w:rsidRDefault="00546C28" w14:paraId="4711D423" w14:textId="77777777">
      <w:pPr>
        <w:spacing w:after="0" w:line="240" w:lineRule="auto"/>
        <w:jc w:val="center"/>
        <w:rPr>
          <w:rFonts w:ascii="Times New Roman" w:hAnsi="Times New Roman" w:eastAsia="Calibri" w:cs="Times New Roman"/>
          <w:b/>
          <w:bCs/>
          <w:sz w:val="24"/>
          <w:szCs w:val="24"/>
          <w:lang w:eastAsia="lv-LV"/>
        </w:rPr>
      </w:pPr>
    </w:p>
    <w:p w:rsidRPr="004B424A" w:rsidR="00546C28" w:rsidP="004B424A" w:rsidRDefault="00546C28" w14:paraId="4711D424" w14:textId="77777777">
      <w:pPr>
        <w:spacing w:after="0" w:line="240" w:lineRule="auto"/>
        <w:ind w:firstLine="720"/>
        <w:jc w:val="both"/>
        <w:rPr>
          <w:rFonts w:ascii="Times New Roman" w:hAnsi="Times New Roman" w:eastAsia="Calibri" w:cs="Times New Roman"/>
          <w:sz w:val="24"/>
          <w:szCs w:val="24"/>
          <w:lang w:eastAsia="lv-LV"/>
        </w:rPr>
      </w:pPr>
      <w:r w:rsidRPr="004B424A">
        <w:rPr>
          <w:rFonts w:ascii="Times New Roman" w:hAnsi="Times New Roman" w:eastAsia="Calibri" w:cs="Times New Roman"/>
          <w:sz w:val="24"/>
          <w:szCs w:val="24"/>
          <w:lang w:eastAsia="lv-LV"/>
        </w:rPr>
        <w:t>2009. gada 29. maijā Valsts kancelejas Funkciju audita grupa noslēdza funkciju auditu valsts tiesu ekspertīžu iestādēs. Funkciju audita grupa savā ziņojumā, veicot izvērstu izpēti par iespējamiem valsts ekspertīžu iestāžu apvienošanas un to padotības modeļiem, secinājusi, ka:</w:t>
      </w:r>
    </w:p>
    <w:p w:rsidRPr="004B424A" w:rsidR="00546C28" w:rsidP="004B424A" w:rsidRDefault="00546C28" w14:paraId="4711D425" w14:textId="77777777">
      <w:pPr>
        <w:spacing w:after="0" w:line="240" w:lineRule="auto"/>
        <w:ind w:firstLine="709"/>
        <w:jc w:val="both"/>
        <w:rPr>
          <w:rFonts w:ascii="Times New Roman" w:hAnsi="Times New Roman" w:eastAsia="Calibri" w:cs="Times New Roman"/>
          <w:sz w:val="24"/>
          <w:szCs w:val="24"/>
          <w:lang w:eastAsia="lv-LV"/>
        </w:rPr>
      </w:pPr>
      <w:r w:rsidRPr="004B424A">
        <w:rPr>
          <w:rFonts w:ascii="Times New Roman" w:hAnsi="Times New Roman" w:eastAsia="Calibri" w:cs="Times New Roman"/>
          <w:sz w:val="24"/>
          <w:szCs w:val="24"/>
          <w:lang w:eastAsia="lv-LV"/>
        </w:rPr>
        <w:t>1) apvienošana uzsākama pakāpeniski;</w:t>
      </w:r>
    </w:p>
    <w:p w:rsidRPr="004B424A" w:rsidR="00546C28" w:rsidP="004B424A" w:rsidRDefault="00546C28" w14:paraId="4711D426" w14:textId="77777777">
      <w:pPr>
        <w:spacing w:after="0" w:line="240" w:lineRule="auto"/>
        <w:ind w:firstLine="709"/>
        <w:jc w:val="both"/>
        <w:rPr>
          <w:rFonts w:ascii="Times New Roman" w:hAnsi="Times New Roman" w:eastAsia="Calibri" w:cs="Times New Roman"/>
          <w:sz w:val="24"/>
          <w:szCs w:val="24"/>
          <w:lang w:eastAsia="lv-LV"/>
        </w:rPr>
      </w:pPr>
      <w:r w:rsidRPr="004B424A">
        <w:rPr>
          <w:rFonts w:ascii="Times New Roman" w:hAnsi="Times New Roman" w:eastAsia="Calibri" w:cs="Times New Roman"/>
          <w:sz w:val="24"/>
          <w:szCs w:val="24"/>
          <w:lang w:eastAsia="lv-LV"/>
        </w:rPr>
        <w:t xml:space="preserve">2) </w:t>
      </w:r>
      <w:bookmarkStart w:name="_Hlk517877210" w:id="0"/>
      <w:r w:rsidRPr="004B424A">
        <w:rPr>
          <w:rFonts w:ascii="Times New Roman" w:hAnsi="Times New Roman" w:eastAsia="Calibri" w:cs="Times New Roman"/>
          <w:sz w:val="24"/>
          <w:szCs w:val="24"/>
          <w:lang w:eastAsia="lv-LV"/>
        </w:rPr>
        <w:t>apvienotā valsts ekspertīžu iestāde veidojama Tieslietu ministrijas padotībā</w:t>
      </w:r>
      <w:bookmarkEnd w:id="0"/>
      <w:r w:rsidRPr="004B424A">
        <w:rPr>
          <w:rFonts w:ascii="Times New Roman" w:hAnsi="Times New Roman" w:eastAsia="Calibri" w:cs="Times New Roman"/>
          <w:sz w:val="24"/>
          <w:szCs w:val="24"/>
          <w:lang w:eastAsia="lv-LV"/>
        </w:rPr>
        <w:t>.</w:t>
      </w:r>
    </w:p>
    <w:p w:rsidRPr="004B424A" w:rsidR="00546C28" w:rsidP="004B424A" w:rsidRDefault="00546C28" w14:paraId="4711D427" w14:textId="77777777">
      <w:pPr>
        <w:spacing w:after="0" w:line="240" w:lineRule="auto"/>
        <w:ind w:firstLine="709"/>
        <w:jc w:val="both"/>
        <w:rPr>
          <w:rFonts w:ascii="Times New Roman" w:hAnsi="Times New Roman" w:eastAsia="Calibri" w:cs="Times New Roman"/>
          <w:sz w:val="24"/>
          <w:szCs w:val="24"/>
          <w:lang w:eastAsia="lv-LV"/>
        </w:rPr>
      </w:pPr>
      <w:r w:rsidRPr="004B424A">
        <w:rPr>
          <w:rFonts w:ascii="Times New Roman" w:hAnsi="Times New Roman" w:eastAsia="Calibri" w:cs="Times New Roman"/>
          <w:sz w:val="24"/>
          <w:szCs w:val="24"/>
          <w:lang w:eastAsia="lv-LV"/>
        </w:rPr>
        <w:t>Funkciju audita grupa konstatējusi, ka situācija, kurā vienas organizācijas (Valsts policijas) struktūrvienība (Kriminālistikas pārvalde) pati uztur amata vietas atbalsta funkciju veikšanai, nav atbalstāma, kā arī nav atbalstāma situācija, kurā Valsts policijas Kriminālistikas pārvaldes veiktās ekspertīzes tiek veiktas arī citā valsts pārvaldes iestādē – Valsts tiesu ekspertīžu birojā. Pastāvot šādiem apstākļiem, pamatots ir secinājums par  nepieciešamību Valsts policijas Kriminālistikas Pārvaldi pievienot Valsts tiesu ekspertīžu birojam, iegūstot ietaupījumu uz atbalsta funkciju rēķina.</w:t>
      </w:r>
    </w:p>
    <w:p w:rsidRPr="004B424A" w:rsidR="00546C28" w:rsidP="004B424A" w:rsidRDefault="00546C28" w14:paraId="4711D428" w14:textId="77777777">
      <w:pPr>
        <w:spacing w:after="0" w:line="240" w:lineRule="auto"/>
        <w:ind w:firstLine="720"/>
        <w:jc w:val="both"/>
        <w:rPr>
          <w:rFonts w:ascii="Times New Roman" w:hAnsi="Times New Roman" w:eastAsia="Calibri" w:cs="Times New Roman"/>
          <w:sz w:val="24"/>
          <w:szCs w:val="24"/>
          <w:lang w:eastAsia="lv-LV"/>
        </w:rPr>
      </w:pPr>
      <w:r w:rsidRPr="004B424A">
        <w:rPr>
          <w:rFonts w:ascii="Times New Roman" w:hAnsi="Times New Roman" w:eastAsia="Calibri" w:cs="Times New Roman"/>
          <w:sz w:val="24"/>
          <w:szCs w:val="24"/>
          <w:lang w:eastAsia="lv-LV"/>
        </w:rPr>
        <w:t>Ar Ministru kabineta 2013.</w:t>
      </w:r>
      <w:r w:rsidRPr="004B424A" w:rsidR="004B424A">
        <w:rPr>
          <w:rFonts w:ascii="Times New Roman" w:hAnsi="Times New Roman" w:eastAsia="Calibri" w:cs="Times New Roman"/>
          <w:sz w:val="24"/>
          <w:szCs w:val="24"/>
          <w:lang w:eastAsia="lv-LV"/>
        </w:rPr>
        <w:t> </w:t>
      </w:r>
      <w:r w:rsidRPr="004B424A">
        <w:rPr>
          <w:rFonts w:ascii="Times New Roman" w:hAnsi="Times New Roman" w:eastAsia="Calibri" w:cs="Times New Roman"/>
          <w:sz w:val="24"/>
          <w:szCs w:val="24"/>
          <w:lang w:eastAsia="lv-LV"/>
        </w:rPr>
        <w:t>gada 22.</w:t>
      </w:r>
      <w:r w:rsidRPr="004B424A" w:rsidR="004B424A">
        <w:rPr>
          <w:rFonts w:ascii="Times New Roman" w:hAnsi="Times New Roman" w:eastAsia="Calibri" w:cs="Times New Roman"/>
          <w:sz w:val="24"/>
          <w:szCs w:val="24"/>
          <w:lang w:eastAsia="lv-LV"/>
        </w:rPr>
        <w:t> </w:t>
      </w:r>
      <w:r w:rsidRPr="004B424A">
        <w:rPr>
          <w:rFonts w:ascii="Times New Roman" w:hAnsi="Times New Roman" w:eastAsia="Calibri" w:cs="Times New Roman"/>
          <w:sz w:val="24"/>
          <w:szCs w:val="24"/>
          <w:lang w:eastAsia="lv-LV"/>
        </w:rPr>
        <w:t>janvāra sēdes protokola Nr.</w:t>
      </w:r>
      <w:r w:rsidRPr="004B424A" w:rsidR="004B424A">
        <w:rPr>
          <w:rFonts w:ascii="Times New Roman" w:hAnsi="Times New Roman" w:eastAsia="Calibri" w:cs="Times New Roman"/>
          <w:sz w:val="24"/>
          <w:szCs w:val="24"/>
          <w:lang w:eastAsia="lv-LV"/>
        </w:rPr>
        <w:t> </w:t>
      </w:r>
      <w:r w:rsidRPr="004B424A">
        <w:rPr>
          <w:rFonts w:ascii="Times New Roman" w:hAnsi="Times New Roman" w:eastAsia="Calibri" w:cs="Times New Roman"/>
          <w:sz w:val="24"/>
          <w:szCs w:val="24"/>
          <w:lang w:eastAsia="lv-LV"/>
        </w:rPr>
        <w:t>5 33.</w:t>
      </w:r>
      <w:r w:rsidRPr="004B424A" w:rsidR="004B424A">
        <w:rPr>
          <w:rFonts w:ascii="Times New Roman" w:hAnsi="Times New Roman" w:eastAsia="Calibri" w:cs="Times New Roman"/>
          <w:sz w:val="24"/>
          <w:szCs w:val="24"/>
          <w:lang w:eastAsia="lv-LV"/>
        </w:rPr>
        <w:t> </w:t>
      </w:r>
      <w:r w:rsidRPr="004B424A">
        <w:rPr>
          <w:rFonts w:ascii="Times New Roman" w:hAnsi="Times New Roman" w:eastAsia="Calibri" w:cs="Times New Roman"/>
          <w:sz w:val="24"/>
          <w:szCs w:val="24"/>
          <w:lang w:eastAsia="lv-LV"/>
        </w:rPr>
        <w:t>§ 2.</w:t>
      </w:r>
      <w:r w:rsidRPr="004B424A" w:rsidR="004B424A">
        <w:rPr>
          <w:rFonts w:ascii="Times New Roman" w:hAnsi="Times New Roman" w:eastAsia="Calibri" w:cs="Times New Roman"/>
          <w:sz w:val="24"/>
          <w:szCs w:val="24"/>
          <w:lang w:eastAsia="lv-LV"/>
        </w:rPr>
        <w:t> </w:t>
      </w:r>
      <w:r w:rsidRPr="004B424A">
        <w:rPr>
          <w:rFonts w:ascii="Times New Roman" w:hAnsi="Times New Roman" w:eastAsia="Calibri" w:cs="Times New Roman"/>
          <w:sz w:val="24"/>
          <w:szCs w:val="24"/>
          <w:lang w:eastAsia="lv-LV"/>
        </w:rPr>
        <w:t>punktu tika uzdots Tieslietu ministrijai sadarbībā ar Iekšlietu ministriju un Veselības ministriju izstrādāt informatīvo ziņojumu par veicamajiem pasākumiem vienotās tiesu ekspertīžu iestādes izveidošanai un tiesu ekspertīžu kvalitātes nodrošināšanai, vienlaikus izvērtējot vienotās tiesu ekspertīžu iestādes institucionālo padotību.</w:t>
      </w:r>
    </w:p>
    <w:p w:rsidRPr="004B424A" w:rsidR="00546C28" w:rsidP="004B424A" w:rsidRDefault="00546C28" w14:paraId="4711D429" w14:textId="77777777">
      <w:pPr>
        <w:spacing w:after="0" w:line="240" w:lineRule="auto"/>
        <w:ind w:firstLine="720"/>
        <w:jc w:val="both"/>
        <w:rPr>
          <w:rFonts w:ascii="Times New Roman" w:hAnsi="Times New Roman" w:eastAsia="Calibri" w:cs="Times New Roman"/>
          <w:sz w:val="24"/>
          <w:szCs w:val="24"/>
          <w:lang w:eastAsia="lv-LV"/>
        </w:rPr>
      </w:pPr>
      <w:r w:rsidRPr="004B424A">
        <w:rPr>
          <w:rFonts w:ascii="Times New Roman" w:hAnsi="Times New Roman" w:eastAsia="Calibri" w:cs="Times New Roman"/>
          <w:sz w:val="24"/>
          <w:szCs w:val="24"/>
          <w:lang w:eastAsia="lv-LV"/>
        </w:rPr>
        <w:t>Tieslietu padome ar 2014.</w:t>
      </w:r>
      <w:r w:rsidRPr="004B424A" w:rsidR="004B424A">
        <w:rPr>
          <w:rFonts w:ascii="Times New Roman" w:hAnsi="Times New Roman" w:eastAsia="Calibri" w:cs="Times New Roman"/>
          <w:sz w:val="24"/>
          <w:szCs w:val="24"/>
          <w:lang w:eastAsia="lv-LV"/>
        </w:rPr>
        <w:t> </w:t>
      </w:r>
      <w:r w:rsidRPr="004B424A">
        <w:rPr>
          <w:rFonts w:ascii="Times New Roman" w:hAnsi="Times New Roman" w:eastAsia="Calibri" w:cs="Times New Roman"/>
          <w:sz w:val="24"/>
          <w:szCs w:val="24"/>
          <w:lang w:eastAsia="lv-LV"/>
        </w:rPr>
        <w:t>gada 27.</w:t>
      </w:r>
      <w:r w:rsidRPr="004B424A" w:rsidR="004B424A">
        <w:rPr>
          <w:rFonts w:ascii="Times New Roman" w:hAnsi="Times New Roman" w:eastAsia="Calibri" w:cs="Times New Roman"/>
          <w:sz w:val="24"/>
          <w:szCs w:val="24"/>
          <w:lang w:eastAsia="lv-LV"/>
        </w:rPr>
        <w:t> </w:t>
      </w:r>
      <w:r w:rsidRPr="004B424A">
        <w:rPr>
          <w:rFonts w:ascii="Times New Roman" w:hAnsi="Times New Roman" w:eastAsia="Calibri" w:cs="Times New Roman"/>
          <w:sz w:val="24"/>
          <w:szCs w:val="24"/>
          <w:lang w:eastAsia="lv-LV"/>
        </w:rPr>
        <w:t xml:space="preserve">janvāra lēmumu Nr. 3 atzina par nepieciešamu izveidot valstī vienotu tiesu ekspertīžu centru, uzskatot, ka efektīvas tiesas spriešanas nodrošināšanai optimālāks būtu vienots tiesu ekspertīžu birojs ar vienotu padotību tieslietu ministram. Ģenerālprokuratūra, sniedzot funkciju audita ziņojuma novērtējumu, atbalstīja ideju par </w:t>
      </w:r>
      <w:bookmarkStart w:name="_Hlk517874173" w:id="1"/>
      <w:r w:rsidRPr="004B424A">
        <w:rPr>
          <w:rFonts w:ascii="Times New Roman" w:hAnsi="Times New Roman" w:eastAsia="Times New Roman" w:cs="Times New Roman"/>
          <w:sz w:val="24"/>
          <w:szCs w:val="24"/>
          <w:lang w:eastAsia="lv-LV"/>
        </w:rPr>
        <w:t xml:space="preserve">Valsts policijas Kriminālistikas pārvaldes </w:t>
      </w:r>
      <w:r w:rsidRPr="004B424A">
        <w:rPr>
          <w:rFonts w:ascii="Times New Roman" w:hAnsi="Times New Roman" w:eastAsia="Calibri" w:cs="Times New Roman"/>
          <w:sz w:val="24"/>
          <w:szCs w:val="24"/>
          <w:lang w:eastAsia="lv-LV"/>
        </w:rPr>
        <w:t xml:space="preserve">un </w:t>
      </w:r>
      <w:r w:rsidRPr="004B424A">
        <w:rPr>
          <w:rFonts w:ascii="Times New Roman" w:hAnsi="Times New Roman" w:eastAsia="Times New Roman" w:cs="Times New Roman"/>
          <w:sz w:val="24"/>
          <w:szCs w:val="24"/>
          <w:lang w:eastAsia="lv-LV"/>
        </w:rPr>
        <w:t>Valsts tiesu ekspertīžu biroja</w:t>
      </w:r>
      <w:r w:rsidRPr="004B424A">
        <w:rPr>
          <w:rFonts w:ascii="Times New Roman" w:hAnsi="Times New Roman" w:eastAsia="Calibri" w:cs="Times New Roman"/>
          <w:sz w:val="24"/>
          <w:szCs w:val="24"/>
          <w:lang w:eastAsia="lv-LV"/>
        </w:rPr>
        <w:t xml:space="preserve"> </w:t>
      </w:r>
      <w:bookmarkEnd w:id="1"/>
      <w:r w:rsidRPr="004B424A">
        <w:rPr>
          <w:rFonts w:ascii="Times New Roman" w:hAnsi="Times New Roman" w:eastAsia="Calibri" w:cs="Times New Roman"/>
          <w:sz w:val="24"/>
          <w:szCs w:val="24"/>
          <w:lang w:eastAsia="lv-LV"/>
        </w:rPr>
        <w:t>apvienošanu Tieslietu ministrijas padotībā, papildus norādot, ka tajās veiktās ekspertīzes lielā mērā pārklājas, vienlaikus paužot uzskatu, ka Valsts tiesu medicīnas ekspertīzes centrs tā specifikas un atšķirīgo ekspertīžu dēļ būtu saglabājams kā atsevišķā tiesu ekspertīžu iestāde Veselības ministrijas padotībā.</w:t>
      </w:r>
    </w:p>
    <w:p w:rsidRPr="004B424A" w:rsidR="00546C28" w:rsidP="004B424A" w:rsidRDefault="00546C28" w14:paraId="4711D42A" w14:textId="77777777">
      <w:pPr>
        <w:spacing w:after="0" w:line="240" w:lineRule="auto"/>
        <w:ind w:firstLine="720"/>
        <w:jc w:val="both"/>
        <w:rPr>
          <w:rFonts w:ascii="Times New Roman" w:hAnsi="Times New Roman" w:eastAsia="Times New Roman" w:cs="Times New Roman"/>
          <w:sz w:val="24"/>
          <w:szCs w:val="24"/>
          <w:lang w:eastAsia="lv-LV"/>
        </w:rPr>
      </w:pPr>
      <w:r w:rsidRPr="004B424A">
        <w:rPr>
          <w:rFonts w:ascii="Times New Roman" w:hAnsi="Times New Roman" w:eastAsia="Calibri" w:cs="Times New Roman"/>
          <w:sz w:val="24"/>
          <w:szCs w:val="24"/>
          <w:lang w:eastAsia="lv-LV"/>
        </w:rPr>
        <w:t xml:space="preserve">Tieslietu ministrijas izstrādātais informatīvais ziņojums </w:t>
      </w:r>
      <w:r w:rsidR="004B424A">
        <w:rPr>
          <w:rFonts w:ascii="Times New Roman" w:hAnsi="Times New Roman" w:eastAsia="Calibri" w:cs="Times New Roman"/>
          <w:sz w:val="24"/>
          <w:szCs w:val="24"/>
          <w:lang w:eastAsia="lv-LV"/>
        </w:rPr>
        <w:t>"</w:t>
      </w:r>
      <w:r w:rsidRPr="004B424A">
        <w:rPr>
          <w:rFonts w:ascii="Times New Roman" w:hAnsi="Times New Roman" w:eastAsia="Calibri" w:cs="Times New Roman"/>
          <w:sz w:val="24"/>
          <w:szCs w:val="24"/>
          <w:lang w:eastAsia="lv-LV"/>
        </w:rPr>
        <w:t>Par vienota tiesu ekspertīžu centra izveidi</w:t>
      </w:r>
      <w:r w:rsidR="004B424A">
        <w:rPr>
          <w:rFonts w:ascii="Times New Roman" w:hAnsi="Times New Roman" w:eastAsia="Calibri" w:cs="Times New Roman"/>
          <w:sz w:val="24"/>
          <w:szCs w:val="24"/>
          <w:lang w:eastAsia="lv-LV"/>
        </w:rPr>
        <w:t>"</w:t>
      </w:r>
      <w:r w:rsidRPr="004B424A">
        <w:rPr>
          <w:rFonts w:ascii="Times New Roman" w:hAnsi="Times New Roman" w:eastAsia="Calibri" w:cs="Times New Roman"/>
          <w:sz w:val="24"/>
          <w:szCs w:val="24"/>
          <w:lang w:eastAsia="lv-LV"/>
        </w:rPr>
        <w:t xml:space="preserve"> izskatīts Ministru kabineta 2014. gada 30. septembra sēdē (protokola Nr.</w:t>
      </w:r>
      <w:r w:rsidR="004B424A">
        <w:rPr>
          <w:rFonts w:ascii="Times New Roman" w:hAnsi="Times New Roman" w:eastAsia="Calibri" w:cs="Times New Roman"/>
          <w:sz w:val="24"/>
          <w:szCs w:val="24"/>
          <w:lang w:eastAsia="lv-LV"/>
        </w:rPr>
        <w:t> </w:t>
      </w:r>
      <w:r w:rsidRPr="004B424A">
        <w:rPr>
          <w:rFonts w:ascii="Times New Roman" w:hAnsi="Times New Roman" w:eastAsia="Calibri" w:cs="Times New Roman"/>
          <w:sz w:val="24"/>
          <w:szCs w:val="24"/>
          <w:lang w:eastAsia="lv-LV"/>
        </w:rPr>
        <w:t xml:space="preserve">51 17. §), atbalstot modeli - </w:t>
      </w:r>
      <w:r w:rsidRPr="004B424A">
        <w:rPr>
          <w:rFonts w:ascii="Times New Roman" w:hAnsi="Times New Roman" w:eastAsia="Calibri" w:cs="Times New Roman"/>
          <w:sz w:val="24"/>
          <w:szCs w:val="24"/>
        </w:rPr>
        <w:t xml:space="preserve">esošās tiesu ekspertīžu sistēmas saglabāšana, vienlaikus pārskatot tiesu ekspertīžu iestāžu funkcijas, ar mērķi, novērst funkciju dublēšanos. Tieslietu ministrijai uzdots izveidot </w:t>
      </w:r>
      <w:r w:rsidRPr="004B424A">
        <w:rPr>
          <w:rFonts w:ascii="Times New Roman" w:hAnsi="Times New Roman" w:eastAsia="Times New Roman" w:cs="Times New Roman"/>
          <w:sz w:val="24"/>
          <w:szCs w:val="24"/>
          <w:lang w:eastAsia="lv-LV"/>
        </w:rPr>
        <w:t>starpnozaru darba grupu, tās sastāvā iekļaujot Tieslietu ministrijas, Iekšlietu ministrijas un Veselības ministrijas pārstāvjus,</w:t>
      </w:r>
      <w:r w:rsidRPr="004B424A">
        <w:rPr>
          <w:rFonts w:ascii="Times New Roman" w:hAnsi="Times New Roman" w:eastAsia="Calibri" w:cs="Times New Roman"/>
          <w:sz w:val="24"/>
          <w:szCs w:val="24"/>
          <w:lang w:eastAsia="lv-LV"/>
        </w:rPr>
        <w:t xml:space="preserve"> d</w:t>
      </w:r>
      <w:r w:rsidRPr="004B424A">
        <w:rPr>
          <w:rFonts w:ascii="Times New Roman" w:hAnsi="Times New Roman" w:eastAsia="Times New Roman" w:cs="Times New Roman"/>
          <w:sz w:val="24"/>
          <w:szCs w:val="24"/>
          <w:lang w:eastAsia="lv-LV"/>
        </w:rPr>
        <w:t xml:space="preserve">arba grupai izstrādāt un tieslietu ministram līdz 2015. gada 1. jūnijam iesniegt izskatīšanai Ministru kabinetā normatīvo aktu grozījumus precīzai tiesu ekspertīžu kompetenču sadalei. Minētā uzdevuma izpildei ar tieslietu ministra 2014. gada 26. novembra rīkojumu Nr. 1-1/451 </w:t>
      </w:r>
      <w:r w:rsidR="004B424A">
        <w:rPr>
          <w:rFonts w:ascii="Times New Roman" w:hAnsi="Times New Roman" w:eastAsia="Times New Roman" w:cs="Times New Roman"/>
          <w:sz w:val="24"/>
          <w:szCs w:val="24"/>
          <w:lang w:eastAsia="lv-LV"/>
        </w:rPr>
        <w:t>"</w:t>
      </w:r>
      <w:r w:rsidRPr="004B424A">
        <w:rPr>
          <w:rFonts w:ascii="Times New Roman" w:hAnsi="Times New Roman" w:eastAsia="Times New Roman" w:cs="Times New Roman"/>
          <w:sz w:val="24"/>
          <w:szCs w:val="24"/>
          <w:lang w:eastAsia="lv-LV"/>
        </w:rPr>
        <w:t>Par darba grupas izveidi, lai nodrošinātu tiesu ekspertīžu kompetenču sadalei nepieciešamo normatīvo aktu grozījumu izstrādi</w:t>
      </w:r>
      <w:r w:rsidR="004B424A">
        <w:rPr>
          <w:rFonts w:ascii="Times New Roman" w:hAnsi="Times New Roman" w:eastAsia="Times New Roman" w:cs="Times New Roman"/>
          <w:sz w:val="24"/>
          <w:szCs w:val="24"/>
          <w:lang w:eastAsia="lv-LV"/>
        </w:rPr>
        <w:t>"</w:t>
      </w:r>
      <w:r w:rsidRPr="004B424A">
        <w:rPr>
          <w:rFonts w:ascii="Times New Roman" w:hAnsi="Times New Roman" w:eastAsia="Times New Roman" w:cs="Times New Roman"/>
          <w:sz w:val="24"/>
          <w:szCs w:val="24"/>
          <w:lang w:eastAsia="lv-LV"/>
        </w:rPr>
        <w:t xml:space="preserve"> tika izveidota starpnozaru darba grupa, tās sastāvā iekļaujot Tieslietu ministrijas, Iekšlietu ministrijas un Veselības ministrijas pārstāvjus.</w:t>
      </w:r>
    </w:p>
    <w:p w:rsidRPr="004B424A" w:rsidR="00546C28" w:rsidP="004B424A" w:rsidRDefault="00546C28" w14:paraId="4711D42B" w14:textId="77777777">
      <w:pPr>
        <w:spacing w:after="0" w:line="240" w:lineRule="auto"/>
        <w:ind w:firstLine="720"/>
        <w:jc w:val="both"/>
        <w:rPr>
          <w:rFonts w:ascii="Times New Roman" w:hAnsi="Times New Roman" w:eastAsia="Calibri" w:cs="Times New Roman"/>
          <w:sz w:val="24"/>
          <w:szCs w:val="24"/>
          <w:lang w:eastAsia="lv-LV"/>
        </w:rPr>
      </w:pPr>
      <w:r w:rsidRPr="004B424A">
        <w:rPr>
          <w:rFonts w:ascii="Times New Roman" w:hAnsi="Times New Roman" w:eastAsia="Times New Roman" w:cs="Times New Roman"/>
          <w:sz w:val="24"/>
          <w:szCs w:val="24"/>
          <w:lang w:eastAsia="lv-LV"/>
        </w:rPr>
        <w:lastRenderedPageBreak/>
        <w:t xml:space="preserve">Darba grupas sēdēs tika apspriesti tādi jautājumi kā dublējošo ekspertīžu jomu, tajā skaitā metožu pārdales iespējamība starp tiesu ekspertīžu iestādēm un ar pārdali saistīto papildu finanšu līdzekļu nepieciešamība un apmērs. Uzdevuma izpildei sākotnēji tika sagatavoti grozījumi Ministru kabineta 2011. gada 21. jūnija noteikumos Nr. 466 </w:t>
      </w:r>
      <w:r w:rsidR="004B424A">
        <w:rPr>
          <w:rFonts w:ascii="Times New Roman" w:hAnsi="Times New Roman" w:eastAsia="Times New Roman" w:cs="Times New Roman"/>
          <w:sz w:val="24"/>
          <w:szCs w:val="24"/>
          <w:lang w:eastAsia="lv-LV"/>
        </w:rPr>
        <w:t>"</w:t>
      </w:r>
      <w:r w:rsidRPr="004B424A">
        <w:rPr>
          <w:rFonts w:ascii="Times New Roman" w:hAnsi="Times New Roman" w:eastAsia="Times New Roman" w:cs="Times New Roman"/>
          <w:sz w:val="24"/>
          <w:szCs w:val="24"/>
          <w:lang w:eastAsia="lv-LV"/>
        </w:rPr>
        <w:t>Tiesu ekspertu specialitāšu klasifikators</w:t>
      </w:r>
      <w:r w:rsidR="004B424A">
        <w:rPr>
          <w:rFonts w:ascii="Times New Roman" w:hAnsi="Times New Roman" w:eastAsia="Times New Roman" w:cs="Times New Roman"/>
          <w:sz w:val="24"/>
          <w:szCs w:val="24"/>
          <w:lang w:eastAsia="lv-LV"/>
        </w:rPr>
        <w:t>"</w:t>
      </w:r>
      <w:r w:rsidRPr="004B424A">
        <w:rPr>
          <w:rFonts w:ascii="Times New Roman" w:hAnsi="Times New Roman" w:eastAsia="Times New Roman" w:cs="Times New Roman"/>
          <w:sz w:val="24"/>
          <w:szCs w:val="24"/>
          <w:lang w:eastAsia="lv-LV"/>
        </w:rPr>
        <w:t xml:space="preserve">, bet, tā kā tiem nebija atbilstoša deleģējuma, darba grupa vienojās par nepieciešamību iestrādāt Tiesu ekspertu likumā deleģējumu Ministru kabinetam noteikt tiesu ekspertīžu specialitāšu sadali starp tiesu ekspertīžu iestādēm. Minētais deleģējums tika noteikts Tiesu ekspertu likuma 11. panta otrajā daļā. Uz minētā deleģējuma pamata, izdoti </w:t>
      </w:r>
      <w:r w:rsidRPr="004B424A">
        <w:rPr>
          <w:rFonts w:ascii="Times New Roman" w:hAnsi="Times New Roman" w:eastAsia="Calibri" w:cs="Times New Roman"/>
          <w:sz w:val="24"/>
          <w:szCs w:val="24"/>
          <w:lang w:eastAsia="lv-LV"/>
        </w:rPr>
        <w:t>Ministru kabineta 2016. gada 20. decembrī noteikumi Nr.</w:t>
      </w:r>
      <w:r w:rsidR="004B424A">
        <w:rPr>
          <w:rFonts w:ascii="Times New Roman" w:hAnsi="Times New Roman" w:eastAsia="Calibri" w:cs="Times New Roman"/>
          <w:sz w:val="24"/>
          <w:szCs w:val="24"/>
          <w:lang w:eastAsia="lv-LV"/>
        </w:rPr>
        <w:t> </w:t>
      </w:r>
      <w:r w:rsidRPr="004B424A">
        <w:rPr>
          <w:rFonts w:ascii="Times New Roman" w:hAnsi="Times New Roman" w:eastAsia="Calibri" w:cs="Times New Roman"/>
          <w:sz w:val="24"/>
          <w:szCs w:val="24"/>
          <w:lang w:eastAsia="lv-LV"/>
        </w:rPr>
        <w:t>835 "Noteikumi par tiesu ekspertīžu iestāžu sarakstu un tiesu ekspertu specialitāšu klasifikatoru".</w:t>
      </w:r>
    </w:p>
    <w:p w:rsidRPr="004B424A" w:rsidR="00546C28" w:rsidP="004B424A" w:rsidRDefault="00546C28" w14:paraId="4711D42C" w14:textId="77777777">
      <w:pPr>
        <w:spacing w:after="0" w:line="240" w:lineRule="auto"/>
        <w:rPr>
          <w:rFonts w:ascii="Times New Roman" w:hAnsi="Times New Roman" w:eastAsia="Calibri" w:cs="Times New Roman"/>
          <w:b/>
          <w:bCs/>
          <w:sz w:val="24"/>
          <w:szCs w:val="24"/>
          <w:lang w:eastAsia="lv-LV"/>
        </w:rPr>
      </w:pPr>
    </w:p>
    <w:p w:rsidRPr="004B424A" w:rsidR="00546C28" w:rsidP="004B424A" w:rsidRDefault="000C1150" w14:paraId="4711D42D" w14:textId="77777777">
      <w:pPr>
        <w:autoSpaceDE w:val="0"/>
        <w:autoSpaceDN w:val="0"/>
        <w:adjustRightInd w:val="0"/>
        <w:spacing w:after="0" w:line="240" w:lineRule="auto"/>
        <w:ind w:left="720"/>
        <w:contextualSpacing/>
        <w:jc w:val="center"/>
        <w:rPr>
          <w:rFonts w:ascii="Times New Roman" w:hAnsi="Times New Roman" w:eastAsia="Calibri" w:cs="Times New Roman"/>
          <w:b/>
          <w:i/>
          <w:sz w:val="24"/>
          <w:szCs w:val="24"/>
        </w:rPr>
      </w:pPr>
      <w:r>
        <w:rPr>
          <w:rFonts w:ascii="Times New Roman" w:hAnsi="Times New Roman" w:eastAsia="Calibri" w:cs="Times New Roman"/>
          <w:b/>
          <w:bCs/>
          <w:i/>
          <w:sz w:val="24"/>
          <w:szCs w:val="24"/>
          <w:lang w:eastAsia="lv-LV"/>
        </w:rPr>
        <w:t>I</w:t>
      </w:r>
      <w:r w:rsidRPr="004B424A" w:rsidR="00546C28">
        <w:rPr>
          <w:rFonts w:ascii="Times New Roman" w:hAnsi="Times New Roman" w:eastAsia="Calibri" w:cs="Times New Roman"/>
          <w:b/>
          <w:bCs/>
          <w:i/>
          <w:sz w:val="24"/>
          <w:szCs w:val="24"/>
          <w:lang w:eastAsia="lv-LV"/>
        </w:rPr>
        <w:t>II Esošās situācijas raksturojums</w:t>
      </w:r>
    </w:p>
    <w:p w:rsidRPr="004B424A" w:rsidR="00546C28" w:rsidP="004B424A" w:rsidRDefault="00546C28" w14:paraId="4711D42E" w14:textId="77777777">
      <w:pPr>
        <w:spacing w:after="0" w:line="240" w:lineRule="auto"/>
        <w:rPr>
          <w:rFonts w:ascii="Times New Roman" w:hAnsi="Times New Roman" w:eastAsia="Calibri" w:cs="Times New Roman"/>
          <w:b/>
          <w:bCs/>
          <w:sz w:val="24"/>
          <w:szCs w:val="24"/>
          <w:lang w:eastAsia="lv-LV"/>
        </w:rPr>
      </w:pPr>
    </w:p>
    <w:p w:rsidRPr="004B424A" w:rsidR="00546C28" w:rsidP="004B424A" w:rsidRDefault="00546C28" w14:paraId="4711D42F" w14:textId="77777777">
      <w:pPr>
        <w:spacing w:after="0" w:line="240" w:lineRule="auto"/>
        <w:ind w:firstLine="720"/>
        <w:jc w:val="both"/>
        <w:rPr>
          <w:rFonts w:ascii="Times New Roman" w:hAnsi="Times New Roman" w:eastAsia="Calibri" w:cs="Times New Roman"/>
          <w:sz w:val="24"/>
          <w:szCs w:val="24"/>
          <w:lang w:eastAsia="lv-LV"/>
        </w:rPr>
      </w:pPr>
      <w:r w:rsidRPr="004B424A">
        <w:rPr>
          <w:rFonts w:ascii="Times New Roman" w:hAnsi="Times New Roman" w:eastAsia="Calibri" w:cs="Times New Roman"/>
          <w:sz w:val="24"/>
          <w:szCs w:val="24"/>
          <w:lang w:eastAsia="lv-LV"/>
        </w:rPr>
        <w:t>Šobrīd saskaņā ar Ministru kabineta 2016. gada 20. decembra noteikumu Nr. 835 "Noteikumi par tiesu ekspertīžu iestāžu sarakstu un tiesu ekspertu specialitāšu klasifikatoru" 2.</w:t>
      </w:r>
      <w:r w:rsidRPr="004B424A" w:rsidR="00597D35">
        <w:rPr>
          <w:rFonts w:ascii="Times New Roman" w:hAnsi="Times New Roman" w:eastAsia="Calibri" w:cs="Times New Roman"/>
          <w:sz w:val="24"/>
          <w:szCs w:val="24"/>
          <w:lang w:eastAsia="lv-LV"/>
        </w:rPr>
        <w:t> </w:t>
      </w:r>
      <w:r w:rsidRPr="004B424A">
        <w:rPr>
          <w:rFonts w:ascii="Times New Roman" w:hAnsi="Times New Roman" w:eastAsia="Calibri" w:cs="Times New Roman"/>
          <w:sz w:val="24"/>
          <w:szCs w:val="24"/>
          <w:lang w:eastAsia="lv-LV"/>
        </w:rPr>
        <w:t xml:space="preserve">punktu ir </w:t>
      </w:r>
      <w:r w:rsidRPr="004B424A">
        <w:rPr>
          <w:rFonts w:ascii="Times New Roman" w:hAnsi="Times New Roman" w:eastAsia="Calibri" w:cs="Times New Roman"/>
          <w:b/>
          <w:i/>
          <w:sz w:val="24"/>
          <w:szCs w:val="24"/>
          <w:lang w:eastAsia="lv-LV"/>
        </w:rPr>
        <w:t>6 ekspertīžu iestādes</w:t>
      </w:r>
      <w:r w:rsidRPr="004B424A">
        <w:rPr>
          <w:rFonts w:ascii="Times New Roman" w:hAnsi="Times New Roman" w:eastAsia="Calibri" w:cs="Times New Roman"/>
          <w:sz w:val="24"/>
          <w:szCs w:val="24"/>
          <w:lang w:eastAsia="lv-LV"/>
        </w:rPr>
        <w:t>:</w:t>
      </w:r>
    </w:p>
    <w:p w:rsidRPr="004B424A" w:rsidR="00546C28" w:rsidP="004B424A" w:rsidRDefault="00546C28" w14:paraId="4711D430" w14:textId="77777777">
      <w:pPr>
        <w:numPr>
          <w:ilvl w:val="0"/>
          <w:numId w:val="1"/>
        </w:numPr>
        <w:spacing w:after="0" w:line="240" w:lineRule="auto"/>
        <w:contextualSpacing/>
        <w:jc w:val="both"/>
        <w:rPr>
          <w:rFonts w:ascii="Times New Roman" w:hAnsi="Times New Roman" w:eastAsia="Calibri" w:cs="Times New Roman"/>
          <w:sz w:val="24"/>
          <w:szCs w:val="24"/>
          <w:lang w:eastAsia="lv-LV"/>
        </w:rPr>
      </w:pPr>
      <w:r w:rsidRPr="004B424A">
        <w:rPr>
          <w:rFonts w:ascii="Times New Roman" w:hAnsi="Times New Roman" w:eastAsia="Times New Roman" w:cs="Times New Roman"/>
          <w:sz w:val="24"/>
          <w:szCs w:val="24"/>
          <w:lang w:eastAsia="lv-LV"/>
        </w:rPr>
        <w:t>Valsts policijas Kriminālistikas pārvalde (turpmāk – VPKP);</w:t>
      </w:r>
    </w:p>
    <w:p w:rsidRPr="004B424A" w:rsidR="00546C28" w:rsidP="004B424A" w:rsidRDefault="00546C28" w14:paraId="4711D431" w14:textId="77777777">
      <w:pPr>
        <w:numPr>
          <w:ilvl w:val="0"/>
          <w:numId w:val="1"/>
        </w:numPr>
        <w:spacing w:after="0" w:line="240" w:lineRule="auto"/>
        <w:contextualSpacing/>
        <w:jc w:val="both"/>
        <w:rPr>
          <w:rFonts w:ascii="Times New Roman" w:hAnsi="Times New Roman" w:eastAsia="Calibri" w:cs="Times New Roman"/>
          <w:sz w:val="24"/>
          <w:szCs w:val="24"/>
          <w:lang w:eastAsia="lv-LV"/>
        </w:rPr>
      </w:pPr>
      <w:r w:rsidRPr="004B424A">
        <w:rPr>
          <w:rFonts w:ascii="Times New Roman" w:hAnsi="Times New Roman" w:eastAsia="Times New Roman" w:cs="Times New Roman"/>
          <w:sz w:val="24"/>
          <w:szCs w:val="24"/>
          <w:lang w:eastAsia="lv-LV"/>
        </w:rPr>
        <w:t xml:space="preserve">Valsts robežsardzes Galvenās pārvaldes Ekspertīžu dienests (turpmāk - </w:t>
      </w:r>
      <w:r w:rsidRPr="004B424A">
        <w:rPr>
          <w:rFonts w:ascii="Times New Roman" w:hAnsi="Times New Roman" w:eastAsia="Calibri" w:cs="Times New Roman"/>
          <w:sz w:val="24"/>
          <w:szCs w:val="24"/>
          <w:lang w:eastAsia="lv-LV"/>
        </w:rPr>
        <w:t>VRGPED</w:t>
      </w:r>
      <w:r w:rsidRPr="004B424A">
        <w:rPr>
          <w:rFonts w:ascii="Times New Roman" w:hAnsi="Times New Roman" w:eastAsia="Times New Roman" w:cs="Times New Roman"/>
          <w:sz w:val="24"/>
          <w:szCs w:val="24"/>
          <w:lang w:eastAsia="lv-LV"/>
        </w:rPr>
        <w:t>;</w:t>
      </w:r>
    </w:p>
    <w:p w:rsidRPr="004B424A" w:rsidR="00546C28" w:rsidP="004B424A" w:rsidRDefault="00546C28" w14:paraId="4711D432" w14:textId="77777777">
      <w:pPr>
        <w:numPr>
          <w:ilvl w:val="0"/>
          <w:numId w:val="1"/>
        </w:numPr>
        <w:spacing w:after="0" w:line="240" w:lineRule="auto"/>
        <w:contextualSpacing/>
        <w:jc w:val="both"/>
        <w:rPr>
          <w:rFonts w:ascii="Times New Roman" w:hAnsi="Times New Roman" w:eastAsia="Calibri" w:cs="Times New Roman"/>
          <w:sz w:val="24"/>
          <w:szCs w:val="24"/>
          <w:lang w:eastAsia="lv-LV"/>
        </w:rPr>
      </w:pPr>
      <w:r w:rsidRPr="004B424A">
        <w:rPr>
          <w:rFonts w:ascii="Times New Roman" w:hAnsi="Times New Roman" w:eastAsia="Times New Roman" w:cs="Times New Roman"/>
          <w:sz w:val="24"/>
          <w:szCs w:val="24"/>
          <w:lang w:eastAsia="lv-LV"/>
        </w:rPr>
        <w:t>Valsts tiesu ekspertīžu birojs (turpmāk – VTEB);</w:t>
      </w:r>
    </w:p>
    <w:p w:rsidRPr="004B424A" w:rsidR="00546C28" w:rsidP="004B424A" w:rsidRDefault="00546C28" w14:paraId="4711D433" w14:textId="77777777">
      <w:pPr>
        <w:numPr>
          <w:ilvl w:val="0"/>
          <w:numId w:val="1"/>
        </w:numPr>
        <w:spacing w:after="0" w:line="240" w:lineRule="auto"/>
        <w:contextualSpacing/>
        <w:jc w:val="both"/>
        <w:rPr>
          <w:rFonts w:ascii="Times New Roman" w:hAnsi="Times New Roman" w:eastAsia="Calibri" w:cs="Times New Roman"/>
          <w:sz w:val="24"/>
          <w:szCs w:val="24"/>
          <w:lang w:eastAsia="lv-LV"/>
        </w:rPr>
      </w:pPr>
      <w:r w:rsidRPr="004B424A">
        <w:rPr>
          <w:rFonts w:ascii="Times New Roman" w:hAnsi="Times New Roman" w:eastAsia="Times New Roman" w:cs="Times New Roman"/>
          <w:sz w:val="24"/>
          <w:szCs w:val="24"/>
          <w:lang w:eastAsia="lv-LV"/>
        </w:rPr>
        <w:t>Valsts tiesu medicīnas ekspertīzes centrs (turpmāk – VTMEC);</w:t>
      </w:r>
    </w:p>
    <w:p w:rsidRPr="004B424A" w:rsidR="00546C28" w:rsidP="004B424A" w:rsidRDefault="00546C28" w14:paraId="4711D434" w14:textId="77777777">
      <w:pPr>
        <w:numPr>
          <w:ilvl w:val="0"/>
          <w:numId w:val="1"/>
        </w:numPr>
        <w:spacing w:after="0" w:line="240" w:lineRule="auto"/>
        <w:contextualSpacing/>
        <w:jc w:val="both"/>
        <w:rPr>
          <w:rFonts w:ascii="Times New Roman" w:hAnsi="Times New Roman" w:eastAsia="Calibri" w:cs="Times New Roman"/>
          <w:sz w:val="24"/>
          <w:szCs w:val="24"/>
          <w:lang w:eastAsia="lv-LV"/>
        </w:rPr>
      </w:pPr>
      <w:r w:rsidRPr="004B424A">
        <w:rPr>
          <w:rFonts w:ascii="Times New Roman" w:hAnsi="Times New Roman" w:eastAsia="Times New Roman" w:cs="Times New Roman"/>
          <w:sz w:val="24"/>
          <w:szCs w:val="24"/>
          <w:lang w:eastAsia="lv-LV"/>
        </w:rPr>
        <w:t>valsts sabiedrība ar ierobežotu atbildību "Daugavpils psihoneiroloģiskā slimnīca";</w:t>
      </w:r>
    </w:p>
    <w:p w:rsidRPr="004B424A" w:rsidR="00546C28" w:rsidP="004B424A" w:rsidRDefault="00546C28" w14:paraId="4711D435" w14:textId="77777777">
      <w:pPr>
        <w:numPr>
          <w:ilvl w:val="0"/>
          <w:numId w:val="1"/>
        </w:numPr>
        <w:spacing w:after="0" w:line="240" w:lineRule="auto"/>
        <w:contextualSpacing/>
        <w:jc w:val="both"/>
        <w:rPr>
          <w:rFonts w:ascii="Times New Roman" w:hAnsi="Times New Roman" w:eastAsia="Calibri" w:cs="Times New Roman"/>
          <w:sz w:val="24"/>
          <w:szCs w:val="24"/>
          <w:lang w:eastAsia="lv-LV"/>
        </w:rPr>
      </w:pPr>
      <w:r w:rsidRPr="004B424A">
        <w:rPr>
          <w:rFonts w:ascii="Times New Roman" w:hAnsi="Times New Roman" w:eastAsia="Times New Roman" w:cs="Times New Roman"/>
          <w:sz w:val="24"/>
          <w:szCs w:val="24"/>
          <w:lang w:eastAsia="lv-LV"/>
        </w:rPr>
        <w:t>valsts sabiedrība ar ierobežotu atbildību "Rīgas psihiatrijas un narkoloģijas centrs".</w:t>
      </w:r>
    </w:p>
    <w:p w:rsidRPr="004B424A" w:rsidR="00DF57DA" w:rsidP="004B424A" w:rsidRDefault="00546C28" w14:paraId="4711D436" w14:textId="77777777">
      <w:pPr>
        <w:spacing w:after="0" w:line="240" w:lineRule="auto"/>
        <w:ind w:firstLine="720"/>
        <w:jc w:val="both"/>
        <w:rPr>
          <w:rFonts w:ascii="Times New Roman" w:hAnsi="Times New Roman" w:eastAsia="Calibri" w:cs="Times New Roman"/>
          <w:b/>
          <w:bCs/>
          <w:sz w:val="24"/>
          <w:szCs w:val="24"/>
          <w:lang w:eastAsia="lv-LV"/>
        </w:rPr>
      </w:pPr>
      <w:r w:rsidRPr="004B424A">
        <w:rPr>
          <w:rFonts w:ascii="Times New Roman" w:hAnsi="Times New Roman" w:eastAsia="Calibri" w:cs="Times New Roman"/>
          <w:sz w:val="24"/>
          <w:szCs w:val="24"/>
          <w:lang w:eastAsia="lv-LV"/>
        </w:rPr>
        <w:t>Tiesu ekspertīžu iestāžu funkcijas ir sadalītas, ņemot vērā ekspertīžu veidus. Tiesu ekspertīžu iestāžu darbība ir daļēji noregulēta normatīvajos aktos. To, kāda veida ekspertīzes katrā iestādē tiek veiktas</w:t>
      </w:r>
      <w:r w:rsidRPr="004B424A" w:rsidR="00DF57DA">
        <w:rPr>
          <w:rFonts w:ascii="Times New Roman" w:hAnsi="Times New Roman" w:eastAsia="Calibri" w:cs="Times New Roman"/>
          <w:sz w:val="24"/>
          <w:szCs w:val="24"/>
          <w:lang w:eastAsia="lv-LV"/>
        </w:rPr>
        <w:t>, reglamentē atsevišķi normatīvie akti, pārējos darbības virzienus iestāde ir noteikusi, saskaņojot ar atbildīgo ministriju.</w:t>
      </w:r>
    </w:p>
    <w:p w:rsidRPr="004B424A" w:rsidR="00546C28" w:rsidP="004B424A" w:rsidRDefault="00546C28" w14:paraId="4711D437" w14:textId="77777777">
      <w:pPr>
        <w:spacing w:after="0" w:line="240" w:lineRule="auto"/>
        <w:ind w:firstLine="720"/>
        <w:jc w:val="both"/>
        <w:rPr>
          <w:rFonts w:ascii="Times New Roman" w:hAnsi="Times New Roman" w:eastAsia="Calibri" w:cs="Times New Roman"/>
          <w:sz w:val="24"/>
          <w:szCs w:val="24"/>
          <w:lang w:eastAsia="lv-LV"/>
        </w:rPr>
      </w:pPr>
      <w:r w:rsidRPr="004B424A">
        <w:rPr>
          <w:rFonts w:ascii="Times New Roman" w:hAnsi="Times New Roman" w:eastAsia="Calibri" w:cs="Times New Roman"/>
          <w:sz w:val="24"/>
          <w:szCs w:val="24"/>
          <w:lang w:eastAsia="lv-LV"/>
        </w:rPr>
        <w:t xml:space="preserve">Lai izpildītu Ministru kabineta 2017. gada 28. augusta sēdēs protokola Nr. 41 1. § 24. punktu, ar tieslietu ministra 2017. gada 15. decembra rīkojumu Nr. 1-1/396 </w:t>
      </w:r>
      <w:r w:rsidR="004B424A">
        <w:rPr>
          <w:rFonts w:ascii="Times New Roman" w:hAnsi="Times New Roman" w:eastAsia="Calibri" w:cs="Times New Roman"/>
          <w:sz w:val="24"/>
          <w:szCs w:val="24"/>
          <w:lang w:eastAsia="lv-LV"/>
        </w:rPr>
        <w:t>"</w:t>
      </w:r>
      <w:r w:rsidRPr="004B424A">
        <w:rPr>
          <w:rFonts w:ascii="Times New Roman" w:hAnsi="Times New Roman" w:eastAsia="Calibri" w:cs="Times New Roman"/>
          <w:sz w:val="24"/>
          <w:szCs w:val="24"/>
          <w:lang w:eastAsia="lv-LV"/>
        </w:rPr>
        <w:t>Par darba grupas izveidi rīcības plāna izstrādei tiesu ekspertīžu institūta reformas ieviešanai</w:t>
      </w:r>
      <w:r w:rsidR="004B424A">
        <w:rPr>
          <w:rFonts w:ascii="Times New Roman" w:hAnsi="Times New Roman" w:eastAsia="Calibri" w:cs="Times New Roman"/>
          <w:sz w:val="24"/>
          <w:szCs w:val="24"/>
          <w:lang w:eastAsia="lv-LV"/>
        </w:rPr>
        <w:t>"</w:t>
      </w:r>
      <w:r w:rsidRPr="004B424A">
        <w:rPr>
          <w:rFonts w:ascii="Times New Roman" w:hAnsi="Times New Roman" w:eastAsia="Calibri" w:cs="Times New Roman"/>
          <w:sz w:val="24"/>
          <w:szCs w:val="24"/>
          <w:lang w:eastAsia="lv-LV"/>
        </w:rPr>
        <w:t xml:space="preserve"> (turpmāk – rīkojums), tika izveidota darba grupa, kuras sastāvā iekļauti pārstāvji no Tieslietu ministrijas, Iekšlietu ministrijas, Finanšu ministrijas, Veselības ministrijas, Tiesu ekspertu padomes, Valsts tiesu ekspertīžu biroja, Ģenerālprokuratūras, Rīgas apgabaltiesas, Valsts policijas Galvenās Kriminālpolicijas pārvaldes, Valsts kancelejas (turpmāk – darba grupa).</w:t>
      </w:r>
    </w:p>
    <w:p w:rsidRPr="004B424A" w:rsidR="00546C28" w:rsidP="004B424A" w:rsidRDefault="00546C28" w14:paraId="4711D438" w14:textId="77777777">
      <w:pPr>
        <w:spacing w:after="0" w:line="240" w:lineRule="auto"/>
        <w:ind w:firstLine="720"/>
        <w:jc w:val="both"/>
        <w:rPr>
          <w:rFonts w:ascii="Times New Roman" w:hAnsi="Times New Roman" w:eastAsia="Calibri" w:cs="Times New Roman"/>
          <w:i/>
          <w:sz w:val="24"/>
          <w:szCs w:val="24"/>
          <w:lang w:eastAsia="lv-LV"/>
        </w:rPr>
      </w:pPr>
      <w:bookmarkStart w:name="_Hlk517941536" w:id="2"/>
      <w:r w:rsidRPr="004B424A">
        <w:rPr>
          <w:rFonts w:ascii="Times New Roman" w:hAnsi="Times New Roman" w:eastAsia="Calibri" w:cs="Times New Roman"/>
          <w:sz w:val="24"/>
          <w:szCs w:val="24"/>
          <w:lang w:eastAsia="lv-LV"/>
        </w:rPr>
        <w:t>Darba grupa, lai izpildītu tai ar rīkojumu doto uzdevumu, ir iepazinusies ar jautājuma līdzšinējo virzību, diskutējusi par institucionālās padotības lietderības apsvērumiem</w:t>
      </w:r>
      <w:r w:rsidRPr="004B424A">
        <w:rPr>
          <w:rFonts w:ascii="Times New Roman" w:hAnsi="Times New Roman" w:eastAsia="Calibri" w:cs="Times New Roman"/>
          <w:sz w:val="24"/>
          <w:szCs w:val="24"/>
        </w:rPr>
        <w:t xml:space="preserve">, iepazinusies ar Igaunijas pieredzi tiesu ekspertīžu reformas īstenošanā, kā arī, </w:t>
      </w:r>
      <w:r w:rsidRPr="004B424A">
        <w:rPr>
          <w:rFonts w:ascii="Times New Roman" w:hAnsi="Times New Roman" w:eastAsia="Calibri" w:cs="Times New Roman"/>
          <w:sz w:val="24"/>
          <w:szCs w:val="24"/>
          <w:lang w:eastAsia="lv-LV"/>
        </w:rPr>
        <w:t>atbilstoši Finanšu ministrijas ierosinājumam</w:t>
      </w:r>
      <w:r w:rsidRPr="004B424A">
        <w:rPr>
          <w:rFonts w:ascii="Times New Roman" w:hAnsi="Times New Roman" w:eastAsia="Calibri" w:cs="Times New Roman"/>
          <w:sz w:val="24"/>
          <w:szCs w:val="24"/>
          <w:vertAlign w:val="superscript"/>
          <w:lang w:eastAsia="lv-LV"/>
        </w:rPr>
        <w:footnoteReference w:id="1"/>
      </w:r>
      <w:r w:rsidRPr="004B424A">
        <w:rPr>
          <w:rFonts w:ascii="Times New Roman" w:hAnsi="Times New Roman" w:eastAsia="Calibri" w:cs="Times New Roman"/>
          <w:sz w:val="24"/>
          <w:szCs w:val="24"/>
          <w:lang w:eastAsia="lv-LV"/>
        </w:rPr>
        <w:t xml:space="preserve">, vērtējusi iespēju veidot vienotu tiesu ekspertīžu iestādi, </w:t>
      </w:r>
      <w:r w:rsidRPr="004B424A">
        <w:rPr>
          <w:rFonts w:ascii="Times New Roman" w:hAnsi="Times New Roman" w:eastAsia="Calibri" w:cs="Times New Roman"/>
          <w:i/>
          <w:sz w:val="24"/>
          <w:szCs w:val="24"/>
          <w:lang w:eastAsia="lv-LV"/>
        </w:rPr>
        <w:t>apvienojot Valsts policijas Kriminālistikas pārvaldi, Valsts tiesu ekspertīžu biroju, Valsts tiesu medicīnas ekspertīzes centru, Valsts robežsardzes Galvenās pārvaldes Ekspertīžu dienestu un ekspertīžu jomu, ko nodrošina Valsts ieņēmuma dienesta Muitas pārvaldes Muitas laboratorija.</w:t>
      </w:r>
    </w:p>
    <w:p w:rsidRPr="004B424A" w:rsidR="00546C28" w:rsidP="004B424A" w:rsidRDefault="00546C28" w14:paraId="4711D439" w14:textId="77777777">
      <w:pPr>
        <w:spacing w:after="0" w:line="240" w:lineRule="auto"/>
        <w:ind w:firstLine="720"/>
        <w:jc w:val="both"/>
        <w:rPr>
          <w:rFonts w:ascii="Times New Roman" w:hAnsi="Times New Roman" w:eastAsia="Calibri" w:cs="Times New Roman"/>
          <w:sz w:val="24"/>
          <w:szCs w:val="24"/>
          <w:lang w:eastAsia="lv-LV"/>
        </w:rPr>
      </w:pPr>
      <w:r w:rsidRPr="004B424A">
        <w:rPr>
          <w:rFonts w:ascii="Times New Roman" w:hAnsi="Times New Roman" w:eastAsia="Calibri" w:cs="Times New Roman"/>
          <w:sz w:val="24"/>
          <w:szCs w:val="24"/>
          <w:lang w:eastAsia="lv-LV"/>
        </w:rPr>
        <w:t>Diskutējot par minēto iestāžu apvienošanu, darba grupa secina, ka, ņemot vērā to, ka ķīmisko tiesu ekspertīžu veikšana narkotisko un psihotropo vielu specialitātē ir tikai viena no Valsts ieņēmuma dienesta Muitas pārvaldes Muitas laboratorijas kompetencēm, pārējās nav saistītas ar tiesu ekspertīžu veikšanu, kā arī, ņemot vērā to, ka ķīmisko tiesu ekspertīžu apjoms sastāda tikai 25</w:t>
      </w:r>
      <w:r w:rsidR="004B424A">
        <w:rPr>
          <w:rFonts w:ascii="Times New Roman" w:hAnsi="Times New Roman" w:eastAsia="Calibri" w:cs="Times New Roman"/>
          <w:sz w:val="24"/>
          <w:szCs w:val="24"/>
          <w:lang w:eastAsia="lv-LV"/>
        </w:rPr>
        <w:t> </w:t>
      </w:r>
      <w:r w:rsidRPr="004B424A">
        <w:rPr>
          <w:rFonts w:ascii="Times New Roman" w:hAnsi="Times New Roman" w:eastAsia="Calibri" w:cs="Times New Roman"/>
          <w:sz w:val="24"/>
          <w:szCs w:val="24"/>
          <w:lang w:eastAsia="lv-LV"/>
        </w:rPr>
        <w:t>% no Valsts ieņēmuma dienesta Muitas pārvaldes Muitas laboratorijā iesniegto paraugu skaita, jautājums par šī ekspertīžu veida pievienošanu tiesu ekspertīžu institūtam šajā reformas īstenošanas stadijā nav aktuāls.</w:t>
      </w:r>
    </w:p>
    <w:bookmarkEnd w:id="2"/>
    <w:p w:rsidRPr="004B424A" w:rsidR="00E136AF" w:rsidP="004B424A" w:rsidRDefault="00546C28" w14:paraId="4711D43A" w14:textId="77777777">
      <w:pPr>
        <w:spacing w:after="0" w:line="240" w:lineRule="auto"/>
        <w:ind w:firstLine="720"/>
        <w:jc w:val="both"/>
        <w:rPr>
          <w:rFonts w:ascii="Times New Roman" w:hAnsi="Times New Roman" w:eastAsia="Calibri" w:cs="Times New Roman"/>
          <w:sz w:val="24"/>
          <w:szCs w:val="24"/>
          <w:lang w:eastAsia="lv-LV"/>
        </w:rPr>
      </w:pPr>
      <w:r w:rsidRPr="004B424A">
        <w:rPr>
          <w:rFonts w:ascii="Times New Roman" w:hAnsi="Times New Roman" w:eastAsia="Calibri" w:cs="Times New Roman"/>
          <w:sz w:val="24"/>
          <w:szCs w:val="24"/>
        </w:rPr>
        <w:lastRenderedPageBreak/>
        <w:t xml:space="preserve">Darba grupas ieskatā, </w:t>
      </w:r>
      <w:r w:rsidRPr="004B424A" w:rsidR="00546833">
        <w:rPr>
          <w:rFonts w:ascii="Times New Roman" w:hAnsi="Times New Roman" w:eastAsia="Calibri" w:cs="Times New Roman"/>
          <w:sz w:val="24"/>
          <w:szCs w:val="24"/>
        </w:rPr>
        <w:t>nav pamata pieņemt pārsteidzīgus un nekompetentus lēmumus, šobrīd uzsākot tiesu ekspertīžu reformu</w:t>
      </w:r>
      <w:r w:rsidRPr="004B424A" w:rsidR="0048382C">
        <w:rPr>
          <w:rFonts w:ascii="Times New Roman" w:hAnsi="Times New Roman" w:eastAsia="Calibri" w:cs="Times New Roman"/>
          <w:sz w:val="24"/>
          <w:szCs w:val="24"/>
        </w:rPr>
        <w:t xml:space="preserve">, </w:t>
      </w:r>
      <w:r w:rsidRPr="004B424A">
        <w:rPr>
          <w:rFonts w:ascii="Times New Roman" w:hAnsi="Times New Roman" w:eastAsia="Calibri" w:cs="Times New Roman"/>
          <w:sz w:val="24"/>
          <w:szCs w:val="24"/>
        </w:rPr>
        <w:t>apvienojot VPKP, VTEB un VTMEC.</w:t>
      </w:r>
      <w:r w:rsidRPr="004B424A" w:rsidR="0071076D">
        <w:rPr>
          <w:rFonts w:ascii="Times New Roman" w:hAnsi="Times New Roman" w:eastAsia="Calibri" w:cs="Times New Roman"/>
          <w:sz w:val="24"/>
          <w:szCs w:val="24"/>
        </w:rPr>
        <w:t xml:space="preserve"> Darba grupas locekļu viedokļi dalās jautājumā par</w:t>
      </w:r>
      <w:r w:rsidRPr="004B424A" w:rsidR="00546833">
        <w:rPr>
          <w:rFonts w:ascii="Times New Roman" w:hAnsi="Times New Roman" w:eastAsia="Calibri" w:cs="Times New Roman"/>
          <w:sz w:val="24"/>
          <w:szCs w:val="24"/>
        </w:rPr>
        <w:t xml:space="preserve"> iespējami perspektīvā </w:t>
      </w:r>
      <w:r w:rsidRPr="004B424A" w:rsidR="0071076D">
        <w:rPr>
          <w:rFonts w:ascii="Times New Roman" w:hAnsi="Times New Roman" w:eastAsia="Calibri" w:cs="Times New Roman"/>
          <w:sz w:val="24"/>
          <w:szCs w:val="24"/>
        </w:rPr>
        <w:t>apvienotās tiesu ekspertīžu iestādes institucionālo padotību</w:t>
      </w:r>
      <w:r w:rsidRPr="004B424A" w:rsidR="00E136AF">
        <w:rPr>
          <w:rFonts w:ascii="Times New Roman" w:hAnsi="Times New Roman" w:eastAsia="Calibri" w:cs="Times New Roman"/>
          <w:sz w:val="24"/>
          <w:szCs w:val="24"/>
        </w:rPr>
        <w:t xml:space="preserve">, proti, daļa darba grupas locekļu pauž uzskatu, ka </w:t>
      </w:r>
      <w:r w:rsidRPr="004B424A" w:rsidR="00E136AF">
        <w:rPr>
          <w:rFonts w:ascii="Times New Roman" w:hAnsi="Times New Roman" w:eastAsia="Calibri" w:cs="Times New Roman"/>
          <w:sz w:val="24"/>
          <w:szCs w:val="24"/>
          <w:lang w:eastAsia="lv-LV"/>
        </w:rPr>
        <w:t>vienotā tiesu ekspertīžu iestādes</w:t>
      </w:r>
      <w:r w:rsidRPr="004B424A" w:rsidR="00546833">
        <w:rPr>
          <w:rFonts w:ascii="Times New Roman" w:hAnsi="Times New Roman" w:eastAsia="Calibri" w:cs="Times New Roman"/>
          <w:sz w:val="24"/>
          <w:szCs w:val="24"/>
          <w:lang w:eastAsia="lv-LV"/>
        </w:rPr>
        <w:t xml:space="preserve"> iespējamā </w:t>
      </w:r>
      <w:r w:rsidRPr="004B424A" w:rsidR="00E136AF">
        <w:rPr>
          <w:rFonts w:ascii="Times New Roman" w:hAnsi="Times New Roman" w:eastAsia="Calibri" w:cs="Times New Roman"/>
          <w:sz w:val="24"/>
          <w:szCs w:val="24"/>
          <w:lang w:eastAsia="lv-LV"/>
        </w:rPr>
        <w:t>izveide uzsākama</w:t>
      </w:r>
      <w:r w:rsidRPr="004B424A" w:rsidR="008D4E7C">
        <w:rPr>
          <w:rFonts w:ascii="Times New Roman" w:hAnsi="Times New Roman" w:eastAsia="Calibri" w:cs="Times New Roman"/>
          <w:sz w:val="24"/>
          <w:szCs w:val="24"/>
          <w:lang w:eastAsia="lv-LV"/>
        </w:rPr>
        <w:t>,</w:t>
      </w:r>
      <w:r w:rsidRPr="004B424A" w:rsidR="00E136AF">
        <w:rPr>
          <w:rFonts w:ascii="Times New Roman" w:hAnsi="Times New Roman" w:eastAsia="Calibri" w:cs="Times New Roman"/>
          <w:sz w:val="24"/>
          <w:szCs w:val="24"/>
          <w:lang w:eastAsia="lv-LV"/>
        </w:rPr>
        <w:t xml:space="preserve"> Valsts policijas Kriminālistikas pārvaldi pārveidojot par iestādi un apvienojot to ar VTMEC un VTEB, nosakot tās padotību iekšlietu ministram, savukārt daļa uzskata, ka</w:t>
      </w:r>
      <w:r w:rsidRPr="004B424A" w:rsidR="00546833">
        <w:rPr>
          <w:rFonts w:ascii="Times New Roman" w:hAnsi="Times New Roman" w:eastAsia="Calibri" w:cs="Times New Roman"/>
          <w:sz w:val="24"/>
          <w:szCs w:val="24"/>
          <w:lang w:eastAsia="lv-LV"/>
        </w:rPr>
        <w:t xml:space="preserve"> iespējamā</w:t>
      </w:r>
      <w:r w:rsidRPr="004B424A" w:rsidR="00E136AF">
        <w:rPr>
          <w:rFonts w:ascii="Times New Roman" w:hAnsi="Times New Roman" w:eastAsia="Calibri" w:cs="Times New Roman"/>
          <w:sz w:val="24"/>
          <w:szCs w:val="24"/>
          <w:lang w:eastAsia="lv-LV"/>
        </w:rPr>
        <w:t xml:space="preserve"> </w:t>
      </w:r>
      <w:r w:rsidRPr="004B424A" w:rsidR="00E136AF">
        <w:rPr>
          <w:rFonts w:ascii="Times New Roman" w:hAnsi="Times New Roman" w:cs="Times New Roman"/>
          <w:sz w:val="24"/>
          <w:szCs w:val="24"/>
        </w:rPr>
        <w:t>vienot</w:t>
      </w:r>
      <w:r w:rsidRPr="004B424A" w:rsidR="00F32B4B">
        <w:rPr>
          <w:rFonts w:ascii="Times New Roman" w:hAnsi="Times New Roman" w:cs="Times New Roman"/>
          <w:sz w:val="24"/>
          <w:szCs w:val="24"/>
        </w:rPr>
        <w:t>ā</w:t>
      </w:r>
      <w:r w:rsidRPr="004B424A" w:rsidR="00E136AF">
        <w:rPr>
          <w:rFonts w:ascii="Times New Roman" w:hAnsi="Times New Roman" w:cs="Times New Roman"/>
          <w:sz w:val="24"/>
          <w:szCs w:val="24"/>
        </w:rPr>
        <w:t xml:space="preserve"> tiesu ekspertīžu biroja izveide uzsākama</w:t>
      </w:r>
      <w:r w:rsidRPr="004B424A" w:rsidR="008D4E7C">
        <w:rPr>
          <w:rFonts w:ascii="Times New Roman" w:hAnsi="Times New Roman" w:cs="Times New Roman"/>
          <w:sz w:val="24"/>
          <w:szCs w:val="24"/>
        </w:rPr>
        <w:t>,</w:t>
      </w:r>
      <w:r w:rsidRPr="004B424A" w:rsidR="00E136AF">
        <w:rPr>
          <w:rFonts w:ascii="Times New Roman" w:hAnsi="Times New Roman" w:cs="Times New Roman"/>
          <w:sz w:val="24"/>
          <w:szCs w:val="24"/>
        </w:rPr>
        <w:t xml:space="preserve"> VTEB pakāpeniski pievienojot VPKP un VTMEC, saglabājot biroja padotību tieslietu ministram. Darba grupas locekļi, kas pārstāv Veselības ministriju, </w:t>
      </w:r>
      <w:r w:rsidRPr="00AA7DAB" w:rsidR="00F32B4B">
        <w:rPr>
          <w:rFonts w:ascii="Times New Roman" w:hAnsi="Times New Roman" w:cs="Times New Roman"/>
          <w:sz w:val="24"/>
          <w:szCs w:val="24"/>
        </w:rPr>
        <w:t>atbalsta</w:t>
      </w:r>
      <w:r w:rsidRPr="004B424A" w:rsidR="00F32B4B">
        <w:rPr>
          <w:rFonts w:ascii="Times New Roman" w:hAnsi="Times New Roman" w:cs="Times New Roman"/>
          <w:sz w:val="24"/>
          <w:szCs w:val="24"/>
        </w:rPr>
        <w:t xml:space="preserve"> </w:t>
      </w:r>
      <w:r w:rsidRPr="004B424A" w:rsidR="00E136AF">
        <w:rPr>
          <w:rFonts w:ascii="Times New Roman" w:hAnsi="Times New Roman" w:cs="Times New Roman"/>
          <w:sz w:val="24"/>
          <w:szCs w:val="24"/>
        </w:rPr>
        <w:t xml:space="preserve">VTMEC apvienošanu ar </w:t>
      </w:r>
      <w:r w:rsidRPr="004B424A" w:rsidR="00E136AF">
        <w:rPr>
          <w:rFonts w:ascii="Times New Roman" w:hAnsi="Times New Roman" w:eastAsia="Calibri" w:cs="Times New Roman"/>
          <w:sz w:val="24"/>
          <w:szCs w:val="24"/>
        </w:rPr>
        <w:t>VPKP un VTEB,</w:t>
      </w:r>
      <w:r w:rsidRPr="004B424A" w:rsidR="00F32B4B">
        <w:rPr>
          <w:rFonts w:ascii="Times New Roman" w:hAnsi="Times New Roman" w:eastAsia="Calibri" w:cs="Times New Roman"/>
          <w:sz w:val="24"/>
          <w:szCs w:val="24"/>
        </w:rPr>
        <w:t xml:space="preserve"> nepaužot atbalstu konkrētam institucionālās padotības modelim.</w:t>
      </w:r>
    </w:p>
    <w:p w:rsidRPr="004B424A" w:rsidR="00546C28" w:rsidP="004B424A" w:rsidRDefault="00546C28" w14:paraId="4711D43B" w14:textId="77777777">
      <w:pPr>
        <w:spacing w:after="0" w:line="240" w:lineRule="auto"/>
        <w:ind w:firstLine="709"/>
        <w:jc w:val="both"/>
        <w:rPr>
          <w:rFonts w:ascii="Times New Roman" w:hAnsi="Times New Roman" w:eastAsia="Calibri" w:cs="Times New Roman"/>
          <w:sz w:val="24"/>
          <w:szCs w:val="24"/>
          <w:lang w:eastAsia="lv-LV"/>
        </w:rPr>
      </w:pPr>
      <w:r w:rsidRPr="004B424A">
        <w:rPr>
          <w:rFonts w:ascii="Times New Roman" w:hAnsi="Times New Roman" w:eastAsia="Calibri" w:cs="Times New Roman"/>
          <w:sz w:val="24"/>
          <w:szCs w:val="24"/>
          <w:lang w:eastAsia="lv-LV"/>
        </w:rPr>
        <w:t>Ņemot vērā to, ka līdzīga tiesu ekspertīžu iestāžu reforma tika īstenota Igaunijā, lai apzinātu Igaunijas pieredzi,</w:t>
      </w:r>
      <w:bookmarkStart w:name="_Hlk516234017" w:id="3"/>
      <w:r w:rsidRPr="004B424A">
        <w:rPr>
          <w:rFonts w:ascii="Times New Roman" w:hAnsi="Times New Roman" w:eastAsia="Calibri" w:cs="Times New Roman"/>
          <w:sz w:val="24"/>
          <w:szCs w:val="24"/>
          <w:lang w:eastAsia="lv-LV"/>
        </w:rPr>
        <w:t xml:space="preserve"> d</w:t>
      </w:r>
      <w:bookmarkEnd w:id="3"/>
      <w:r w:rsidRPr="004B424A">
        <w:rPr>
          <w:rFonts w:ascii="Times New Roman" w:hAnsi="Times New Roman" w:eastAsia="Calibri" w:cs="Times New Roman"/>
          <w:sz w:val="24"/>
          <w:szCs w:val="24"/>
          <w:lang w:eastAsia="lv-LV"/>
        </w:rPr>
        <w:t xml:space="preserve">arba grupa pieredzes apmaiņas vizītē apmeklēja Igaunijas tiesu ekspertīzes institūtu. </w:t>
      </w:r>
      <w:bookmarkStart w:name="_Hlk516242486" w:id="4"/>
      <w:r w:rsidRPr="004B424A">
        <w:rPr>
          <w:rFonts w:ascii="Times New Roman" w:hAnsi="Times New Roman" w:eastAsia="Calibri" w:cs="Times New Roman"/>
          <w:sz w:val="24"/>
          <w:szCs w:val="24"/>
          <w:lang w:eastAsia="lv-LV"/>
        </w:rPr>
        <w:t xml:space="preserve">Igaunijas Tiesu ekspertīžu institūta direktors </w:t>
      </w:r>
      <w:proofErr w:type="spellStart"/>
      <w:r w:rsidRPr="004B424A">
        <w:rPr>
          <w:rFonts w:ascii="Times New Roman" w:hAnsi="Times New Roman" w:eastAsia="Calibri" w:cs="Times New Roman"/>
          <w:sz w:val="24"/>
          <w:szCs w:val="24"/>
          <w:lang w:eastAsia="lv-LV"/>
        </w:rPr>
        <w:t>Ullars</w:t>
      </w:r>
      <w:proofErr w:type="spellEnd"/>
      <w:r w:rsidRPr="004B424A">
        <w:rPr>
          <w:rFonts w:ascii="Times New Roman" w:hAnsi="Times New Roman" w:eastAsia="Calibri" w:cs="Times New Roman"/>
          <w:sz w:val="24"/>
          <w:szCs w:val="24"/>
          <w:lang w:eastAsia="lv-LV"/>
        </w:rPr>
        <w:t xml:space="preserve"> </w:t>
      </w:r>
      <w:proofErr w:type="spellStart"/>
      <w:r w:rsidRPr="004B424A">
        <w:rPr>
          <w:rFonts w:ascii="Times New Roman" w:hAnsi="Times New Roman" w:eastAsia="Calibri" w:cs="Times New Roman"/>
          <w:sz w:val="24"/>
          <w:szCs w:val="24"/>
          <w:lang w:eastAsia="lv-LV"/>
        </w:rPr>
        <w:t>Lanno</w:t>
      </w:r>
      <w:proofErr w:type="spellEnd"/>
      <w:r w:rsidRPr="004B424A">
        <w:rPr>
          <w:rFonts w:ascii="Times New Roman" w:hAnsi="Times New Roman" w:eastAsia="Calibri" w:cs="Times New Roman"/>
          <w:sz w:val="24"/>
          <w:szCs w:val="24"/>
          <w:lang w:eastAsia="lv-LV"/>
        </w:rPr>
        <w:t xml:space="preserve"> (</w:t>
      </w:r>
      <w:proofErr w:type="spellStart"/>
      <w:r w:rsidRPr="004B424A">
        <w:rPr>
          <w:rFonts w:ascii="Times New Roman" w:hAnsi="Times New Roman" w:eastAsia="Calibri" w:cs="Times New Roman"/>
          <w:bCs/>
          <w:i/>
          <w:sz w:val="24"/>
          <w:szCs w:val="24"/>
          <w:lang w:eastAsia="lv-LV"/>
        </w:rPr>
        <w:t>Üllar</w:t>
      </w:r>
      <w:proofErr w:type="spellEnd"/>
      <w:r w:rsidRPr="004B424A">
        <w:rPr>
          <w:rFonts w:ascii="Times New Roman" w:hAnsi="Times New Roman" w:eastAsia="Calibri" w:cs="Times New Roman"/>
          <w:bCs/>
          <w:i/>
          <w:sz w:val="24"/>
          <w:szCs w:val="24"/>
          <w:lang w:eastAsia="lv-LV"/>
        </w:rPr>
        <w:t xml:space="preserve"> </w:t>
      </w:r>
      <w:proofErr w:type="spellStart"/>
      <w:r w:rsidRPr="004B424A">
        <w:rPr>
          <w:rFonts w:ascii="Times New Roman" w:hAnsi="Times New Roman" w:eastAsia="Calibri" w:cs="Times New Roman"/>
          <w:bCs/>
          <w:i/>
          <w:sz w:val="24"/>
          <w:szCs w:val="24"/>
          <w:lang w:eastAsia="lv-LV"/>
        </w:rPr>
        <w:t>Lano</w:t>
      </w:r>
      <w:proofErr w:type="spellEnd"/>
      <w:r w:rsidRPr="004B424A">
        <w:rPr>
          <w:rFonts w:ascii="Times New Roman" w:hAnsi="Times New Roman" w:eastAsia="Calibri" w:cs="Times New Roman"/>
          <w:bCs/>
          <w:sz w:val="24"/>
          <w:szCs w:val="24"/>
          <w:lang w:eastAsia="lv-LV"/>
        </w:rPr>
        <w:t>)</w:t>
      </w:r>
      <w:r w:rsidRPr="004B424A">
        <w:rPr>
          <w:rFonts w:ascii="Times New Roman" w:hAnsi="Times New Roman" w:eastAsia="Calibri" w:cs="Times New Roman"/>
          <w:sz w:val="24"/>
          <w:szCs w:val="24"/>
          <w:lang w:eastAsia="lv-LV"/>
        </w:rPr>
        <w:t xml:space="preserve"> dalījās pieredzē par Igaunijā veikto tiesu ekspertīžu iestāžu reformu, kas tika uzsākta 2006. gada sākumā un pabeigta 2010. gada 1. oktobrī, izvietojot Igaunijas tiesu ekspertīzes institūtu speciāli šai iestādei jaunuzceltā ēkā (investīcijas ēkas celtniecībā bija 8.4 milj. eiro).</w:t>
      </w:r>
    </w:p>
    <w:bookmarkEnd w:id="4"/>
    <w:p w:rsidRPr="004B424A" w:rsidR="00546C28" w:rsidP="004B424A" w:rsidRDefault="00546C28" w14:paraId="4711D43C" w14:textId="77777777">
      <w:pPr>
        <w:spacing w:after="0" w:line="240" w:lineRule="auto"/>
        <w:ind w:firstLine="720"/>
        <w:jc w:val="both"/>
        <w:rPr>
          <w:rFonts w:ascii="Times New Roman" w:hAnsi="Times New Roman" w:eastAsia="Calibri" w:cs="Times New Roman"/>
          <w:sz w:val="24"/>
          <w:szCs w:val="24"/>
        </w:rPr>
      </w:pPr>
      <w:r w:rsidRPr="004B424A">
        <w:rPr>
          <w:rFonts w:ascii="Times New Roman" w:hAnsi="Times New Roman" w:eastAsia="Calibri" w:cs="Times New Roman"/>
          <w:sz w:val="24"/>
          <w:szCs w:val="24"/>
          <w:lang w:eastAsia="lv-LV"/>
        </w:rPr>
        <w:t xml:space="preserve">Līdz 2006. gadam Igaunijā pastāvēja divas tiesu ekspertīžu iestādes, </w:t>
      </w:r>
      <w:r w:rsidRPr="004B424A">
        <w:rPr>
          <w:rFonts w:ascii="Times New Roman" w:hAnsi="Times New Roman" w:eastAsia="Calibri" w:cs="Times New Roman"/>
          <w:i/>
          <w:sz w:val="24"/>
          <w:szCs w:val="24"/>
          <w:lang w:eastAsia="lv-LV"/>
        </w:rPr>
        <w:t xml:space="preserve">Iekšlietu ministrijas padotībā </w:t>
      </w:r>
      <w:r w:rsidRPr="004B424A">
        <w:rPr>
          <w:rFonts w:ascii="Times New Roman" w:hAnsi="Times New Roman" w:eastAsia="Calibri" w:cs="Times New Roman"/>
          <w:i/>
          <w:sz w:val="24"/>
          <w:szCs w:val="24"/>
        </w:rPr>
        <w:t xml:space="preserve">Tiesu ekspertīžu un kriminālistikas centrs, </w:t>
      </w:r>
      <w:r w:rsidRPr="004B424A">
        <w:rPr>
          <w:rFonts w:ascii="Times New Roman" w:hAnsi="Times New Roman" w:eastAsia="Calibri" w:cs="Times New Roman"/>
          <w:i/>
          <w:sz w:val="24"/>
          <w:szCs w:val="24"/>
          <w:lang w:eastAsia="lv-LV"/>
        </w:rPr>
        <w:t>Tieslietu ministrijas padotībā</w:t>
      </w:r>
      <w:r w:rsidRPr="004B424A">
        <w:rPr>
          <w:rFonts w:ascii="Times New Roman" w:hAnsi="Times New Roman" w:eastAsia="Calibri" w:cs="Times New Roman"/>
          <w:i/>
          <w:sz w:val="24"/>
          <w:szCs w:val="24"/>
        </w:rPr>
        <w:t xml:space="preserve"> Igaunijas tiesu medicīnas ekspertīžu birojs.</w:t>
      </w:r>
      <w:r w:rsidRPr="004B424A">
        <w:rPr>
          <w:rFonts w:ascii="Times New Roman" w:hAnsi="Times New Roman" w:eastAsia="Calibri" w:cs="Times New Roman"/>
          <w:sz w:val="24"/>
          <w:szCs w:val="24"/>
        </w:rPr>
        <w:t xml:space="preserve"> </w:t>
      </w:r>
    </w:p>
    <w:p w:rsidRPr="004B424A" w:rsidR="00546C28" w:rsidP="004B424A" w:rsidRDefault="00546C28" w14:paraId="4711D43D" w14:textId="77777777">
      <w:pPr>
        <w:spacing w:after="0" w:line="240" w:lineRule="auto"/>
        <w:ind w:firstLine="720"/>
        <w:jc w:val="both"/>
        <w:rPr>
          <w:rFonts w:ascii="Times New Roman" w:hAnsi="Times New Roman" w:eastAsia="Calibri" w:cs="Times New Roman"/>
          <w:sz w:val="24"/>
          <w:szCs w:val="24"/>
        </w:rPr>
      </w:pPr>
      <w:r w:rsidRPr="004B424A">
        <w:rPr>
          <w:rFonts w:ascii="Times New Roman" w:hAnsi="Times New Roman" w:eastAsia="Calibri" w:cs="Times New Roman"/>
          <w:sz w:val="24"/>
          <w:szCs w:val="24"/>
          <w:lang w:eastAsia="lv-LV"/>
        </w:rPr>
        <w:t>Pieņemt lēmumu par tiesu ekspertīžu iestāžu reformu Igaunijā veicināja šādi rādītāji:</w:t>
      </w:r>
    </w:p>
    <w:p w:rsidRPr="004B424A" w:rsidR="00546C28" w:rsidP="004B424A" w:rsidRDefault="00546C28" w14:paraId="4711D43E" w14:textId="77777777">
      <w:pPr>
        <w:numPr>
          <w:ilvl w:val="0"/>
          <w:numId w:val="3"/>
        </w:numPr>
        <w:spacing w:after="0" w:line="240" w:lineRule="auto"/>
        <w:contextualSpacing/>
        <w:jc w:val="both"/>
        <w:rPr>
          <w:rFonts w:ascii="Times New Roman" w:hAnsi="Times New Roman" w:eastAsia="Calibri" w:cs="Times New Roman"/>
          <w:i/>
          <w:sz w:val="24"/>
          <w:szCs w:val="24"/>
          <w:lang w:eastAsia="lv-LV"/>
        </w:rPr>
      </w:pPr>
      <w:r w:rsidRPr="004B424A">
        <w:rPr>
          <w:rFonts w:ascii="Times New Roman" w:hAnsi="Times New Roman" w:eastAsia="Calibri" w:cs="Times New Roman"/>
          <w:i/>
          <w:sz w:val="24"/>
          <w:szCs w:val="24"/>
          <w:lang w:eastAsia="lv-LV"/>
        </w:rPr>
        <w:t>liels veicamo tiesu ekspertīžu uzkrājums, ilgs tiesu ekspertīžu veikšanas termiņš;</w:t>
      </w:r>
    </w:p>
    <w:p w:rsidRPr="004B424A" w:rsidR="00546C28" w:rsidP="004B424A" w:rsidRDefault="00546C28" w14:paraId="4711D43F" w14:textId="77777777">
      <w:pPr>
        <w:numPr>
          <w:ilvl w:val="0"/>
          <w:numId w:val="3"/>
        </w:numPr>
        <w:spacing w:after="0" w:line="240" w:lineRule="auto"/>
        <w:contextualSpacing/>
        <w:jc w:val="both"/>
        <w:rPr>
          <w:rFonts w:ascii="Times New Roman" w:hAnsi="Times New Roman" w:eastAsia="Calibri" w:cs="Times New Roman"/>
          <w:i/>
          <w:sz w:val="24"/>
          <w:szCs w:val="24"/>
          <w:lang w:eastAsia="lv-LV"/>
        </w:rPr>
      </w:pPr>
      <w:r w:rsidRPr="004B424A">
        <w:rPr>
          <w:rFonts w:ascii="Times New Roman" w:hAnsi="Times New Roman" w:eastAsia="Calibri" w:cs="Times New Roman"/>
          <w:i/>
          <w:sz w:val="24"/>
          <w:szCs w:val="24"/>
          <w:lang w:eastAsia="lv-LV"/>
        </w:rPr>
        <w:t>zems atalgojums, zema motivācija;</w:t>
      </w:r>
    </w:p>
    <w:p w:rsidRPr="004B424A" w:rsidR="00546C28" w:rsidP="004B424A" w:rsidRDefault="00546C28" w14:paraId="4711D440" w14:textId="77777777">
      <w:pPr>
        <w:numPr>
          <w:ilvl w:val="0"/>
          <w:numId w:val="3"/>
        </w:numPr>
        <w:spacing w:after="0" w:line="240" w:lineRule="auto"/>
        <w:contextualSpacing/>
        <w:jc w:val="both"/>
        <w:rPr>
          <w:rFonts w:ascii="Times New Roman" w:hAnsi="Times New Roman" w:eastAsia="Calibri" w:cs="Times New Roman"/>
          <w:i/>
          <w:sz w:val="24"/>
          <w:szCs w:val="24"/>
          <w:lang w:eastAsia="lv-LV"/>
        </w:rPr>
      </w:pPr>
      <w:r w:rsidRPr="004B424A">
        <w:rPr>
          <w:rFonts w:ascii="Times New Roman" w:hAnsi="Times New Roman" w:eastAsia="Calibri" w:cs="Times New Roman"/>
          <w:i/>
          <w:sz w:val="24"/>
          <w:szCs w:val="24"/>
          <w:lang w:eastAsia="lv-LV"/>
        </w:rPr>
        <w:t>neregulāri un nepietiekami ieguldījumi;</w:t>
      </w:r>
    </w:p>
    <w:p w:rsidRPr="004B424A" w:rsidR="00546C28" w:rsidP="004B424A" w:rsidRDefault="00546C28" w14:paraId="4711D441" w14:textId="77777777">
      <w:pPr>
        <w:numPr>
          <w:ilvl w:val="0"/>
          <w:numId w:val="3"/>
        </w:numPr>
        <w:spacing w:after="0" w:line="240" w:lineRule="auto"/>
        <w:contextualSpacing/>
        <w:jc w:val="both"/>
        <w:rPr>
          <w:rFonts w:ascii="Times New Roman" w:hAnsi="Times New Roman" w:eastAsia="Calibri" w:cs="Times New Roman"/>
          <w:i/>
          <w:sz w:val="24"/>
          <w:szCs w:val="24"/>
          <w:lang w:eastAsia="lv-LV"/>
        </w:rPr>
      </w:pPr>
      <w:r w:rsidRPr="004B424A">
        <w:rPr>
          <w:rFonts w:ascii="Times New Roman" w:hAnsi="Times New Roman" w:eastAsia="Calibri" w:cs="Times New Roman"/>
          <w:i/>
          <w:sz w:val="24"/>
          <w:szCs w:val="24"/>
          <w:lang w:eastAsia="lv-LV"/>
        </w:rPr>
        <w:t xml:space="preserve">telpu nolietojums, darba apstākļi. </w:t>
      </w:r>
    </w:p>
    <w:p w:rsidRPr="004B424A" w:rsidR="00546C28" w:rsidP="004B424A" w:rsidRDefault="00546C28" w14:paraId="4711D442" w14:textId="77777777">
      <w:pPr>
        <w:spacing w:after="0" w:line="240" w:lineRule="auto"/>
        <w:ind w:firstLine="709"/>
        <w:jc w:val="both"/>
        <w:rPr>
          <w:rFonts w:ascii="Times New Roman" w:hAnsi="Times New Roman" w:eastAsia="Calibri" w:cs="Times New Roman"/>
          <w:sz w:val="24"/>
          <w:szCs w:val="24"/>
          <w:lang w:eastAsia="lv-LV"/>
        </w:rPr>
      </w:pPr>
      <w:r w:rsidRPr="004B424A">
        <w:rPr>
          <w:rFonts w:ascii="Times New Roman" w:hAnsi="Times New Roman" w:eastAsia="Calibri" w:cs="Times New Roman"/>
          <w:sz w:val="24"/>
          <w:szCs w:val="24"/>
          <w:lang w:eastAsia="lv-LV"/>
        </w:rPr>
        <w:t xml:space="preserve">Igaunijas tiesu ekspertīžu institūta reforma tika uzsākta, kad Igaunijas valdība pieņēma lēmumu par jaunās tiesu ekspertīžu iestādes ēkas, </w:t>
      </w:r>
      <w:r w:rsidRPr="004B424A" w:rsidR="00DF57DA">
        <w:rPr>
          <w:rFonts w:ascii="Times New Roman" w:hAnsi="Times New Roman" w:eastAsia="Calibri" w:cs="Times New Roman"/>
          <w:sz w:val="24"/>
          <w:szCs w:val="24"/>
          <w:lang w:eastAsia="lv-LV"/>
        </w:rPr>
        <w:t xml:space="preserve">sākot ar </w:t>
      </w:r>
      <w:r w:rsidRPr="004B424A">
        <w:rPr>
          <w:rFonts w:ascii="Times New Roman" w:hAnsi="Times New Roman" w:eastAsia="Calibri" w:cs="Times New Roman"/>
          <w:sz w:val="24"/>
          <w:szCs w:val="24"/>
          <w:lang w:eastAsia="lv-LV"/>
        </w:rPr>
        <w:t>2008. gad</w:t>
      </w:r>
      <w:r w:rsidRPr="004B424A" w:rsidR="00DF57DA">
        <w:rPr>
          <w:rFonts w:ascii="Times New Roman" w:hAnsi="Times New Roman" w:eastAsia="Calibri" w:cs="Times New Roman"/>
          <w:sz w:val="24"/>
          <w:szCs w:val="24"/>
          <w:lang w:eastAsia="lv-LV"/>
        </w:rPr>
        <w:t>u</w:t>
      </w:r>
      <w:r w:rsidRPr="004B424A">
        <w:rPr>
          <w:rFonts w:ascii="Times New Roman" w:hAnsi="Times New Roman" w:eastAsia="Calibri" w:cs="Times New Roman"/>
          <w:sz w:val="24"/>
          <w:szCs w:val="24"/>
          <w:lang w:eastAsia="lv-LV"/>
        </w:rPr>
        <w:t>, celtniecību, apvienošanas komitejas izveidošanu un vei</w:t>
      </w:r>
      <w:r w:rsidRPr="004B424A" w:rsidR="00DF57DA">
        <w:rPr>
          <w:rFonts w:ascii="Times New Roman" w:hAnsi="Times New Roman" w:eastAsia="Calibri" w:cs="Times New Roman"/>
          <w:sz w:val="24"/>
          <w:szCs w:val="24"/>
          <w:lang w:eastAsia="lv-LV"/>
        </w:rPr>
        <w:t>camo uzdevumu</w:t>
      </w:r>
      <w:r w:rsidRPr="004B424A">
        <w:rPr>
          <w:rFonts w:ascii="Times New Roman" w:hAnsi="Times New Roman" w:eastAsia="Calibri" w:cs="Times New Roman"/>
          <w:sz w:val="24"/>
          <w:szCs w:val="24"/>
          <w:lang w:eastAsia="lv-LV"/>
        </w:rPr>
        <w:t xml:space="preserve"> </w:t>
      </w:r>
      <w:r w:rsidRPr="004B424A" w:rsidR="00DF57DA">
        <w:rPr>
          <w:rFonts w:ascii="Times New Roman" w:hAnsi="Times New Roman" w:eastAsia="Calibri" w:cs="Times New Roman"/>
          <w:sz w:val="24"/>
          <w:szCs w:val="24"/>
          <w:lang w:eastAsia="lv-LV"/>
        </w:rPr>
        <w:t>noteikšanu</w:t>
      </w:r>
      <w:r w:rsidRPr="004B424A">
        <w:rPr>
          <w:rFonts w:ascii="Times New Roman" w:hAnsi="Times New Roman" w:eastAsia="Calibri" w:cs="Times New Roman"/>
          <w:sz w:val="24"/>
          <w:szCs w:val="24"/>
          <w:lang w:eastAsia="lv-LV"/>
        </w:rPr>
        <w:t>.</w:t>
      </w:r>
      <w:r w:rsidRPr="004B424A">
        <w:rPr>
          <w:rFonts w:ascii="Times New Roman" w:hAnsi="Times New Roman" w:eastAsia="Calibri" w:cs="Times New Roman"/>
          <w:sz w:val="24"/>
          <w:szCs w:val="24"/>
        </w:rPr>
        <w:t xml:space="preserve"> 2008. gada 1.</w:t>
      </w:r>
      <w:r w:rsidRPr="004B424A">
        <w:rPr>
          <w:rFonts w:ascii="Times New Roman" w:hAnsi="Times New Roman" w:eastAsia="Calibri" w:cs="Times New Roman"/>
          <w:sz w:val="24"/>
          <w:szCs w:val="24"/>
          <w:lang w:eastAsia="lv-LV"/>
        </w:rPr>
        <w:t> </w:t>
      </w:r>
      <w:r w:rsidRPr="004B424A">
        <w:rPr>
          <w:rFonts w:ascii="Times New Roman" w:hAnsi="Times New Roman" w:eastAsia="Calibri" w:cs="Times New Roman"/>
          <w:sz w:val="24"/>
          <w:szCs w:val="24"/>
        </w:rPr>
        <w:t>janvārī apvienojoties abām tiesu ekspertīžu iestādēm, ir izveidots Igaunijas tiesu ekspertīžu institūts, kas ir valsts tiesu ekspertīžu iestāde un darbojas Igaunijas Tieslietu ministrijas padotībā.</w:t>
      </w:r>
    </w:p>
    <w:p w:rsidRPr="004B424A" w:rsidR="00546C28" w:rsidP="004B424A" w:rsidRDefault="00546C28" w14:paraId="4711D443" w14:textId="77777777">
      <w:pPr>
        <w:autoSpaceDE w:val="0"/>
        <w:autoSpaceDN w:val="0"/>
        <w:adjustRightInd w:val="0"/>
        <w:spacing w:after="0" w:line="240" w:lineRule="auto"/>
        <w:ind w:firstLine="709"/>
        <w:contextualSpacing/>
        <w:jc w:val="both"/>
        <w:rPr>
          <w:rFonts w:ascii="Times New Roman" w:hAnsi="Times New Roman" w:eastAsia="Calibri" w:cs="Times New Roman"/>
          <w:sz w:val="24"/>
          <w:szCs w:val="24"/>
        </w:rPr>
      </w:pPr>
      <w:r w:rsidRPr="004B424A">
        <w:rPr>
          <w:rFonts w:ascii="Times New Roman" w:hAnsi="Times New Roman" w:eastAsia="Calibri" w:cs="Times New Roman"/>
          <w:sz w:val="24"/>
          <w:szCs w:val="24"/>
        </w:rPr>
        <w:t xml:space="preserve">Igaunijas tiesu ekspertīžu institūtu uzrauga Uzraudzības padome, kuras sastāvā ir Tieslietu ministrijas valsts sekretāra vietnieks, Iekšlietu ministrijas valsts sekretāra vietnieks, Augstākās tiesas tiesnesis, ģenerālprokurors, Valsts policijas un Robežsardzes priekšnieks. </w:t>
      </w:r>
    </w:p>
    <w:p w:rsidRPr="004B424A" w:rsidR="00546C28" w:rsidP="004B424A" w:rsidRDefault="00546C28" w14:paraId="4711D444" w14:textId="74A45E71">
      <w:pPr>
        <w:autoSpaceDE w:val="0"/>
        <w:autoSpaceDN w:val="0"/>
        <w:adjustRightInd w:val="0"/>
        <w:spacing w:after="0" w:line="240" w:lineRule="auto"/>
        <w:ind w:firstLine="709"/>
        <w:contextualSpacing/>
        <w:jc w:val="both"/>
        <w:rPr>
          <w:rFonts w:ascii="Times New Roman" w:hAnsi="Times New Roman" w:eastAsia="Calibri" w:cs="Times New Roman"/>
          <w:sz w:val="24"/>
          <w:szCs w:val="24"/>
        </w:rPr>
      </w:pPr>
      <w:r w:rsidRPr="004B424A">
        <w:rPr>
          <w:rFonts w:ascii="Times New Roman" w:hAnsi="Times New Roman" w:eastAsia="Calibri" w:cs="Times New Roman"/>
          <w:sz w:val="24"/>
          <w:szCs w:val="24"/>
        </w:rPr>
        <w:t>Igaunijas tiesu ekspertīžu institūt</w:t>
      </w:r>
      <w:r w:rsidR="00C23FEC">
        <w:rPr>
          <w:rFonts w:ascii="Times New Roman" w:hAnsi="Times New Roman" w:eastAsia="Calibri" w:cs="Times New Roman"/>
          <w:sz w:val="24"/>
          <w:szCs w:val="24"/>
        </w:rPr>
        <w:t>s</w:t>
      </w:r>
      <w:r w:rsidRPr="004B424A">
        <w:rPr>
          <w:rFonts w:ascii="Times New Roman" w:hAnsi="Times New Roman" w:eastAsia="Calibri" w:cs="Times New Roman"/>
          <w:sz w:val="24"/>
          <w:szCs w:val="24"/>
        </w:rPr>
        <w:t xml:space="preserve"> veic ekspertīzes 40 jomās: analītiskā ķīmija; informācijas tehnoloģiju izpēte; dokumentu izpēte; pirkstu nospiedumu izpēte; rokraksta un rakstītā teksta izpēte; medicīniskās ekspertīzes (dzīvu personu); patoloģija; psihiatrija; toksikoloģija; satiksmes negadījumi; transportlīdzekļu identifikācija; </w:t>
      </w:r>
      <w:proofErr w:type="spellStart"/>
      <w:r w:rsidRPr="004B424A">
        <w:rPr>
          <w:rFonts w:ascii="Times New Roman" w:hAnsi="Times New Roman" w:eastAsia="Calibri" w:cs="Times New Roman"/>
          <w:sz w:val="24"/>
          <w:szCs w:val="24"/>
        </w:rPr>
        <w:t>autotehniskās</w:t>
      </w:r>
      <w:proofErr w:type="spellEnd"/>
      <w:r w:rsidRPr="004B424A">
        <w:rPr>
          <w:rFonts w:ascii="Times New Roman" w:hAnsi="Times New Roman" w:eastAsia="Calibri" w:cs="Times New Roman"/>
          <w:sz w:val="24"/>
          <w:szCs w:val="24"/>
        </w:rPr>
        <w:t xml:space="preserve"> ekspertīzes, DNS ekspertīzes u.c. Iestādē strādā 150 darbinieki, no tiem 84 tiesu eksperti.</w:t>
      </w:r>
    </w:p>
    <w:p w:rsidRPr="004B424A" w:rsidR="00546C28" w:rsidP="004B424A" w:rsidRDefault="00546C28" w14:paraId="4711D445" w14:textId="77777777">
      <w:pPr>
        <w:autoSpaceDE w:val="0"/>
        <w:autoSpaceDN w:val="0"/>
        <w:adjustRightInd w:val="0"/>
        <w:spacing w:after="0" w:line="240" w:lineRule="auto"/>
        <w:ind w:firstLine="709"/>
        <w:contextualSpacing/>
        <w:jc w:val="both"/>
        <w:rPr>
          <w:rFonts w:ascii="Times New Roman" w:hAnsi="Times New Roman" w:eastAsia="Calibri" w:cs="Times New Roman"/>
          <w:b/>
          <w:sz w:val="24"/>
          <w:szCs w:val="24"/>
          <w:lang w:eastAsia="lv-LV"/>
        </w:rPr>
      </w:pPr>
      <w:r w:rsidRPr="004B424A">
        <w:rPr>
          <w:rFonts w:ascii="Times New Roman" w:hAnsi="Times New Roman" w:eastAsia="Calibri" w:cs="Times New Roman"/>
          <w:sz w:val="24"/>
          <w:szCs w:val="24"/>
        </w:rPr>
        <w:t xml:space="preserve">Igaunijas tiesu ekspertīžu institūtam ir reģionālie departamenti, kuros tiek veiktas tiesu medicīnas ekspertīzes, Tallinā, Tartu, </w:t>
      </w:r>
      <w:proofErr w:type="spellStart"/>
      <w:r w:rsidRPr="004B424A">
        <w:rPr>
          <w:rFonts w:ascii="Times New Roman" w:hAnsi="Times New Roman" w:eastAsia="Calibri" w:cs="Times New Roman"/>
          <w:sz w:val="24"/>
          <w:szCs w:val="24"/>
        </w:rPr>
        <w:t>Kohtla</w:t>
      </w:r>
      <w:proofErr w:type="spellEnd"/>
      <w:r w:rsidRPr="004B424A">
        <w:rPr>
          <w:rFonts w:ascii="Times New Roman" w:hAnsi="Times New Roman" w:eastAsia="Calibri" w:cs="Times New Roman"/>
          <w:sz w:val="24"/>
          <w:szCs w:val="24"/>
        </w:rPr>
        <w:noBreakHyphen/>
      </w:r>
      <w:proofErr w:type="spellStart"/>
      <w:r w:rsidRPr="004B424A">
        <w:rPr>
          <w:rFonts w:ascii="Times New Roman" w:hAnsi="Times New Roman" w:eastAsia="Calibri" w:cs="Times New Roman"/>
          <w:sz w:val="24"/>
          <w:szCs w:val="24"/>
        </w:rPr>
        <w:t>J</w:t>
      </w:r>
      <w:r w:rsidRPr="004B424A" w:rsidR="00822421">
        <w:rPr>
          <w:rFonts w:ascii="Times New Roman" w:hAnsi="Times New Roman" w:eastAsia="Calibri" w:cs="Times New Roman"/>
          <w:sz w:val="24"/>
          <w:szCs w:val="24"/>
        </w:rPr>
        <w:t>e</w:t>
      </w:r>
      <w:r w:rsidRPr="004B424A">
        <w:rPr>
          <w:rFonts w:ascii="Times New Roman" w:hAnsi="Times New Roman" w:eastAsia="Calibri" w:cs="Times New Roman"/>
          <w:sz w:val="24"/>
          <w:szCs w:val="24"/>
        </w:rPr>
        <w:t>rvē</w:t>
      </w:r>
      <w:proofErr w:type="spellEnd"/>
      <w:r w:rsidRPr="004B424A">
        <w:rPr>
          <w:rFonts w:ascii="Times New Roman" w:hAnsi="Times New Roman" w:eastAsia="Calibri" w:cs="Times New Roman"/>
          <w:sz w:val="24"/>
          <w:szCs w:val="24"/>
        </w:rPr>
        <w:t xml:space="preserve"> un Pērnav</w:t>
      </w:r>
      <w:r w:rsidRPr="004B424A">
        <w:rPr>
          <w:rFonts w:ascii="Times New Roman" w:hAnsi="Times New Roman" w:eastAsia="Calibri" w:cs="Times New Roman"/>
          <w:sz w:val="24"/>
          <w:szCs w:val="24"/>
          <w:lang w:eastAsia="lv-LV"/>
        </w:rPr>
        <w:t>ā.</w:t>
      </w:r>
    </w:p>
    <w:p w:rsidRPr="004B424A" w:rsidR="00550D3A" w:rsidP="004B424A" w:rsidRDefault="00550D3A" w14:paraId="4711D446" w14:textId="77777777">
      <w:pPr>
        <w:autoSpaceDE w:val="0"/>
        <w:autoSpaceDN w:val="0"/>
        <w:adjustRightInd w:val="0"/>
        <w:spacing w:after="0" w:line="240" w:lineRule="auto"/>
        <w:contextualSpacing/>
        <w:jc w:val="both"/>
        <w:rPr>
          <w:rFonts w:ascii="Times New Roman" w:hAnsi="Times New Roman" w:eastAsia="Calibri" w:cs="Times New Roman"/>
          <w:b/>
          <w:sz w:val="24"/>
          <w:szCs w:val="24"/>
          <w:lang w:eastAsia="lv-LV"/>
        </w:rPr>
      </w:pPr>
    </w:p>
    <w:p w:rsidRPr="004B424A" w:rsidR="00684548" w:rsidP="004B424A" w:rsidRDefault="000C1150" w14:paraId="4711D447" w14:textId="77777777">
      <w:pPr>
        <w:spacing w:after="0" w:line="240" w:lineRule="auto"/>
        <w:jc w:val="center"/>
        <w:rPr>
          <w:rFonts w:ascii="Times New Roman" w:hAnsi="Times New Roman" w:eastAsia="Calibri" w:cs="Times New Roman"/>
          <w:b/>
          <w:i/>
          <w:sz w:val="24"/>
          <w:szCs w:val="24"/>
          <w:lang w:eastAsia="lv-LV"/>
        </w:rPr>
      </w:pPr>
      <w:r>
        <w:rPr>
          <w:rFonts w:ascii="Times New Roman" w:hAnsi="Times New Roman" w:eastAsia="Calibri" w:cs="Times New Roman"/>
          <w:b/>
          <w:i/>
          <w:sz w:val="24"/>
          <w:szCs w:val="24"/>
          <w:lang w:eastAsia="lv-LV"/>
        </w:rPr>
        <w:t>IV</w:t>
      </w:r>
      <w:r w:rsidRPr="004B424A" w:rsidR="00546C28">
        <w:rPr>
          <w:rFonts w:ascii="Times New Roman" w:hAnsi="Times New Roman" w:eastAsia="Calibri" w:cs="Times New Roman"/>
          <w:b/>
          <w:i/>
          <w:sz w:val="24"/>
          <w:szCs w:val="24"/>
          <w:lang w:eastAsia="lv-LV"/>
        </w:rPr>
        <w:t xml:space="preserve"> </w:t>
      </w:r>
      <w:r w:rsidRPr="004B424A" w:rsidR="00300AC7">
        <w:rPr>
          <w:rFonts w:ascii="Times New Roman" w:hAnsi="Times New Roman" w:cs="Times New Roman"/>
          <w:b/>
          <w:i/>
          <w:sz w:val="24"/>
          <w:szCs w:val="24"/>
        </w:rPr>
        <w:t>Turpmākās darbības tiesu ekspertīžu institūta reformas īstenošanai</w:t>
      </w:r>
    </w:p>
    <w:p w:rsidRPr="004B424A" w:rsidR="00684548" w:rsidP="004B424A" w:rsidRDefault="00684548" w14:paraId="4711D448" w14:textId="77777777">
      <w:pPr>
        <w:spacing w:after="0" w:line="240" w:lineRule="auto"/>
        <w:jc w:val="center"/>
        <w:rPr>
          <w:rFonts w:ascii="Times New Roman" w:hAnsi="Times New Roman" w:eastAsia="Calibri" w:cs="Times New Roman"/>
          <w:b/>
          <w:sz w:val="24"/>
          <w:szCs w:val="24"/>
          <w:lang w:eastAsia="lv-LV"/>
        </w:rPr>
      </w:pPr>
    </w:p>
    <w:p w:rsidRPr="004B424A" w:rsidR="00300AC7" w:rsidP="004B424A" w:rsidRDefault="00300AC7" w14:paraId="4711D449" w14:textId="77777777">
      <w:pPr>
        <w:spacing w:after="0" w:line="240" w:lineRule="auto"/>
        <w:ind w:firstLine="720"/>
        <w:jc w:val="both"/>
        <w:rPr>
          <w:rFonts w:ascii="Times New Roman" w:hAnsi="Times New Roman" w:cs="Times New Roman"/>
          <w:sz w:val="24"/>
          <w:szCs w:val="24"/>
        </w:rPr>
      </w:pPr>
      <w:r w:rsidRPr="004B424A">
        <w:rPr>
          <w:rFonts w:ascii="Times New Roman" w:hAnsi="Times New Roman" w:cs="Times New Roman"/>
          <w:sz w:val="24"/>
          <w:szCs w:val="24"/>
        </w:rPr>
        <w:t>Diemžēl darba grupai pietrūka laika vispusīgi izvērtēt tiesībsargājošām institūcijām sniegto tiesu ekspertīžu pakalpojumu nodrošināšanas finansiāli un administratīvi efektīvāko risinājumu, tajā skaitā iepazīties arī ar citu valstu, ne tikai Igaunijas, valsts tiesu ekspertīžu iestāžu darbības modeli.</w:t>
      </w:r>
    </w:p>
    <w:p w:rsidRPr="004B424A" w:rsidR="004A6FE7" w:rsidP="004B424A" w:rsidRDefault="00300AC7" w14:paraId="4711D44A" w14:textId="77777777">
      <w:pPr>
        <w:spacing w:after="0" w:line="240" w:lineRule="auto"/>
        <w:ind w:firstLine="709"/>
        <w:jc w:val="both"/>
        <w:rPr>
          <w:rFonts w:ascii="Times New Roman" w:hAnsi="Times New Roman" w:cs="Times New Roman"/>
          <w:sz w:val="24"/>
          <w:szCs w:val="24"/>
        </w:rPr>
      </w:pPr>
      <w:r w:rsidRPr="004B424A">
        <w:rPr>
          <w:rFonts w:ascii="Times New Roman" w:hAnsi="Times New Roman" w:cs="Times New Roman"/>
          <w:sz w:val="24"/>
          <w:szCs w:val="24"/>
        </w:rPr>
        <w:t>Darba grupas ieskatā uzsāktais izvērtējums būtu jāturpina, lai nonāktu pie efektīvākā risinājuma, kas uzlabotu tiesībsargājošām iestādēm sniegto tiesu ekspertīžu pakalpojumu kvalitāti un samazinātu tiesu ekspertīžu atzinumu sagatavošanas laiku.</w:t>
      </w:r>
    </w:p>
    <w:p w:rsidRPr="004B424A" w:rsidR="008C04AA" w:rsidP="004B424A" w:rsidRDefault="008C04AA" w14:paraId="4711D44B" w14:textId="77777777">
      <w:pPr>
        <w:spacing w:after="0" w:line="240" w:lineRule="auto"/>
        <w:ind w:firstLine="709"/>
        <w:jc w:val="both"/>
        <w:rPr>
          <w:rFonts w:ascii="Times New Roman" w:hAnsi="Times New Roman" w:cs="Times New Roman"/>
          <w:sz w:val="24"/>
          <w:szCs w:val="24"/>
        </w:rPr>
      </w:pPr>
      <w:r w:rsidRPr="004B424A">
        <w:rPr>
          <w:rFonts w:ascii="Times New Roman" w:hAnsi="Times New Roman" w:cs="Times New Roman"/>
          <w:sz w:val="24"/>
          <w:szCs w:val="24"/>
        </w:rPr>
        <w:lastRenderedPageBreak/>
        <w:t>Izvērtējums aptvertu jautājumu</w:t>
      </w:r>
      <w:r w:rsidRPr="004B424A" w:rsidR="00F77377">
        <w:rPr>
          <w:rFonts w:ascii="Times New Roman" w:hAnsi="Times New Roman" w:cs="Times New Roman"/>
          <w:sz w:val="24"/>
          <w:szCs w:val="24"/>
        </w:rPr>
        <w:t xml:space="preserve"> loku, </w:t>
      </w:r>
      <w:r w:rsidRPr="004B424A">
        <w:rPr>
          <w:rFonts w:ascii="Times New Roman" w:hAnsi="Times New Roman" w:cs="Times New Roman"/>
          <w:sz w:val="24"/>
          <w:szCs w:val="24"/>
        </w:rPr>
        <w:t>kas skar esošo tiesu ekspertīžu iestāžu personālu, tiesu ekspertu noslodzi, tiesu ekspertīžu iestāžu telpas un to aprīkojumu,</w:t>
      </w:r>
      <w:r w:rsidRPr="004B424A" w:rsidR="00804459">
        <w:rPr>
          <w:rFonts w:ascii="Times New Roman" w:hAnsi="Times New Roman" w:cs="Times New Roman"/>
          <w:sz w:val="24"/>
          <w:szCs w:val="24"/>
        </w:rPr>
        <w:t xml:space="preserve"> iespējamo finansiālo ietekmi,</w:t>
      </w:r>
      <w:r w:rsidRPr="004B424A">
        <w:rPr>
          <w:rFonts w:ascii="Times New Roman" w:hAnsi="Times New Roman" w:cs="Times New Roman"/>
          <w:sz w:val="24"/>
          <w:szCs w:val="24"/>
        </w:rPr>
        <w:t xml:space="preserve"> </w:t>
      </w:r>
      <w:r w:rsidRPr="004B424A" w:rsidR="00F77377">
        <w:rPr>
          <w:rFonts w:ascii="Times New Roman" w:hAnsi="Times New Roman" w:cs="Times New Roman"/>
          <w:sz w:val="24"/>
          <w:szCs w:val="24"/>
        </w:rPr>
        <w:t xml:space="preserve">kā arī </w:t>
      </w:r>
      <w:r w:rsidRPr="004B424A">
        <w:rPr>
          <w:rFonts w:ascii="Times New Roman" w:hAnsi="Times New Roman" w:cs="Times New Roman"/>
          <w:sz w:val="24"/>
          <w:szCs w:val="24"/>
        </w:rPr>
        <w:t xml:space="preserve">citu valstu, ne tikai Igaunijas, pieredzi </w:t>
      </w:r>
      <w:r w:rsidRPr="004B424A" w:rsidR="00804459">
        <w:rPr>
          <w:rFonts w:ascii="Times New Roman" w:hAnsi="Times New Roman" w:cs="Times New Roman"/>
          <w:sz w:val="24"/>
          <w:szCs w:val="24"/>
        </w:rPr>
        <w:t>tiesu ekspertīžu pakalpojuma nodrošināšanā</w:t>
      </w:r>
      <w:r w:rsidRPr="004B424A" w:rsidR="00F21984">
        <w:rPr>
          <w:rFonts w:ascii="Times New Roman" w:hAnsi="Times New Roman" w:cs="Times New Roman"/>
          <w:sz w:val="24"/>
          <w:szCs w:val="24"/>
        </w:rPr>
        <w:t>.</w:t>
      </w:r>
    </w:p>
    <w:p w:rsidRPr="004B424A" w:rsidR="00804459" w:rsidP="004B424A" w:rsidRDefault="00804459" w14:paraId="4711D44C" w14:textId="77777777">
      <w:pPr>
        <w:spacing w:after="0" w:line="240" w:lineRule="auto"/>
        <w:jc w:val="both"/>
        <w:rPr>
          <w:rFonts w:ascii="Times New Roman" w:hAnsi="Times New Roman" w:eastAsia="Calibri" w:cs="Times New Roman"/>
          <w:b/>
          <w:sz w:val="24"/>
          <w:szCs w:val="24"/>
          <w:lang w:eastAsia="lv-LV"/>
        </w:rPr>
      </w:pPr>
    </w:p>
    <w:p w:rsidRPr="004B424A" w:rsidR="00546C28" w:rsidP="004B424A" w:rsidRDefault="00A31FE8" w14:paraId="4711D44D" w14:textId="77777777">
      <w:pPr>
        <w:spacing w:after="0" w:line="240" w:lineRule="auto"/>
        <w:ind w:firstLine="709"/>
        <w:jc w:val="both"/>
        <w:rPr>
          <w:rFonts w:ascii="Times New Roman" w:hAnsi="Times New Roman" w:eastAsia="Calibri" w:cs="Times New Roman"/>
          <w:b/>
          <w:sz w:val="24"/>
          <w:szCs w:val="24"/>
          <w:lang w:eastAsia="lv-LV"/>
        </w:rPr>
      </w:pPr>
      <w:r w:rsidRPr="004B424A">
        <w:rPr>
          <w:rFonts w:ascii="Times New Roman" w:hAnsi="Times New Roman" w:eastAsia="Calibri" w:cs="Times New Roman"/>
          <w:b/>
          <w:sz w:val="24"/>
          <w:szCs w:val="24"/>
          <w:lang w:eastAsia="lv-LV"/>
        </w:rPr>
        <w:t>T</w:t>
      </w:r>
      <w:r w:rsidRPr="004B424A" w:rsidR="00DF57DA">
        <w:rPr>
          <w:rFonts w:ascii="Times New Roman" w:hAnsi="Times New Roman" w:eastAsia="Calibri" w:cs="Times New Roman"/>
          <w:b/>
          <w:sz w:val="24"/>
          <w:szCs w:val="24"/>
          <w:lang w:eastAsia="lv-LV"/>
        </w:rPr>
        <w:t>iesu ekspertīžu institūta</w:t>
      </w:r>
      <w:r w:rsidRPr="004B424A" w:rsidR="00DF57DA">
        <w:rPr>
          <w:rFonts w:ascii="Times New Roman" w:hAnsi="Times New Roman" w:eastAsia="Calibri" w:cs="Times New Roman"/>
          <w:sz w:val="24"/>
          <w:szCs w:val="24"/>
          <w:lang w:eastAsia="lv-LV"/>
        </w:rPr>
        <w:t xml:space="preserve"> </w:t>
      </w:r>
      <w:r w:rsidRPr="004B424A" w:rsidR="00DF57DA">
        <w:rPr>
          <w:rFonts w:ascii="Times New Roman" w:hAnsi="Times New Roman" w:eastAsia="Calibri" w:cs="Times New Roman"/>
          <w:b/>
          <w:sz w:val="24"/>
          <w:szCs w:val="24"/>
          <w:lang w:eastAsia="lv-LV"/>
        </w:rPr>
        <w:t>reform</w:t>
      </w:r>
      <w:r w:rsidRPr="004B424A">
        <w:rPr>
          <w:rFonts w:ascii="Times New Roman" w:hAnsi="Times New Roman" w:eastAsia="Calibri" w:cs="Times New Roman"/>
          <w:b/>
          <w:sz w:val="24"/>
          <w:szCs w:val="24"/>
          <w:lang w:eastAsia="lv-LV"/>
        </w:rPr>
        <w:t xml:space="preserve">as </w:t>
      </w:r>
      <w:r w:rsidRPr="004B424A" w:rsidR="00DF57DA">
        <w:rPr>
          <w:rFonts w:ascii="Times New Roman" w:hAnsi="Times New Roman" w:eastAsia="Calibri" w:cs="Times New Roman"/>
          <w:b/>
          <w:sz w:val="24"/>
          <w:szCs w:val="24"/>
          <w:lang w:eastAsia="lv-LV"/>
        </w:rPr>
        <w:t>īsteno</w:t>
      </w:r>
      <w:r w:rsidRPr="004B424A">
        <w:rPr>
          <w:rFonts w:ascii="Times New Roman" w:hAnsi="Times New Roman" w:eastAsia="Calibri" w:cs="Times New Roman"/>
          <w:b/>
          <w:sz w:val="24"/>
          <w:szCs w:val="24"/>
          <w:lang w:eastAsia="lv-LV"/>
        </w:rPr>
        <w:t xml:space="preserve">šanai </w:t>
      </w:r>
      <w:r w:rsidRPr="004B424A" w:rsidR="00546C28">
        <w:rPr>
          <w:rFonts w:ascii="Times New Roman" w:hAnsi="Times New Roman" w:eastAsia="Calibri" w:cs="Times New Roman"/>
          <w:b/>
          <w:sz w:val="24"/>
          <w:szCs w:val="24"/>
          <w:lang w:eastAsia="lv-LV"/>
        </w:rPr>
        <w:t>nepieciešam</w:t>
      </w:r>
      <w:r w:rsidRPr="004B424A">
        <w:rPr>
          <w:rFonts w:ascii="Times New Roman" w:hAnsi="Times New Roman" w:eastAsia="Calibri" w:cs="Times New Roman"/>
          <w:b/>
          <w:sz w:val="24"/>
          <w:szCs w:val="24"/>
          <w:lang w:eastAsia="lv-LV"/>
        </w:rPr>
        <w:t xml:space="preserve">ās </w:t>
      </w:r>
      <w:r w:rsidRPr="004B424A" w:rsidR="00546C28">
        <w:rPr>
          <w:rFonts w:ascii="Times New Roman" w:hAnsi="Times New Roman" w:eastAsia="Calibri" w:cs="Times New Roman"/>
          <w:b/>
          <w:sz w:val="24"/>
          <w:szCs w:val="24"/>
          <w:lang w:eastAsia="lv-LV"/>
        </w:rPr>
        <w:t>darbības:</w:t>
      </w:r>
    </w:p>
    <w:p w:rsidR="008E5E78" w:rsidP="008E5E78" w:rsidRDefault="008E5E78" w14:paraId="2FB95325" w14:textId="77777777">
      <w:pPr>
        <w:pStyle w:val="Sarakstarindkopa"/>
        <w:spacing w:after="0" w:line="240" w:lineRule="auto"/>
        <w:ind w:left="709"/>
        <w:jc w:val="both"/>
        <w:rPr>
          <w:rFonts w:ascii="Times New Roman" w:hAnsi="Times New Roman" w:cs="Times New Roman"/>
          <w:sz w:val="24"/>
          <w:szCs w:val="24"/>
        </w:rPr>
      </w:pPr>
      <w:bookmarkStart w:name="_Hlk520817758" w:id="5"/>
      <w:bookmarkStart w:name="_Hlk520818746" w:id="6"/>
    </w:p>
    <w:p w:rsidRPr="004B424A" w:rsidR="00811991" w:rsidP="004B424A" w:rsidRDefault="00811991" w14:paraId="4711D450" w14:textId="50BC9D5A">
      <w:pPr>
        <w:pStyle w:val="Sarakstarindkopa"/>
        <w:numPr>
          <w:ilvl w:val="0"/>
          <w:numId w:val="4"/>
        </w:numPr>
        <w:spacing w:after="0" w:line="240" w:lineRule="auto"/>
        <w:ind w:left="0" w:firstLine="709"/>
        <w:jc w:val="both"/>
        <w:rPr>
          <w:rFonts w:ascii="Times New Roman" w:hAnsi="Times New Roman" w:cs="Times New Roman"/>
          <w:sz w:val="24"/>
          <w:szCs w:val="24"/>
        </w:rPr>
      </w:pPr>
      <w:r w:rsidRPr="004B424A">
        <w:rPr>
          <w:rFonts w:ascii="Times New Roman" w:hAnsi="Times New Roman" w:cs="Times New Roman"/>
          <w:sz w:val="24"/>
          <w:szCs w:val="24"/>
        </w:rPr>
        <w:t>Atļaut darba grupai turpināt darbu pie izvērtējuma par tiesībsargājošajām institūcijām sniegto pakalpojumu nodrošināšanas finansiāli un administratīvi efektīvāko risinājumu, iespējams, vienotas tiesu ekspertīžu iestādes izveidi valstī</w:t>
      </w:r>
      <w:r w:rsidRPr="004B424A" w:rsidR="00D871DF">
        <w:rPr>
          <w:rFonts w:ascii="Times New Roman" w:hAnsi="Times New Roman" w:cs="Times New Roman"/>
          <w:sz w:val="24"/>
          <w:szCs w:val="24"/>
        </w:rPr>
        <w:t>, pieaicinot Latvijas Universitātes un Rīgas Stradiņa universitātes pārstāvjus.</w:t>
      </w:r>
    </w:p>
    <w:p w:rsidRPr="004B424A" w:rsidR="00811991" w:rsidP="004B424A" w:rsidRDefault="00811991" w14:paraId="4711D451" w14:textId="77777777">
      <w:pPr>
        <w:pStyle w:val="Sarakstarindkopa"/>
        <w:numPr>
          <w:ilvl w:val="0"/>
          <w:numId w:val="4"/>
        </w:numPr>
        <w:spacing w:after="0" w:line="240" w:lineRule="auto"/>
        <w:ind w:left="0" w:firstLine="709"/>
        <w:jc w:val="both"/>
        <w:rPr>
          <w:rFonts w:ascii="Times New Roman" w:hAnsi="Times New Roman" w:cs="Times New Roman"/>
          <w:sz w:val="24"/>
          <w:szCs w:val="24"/>
        </w:rPr>
      </w:pPr>
      <w:bookmarkStart w:name="_Hlk517955201" w:id="7"/>
      <w:bookmarkEnd w:id="5"/>
      <w:bookmarkEnd w:id="6"/>
      <w:r w:rsidRPr="004B424A">
        <w:rPr>
          <w:rFonts w:ascii="Times New Roman" w:hAnsi="Times New Roman" w:eastAsia="Calibri" w:cs="Times New Roman"/>
          <w:sz w:val="24"/>
          <w:szCs w:val="24"/>
          <w:lang w:eastAsia="lv-LV"/>
        </w:rPr>
        <w:t>Līdz 2019. gada 1. novembrim iesniegt Ministru kabinetā darba grupas veikto izvērtējumu un turpmākās rīcības priekšlikumus vai laika grafiku.</w:t>
      </w:r>
    </w:p>
    <w:bookmarkEnd w:id="7"/>
    <w:p w:rsidRPr="004B424A" w:rsidR="00811991" w:rsidP="004B424A" w:rsidRDefault="00811991" w14:paraId="4711D452" w14:textId="77777777">
      <w:pPr>
        <w:pStyle w:val="Sarakstarindkopa"/>
        <w:numPr>
          <w:ilvl w:val="0"/>
          <w:numId w:val="4"/>
        </w:numPr>
        <w:spacing w:after="0" w:line="240" w:lineRule="auto"/>
        <w:ind w:left="0" w:firstLine="709"/>
        <w:jc w:val="both"/>
        <w:rPr>
          <w:rFonts w:ascii="Times New Roman" w:hAnsi="Times New Roman" w:cs="Times New Roman"/>
          <w:sz w:val="24"/>
          <w:szCs w:val="24"/>
        </w:rPr>
      </w:pPr>
      <w:r w:rsidRPr="004B424A">
        <w:rPr>
          <w:rFonts w:ascii="Times New Roman" w:hAnsi="Times New Roman" w:cs="Times New Roman"/>
          <w:sz w:val="24"/>
          <w:szCs w:val="24"/>
        </w:rPr>
        <w:t>Ņemot vērā Ministru kabineta 2017. gada 5. decembra sēdes protokola Nr. 60 23.</w:t>
      </w:r>
      <w:r w:rsidRPr="004B424A" w:rsidR="004E253E">
        <w:rPr>
          <w:rFonts w:ascii="Times New Roman" w:hAnsi="Times New Roman" w:cs="Times New Roman"/>
          <w:sz w:val="24"/>
          <w:szCs w:val="24"/>
        </w:rPr>
        <w:t> </w:t>
      </w:r>
      <w:r w:rsidRPr="004B424A">
        <w:rPr>
          <w:rFonts w:ascii="Times New Roman" w:hAnsi="Times New Roman" w:cs="Times New Roman"/>
          <w:sz w:val="24"/>
          <w:szCs w:val="24"/>
        </w:rPr>
        <w:t>un 24.</w:t>
      </w:r>
      <w:r w:rsidRPr="004B424A" w:rsidR="004E253E">
        <w:rPr>
          <w:rFonts w:ascii="Times New Roman" w:hAnsi="Times New Roman" w:cs="Times New Roman"/>
          <w:sz w:val="24"/>
          <w:szCs w:val="24"/>
        </w:rPr>
        <w:t> </w:t>
      </w:r>
      <w:r w:rsidRPr="004B424A">
        <w:rPr>
          <w:rFonts w:ascii="Times New Roman" w:hAnsi="Times New Roman" w:cs="Times New Roman"/>
          <w:sz w:val="24"/>
          <w:szCs w:val="24"/>
        </w:rPr>
        <w:t>§ 11.</w:t>
      </w:r>
      <w:r w:rsidRPr="004B424A" w:rsidR="004E253E">
        <w:rPr>
          <w:rFonts w:ascii="Times New Roman" w:hAnsi="Times New Roman" w:cs="Times New Roman"/>
          <w:sz w:val="24"/>
          <w:szCs w:val="24"/>
        </w:rPr>
        <w:t> </w:t>
      </w:r>
      <w:r w:rsidRPr="004B424A">
        <w:rPr>
          <w:rFonts w:ascii="Times New Roman" w:hAnsi="Times New Roman" w:cs="Times New Roman"/>
          <w:sz w:val="24"/>
          <w:szCs w:val="24"/>
        </w:rPr>
        <w:t>p</w:t>
      </w:r>
      <w:r w:rsidRPr="004B424A" w:rsidR="00531016">
        <w:rPr>
          <w:rFonts w:ascii="Times New Roman" w:hAnsi="Times New Roman" w:cs="Times New Roman"/>
          <w:sz w:val="24"/>
          <w:szCs w:val="24"/>
        </w:rPr>
        <w:t xml:space="preserve">unktā </w:t>
      </w:r>
      <w:r w:rsidRPr="004B424A">
        <w:rPr>
          <w:rFonts w:ascii="Times New Roman" w:hAnsi="Times New Roman" w:cs="Times New Roman"/>
          <w:sz w:val="24"/>
          <w:szCs w:val="24"/>
        </w:rPr>
        <w:t>noteikto, turpināt Tieslietu ministrijas un Iekšlietu ministrijas sarunas par Latvijas tiesu ekspertīžu iestāžu konsolidāciju, kā arī ar Norvēģijas valdību par finanšu avota piesaisti tiesu ekspertīžu kapacitātes stiprināšanai EEZ rezerves finansējuma ietvaros -  potenciāli plānojot īstenot Valsts tiesu ekspertīzes centra projektu "Latvijas tiesu ekspertīžu veiktspējas celšana atbilstoši ES un NATO tīkla prasībām", kas varētu atbalstīt iestāžu konsolidāciju.</w:t>
      </w:r>
    </w:p>
    <w:p w:rsidRPr="004B424A" w:rsidR="00550D3A" w:rsidP="004B424A" w:rsidRDefault="00550D3A" w14:paraId="4711D453" w14:textId="77777777">
      <w:pPr>
        <w:spacing w:after="0" w:line="240" w:lineRule="auto"/>
        <w:contextualSpacing/>
        <w:rPr>
          <w:rFonts w:ascii="Times New Roman" w:hAnsi="Times New Roman" w:eastAsia="Calibri" w:cs="Times New Roman"/>
          <w:sz w:val="24"/>
          <w:szCs w:val="24"/>
          <w:lang w:eastAsia="lv-LV"/>
        </w:rPr>
      </w:pPr>
    </w:p>
    <w:p w:rsidRPr="004B424A" w:rsidR="00811991" w:rsidP="004B424A" w:rsidRDefault="00811991" w14:paraId="4711D454" w14:textId="77777777">
      <w:pPr>
        <w:spacing w:after="0" w:line="240" w:lineRule="auto"/>
        <w:contextualSpacing/>
        <w:rPr>
          <w:rFonts w:ascii="Times New Roman" w:hAnsi="Times New Roman" w:eastAsia="Calibri" w:cs="Times New Roman"/>
          <w:sz w:val="24"/>
          <w:szCs w:val="24"/>
          <w:lang w:eastAsia="lv-LV"/>
        </w:rPr>
      </w:pPr>
    </w:p>
    <w:p w:rsidRPr="004B424A" w:rsidR="00546C28" w:rsidP="004B424A" w:rsidRDefault="00546C28" w14:paraId="4711D455" w14:textId="15C6A695">
      <w:pPr>
        <w:spacing w:after="0" w:line="240" w:lineRule="auto"/>
        <w:jc w:val="both"/>
        <w:rPr>
          <w:rFonts w:ascii="Times New Roman" w:hAnsi="Times New Roman" w:eastAsia="Calibri" w:cs="Times New Roman"/>
          <w:sz w:val="24"/>
          <w:szCs w:val="24"/>
          <w:lang w:eastAsia="lv-LV"/>
        </w:rPr>
      </w:pPr>
      <w:r w:rsidRPr="004B424A">
        <w:rPr>
          <w:rFonts w:ascii="Times New Roman" w:hAnsi="Times New Roman" w:eastAsia="Calibri" w:cs="Times New Roman"/>
          <w:sz w:val="24"/>
          <w:szCs w:val="24"/>
          <w:lang w:eastAsia="lv-LV"/>
        </w:rPr>
        <w:t xml:space="preserve">Tieslietu ministrs </w:t>
      </w:r>
      <w:r w:rsidRPr="004B424A">
        <w:rPr>
          <w:rFonts w:ascii="Times New Roman" w:hAnsi="Times New Roman" w:eastAsia="Calibri" w:cs="Times New Roman"/>
          <w:sz w:val="24"/>
          <w:szCs w:val="24"/>
          <w:lang w:eastAsia="lv-LV"/>
        </w:rPr>
        <w:tab/>
      </w:r>
      <w:r w:rsidRPr="004B424A">
        <w:rPr>
          <w:rFonts w:ascii="Times New Roman" w:hAnsi="Times New Roman" w:eastAsia="Calibri" w:cs="Times New Roman"/>
          <w:sz w:val="24"/>
          <w:szCs w:val="24"/>
          <w:lang w:eastAsia="lv-LV"/>
        </w:rPr>
        <w:tab/>
      </w:r>
      <w:r w:rsidRPr="004B424A">
        <w:rPr>
          <w:rFonts w:ascii="Times New Roman" w:hAnsi="Times New Roman" w:eastAsia="Calibri" w:cs="Times New Roman"/>
          <w:sz w:val="24"/>
          <w:szCs w:val="24"/>
          <w:lang w:eastAsia="lv-LV"/>
        </w:rPr>
        <w:tab/>
      </w:r>
      <w:r w:rsidRPr="004B424A">
        <w:rPr>
          <w:rFonts w:ascii="Times New Roman" w:hAnsi="Times New Roman" w:eastAsia="Calibri" w:cs="Times New Roman"/>
          <w:sz w:val="24"/>
          <w:szCs w:val="24"/>
          <w:lang w:eastAsia="lv-LV"/>
        </w:rPr>
        <w:tab/>
      </w:r>
      <w:r w:rsidRPr="004B424A">
        <w:rPr>
          <w:rFonts w:ascii="Times New Roman" w:hAnsi="Times New Roman" w:eastAsia="Calibri" w:cs="Times New Roman"/>
          <w:sz w:val="24"/>
          <w:szCs w:val="24"/>
          <w:lang w:eastAsia="lv-LV"/>
        </w:rPr>
        <w:tab/>
      </w:r>
      <w:r w:rsidRPr="004B424A">
        <w:rPr>
          <w:rFonts w:ascii="Times New Roman" w:hAnsi="Times New Roman" w:eastAsia="Calibri" w:cs="Times New Roman"/>
          <w:sz w:val="24"/>
          <w:szCs w:val="24"/>
          <w:lang w:eastAsia="lv-LV"/>
        </w:rPr>
        <w:tab/>
      </w:r>
      <w:r w:rsidRPr="004B424A">
        <w:rPr>
          <w:rFonts w:ascii="Times New Roman" w:hAnsi="Times New Roman" w:eastAsia="Calibri" w:cs="Times New Roman"/>
          <w:sz w:val="24"/>
          <w:szCs w:val="24"/>
          <w:lang w:eastAsia="lv-LV"/>
        </w:rPr>
        <w:tab/>
      </w:r>
      <w:r w:rsidRPr="004B424A">
        <w:rPr>
          <w:rFonts w:ascii="Times New Roman" w:hAnsi="Times New Roman" w:eastAsia="Calibri" w:cs="Times New Roman"/>
          <w:sz w:val="24"/>
          <w:szCs w:val="24"/>
          <w:lang w:eastAsia="lv-LV"/>
        </w:rPr>
        <w:tab/>
      </w:r>
      <w:r w:rsidR="00EC5C88">
        <w:rPr>
          <w:rFonts w:ascii="Times New Roman" w:hAnsi="Times New Roman" w:eastAsia="Calibri" w:cs="Times New Roman"/>
          <w:sz w:val="24"/>
          <w:szCs w:val="24"/>
          <w:lang w:eastAsia="lv-LV"/>
        </w:rPr>
        <w:t>Jānis</w:t>
      </w:r>
      <w:r w:rsidRPr="004B424A">
        <w:rPr>
          <w:rFonts w:ascii="Times New Roman" w:hAnsi="Times New Roman" w:eastAsia="Calibri" w:cs="Times New Roman"/>
          <w:sz w:val="24"/>
          <w:szCs w:val="24"/>
          <w:lang w:eastAsia="lv-LV"/>
        </w:rPr>
        <w:t xml:space="preserve"> </w:t>
      </w:r>
      <w:proofErr w:type="spellStart"/>
      <w:r w:rsidR="00EC5C88">
        <w:rPr>
          <w:rFonts w:ascii="Times New Roman" w:hAnsi="Times New Roman" w:eastAsia="Calibri" w:cs="Times New Roman"/>
          <w:sz w:val="24"/>
          <w:szCs w:val="24"/>
          <w:lang w:eastAsia="lv-LV"/>
        </w:rPr>
        <w:t>Bordāns</w:t>
      </w:r>
      <w:proofErr w:type="spellEnd"/>
    </w:p>
    <w:p w:rsidRPr="004B424A" w:rsidR="0048382C" w:rsidP="004B424A" w:rsidRDefault="0048382C" w14:paraId="4711D456" w14:textId="77777777">
      <w:pPr>
        <w:autoSpaceDE w:val="0"/>
        <w:autoSpaceDN w:val="0"/>
        <w:adjustRightInd w:val="0"/>
        <w:spacing w:after="0" w:line="240" w:lineRule="auto"/>
        <w:jc w:val="both"/>
        <w:rPr>
          <w:rFonts w:ascii="Times New Roman" w:hAnsi="Times New Roman" w:eastAsia="Calibri" w:cs="Times New Roman"/>
          <w:sz w:val="24"/>
          <w:szCs w:val="24"/>
        </w:rPr>
      </w:pPr>
    </w:p>
    <w:p w:rsidRPr="004B424A" w:rsidR="0048382C" w:rsidP="004B424A" w:rsidRDefault="0048382C" w14:paraId="4711D457" w14:textId="77777777">
      <w:pPr>
        <w:autoSpaceDE w:val="0"/>
        <w:autoSpaceDN w:val="0"/>
        <w:adjustRightInd w:val="0"/>
        <w:spacing w:after="0" w:line="240" w:lineRule="auto"/>
        <w:jc w:val="both"/>
        <w:rPr>
          <w:rFonts w:ascii="Times New Roman" w:hAnsi="Times New Roman" w:eastAsia="Calibri" w:cs="Times New Roman"/>
          <w:sz w:val="24"/>
          <w:szCs w:val="24"/>
        </w:rPr>
      </w:pPr>
    </w:p>
    <w:p w:rsidRPr="00E70589" w:rsidR="0082579E" w:rsidP="004B424A" w:rsidRDefault="00546C28" w14:paraId="4711D458" w14:textId="77777777">
      <w:pPr>
        <w:autoSpaceDE w:val="0"/>
        <w:autoSpaceDN w:val="0"/>
        <w:adjustRightInd w:val="0"/>
        <w:spacing w:after="0" w:line="240" w:lineRule="auto"/>
        <w:jc w:val="both"/>
        <w:rPr>
          <w:rFonts w:ascii="Times New Roman" w:hAnsi="Times New Roman" w:eastAsia="Calibri" w:cs="Times New Roman"/>
          <w:sz w:val="20"/>
          <w:szCs w:val="20"/>
        </w:rPr>
      </w:pPr>
      <w:r w:rsidRPr="00E70589">
        <w:rPr>
          <w:rFonts w:ascii="Times New Roman" w:hAnsi="Times New Roman" w:eastAsia="Calibri" w:cs="Times New Roman"/>
          <w:sz w:val="20"/>
          <w:szCs w:val="20"/>
        </w:rPr>
        <w:tab/>
      </w:r>
    </w:p>
    <w:p w:rsidRPr="00E70589" w:rsidR="000C1150" w:rsidP="004B424A" w:rsidRDefault="00546C28" w14:paraId="4711D459" w14:textId="77777777">
      <w:pPr>
        <w:autoSpaceDE w:val="0"/>
        <w:autoSpaceDN w:val="0"/>
        <w:adjustRightInd w:val="0"/>
        <w:spacing w:after="0" w:line="240" w:lineRule="auto"/>
        <w:jc w:val="both"/>
        <w:rPr>
          <w:rFonts w:ascii="Times New Roman" w:hAnsi="Times New Roman" w:eastAsia="Calibri" w:cs="Times New Roman"/>
          <w:sz w:val="20"/>
          <w:szCs w:val="20"/>
        </w:rPr>
      </w:pPr>
      <w:r w:rsidRPr="00E70589">
        <w:rPr>
          <w:rFonts w:ascii="Times New Roman" w:hAnsi="Times New Roman" w:eastAsia="Calibri" w:cs="Times New Roman"/>
          <w:sz w:val="20"/>
          <w:szCs w:val="20"/>
        </w:rPr>
        <w:t>Bajāre-Grīnberga</w:t>
      </w:r>
      <w:r w:rsidRPr="00E70589" w:rsidR="000C1150">
        <w:rPr>
          <w:rFonts w:ascii="Times New Roman" w:hAnsi="Times New Roman" w:eastAsia="Calibri" w:cs="Times New Roman"/>
          <w:sz w:val="20"/>
          <w:szCs w:val="20"/>
        </w:rPr>
        <w:t xml:space="preserve"> </w:t>
      </w:r>
      <w:r w:rsidRPr="00E70589">
        <w:rPr>
          <w:rFonts w:ascii="Times New Roman" w:hAnsi="Times New Roman" w:eastAsia="Calibri" w:cs="Times New Roman"/>
          <w:sz w:val="20"/>
          <w:szCs w:val="20"/>
        </w:rPr>
        <w:t>67036775,</w:t>
      </w:r>
    </w:p>
    <w:p w:rsidRPr="00E70589" w:rsidR="00CA1AE4" w:rsidP="004B424A" w:rsidRDefault="00E70589" w14:paraId="4711D45A" w14:textId="77777777">
      <w:pPr>
        <w:autoSpaceDE w:val="0"/>
        <w:autoSpaceDN w:val="0"/>
        <w:adjustRightInd w:val="0"/>
        <w:spacing w:after="0" w:line="240" w:lineRule="auto"/>
        <w:jc w:val="both"/>
        <w:rPr>
          <w:rFonts w:ascii="Times New Roman" w:hAnsi="Times New Roman" w:eastAsia="Calibri" w:cs="Times New Roman"/>
          <w:sz w:val="20"/>
          <w:szCs w:val="20"/>
        </w:rPr>
      </w:pPr>
      <w:hyperlink w:history="1" r:id="rId11">
        <w:r w:rsidRPr="00E70589" w:rsidR="00546C28">
          <w:rPr>
            <w:rFonts w:ascii="Times New Roman" w:hAnsi="Times New Roman" w:eastAsia="Calibri" w:cs="Times New Roman"/>
            <w:sz w:val="20"/>
            <w:szCs w:val="20"/>
            <w:u w:val="single"/>
          </w:rPr>
          <w:t>Kintija.Bajare-Gr</w:t>
        </w:r>
        <w:r w:rsidRPr="00E70589" w:rsidR="002B7707">
          <w:rPr>
            <w:rFonts w:ascii="Times New Roman" w:hAnsi="Times New Roman" w:eastAsia="Calibri" w:cs="Times New Roman"/>
            <w:sz w:val="20"/>
            <w:szCs w:val="20"/>
            <w:u w:val="single"/>
          </w:rPr>
          <w:t>i</w:t>
        </w:r>
        <w:r w:rsidRPr="00E70589" w:rsidR="00546C28">
          <w:rPr>
            <w:rFonts w:ascii="Times New Roman" w:hAnsi="Times New Roman" w:eastAsia="Calibri" w:cs="Times New Roman"/>
            <w:sz w:val="20"/>
            <w:szCs w:val="20"/>
            <w:u w:val="single"/>
          </w:rPr>
          <w:t>nberga@tm.gov.lv</w:t>
        </w:r>
      </w:hyperlink>
      <w:bookmarkStart w:name="_GoBack" w:id="8"/>
      <w:bookmarkEnd w:id="8"/>
    </w:p>
    <w:sectPr w:rsidRPr="00E70589" w:rsidR="00CA1AE4" w:rsidSect="000C1150">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1D45D" w14:textId="77777777" w:rsidR="005539F7" w:rsidRDefault="005539F7" w:rsidP="00546C28">
      <w:pPr>
        <w:spacing w:after="0" w:line="240" w:lineRule="auto"/>
      </w:pPr>
      <w:r>
        <w:separator/>
      </w:r>
    </w:p>
  </w:endnote>
  <w:endnote w:type="continuationSeparator" w:id="0">
    <w:p w14:paraId="4711D45E" w14:textId="77777777" w:rsidR="005539F7" w:rsidRDefault="005539F7" w:rsidP="00546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j-e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D463" w14:textId="0A982B23" w:rsidR="00430A6F" w:rsidRPr="000C1150" w:rsidRDefault="000C1150" w:rsidP="000C1150">
    <w:pPr>
      <w:pStyle w:val="Kjene"/>
    </w:pPr>
    <w:r>
      <w:rPr>
        <w:rFonts w:ascii="Times New Roman" w:hAnsi="Times New Roman" w:cs="Times New Roman"/>
        <w:sz w:val="20"/>
        <w:szCs w:val="20"/>
        <w:lang w:val="x-none"/>
      </w:rPr>
      <w:fldChar w:fldCharType="begin"/>
    </w:r>
    <w:r>
      <w:rPr>
        <w:rFonts w:ascii="Times New Roman" w:hAnsi="Times New Roman" w:cs="Times New Roman"/>
        <w:sz w:val="20"/>
        <w:szCs w:val="20"/>
        <w:lang w:val="x-none"/>
      </w:rPr>
      <w:instrText xml:space="preserve"> FILENAME   \* MERGEFORMAT </w:instrText>
    </w:r>
    <w:r>
      <w:rPr>
        <w:rFonts w:ascii="Times New Roman" w:hAnsi="Times New Roman" w:cs="Times New Roman"/>
        <w:sz w:val="20"/>
        <w:szCs w:val="20"/>
        <w:lang w:val="x-none"/>
      </w:rPr>
      <w:fldChar w:fldCharType="separate"/>
    </w:r>
    <w:r w:rsidR="00FB752C">
      <w:rPr>
        <w:rFonts w:ascii="Times New Roman" w:hAnsi="Times New Roman" w:cs="Times New Roman"/>
        <w:noProof/>
        <w:sz w:val="20"/>
        <w:szCs w:val="20"/>
        <w:lang w:val="x-none"/>
      </w:rPr>
      <w:t>TMZin_</w:t>
    </w:r>
    <w:r w:rsidR="00EC5C88">
      <w:rPr>
        <w:rFonts w:ascii="Times New Roman" w:hAnsi="Times New Roman" w:cs="Times New Roman"/>
        <w:noProof/>
        <w:sz w:val="20"/>
        <w:szCs w:val="20"/>
      </w:rPr>
      <w:t>1</w:t>
    </w:r>
    <w:r w:rsidR="002C68B4">
      <w:rPr>
        <w:rFonts w:ascii="Times New Roman" w:hAnsi="Times New Roman" w:cs="Times New Roman"/>
        <w:noProof/>
        <w:sz w:val="20"/>
        <w:szCs w:val="20"/>
      </w:rPr>
      <w:t>5</w:t>
    </w:r>
    <w:r w:rsidR="00FB752C">
      <w:rPr>
        <w:rFonts w:ascii="Times New Roman" w:hAnsi="Times New Roman" w:cs="Times New Roman"/>
        <w:noProof/>
        <w:sz w:val="20"/>
        <w:szCs w:val="20"/>
        <w:lang w:val="x-none"/>
      </w:rPr>
      <w:t>0</w:t>
    </w:r>
    <w:r w:rsidR="00EC5C88">
      <w:rPr>
        <w:rFonts w:ascii="Times New Roman" w:hAnsi="Times New Roman" w:cs="Times New Roman"/>
        <w:noProof/>
        <w:sz w:val="20"/>
        <w:szCs w:val="20"/>
      </w:rPr>
      <w:t>2</w:t>
    </w:r>
    <w:r w:rsidR="00FB752C">
      <w:rPr>
        <w:rFonts w:ascii="Times New Roman" w:hAnsi="Times New Roman" w:cs="Times New Roman"/>
        <w:noProof/>
        <w:sz w:val="20"/>
        <w:szCs w:val="20"/>
        <w:lang w:val="x-none"/>
      </w:rPr>
      <w:t>1</w:t>
    </w:r>
    <w:r w:rsidR="00EC5C88">
      <w:rPr>
        <w:rFonts w:ascii="Times New Roman" w:hAnsi="Times New Roman" w:cs="Times New Roman"/>
        <w:noProof/>
        <w:sz w:val="20"/>
        <w:szCs w:val="20"/>
      </w:rPr>
      <w:t>9</w:t>
    </w:r>
    <w:r w:rsidR="00FB752C">
      <w:rPr>
        <w:rFonts w:ascii="Times New Roman" w:hAnsi="Times New Roman" w:cs="Times New Roman"/>
        <w:noProof/>
        <w:sz w:val="20"/>
        <w:szCs w:val="20"/>
        <w:lang w:val="x-none"/>
      </w:rPr>
      <w:t>_VTEI</w:t>
    </w:r>
    <w:r>
      <w:rPr>
        <w:rFonts w:ascii="Times New Roman" w:hAnsi="Times New Roman" w:cs="Times New Roman"/>
        <w:sz w:val="20"/>
        <w:szCs w:val="20"/>
        <w:lang w:val="x-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D465" w14:textId="72B85E10" w:rsidR="00430A6F" w:rsidRPr="000C1150" w:rsidRDefault="000C1150" w:rsidP="000C1150">
    <w:pPr>
      <w:pStyle w:val="Kjene"/>
    </w:pPr>
    <w:r>
      <w:rPr>
        <w:rFonts w:ascii="Times New Roman" w:hAnsi="Times New Roman" w:cs="Times New Roman"/>
        <w:sz w:val="20"/>
        <w:szCs w:val="20"/>
        <w:lang w:val="x-none"/>
      </w:rPr>
      <w:fldChar w:fldCharType="begin"/>
    </w:r>
    <w:r>
      <w:rPr>
        <w:rFonts w:ascii="Times New Roman" w:hAnsi="Times New Roman" w:cs="Times New Roman"/>
        <w:sz w:val="20"/>
        <w:szCs w:val="20"/>
        <w:lang w:val="x-none"/>
      </w:rPr>
      <w:instrText xml:space="preserve"> FILENAME   \* MERGEFORMAT </w:instrText>
    </w:r>
    <w:r>
      <w:rPr>
        <w:rFonts w:ascii="Times New Roman" w:hAnsi="Times New Roman" w:cs="Times New Roman"/>
        <w:sz w:val="20"/>
        <w:szCs w:val="20"/>
        <w:lang w:val="x-none"/>
      </w:rPr>
      <w:fldChar w:fldCharType="separate"/>
    </w:r>
    <w:r w:rsidR="00FB752C">
      <w:rPr>
        <w:rFonts w:ascii="Times New Roman" w:hAnsi="Times New Roman" w:cs="Times New Roman"/>
        <w:noProof/>
        <w:sz w:val="20"/>
        <w:szCs w:val="20"/>
        <w:lang w:val="x-none"/>
      </w:rPr>
      <w:t>TMZin_</w:t>
    </w:r>
    <w:r w:rsidR="00EC5C88">
      <w:rPr>
        <w:rFonts w:ascii="Times New Roman" w:hAnsi="Times New Roman" w:cs="Times New Roman"/>
        <w:noProof/>
        <w:sz w:val="20"/>
        <w:szCs w:val="20"/>
      </w:rPr>
      <w:t>1</w:t>
    </w:r>
    <w:r w:rsidR="002C68B4">
      <w:rPr>
        <w:rFonts w:ascii="Times New Roman" w:hAnsi="Times New Roman" w:cs="Times New Roman"/>
        <w:noProof/>
        <w:sz w:val="20"/>
        <w:szCs w:val="20"/>
      </w:rPr>
      <w:t>5</w:t>
    </w:r>
    <w:r w:rsidR="00FB752C">
      <w:rPr>
        <w:rFonts w:ascii="Times New Roman" w:hAnsi="Times New Roman" w:cs="Times New Roman"/>
        <w:noProof/>
        <w:sz w:val="20"/>
        <w:szCs w:val="20"/>
        <w:lang w:val="x-none"/>
      </w:rPr>
      <w:t>0</w:t>
    </w:r>
    <w:r w:rsidR="00EC5C88">
      <w:rPr>
        <w:rFonts w:ascii="Times New Roman" w:hAnsi="Times New Roman" w:cs="Times New Roman"/>
        <w:noProof/>
        <w:sz w:val="20"/>
        <w:szCs w:val="20"/>
      </w:rPr>
      <w:t>2</w:t>
    </w:r>
    <w:r w:rsidR="00FB752C">
      <w:rPr>
        <w:rFonts w:ascii="Times New Roman" w:hAnsi="Times New Roman" w:cs="Times New Roman"/>
        <w:noProof/>
        <w:sz w:val="20"/>
        <w:szCs w:val="20"/>
        <w:lang w:val="x-none"/>
      </w:rPr>
      <w:t>1</w:t>
    </w:r>
    <w:r w:rsidR="00EC5C88">
      <w:rPr>
        <w:rFonts w:ascii="Times New Roman" w:hAnsi="Times New Roman" w:cs="Times New Roman"/>
        <w:noProof/>
        <w:sz w:val="20"/>
        <w:szCs w:val="20"/>
      </w:rPr>
      <w:t>9</w:t>
    </w:r>
    <w:r w:rsidR="00FB752C">
      <w:rPr>
        <w:rFonts w:ascii="Times New Roman" w:hAnsi="Times New Roman" w:cs="Times New Roman"/>
        <w:noProof/>
        <w:sz w:val="20"/>
        <w:szCs w:val="20"/>
        <w:lang w:val="x-none"/>
      </w:rPr>
      <w:t>_VTEI</w:t>
    </w:r>
    <w:r>
      <w:rPr>
        <w:rFonts w:ascii="Times New Roman" w:hAnsi="Times New Roman" w:cs="Times New Roman"/>
        <w:sz w:val="20"/>
        <w:szCs w:val="20"/>
        <w:lang w:val="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D45B" w14:textId="77777777" w:rsidR="005539F7" w:rsidRDefault="005539F7" w:rsidP="00546C28">
      <w:pPr>
        <w:spacing w:after="0" w:line="240" w:lineRule="auto"/>
      </w:pPr>
      <w:r>
        <w:separator/>
      </w:r>
    </w:p>
  </w:footnote>
  <w:footnote w:type="continuationSeparator" w:id="0">
    <w:p w14:paraId="4711D45C" w14:textId="77777777" w:rsidR="005539F7" w:rsidRDefault="005539F7" w:rsidP="00546C28">
      <w:pPr>
        <w:spacing w:after="0" w:line="240" w:lineRule="auto"/>
      </w:pPr>
      <w:r>
        <w:continuationSeparator/>
      </w:r>
    </w:p>
  </w:footnote>
  <w:footnote w:id="1">
    <w:p w14:paraId="4711D466" w14:textId="77777777" w:rsidR="00546C28" w:rsidRPr="000C1150" w:rsidRDefault="00546C28" w:rsidP="000C1150">
      <w:pPr>
        <w:pStyle w:val="Vresteksts"/>
        <w:jc w:val="both"/>
        <w:rPr>
          <w:rFonts w:ascii="Times New Roman" w:hAnsi="Times New Roman"/>
          <w:lang w:val="lv-LV"/>
        </w:rPr>
      </w:pPr>
      <w:r w:rsidRPr="00A14812">
        <w:rPr>
          <w:rStyle w:val="Vresatsauce"/>
          <w:rFonts w:ascii="Times New Roman" w:hAnsi="Times New Roman"/>
        </w:rPr>
        <w:footnoteRef/>
      </w:r>
      <w:r w:rsidRPr="00A14812">
        <w:rPr>
          <w:rFonts w:ascii="Times New Roman" w:hAnsi="Times New Roman"/>
        </w:rPr>
        <w:t xml:space="preserve"> </w:t>
      </w:r>
      <w:r w:rsidRPr="000C1150">
        <w:rPr>
          <w:rFonts w:ascii="Times New Roman" w:hAnsi="Times New Roman"/>
          <w:lang w:val="lv-LV"/>
        </w:rPr>
        <w:t xml:space="preserve">Finanšu ministrijas 2017. gada 7. jūnija </w:t>
      </w:r>
      <w:r w:rsidRPr="000C1150">
        <w:rPr>
          <w:rFonts w:ascii="Times New Roman" w:hAnsi="Times New Roman"/>
        </w:rPr>
        <w:t>prezent</w:t>
      </w:r>
      <w:r w:rsidRPr="000C1150">
        <w:rPr>
          <w:rFonts w:ascii="Times New Roman" w:hAnsi="Times New Roman"/>
          <w:lang w:val="lv-LV"/>
        </w:rPr>
        <w:t xml:space="preserve">ācija </w:t>
      </w:r>
      <w:r w:rsidR="004B424A" w:rsidRPr="000C1150">
        <w:rPr>
          <w:rFonts w:ascii="Times New Roman" w:hAnsi="Times New Roman"/>
          <w:lang w:val="lv-LV"/>
        </w:rPr>
        <w:t>"</w:t>
      </w:r>
      <w:r w:rsidRPr="000C1150">
        <w:rPr>
          <w:rFonts w:ascii="Times New Roman" w:eastAsia="+mj-ea" w:hAnsi="Times New Roman"/>
          <w:bCs/>
          <w:kern w:val="24"/>
          <w14:shadow w14:blurRad="63500" w14:dist="50800" w14:dir="13500000" w14:sx="0" w14:sy="0" w14:kx="0" w14:ky="0" w14:algn="none">
            <w14:srgbClr w14:val="000000">
              <w14:alpha w14:val="50000"/>
            </w14:srgbClr>
          </w14:shadow>
        </w:rPr>
        <w:t>Galvenie 2017. gada izdevumu pārskatīšanas rezultāti</w:t>
      </w:r>
      <w:r w:rsidR="004B424A" w:rsidRPr="000C1150">
        <w:rPr>
          <w:rFonts w:ascii="Times New Roman" w:eastAsia="+mj-ea" w:hAnsi="Times New Roman"/>
          <w:bCs/>
          <w:kern w:val="24"/>
          <w:lang w:val="lv-LV"/>
          <w14:shadow w14:blurRad="63500" w14:dist="50800" w14:dir="13500000" w14:sx="0" w14:sy="0" w14:kx="0" w14:ky="0" w14:algn="none">
            <w14:srgbClr w14:val="000000">
              <w14:alpha w14:val="50000"/>
            </w14:srgbClr>
          </w14:shadow>
        </w:rPr>
        <w:t>"</w:t>
      </w:r>
      <w:r w:rsidR="00BF0162" w:rsidRPr="000C1150">
        <w:rPr>
          <w:rFonts w:ascii="Times New Roman" w:eastAsia="+mj-ea" w:hAnsi="Times New Roman"/>
          <w:bCs/>
          <w:kern w:val="24"/>
          <w:lang w:val="lv-LV"/>
          <w14:shadow w14:blurRad="63500" w14:dist="50800" w14:dir="13500000" w14:sx="0" w14:sy="0" w14:kx="0" w14:ky="0" w14:algn="none">
            <w14:srgbClr w14:val="000000">
              <w14:alpha w14:val="50000"/>
            </w14:srgbClr>
          </w14:shadow>
        </w:rPr>
        <w:t>, kurā ietverts ierosinājums – Tieslietu ministrijai sadarbībā ar Iekšlietu ministriju, Veselības ministriju un Finanšu ministriju</w:t>
      </w:r>
      <w:r w:rsidR="006D5C9F" w:rsidRPr="000C1150">
        <w:rPr>
          <w:rFonts w:ascii="Times New Roman" w:eastAsia="+mj-ea" w:hAnsi="Times New Roman"/>
          <w:bCs/>
          <w:kern w:val="24"/>
          <w:lang w:val="lv-LV"/>
          <w14:shadow w14:blurRad="63500" w14:dist="50800" w14:dir="13500000" w14:sx="0" w14:sy="0" w14:kx="0" w14:ky="0" w14:algn="none">
            <w14:srgbClr w14:val="000000">
              <w14:alpha w14:val="50000"/>
            </w14:srgbClr>
          </w14:shadow>
        </w:rPr>
        <w:t xml:space="preserve"> (Valsts ieņēmumu dienestu) izvērtēt vienota valsts tiesu ekspertīžu centra izveides iespējas.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612795"/>
      <w:docPartObj>
        <w:docPartGallery w:val="Page Numbers (Top of Page)"/>
        <w:docPartUnique/>
      </w:docPartObj>
    </w:sdtPr>
    <w:sdtEndPr>
      <w:rPr>
        <w:rFonts w:ascii="Times New Roman" w:hAnsi="Times New Roman" w:cs="Times New Roman"/>
        <w:sz w:val="24"/>
        <w:szCs w:val="24"/>
      </w:rPr>
    </w:sdtEndPr>
    <w:sdtContent>
      <w:p w:rsidRPr="00D81D13" w:rsidR="00D81D13" w:rsidRDefault="00611417" w14:paraId="4711D460" w14:textId="77777777">
        <w:pPr>
          <w:pStyle w:val="Galvene"/>
          <w:jc w:val="center"/>
          <w:rPr>
            <w:rFonts w:ascii="Times New Roman" w:hAnsi="Times New Roman" w:cs="Times New Roman"/>
            <w:sz w:val="24"/>
            <w:szCs w:val="24"/>
          </w:rPr>
        </w:pPr>
        <w:r w:rsidRPr="00D81D13">
          <w:rPr>
            <w:rFonts w:ascii="Times New Roman" w:hAnsi="Times New Roman" w:cs="Times New Roman"/>
            <w:sz w:val="24"/>
            <w:szCs w:val="24"/>
          </w:rPr>
          <w:fldChar w:fldCharType="begin"/>
        </w:r>
        <w:r w:rsidRPr="00D81D13">
          <w:rPr>
            <w:rFonts w:ascii="Times New Roman" w:hAnsi="Times New Roman" w:cs="Times New Roman"/>
            <w:sz w:val="24"/>
            <w:szCs w:val="24"/>
          </w:rPr>
          <w:instrText>PAGE   \* MERGEFORMAT</w:instrText>
        </w:r>
        <w:r w:rsidRPr="00D81D13">
          <w:rPr>
            <w:rFonts w:ascii="Times New Roman" w:hAnsi="Times New Roman" w:cs="Times New Roman"/>
            <w:sz w:val="24"/>
            <w:szCs w:val="24"/>
          </w:rPr>
          <w:fldChar w:fldCharType="separate"/>
        </w:r>
        <w:r w:rsidR="006F5FF2">
          <w:rPr>
            <w:rFonts w:ascii="Times New Roman" w:hAnsi="Times New Roman" w:cs="Times New Roman"/>
            <w:noProof/>
            <w:sz w:val="24"/>
            <w:szCs w:val="24"/>
          </w:rPr>
          <w:t>3</w:t>
        </w:r>
        <w:r w:rsidRPr="00D81D13">
          <w:rPr>
            <w:rFonts w:ascii="Times New Roman" w:hAnsi="Times New Roman" w:cs="Times New Roman"/>
            <w:sz w:val="24"/>
            <w:szCs w:val="24"/>
          </w:rPr>
          <w:fldChar w:fldCharType="end"/>
        </w:r>
      </w:p>
    </w:sdtContent>
  </w:sdt>
  <w:p w:rsidR="00D81D13" w:rsidRDefault="00E70589" w14:paraId="4711D461"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70AA0"/>
    <w:multiLevelType w:val="hybridMultilevel"/>
    <w:tmpl w:val="F5E8627E"/>
    <w:lvl w:ilvl="0" w:tplc="382684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12F4A9D"/>
    <w:multiLevelType w:val="hybridMultilevel"/>
    <w:tmpl w:val="43CA0418"/>
    <w:lvl w:ilvl="0" w:tplc="47D62A38">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638D60A5"/>
    <w:multiLevelType w:val="hybridMultilevel"/>
    <w:tmpl w:val="D3421250"/>
    <w:lvl w:ilvl="0" w:tplc="7FDCAB2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6F863FF6"/>
    <w:multiLevelType w:val="hybridMultilevel"/>
    <w:tmpl w:val="FB745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E74FED"/>
    <w:multiLevelType w:val="hybridMultilevel"/>
    <w:tmpl w:val="6A721EC6"/>
    <w:lvl w:ilvl="0" w:tplc="F886F4C2">
      <w:start w:val="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C28"/>
    <w:rsid w:val="00010D59"/>
    <w:rsid w:val="00026970"/>
    <w:rsid w:val="00050EE1"/>
    <w:rsid w:val="0006207C"/>
    <w:rsid w:val="000A3CDB"/>
    <w:rsid w:val="000B11FE"/>
    <w:rsid w:val="000B2B90"/>
    <w:rsid w:val="000B5AB5"/>
    <w:rsid w:val="000C1150"/>
    <w:rsid w:val="000E0FF8"/>
    <w:rsid w:val="000E49B0"/>
    <w:rsid w:val="00112387"/>
    <w:rsid w:val="0012126E"/>
    <w:rsid w:val="001219A6"/>
    <w:rsid w:val="00122E16"/>
    <w:rsid w:val="00123E49"/>
    <w:rsid w:val="00135384"/>
    <w:rsid w:val="00162153"/>
    <w:rsid w:val="001F4173"/>
    <w:rsid w:val="002139E9"/>
    <w:rsid w:val="00226BB5"/>
    <w:rsid w:val="00234D98"/>
    <w:rsid w:val="00281E6C"/>
    <w:rsid w:val="002B7707"/>
    <w:rsid w:val="002C68B4"/>
    <w:rsid w:val="00300AC7"/>
    <w:rsid w:val="0033745D"/>
    <w:rsid w:val="003A7F94"/>
    <w:rsid w:val="003B5C54"/>
    <w:rsid w:val="003E6B4D"/>
    <w:rsid w:val="00415FCD"/>
    <w:rsid w:val="00434336"/>
    <w:rsid w:val="004450A0"/>
    <w:rsid w:val="0048382C"/>
    <w:rsid w:val="0048566E"/>
    <w:rsid w:val="004A6FE7"/>
    <w:rsid w:val="004B36A8"/>
    <w:rsid w:val="004B424A"/>
    <w:rsid w:val="004C5D38"/>
    <w:rsid w:val="004C6A33"/>
    <w:rsid w:val="004E0DB9"/>
    <w:rsid w:val="004E253E"/>
    <w:rsid w:val="00531016"/>
    <w:rsid w:val="00546833"/>
    <w:rsid w:val="00546C28"/>
    <w:rsid w:val="00550D3A"/>
    <w:rsid w:val="005539F7"/>
    <w:rsid w:val="00562571"/>
    <w:rsid w:val="00565C6E"/>
    <w:rsid w:val="00597C43"/>
    <w:rsid w:val="00597D35"/>
    <w:rsid w:val="00611417"/>
    <w:rsid w:val="0066329A"/>
    <w:rsid w:val="00684548"/>
    <w:rsid w:val="006D5C9F"/>
    <w:rsid w:val="006F5FF2"/>
    <w:rsid w:val="00703B5F"/>
    <w:rsid w:val="00707437"/>
    <w:rsid w:val="0071076D"/>
    <w:rsid w:val="007201D7"/>
    <w:rsid w:val="00727006"/>
    <w:rsid w:val="007300A6"/>
    <w:rsid w:val="00732643"/>
    <w:rsid w:val="007D3BAE"/>
    <w:rsid w:val="00804459"/>
    <w:rsid w:val="00811991"/>
    <w:rsid w:val="00814897"/>
    <w:rsid w:val="008204A2"/>
    <w:rsid w:val="00822421"/>
    <w:rsid w:val="0082579E"/>
    <w:rsid w:val="00834E35"/>
    <w:rsid w:val="00860D27"/>
    <w:rsid w:val="008C04AA"/>
    <w:rsid w:val="008D4E7C"/>
    <w:rsid w:val="008E0361"/>
    <w:rsid w:val="008E5E78"/>
    <w:rsid w:val="00904C6F"/>
    <w:rsid w:val="00914C32"/>
    <w:rsid w:val="0092350E"/>
    <w:rsid w:val="0094319B"/>
    <w:rsid w:val="009506FE"/>
    <w:rsid w:val="00953468"/>
    <w:rsid w:val="00955C3A"/>
    <w:rsid w:val="00981961"/>
    <w:rsid w:val="009B2ED7"/>
    <w:rsid w:val="00A11D23"/>
    <w:rsid w:val="00A2795E"/>
    <w:rsid w:val="00A31FE8"/>
    <w:rsid w:val="00A32F72"/>
    <w:rsid w:val="00A71F01"/>
    <w:rsid w:val="00A72CAB"/>
    <w:rsid w:val="00AA7DAB"/>
    <w:rsid w:val="00AE123D"/>
    <w:rsid w:val="00AE28DA"/>
    <w:rsid w:val="00AF06D8"/>
    <w:rsid w:val="00B46B40"/>
    <w:rsid w:val="00B91A99"/>
    <w:rsid w:val="00B96474"/>
    <w:rsid w:val="00BB7E7F"/>
    <w:rsid w:val="00BF0162"/>
    <w:rsid w:val="00C23FEC"/>
    <w:rsid w:val="00C25112"/>
    <w:rsid w:val="00C524FA"/>
    <w:rsid w:val="00CA1AE4"/>
    <w:rsid w:val="00CB40CB"/>
    <w:rsid w:val="00CD2DC0"/>
    <w:rsid w:val="00CD5888"/>
    <w:rsid w:val="00D03B82"/>
    <w:rsid w:val="00D20CFA"/>
    <w:rsid w:val="00D3277B"/>
    <w:rsid w:val="00D871DF"/>
    <w:rsid w:val="00DB1A06"/>
    <w:rsid w:val="00DC3897"/>
    <w:rsid w:val="00DF560E"/>
    <w:rsid w:val="00DF57DA"/>
    <w:rsid w:val="00E11129"/>
    <w:rsid w:val="00E136AF"/>
    <w:rsid w:val="00E34623"/>
    <w:rsid w:val="00E46CEF"/>
    <w:rsid w:val="00E50568"/>
    <w:rsid w:val="00E60905"/>
    <w:rsid w:val="00E62FCE"/>
    <w:rsid w:val="00E70589"/>
    <w:rsid w:val="00E72386"/>
    <w:rsid w:val="00E80CBB"/>
    <w:rsid w:val="00E82763"/>
    <w:rsid w:val="00EA02A6"/>
    <w:rsid w:val="00EC5C88"/>
    <w:rsid w:val="00EC706B"/>
    <w:rsid w:val="00EF0E12"/>
    <w:rsid w:val="00F21984"/>
    <w:rsid w:val="00F32B4B"/>
    <w:rsid w:val="00F412AA"/>
    <w:rsid w:val="00F77377"/>
    <w:rsid w:val="00F92735"/>
    <w:rsid w:val="00F9785F"/>
    <w:rsid w:val="00FB4371"/>
    <w:rsid w:val="00FB75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11D41A"/>
  <w15:chartTrackingRefBased/>
  <w15:docId w15:val="{A7E0E3DE-3DB8-4B65-A9EF-6AB3B958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basedOn w:val="Noklusjumarindkopasfonts"/>
    <w:uiPriority w:val="20"/>
    <w:qFormat/>
    <w:rsid w:val="00546C28"/>
    <w:rPr>
      <w:b/>
      <w:bCs/>
      <w:i w:val="0"/>
      <w:iCs w:val="0"/>
    </w:rPr>
  </w:style>
  <w:style w:type="paragraph" w:styleId="Galvene">
    <w:name w:val="header"/>
    <w:basedOn w:val="Parasts"/>
    <w:link w:val="GalveneRakstz"/>
    <w:uiPriority w:val="99"/>
    <w:unhideWhenUsed/>
    <w:rsid w:val="00546C28"/>
    <w:pPr>
      <w:tabs>
        <w:tab w:val="center" w:pos="4153"/>
        <w:tab w:val="right" w:pos="8306"/>
      </w:tabs>
      <w:spacing w:after="0" w:line="240" w:lineRule="auto"/>
    </w:pPr>
    <w:rPr>
      <w:rFonts w:ascii="Calibri" w:eastAsia="Calibri" w:hAnsi="Calibri" w:cs="Calibri"/>
      <w:lang w:eastAsia="lv-LV"/>
    </w:rPr>
  </w:style>
  <w:style w:type="character" w:customStyle="1" w:styleId="GalveneRakstz">
    <w:name w:val="Galvene Rakstz."/>
    <w:basedOn w:val="Noklusjumarindkopasfonts"/>
    <w:link w:val="Galvene"/>
    <w:uiPriority w:val="99"/>
    <w:rsid w:val="00546C28"/>
    <w:rPr>
      <w:rFonts w:ascii="Calibri" w:eastAsia="Calibri" w:hAnsi="Calibri" w:cs="Calibri"/>
      <w:lang w:eastAsia="lv-LV"/>
    </w:rPr>
  </w:style>
  <w:style w:type="paragraph" w:styleId="Vresteksts">
    <w:name w:val="footnote text"/>
    <w:basedOn w:val="Parasts"/>
    <w:link w:val="VrestekstsRakstz"/>
    <w:uiPriority w:val="99"/>
    <w:semiHidden/>
    <w:unhideWhenUsed/>
    <w:rsid w:val="00546C28"/>
    <w:pPr>
      <w:spacing w:after="0" w:line="240" w:lineRule="auto"/>
    </w:pPr>
    <w:rPr>
      <w:rFonts w:ascii="Calibri" w:eastAsia="Calibri" w:hAnsi="Calibri" w:cs="Times New Roman"/>
      <w:sz w:val="20"/>
      <w:szCs w:val="20"/>
      <w:lang w:val="x-none" w:eastAsia="x-none"/>
    </w:rPr>
  </w:style>
  <w:style w:type="character" w:customStyle="1" w:styleId="VrestekstsRakstz">
    <w:name w:val="Vēres teksts Rakstz."/>
    <w:basedOn w:val="Noklusjumarindkopasfonts"/>
    <w:link w:val="Vresteksts"/>
    <w:uiPriority w:val="99"/>
    <w:semiHidden/>
    <w:rsid w:val="00546C28"/>
    <w:rPr>
      <w:rFonts w:ascii="Calibri" w:eastAsia="Calibri" w:hAnsi="Calibri" w:cs="Times New Roman"/>
      <w:sz w:val="20"/>
      <w:szCs w:val="20"/>
      <w:lang w:val="x-none" w:eastAsia="x-none"/>
    </w:rPr>
  </w:style>
  <w:style w:type="character" w:styleId="Vresatsauce">
    <w:name w:val="footnote reference"/>
    <w:uiPriority w:val="99"/>
    <w:semiHidden/>
    <w:unhideWhenUsed/>
    <w:rsid w:val="00546C28"/>
    <w:rPr>
      <w:vertAlign w:val="superscript"/>
    </w:rPr>
  </w:style>
  <w:style w:type="character" w:styleId="Komentraatsauce">
    <w:name w:val="annotation reference"/>
    <w:uiPriority w:val="99"/>
    <w:semiHidden/>
    <w:unhideWhenUsed/>
    <w:rsid w:val="00546C28"/>
    <w:rPr>
      <w:sz w:val="16"/>
      <w:szCs w:val="16"/>
    </w:rPr>
  </w:style>
  <w:style w:type="paragraph" w:styleId="Komentrateksts">
    <w:name w:val="annotation text"/>
    <w:basedOn w:val="Parasts"/>
    <w:link w:val="KomentratekstsRakstz"/>
    <w:uiPriority w:val="99"/>
    <w:semiHidden/>
    <w:unhideWhenUsed/>
    <w:rsid w:val="00546C28"/>
    <w:pPr>
      <w:spacing w:after="0" w:line="240" w:lineRule="auto"/>
    </w:pPr>
    <w:rPr>
      <w:rFonts w:ascii="Calibri" w:eastAsia="Calibri" w:hAnsi="Calibri" w:cs="Times New Roman"/>
      <w:sz w:val="20"/>
      <w:szCs w:val="20"/>
      <w:lang w:val="x-none" w:eastAsia="lv-LV"/>
    </w:rPr>
  </w:style>
  <w:style w:type="character" w:customStyle="1" w:styleId="KomentratekstsRakstz">
    <w:name w:val="Komentāra teksts Rakstz."/>
    <w:basedOn w:val="Noklusjumarindkopasfonts"/>
    <w:link w:val="Komentrateksts"/>
    <w:uiPriority w:val="99"/>
    <w:semiHidden/>
    <w:rsid w:val="00546C28"/>
    <w:rPr>
      <w:rFonts w:ascii="Calibri" w:eastAsia="Calibri" w:hAnsi="Calibri" w:cs="Times New Roman"/>
      <w:sz w:val="20"/>
      <w:szCs w:val="20"/>
      <w:lang w:val="x-none" w:eastAsia="lv-LV"/>
    </w:rPr>
  </w:style>
  <w:style w:type="paragraph" w:styleId="Balonteksts">
    <w:name w:val="Balloon Text"/>
    <w:basedOn w:val="Parasts"/>
    <w:link w:val="BalontekstsRakstz"/>
    <w:uiPriority w:val="99"/>
    <w:semiHidden/>
    <w:unhideWhenUsed/>
    <w:rsid w:val="00546C2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46C28"/>
    <w:rPr>
      <w:rFonts w:ascii="Segoe UI" w:hAnsi="Segoe UI" w:cs="Segoe UI"/>
      <w:sz w:val="18"/>
      <w:szCs w:val="18"/>
    </w:rPr>
  </w:style>
  <w:style w:type="paragraph" w:styleId="Kjene">
    <w:name w:val="footer"/>
    <w:basedOn w:val="Parasts"/>
    <w:link w:val="KjeneRakstz"/>
    <w:uiPriority w:val="99"/>
    <w:unhideWhenUsed/>
    <w:rsid w:val="00546C2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46C28"/>
  </w:style>
  <w:style w:type="paragraph" w:customStyle="1" w:styleId="Default">
    <w:name w:val="Default"/>
    <w:rsid w:val="000B5A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Komentratma">
    <w:name w:val="annotation subject"/>
    <w:basedOn w:val="Komentrateksts"/>
    <w:next w:val="Komentrateksts"/>
    <w:link w:val="KomentratmaRakstz"/>
    <w:uiPriority w:val="99"/>
    <w:semiHidden/>
    <w:unhideWhenUsed/>
    <w:rsid w:val="000B5AB5"/>
    <w:pPr>
      <w:spacing w:after="16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0B5AB5"/>
    <w:rPr>
      <w:rFonts w:ascii="Calibri" w:eastAsia="Calibri" w:hAnsi="Calibri" w:cs="Times New Roman"/>
      <w:b/>
      <w:bCs/>
      <w:sz w:val="20"/>
      <w:szCs w:val="20"/>
      <w:lang w:val="x-none" w:eastAsia="lv-LV"/>
    </w:rPr>
  </w:style>
  <w:style w:type="paragraph" w:styleId="Sarakstarindkopa">
    <w:name w:val="List Paragraph"/>
    <w:aliases w:val="2,Strip"/>
    <w:basedOn w:val="Parasts"/>
    <w:link w:val="SarakstarindkopaRakstz"/>
    <w:uiPriority w:val="34"/>
    <w:qFormat/>
    <w:rsid w:val="004C6A33"/>
    <w:pPr>
      <w:ind w:left="720"/>
      <w:contextualSpacing/>
    </w:pPr>
  </w:style>
  <w:style w:type="character" w:customStyle="1" w:styleId="SarakstarindkopaRakstz">
    <w:name w:val="Saraksta rindkopa Rakstz."/>
    <w:aliases w:val="2 Rakstz.,Strip Rakstz."/>
    <w:link w:val="Sarakstarindkopa"/>
    <w:uiPriority w:val="34"/>
    <w:locked/>
    <w:rsid w:val="0066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7177">
      <w:bodyDiv w:val="1"/>
      <w:marLeft w:val="0"/>
      <w:marRight w:val="0"/>
      <w:marTop w:val="0"/>
      <w:marBottom w:val="0"/>
      <w:divBdr>
        <w:top w:val="none" w:sz="0" w:space="0" w:color="auto"/>
        <w:left w:val="none" w:sz="0" w:space="0" w:color="auto"/>
        <w:bottom w:val="none" w:sz="0" w:space="0" w:color="auto"/>
        <w:right w:val="none" w:sz="0" w:space="0" w:color="auto"/>
      </w:divBdr>
    </w:div>
    <w:div w:id="254048615">
      <w:bodyDiv w:val="1"/>
      <w:marLeft w:val="0"/>
      <w:marRight w:val="0"/>
      <w:marTop w:val="0"/>
      <w:marBottom w:val="0"/>
      <w:divBdr>
        <w:top w:val="none" w:sz="0" w:space="0" w:color="auto"/>
        <w:left w:val="none" w:sz="0" w:space="0" w:color="auto"/>
        <w:bottom w:val="none" w:sz="0" w:space="0" w:color="auto"/>
        <w:right w:val="none" w:sz="0" w:space="0" w:color="auto"/>
      </w:divBdr>
    </w:div>
    <w:div w:id="751464107">
      <w:bodyDiv w:val="1"/>
      <w:marLeft w:val="0"/>
      <w:marRight w:val="0"/>
      <w:marTop w:val="0"/>
      <w:marBottom w:val="0"/>
      <w:divBdr>
        <w:top w:val="none" w:sz="0" w:space="0" w:color="auto"/>
        <w:left w:val="none" w:sz="0" w:space="0" w:color="auto"/>
        <w:bottom w:val="none" w:sz="0" w:space="0" w:color="auto"/>
        <w:right w:val="none" w:sz="0" w:space="0" w:color="auto"/>
      </w:divBdr>
    </w:div>
    <w:div w:id="817961395">
      <w:bodyDiv w:val="1"/>
      <w:marLeft w:val="0"/>
      <w:marRight w:val="0"/>
      <w:marTop w:val="0"/>
      <w:marBottom w:val="0"/>
      <w:divBdr>
        <w:top w:val="none" w:sz="0" w:space="0" w:color="auto"/>
        <w:left w:val="none" w:sz="0" w:space="0" w:color="auto"/>
        <w:bottom w:val="none" w:sz="0" w:space="0" w:color="auto"/>
        <w:right w:val="none" w:sz="0" w:space="0" w:color="auto"/>
      </w:divBdr>
    </w:div>
    <w:div w:id="834809620">
      <w:bodyDiv w:val="1"/>
      <w:marLeft w:val="0"/>
      <w:marRight w:val="0"/>
      <w:marTop w:val="0"/>
      <w:marBottom w:val="0"/>
      <w:divBdr>
        <w:top w:val="none" w:sz="0" w:space="0" w:color="auto"/>
        <w:left w:val="none" w:sz="0" w:space="0" w:color="auto"/>
        <w:bottom w:val="none" w:sz="0" w:space="0" w:color="auto"/>
        <w:right w:val="none" w:sz="0" w:space="0" w:color="auto"/>
      </w:divBdr>
    </w:div>
    <w:div w:id="897983996">
      <w:bodyDiv w:val="1"/>
      <w:marLeft w:val="0"/>
      <w:marRight w:val="0"/>
      <w:marTop w:val="0"/>
      <w:marBottom w:val="0"/>
      <w:divBdr>
        <w:top w:val="none" w:sz="0" w:space="0" w:color="auto"/>
        <w:left w:val="none" w:sz="0" w:space="0" w:color="auto"/>
        <w:bottom w:val="none" w:sz="0" w:space="0" w:color="auto"/>
        <w:right w:val="none" w:sz="0" w:space="0" w:color="auto"/>
      </w:divBdr>
    </w:div>
    <w:div w:id="1813522930">
      <w:bodyDiv w:val="1"/>
      <w:marLeft w:val="0"/>
      <w:marRight w:val="0"/>
      <w:marTop w:val="0"/>
      <w:marBottom w:val="0"/>
      <w:divBdr>
        <w:top w:val="none" w:sz="0" w:space="0" w:color="auto"/>
        <w:left w:val="none" w:sz="0" w:space="0" w:color="auto"/>
        <w:bottom w:val="none" w:sz="0" w:space="0" w:color="auto"/>
        <w:right w:val="none" w:sz="0" w:space="0" w:color="auto"/>
      </w:divBdr>
    </w:div>
    <w:div w:id="206872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ntija.Bajare-Gr&#299;nberga@t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9A065-EB8E-4E01-815C-9D5E046C0DC6}">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9B5F04B-7B27-4015-9BA6-BAB3B94E2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79B5446-7C30-4E40-B944-C26334845F62}">
  <ds:schemaRefs>
    <ds:schemaRef ds:uri="http://schemas.microsoft.com/sharepoint/v3/contenttype/forms"/>
  </ds:schemaRefs>
</ds:datastoreItem>
</file>

<file path=customXml/itemProps4.xml><?xml version="1.0" encoding="utf-8"?>
<ds:datastoreItem xmlns:ds="http://schemas.openxmlformats.org/officeDocument/2006/customXml" ds:itemID="{A63BDCE9-2832-43CF-81D7-86B34ED0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8245</Words>
  <Characters>4700</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rīcības plānu tiesu ekspertīžu insttūta reformas ieviešanai</vt:lpstr>
      <vt:lpstr/>
    </vt:vector>
  </TitlesOfParts>
  <Manager>I.Ilgaža</Manager>
  <Company>Tieslietu ministrija</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rīcības plānu tiesu ekspertīžu insttūta reformas ieviešanai</dc:title>
  <dc:subject>Informatīvais ziņojums</dc:subject>
  <dc:creator>Kintija Bajāre-Grīnberga</dc:creator>
  <cp:keywords/>
  <dc:description>67036789, Kintija.Bajare-Grinberga@tm.gov.lv</dc:description>
  <cp:lastModifiedBy>Kintija Bajāre-Grīnberga</cp:lastModifiedBy>
  <cp:revision>20</cp:revision>
  <cp:lastPrinted>2018-08-15T13:10:00Z</cp:lastPrinted>
  <dcterms:created xsi:type="dcterms:W3CDTF">2018-09-14T07:31:00Z</dcterms:created>
  <dcterms:modified xsi:type="dcterms:W3CDTF">2019-02-15T09:12:00Z</dcterms:modified>
  <cp:category>Tieslietu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