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714B" w14:textId="77777777" w:rsidR="003D6ECA" w:rsidRPr="00CD371F" w:rsidRDefault="003D6ECA" w:rsidP="001154C6">
      <w:pPr>
        <w:jc w:val="center"/>
        <w:rPr>
          <w:b/>
          <w:sz w:val="26"/>
          <w:szCs w:val="26"/>
        </w:rPr>
      </w:pPr>
    </w:p>
    <w:p w14:paraId="30245384" w14:textId="77777777" w:rsidR="003908DB" w:rsidRPr="00CD371F" w:rsidRDefault="003908DB" w:rsidP="001154C6">
      <w:pPr>
        <w:jc w:val="center"/>
        <w:rPr>
          <w:b/>
          <w:sz w:val="26"/>
          <w:szCs w:val="26"/>
        </w:rPr>
      </w:pPr>
      <w:r w:rsidRPr="00CD371F">
        <w:rPr>
          <w:b/>
          <w:sz w:val="26"/>
          <w:szCs w:val="26"/>
        </w:rPr>
        <w:t xml:space="preserve">Ministru kabineta </w:t>
      </w:r>
      <w:r w:rsidR="00330635" w:rsidRPr="00CD371F">
        <w:rPr>
          <w:b/>
          <w:sz w:val="26"/>
          <w:szCs w:val="26"/>
        </w:rPr>
        <w:t>noteikumu</w:t>
      </w:r>
      <w:r w:rsidR="00EA5DC3" w:rsidRPr="00CD371F">
        <w:rPr>
          <w:b/>
          <w:sz w:val="26"/>
          <w:szCs w:val="26"/>
        </w:rPr>
        <w:t xml:space="preserve"> projekta „</w:t>
      </w:r>
      <w:r w:rsidR="000C090B" w:rsidRPr="00CD371F">
        <w:rPr>
          <w:b/>
          <w:sz w:val="26"/>
          <w:szCs w:val="26"/>
        </w:rPr>
        <w:t>Grozījumi Ministru kabineta 2010.gada 26.oktobra noteikumos Nr.997„Noteikumi par garantijām komersantu un atbilstošu lauksaimniecības pakalpojumu kooperatīvo sabiedrību konkurētspējas uzlabošanai”</w:t>
      </w:r>
      <w:r w:rsidR="000518A7" w:rsidRPr="00CD371F">
        <w:rPr>
          <w:b/>
          <w:sz w:val="26"/>
          <w:szCs w:val="26"/>
        </w:rPr>
        <w:t>”</w:t>
      </w:r>
      <w:r w:rsidR="00EA5DC3" w:rsidRPr="00CD371F">
        <w:rPr>
          <w:b/>
          <w:sz w:val="26"/>
          <w:szCs w:val="26"/>
        </w:rPr>
        <w:t xml:space="preserve"> </w:t>
      </w:r>
      <w:r w:rsidRPr="00CD371F">
        <w:rPr>
          <w:b/>
          <w:sz w:val="26"/>
          <w:szCs w:val="26"/>
        </w:rPr>
        <w:t>sākotnējās ietekmes novērtējuma ziņojums (anotācija)</w:t>
      </w:r>
    </w:p>
    <w:p w14:paraId="7CA4BFCC" w14:textId="1072F710" w:rsidR="00EA5DC3" w:rsidRDefault="00EA5DC3" w:rsidP="001154C6">
      <w:pPr>
        <w:jc w:val="center"/>
        <w:rPr>
          <w:b/>
          <w:sz w:val="26"/>
          <w:szCs w:val="26"/>
        </w:rPr>
      </w:pPr>
    </w:p>
    <w:tbl>
      <w:tblPr>
        <w:tblStyle w:val="TableGrid"/>
        <w:tblW w:w="0" w:type="auto"/>
        <w:tblLook w:val="04A0" w:firstRow="1" w:lastRow="0" w:firstColumn="1" w:lastColumn="0" w:noHBand="0" w:noVBand="1"/>
      </w:tblPr>
      <w:tblGrid>
        <w:gridCol w:w="3256"/>
        <w:gridCol w:w="5805"/>
      </w:tblGrid>
      <w:tr w:rsidR="00633002" w14:paraId="3525C210" w14:textId="77777777" w:rsidTr="0085274E">
        <w:tc>
          <w:tcPr>
            <w:tcW w:w="9061" w:type="dxa"/>
            <w:gridSpan w:val="2"/>
          </w:tcPr>
          <w:p w14:paraId="43A8933F" w14:textId="4D91FA55" w:rsidR="00633002" w:rsidRDefault="00633002" w:rsidP="001154C6">
            <w:pPr>
              <w:jc w:val="center"/>
              <w:rPr>
                <w:b/>
                <w:sz w:val="26"/>
                <w:szCs w:val="26"/>
              </w:rPr>
            </w:pPr>
            <w:r w:rsidRPr="00633002">
              <w:rPr>
                <w:b/>
                <w:sz w:val="26"/>
                <w:szCs w:val="26"/>
              </w:rPr>
              <w:t>Tiesību akta projekta anotācijas kopsavilkums</w:t>
            </w:r>
          </w:p>
        </w:tc>
      </w:tr>
      <w:tr w:rsidR="00633002" w14:paraId="560D506F" w14:textId="77777777" w:rsidTr="00633002">
        <w:tc>
          <w:tcPr>
            <w:tcW w:w="3256" w:type="dxa"/>
          </w:tcPr>
          <w:p w14:paraId="0492A20E" w14:textId="1E8B62A4" w:rsidR="00633002" w:rsidRPr="00633002" w:rsidRDefault="00633002" w:rsidP="00633002">
            <w:pPr>
              <w:jc w:val="both"/>
              <w:rPr>
                <w:sz w:val="26"/>
                <w:szCs w:val="26"/>
              </w:rPr>
            </w:pPr>
            <w:r w:rsidRPr="00633002">
              <w:rPr>
                <w:sz w:val="26"/>
                <w:szCs w:val="26"/>
              </w:rPr>
              <w:t>Mērķis, risinājums un projekta spēkā stāšanās laiks (500 zīmes bez atstarpēm)</w:t>
            </w:r>
          </w:p>
        </w:tc>
        <w:tc>
          <w:tcPr>
            <w:tcW w:w="5805" w:type="dxa"/>
          </w:tcPr>
          <w:p w14:paraId="085F9615" w14:textId="4124E1AF" w:rsidR="00633002" w:rsidRDefault="003A53E7" w:rsidP="00633002">
            <w:pPr>
              <w:jc w:val="both"/>
              <w:rPr>
                <w:b/>
                <w:sz w:val="26"/>
                <w:szCs w:val="26"/>
              </w:rPr>
            </w:pPr>
            <w:r>
              <w:rPr>
                <w:rFonts w:eastAsia="Times New Roman"/>
                <w:iCs/>
                <w:sz w:val="26"/>
                <w:szCs w:val="26"/>
              </w:rPr>
              <w:t xml:space="preserve">Tiesību akta projekts paredz paplašināt </w:t>
            </w:r>
            <w:r w:rsidR="00A24E6B">
              <w:rPr>
                <w:rFonts w:eastAsia="Times New Roman"/>
                <w:iCs/>
                <w:sz w:val="26"/>
                <w:szCs w:val="26"/>
              </w:rPr>
              <w:t xml:space="preserve">Ministru kabineta </w:t>
            </w:r>
            <w:r w:rsidRPr="003A53E7">
              <w:rPr>
                <w:rFonts w:eastAsia="Times New Roman"/>
                <w:iCs/>
                <w:sz w:val="26"/>
                <w:szCs w:val="26"/>
              </w:rPr>
              <w:t xml:space="preserve">2010.gada 26.oktobra noteikumos Nr.997„Noteikumi par garantijām komersantu un atbilstošu lauksaimniecības pakalpojumu kooperatīvo sabiedrību </w:t>
            </w:r>
            <w:r w:rsidRPr="00B765A7">
              <w:rPr>
                <w:rFonts w:eastAsia="Times New Roman"/>
                <w:iCs/>
                <w:sz w:val="26"/>
                <w:szCs w:val="26"/>
              </w:rPr>
              <w:t>konkurētspējas uzlabošanai””</w:t>
            </w:r>
            <w:r w:rsidR="00A24E6B" w:rsidRPr="00B765A7">
              <w:rPr>
                <w:rFonts w:eastAsia="Times New Roman"/>
                <w:iCs/>
                <w:sz w:val="26"/>
                <w:szCs w:val="26"/>
              </w:rPr>
              <w:t xml:space="preserve"> (turpmāk – Noteikumi Nr.997)</w:t>
            </w:r>
            <w:r w:rsidR="00CA5623" w:rsidRPr="00B765A7">
              <w:rPr>
                <w:rFonts w:eastAsia="Times New Roman"/>
                <w:iCs/>
                <w:sz w:val="26"/>
                <w:szCs w:val="26"/>
              </w:rPr>
              <w:t xml:space="preserve"> </w:t>
            </w:r>
            <w:r w:rsidR="00852030" w:rsidRPr="00B765A7">
              <w:rPr>
                <w:rFonts w:eastAsia="Times New Roman"/>
                <w:iCs/>
                <w:sz w:val="26"/>
                <w:szCs w:val="26"/>
              </w:rPr>
              <w:t xml:space="preserve">nosacījumus </w:t>
            </w:r>
            <w:r w:rsidR="00CA5623" w:rsidRPr="00B765A7">
              <w:rPr>
                <w:rFonts w:eastAsia="Times New Roman"/>
                <w:iCs/>
                <w:sz w:val="26"/>
                <w:szCs w:val="26"/>
              </w:rPr>
              <w:t>atbalsta saņēmējiem -</w:t>
            </w:r>
            <w:r w:rsidRPr="00B765A7">
              <w:rPr>
                <w:rFonts w:eastAsia="Times New Roman"/>
                <w:iCs/>
                <w:sz w:val="26"/>
                <w:szCs w:val="26"/>
              </w:rPr>
              <w:t xml:space="preserve"> lielajiem komersantiem</w:t>
            </w:r>
            <w:r w:rsidR="00CA5623" w:rsidRPr="00B765A7">
              <w:rPr>
                <w:rFonts w:eastAsia="Times New Roman"/>
                <w:iCs/>
                <w:sz w:val="26"/>
                <w:szCs w:val="26"/>
              </w:rPr>
              <w:t xml:space="preserve"> – pieejamo atbalsta finansējumu,</w:t>
            </w:r>
            <w:r w:rsidRPr="00B765A7">
              <w:rPr>
                <w:rFonts w:eastAsia="Times New Roman"/>
                <w:iCs/>
                <w:sz w:val="26"/>
                <w:szCs w:val="26"/>
              </w:rPr>
              <w:t xml:space="preserve"> palielināt maksimālo garantiju maziem un vidējiem komersantiem</w:t>
            </w:r>
            <w:r w:rsidR="00852030" w:rsidRPr="00B765A7">
              <w:rPr>
                <w:rFonts w:eastAsia="Times New Roman"/>
                <w:iCs/>
                <w:sz w:val="26"/>
                <w:szCs w:val="26"/>
              </w:rPr>
              <w:t>, kā arī paplašināt atbalstāmās darbības visiem atbalsta saņēmējiem, izņemot daudzdzīvokļu dzīvojamās mājas dzīvokļu īpašnieku kopības pilnvarotajām personām</w:t>
            </w:r>
            <w:r w:rsidR="00587E02" w:rsidRPr="00B765A7">
              <w:rPr>
                <w:rFonts w:eastAsia="Times New Roman"/>
                <w:iCs/>
                <w:sz w:val="26"/>
                <w:szCs w:val="26"/>
              </w:rPr>
              <w:t>.</w:t>
            </w:r>
          </w:p>
        </w:tc>
      </w:tr>
    </w:tbl>
    <w:p w14:paraId="257CCF0C" w14:textId="401FB59C" w:rsidR="00633002" w:rsidRDefault="00633002" w:rsidP="001154C6">
      <w:pPr>
        <w:jc w:val="center"/>
        <w:rPr>
          <w:b/>
          <w:sz w:val="26"/>
          <w:szCs w:val="26"/>
        </w:rPr>
      </w:pPr>
    </w:p>
    <w:p w14:paraId="135860F4" w14:textId="77777777" w:rsidR="00633002" w:rsidRPr="00CD371F" w:rsidRDefault="00633002" w:rsidP="001154C6">
      <w:pPr>
        <w:jc w:val="center"/>
        <w:rPr>
          <w:b/>
          <w:sz w:val="26"/>
          <w:szCs w:val="26"/>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094"/>
        <w:gridCol w:w="6431"/>
      </w:tblGrid>
      <w:tr w:rsidR="00C61A59" w:rsidRPr="00CD371F" w14:paraId="70E77087" w14:textId="77777777" w:rsidTr="00CD371F">
        <w:tc>
          <w:tcPr>
            <w:tcW w:w="906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5EF4F0" w14:textId="77777777" w:rsidR="00C61A59" w:rsidRPr="00CD371F" w:rsidRDefault="00C61A59" w:rsidP="001154C6">
            <w:pPr>
              <w:pStyle w:val="ListParagraph"/>
              <w:tabs>
                <w:tab w:val="left" w:pos="2268"/>
                <w:tab w:val="left" w:pos="2410"/>
              </w:tabs>
              <w:ind w:left="1080"/>
              <w:jc w:val="center"/>
              <w:rPr>
                <w:b/>
                <w:sz w:val="26"/>
                <w:szCs w:val="26"/>
                <w:lang w:eastAsia="en-US"/>
              </w:rPr>
            </w:pPr>
            <w:r w:rsidRPr="00CD371F">
              <w:rPr>
                <w:b/>
                <w:bCs/>
                <w:sz w:val="26"/>
                <w:szCs w:val="26"/>
              </w:rPr>
              <w:t>I. Tiesību akta projekta izstrādes nepieciešamība</w:t>
            </w:r>
          </w:p>
        </w:tc>
      </w:tr>
      <w:tr w:rsidR="00C61A59" w:rsidRPr="00CD371F" w14:paraId="089DE401"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9D4E6F9" w14:textId="77777777" w:rsidR="00C61A59" w:rsidRPr="00CD371F" w:rsidRDefault="00C61A59" w:rsidP="001154C6">
            <w:pPr>
              <w:jc w:val="center"/>
              <w:rPr>
                <w:sz w:val="26"/>
                <w:szCs w:val="26"/>
                <w:lang w:eastAsia="en-US"/>
              </w:rPr>
            </w:pPr>
            <w:r w:rsidRPr="00CD371F">
              <w:rPr>
                <w:sz w:val="26"/>
                <w:szCs w:val="26"/>
              </w:rPr>
              <w:t>1.</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77ADC914" w14:textId="77777777" w:rsidR="00C61A59" w:rsidRPr="00CD371F" w:rsidRDefault="00C61A59" w:rsidP="001154C6">
            <w:pPr>
              <w:tabs>
                <w:tab w:val="left" w:pos="1904"/>
              </w:tabs>
              <w:rPr>
                <w:sz w:val="26"/>
                <w:szCs w:val="26"/>
                <w:lang w:eastAsia="en-US"/>
              </w:rPr>
            </w:pPr>
            <w:r w:rsidRPr="00CD371F">
              <w:rPr>
                <w:sz w:val="26"/>
                <w:szCs w:val="26"/>
              </w:rPr>
              <w:t>Pamatojums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7F063" w14:textId="77777777" w:rsidR="003D6ECA" w:rsidRPr="00CD371F" w:rsidRDefault="00DD581E" w:rsidP="001154C6">
            <w:pPr>
              <w:pStyle w:val="ListParagraph"/>
              <w:tabs>
                <w:tab w:val="left" w:pos="317"/>
              </w:tabs>
              <w:ind w:left="34"/>
              <w:jc w:val="both"/>
              <w:rPr>
                <w:sz w:val="26"/>
                <w:szCs w:val="26"/>
                <w:shd w:val="clear" w:color="auto" w:fill="FFFFFF"/>
              </w:rPr>
            </w:pPr>
            <w:r w:rsidRPr="00CD371F">
              <w:rPr>
                <w:sz w:val="26"/>
                <w:szCs w:val="26"/>
              </w:rPr>
              <w:t>N</w:t>
            </w:r>
            <w:r w:rsidR="003D5485" w:rsidRPr="00CD371F">
              <w:rPr>
                <w:sz w:val="26"/>
                <w:szCs w:val="26"/>
              </w:rPr>
              <w:t xml:space="preserve">oteikumu projekts </w:t>
            </w:r>
            <w:r w:rsidR="003D5485" w:rsidRPr="00CD371F">
              <w:rPr>
                <w:sz w:val="26"/>
                <w:szCs w:val="26"/>
                <w:shd w:val="clear" w:color="auto" w:fill="FFFFFF"/>
              </w:rPr>
              <w:t xml:space="preserve">izstrādāts </w:t>
            </w:r>
            <w:r w:rsidR="00DA0819" w:rsidRPr="00CD371F">
              <w:rPr>
                <w:sz w:val="26"/>
                <w:szCs w:val="26"/>
                <w:shd w:val="clear" w:color="auto" w:fill="FFFFFF"/>
              </w:rPr>
              <w:t xml:space="preserve">saskaņā ar </w:t>
            </w:r>
            <w:r w:rsidR="00EA5DC3" w:rsidRPr="00CD371F">
              <w:rPr>
                <w:sz w:val="26"/>
                <w:szCs w:val="26"/>
                <w:shd w:val="clear" w:color="auto" w:fill="FFFFFF"/>
              </w:rPr>
              <w:t>Eiropas Savienības struktūrfondu un Kohēzijas fonda 2014.-2020.gada plānošanas perioda vadības likuma</w:t>
            </w:r>
            <w:r w:rsidR="00992ABE" w:rsidRPr="00CD371F">
              <w:rPr>
                <w:sz w:val="26"/>
                <w:szCs w:val="26"/>
                <w:shd w:val="clear" w:color="auto" w:fill="FFFFFF"/>
              </w:rPr>
              <w:t xml:space="preserve"> </w:t>
            </w:r>
            <w:r w:rsidR="00EA5DC3" w:rsidRPr="00CD371F">
              <w:rPr>
                <w:sz w:val="26"/>
                <w:szCs w:val="26"/>
                <w:shd w:val="clear" w:color="auto" w:fill="FFFFFF"/>
              </w:rPr>
              <w:t>20.panta 1</w:t>
            </w:r>
            <w:r w:rsidR="000C090B" w:rsidRPr="00CD371F">
              <w:rPr>
                <w:sz w:val="26"/>
                <w:szCs w:val="26"/>
                <w:shd w:val="clear" w:color="auto" w:fill="FFFFFF"/>
              </w:rPr>
              <w:t>4</w:t>
            </w:r>
            <w:r w:rsidR="00EA5DC3" w:rsidRPr="00CD371F">
              <w:rPr>
                <w:sz w:val="26"/>
                <w:szCs w:val="26"/>
                <w:shd w:val="clear" w:color="auto" w:fill="FFFFFF"/>
              </w:rPr>
              <w:t>.punktu</w:t>
            </w:r>
            <w:r w:rsidR="000C090B" w:rsidRPr="00CD371F">
              <w:rPr>
                <w:sz w:val="26"/>
                <w:szCs w:val="26"/>
                <w:shd w:val="clear" w:color="auto" w:fill="FFFFFF"/>
              </w:rPr>
              <w:t xml:space="preserve"> un Attīstības finanšu institūcijas likuma 12.panta ceturto daļu</w:t>
            </w:r>
            <w:r w:rsidR="007E1388" w:rsidRPr="00CD371F">
              <w:rPr>
                <w:sz w:val="26"/>
                <w:szCs w:val="26"/>
                <w:shd w:val="clear" w:color="auto" w:fill="FFFFFF"/>
              </w:rPr>
              <w:t>.</w:t>
            </w:r>
          </w:p>
        </w:tc>
      </w:tr>
      <w:tr w:rsidR="00C61A59" w:rsidRPr="00CD371F" w14:paraId="4FF643F0"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C40AC44" w14:textId="77777777" w:rsidR="00C61A59" w:rsidRPr="00CD371F" w:rsidRDefault="00C61A59" w:rsidP="001154C6">
            <w:pPr>
              <w:jc w:val="center"/>
              <w:rPr>
                <w:sz w:val="26"/>
                <w:szCs w:val="26"/>
                <w:lang w:eastAsia="en-US"/>
              </w:rPr>
            </w:pPr>
            <w:r w:rsidRPr="00CD371F">
              <w:rPr>
                <w:sz w:val="26"/>
                <w:szCs w:val="26"/>
              </w:rPr>
              <w:t>2.</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481D857E" w14:textId="77777777" w:rsidR="006A3A6B" w:rsidRPr="00CD371F" w:rsidRDefault="00C61A59" w:rsidP="001154C6">
            <w:pPr>
              <w:jc w:val="both"/>
              <w:rPr>
                <w:sz w:val="26"/>
                <w:szCs w:val="26"/>
                <w:lang w:eastAsia="en-US"/>
              </w:rPr>
            </w:pPr>
            <w:r w:rsidRPr="00CD371F">
              <w:rPr>
                <w:sz w:val="26"/>
                <w:szCs w:val="26"/>
              </w:rPr>
              <w:t>Pašreizējā situācija un problēmas, kuru risināšanai tiesību akta projekts izstrādāts, tiesiskā regulējuma mērķis un būtība</w:t>
            </w:r>
          </w:p>
          <w:p w14:paraId="2F9715FB" w14:textId="77777777" w:rsidR="006A3A6B" w:rsidRPr="00CD371F" w:rsidRDefault="006A3A6B" w:rsidP="001154C6">
            <w:pPr>
              <w:rPr>
                <w:sz w:val="26"/>
                <w:szCs w:val="26"/>
                <w:lang w:eastAsia="en-US"/>
              </w:rPr>
            </w:pPr>
          </w:p>
          <w:p w14:paraId="5233048A" w14:textId="77777777" w:rsidR="006A3A6B" w:rsidRPr="00CD371F" w:rsidRDefault="006A3A6B" w:rsidP="001154C6">
            <w:pPr>
              <w:rPr>
                <w:sz w:val="26"/>
                <w:szCs w:val="26"/>
                <w:lang w:eastAsia="en-US"/>
              </w:rPr>
            </w:pPr>
          </w:p>
          <w:p w14:paraId="0A42117B" w14:textId="77777777" w:rsidR="006A3A6B" w:rsidRPr="00CD371F" w:rsidRDefault="006A3A6B" w:rsidP="001154C6">
            <w:pPr>
              <w:rPr>
                <w:sz w:val="26"/>
                <w:szCs w:val="26"/>
                <w:lang w:eastAsia="en-US"/>
              </w:rPr>
            </w:pPr>
          </w:p>
          <w:p w14:paraId="23A54C04" w14:textId="77777777" w:rsidR="006A3A6B" w:rsidRPr="00CD371F" w:rsidRDefault="006A3A6B" w:rsidP="001154C6">
            <w:pPr>
              <w:rPr>
                <w:sz w:val="26"/>
                <w:szCs w:val="26"/>
                <w:lang w:eastAsia="en-US"/>
              </w:rPr>
            </w:pPr>
          </w:p>
          <w:p w14:paraId="1761EF00" w14:textId="77777777" w:rsidR="006A3A6B" w:rsidRPr="00CD371F" w:rsidRDefault="006A3A6B" w:rsidP="001154C6">
            <w:pPr>
              <w:rPr>
                <w:sz w:val="26"/>
                <w:szCs w:val="26"/>
                <w:lang w:eastAsia="en-US"/>
              </w:rPr>
            </w:pPr>
          </w:p>
          <w:p w14:paraId="231A99A9" w14:textId="77777777" w:rsidR="006A3A6B" w:rsidRPr="00CD371F" w:rsidRDefault="006A3A6B" w:rsidP="001154C6">
            <w:pPr>
              <w:rPr>
                <w:sz w:val="26"/>
                <w:szCs w:val="26"/>
                <w:lang w:eastAsia="en-US"/>
              </w:rPr>
            </w:pPr>
          </w:p>
          <w:p w14:paraId="4E85A6E2" w14:textId="77777777" w:rsidR="006A3A6B" w:rsidRPr="00CD371F" w:rsidRDefault="006A3A6B" w:rsidP="001154C6">
            <w:pPr>
              <w:rPr>
                <w:sz w:val="26"/>
                <w:szCs w:val="26"/>
                <w:lang w:eastAsia="en-US"/>
              </w:rPr>
            </w:pPr>
          </w:p>
          <w:p w14:paraId="786018AB" w14:textId="77777777" w:rsidR="006A3A6B" w:rsidRPr="00CD371F" w:rsidRDefault="006A3A6B" w:rsidP="001154C6">
            <w:pPr>
              <w:rPr>
                <w:sz w:val="26"/>
                <w:szCs w:val="26"/>
                <w:lang w:eastAsia="en-US"/>
              </w:rPr>
            </w:pPr>
          </w:p>
          <w:p w14:paraId="199F5FE5" w14:textId="77777777" w:rsidR="006A3A6B" w:rsidRPr="00CD371F" w:rsidRDefault="006A3A6B" w:rsidP="001154C6">
            <w:pPr>
              <w:rPr>
                <w:sz w:val="26"/>
                <w:szCs w:val="26"/>
                <w:lang w:eastAsia="en-US"/>
              </w:rPr>
            </w:pPr>
          </w:p>
          <w:p w14:paraId="122E8CC4" w14:textId="77777777" w:rsidR="006A3A6B" w:rsidRPr="00CD371F" w:rsidRDefault="006A3A6B" w:rsidP="001154C6">
            <w:pPr>
              <w:rPr>
                <w:sz w:val="26"/>
                <w:szCs w:val="26"/>
                <w:lang w:eastAsia="en-US"/>
              </w:rPr>
            </w:pPr>
          </w:p>
          <w:p w14:paraId="1EDAF400" w14:textId="77777777" w:rsidR="006A3A6B" w:rsidRPr="00CD371F" w:rsidRDefault="006A3A6B" w:rsidP="001154C6">
            <w:pPr>
              <w:rPr>
                <w:sz w:val="26"/>
                <w:szCs w:val="26"/>
                <w:lang w:eastAsia="en-US"/>
              </w:rPr>
            </w:pPr>
          </w:p>
          <w:p w14:paraId="50CF71B3" w14:textId="77777777" w:rsidR="006A3A6B" w:rsidRPr="00CD371F" w:rsidRDefault="006A3A6B" w:rsidP="001154C6">
            <w:pPr>
              <w:rPr>
                <w:sz w:val="26"/>
                <w:szCs w:val="26"/>
                <w:lang w:eastAsia="en-US"/>
              </w:rPr>
            </w:pPr>
          </w:p>
          <w:p w14:paraId="4149C7BA" w14:textId="77777777" w:rsidR="006A3A6B" w:rsidRPr="00CD371F" w:rsidRDefault="006A3A6B" w:rsidP="001154C6">
            <w:pPr>
              <w:rPr>
                <w:sz w:val="26"/>
                <w:szCs w:val="26"/>
                <w:lang w:eastAsia="en-US"/>
              </w:rPr>
            </w:pPr>
          </w:p>
          <w:p w14:paraId="46801365" w14:textId="77777777" w:rsidR="006A3A6B" w:rsidRPr="00CD371F" w:rsidRDefault="006A3A6B" w:rsidP="001154C6">
            <w:pPr>
              <w:rPr>
                <w:sz w:val="26"/>
                <w:szCs w:val="26"/>
                <w:lang w:eastAsia="en-US"/>
              </w:rPr>
            </w:pPr>
          </w:p>
          <w:p w14:paraId="3A74E7F4" w14:textId="77777777" w:rsidR="006A3A6B" w:rsidRPr="00CD371F" w:rsidRDefault="006A3A6B" w:rsidP="001154C6">
            <w:pPr>
              <w:rPr>
                <w:sz w:val="26"/>
                <w:szCs w:val="26"/>
                <w:lang w:eastAsia="en-US"/>
              </w:rPr>
            </w:pPr>
          </w:p>
          <w:p w14:paraId="31F34273" w14:textId="77777777" w:rsidR="006A3A6B" w:rsidRPr="00CD371F" w:rsidRDefault="006A3A6B" w:rsidP="001154C6">
            <w:pPr>
              <w:rPr>
                <w:sz w:val="26"/>
                <w:szCs w:val="26"/>
                <w:lang w:eastAsia="en-US"/>
              </w:rPr>
            </w:pPr>
          </w:p>
          <w:p w14:paraId="5C490234" w14:textId="77777777" w:rsidR="006A3A6B" w:rsidRPr="00CD371F" w:rsidRDefault="006A3A6B" w:rsidP="001154C6">
            <w:pPr>
              <w:rPr>
                <w:sz w:val="26"/>
                <w:szCs w:val="26"/>
                <w:lang w:eastAsia="en-US"/>
              </w:rPr>
            </w:pPr>
          </w:p>
          <w:p w14:paraId="77E66937" w14:textId="77777777" w:rsidR="006A3A6B" w:rsidRPr="00CD371F" w:rsidRDefault="006A3A6B" w:rsidP="001154C6">
            <w:pPr>
              <w:rPr>
                <w:sz w:val="26"/>
                <w:szCs w:val="26"/>
                <w:lang w:eastAsia="en-US"/>
              </w:rPr>
            </w:pPr>
          </w:p>
          <w:p w14:paraId="5D5F6B80" w14:textId="77777777" w:rsidR="006A3A6B" w:rsidRPr="00CD371F" w:rsidRDefault="006A3A6B" w:rsidP="001154C6">
            <w:pPr>
              <w:rPr>
                <w:sz w:val="26"/>
                <w:szCs w:val="26"/>
                <w:lang w:eastAsia="en-US"/>
              </w:rPr>
            </w:pPr>
          </w:p>
          <w:p w14:paraId="30ABE58B" w14:textId="77777777" w:rsidR="006A3A6B" w:rsidRPr="00CD371F" w:rsidRDefault="006A3A6B" w:rsidP="001154C6">
            <w:pPr>
              <w:rPr>
                <w:sz w:val="26"/>
                <w:szCs w:val="26"/>
                <w:lang w:eastAsia="en-US"/>
              </w:rPr>
            </w:pPr>
          </w:p>
          <w:p w14:paraId="4D91C961" w14:textId="77777777" w:rsidR="006A3A6B" w:rsidRPr="00CD371F" w:rsidRDefault="006A3A6B" w:rsidP="001154C6">
            <w:pPr>
              <w:ind w:firstLine="720"/>
              <w:rPr>
                <w:sz w:val="26"/>
                <w:szCs w:val="26"/>
                <w:lang w:eastAsia="en-US"/>
              </w:rPr>
            </w:pPr>
          </w:p>
          <w:p w14:paraId="6CE77DCE" w14:textId="77777777" w:rsidR="006A3A6B" w:rsidRPr="00CD371F" w:rsidRDefault="006A3A6B" w:rsidP="001154C6">
            <w:pPr>
              <w:rPr>
                <w:sz w:val="26"/>
                <w:szCs w:val="26"/>
                <w:lang w:eastAsia="en-US"/>
              </w:rPr>
            </w:pPr>
          </w:p>
          <w:p w14:paraId="07D23370" w14:textId="77777777" w:rsidR="00C61A59" w:rsidRPr="00CD371F" w:rsidRDefault="00C61A59" w:rsidP="001154C6">
            <w:pPr>
              <w:ind w:firstLine="720"/>
              <w:rPr>
                <w:sz w:val="26"/>
                <w:szCs w:val="26"/>
                <w:lang w:eastAsia="en-US"/>
              </w:rPr>
            </w:pPr>
          </w:p>
        </w:tc>
        <w:tc>
          <w:tcPr>
            <w:tcW w:w="7290" w:type="dxa"/>
            <w:tcBorders>
              <w:top w:val="single" w:sz="4" w:space="0" w:color="auto"/>
              <w:left w:val="single" w:sz="4" w:space="0" w:color="auto"/>
              <w:bottom w:val="single" w:sz="4" w:space="0" w:color="auto"/>
              <w:right w:val="single" w:sz="4" w:space="0" w:color="auto"/>
            </w:tcBorders>
            <w:shd w:val="clear" w:color="auto" w:fill="FFFFFF"/>
          </w:tcPr>
          <w:p w14:paraId="260BFCDF" w14:textId="6089DE04" w:rsidR="00AE4342" w:rsidRPr="00B765A7" w:rsidRDefault="00DD581E" w:rsidP="00B13AD3">
            <w:pPr>
              <w:pStyle w:val="Default"/>
              <w:jc w:val="both"/>
              <w:rPr>
                <w:color w:val="auto"/>
                <w:sz w:val="26"/>
                <w:szCs w:val="26"/>
              </w:rPr>
            </w:pPr>
            <w:r w:rsidRPr="00B765A7">
              <w:rPr>
                <w:color w:val="auto"/>
                <w:sz w:val="26"/>
                <w:szCs w:val="26"/>
              </w:rPr>
              <w:lastRenderedPageBreak/>
              <w:t>N</w:t>
            </w:r>
            <w:r w:rsidR="00C35214" w:rsidRPr="00B765A7">
              <w:rPr>
                <w:color w:val="auto"/>
                <w:sz w:val="26"/>
                <w:szCs w:val="26"/>
              </w:rPr>
              <w:t>oteikumu projekts ir izstrādāts ar mērķi noteikt labvēlīgākus nosacījumus komersantiem, paplašinot atbalsta saņēmēju loku</w:t>
            </w:r>
            <w:r w:rsidR="007A613A" w:rsidRPr="00B765A7">
              <w:rPr>
                <w:color w:val="auto"/>
                <w:sz w:val="26"/>
                <w:szCs w:val="26"/>
              </w:rPr>
              <w:t xml:space="preserve"> un palielinot maksimālo garantiju maziem un vidējiem komersantiem</w:t>
            </w:r>
            <w:r w:rsidR="00CA2734" w:rsidRPr="00B765A7">
              <w:rPr>
                <w:color w:val="auto"/>
                <w:sz w:val="26"/>
                <w:szCs w:val="26"/>
              </w:rPr>
              <w:t xml:space="preserve"> (turpmāk – MVU)</w:t>
            </w:r>
            <w:r w:rsidR="00C35214" w:rsidRPr="00B765A7">
              <w:rPr>
                <w:color w:val="auto"/>
                <w:sz w:val="26"/>
                <w:szCs w:val="26"/>
              </w:rPr>
              <w:t>, kā arī novirz</w:t>
            </w:r>
            <w:r w:rsidR="007A613A" w:rsidRPr="00B765A7">
              <w:rPr>
                <w:color w:val="auto"/>
                <w:sz w:val="26"/>
                <w:szCs w:val="26"/>
              </w:rPr>
              <w:t>īt finansē</w:t>
            </w:r>
            <w:r w:rsidR="00C35214" w:rsidRPr="00B765A7">
              <w:rPr>
                <w:color w:val="auto"/>
                <w:sz w:val="26"/>
                <w:szCs w:val="26"/>
              </w:rPr>
              <w:t>jumu g</w:t>
            </w:r>
            <w:r w:rsidR="007A613A" w:rsidRPr="00B765A7">
              <w:rPr>
                <w:color w:val="auto"/>
                <w:sz w:val="26"/>
                <w:szCs w:val="26"/>
              </w:rPr>
              <w:t>a</w:t>
            </w:r>
            <w:r w:rsidR="00C35214" w:rsidRPr="00B765A7">
              <w:rPr>
                <w:color w:val="auto"/>
                <w:sz w:val="26"/>
                <w:szCs w:val="26"/>
              </w:rPr>
              <w:t>rantij</w:t>
            </w:r>
            <w:r w:rsidR="007A613A" w:rsidRPr="00B765A7">
              <w:rPr>
                <w:color w:val="auto"/>
                <w:sz w:val="26"/>
                <w:szCs w:val="26"/>
              </w:rPr>
              <w:t>ām lielajiem komer</w:t>
            </w:r>
            <w:r w:rsidR="00C35214" w:rsidRPr="00B765A7">
              <w:rPr>
                <w:color w:val="auto"/>
                <w:sz w:val="26"/>
                <w:szCs w:val="26"/>
              </w:rPr>
              <w:t>santiem,</w:t>
            </w:r>
            <w:r w:rsidR="007A613A" w:rsidRPr="00B765A7">
              <w:rPr>
                <w:color w:val="auto"/>
                <w:sz w:val="26"/>
                <w:szCs w:val="26"/>
              </w:rPr>
              <w:t xml:space="preserve"> izpildot </w:t>
            </w:r>
            <w:r w:rsidR="007E1832" w:rsidRPr="00B765A7">
              <w:rPr>
                <w:color w:val="auto"/>
                <w:sz w:val="26"/>
                <w:szCs w:val="26"/>
              </w:rPr>
              <w:t xml:space="preserve">Ministru kabineta </w:t>
            </w:r>
            <w:proofErr w:type="spellStart"/>
            <w:r w:rsidR="0002658D" w:rsidRPr="00B765A7">
              <w:rPr>
                <w:color w:val="auto"/>
                <w:sz w:val="26"/>
                <w:szCs w:val="26"/>
              </w:rPr>
              <w:t>protokollēmuma</w:t>
            </w:r>
            <w:proofErr w:type="spellEnd"/>
            <w:r w:rsidR="0002658D" w:rsidRPr="00B765A7">
              <w:rPr>
                <w:color w:val="auto"/>
                <w:sz w:val="26"/>
                <w:szCs w:val="26"/>
              </w:rPr>
              <w:t xml:space="preserve"> doto uzdevumu. </w:t>
            </w:r>
          </w:p>
          <w:p w14:paraId="34F0BECB" w14:textId="77777777" w:rsidR="008E09BF" w:rsidRPr="00B765A7" w:rsidRDefault="00DD581E" w:rsidP="00B13AD3">
            <w:pPr>
              <w:pStyle w:val="Default"/>
              <w:jc w:val="both"/>
              <w:rPr>
                <w:color w:val="auto"/>
                <w:sz w:val="26"/>
                <w:szCs w:val="26"/>
              </w:rPr>
            </w:pPr>
            <w:r w:rsidRPr="00B765A7">
              <w:rPr>
                <w:color w:val="auto"/>
                <w:sz w:val="26"/>
                <w:szCs w:val="26"/>
              </w:rPr>
              <w:t xml:space="preserve"> </w:t>
            </w:r>
          </w:p>
          <w:p w14:paraId="12D44C0A" w14:textId="77777777" w:rsidR="008E09BF" w:rsidRPr="00B765A7" w:rsidRDefault="008E09BF" w:rsidP="008E09BF">
            <w:pPr>
              <w:pStyle w:val="Default"/>
              <w:spacing w:after="120"/>
              <w:rPr>
                <w:b/>
                <w:bCs/>
                <w:i/>
                <w:color w:val="auto"/>
                <w:sz w:val="26"/>
                <w:szCs w:val="26"/>
              </w:rPr>
            </w:pPr>
            <w:r w:rsidRPr="00B765A7">
              <w:rPr>
                <w:b/>
                <w:bCs/>
                <w:i/>
                <w:color w:val="auto"/>
                <w:sz w:val="26"/>
                <w:szCs w:val="26"/>
              </w:rPr>
              <w:t>Finansējums lielajiem komersantiem</w:t>
            </w:r>
          </w:p>
          <w:p w14:paraId="30A25890" w14:textId="77777777" w:rsidR="006D243B" w:rsidRPr="00B765A7" w:rsidRDefault="0002658D" w:rsidP="008E09BF">
            <w:pPr>
              <w:pStyle w:val="Default"/>
              <w:jc w:val="both"/>
              <w:rPr>
                <w:bCs/>
                <w:color w:val="auto"/>
                <w:sz w:val="26"/>
                <w:szCs w:val="26"/>
              </w:rPr>
            </w:pPr>
            <w:r w:rsidRPr="00B765A7">
              <w:rPr>
                <w:bCs/>
                <w:color w:val="auto"/>
                <w:sz w:val="26"/>
                <w:szCs w:val="26"/>
              </w:rPr>
              <w:t xml:space="preserve">Saskaņā ar Ministru kabineta sēdē </w:t>
            </w:r>
            <w:proofErr w:type="spellStart"/>
            <w:r w:rsidR="00B518A1" w:rsidRPr="00B765A7">
              <w:rPr>
                <w:bCs/>
                <w:color w:val="auto"/>
                <w:sz w:val="26"/>
                <w:szCs w:val="26"/>
              </w:rPr>
              <w:t>protokollēmumu</w:t>
            </w:r>
            <w:proofErr w:type="spellEnd"/>
            <w:r w:rsidRPr="00B765A7">
              <w:rPr>
                <w:bCs/>
                <w:color w:val="auto"/>
                <w:sz w:val="26"/>
                <w:szCs w:val="26"/>
              </w:rPr>
              <w:t xml:space="preserve"> “Par Ministru kabineta 2017.gada 14.novembra sēdes </w:t>
            </w:r>
            <w:proofErr w:type="spellStart"/>
            <w:r w:rsidRPr="00B765A7">
              <w:rPr>
                <w:bCs/>
                <w:color w:val="auto"/>
                <w:sz w:val="26"/>
                <w:szCs w:val="26"/>
              </w:rPr>
              <w:t>protokollēmuma</w:t>
            </w:r>
            <w:proofErr w:type="spellEnd"/>
            <w:r w:rsidRPr="00B765A7">
              <w:rPr>
                <w:bCs/>
                <w:color w:val="auto"/>
                <w:sz w:val="26"/>
                <w:szCs w:val="26"/>
              </w:rPr>
              <w:t xml:space="preserve"> (prot. Nr.57 48.§) “Informatīvais ziņojums "Par Latvijas mazo un vidējo komersantu mikrokreditēšanas programmas izpildes rezultātiem"” 3.punktu</w:t>
            </w:r>
            <w:r w:rsidRPr="00B765A7">
              <w:rPr>
                <w:rStyle w:val="FootnoteReference"/>
                <w:bCs/>
                <w:color w:val="auto"/>
                <w:sz w:val="26"/>
                <w:szCs w:val="26"/>
              </w:rPr>
              <w:footnoteReference w:id="2"/>
            </w:r>
            <w:r w:rsidRPr="00B765A7">
              <w:rPr>
                <w:bCs/>
                <w:color w:val="auto"/>
                <w:sz w:val="26"/>
                <w:szCs w:val="26"/>
              </w:rPr>
              <w:t xml:space="preserve">, Ekonomikas ministrijai (turpmāk – EM) sadarbībā ar akciju sabiedrību "Attīstības finanšu institūcija </w:t>
            </w:r>
            <w:proofErr w:type="spellStart"/>
            <w:r w:rsidRPr="00B765A7">
              <w:rPr>
                <w:bCs/>
                <w:color w:val="auto"/>
                <w:sz w:val="26"/>
                <w:szCs w:val="26"/>
              </w:rPr>
              <w:t>Altum</w:t>
            </w:r>
            <w:proofErr w:type="spellEnd"/>
            <w:r w:rsidRPr="00B765A7">
              <w:rPr>
                <w:bCs/>
                <w:color w:val="auto"/>
                <w:sz w:val="26"/>
                <w:szCs w:val="26"/>
              </w:rPr>
              <w:t xml:space="preserve">" (turpmāk – sabiedrība </w:t>
            </w:r>
            <w:proofErr w:type="spellStart"/>
            <w:r w:rsidRPr="00B765A7">
              <w:rPr>
                <w:bCs/>
                <w:color w:val="auto"/>
                <w:sz w:val="26"/>
                <w:szCs w:val="26"/>
              </w:rPr>
              <w:t>Altum</w:t>
            </w:r>
            <w:proofErr w:type="spellEnd"/>
            <w:r w:rsidRPr="00B765A7">
              <w:rPr>
                <w:bCs/>
                <w:color w:val="auto"/>
                <w:sz w:val="26"/>
                <w:szCs w:val="26"/>
              </w:rPr>
              <w:t>) līdz 2018.gada 1.jūnijam tika uzdots izstrādāt priekšlikumus par Aizdevuma fonda uzkrāto atlikušo līdzekļu izlietošanu. Ar Ekonomikas ministrijas 2018.gada 3.jūlija vēstuli Nr.</w:t>
            </w:r>
            <w:r w:rsidRPr="00B765A7">
              <w:rPr>
                <w:color w:val="auto"/>
              </w:rPr>
              <w:t xml:space="preserve"> </w:t>
            </w:r>
            <w:r w:rsidRPr="00B765A7">
              <w:rPr>
                <w:bCs/>
                <w:color w:val="auto"/>
                <w:sz w:val="26"/>
                <w:szCs w:val="26"/>
              </w:rPr>
              <w:t xml:space="preserve">4-1/2018/3119 EM lūdza Valsts </w:t>
            </w:r>
            <w:r w:rsidR="007E1832" w:rsidRPr="00B765A7">
              <w:rPr>
                <w:bCs/>
                <w:color w:val="auto"/>
                <w:sz w:val="26"/>
                <w:szCs w:val="26"/>
              </w:rPr>
              <w:lastRenderedPageBreak/>
              <w:t xml:space="preserve">kancelejai </w:t>
            </w:r>
            <w:r w:rsidRPr="00B765A7">
              <w:rPr>
                <w:bCs/>
                <w:color w:val="auto"/>
                <w:sz w:val="26"/>
                <w:szCs w:val="26"/>
              </w:rPr>
              <w:t xml:space="preserve">termiņa pagarinājumu līdz 2018.gada 31.decembrim, papildus norādot,  uz kuru programmu šis finansējums tiks novirzīts. </w:t>
            </w:r>
          </w:p>
          <w:p w14:paraId="4A295A2D" w14:textId="3AEF99E9" w:rsidR="006D243B" w:rsidRPr="00B765A7" w:rsidRDefault="0002658D" w:rsidP="006D243B">
            <w:pPr>
              <w:pStyle w:val="Default"/>
              <w:jc w:val="both"/>
              <w:rPr>
                <w:bCs/>
                <w:color w:val="auto"/>
                <w:sz w:val="26"/>
                <w:szCs w:val="26"/>
              </w:rPr>
            </w:pPr>
            <w:r w:rsidRPr="00B765A7">
              <w:rPr>
                <w:bCs/>
                <w:color w:val="auto"/>
                <w:sz w:val="26"/>
                <w:szCs w:val="26"/>
              </w:rPr>
              <w:t xml:space="preserve"> </w:t>
            </w:r>
            <w:r w:rsidR="006D243B" w:rsidRPr="00B765A7">
              <w:rPr>
                <w:bCs/>
                <w:color w:val="auto"/>
                <w:sz w:val="26"/>
                <w:szCs w:val="26"/>
              </w:rPr>
              <w:t xml:space="preserve">Ar 2017.gada 8.augustā pieņemtajiem grozījumiem Ministru kabineta 2016.gada 15.jūlija noteikumos Nr.469 "Noteikumi par paralēlajiem aizdevumiem saimnieciskās darbības veicējiem konkurētspējas uzlabošanai" aizdevumu fonda  atmaksu publiskais finansējums 580 000 </w:t>
            </w:r>
            <w:proofErr w:type="spellStart"/>
            <w:r w:rsidR="006D243B" w:rsidRPr="00B765A7">
              <w:rPr>
                <w:bCs/>
                <w:i/>
                <w:color w:val="auto"/>
                <w:sz w:val="26"/>
                <w:szCs w:val="26"/>
              </w:rPr>
              <w:t>euro</w:t>
            </w:r>
            <w:proofErr w:type="spellEnd"/>
            <w:r w:rsidR="006D243B" w:rsidRPr="00B765A7">
              <w:rPr>
                <w:bCs/>
                <w:color w:val="auto"/>
                <w:sz w:val="26"/>
                <w:szCs w:val="26"/>
              </w:rPr>
              <w:t xml:space="preserve"> apmērā, kurš veidojas no Latvijas mazo un vidējo komersantu mikrokreditēšanas programmas atmaksu publiskā finansējuma, tika novirzīts kā finansējums paralēlajiem aizdevumiem lielajiem saimnieciskās darbības veicējiem. </w:t>
            </w:r>
          </w:p>
          <w:p w14:paraId="42E21EFE" w14:textId="69FD4BE2" w:rsidR="002E49C9" w:rsidRPr="00B765A7" w:rsidRDefault="0002658D" w:rsidP="002E49C9">
            <w:pPr>
              <w:spacing w:before="60" w:after="60"/>
              <w:ind w:firstLine="720"/>
              <w:jc w:val="both"/>
              <w:rPr>
                <w:bCs/>
                <w:sz w:val="26"/>
                <w:szCs w:val="26"/>
              </w:rPr>
            </w:pPr>
            <w:r w:rsidRPr="00B765A7">
              <w:rPr>
                <w:bCs/>
                <w:sz w:val="26"/>
                <w:szCs w:val="26"/>
              </w:rPr>
              <w:t xml:space="preserve">EM sadarbībā ar sabiedrību </w:t>
            </w:r>
            <w:proofErr w:type="spellStart"/>
            <w:r w:rsidRPr="00B765A7">
              <w:rPr>
                <w:bCs/>
                <w:sz w:val="26"/>
                <w:szCs w:val="26"/>
              </w:rPr>
              <w:t>Altum</w:t>
            </w:r>
            <w:proofErr w:type="spellEnd"/>
            <w:r w:rsidRPr="00B765A7">
              <w:rPr>
                <w:bCs/>
                <w:sz w:val="26"/>
                <w:szCs w:val="26"/>
              </w:rPr>
              <w:t xml:space="preserve"> regulāri uzrauga finanšu instrumentu programmu ieviešanu kā arī izstrādā programmas un to grozījumu priekšlikumus, lai novērstu konstatētās tirgus nepilnības. </w:t>
            </w:r>
            <w:r w:rsidR="00717E8B">
              <w:rPr>
                <w:bCs/>
                <w:sz w:val="26"/>
                <w:szCs w:val="26"/>
              </w:rPr>
              <w:t>Saskaņā ar pieprasījumu tirgū š</w:t>
            </w:r>
            <w:r w:rsidRPr="00B765A7">
              <w:rPr>
                <w:bCs/>
                <w:sz w:val="26"/>
                <w:szCs w:val="26"/>
              </w:rPr>
              <w:t>obrīd ir identificēts, ka šo Aizdevuma fondā uzkrāto atlikušo līdzekļu finansējumu būtu nepieciešams novirzīt lielajiem saimnieciskās darbības veicējiem aizdevumu garantiju</w:t>
            </w:r>
            <w:r w:rsidR="006D243B" w:rsidRPr="00B765A7">
              <w:rPr>
                <w:bCs/>
                <w:sz w:val="26"/>
                <w:szCs w:val="26"/>
              </w:rPr>
              <w:t>, nevis paralēlo aizdevumu</w:t>
            </w:r>
            <w:r w:rsidRPr="00B765A7">
              <w:rPr>
                <w:bCs/>
                <w:sz w:val="26"/>
                <w:szCs w:val="26"/>
              </w:rPr>
              <w:t xml:space="preserve"> programmas ietvaros. Saskaņā ar </w:t>
            </w:r>
            <w:r w:rsidR="00A24E6B" w:rsidRPr="00B765A7">
              <w:rPr>
                <w:bCs/>
                <w:sz w:val="26"/>
                <w:szCs w:val="26"/>
              </w:rPr>
              <w:t>N</w:t>
            </w:r>
            <w:r w:rsidRPr="00B765A7">
              <w:rPr>
                <w:bCs/>
                <w:sz w:val="26"/>
                <w:szCs w:val="26"/>
              </w:rPr>
              <w:t xml:space="preserve">oteikumu Nr.997 nosacījumiem, šobrīd finansējums, kas novirzīts garantijām lielajiem komersantiem ir 2 658 426 </w:t>
            </w:r>
            <w:proofErr w:type="spellStart"/>
            <w:r w:rsidRPr="00B765A7">
              <w:rPr>
                <w:bCs/>
                <w:sz w:val="26"/>
                <w:szCs w:val="26"/>
              </w:rPr>
              <w:t>euro</w:t>
            </w:r>
            <w:proofErr w:type="spellEnd"/>
            <w:r w:rsidRPr="00B765A7">
              <w:rPr>
                <w:bCs/>
                <w:sz w:val="26"/>
                <w:szCs w:val="26"/>
              </w:rPr>
              <w:t>.</w:t>
            </w:r>
            <w:r w:rsidR="002E49C9" w:rsidRPr="00B765A7">
              <w:rPr>
                <w:bCs/>
                <w:sz w:val="26"/>
                <w:szCs w:val="26"/>
              </w:rPr>
              <w:t xml:space="preserve"> Uz šo finansējumu sabiedrība </w:t>
            </w:r>
            <w:proofErr w:type="spellStart"/>
            <w:r w:rsidR="002E49C9" w:rsidRPr="00B765A7">
              <w:rPr>
                <w:bCs/>
                <w:sz w:val="26"/>
                <w:szCs w:val="26"/>
              </w:rPr>
              <w:t>Altum</w:t>
            </w:r>
            <w:proofErr w:type="spellEnd"/>
            <w:r w:rsidR="002E49C9" w:rsidRPr="00B765A7">
              <w:rPr>
                <w:bCs/>
                <w:sz w:val="26"/>
                <w:szCs w:val="26"/>
              </w:rPr>
              <w:t xml:space="preserve"> var uzņemties garantiju saistības, t.i. izsniegt garantijas apm.14  </w:t>
            </w:r>
            <w:proofErr w:type="spellStart"/>
            <w:r w:rsidR="002E49C9" w:rsidRPr="00B765A7">
              <w:rPr>
                <w:bCs/>
                <w:sz w:val="26"/>
                <w:szCs w:val="26"/>
              </w:rPr>
              <w:t>milj.</w:t>
            </w:r>
            <w:r w:rsidR="002E49C9" w:rsidRPr="00B765A7">
              <w:rPr>
                <w:bCs/>
                <w:i/>
                <w:sz w:val="26"/>
                <w:szCs w:val="26"/>
              </w:rPr>
              <w:t>euro</w:t>
            </w:r>
            <w:proofErr w:type="spellEnd"/>
            <w:r w:rsidR="002E49C9" w:rsidRPr="00B765A7">
              <w:rPr>
                <w:bCs/>
                <w:sz w:val="26"/>
                <w:szCs w:val="26"/>
              </w:rPr>
              <w:t xml:space="preserve"> apmērā.</w:t>
            </w:r>
            <w:r w:rsidRPr="00B765A7">
              <w:rPr>
                <w:bCs/>
                <w:sz w:val="26"/>
                <w:szCs w:val="26"/>
              </w:rPr>
              <w:t xml:space="preserve"> Līdz š.g. 31.augustam ir izsniegtas 19 garantijas lielajiem komersantiem 8 milj.</w:t>
            </w:r>
            <w:r w:rsidR="00633002" w:rsidRPr="00B765A7">
              <w:rPr>
                <w:bCs/>
                <w:sz w:val="26"/>
                <w:szCs w:val="26"/>
              </w:rPr>
              <w:t xml:space="preserve"> </w:t>
            </w:r>
            <w:proofErr w:type="spellStart"/>
            <w:r w:rsidRPr="00B765A7">
              <w:rPr>
                <w:bCs/>
                <w:i/>
                <w:sz w:val="26"/>
                <w:szCs w:val="26"/>
              </w:rPr>
              <w:t>euro</w:t>
            </w:r>
            <w:proofErr w:type="spellEnd"/>
            <w:r w:rsidRPr="00B765A7">
              <w:rPr>
                <w:bCs/>
                <w:sz w:val="26"/>
                <w:szCs w:val="26"/>
              </w:rPr>
              <w:t xml:space="preserve"> apmērā.</w:t>
            </w:r>
            <w:r w:rsidR="002E49C9" w:rsidRPr="00B765A7">
              <w:rPr>
                <w:bCs/>
                <w:sz w:val="26"/>
                <w:szCs w:val="26"/>
              </w:rPr>
              <w:t xml:space="preserve"> </w:t>
            </w:r>
          </w:p>
          <w:p w14:paraId="77CBC6D1" w14:textId="40FDF7D6" w:rsidR="0002658D" w:rsidRPr="00B765A7" w:rsidRDefault="002E49C9" w:rsidP="002E49C9">
            <w:pPr>
              <w:spacing w:before="60" w:after="60"/>
              <w:ind w:firstLine="720"/>
              <w:jc w:val="both"/>
              <w:rPr>
                <w:b/>
                <w:bCs/>
                <w:sz w:val="26"/>
                <w:szCs w:val="26"/>
              </w:rPr>
            </w:pPr>
            <w:r w:rsidRPr="00B765A7">
              <w:rPr>
                <w:bCs/>
                <w:sz w:val="26"/>
                <w:szCs w:val="26"/>
              </w:rPr>
              <w:t xml:space="preserve">Ņemot vērā līdzšinējo lielo komersantu pieprasījumu </w:t>
            </w:r>
            <w:r w:rsidR="007E1832" w:rsidRPr="00B765A7">
              <w:rPr>
                <w:bCs/>
                <w:sz w:val="26"/>
                <w:szCs w:val="26"/>
              </w:rPr>
              <w:t>garantijām</w:t>
            </w:r>
            <w:r w:rsidRPr="00B765A7">
              <w:rPr>
                <w:bCs/>
                <w:sz w:val="26"/>
                <w:szCs w:val="26"/>
              </w:rPr>
              <w:t xml:space="preserve">, </w:t>
            </w:r>
            <w:r w:rsidRPr="00B765A7">
              <w:rPr>
                <w:b/>
                <w:bCs/>
                <w:sz w:val="26"/>
                <w:szCs w:val="26"/>
              </w:rPr>
              <w:t xml:space="preserve">EM rosina novirzīt papildus finansējumu lielajiem komersantiem 580 000 </w:t>
            </w:r>
            <w:proofErr w:type="spellStart"/>
            <w:r w:rsidRPr="00B765A7">
              <w:rPr>
                <w:b/>
                <w:bCs/>
                <w:i/>
                <w:sz w:val="26"/>
                <w:szCs w:val="26"/>
              </w:rPr>
              <w:t>euro</w:t>
            </w:r>
            <w:proofErr w:type="spellEnd"/>
            <w:r w:rsidRPr="00B765A7">
              <w:rPr>
                <w:b/>
                <w:bCs/>
                <w:i/>
                <w:sz w:val="26"/>
                <w:szCs w:val="26"/>
              </w:rPr>
              <w:t xml:space="preserve"> </w:t>
            </w:r>
            <w:r w:rsidRPr="00B765A7">
              <w:rPr>
                <w:b/>
                <w:bCs/>
                <w:sz w:val="26"/>
                <w:szCs w:val="26"/>
              </w:rPr>
              <w:t>apmērā</w:t>
            </w:r>
            <w:r w:rsidR="00C76907" w:rsidRPr="00B765A7">
              <w:rPr>
                <w:b/>
                <w:bCs/>
                <w:sz w:val="26"/>
                <w:szCs w:val="26"/>
              </w:rPr>
              <w:t xml:space="preserve"> no paralēlo aizdevumu programmas MK noteikumiem, kā arī </w:t>
            </w:r>
            <w:proofErr w:type="spellStart"/>
            <w:r w:rsidR="00C76907" w:rsidRPr="00B765A7">
              <w:rPr>
                <w:bCs/>
                <w:sz w:val="26"/>
                <w:szCs w:val="26"/>
              </w:rPr>
              <w:t>Mikrokreditēšanas</w:t>
            </w:r>
            <w:proofErr w:type="spellEnd"/>
            <w:r w:rsidR="00C76907" w:rsidRPr="00B765A7">
              <w:rPr>
                <w:bCs/>
                <w:sz w:val="26"/>
                <w:szCs w:val="26"/>
              </w:rPr>
              <w:t xml:space="preserve"> programmas  uzkrāto atlikušo </w:t>
            </w:r>
            <w:r w:rsidR="00C76907" w:rsidRPr="00B765A7">
              <w:rPr>
                <w:b/>
                <w:bCs/>
                <w:sz w:val="26"/>
                <w:szCs w:val="26"/>
              </w:rPr>
              <w:t xml:space="preserve">finansējumu 15 </w:t>
            </w:r>
            <w:r w:rsidR="00717E8B">
              <w:rPr>
                <w:b/>
                <w:bCs/>
                <w:sz w:val="26"/>
                <w:szCs w:val="26"/>
              </w:rPr>
              <w:t> </w:t>
            </w:r>
            <w:r w:rsidR="00717E8B" w:rsidRPr="00B765A7">
              <w:rPr>
                <w:b/>
                <w:bCs/>
                <w:sz w:val="26"/>
                <w:szCs w:val="26"/>
              </w:rPr>
              <w:t>0</w:t>
            </w:r>
            <w:r w:rsidR="00717E8B">
              <w:rPr>
                <w:b/>
                <w:bCs/>
                <w:sz w:val="26"/>
                <w:szCs w:val="26"/>
              </w:rPr>
              <w:t xml:space="preserve">49,92 </w:t>
            </w:r>
            <w:r w:rsidR="00717E8B" w:rsidRPr="00B765A7">
              <w:rPr>
                <w:b/>
                <w:bCs/>
                <w:sz w:val="26"/>
                <w:szCs w:val="26"/>
              </w:rPr>
              <w:t xml:space="preserve"> </w:t>
            </w:r>
            <w:r w:rsidR="00C76907" w:rsidRPr="00B765A7">
              <w:rPr>
                <w:b/>
                <w:bCs/>
                <w:sz w:val="26"/>
                <w:szCs w:val="26"/>
              </w:rPr>
              <w:t>EUR</w:t>
            </w:r>
            <w:r w:rsidR="00717E8B">
              <w:rPr>
                <w:b/>
                <w:bCs/>
                <w:sz w:val="26"/>
                <w:szCs w:val="26"/>
              </w:rPr>
              <w:t xml:space="preserve"> </w:t>
            </w:r>
            <w:proofErr w:type="spellStart"/>
            <w:r w:rsidR="00717E8B">
              <w:rPr>
                <w:b/>
                <w:bCs/>
                <w:sz w:val="26"/>
                <w:szCs w:val="26"/>
              </w:rPr>
              <w:t>apmēŗā</w:t>
            </w:r>
            <w:proofErr w:type="spellEnd"/>
            <w:r w:rsidR="00717E8B">
              <w:rPr>
                <w:b/>
                <w:bCs/>
                <w:sz w:val="26"/>
                <w:szCs w:val="26"/>
              </w:rPr>
              <w:t xml:space="preserve">, </w:t>
            </w:r>
            <w:r w:rsidR="00C76907" w:rsidRPr="00B765A7">
              <w:rPr>
                <w:b/>
                <w:bCs/>
                <w:sz w:val="26"/>
                <w:szCs w:val="26"/>
              </w:rPr>
              <w:t xml:space="preserve">tādējādi </w:t>
            </w:r>
            <w:r w:rsidRPr="00B765A7">
              <w:rPr>
                <w:b/>
                <w:bCs/>
                <w:sz w:val="26"/>
                <w:szCs w:val="26"/>
              </w:rPr>
              <w:t xml:space="preserve">izpildot </w:t>
            </w:r>
            <w:r w:rsidR="007E1832" w:rsidRPr="00B765A7">
              <w:rPr>
                <w:b/>
                <w:bCs/>
                <w:sz w:val="26"/>
                <w:szCs w:val="26"/>
              </w:rPr>
              <w:t xml:space="preserve">Ministru kabineta </w:t>
            </w:r>
            <w:proofErr w:type="spellStart"/>
            <w:r w:rsidRPr="00B765A7">
              <w:rPr>
                <w:b/>
                <w:bCs/>
                <w:sz w:val="26"/>
                <w:szCs w:val="26"/>
              </w:rPr>
              <w:t>protokollēmuma</w:t>
            </w:r>
            <w:proofErr w:type="spellEnd"/>
            <w:r w:rsidRPr="00B765A7">
              <w:rPr>
                <w:b/>
                <w:bCs/>
                <w:sz w:val="26"/>
                <w:szCs w:val="26"/>
              </w:rPr>
              <w:t xml:space="preserve"> doto uzdevumu.</w:t>
            </w:r>
            <w:r w:rsidR="006D243B" w:rsidRPr="00B765A7">
              <w:rPr>
                <w:b/>
                <w:bCs/>
                <w:sz w:val="26"/>
                <w:szCs w:val="26"/>
              </w:rPr>
              <w:t xml:space="preserve"> </w:t>
            </w:r>
          </w:p>
          <w:p w14:paraId="5F974A3E" w14:textId="7436249A" w:rsidR="008E09BF" w:rsidRPr="00B765A7" w:rsidRDefault="008E09BF" w:rsidP="00CA2734">
            <w:pPr>
              <w:pStyle w:val="Default"/>
              <w:jc w:val="both"/>
              <w:rPr>
                <w:bCs/>
                <w:color w:val="auto"/>
                <w:sz w:val="26"/>
                <w:szCs w:val="26"/>
              </w:rPr>
            </w:pPr>
            <w:r w:rsidRPr="00B765A7">
              <w:rPr>
                <w:bCs/>
                <w:color w:val="auto"/>
                <w:sz w:val="26"/>
                <w:szCs w:val="26"/>
              </w:rPr>
              <w:t>Novirzot atmaksāto finansējumu garantiju sniegšanai, efektīvi tiks izmantoti publiskie resursi finanšu instrumentu īstenošanā</w:t>
            </w:r>
            <w:r w:rsidR="00852030" w:rsidRPr="00B765A7">
              <w:rPr>
                <w:bCs/>
                <w:color w:val="auto"/>
                <w:sz w:val="26"/>
                <w:szCs w:val="26"/>
              </w:rPr>
              <w:t xml:space="preserve"> un sabiedrība </w:t>
            </w:r>
            <w:proofErr w:type="spellStart"/>
            <w:r w:rsidR="00852030" w:rsidRPr="00B765A7">
              <w:rPr>
                <w:bCs/>
                <w:color w:val="auto"/>
                <w:sz w:val="26"/>
                <w:szCs w:val="26"/>
              </w:rPr>
              <w:t>Altum</w:t>
            </w:r>
            <w:proofErr w:type="spellEnd"/>
            <w:r w:rsidR="00852030" w:rsidRPr="00B765A7">
              <w:rPr>
                <w:bCs/>
                <w:color w:val="auto"/>
                <w:sz w:val="26"/>
                <w:szCs w:val="26"/>
              </w:rPr>
              <w:t xml:space="preserve"> varēs uzņemties garantiju saistības 3 milj.</w:t>
            </w:r>
            <w:r w:rsidR="00587E02" w:rsidRPr="00B765A7">
              <w:rPr>
                <w:bCs/>
                <w:color w:val="auto"/>
                <w:sz w:val="26"/>
                <w:szCs w:val="26"/>
              </w:rPr>
              <w:t xml:space="preserve"> </w:t>
            </w:r>
            <w:proofErr w:type="spellStart"/>
            <w:r w:rsidR="00852030" w:rsidRPr="00B765A7">
              <w:rPr>
                <w:bCs/>
                <w:i/>
                <w:color w:val="auto"/>
                <w:sz w:val="26"/>
                <w:szCs w:val="26"/>
              </w:rPr>
              <w:t>euro</w:t>
            </w:r>
            <w:proofErr w:type="spellEnd"/>
            <w:r w:rsidR="00852030" w:rsidRPr="00B765A7">
              <w:rPr>
                <w:bCs/>
                <w:color w:val="auto"/>
                <w:sz w:val="26"/>
                <w:szCs w:val="26"/>
              </w:rPr>
              <w:t xml:space="preserve"> apmērā.</w:t>
            </w:r>
          </w:p>
          <w:p w14:paraId="376857A3" w14:textId="1E9B54A1" w:rsidR="006D243B" w:rsidRPr="00B765A7" w:rsidRDefault="006D243B" w:rsidP="00CA2734">
            <w:pPr>
              <w:pStyle w:val="Default"/>
              <w:jc w:val="both"/>
              <w:rPr>
                <w:bCs/>
                <w:color w:val="auto"/>
                <w:sz w:val="26"/>
                <w:szCs w:val="26"/>
              </w:rPr>
            </w:pPr>
            <w:r w:rsidRPr="00B765A7">
              <w:rPr>
                <w:bCs/>
                <w:color w:val="auto"/>
                <w:sz w:val="26"/>
                <w:szCs w:val="26"/>
              </w:rPr>
              <w:t>Vienlaikus norādām, ka atbilstoši ti</w:t>
            </w:r>
            <w:r w:rsidR="00852030" w:rsidRPr="00B765A7">
              <w:rPr>
                <w:bCs/>
                <w:color w:val="auto"/>
                <w:sz w:val="26"/>
                <w:szCs w:val="26"/>
              </w:rPr>
              <w:t>ek</w:t>
            </w:r>
            <w:r w:rsidRPr="00B765A7">
              <w:rPr>
                <w:bCs/>
                <w:color w:val="auto"/>
                <w:sz w:val="26"/>
                <w:szCs w:val="26"/>
              </w:rPr>
              <w:t xml:space="preserve"> precizēts arī Ministru kabineta 2016.gada 15.jūlija noteikumu Nr.469 "Noteikumi par paralēlajiem aizdevumiem saimnieciskās darbības veicējiem konkurētspējas uzlabošanai" 8.punkts</w:t>
            </w:r>
            <w:r w:rsidR="00852030" w:rsidRPr="00B765A7">
              <w:rPr>
                <w:rStyle w:val="FootnoteReference"/>
                <w:bCs/>
                <w:color w:val="auto"/>
                <w:sz w:val="26"/>
                <w:szCs w:val="26"/>
              </w:rPr>
              <w:footnoteReference w:id="3"/>
            </w:r>
            <w:r w:rsidRPr="00B765A7">
              <w:rPr>
                <w:bCs/>
                <w:color w:val="auto"/>
                <w:sz w:val="26"/>
                <w:szCs w:val="26"/>
              </w:rPr>
              <w:t>.</w:t>
            </w:r>
          </w:p>
          <w:p w14:paraId="4A08125A" w14:textId="77777777" w:rsidR="008E09BF" w:rsidRPr="00B765A7" w:rsidRDefault="008E09BF" w:rsidP="008E09BF">
            <w:pPr>
              <w:pStyle w:val="Default"/>
              <w:rPr>
                <w:bCs/>
                <w:color w:val="auto"/>
                <w:sz w:val="26"/>
                <w:szCs w:val="26"/>
              </w:rPr>
            </w:pPr>
          </w:p>
          <w:p w14:paraId="32B4DAC4" w14:textId="77777777" w:rsidR="008E09BF" w:rsidRPr="00B765A7" w:rsidRDefault="004358C2" w:rsidP="008E09BF">
            <w:pPr>
              <w:pStyle w:val="Default"/>
              <w:spacing w:after="120"/>
              <w:rPr>
                <w:b/>
                <w:bCs/>
                <w:i/>
                <w:color w:val="auto"/>
                <w:sz w:val="26"/>
                <w:szCs w:val="26"/>
              </w:rPr>
            </w:pPr>
            <w:r w:rsidRPr="00B765A7">
              <w:rPr>
                <w:b/>
                <w:bCs/>
                <w:i/>
                <w:color w:val="auto"/>
                <w:sz w:val="26"/>
                <w:szCs w:val="26"/>
              </w:rPr>
              <w:t xml:space="preserve">Atbalstāmo </w:t>
            </w:r>
            <w:r w:rsidR="002E49C9" w:rsidRPr="00B765A7">
              <w:rPr>
                <w:b/>
                <w:bCs/>
                <w:i/>
                <w:color w:val="auto"/>
                <w:sz w:val="26"/>
                <w:szCs w:val="26"/>
              </w:rPr>
              <w:t>darbību</w:t>
            </w:r>
            <w:r w:rsidR="008E09BF" w:rsidRPr="00B765A7">
              <w:rPr>
                <w:b/>
                <w:bCs/>
                <w:i/>
                <w:color w:val="auto"/>
                <w:sz w:val="26"/>
                <w:szCs w:val="26"/>
              </w:rPr>
              <w:t xml:space="preserve"> paplašināšana</w:t>
            </w:r>
          </w:p>
          <w:p w14:paraId="5F396366" w14:textId="038BAF82" w:rsidR="002E49C9" w:rsidRPr="00B765A7" w:rsidRDefault="002E49C9" w:rsidP="008E09BF">
            <w:pPr>
              <w:pStyle w:val="Default"/>
              <w:jc w:val="both"/>
              <w:rPr>
                <w:b/>
                <w:bCs/>
                <w:i/>
                <w:color w:val="auto"/>
                <w:sz w:val="26"/>
                <w:szCs w:val="26"/>
              </w:rPr>
            </w:pPr>
            <w:r w:rsidRPr="00B765A7">
              <w:rPr>
                <w:bCs/>
                <w:color w:val="auto"/>
                <w:sz w:val="26"/>
                <w:szCs w:val="26"/>
              </w:rPr>
              <w:lastRenderedPageBreak/>
              <w:t xml:space="preserve">Īstenojot </w:t>
            </w:r>
            <w:r w:rsidR="008E09BF" w:rsidRPr="00B765A7">
              <w:rPr>
                <w:bCs/>
                <w:color w:val="auto"/>
                <w:sz w:val="26"/>
                <w:szCs w:val="26"/>
              </w:rPr>
              <w:t xml:space="preserve"> garantiju programmu, </w:t>
            </w:r>
            <w:r w:rsidR="008E09BF" w:rsidRPr="00B765A7">
              <w:rPr>
                <w:b/>
                <w:bCs/>
                <w:color w:val="auto"/>
                <w:sz w:val="26"/>
                <w:szCs w:val="26"/>
              </w:rPr>
              <w:t xml:space="preserve">EM rosina pārskatīt un </w:t>
            </w:r>
            <w:r w:rsidR="00E50F22" w:rsidRPr="00E50F22">
              <w:rPr>
                <w:b/>
                <w:bCs/>
                <w:color w:val="auto"/>
                <w:sz w:val="26"/>
                <w:szCs w:val="26"/>
              </w:rPr>
              <w:t>precizēt</w:t>
            </w:r>
            <w:r w:rsidR="008E09BF" w:rsidRPr="00B765A7">
              <w:rPr>
                <w:b/>
                <w:bCs/>
                <w:color w:val="auto"/>
                <w:sz w:val="26"/>
                <w:szCs w:val="26"/>
              </w:rPr>
              <w:t xml:space="preserve"> aizliegto </w:t>
            </w:r>
            <w:r w:rsidRPr="00B765A7">
              <w:rPr>
                <w:b/>
                <w:bCs/>
                <w:color w:val="auto"/>
                <w:sz w:val="26"/>
                <w:szCs w:val="26"/>
              </w:rPr>
              <w:t xml:space="preserve">darbību garantiju sniegšanai </w:t>
            </w:r>
            <w:r w:rsidRPr="00B765A7">
              <w:rPr>
                <w:b/>
                <w:bCs/>
                <w:i/>
                <w:color w:val="auto"/>
                <w:sz w:val="26"/>
                <w:szCs w:val="26"/>
              </w:rPr>
              <w:t xml:space="preserve">“kapitālsabiedrību kapitāla daļu iegādei”. </w:t>
            </w:r>
          </w:p>
          <w:p w14:paraId="37A723DC" w14:textId="72ED5028" w:rsidR="000F3075" w:rsidRPr="00B765A7" w:rsidRDefault="008E09BF" w:rsidP="008E09BF">
            <w:pPr>
              <w:pStyle w:val="Default"/>
              <w:jc w:val="both"/>
              <w:rPr>
                <w:bCs/>
                <w:color w:val="auto"/>
                <w:sz w:val="26"/>
                <w:szCs w:val="26"/>
              </w:rPr>
            </w:pPr>
            <w:r w:rsidRPr="00B765A7">
              <w:rPr>
                <w:b/>
                <w:bCs/>
                <w:color w:val="auto"/>
                <w:sz w:val="26"/>
                <w:szCs w:val="26"/>
              </w:rPr>
              <w:t xml:space="preserve">  </w:t>
            </w:r>
            <w:r w:rsidR="00D4503B" w:rsidRPr="00B765A7">
              <w:rPr>
                <w:bCs/>
                <w:color w:val="auto"/>
                <w:sz w:val="26"/>
                <w:szCs w:val="26"/>
              </w:rPr>
              <w:t xml:space="preserve">Šis aizliegums tika piemērots vēsturiski no </w:t>
            </w:r>
            <w:r w:rsidR="007E1832" w:rsidRPr="00B765A7">
              <w:rPr>
                <w:bCs/>
                <w:color w:val="auto"/>
                <w:sz w:val="26"/>
                <w:szCs w:val="26"/>
              </w:rPr>
              <w:t xml:space="preserve">Ministru kabineta </w:t>
            </w:r>
            <w:r w:rsidR="00D4503B" w:rsidRPr="00B765A7">
              <w:rPr>
                <w:bCs/>
                <w:color w:val="auto"/>
                <w:sz w:val="26"/>
                <w:szCs w:val="26"/>
              </w:rPr>
              <w:t>noteikumu izstrādes sākuma</w:t>
            </w:r>
            <w:r w:rsidR="007E1832" w:rsidRPr="00B765A7">
              <w:rPr>
                <w:bCs/>
                <w:color w:val="auto"/>
                <w:sz w:val="26"/>
                <w:szCs w:val="26"/>
              </w:rPr>
              <w:t>.</w:t>
            </w:r>
            <w:r w:rsidR="00D4503B" w:rsidRPr="00B765A7">
              <w:rPr>
                <w:bCs/>
                <w:color w:val="auto"/>
                <w:sz w:val="26"/>
                <w:szCs w:val="26"/>
              </w:rPr>
              <w:t xml:space="preserve"> Šobrīd nereti sabiedrība </w:t>
            </w:r>
            <w:proofErr w:type="spellStart"/>
            <w:r w:rsidR="00D4503B" w:rsidRPr="00B765A7">
              <w:rPr>
                <w:bCs/>
                <w:color w:val="auto"/>
                <w:sz w:val="26"/>
                <w:szCs w:val="26"/>
              </w:rPr>
              <w:t>Altum</w:t>
            </w:r>
            <w:proofErr w:type="spellEnd"/>
            <w:r w:rsidR="00D4503B" w:rsidRPr="00B765A7">
              <w:rPr>
                <w:bCs/>
                <w:color w:val="auto"/>
                <w:sz w:val="26"/>
                <w:szCs w:val="26"/>
              </w:rPr>
              <w:t xml:space="preserve"> saskaras ar jautājumiem no kredītiestādēm par šādu darījumu finansēšanu – tirgū notiek aktīva komersantu iegāde un pārdošana, kas kalpo kā veids saimnieciskās darbības paplašināšanai un optimizācijai. Tāpat bieži par kapitāldaļu iegādi interesējas komersantu vadības komandas, kurām interesē uzņēmumu kapitāldaļu iegāde no finanšu investoriem. Pētījumi parāda, ka vadības komandām iegādājoties kapitāldaļas no investoriem aug komersantu produktivitāte, un uzlabojas komersantu darbības rādītāji. </w:t>
            </w:r>
            <w:r w:rsidR="000F3075" w:rsidRPr="00B765A7">
              <w:rPr>
                <w:bCs/>
                <w:color w:val="auto"/>
                <w:sz w:val="26"/>
                <w:szCs w:val="26"/>
              </w:rPr>
              <w:t>Šāds aizliegums n</w:t>
            </w:r>
            <w:r w:rsidR="00D4503B" w:rsidRPr="00B765A7">
              <w:rPr>
                <w:bCs/>
                <w:color w:val="auto"/>
                <w:sz w:val="26"/>
                <w:szCs w:val="26"/>
              </w:rPr>
              <w:t>av noteikts ES fondu regulējumā</w:t>
            </w:r>
            <w:r w:rsidR="000F3075" w:rsidRPr="00B765A7">
              <w:rPr>
                <w:bCs/>
                <w:color w:val="auto"/>
                <w:sz w:val="26"/>
                <w:szCs w:val="26"/>
              </w:rPr>
              <w:t>.</w:t>
            </w:r>
          </w:p>
          <w:p w14:paraId="221786AA" w14:textId="55AFC403" w:rsidR="000F3075" w:rsidRPr="00B765A7" w:rsidRDefault="000F3075" w:rsidP="00EE3084">
            <w:pPr>
              <w:shd w:val="clear" w:color="auto" w:fill="FEFEFE"/>
              <w:jc w:val="both"/>
              <w:rPr>
                <w:rFonts w:ascii="Arial" w:eastAsia="Times New Roman" w:hAnsi="Arial" w:cs="Arial"/>
                <w:sz w:val="32"/>
                <w:szCs w:val="32"/>
              </w:rPr>
            </w:pPr>
            <w:r w:rsidRPr="00B765A7">
              <w:rPr>
                <w:bCs/>
                <w:sz w:val="26"/>
                <w:szCs w:val="26"/>
              </w:rPr>
              <w:t xml:space="preserve">Papildus EM </w:t>
            </w:r>
            <w:r w:rsidR="00A24E6B" w:rsidRPr="00B765A7">
              <w:rPr>
                <w:bCs/>
                <w:sz w:val="26"/>
                <w:szCs w:val="26"/>
              </w:rPr>
              <w:t xml:space="preserve">izpētot citu dalībvalstu pieredzi </w:t>
            </w:r>
            <w:r w:rsidRPr="00B765A7">
              <w:rPr>
                <w:bCs/>
                <w:sz w:val="26"/>
                <w:szCs w:val="26"/>
              </w:rPr>
              <w:t>norāda, ka  Somijā garantiju programmā atbalsts arī tiek sniegts uzņēmuma kapitāldaļu  iegādei</w:t>
            </w:r>
            <w:r w:rsidRPr="00B765A7">
              <w:rPr>
                <w:rStyle w:val="FootnoteReference"/>
                <w:bCs/>
                <w:sz w:val="26"/>
                <w:szCs w:val="26"/>
              </w:rPr>
              <w:footnoteReference w:id="4"/>
            </w:r>
            <w:r w:rsidR="009D3FFE" w:rsidRPr="00B765A7">
              <w:rPr>
                <w:bCs/>
                <w:sz w:val="26"/>
                <w:szCs w:val="26"/>
              </w:rPr>
              <w:t xml:space="preserve">, šādu atbalstu arī sniedz Igaunijā </w:t>
            </w:r>
            <w:r w:rsidR="006F5A81" w:rsidRPr="00B765A7">
              <w:rPr>
                <w:bCs/>
                <w:sz w:val="26"/>
                <w:szCs w:val="26"/>
              </w:rPr>
              <w:t xml:space="preserve">aģentūra </w:t>
            </w:r>
            <w:r w:rsidR="00587E02" w:rsidRPr="00B765A7">
              <w:rPr>
                <w:bCs/>
                <w:sz w:val="26"/>
                <w:szCs w:val="26"/>
              </w:rPr>
              <w:t>“</w:t>
            </w:r>
            <w:proofErr w:type="spellStart"/>
            <w:r w:rsidR="003D22C9" w:rsidRPr="00B765A7">
              <w:rPr>
                <w:bCs/>
                <w:sz w:val="26"/>
                <w:szCs w:val="26"/>
              </w:rPr>
              <w:t>Kredex</w:t>
            </w:r>
            <w:proofErr w:type="spellEnd"/>
            <w:r w:rsidR="00587E02" w:rsidRPr="00B765A7">
              <w:rPr>
                <w:bCs/>
                <w:sz w:val="26"/>
                <w:szCs w:val="26"/>
              </w:rPr>
              <w:t>”</w:t>
            </w:r>
            <w:r w:rsidRPr="00B765A7">
              <w:rPr>
                <w:bCs/>
                <w:sz w:val="26"/>
                <w:szCs w:val="26"/>
              </w:rPr>
              <w:t>.</w:t>
            </w:r>
            <w:r w:rsidR="00EE3084" w:rsidRPr="00B765A7">
              <w:rPr>
                <w:rFonts w:ascii="Arial" w:eastAsia="Times New Roman" w:hAnsi="Arial" w:cs="Arial"/>
                <w:sz w:val="32"/>
                <w:szCs w:val="32"/>
              </w:rPr>
              <w:t xml:space="preserve"> </w:t>
            </w:r>
          </w:p>
          <w:p w14:paraId="5A56B34F" w14:textId="541496D4" w:rsidR="0029221A" w:rsidRPr="00B765A7" w:rsidRDefault="0089096D" w:rsidP="0029221A">
            <w:pPr>
              <w:pStyle w:val="Default"/>
              <w:jc w:val="both"/>
              <w:rPr>
                <w:bCs/>
                <w:color w:val="auto"/>
                <w:sz w:val="26"/>
                <w:szCs w:val="26"/>
              </w:rPr>
            </w:pPr>
            <w:r w:rsidRPr="00B765A7">
              <w:rPr>
                <w:bCs/>
                <w:color w:val="auto"/>
                <w:sz w:val="26"/>
                <w:szCs w:val="26"/>
              </w:rPr>
              <w:t>Izvērtējot garantiju instrumenta paplašināšanu, secināms, ka riska kapitāla</w:t>
            </w:r>
            <w:r w:rsidR="003759CE" w:rsidRPr="00B765A7">
              <w:rPr>
                <w:bCs/>
                <w:color w:val="auto"/>
                <w:sz w:val="26"/>
                <w:szCs w:val="26"/>
              </w:rPr>
              <w:t xml:space="preserve"> instrumenti nekonkurē ar garantiju instrumentu, bet gan viens otru papildina. </w:t>
            </w:r>
            <w:r w:rsidR="00EE3084" w:rsidRPr="00B765A7">
              <w:rPr>
                <w:bCs/>
                <w:color w:val="auto"/>
                <w:sz w:val="26"/>
                <w:szCs w:val="26"/>
              </w:rPr>
              <w:t xml:space="preserve">Riska kapitāla ieguldījums tiek veikts ar mērķi veicināt uzņēmuma vērtības pieaugumu, finansējot tā straujāku izaugsmi un attīstību, </w:t>
            </w:r>
            <w:r w:rsidR="00EE3084" w:rsidRPr="00B765A7">
              <w:rPr>
                <w:rFonts w:eastAsia="Times New Roman"/>
                <w:color w:val="auto"/>
                <w:sz w:val="26"/>
                <w:szCs w:val="26"/>
              </w:rPr>
              <w:t xml:space="preserve">investīcijas var būt kā ieguldījums uzņēmuma pašu kapitālā vai </w:t>
            </w:r>
            <w:proofErr w:type="spellStart"/>
            <w:r w:rsidR="00EE3084" w:rsidRPr="00B765A7">
              <w:rPr>
                <w:rFonts w:eastAsia="Times New Roman"/>
                <w:color w:val="auto"/>
                <w:sz w:val="26"/>
                <w:szCs w:val="26"/>
              </w:rPr>
              <w:t>kvazikapitāla</w:t>
            </w:r>
            <w:proofErr w:type="spellEnd"/>
            <w:r w:rsidR="00EE3084" w:rsidRPr="00B765A7">
              <w:rPr>
                <w:rFonts w:eastAsia="Times New Roman"/>
                <w:color w:val="auto"/>
                <w:sz w:val="26"/>
                <w:szCs w:val="26"/>
              </w:rPr>
              <w:t xml:space="preserve"> veidā. </w:t>
            </w:r>
            <w:r w:rsidR="00EE3084" w:rsidRPr="00B765A7">
              <w:rPr>
                <w:bCs/>
                <w:color w:val="auto"/>
                <w:sz w:val="26"/>
                <w:szCs w:val="26"/>
              </w:rPr>
              <w:t>Riska kapitāla instrumentā investors kļūst par uzņēmuma biznesa partneri, ar kuru uzņēmums dala gan riskus, gan peļņu un, kurš sniedz uzņēmumam savu pieredzi, zināšanas, kā arī pieeju plašam kontaktu un ekspertu lokam ar mērķi veicināt uzņēmuma apgrozījuma, rentabilitātes un vērtības pieaugumu. L</w:t>
            </w:r>
            <w:r w:rsidR="003D22C9" w:rsidRPr="00B765A7">
              <w:rPr>
                <w:bCs/>
                <w:color w:val="auto"/>
                <w:sz w:val="26"/>
                <w:szCs w:val="26"/>
              </w:rPr>
              <w:t>ielākoties par riska investīciju objektiem tiek izraudzīti uzņēmumi ar augstu straujas izaugsmes potenciālu vai projekti, kas to īstenošanas gadījumā var nest ievērojamu peļņu attiecībā uz projektā investēto kapitālu.</w:t>
            </w:r>
            <w:r w:rsidR="0029221A" w:rsidRPr="00B765A7">
              <w:rPr>
                <w:bCs/>
                <w:color w:val="auto"/>
                <w:sz w:val="26"/>
                <w:szCs w:val="26"/>
              </w:rPr>
              <w:t xml:space="preserve"> Fonda mērķis sadarbības perioda beigās ir pārdot uzņēmumu ar ievērojami augstāku vērtību</w:t>
            </w:r>
            <w:r w:rsidR="009A660C" w:rsidRPr="00B765A7">
              <w:rPr>
                <w:bCs/>
                <w:color w:val="auto"/>
                <w:sz w:val="26"/>
                <w:szCs w:val="26"/>
              </w:rPr>
              <w:t>, līdz ar to f</w:t>
            </w:r>
            <w:r w:rsidR="0029221A" w:rsidRPr="00B765A7">
              <w:rPr>
                <w:bCs/>
                <w:color w:val="auto"/>
                <w:sz w:val="26"/>
                <w:szCs w:val="26"/>
              </w:rPr>
              <w:t xml:space="preserve">onds </w:t>
            </w:r>
            <w:r w:rsidR="009A660C" w:rsidRPr="00B765A7">
              <w:rPr>
                <w:bCs/>
                <w:color w:val="auto"/>
                <w:sz w:val="26"/>
                <w:szCs w:val="26"/>
              </w:rPr>
              <w:t>rīkosies tā</w:t>
            </w:r>
            <w:r w:rsidR="0029221A" w:rsidRPr="00B765A7">
              <w:rPr>
                <w:bCs/>
                <w:color w:val="auto"/>
                <w:sz w:val="26"/>
                <w:szCs w:val="26"/>
              </w:rPr>
              <w:t>, lai celtu uzņēmuma vērtību – ieguldīs savu pieredzi, kontaktus utt.</w:t>
            </w:r>
          </w:p>
          <w:p w14:paraId="4D57D139" w14:textId="6DAB7584" w:rsidR="003D22C9" w:rsidRPr="00B765A7" w:rsidRDefault="00EE3084" w:rsidP="003D22C9">
            <w:pPr>
              <w:pStyle w:val="Default"/>
              <w:jc w:val="both"/>
              <w:rPr>
                <w:bCs/>
                <w:color w:val="auto"/>
                <w:sz w:val="26"/>
                <w:szCs w:val="26"/>
              </w:rPr>
            </w:pPr>
            <w:r w:rsidRPr="00B765A7">
              <w:rPr>
                <w:bCs/>
                <w:color w:val="auto"/>
                <w:sz w:val="26"/>
                <w:szCs w:val="26"/>
              </w:rPr>
              <w:t xml:space="preserve">Savukārt </w:t>
            </w:r>
            <w:r w:rsidR="0029221A" w:rsidRPr="00B765A7">
              <w:rPr>
                <w:bCs/>
                <w:color w:val="auto"/>
                <w:sz w:val="26"/>
                <w:szCs w:val="26"/>
              </w:rPr>
              <w:t xml:space="preserve">kredītiestādes sniegts </w:t>
            </w:r>
            <w:r w:rsidRPr="00B765A7">
              <w:rPr>
                <w:bCs/>
                <w:color w:val="auto"/>
                <w:sz w:val="26"/>
                <w:szCs w:val="26"/>
              </w:rPr>
              <w:t xml:space="preserve">finanšu pakalpojums </w:t>
            </w:r>
            <w:r w:rsidR="003D22C9" w:rsidRPr="00B765A7">
              <w:rPr>
                <w:bCs/>
                <w:color w:val="auto"/>
                <w:sz w:val="26"/>
                <w:szCs w:val="26"/>
              </w:rPr>
              <w:t>nav</w:t>
            </w:r>
            <w:r w:rsidR="009A660C" w:rsidRPr="00B765A7">
              <w:rPr>
                <w:bCs/>
                <w:color w:val="auto"/>
                <w:sz w:val="26"/>
                <w:szCs w:val="26"/>
              </w:rPr>
              <w:t xml:space="preserve"> uzskatāms par ieguldījumu</w:t>
            </w:r>
            <w:r w:rsidR="003D22C9" w:rsidRPr="00B765A7">
              <w:rPr>
                <w:bCs/>
                <w:color w:val="auto"/>
                <w:sz w:val="26"/>
                <w:szCs w:val="26"/>
              </w:rPr>
              <w:t xml:space="preserve">, </w:t>
            </w:r>
            <w:r w:rsidR="009A660C" w:rsidRPr="00B765A7">
              <w:rPr>
                <w:bCs/>
                <w:color w:val="auto"/>
                <w:sz w:val="26"/>
                <w:szCs w:val="26"/>
              </w:rPr>
              <w:t>ņemot vērā, ka finansējums</w:t>
            </w:r>
            <w:r w:rsidRPr="00B765A7">
              <w:rPr>
                <w:bCs/>
                <w:color w:val="auto"/>
                <w:sz w:val="26"/>
                <w:szCs w:val="26"/>
              </w:rPr>
              <w:t xml:space="preserve"> tiek sniegts</w:t>
            </w:r>
            <w:r w:rsidR="003D22C9" w:rsidRPr="00B765A7">
              <w:rPr>
                <w:bCs/>
                <w:color w:val="auto"/>
                <w:sz w:val="26"/>
                <w:szCs w:val="26"/>
              </w:rPr>
              <w:t xml:space="preserve"> uz not</w:t>
            </w:r>
            <w:r w:rsidRPr="00B765A7">
              <w:rPr>
                <w:bCs/>
                <w:color w:val="auto"/>
                <w:sz w:val="26"/>
                <w:szCs w:val="26"/>
              </w:rPr>
              <w:t>eiktu termiņu un nosacījumiem un finanšu pakalpojuma termiņa beigās tas ir jāatgriež kredītiestādei. Tādējādi komersanta  naudas</w:t>
            </w:r>
            <w:r w:rsidR="003D22C9" w:rsidRPr="00B765A7">
              <w:rPr>
                <w:bCs/>
                <w:color w:val="auto"/>
                <w:sz w:val="26"/>
                <w:szCs w:val="26"/>
              </w:rPr>
              <w:t xml:space="preserve"> plūsmai ir jābūt stabilai, lai regulāri spētu veikt kredīta maksājumu</w:t>
            </w:r>
            <w:r w:rsidR="0029221A" w:rsidRPr="00B765A7">
              <w:rPr>
                <w:bCs/>
                <w:color w:val="auto"/>
                <w:sz w:val="26"/>
                <w:szCs w:val="26"/>
              </w:rPr>
              <w:t>s. Vienlaikus, aizņemoties kredītiestādē</w:t>
            </w:r>
            <w:r w:rsidR="003D22C9" w:rsidRPr="00B765A7">
              <w:rPr>
                <w:bCs/>
                <w:color w:val="auto"/>
                <w:sz w:val="26"/>
                <w:szCs w:val="26"/>
              </w:rPr>
              <w:t xml:space="preserve">, </w:t>
            </w:r>
            <w:r w:rsidR="003759CE" w:rsidRPr="00B765A7">
              <w:rPr>
                <w:bCs/>
                <w:color w:val="auto"/>
                <w:sz w:val="26"/>
                <w:szCs w:val="26"/>
              </w:rPr>
              <w:t>ir</w:t>
            </w:r>
            <w:r w:rsidR="003D22C9" w:rsidRPr="00B765A7">
              <w:rPr>
                <w:bCs/>
                <w:color w:val="auto"/>
                <w:sz w:val="26"/>
                <w:szCs w:val="26"/>
              </w:rPr>
              <w:t xml:space="preserve"> </w:t>
            </w:r>
            <w:r w:rsidR="003759CE" w:rsidRPr="00B765A7">
              <w:rPr>
                <w:bCs/>
                <w:color w:val="auto"/>
                <w:sz w:val="26"/>
                <w:szCs w:val="26"/>
              </w:rPr>
              <w:t xml:space="preserve">nepieciešams arī </w:t>
            </w:r>
            <w:r w:rsidR="003759CE" w:rsidRPr="00B765A7">
              <w:rPr>
                <w:bCs/>
                <w:color w:val="auto"/>
                <w:sz w:val="26"/>
                <w:szCs w:val="26"/>
              </w:rPr>
              <w:lastRenderedPageBreak/>
              <w:t>nodrošinājums</w:t>
            </w:r>
            <w:r w:rsidR="009A660C" w:rsidRPr="00B765A7">
              <w:rPr>
                <w:bCs/>
                <w:color w:val="auto"/>
                <w:sz w:val="26"/>
                <w:szCs w:val="26"/>
              </w:rPr>
              <w:t xml:space="preserve">, piemēram, </w:t>
            </w:r>
            <w:r w:rsidR="003759CE" w:rsidRPr="00B765A7">
              <w:rPr>
                <w:bCs/>
                <w:color w:val="auto"/>
                <w:sz w:val="26"/>
                <w:szCs w:val="26"/>
              </w:rPr>
              <w:t>nekustamā īpašuma ķīla</w:t>
            </w:r>
            <w:r w:rsidR="009A660C" w:rsidRPr="00B765A7">
              <w:rPr>
                <w:bCs/>
                <w:color w:val="auto"/>
                <w:sz w:val="26"/>
                <w:szCs w:val="26"/>
              </w:rPr>
              <w:t xml:space="preserve"> - š</w:t>
            </w:r>
            <w:r w:rsidR="003759CE" w:rsidRPr="00B765A7">
              <w:rPr>
                <w:bCs/>
                <w:color w:val="auto"/>
                <w:sz w:val="26"/>
                <w:szCs w:val="26"/>
              </w:rPr>
              <w:t xml:space="preserve">ajā gadījumā palīdzēt var sabiedrības </w:t>
            </w:r>
            <w:proofErr w:type="spellStart"/>
            <w:r w:rsidR="003759CE" w:rsidRPr="00B765A7">
              <w:rPr>
                <w:bCs/>
                <w:color w:val="auto"/>
                <w:sz w:val="26"/>
                <w:szCs w:val="26"/>
              </w:rPr>
              <w:t>Altum</w:t>
            </w:r>
            <w:proofErr w:type="spellEnd"/>
            <w:r w:rsidR="003759CE" w:rsidRPr="00B765A7">
              <w:rPr>
                <w:bCs/>
                <w:color w:val="auto"/>
                <w:sz w:val="26"/>
                <w:szCs w:val="26"/>
              </w:rPr>
              <w:t xml:space="preserve"> garantija.</w:t>
            </w:r>
          </w:p>
          <w:p w14:paraId="29B80393" w14:textId="2C8A2965" w:rsidR="003D22C9" w:rsidRPr="00B765A7" w:rsidRDefault="003D22C9" w:rsidP="003D22C9">
            <w:pPr>
              <w:pStyle w:val="Default"/>
              <w:jc w:val="both"/>
              <w:rPr>
                <w:bCs/>
                <w:color w:val="auto"/>
                <w:sz w:val="26"/>
                <w:szCs w:val="26"/>
              </w:rPr>
            </w:pPr>
            <w:r w:rsidRPr="00B765A7">
              <w:rPr>
                <w:bCs/>
                <w:color w:val="auto"/>
                <w:sz w:val="26"/>
                <w:szCs w:val="26"/>
              </w:rPr>
              <w:t>Savukārt riska kapitāla fonda gadījumā nekustamā īpašuma ķīla nav nepieciešama</w:t>
            </w:r>
            <w:r w:rsidR="009A660C" w:rsidRPr="00B765A7">
              <w:rPr>
                <w:bCs/>
                <w:color w:val="auto"/>
                <w:sz w:val="26"/>
                <w:szCs w:val="26"/>
              </w:rPr>
              <w:t xml:space="preserve"> - f</w:t>
            </w:r>
            <w:r w:rsidRPr="00B765A7">
              <w:rPr>
                <w:bCs/>
                <w:color w:val="auto"/>
                <w:sz w:val="26"/>
                <w:szCs w:val="26"/>
              </w:rPr>
              <w:t xml:space="preserve">onds veicot ieguldījumu, pretī vēlas saņemt uzņēmuma daļas, kļūstot par uzņēmuma līdzīpašnieku. </w:t>
            </w:r>
            <w:r w:rsidR="009A660C" w:rsidRPr="00B765A7">
              <w:rPr>
                <w:bCs/>
                <w:color w:val="auto"/>
                <w:sz w:val="26"/>
                <w:szCs w:val="26"/>
              </w:rPr>
              <w:t>Papildus norādāms, ka b</w:t>
            </w:r>
            <w:r w:rsidRPr="00B765A7">
              <w:rPr>
                <w:bCs/>
                <w:color w:val="auto"/>
                <w:sz w:val="26"/>
                <w:szCs w:val="26"/>
              </w:rPr>
              <w:t xml:space="preserve">ūtiskākā atšķirība no </w:t>
            </w:r>
            <w:r w:rsidR="0029221A" w:rsidRPr="00B765A7">
              <w:rPr>
                <w:bCs/>
                <w:color w:val="auto"/>
                <w:sz w:val="26"/>
                <w:szCs w:val="26"/>
              </w:rPr>
              <w:t>kredītiestādes</w:t>
            </w:r>
            <w:r w:rsidRPr="00B765A7">
              <w:rPr>
                <w:bCs/>
                <w:color w:val="auto"/>
                <w:sz w:val="26"/>
                <w:szCs w:val="26"/>
              </w:rPr>
              <w:t xml:space="preserve"> aizdevuma ir tā, ka riska kapitāls nav aizdevums, kas jāatdod</w:t>
            </w:r>
            <w:r w:rsidR="0029221A" w:rsidRPr="00B765A7">
              <w:rPr>
                <w:bCs/>
                <w:color w:val="auto"/>
                <w:sz w:val="26"/>
                <w:szCs w:val="26"/>
              </w:rPr>
              <w:t xml:space="preserve">. </w:t>
            </w:r>
          </w:p>
          <w:p w14:paraId="10378EF7" w14:textId="6A199B31" w:rsidR="0029221A" w:rsidRPr="00B765A7" w:rsidRDefault="0029221A" w:rsidP="003D22C9">
            <w:pPr>
              <w:pStyle w:val="Default"/>
              <w:jc w:val="both"/>
              <w:rPr>
                <w:bCs/>
                <w:color w:val="auto"/>
                <w:sz w:val="26"/>
                <w:szCs w:val="26"/>
              </w:rPr>
            </w:pPr>
            <w:r w:rsidRPr="00B765A7">
              <w:rPr>
                <w:bCs/>
                <w:color w:val="auto"/>
                <w:sz w:val="26"/>
                <w:szCs w:val="26"/>
              </w:rPr>
              <w:t xml:space="preserve">Ja kredītiestāde vēršas sabiedrībā </w:t>
            </w:r>
            <w:proofErr w:type="spellStart"/>
            <w:r w:rsidRPr="00B765A7">
              <w:rPr>
                <w:bCs/>
                <w:color w:val="auto"/>
                <w:sz w:val="26"/>
                <w:szCs w:val="26"/>
              </w:rPr>
              <w:t>Altum</w:t>
            </w:r>
            <w:proofErr w:type="spellEnd"/>
            <w:r w:rsidRPr="00B765A7">
              <w:rPr>
                <w:bCs/>
                <w:color w:val="auto"/>
                <w:sz w:val="26"/>
                <w:szCs w:val="26"/>
              </w:rPr>
              <w:t xml:space="preserve"> ar garantijas pieteikumu, sabiedrība </w:t>
            </w:r>
            <w:proofErr w:type="spellStart"/>
            <w:r w:rsidRPr="00B765A7">
              <w:rPr>
                <w:bCs/>
                <w:color w:val="auto"/>
                <w:sz w:val="26"/>
                <w:szCs w:val="26"/>
              </w:rPr>
              <w:t>Altum</w:t>
            </w:r>
            <w:proofErr w:type="spellEnd"/>
            <w:r w:rsidRPr="00B765A7">
              <w:rPr>
                <w:bCs/>
                <w:color w:val="auto"/>
                <w:sz w:val="26"/>
                <w:szCs w:val="26"/>
              </w:rPr>
              <w:t xml:space="preserve"> izvērtē katra kredītiestādes sniegta finanšu pakalpojuma </w:t>
            </w:r>
            <w:r w:rsidR="007B368F" w:rsidRPr="00B765A7">
              <w:rPr>
                <w:bCs/>
                <w:color w:val="auto"/>
                <w:sz w:val="26"/>
                <w:szCs w:val="26"/>
              </w:rPr>
              <w:t xml:space="preserve">dzīvotspēju saskaņā ar sabiedrības </w:t>
            </w:r>
            <w:proofErr w:type="spellStart"/>
            <w:r w:rsidR="007B368F" w:rsidRPr="00B765A7">
              <w:rPr>
                <w:bCs/>
                <w:color w:val="auto"/>
                <w:sz w:val="26"/>
                <w:szCs w:val="26"/>
              </w:rPr>
              <w:t>Altum</w:t>
            </w:r>
            <w:proofErr w:type="spellEnd"/>
            <w:r w:rsidR="007B368F" w:rsidRPr="00B765A7">
              <w:rPr>
                <w:bCs/>
                <w:color w:val="auto"/>
                <w:sz w:val="26"/>
                <w:szCs w:val="26"/>
              </w:rPr>
              <w:t xml:space="preserve"> Kredītpolitiku.</w:t>
            </w:r>
            <w:r w:rsidR="006E7854">
              <w:rPr>
                <w:bCs/>
                <w:color w:val="auto"/>
                <w:sz w:val="26"/>
                <w:szCs w:val="26"/>
              </w:rPr>
              <w:t xml:space="preserve"> Kā kritēriji šādu darījumu izvērtēšanai ir kontrolējošās daļas uzņēmumā iegūšana,  plānotais apgrozījuma pieaugums, plānotais peļņas apjoma pieaugums, ietekme uz izmaksu pozīcijām darījuma rezultātā. Papildus nosacījums ir, ka</w:t>
            </w:r>
            <w:r w:rsidR="006E7854">
              <w:rPr>
                <w:sz w:val="26"/>
                <w:szCs w:val="26"/>
              </w:rPr>
              <w:t xml:space="preserve"> šīs darbības rezultātā </w:t>
            </w:r>
            <w:r w:rsidR="006E7854" w:rsidRPr="00BF3532">
              <w:rPr>
                <w:sz w:val="26"/>
                <w:szCs w:val="26"/>
              </w:rPr>
              <w:t>tiek nodrošināta</w:t>
            </w:r>
            <w:r w:rsidR="006E7854" w:rsidRPr="00654502">
              <w:rPr>
                <w:sz w:val="26"/>
                <w:szCs w:val="26"/>
              </w:rPr>
              <w:t xml:space="preserve"> uz</w:t>
            </w:r>
            <w:r w:rsidR="006E7854">
              <w:rPr>
                <w:sz w:val="26"/>
                <w:szCs w:val="26"/>
              </w:rPr>
              <w:t>ņēmuma attīstība vai darbības paplašināšana.</w:t>
            </w:r>
          </w:p>
          <w:p w14:paraId="3F394EE6" w14:textId="77777777" w:rsidR="009A660C" w:rsidRPr="00B765A7" w:rsidRDefault="009A660C" w:rsidP="003D22C9">
            <w:pPr>
              <w:pStyle w:val="Default"/>
              <w:jc w:val="both"/>
              <w:rPr>
                <w:bCs/>
                <w:color w:val="auto"/>
                <w:sz w:val="26"/>
                <w:szCs w:val="26"/>
              </w:rPr>
            </w:pPr>
          </w:p>
          <w:p w14:paraId="139EF792" w14:textId="3068A572" w:rsidR="006601FF" w:rsidRPr="00B765A7" w:rsidRDefault="006601FF" w:rsidP="003D22C9">
            <w:pPr>
              <w:pStyle w:val="Default"/>
              <w:jc w:val="both"/>
              <w:rPr>
                <w:bCs/>
                <w:color w:val="auto"/>
                <w:sz w:val="26"/>
                <w:szCs w:val="26"/>
              </w:rPr>
            </w:pPr>
            <w:r w:rsidRPr="00B765A7">
              <w:rPr>
                <w:bCs/>
                <w:color w:val="auto"/>
                <w:sz w:val="26"/>
                <w:szCs w:val="26"/>
              </w:rPr>
              <w:t xml:space="preserve">Izvērtējot tirgus nepilnības, ir secināms, ka šāds finanšu pakalpojums kapitālsabiedrību kapitāla daļu iegādei ir nepieciešams arī no uzņēmumu </w:t>
            </w:r>
            <w:r w:rsidR="00DA2D85" w:rsidRPr="00B765A7">
              <w:rPr>
                <w:bCs/>
                <w:color w:val="auto"/>
                <w:sz w:val="26"/>
                <w:szCs w:val="26"/>
              </w:rPr>
              <w:t>attīstī</w:t>
            </w:r>
            <w:r w:rsidRPr="00B765A7">
              <w:rPr>
                <w:bCs/>
                <w:color w:val="auto"/>
                <w:sz w:val="26"/>
                <w:szCs w:val="26"/>
              </w:rPr>
              <w:t xml:space="preserve">bas viedokļa. </w:t>
            </w:r>
            <w:r w:rsidR="00EE1320" w:rsidRPr="00B765A7">
              <w:rPr>
                <w:bCs/>
                <w:color w:val="auto"/>
                <w:sz w:val="26"/>
                <w:szCs w:val="26"/>
              </w:rPr>
              <w:t xml:space="preserve">Darījumi, kuriem </w:t>
            </w:r>
            <w:r w:rsidR="00DA2D85" w:rsidRPr="00B765A7">
              <w:rPr>
                <w:bCs/>
                <w:color w:val="auto"/>
                <w:sz w:val="26"/>
                <w:szCs w:val="26"/>
              </w:rPr>
              <w:t xml:space="preserve">līdz šim sabiedrība </w:t>
            </w:r>
            <w:proofErr w:type="spellStart"/>
            <w:r w:rsidR="00DA2D85" w:rsidRPr="00B765A7">
              <w:rPr>
                <w:bCs/>
                <w:color w:val="auto"/>
                <w:sz w:val="26"/>
                <w:szCs w:val="26"/>
              </w:rPr>
              <w:t>Altum</w:t>
            </w:r>
            <w:proofErr w:type="spellEnd"/>
            <w:r w:rsidR="00DA2D85" w:rsidRPr="00B765A7">
              <w:rPr>
                <w:bCs/>
                <w:color w:val="auto"/>
                <w:sz w:val="26"/>
                <w:szCs w:val="26"/>
              </w:rPr>
              <w:t xml:space="preserve"> nevarēja sniegt atbalstu</w:t>
            </w:r>
            <w:r w:rsidR="00EE1320" w:rsidRPr="00B765A7">
              <w:rPr>
                <w:bCs/>
                <w:color w:val="auto"/>
                <w:sz w:val="26"/>
                <w:szCs w:val="26"/>
              </w:rPr>
              <w:t>, lielākoties ir ražošanas uzņēmumi</w:t>
            </w:r>
            <w:r w:rsidR="009A660C" w:rsidRPr="00B765A7">
              <w:rPr>
                <w:bCs/>
                <w:color w:val="auto"/>
                <w:sz w:val="26"/>
                <w:szCs w:val="26"/>
              </w:rPr>
              <w:t xml:space="preserve"> un ja </w:t>
            </w:r>
            <w:r w:rsidR="00EE1320" w:rsidRPr="00B765A7">
              <w:rPr>
                <w:bCs/>
                <w:color w:val="auto"/>
                <w:sz w:val="26"/>
                <w:szCs w:val="26"/>
              </w:rPr>
              <w:t>šāds atbalsts būtu</w:t>
            </w:r>
            <w:r w:rsidR="009A660C" w:rsidRPr="00B765A7">
              <w:rPr>
                <w:bCs/>
                <w:color w:val="auto"/>
                <w:sz w:val="26"/>
                <w:szCs w:val="26"/>
              </w:rPr>
              <w:t xml:space="preserve"> bijis</w:t>
            </w:r>
            <w:r w:rsidR="00EE1320" w:rsidRPr="00B765A7">
              <w:rPr>
                <w:bCs/>
                <w:color w:val="auto"/>
                <w:sz w:val="26"/>
                <w:szCs w:val="26"/>
              </w:rPr>
              <w:t xml:space="preserve"> </w:t>
            </w:r>
            <w:r w:rsidR="009A660C" w:rsidRPr="00B765A7">
              <w:rPr>
                <w:bCs/>
                <w:color w:val="auto"/>
                <w:sz w:val="26"/>
                <w:szCs w:val="26"/>
              </w:rPr>
              <w:t>pieejams</w:t>
            </w:r>
            <w:r w:rsidR="00EE1320" w:rsidRPr="00B765A7">
              <w:rPr>
                <w:bCs/>
                <w:color w:val="auto"/>
                <w:sz w:val="26"/>
                <w:szCs w:val="26"/>
              </w:rPr>
              <w:t xml:space="preserve"> </w:t>
            </w:r>
            <w:r w:rsidR="009A660C" w:rsidRPr="00B765A7">
              <w:rPr>
                <w:bCs/>
                <w:color w:val="auto"/>
                <w:sz w:val="26"/>
                <w:szCs w:val="26"/>
              </w:rPr>
              <w:t>iepriekš, tas šādiem</w:t>
            </w:r>
            <w:r w:rsidR="00EE1320" w:rsidRPr="00B765A7">
              <w:rPr>
                <w:bCs/>
                <w:color w:val="auto"/>
                <w:sz w:val="26"/>
                <w:szCs w:val="26"/>
              </w:rPr>
              <w:t xml:space="preserve"> uzņēmum</w:t>
            </w:r>
            <w:r w:rsidR="009A660C" w:rsidRPr="00B765A7">
              <w:rPr>
                <w:bCs/>
                <w:color w:val="auto"/>
                <w:sz w:val="26"/>
                <w:szCs w:val="26"/>
              </w:rPr>
              <w:t>ie</w:t>
            </w:r>
            <w:r w:rsidR="00EE1320" w:rsidRPr="00B765A7">
              <w:rPr>
                <w:bCs/>
                <w:color w:val="auto"/>
                <w:sz w:val="26"/>
                <w:szCs w:val="26"/>
              </w:rPr>
              <w:t xml:space="preserve">m būtu palīdzējis </w:t>
            </w:r>
            <w:r w:rsidR="009A660C" w:rsidRPr="00B765A7">
              <w:rPr>
                <w:bCs/>
                <w:color w:val="auto"/>
                <w:sz w:val="26"/>
                <w:szCs w:val="26"/>
              </w:rPr>
              <w:t>straujāk</w:t>
            </w:r>
            <w:r w:rsidR="00EE1320" w:rsidRPr="00B765A7">
              <w:rPr>
                <w:bCs/>
                <w:color w:val="auto"/>
                <w:sz w:val="26"/>
                <w:szCs w:val="26"/>
              </w:rPr>
              <w:t xml:space="preserve"> attīstīties. </w:t>
            </w:r>
            <w:r w:rsidR="009A660C" w:rsidRPr="00B765A7">
              <w:rPr>
                <w:bCs/>
                <w:color w:val="auto"/>
                <w:sz w:val="26"/>
                <w:szCs w:val="26"/>
              </w:rPr>
              <w:t>Pamatojoties uz</w:t>
            </w:r>
            <w:r w:rsidR="00EE1320" w:rsidRPr="00B765A7">
              <w:rPr>
                <w:bCs/>
                <w:color w:val="auto"/>
                <w:sz w:val="26"/>
                <w:szCs w:val="26"/>
              </w:rPr>
              <w:t xml:space="preserve"> sarunām ar kredītiestādēm secināms, ka šādi darījumi nav bieži, lielākoties tie ir pāris darījumi gadā.</w:t>
            </w:r>
            <w:r w:rsidR="00952293" w:rsidRPr="00B765A7">
              <w:rPr>
                <w:bCs/>
                <w:color w:val="auto"/>
                <w:sz w:val="26"/>
                <w:szCs w:val="26"/>
              </w:rPr>
              <w:t xml:space="preserve"> Pēc sabiedrības </w:t>
            </w:r>
            <w:proofErr w:type="spellStart"/>
            <w:r w:rsidR="00952293" w:rsidRPr="00B765A7">
              <w:rPr>
                <w:bCs/>
                <w:color w:val="auto"/>
                <w:sz w:val="26"/>
                <w:szCs w:val="26"/>
              </w:rPr>
              <w:t>Altum</w:t>
            </w:r>
            <w:proofErr w:type="spellEnd"/>
            <w:r w:rsidR="00952293" w:rsidRPr="00B765A7">
              <w:rPr>
                <w:bCs/>
                <w:color w:val="auto"/>
                <w:sz w:val="26"/>
                <w:szCs w:val="26"/>
              </w:rPr>
              <w:t xml:space="preserve"> aplēsēm, aptaujājot četras kredītiestādes, kuru darījumi sastāda 92.4% no sabiedrības Alum garantiju portfeļa, šādi strukturēti darījumi varētu ietekmēt </w:t>
            </w:r>
            <w:proofErr w:type="spellStart"/>
            <w:r w:rsidR="00952293" w:rsidRPr="00B765A7">
              <w:rPr>
                <w:bCs/>
                <w:color w:val="auto"/>
                <w:sz w:val="26"/>
                <w:szCs w:val="26"/>
              </w:rPr>
              <w:t>Altum</w:t>
            </w:r>
            <w:proofErr w:type="spellEnd"/>
            <w:r w:rsidR="00952293" w:rsidRPr="00B765A7">
              <w:rPr>
                <w:bCs/>
                <w:color w:val="auto"/>
                <w:sz w:val="26"/>
                <w:szCs w:val="26"/>
              </w:rPr>
              <w:t xml:space="preserve"> garantiju portfeli ar 1-3 darījumiem 500-900 tūkst </w:t>
            </w:r>
            <w:r w:rsidR="00C76907" w:rsidRPr="00B765A7">
              <w:rPr>
                <w:bCs/>
                <w:color w:val="auto"/>
                <w:sz w:val="26"/>
                <w:szCs w:val="26"/>
              </w:rPr>
              <w:t>EUR</w:t>
            </w:r>
            <w:r w:rsidR="00952293" w:rsidRPr="00B765A7">
              <w:rPr>
                <w:bCs/>
                <w:color w:val="auto"/>
                <w:sz w:val="26"/>
                <w:szCs w:val="26"/>
              </w:rPr>
              <w:t xml:space="preserve"> apmērā. </w:t>
            </w:r>
            <w:r w:rsidR="00EE1320" w:rsidRPr="00B765A7">
              <w:rPr>
                <w:bCs/>
                <w:color w:val="auto"/>
                <w:sz w:val="26"/>
                <w:szCs w:val="26"/>
              </w:rPr>
              <w:t xml:space="preserve"> </w:t>
            </w:r>
          </w:p>
          <w:p w14:paraId="399FDADC" w14:textId="25560DBD" w:rsidR="00F063FC" w:rsidRPr="00B765A7" w:rsidRDefault="00F063FC" w:rsidP="003D22C9">
            <w:pPr>
              <w:pStyle w:val="Default"/>
              <w:jc w:val="both"/>
              <w:rPr>
                <w:bCs/>
                <w:color w:val="auto"/>
                <w:sz w:val="26"/>
                <w:szCs w:val="26"/>
              </w:rPr>
            </w:pPr>
            <w:r w:rsidRPr="00B765A7">
              <w:rPr>
                <w:bCs/>
                <w:color w:val="auto"/>
                <w:sz w:val="26"/>
                <w:szCs w:val="26"/>
              </w:rPr>
              <w:t>Papildus norādām, ka šāds uzdevums ir arī noteikts Finanšu sektora attīstības plāna 2017.-2019.gadam 3.2.4.punktā ar termiņu līdz 2019.gada 30.decembrim izveidot atbalsta instrumentus vadības akciju pirkuma (</w:t>
            </w:r>
            <w:proofErr w:type="spellStart"/>
            <w:r w:rsidRPr="00B765A7">
              <w:rPr>
                <w:bCs/>
                <w:i/>
                <w:color w:val="auto"/>
                <w:sz w:val="26"/>
                <w:szCs w:val="26"/>
              </w:rPr>
              <w:t>management</w:t>
            </w:r>
            <w:proofErr w:type="spellEnd"/>
            <w:r w:rsidRPr="00B765A7">
              <w:rPr>
                <w:bCs/>
                <w:i/>
                <w:color w:val="auto"/>
                <w:sz w:val="26"/>
                <w:szCs w:val="26"/>
              </w:rPr>
              <w:t xml:space="preserve"> </w:t>
            </w:r>
            <w:proofErr w:type="spellStart"/>
            <w:r w:rsidRPr="00B765A7">
              <w:rPr>
                <w:bCs/>
                <w:i/>
                <w:color w:val="auto"/>
                <w:sz w:val="26"/>
                <w:szCs w:val="26"/>
              </w:rPr>
              <w:t>buy</w:t>
            </w:r>
            <w:proofErr w:type="spellEnd"/>
            <w:r w:rsidRPr="00B765A7">
              <w:rPr>
                <w:bCs/>
                <w:i/>
                <w:color w:val="auto"/>
                <w:sz w:val="26"/>
                <w:szCs w:val="26"/>
              </w:rPr>
              <w:t xml:space="preserve"> - </w:t>
            </w:r>
            <w:proofErr w:type="spellStart"/>
            <w:r w:rsidRPr="00B765A7">
              <w:rPr>
                <w:bCs/>
                <w:i/>
                <w:color w:val="auto"/>
                <w:sz w:val="26"/>
                <w:szCs w:val="26"/>
              </w:rPr>
              <w:t>out</w:t>
            </w:r>
            <w:proofErr w:type="spellEnd"/>
            <w:r w:rsidRPr="00B765A7">
              <w:rPr>
                <w:bCs/>
                <w:color w:val="auto"/>
                <w:sz w:val="26"/>
                <w:szCs w:val="26"/>
              </w:rPr>
              <w:t>) finansēšanai.</w:t>
            </w:r>
          </w:p>
          <w:p w14:paraId="7B95F621" w14:textId="77777777" w:rsidR="00FB13EB" w:rsidRPr="00B765A7" w:rsidRDefault="00FB13EB" w:rsidP="008E09BF">
            <w:pPr>
              <w:pStyle w:val="Default"/>
              <w:jc w:val="both"/>
              <w:rPr>
                <w:bCs/>
                <w:color w:val="auto"/>
                <w:sz w:val="26"/>
                <w:szCs w:val="26"/>
              </w:rPr>
            </w:pPr>
          </w:p>
          <w:p w14:paraId="4310500A" w14:textId="77777777" w:rsidR="00FB13EB" w:rsidRPr="00B765A7" w:rsidRDefault="00CA2734" w:rsidP="00FB13EB">
            <w:pPr>
              <w:pStyle w:val="Default"/>
              <w:spacing w:after="120"/>
              <w:rPr>
                <w:b/>
                <w:bCs/>
                <w:i/>
                <w:color w:val="auto"/>
                <w:sz w:val="26"/>
                <w:szCs w:val="26"/>
              </w:rPr>
            </w:pPr>
            <w:r w:rsidRPr="00B765A7">
              <w:rPr>
                <w:b/>
                <w:bCs/>
                <w:i/>
                <w:color w:val="auto"/>
                <w:sz w:val="26"/>
                <w:szCs w:val="26"/>
              </w:rPr>
              <w:t>Garantijas summas</w:t>
            </w:r>
            <w:r w:rsidR="007A613A" w:rsidRPr="00B765A7">
              <w:rPr>
                <w:b/>
                <w:bCs/>
                <w:i/>
                <w:color w:val="auto"/>
                <w:sz w:val="26"/>
                <w:szCs w:val="26"/>
              </w:rPr>
              <w:t xml:space="preserve"> palielināšana</w:t>
            </w:r>
            <w:r w:rsidRPr="00B765A7">
              <w:rPr>
                <w:b/>
                <w:bCs/>
                <w:i/>
                <w:color w:val="auto"/>
                <w:sz w:val="26"/>
                <w:szCs w:val="26"/>
              </w:rPr>
              <w:t xml:space="preserve"> MVU</w:t>
            </w:r>
          </w:p>
          <w:p w14:paraId="63DB79CE" w14:textId="01F40A34" w:rsidR="00CA2734" w:rsidRPr="00B765A7" w:rsidRDefault="00CA2734" w:rsidP="00CA2734">
            <w:pPr>
              <w:pStyle w:val="Default"/>
              <w:jc w:val="both"/>
              <w:rPr>
                <w:bCs/>
                <w:color w:val="auto"/>
                <w:sz w:val="26"/>
                <w:szCs w:val="26"/>
              </w:rPr>
            </w:pPr>
            <w:r w:rsidRPr="00B765A7">
              <w:rPr>
                <w:bCs/>
                <w:color w:val="auto"/>
                <w:sz w:val="26"/>
                <w:szCs w:val="26"/>
              </w:rPr>
              <w:t xml:space="preserve">Saskaņā ar </w:t>
            </w:r>
            <w:r w:rsidR="00A24E6B" w:rsidRPr="00B765A7">
              <w:rPr>
                <w:bCs/>
                <w:color w:val="auto"/>
                <w:sz w:val="26"/>
                <w:szCs w:val="26"/>
              </w:rPr>
              <w:t xml:space="preserve">Noteikumu </w:t>
            </w:r>
            <w:r w:rsidRPr="00B765A7">
              <w:rPr>
                <w:bCs/>
                <w:color w:val="auto"/>
                <w:sz w:val="26"/>
                <w:szCs w:val="26"/>
              </w:rPr>
              <w:t xml:space="preserve">Nr.997 10.3.apakšpunktu vienam MVU un ar to saistīto personu grupai garantijas summa nepārsniedz 3 </w:t>
            </w:r>
            <w:proofErr w:type="spellStart"/>
            <w:r w:rsidRPr="00B765A7">
              <w:rPr>
                <w:bCs/>
                <w:color w:val="auto"/>
                <w:sz w:val="26"/>
                <w:szCs w:val="26"/>
              </w:rPr>
              <w:t>milj</w:t>
            </w:r>
            <w:proofErr w:type="spellEnd"/>
            <w:r w:rsidRPr="00B765A7">
              <w:rPr>
                <w:bCs/>
                <w:color w:val="auto"/>
                <w:sz w:val="26"/>
                <w:szCs w:val="26"/>
              </w:rPr>
              <w:t xml:space="preserve"> </w:t>
            </w:r>
            <w:proofErr w:type="spellStart"/>
            <w:r w:rsidRPr="00B765A7">
              <w:rPr>
                <w:bCs/>
                <w:i/>
                <w:color w:val="auto"/>
                <w:sz w:val="26"/>
                <w:szCs w:val="26"/>
              </w:rPr>
              <w:t>euro</w:t>
            </w:r>
            <w:proofErr w:type="spellEnd"/>
            <w:r w:rsidRPr="00B765A7">
              <w:rPr>
                <w:bCs/>
                <w:color w:val="auto"/>
                <w:sz w:val="26"/>
                <w:szCs w:val="26"/>
              </w:rPr>
              <w:t xml:space="preserve"> (vai 750 000 </w:t>
            </w:r>
            <w:proofErr w:type="spellStart"/>
            <w:r w:rsidRPr="00B765A7">
              <w:rPr>
                <w:bCs/>
                <w:color w:val="auto"/>
                <w:sz w:val="26"/>
                <w:szCs w:val="26"/>
              </w:rPr>
              <w:t>euro</w:t>
            </w:r>
            <w:proofErr w:type="spellEnd"/>
            <w:r w:rsidRPr="00B765A7">
              <w:rPr>
                <w:bCs/>
                <w:color w:val="auto"/>
                <w:sz w:val="26"/>
                <w:szCs w:val="26"/>
              </w:rPr>
              <w:t xml:space="preserve">, ja saimnieciskās darbības veicējs darbojas kravu autopārvadājumu nozarē). </w:t>
            </w:r>
          </w:p>
          <w:p w14:paraId="75DCBC6F" w14:textId="6D1BAB72" w:rsidR="00CA2734" w:rsidRPr="00B765A7" w:rsidRDefault="00CA2734" w:rsidP="00CA2734">
            <w:pPr>
              <w:pStyle w:val="Default"/>
              <w:jc w:val="both"/>
              <w:rPr>
                <w:color w:val="auto"/>
                <w:sz w:val="26"/>
                <w:szCs w:val="26"/>
              </w:rPr>
            </w:pPr>
            <w:r w:rsidRPr="00B765A7">
              <w:rPr>
                <w:bCs/>
                <w:color w:val="auto"/>
                <w:sz w:val="26"/>
                <w:szCs w:val="26"/>
              </w:rPr>
              <w:t xml:space="preserve">Veicot lielāka investīciju projektu realizāciju, nereti komersantiem ir nepieciešamas lielākas investīcijas, kas mērāmas vairākos miljonos. Vairāki kredītiestāžu pārstāvji ir norādījuši, ka </w:t>
            </w:r>
            <w:r w:rsidRPr="00B765A7">
              <w:rPr>
                <w:color w:val="auto"/>
                <w:sz w:val="26"/>
                <w:szCs w:val="26"/>
              </w:rPr>
              <w:t xml:space="preserve">pieprasījums pēc papildus limitiem (virs 3 </w:t>
            </w:r>
            <w:r w:rsidRPr="00B765A7">
              <w:rPr>
                <w:color w:val="auto"/>
                <w:sz w:val="26"/>
                <w:szCs w:val="26"/>
              </w:rPr>
              <w:lastRenderedPageBreak/>
              <w:t xml:space="preserve">miljoniem </w:t>
            </w:r>
            <w:proofErr w:type="spellStart"/>
            <w:r w:rsidRPr="00B765A7">
              <w:rPr>
                <w:i/>
                <w:color w:val="auto"/>
                <w:sz w:val="26"/>
                <w:szCs w:val="26"/>
              </w:rPr>
              <w:t>euro</w:t>
            </w:r>
            <w:proofErr w:type="spellEnd"/>
            <w:r w:rsidRPr="00B765A7">
              <w:rPr>
                <w:color w:val="auto"/>
                <w:sz w:val="26"/>
                <w:szCs w:val="26"/>
              </w:rPr>
              <w:t xml:space="preserve">) ir pietiekami liels, bet pašreiz garantiju apjoms nav pietiekams, lai piesaistītu garantijas korporatīvajiem klientiem liela apjoma projektos. </w:t>
            </w:r>
            <w:r w:rsidRPr="00B765A7">
              <w:rPr>
                <w:bCs/>
                <w:color w:val="auto"/>
                <w:sz w:val="26"/>
                <w:szCs w:val="26"/>
              </w:rPr>
              <w:t xml:space="preserve">EM ir iepazinusies arī ar Igaunijas pieredzi, kur maksimālais garantiju limits MVU ir </w:t>
            </w:r>
            <w:r w:rsidRPr="00B765A7">
              <w:rPr>
                <w:color w:val="auto"/>
                <w:sz w:val="26"/>
                <w:szCs w:val="26"/>
              </w:rPr>
              <w:t xml:space="preserve">5 </w:t>
            </w:r>
            <w:proofErr w:type="spellStart"/>
            <w:r w:rsidRPr="00B765A7">
              <w:rPr>
                <w:color w:val="auto"/>
                <w:sz w:val="26"/>
                <w:szCs w:val="26"/>
              </w:rPr>
              <w:t>milj.</w:t>
            </w:r>
            <w:r w:rsidRPr="00B765A7">
              <w:rPr>
                <w:i/>
                <w:color w:val="auto"/>
                <w:sz w:val="26"/>
                <w:szCs w:val="26"/>
              </w:rPr>
              <w:t>euro</w:t>
            </w:r>
            <w:proofErr w:type="spellEnd"/>
            <w:r w:rsidRPr="00B765A7">
              <w:rPr>
                <w:color w:val="auto"/>
                <w:sz w:val="26"/>
                <w:szCs w:val="26"/>
              </w:rPr>
              <w:t xml:space="preserve"> . </w:t>
            </w:r>
          </w:p>
          <w:p w14:paraId="3035DE0B" w14:textId="77777777" w:rsidR="00CA2734" w:rsidRPr="00B765A7" w:rsidRDefault="00CA2734" w:rsidP="00CA2734">
            <w:pPr>
              <w:pStyle w:val="Default"/>
              <w:jc w:val="both"/>
              <w:rPr>
                <w:color w:val="auto"/>
                <w:sz w:val="26"/>
                <w:szCs w:val="26"/>
              </w:rPr>
            </w:pPr>
            <w:r w:rsidRPr="00B765A7">
              <w:rPr>
                <w:b/>
                <w:color w:val="auto"/>
                <w:sz w:val="26"/>
                <w:szCs w:val="26"/>
              </w:rPr>
              <w:t xml:space="preserve">Garantijas summas palielināšana no 3 uz 5 </w:t>
            </w:r>
            <w:proofErr w:type="spellStart"/>
            <w:r w:rsidRPr="00B765A7">
              <w:rPr>
                <w:b/>
                <w:color w:val="auto"/>
                <w:sz w:val="26"/>
                <w:szCs w:val="26"/>
              </w:rPr>
              <w:t>milj.</w:t>
            </w:r>
            <w:r w:rsidRPr="00B765A7">
              <w:rPr>
                <w:b/>
                <w:i/>
                <w:color w:val="auto"/>
                <w:sz w:val="26"/>
                <w:szCs w:val="26"/>
              </w:rPr>
              <w:t>euro</w:t>
            </w:r>
            <w:proofErr w:type="spellEnd"/>
            <w:r w:rsidRPr="00B765A7">
              <w:rPr>
                <w:color w:val="auto"/>
                <w:sz w:val="26"/>
                <w:szCs w:val="26"/>
              </w:rPr>
              <w:t xml:space="preserve"> nākotnē pozitīvi ietekmēs uzņēmumu kreditēšanas vidi un finansējuma pieejamību uzņēmumiem, kuriem nav akumulēta pietiekama aktīvu bāze, ko sniegt kā nodrošinājumu komercbankās.</w:t>
            </w:r>
          </w:p>
          <w:p w14:paraId="1D941F3E" w14:textId="520B5A42" w:rsidR="00CA2734" w:rsidRPr="00B765A7" w:rsidRDefault="00CA2734" w:rsidP="00CA2734">
            <w:pPr>
              <w:pStyle w:val="Default"/>
              <w:jc w:val="both"/>
              <w:rPr>
                <w:color w:val="auto"/>
                <w:sz w:val="26"/>
                <w:szCs w:val="26"/>
              </w:rPr>
            </w:pPr>
            <w:r w:rsidRPr="00B765A7">
              <w:rPr>
                <w:color w:val="auto"/>
                <w:sz w:val="26"/>
                <w:szCs w:val="26"/>
              </w:rPr>
              <w:t>Garantijas summas palielinājums ir noteikts saskaņā ar Regulas Nr.1407/2013 4.panta 6.punkta c) pantu. Arī turpmāk subsīdijas ekvivalents tiks aprēķināts kā starpība starp atbilstošās kredīta kvalitātes klases gada drošās zonas prēmijas likmi (saskaņā ar Eiropas Komisijas ziņojumu</w:t>
            </w:r>
            <w:r w:rsidRPr="00B765A7">
              <w:rPr>
                <w:rStyle w:val="FootnoteReference"/>
                <w:color w:val="auto"/>
                <w:sz w:val="26"/>
                <w:szCs w:val="26"/>
              </w:rPr>
              <w:footnoteReference w:id="5"/>
            </w:r>
            <w:r w:rsidRPr="00B765A7">
              <w:rPr>
                <w:color w:val="auto"/>
                <w:sz w:val="26"/>
                <w:szCs w:val="26"/>
              </w:rPr>
              <w:t xml:space="preserve">) un piemēroto gada prēmijas likmi naudas izteiksmē, kas noteikta sabiedrības </w:t>
            </w:r>
            <w:proofErr w:type="spellStart"/>
            <w:r w:rsidRPr="00B765A7">
              <w:rPr>
                <w:color w:val="auto"/>
                <w:sz w:val="26"/>
                <w:szCs w:val="26"/>
              </w:rPr>
              <w:t>Altum</w:t>
            </w:r>
            <w:proofErr w:type="spellEnd"/>
            <w:r w:rsidRPr="00B765A7">
              <w:rPr>
                <w:color w:val="auto"/>
                <w:sz w:val="26"/>
                <w:szCs w:val="26"/>
              </w:rPr>
              <w:t xml:space="preserve"> cenrādī. </w:t>
            </w:r>
          </w:p>
          <w:p w14:paraId="18926C5F" w14:textId="773C17FB" w:rsidR="00244314" w:rsidRPr="00B765A7" w:rsidRDefault="00244314" w:rsidP="00CA2734">
            <w:pPr>
              <w:pStyle w:val="Default"/>
              <w:jc w:val="both"/>
              <w:rPr>
                <w:color w:val="auto"/>
                <w:sz w:val="26"/>
                <w:szCs w:val="26"/>
              </w:rPr>
            </w:pPr>
          </w:p>
          <w:p w14:paraId="21D0B857" w14:textId="77777777" w:rsidR="00244314" w:rsidRPr="00B765A7" w:rsidRDefault="00244314" w:rsidP="00244314">
            <w:pPr>
              <w:pStyle w:val="Default"/>
              <w:jc w:val="both"/>
              <w:rPr>
                <w:bCs/>
                <w:color w:val="auto"/>
                <w:sz w:val="26"/>
                <w:szCs w:val="26"/>
              </w:rPr>
            </w:pPr>
          </w:p>
          <w:p w14:paraId="5770EA13" w14:textId="73393DB4" w:rsidR="00244314" w:rsidRPr="00B765A7" w:rsidRDefault="00244314" w:rsidP="00F063FC">
            <w:pPr>
              <w:pStyle w:val="Default"/>
              <w:spacing w:after="120"/>
              <w:rPr>
                <w:b/>
                <w:bCs/>
                <w:i/>
                <w:color w:val="auto"/>
                <w:sz w:val="26"/>
                <w:szCs w:val="26"/>
              </w:rPr>
            </w:pPr>
            <w:r w:rsidRPr="00B765A7">
              <w:rPr>
                <w:b/>
                <w:bCs/>
                <w:i/>
                <w:color w:val="auto"/>
                <w:sz w:val="26"/>
                <w:szCs w:val="26"/>
              </w:rPr>
              <w:t xml:space="preserve">DME nosacījumu </w:t>
            </w:r>
            <w:proofErr w:type="spellStart"/>
            <w:r w:rsidRPr="00B765A7">
              <w:rPr>
                <w:b/>
                <w:bCs/>
                <w:i/>
                <w:color w:val="auto"/>
                <w:sz w:val="26"/>
                <w:szCs w:val="26"/>
              </w:rPr>
              <w:t>precīzēšana</w:t>
            </w:r>
            <w:proofErr w:type="spellEnd"/>
          </w:p>
          <w:p w14:paraId="47497A58" w14:textId="68E7506B" w:rsidR="00244314" w:rsidRPr="00B765A7" w:rsidRDefault="00244314" w:rsidP="00CA2734">
            <w:pPr>
              <w:pStyle w:val="Default"/>
              <w:jc w:val="both"/>
              <w:rPr>
                <w:color w:val="auto"/>
                <w:sz w:val="26"/>
                <w:szCs w:val="26"/>
              </w:rPr>
            </w:pPr>
            <w:r w:rsidRPr="00B765A7">
              <w:rPr>
                <w:color w:val="auto"/>
                <w:sz w:val="26"/>
                <w:szCs w:val="26"/>
              </w:rPr>
              <w:t>Ar Ministru kabineta 2017. gada 18. jūlija noteikumiem Nr. 410 “Grozījumi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Grozījumi) no Ministru kabineta 2016. gada 15. marta noteikumiem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Nr.160) tika svītrots 81.2.apakšpunkts, kas nosaka, ka atbalstu (</w:t>
            </w:r>
            <w:proofErr w:type="spellStart"/>
            <w:r w:rsidRPr="00B765A7">
              <w:rPr>
                <w:color w:val="auto"/>
                <w:sz w:val="26"/>
                <w:szCs w:val="26"/>
              </w:rPr>
              <w:t>grantu</w:t>
            </w:r>
            <w:proofErr w:type="spellEnd"/>
            <w:r w:rsidRPr="00B765A7">
              <w:rPr>
                <w:color w:val="auto"/>
                <w:sz w:val="26"/>
                <w:szCs w:val="26"/>
              </w:rPr>
              <w:t xml:space="preserve">, aizdevumu vai garantiju) 4.2.1.1.pasākuma "Veicināt energoefektivitātes paaugstināšanu dzīvojamās ēkās" ietvaros nevar saņemt saimnieciskās darbības veicēji, kuriem uz atbalsta piešķiršanas brīdi saskaņā ar Valsts ieņēmumu dienesta publiskojamo datubāzes informāciju ir nodokļu parādi. Grozījumu anotācijā ir skaidrots, ka MK noteikumu Nr.160 81.2.apakšpunkta nosacījums ir pārņemts no vispārējās Eiropas Savienības fondu projektu ieviešanas prakses, kur ir viens atbalsta saņēmējs un kur netiek sīkāk </w:t>
            </w:r>
            <w:r w:rsidRPr="00B765A7">
              <w:rPr>
                <w:color w:val="auto"/>
                <w:sz w:val="26"/>
                <w:szCs w:val="26"/>
              </w:rPr>
              <w:lastRenderedPageBreak/>
              <w:t>vērtēti citi parādi vai saistības un, ka minētais nosacījums nav noteikts Eiropas Savienības struktūrfondu un Kohēzijas fonda 2014.—2020.gada plānošanas perioda vadības likumā vai Eiropas Savienības līmeņa normatīvajā regulējumā, bet ir nacionāla līmeņa norma, kas pārņemta no publisko iepirkumu procesa. Ņemot vērā, ka MK noteikumos Nr.997 un MK noteikumos Nr.160 noteiktajām normām ir jābūt saskaņotām, nepieciešams precizēt MK noteikumu Nr.997 10.</w:t>
            </w:r>
            <w:r w:rsidRPr="00B765A7">
              <w:rPr>
                <w:color w:val="auto"/>
                <w:sz w:val="26"/>
                <w:szCs w:val="26"/>
                <w:vertAlign w:val="superscript"/>
              </w:rPr>
              <w:t>1</w:t>
            </w:r>
            <w:r w:rsidRPr="00B765A7">
              <w:rPr>
                <w:color w:val="auto"/>
                <w:sz w:val="26"/>
                <w:szCs w:val="26"/>
              </w:rPr>
              <w:t xml:space="preserve"> punktu, no tā svītrojot prasību vērtēt nodokļu parādu nosacījumu</w:t>
            </w:r>
          </w:p>
          <w:p w14:paraId="567F5FCB" w14:textId="77777777" w:rsidR="00CA2734" w:rsidRPr="00B765A7" w:rsidRDefault="00CA2734" w:rsidP="001C15B2">
            <w:pPr>
              <w:pStyle w:val="Default"/>
              <w:rPr>
                <w:bCs/>
                <w:i/>
                <w:color w:val="auto"/>
                <w:sz w:val="26"/>
                <w:szCs w:val="26"/>
              </w:rPr>
            </w:pPr>
          </w:p>
          <w:p w14:paraId="6F8AD984" w14:textId="77777777" w:rsidR="001C15B2" w:rsidRPr="00B765A7" w:rsidRDefault="001C15B2" w:rsidP="001C15B2">
            <w:pPr>
              <w:pStyle w:val="Default"/>
              <w:spacing w:after="120"/>
              <w:rPr>
                <w:b/>
                <w:bCs/>
                <w:i/>
                <w:color w:val="auto"/>
                <w:sz w:val="26"/>
                <w:szCs w:val="26"/>
              </w:rPr>
            </w:pPr>
            <w:r w:rsidRPr="00B765A7">
              <w:rPr>
                <w:b/>
                <w:bCs/>
                <w:i/>
                <w:color w:val="auto"/>
                <w:sz w:val="26"/>
                <w:szCs w:val="26"/>
              </w:rPr>
              <w:t>Programmas rādītāju novērtējums</w:t>
            </w:r>
          </w:p>
          <w:p w14:paraId="5E6E43D9" w14:textId="77777777" w:rsidR="008E09BF" w:rsidRDefault="001C15B2" w:rsidP="00B13AD3">
            <w:pPr>
              <w:pStyle w:val="Default"/>
              <w:jc w:val="both"/>
              <w:rPr>
                <w:bCs/>
                <w:color w:val="auto"/>
                <w:sz w:val="26"/>
                <w:szCs w:val="26"/>
              </w:rPr>
            </w:pPr>
            <w:r w:rsidRPr="00B765A7">
              <w:rPr>
                <w:bCs/>
                <w:color w:val="auto"/>
                <w:sz w:val="26"/>
                <w:szCs w:val="26"/>
              </w:rPr>
              <w:t xml:space="preserve">Noteikumu grozījumu rezultātā tiks </w:t>
            </w:r>
            <w:r w:rsidR="000F3075" w:rsidRPr="00B765A7">
              <w:rPr>
                <w:bCs/>
                <w:color w:val="auto"/>
                <w:sz w:val="26"/>
                <w:szCs w:val="26"/>
              </w:rPr>
              <w:t xml:space="preserve">palielināta maksimālais garantijas apmērs maziem un vidējiem komersantiem, kā arī papildus novirzīts </w:t>
            </w:r>
            <w:r w:rsidRPr="00B765A7">
              <w:rPr>
                <w:bCs/>
                <w:color w:val="auto"/>
                <w:sz w:val="26"/>
                <w:szCs w:val="26"/>
              </w:rPr>
              <w:t xml:space="preserve">finansējums lielajiem komersantiem. Sabiedrība </w:t>
            </w:r>
            <w:proofErr w:type="spellStart"/>
            <w:r w:rsidRPr="00B765A7">
              <w:rPr>
                <w:bCs/>
                <w:color w:val="auto"/>
                <w:sz w:val="26"/>
                <w:szCs w:val="26"/>
              </w:rPr>
              <w:t>Altum</w:t>
            </w:r>
            <w:proofErr w:type="spellEnd"/>
            <w:r w:rsidRPr="00B765A7">
              <w:rPr>
                <w:bCs/>
                <w:color w:val="auto"/>
                <w:sz w:val="26"/>
                <w:szCs w:val="26"/>
              </w:rPr>
              <w:t xml:space="preserve"> </w:t>
            </w:r>
            <w:r w:rsidR="000D1847" w:rsidRPr="00B765A7">
              <w:rPr>
                <w:bCs/>
                <w:color w:val="auto"/>
                <w:sz w:val="26"/>
                <w:szCs w:val="26"/>
              </w:rPr>
              <w:t xml:space="preserve">ir </w:t>
            </w:r>
            <w:r w:rsidRPr="00B765A7">
              <w:rPr>
                <w:bCs/>
                <w:color w:val="auto"/>
                <w:sz w:val="26"/>
                <w:szCs w:val="26"/>
              </w:rPr>
              <w:t>sagatavo</w:t>
            </w:r>
            <w:r w:rsidR="000D1847" w:rsidRPr="00B765A7">
              <w:rPr>
                <w:bCs/>
                <w:color w:val="auto"/>
                <w:sz w:val="26"/>
                <w:szCs w:val="26"/>
              </w:rPr>
              <w:t>jusi</w:t>
            </w:r>
            <w:r w:rsidRPr="00B765A7">
              <w:rPr>
                <w:bCs/>
                <w:color w:val="auto"/>
                <w:sz w:val="26"/>
                <w:szCs w:val="26"/>
              </w:rPr>
              <w:t xml:space="preserve">  programmas ietekmes, risku un sagaidāmo zaudējumu, finansiālo rezultātu izvērtējamu saskaņā ar  Attīstības finanšu institūcijas likuma 12.panta trešo daļu.</w:t>
            </w:r>
          </w:p>
          <w:p w14:paraId="3CC796F0" w14:textId="2BAF06AE" w:rsidR="00E17066" w:rsidRPr="00B765A7" w:rsidRDefault="00E17066" w:rsidP="00B13AD3">
            <w:pPr>
              <w:pStyle w:val="Default"/>
              <w:jc w:val="both"/>
              <w:rPr>
                <w:bCs/>
                <w:color w:val="auto"/>
                <w:sz w:val="26"/>
                <w:szCs w:val="26"/>
              </w:rPr>
            </w:pPr>
            <w:r>
              <w:rPr>
                <w:bCs/>
                <w:color w:val="auto"/>
                <w:sz w:val="26"/>
                <w:szCs w:val="26"/>
              </w:rPr>
              <w:t>Saskaņā ar riska novērtējumu, grozīts MKN 28.</w:t>
            </w:r>
            <w:r w:rsidR="00006AF2">
              <w:rPr>
                <w:bCs/>
                <w:color w:val="auto"/>
                <w:sz w:val="26"/>
                <w:szCs w:val="26"/>
                <w:vertAlign w:val="superscript"/>
              </w:rPr>
              <w:t>3</w:t>
            </w:r>
            <w:r>
              <w:rPr>
                <w:bCs/>
                <w:color w:val="auto"/>
                <w:sz w:val="26"/>
                <w:szCs w:val="26"/>
              </w:rPr>
              <w:t xml:space="preserve"> punkts </w:t>
            </w:r>
            <w:r w:rsidR="00465E0E">
              <w:rPr>
                <w:bCs/>
                <w:color w:val="auto"/>
                <w:sz w:val="26"/>
                <w:szCs w:val="26"/>
              </w:rPr>
              <w:t>(šo garantiju vadības izmaksām netiek izmantots programmas finansējums, bet gan klientu maksājumi, t.i. prēmiju ieņēmumi un komisijas maksu ieņēmumi,</w:t>
            </w:r>
            <w:r>
              <w:rPr>
                <w:bCs/>
                <w:color w:val="auto"/>
                <w:sz w:val="26"/>
                <w:szCs w:val="26"/>
              </w:rPr>
              <w:t>un noteikumu projekts papildināts ar 2</w:t>
            </w:r>
            <w:r w:rsidR="00BD7183">
              <w:rPr>
                <w:bCs/>
                <w:color w:val="auto"/>
                <w:sz w:val="26"/>
                <w:szCs w:val="26"/>
              </w:rPr>
              <w:t>8</w:t>
            </w:r>
            <w:r>
              <w:rPr>
                <w:bCs/>
                <w:color w:val="auto"/>
                <w:sz w:val="26"/>
                <w:szCs w:val="26"/>
              </w:rPr>
              <w:t>.</w:t>
            </w:r>
            <w:r w:rsidRPr="00E17066">
              <w:rPr>
                <w:bCs/>
                <w:color w:val="auto"/>
                <w:sz w:val="26"/>
                <w:szCs w:val="26"/>
                <w:vertAlign w:val="superscript"/>
              </w:rPr>
              <w:t>3</w:t>
            </w:r>
            <w:r>
              <w:rPr>
                <w:bCs/>
                <w:color w:val="auto"/>
                <w:sz w:val="26"/>
                <w:szCs w:val="26"/>
              </w:rPr>
              <w:t xml:space="preserve">punktu par kapitāla </w:t>
            </w:r>
            <w:proofErr w:type="spellStart"/>
            <w:r>
              <w:rPr>
                <w:bCs/>
                <w:color w:val="auto"/>
                <w:sz w:val="26"/>
                <w:szCs w:val="26"/>
              </w:rPr>
              <w:t>atdeves</w:t>
            </w:r>
            <w:proofErr w:type="spellEnd"/>
            <w:r>
              <w:rPr>
                <w:bCs/>
                <w:color w:val="auto"/>
                <w:sz w:val="26"/>
                <w:szCs w:val="26"/>
              </w:rPr>
              <w:t xml:space="preserve"> segšanu</w:t>
            </w:r>
            <w:r w:rsidR="00465E0E">
              <w:rPr>
                <w:bCs/>
                <w:color w:val="auto"/>
                <w:sz w:val="26"/>
                <w:szCs w:val="26"/>
              </w:rPr>
              <w:t>.</w:t>
            </w:r>
            <w:r w:rsidR="00006AF2">
              <w:rPr>
                <w:bCs/>
                <w:color w:val="auto"/>
                <w:sz w:val="26"/>
                <w:szCs w:val="26"/>
              </w:rPr>
              <w:t xml:space="preserve"> </w:t>
            </w:r>
            <w:r w:rsidR="00475E4E" w:rsidRPr="00475E4E">
              <w:rPr>
                <w:iCs/>
              </w:rPr>
              <w:t>Ņemot vērā to, ka atmaksas nav uzskatāmas par Eiropas Reģionālās attīstības fonda finansējumu, līdz ar ko Sadarbības iestāde nav tiesīga darboties ārpus savas kompetences un nodrošināt noteikumu projekta 5.punktā minēto nosacījumu izpildi un uzraudzību, tiek paredzēts, ka rādītāja uzskaiti un uzraudzību nodrošina Ekonomikas ministrija</w:t>
            </w:r>
            <w:r w:rsidR="00475E4E">
              <w:rPr>
                <w:iCs/>
              </w:rPr>
              <w:t>.</w:t>
            </w:r>
            <w:bookmarkStart w:id="0" w:name="_GoBack"/>
            <w:bookmarkEnd w:id="0"/>
            <w:r w:rsidR="00006AF2" w:rsidRPr="00006AF2">
              <w:rPr>
                <w:bCs/>
                <w:color w:val="auto"/>
                <w:sz w:val="26"/>
                <w:szCs w:val="26"/>
              </w:rPr>
              <w:t xml:space="preserve"> </w:t>
            </w:r>
          </w:p>
        </w:tc>
      </w:tr>
      <w:tr w:rsidR="00330C43" w:rsidRPr="00CD371F" w14:paraId="399A21CD"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599245B" w14:textId="77777777" w:rsidR="00330C43" w:rsidRPr="00CD371F" w:rsidRDefault="00330C43" w:rsidP="001154C6">
            <w:pPr>
              <w:jc w:val="center"/>
              <w:rPr>
                <w:sz w:val="26"/>
                <w:szCs w:val="26"/>
                <w:lang w:eastAsia="en-US"/>
              </w:rPr>
            </w:pPr>
            <w:r w:rsidRPr="00CD371F">
              <w:rPr>
                <w:sz w:val="26"/>
                <w:szCs w:val="26"/>
              </w:rPr>
              <w:lastRenderedPageBreak/>
              <w:t>3.</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4F148C8D" w14:textId="1FECAD9B" w:rsidR="00330C43" w:rsidRPr="00CD371F" w:rsidRDefault="00330C43" w:rsidP="001154C6">
            <w:pPr>
              <w:rPr>
                <w:sz w:val="26"/>
                <w:szCs w:val="26"/>
                <w:lang w:eastAsia="en-US"/>
              </w:rPr>
            </w:pPr>
            <w:r w:rsidRPr="00CD371F">
              <w:rPr>
                <w:sz w:val="26"/>
                <w:szCs w:val="26"/>
              </w:rPr>
              <w:t>Projekta izstrādē iesaistītās institūcijas</w:t>
            </w:r>
            <w:r w:rsidR="00A24E6B" w:rsidRPr="00A24E6B">
              <w:rPr>
                <w:sz w:val="26"/>
                <w:szCs w:val="26"/>
              </w:rPr>
              <w:t xml:space="preserve"> un publiskas personas kapitālsabiedrības</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6260E0BA" w14:textId="77777777" w:rsidR="00893FBD" w:rsidRPr="00CD371F" w:rsidRDefault="00931AC7" w:rsidP="00A861B4">
            <w:pPr>
              <w:jc w:val="both"/>
              <w:rPr>
                <w:sz w:val="26"/>
                <w:szCs w:val="26"/>
              </w:rPr>
            </w:pPr>
            <w:r w:rsidRPr="00CD371F">
              <w:rPr>
                <w:rFonts w:eastAsia="Times New Roman"/>
                <w:sz w:val="26"/>
                <w:szCs w:val="26"/>
              </w:rPr>
              <w:t>E</w:t>
            </w:r>
            <w:r w:rsidR="00DD581E" w:rsidRPr="00CD371F">
              <w:rPr>
                <w:rFonts w:eastAsia="Times New Roman"/>
                <w:sz w:val="26"/>
                <w:szCs w:val="26"/>
              </w:rPr>
              <w:t>konomikas ministrija</w:t>
            </w:r>
            <w:r w:rsidR="00CF6A56" w:rsidRPr="00CD371F">
              <w:rPr>
                <w:rFonts w:eastAsia="Times New Roman"/>
                <w:sz w:val="26"/>
                <w:szCs w:val="26"/>
              </w:rPr>
              <w:t xml:space="preserve">, </w:t>
            </w:r>
            <w:r w:rsidR="00DD581E" w:rsidRPr="00CD371F">
              <w:rPr>
                <w:rFonts w:eastAsia="Times New Roman"/>
                <w:sz w:val="26"/>
                <w:szCs w:val="26"/>
              </w:rPr>
              <w:t>A/S “Attīstības finanšu institūcija</w:t>
            </w:r>
            <w:r w:rsidR="00CF6A56" w:rsidRPr="00CD371F">
              <w:rPr>
                <w:rFonts w:eastAsia="Times New Roman"/>
                <w:sz w:val="26"/>
                <w:szCs w:val="26"/>
              </w:rPr>
              <w:t xml:space="preserve"> </w:t>
            </w:r>
            <w:proofErr w:type="spellStart"/>
            <w:r w:rsidR="00CF6A56" w:rsidRPr="00CD371F">
              <w:rPr>
                <w:rFonts w:eastAsia="Times New Roman"/>
                <w:sz w:val="26"/>
                <w:szCs w:val="26"/>
              </w:rPr>
              <w:t>Altum</w:t>
            </w:r>
            <w:proofErr w:type="spellEnd"/>
            <w:r w:rsidR="00DD581E" w:rsidRPr="00CD371F">
              <w:rPr>
                <w:rFonts w:eastAsia="Times New Roman"/>
                <w:sz w:val="26"/>
                <w:szCs w:val="26"/>
              </w:rPr>
              <w:t>”</w:t>
            </w:r>
          </w:p>
        </w:tc>
      </w:tr>
      <w:tr w:rsidR="00330C43" w:rsidRPr="00CD371F" w14:paraId="475A85BF"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90F9454" w14:textId="77777777" w:rsidR="00330C43" w:rsidRPr="00CD371F" w:rsidRDefault="00330C43" w:rsidP="001154C6">
            <w:pPr>
              <w:jc w:val="center"/>
              <w:rPr>
                <w:sz w:val="26"/>
                <w:szCs w:val="26"/>
                <w:lang w:eastAsia="en-US"/>
              </w:rPr>
            </w:pPr>
            <w:r w:rsidRPr="00CD371F">
              <w:rPr>
                <w:sz w:val="26"/>
                <w:szCs w:val="26"/>
              </w:rPr>
              <w:t>4.</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15BA5913" w14:textId="77777777" w:rsidR="00330C43" w:rsidRPr="00CD371F" w:rsidRDefault="00330C43" w:rsidP="001154C6">
            <w:pPr>
              <w:rPr>
                <w:sz w:val="26"/>
                <w:szCs w:val="26"/>
                <w:lang w:eastAsia="en-US"/>
              </w:rPr>
            </w:pPr>
            <w:r w:rsidRPr="00CD371F">
              <w:rPr>
                <w:sz w:val="26"/>
                <w:szCs w:val="26"/>
              </w:rPr>
              <w:t>Cita informācija</w:t>
            </w:r>
          </w:p>
        </w:tc>
        <w:tc>
          <w:tcPr>
            <w:tcW w:w="7290" w:type="dxa"/>
            <w:tcBorders>
              <w:top w:val="single" w:sz="4" w:space="0" w:color="auto"/>
              <w:left w:val="single" w:sz="4" w:space="0" w:color="auto"/>
              <w:bottom w:val="single" w:sz="4" w:space="0" w:color="auto"/>
              <w:right w:val="single" w:sz="4" w:space="0" w:color="auto"/>
            </w:tcBorders>
            <w:shd w:val="clear" w:color="auto" w:fill="FFFFFF"/>
            <w:hideMark/>
          </w:tcPr>
          <w:p w14:paraId="28F7D95D" w14:textId="77777777" w:rsidR="008C7633" w:rsidRPr="00CD371F" w:rsidRDefault="00554AB1" w:rsidP="00A861B4">
            <w:pPr>
              <w:rPr>
                <w:sz w:val="26"/>
                <w:szCs w:val="26"/>
              </w:rPr>
            </w:pPr>
            <w:r w:rsidRPr="00CD371F">
              <w:rPr>
                <w:sz w:val="26"/>
                <w:szCs w:val="26"/>
              </w:rPr>
              <w:t>Nav.</w:t>
            </w:r>
          </w:p>
        </w:tc>
      </w:tr>
    </w:tbl>
    <w:p w14:paraId="76C9DCBB" w14:textId="77777777" w:rsidR="000D3D70" w:rsidRPr="00CD371F" w:rsidRDefault="000D3D70" w:rsidP="001154C6">
      <w:pPr>
        <w:jc w:val="both"/>
        <w:rPr>
          <w:sz w:val="26"/>
          <w:szCs w:val="26"/>
        </w:rPr>
      </w:pP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687"/>
        <w:gridCol w:w="6082"/>
      </w:tblGrid>
      <w:tr w:rsidR="009571C3" w:rsidRPr="00CD371F" w14:paraId="7DC7517A" w14:textId="77777777" w:rsidTr="00FD0A1D">
        <w:tc>
          <w:tcPr>
            <w:tcW w:w="933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25E4CD" w14:textId="77777777" w:rsidR="009571C3" w:rsidRPr="00CD371F" w:rsidRDefault="009571C3" w:rsidP="009571C3">
            <w:pPr>
              <w:tabs>
                <w:tab w:val="left" w:pos="2268"/>
                <w:tab w:val="left" w:pos="2410"/>
              </w:tabs>
              <w:ind w:left="1080"/>
              <w:contextualSpacing/>
              <w:jc w:val="center"/>
              <w:rPr>
                <w:rFonts w:eastAsia="Times New Roman"/>
                <w:b/>
                <w:sz w:val="26"/>
                <w:szCs w:val="26"/>
                <w:lang w:eastAsia="en-US"/>
              </w:rPr>
            </w:pPr>
            <w:r w:rsidRPr="00CD371F">
              <w:rPr>
                <w:rFonts w:eastAsia="Times New Roman"/>
                <w:b/>
                <w:bCs/>
                <w:sz w:val="26"/>
                <w:szCs w:val="26"/>
              </w:rPr>
              <w:t>II. Tiesību akta projekta ietekme uz sabiedrību, tautsaimniecības attīstību un administratīvo slogu</w:t>
            </w:r>
          </w:p>
        </w:tc>
      </w:tr>
      <w:tr w:rsidR="004358C2" w:rsidRPr="00CD371F" w14:paraId="499F2594"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28DC0AF" w14:textId="77777777" w:rsidR="004358C2" w:rsidRPr="00CD371F" w:rsidRDefault="004358C2" w:rsidP="004358C2">
            <w:pPr>
              <w:jc w:val="center"/>
              <w:rPr>
                <w:sz w:val="26"/>
                <w:szCs w:val="26"/>
                <w:lang w:eastAsia="en-US"/>
              </w:rPr>
            </w:pPr>
            <w:r w:rsidRPr="00CD371F">
              <w:rPr>
                <w:sz w:val="26"/>
                <w:szCs w:val="26"/>
              </w:rPr>
              <w:t>1.</w:t>
            </w:r>
          </w:p>
        </w:tc>
        <w:tc>
          <w:tcPr>
            <w:tcW w:w="2687" w:type="dxa"/>
            <w:tcBorders>
              <w:top w:val="single" w:sz="4" w:space="0" w:color="auto"/>
              <w:left w:val="single" w:sz="4" w:space="0" w:color="auto"/>
              <w:bottom w:val="single" w:sz="4" w:space="0" w:color="auto"/>
              <w:right w:val="single" w:sz="4" w:space="0" w:color="auto"/>
            </w:tcBorders>
            <w:shd w:val="clear" w:color="auto" w:fill="auto"/>
            <w:hideMark/>
          </w:tcPr>
          <w:p w14:paraId="7325F414" w14:textId="77777777" w:rsidR="004358C2" w:rsidRPr="00CD371F" w:rsidRDefault="004358C2" w:rsidP="004358C2">
            <w:pPr>
              <w:rPr>
                <w:sz w:val="26"/>
                <w:szCs w:val="26"/>
                <w:lang w:eastAsia="en-US"/>
              </w:rPr>
            </w:pPr>
            <w:r w:rsidRPr="00CD371F">
              <w:rPr>
                <w:sz w:val="26"/>
                <w:szCs w:val="26"/>
              </w:rPr>
              <w:t xml:space="preserve">Sabiedrības </w:t>
            </w:r>
            <w:proofErr w:type="spellStart"/>
            <w:r w:rsidRPr="00CD371F">
              <w:rPr>
                <w:sz w:val="26"/>
                <w:szCs w:val="26"/>
              </w:rPr>
              <w:t>mērķgrupas</w:t>
            </w:r>
            <w:proofErr w:type="spellEnd"/>
            <w:r w:rsidRPr="00CD371F">
              <w:rPr>
                <w:sz w:val="26"/>
                <w:szCs w:val="26"/>
              </w:rPr>
              <w:t>, kuras tiesiskais regulējums ietekmē vai varētu ietekmēt</w:t>
            </w:r>
          </w:p>
        </w:tc>
        <w:tc>
          <w:tcPr>
            <w:tcW w:w="6082" w:type="dxa"/>
            <w:tcBorders>
              <w:top w:val="single" w:sz="4" w:space="0" w:color="000000"/>
              <w:left w:val="single" w:sz="4" w:space="0" w:color="000000"/>
              <w:bottom w:val="single" w:sz="4" w:space="0" w:color="000000"/>
              <w:right w:val="single" w:sz="4" w:space="0" w:color="000000"/>
            </w:tcBorders>
            <w:shd w:val="clear" w:color="000000" w:fill="auto"/>
            <w:hideMark/>
          </w:tcPr>
          <w:p w14:paraId="1211A2CC" w14:textId="77777777" w:rsidR="004358C2" w:rsidRPr="00CD371F" w:rsidRDefault="004358C2" w:rsidP="004358C2">
            <w:pPr>
              <w:pStyle w:val="ListParagraph"/>
              <w:tabs>
                <w:tab w:val="left" w:pos="317"/>
              </w:tabs>
              <w:spacing w:before="60" w:after="60"/>
              <w:ind w:left="34"/>
              <w:jc w:val="both"/>
              <w:rPr>
                <w:sz w:val="26"/>
                <w:szCs w:val="26"/>
              </w:rPr>
            </w:pPr>
            <w:r w:rsidRPr="00CD371F">
              <w:rPr>
                <w:sz w:val="26"/>
                <w:szCs w:val="26"/>
              </w:rPr>
              <w:t>Noteikumu projekta mērķa grupa ir sīkie, mazie, vidējie un lielie komersanti.</w:t>
            </w:r>
          </w:p>
        </w:tc>
      </w:tr>
      <w:tr w:rsidR="004358C2" w:rsidRPr="00CD371F" w14:paraId="20F89F8D"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tcPr>
          <w:p w14:paraId="797184D1" w14:textId="77777777" w:rsidR="004358C2" w:rsidRPr="00CD371F" w:rsidRDefault="004358C2" w:rsidP="004358C2">
            <w:pPr>
              <w:jc w:val="center"/>
              <w:rPr>
                <w:sz w:val="26"/>
                <w:szCs w:val="26"/>
              </w:rPr>
            </w:pPr>
            <w:r w:rsidRPr="00CD371F">
              <w:rPr>
                <w:sz w:val="26"/>
                <w:szCs w:val="26"/>
              </w:rPr>
              <w:t>2.</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13012EE7" w14:textId="77777777" w:rsidR="004358C2" w:rsidRPr="00CD371F" w:rsidRDefault="004358C2" w:rsidP="004358C2">
            <w:pPr>
              <w:rPr>
                <w:color w:val="414142"/>
                <w:sz w:val="26"/>
                <w:szCs w:val="26"/>
              </w:rPr>
            </w:pPr>
            <w:r w:rsidRPr="00CD371F">
              <w:rPr>
                <w:sz w:val="26"/>
                <w:szCs w:val="26"/>
              </w:rPr>
              <w:t xml:space="preserve">Tiesiskā regulējuma ietekme uz </w:t>
            </w:r>
            <w:r w:rsidRPr="00CD371F">
              <w:rPr>
                <w:sz w:val="26"/>
                <w:szCs w:val="26"/>
              </w:rPr>
              <w:lastRenderedPageBreak/>
              <w:t>tautsaimniecību un administratīvo slogu</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F7119D4" w14:textId="77777777" w:rsidR="004358C2" w:rsidRPr="00CD371F" w:rsidRDefault="004358C2" w:rsidP="004358C2">
            <w:pPr>
              <w:pStyle w:val="ListParagraph"/>
              <w:tabs>
                <w:tab w:val="left" w:pos="317"/>
              </w:tabs>
              <w:spacing w:before="60" w:after="60"/>
              <w:ind w:left="34"/>
              <w:jc w:val="both"/>
              <w:rPr>
                <w:sz w:val="26"/>
                <w:szCs w:val="26"/>
              </w:rPr>
            </w:pPr>
            <w:r w:rsidRPr="00CD371F">
              <w:rPr>
                <w:sz w:val="26"/>
                <w:szCs w:val="26"/>
              </w:rPr>
              <w:lastRenderedPageBreak/>
              <w:t xml:space="preserve">Noteikumu projekts neparedz ietekmi uz administratīvo slogu. Noteikumu projekta īstenošanu nodrošinās </w:t>
            </w:r>
            <w:r w:rsidRPr="00CD371F">
              <w:rPr>
                <w:sz w:val="26"/>
                <w:szCs w:val="26"/>
              </w:rPr>
              <w:lastRenderedPageBreak/>
              <w:t xml:space="preserve">sabiedrība </w:t>
            </w:r>
            <w:proofErr w:type="spellStart"/>
            <w:r w:rsidRPr="00CD371F">
              <w:rPr>
                <w:sz w:val="26"/>
                <w:szCs w:val="26"/>
              </w:rPr>
              <w:t>Altum</w:t>
            </w:r>
            <w:proofErr w:type="spellEnd"/>
            <w:r w:rsidRPr="00CD371F">
              <w:rPr>
                <w:sz w:val="26"/>
                <w:szCs w:val="26"/>
              </w:rPr>
              <w:t xml:space="preserve">. Noteikumu projekts paredz pozitīvu ietekmi uz tautsaimniecību, jo veicinās kreditēšanu. </w:t>
            </w:r>
          </w:p>
        </w:tc>
      </w:tr>
      <w:tr w:rsidR="004358C2" w:rsidRPr="00CD371F" w14:paraId="085E043D"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tcPr>
          <w:p w14:paraId="7D0DAD46" w14:textId="77777777" w:rsidR="004358C2" w:rsidRPr="00CD371F" w:rsidRDefault="004358C2" w:rsidP="004358C2">
            <w:pPr>
              <w:jc w:val="center"/>
              <w:rPr>
                <w:sz w:val="26"/>
                <w:szCs w:val="26"/>
              </w:rPr>
            </w:pPr>
            <w:r w:rsidRPr="00CD371F">
              <w:rPr>
                <w:sz w:val="26"/>
                <w:szCs w:val="26"/>
              </w:rPr>
              <w:lastRenderedPageBreak/>
              <w:t>3.</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10BD5A75" w14:textId="77777777" w:rsidR="004358C2" w:rsidRPr="00CD371F" w:rsidRDefault="004358C2" w:rsidP="004358C2">
            <w:pPr>
              <w:rPr>
                <w:color w:val="414142"/>
                <w:sz w:val="26"/>
                <w:szCs w:val="26"/>
              </w:rPr>
            </w:pPr>
            <w:r w:rsidRPr="00CD371F">
              <w:rPr>
                <w:sz w:val="26"/>
                <w:szCs w:val="26"/>
              </w:rPr>
              <w:t>Administratīvo izmaksu monetārs novērtējums</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B43F014" w14:textId="77777777" w:rsidR="004358C2" w:rsidRPr="00CD371F" w:rsidRDefault="004358C2" w:rsidP="004358C2">
            <w:pPr>
              <w:pStyle w:val="ListParagraph"/>
              <w:tabs>
                <w:tab w:val="left" w:pos="317"/>
              </w:tabs>
              <w:spacing w:before="60" w:after="60"/>
              <w:ind w:left="0"/>
              <w:jc w:val="both"/>
              <w:rPr>
                <w:sz w:val="26"/>
                <w:szCs w:val="26"/>
              </w:rPr>
            </w:pPr>
            <w:r w:rsidRPr="00CD371F">
              <w:rPr>
                <w:sz w:val="26"/>
                <w:szCs w:val="26"/>
              </w:rPr>
              <w:t xml:space="preserve">Sabiedrības </w:t>
            </w:r>
            <w:proofErr w:type="spellStart"/>
            <w:r w:rsidRPr="00CD371F">
              <w:rPr>
                <w:sz w:val="26"/>
                <w:szCs w:val="26"/>
              </w:rPr>
              <w:t>Altum</w:t>
            </w:r>
            <w:proofErr w:type="spellEnd"/>
            <w:r w:rsidRPr="00CD371F">
              <w:rPr>
                <w:sz w:val="26"/>
                <w:szCs w:val="26"/>
              </w:rPr>
              <w:t xml:space="preserve"> vadības izmaksas tiks finansētas atbilstoši sabiedrības </w:t>
            </w:r>
            <w:proofErr w:type="spellStart"/>
            <w:r w:rsidRPr="00CD371F">
              <w:rPr>
                <w:sz w:val="26"/>
                <w:szCs w:val="26"/>
              </w:rPr>
              <w:t>Altum</w:t>
            </w:r>
            <w:proofErr w:type="spellEnd"/>
            <w:r w:rsidRPr="00CD371F">
              <w:rPr>
                <w:sz w:val="26"/>
                <w:szCs w:val="26"/>
              </w:rPr>
              <w:t xml:space="preserve"> programmu pārvaldības izmaksu attiecināšanas metodikai.</w:t>
            </w:r>
          </w:p>
        </w:tc>
      </w:tr>
      <w:tr w:rsidR="00E734FC" w:rsidRPr="00CD371F" w14:paraId="11C035E3"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tcPr>
          <w:p w14:paraId="397FEA33" w14:textId="767D22F5" w:rsidR="00E734FC" w:rsidRPr="00CD371F" w:rsidRDefault="00E734FC" w:rsidP="004358C2">
            <w:pPr>
              <w:jc w:val="center"/>
              <w:rPr>
                <w:sz w:val="26"/>
                <w:szCs w:val="26"/>
              </w:rPr>
            </w:pPr>
            <w:r>
              <w:rPr>
                <w:sz w:val="26"/>
                <w:szCs w:val="26"/>
              </w:rPr>
              <w:t xml:space="preserve">4. </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7B4874AD" w14:textId="7E1082D3" w:rsidR="00E734FC" w:rsidRPr="00CD371F" w:rsidRDefault="00E734FC" w:rsidP="004358C2">
            <w:pPr>
              <w:rPr>
                <w:sz w:val="26"/>
                <w:szCs w:val="26"/>
              </w:rPr>
            </w:pPr>
            <w:r w:rsidRPr="00E734FC">
              <w:rPr>
                <w:sz w:val="26"/>
                <w:szCs w:val="26"/>
              </w:rPr>
              <w:t>Atbilstības izmaksu monetārs novērtējums</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5B0FBFF" w14:textId="09A4D44D" w:rsidR="00E734FC" w:rsidRPr="00CD371F" w:rsidRDefault="00E734FC" w:rsidP="004358C2">
            <w:pPr>
              <w:pStyle w:val="ListParagraph"/>
              <w:tabs>
                <w:tab w:val="left" w:pos="317"/>
              </w:tabs>
              <w:spacing w:before="60" w:after="60"/>
              <w:ind w:left="0"/>
              <w:jc w:val="both"/>
              <w:rPr>
                <w:sz w:val="26"/>
                <w:szCs w:val="26"/>
              </w:rPr>
            </w:pPr>
            <w:r>
              <w:rPr>
                <w:sz w:val="26"/>
                <w:szCs w:val="26"/>
              </w:rPr>
              <w:t>Nav attiecināms</w:t>
            </w:r>
          </w:p>
        </w:tc>
      </w:tr>
      <w:tr w:rsidR="00E734FC" w:rsidRPr="00CD371F" w14:paraId="4A3C8EA0" w14:textId="77777777" w:rsidTr="00FD0A1D">
        <w:tc>
          <w:tcPr>
            <w:tcW w:w="562" w:type="dxa"/>
            <w:tcBorders>
              <w:top w:val="single" w:sz="4" w:space="0" w:color="auto"/>
              <w:left w:val="single" w:sz="4" w:space="0" w:color="auto"/>
              <w:bottom w:val="single" w:sz="4" w:space="0" w:color="auto"/>
              <w:right w:val="single" w:sz="4" w:space="0" w:color="auto"/>
            </w:tcBorders>
            <w:shd w:val="clear" w:color="auto" w:fill="auto"/>
          </w:tcPr>
          <w:p w14:paraId="03B21995" w14:textId="0F38712F" w:rsidR="00E734FC" w:rsidRDefault="00E734FC" w:rsidP="00E734FC">
            <w:pPr>
              <w:jc w:val="center"/>
              <w:rPr>
                <w:sz w:val="26"/>
                <w:szCs w:val="26"/>
              </w:rPr>
            </w:pPr>
            <w:r>
              <w:rPr>
                <w:sz w:val="26"/>
                <w:szCs w:val="26"/>
              </w:rPr>
              <w:t xml:space="preserve">5. </w:t>
            </w:r>
          </w:p>
        </w:tc>
        <w:tc>
          <w:tcPr>
            <w:tcW w:w="2687" w:type="dxa"/>
            <w:tcBorders>
              <w:top w:val="single" w:sz="4" w:space="0" w:color="auto"/>
              <w:left w:val="single" w:sz="4" w:space="0" w:color="auto"/>
              <w:bottom w:val="single" w:sz="4" w:space="0" w:color="auto"/>
              <w:right w:val="single" w:sz="4" w:space="0" w:color="auto"/>
            </w:tcBorders>
            <w:shd w:val="clear" w:color="auto" w:fill="auto"/>
          </w:tcPr>
          <w:p w14:paraId="628C2837" w14:textId="2C5E183E" w:rsidR="00E734FC" w:rsidRPr="00E734FC" w:rsidRDefault="00E734FC" w:rsidP="00E734FC">
            <w:pPr>
              <w:rPr>
                <w:sz w:val="26"/>
                <w:szCs w:val="26"/>
              </w:rPr>
            </w:pPr>
            <w:r w:rsidRPr="00CD371F">
              <w:rPr>
                <w:sz w:val="26"/>
                <w:szCs w:val="26"/>
              </w:rPr>
              <w:t>Cita informācija</w:t>
            </w:r>
          </w:p>
        </w:tc>
        <w:tc>
          <w:tcPr>
            <w:tcW w:w="6082"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5EFC3F0" w14:textId="30D4D399" w:rsidR="00E734FC" w:rsidRPr="00CD371F" w:rsidRDefault="00E734FC" w:rsidP="00E734FC">
            <w:pPr>
              <w:pStyle w:val="ListParagraph"/>
              <w:tabs>
                <w:tab w:val="left" w:pos="317"/>
              </w:tabs>
              <w:spacing w:before="60" w:after="60"/>
              <w:ind w:left="0"/>
              <w:jc w:val="both"/>
              <w:rPr>
                <w:sz w:val="26"/>
                <w:szCs w:val="26"/>
              </w:rPr>
            </w:pPr>
            <w:r>
              <w:rPr>
                <w:bCs/>
                <w:sz w:val="26"/>
                <w:szCs w:val="26"/>
                <w:lang w:eastAsia="en-US"/>
              </w:rPr>
              <w:t>Nav</w:t>
            </w:r>
          </w:p>
        </w:tc>
      </w:tr>
    </w:tbl>
    <w:p w14:paraId="547D3A15" w14:textId="77777777" w:rsidR="00DF14FA" w:rsidRPr="00CD371F" w:rsidRDefault="00DF14FA" w:rsidP="001154C6">
      <w:pPr>
        <w:jc w:val="both"/>
        <w:rPr>
          <w:sz w:val="26"/>
          <w:szCs w:val="2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9571C3" w:rsidRPr="00CD371F" w14:paraId="5FFB599E" w14:textId="77777777" w:rsidTr="00FA631E">
        <w:trPr>
          <w:trHeight w:val="421"/>
        </w:trPr>
        <w:tc>
          <w:tcPr>
            <w:tcW w:w="9072" w:type="dxa"/>
            <w:vAlign w:val="center"/>
          </w:tcPr>
          <w:p w14:paraId="632A11D7" w14:textId="77777777" w:rsidR="009571C3" w:rsidRPr="00CD371F" w:rsidRDefault="009571C3" w:rsidP="009571C3">
            <w:pPr>
              <w:ind w:left="57" w:right="57"/>
              <w:jc w:val="center"/>
              <w:rPr>
                <w:rFonts w:eastAsia="Times New Roman"/>
                <w:sz w:val="26"/>
                <w:szCs w:val="26"/>
              </w:rPr>
            </w:pPr>
            <w:r w:rsidRPr="00CD371F">
              <w:rPr>
                <w:rFonts w:eastAsia="Times New Roman"/>
                <w:b/>
                <w:sz w:val="26"/>
                <w:szCs w:val="26"/>
              </w:rPr>
              <w:t>III. Tiesību akta projekta ietekme uz valsts budžetu un pašvaldību budžetiem</w:t>
            </w:r>
          </w:p>
        </w:tc>
      </w:tr>
      <w:tr w:rsidR="009571C3" w:rsidRPr="00CD371F" w14:paraId="3A0AE3F5" w14:textId="77777777" w:rsidTr="00FA631E">
        <w:trPr>
          <w:trHeight w:val="553"/>
        </w:trPr>
        <w:tc>
          <w:tcPr>
            <w:tcW w:w="9072" w:type="dxa"/>
          </w:tcPr>
          <w:p w14:paraId="48A9ED8C" w14:textId="77777777" w:rsidR="009571C3" w:rsidRPr="00CD371F" w:rsidRDefault="009571C3" w:rsidP="009571C3">
            <w:pPr>
              <w:shd w:val="clear" w:color="auto" w:fill="FFFFFF"/>
              <w:ind w:left="57" w:right="113"/>
              <w:jc w:val="center"/>
              <w:rPr>
                <w:sz w:val="26"/>
                <w:szCs w:val="26"/>
                <w:highlight w:val="yellow"/>
              </w:rPr>
            </w:pPr>
            <w:r w:rsidRPr="00CD371F">
              <w:rPr>
                <w:sz w:val="26"/>
                <w:szCs w:val="26"/>
              </w:rPr>
              <w:t>Noteikumu projekts šo jomu neskar.</w:t>
            </w:r>
          </w:p>
        </w:tc>
      </w:tr>
    </w:tbl>
    <w:p w14:paraId="4ED80E83" w14:textId="77777777" w:rsidR="009571C3" w:rsidRPr="00CD371F" w:rsidRDefault="009571C3" w:rsidP="001154C6">
      <w:pPr>
        <w:jc w:val="both"/>
        <w:rPr>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5499"/>
      </w:tblGrid>
      <w:tr w:rsidR="009571C3" w:rsidRPr="00CD371F" w14:paraId="23DFFDBD" w14:textId="77777777" w:rsidTr="00213149">
        <w:tc>
          <w:tcPr>
            <w:tcW w:w="9185" w:type="dxa"/>
            <w:gridSpan w:val="3"/>
            <w:shd w:val="clear" w:color="auto" w:fill="auto"/>
            <w:hideMark/>
          </w:tcPr>
          <w:p w14:paraId="51B18FA1" w14:textId="77777777" w:rsidR="009571C3" w:rsidRPr="00CD371F" w:rsidRDefault="009571C3" w:rsidP="009571C3">
            <w:pPr>
              <w:tabs>
                <w:tab w:val="left" w:pos="2268"/>
                <w:tab w:val="left" w:pos="2410"/>
              </w:tabs>
              <w:ind w:left="1080"/>
              <w:contextualSpacing/>
              <w:jc w:val="center"/>
              <w:rPr>
                <w:rFonts w:eastAsia="Times New Roman"/>
                <w:b/>
                <w:sz w:val="26"/>
                <w:szCs w:val="26"/>
                <w:lang w:eastAsia="en-US"/>
              </w:rPr>
            </w:pPr>
            <w:r w:rsidRPr="00CD371F">
              <w:rPr>
                <w:rFonts w:eastAsia="Times New Roman"/>
                <w:b/>
                <w:bCs/>
                <w:sz w:val="26"/>
                <w:szCs w:val="26"/>
              </w:rPr>
              <w:t>IV. Tiesību akta projekta ietekme uz spēkā esošo tiesību normu sistēmu</w:t>
            </w:r>
          </w:p>
        </w:tc>
      </w:tr>
      <w:tr w:rsidR="00006AF2" w:rsidRPr="00CD371F" w14:paraId="3C4149BA" w14:textId="77777777" w:rsidTr="00006AF2">
        <w:tc>
          <w:tcPr>
            <w:tcW w:w="567" w:type="dxa"/>
            <w:shd w:val="clear" w:color="auto" w:fill="auto"/>
          </w:tcPr>
          <w:p w14:paraId="73C47D1E" w14:textId="151D4067" w:rsidR="00006AF2" w:rsidRDefault="00006AF2" w:rsidP="003A53E7">
            <w:pPr>
              <w:tabs>
                <w:tab w:val="left" w:pos="317"/>
              </w:tabs>
              <w:spacing w:before="60" w:after="60"/>
              <w:ind w:left="34"/>
              <w:contextualSpacing/>
              <w:jc w:val="center"/>
              <w:rPr>
                <w:sz w:val="26"/>
                <w:szCs w:val="26"/>
              </w:rPr>
            </w:pPr>
            <w:r>
              <w:rPr>
                <w:sz w:val="26"/>
                <w:szCs w:val="26"/>
              </w:rPr>
              <w:t>1.</w:t>
            </w:r>
          </w:p>
        </w:tc>
        <w:tc>
          <w:tcPr>
            <w:tcW w:w="3119" w:type="dxa"/>
            <w:shd w:val="clear" w:color="auto" w:fill="auto"/>
          </w:tcPr>
          <w:p w14:paraId="5400EE8B" w14:textId="7911C900" w:rsidR="00006AF2" w:rsidRDefault="00006AF2" w:rsidP="00006AF2">
            <w:pPr>
              <w:tabs>
                <w:tab w:val="left" w:pos="317"/>
              </w:tabs>
              <w:spacing w:before="60" w:after="60"/>
              <w:ind w:left="34"/>
              <w:contextualSpacing/>
              <w:rPr>
                <w:sz w:val="26"/>
                <w:szCs w:val="26"/>
              </w:rPr>
            </w:pPr>
            <w:r>
              <w:t>Saistītie tiesību aktu projekti</w:t>
            </w:r>
          </w:p>
        </w:tc>
        <w:tc>
          <w:tcPr>
            <w:tcW w:w="5499" w:type="dxa"/>
            <w:shd w:val="clear" w:color="auto" w:fill="auto"/>
          </w:tcPr>
          <w:p w14:paraId="18A9918B" w14:textId="567E161A" w:rsidR="00006AF2" w:rsidRDefault="00006AF2" w:rsidP="00006AF2">
            <w:pPr>
              <w:tabs>
                <w:tab w:val="left" w:pos="317"/>
              </w:tabs>
              <w:spacing w:before="60" w:after="60"/>
              <w:ind w:left="34"/>
              <w:contextualSpacing/>
              <w:jc w:val="both"/>
              <w:rPr>
                <w:sz w:val="26"/>
                <w:szCs w:val="26"/>
              </w:rPr>
            </w:pPr>
            <w:r>
              <w:rPr>
                <w:sz w:val="26"/>
                <w:szCs w:val="26"/>
              </w:rPr>
              <w:t xml:space="preserve">MK noteikumu projekts virzāms pēc vai  vienlaicīgi ar grozījumiem </w:t>
            </w:r>
            <w:r w:rsidRPr="00C76907">
              <w:rPr>
                <w:sz w:val="26"/>
                <w:szCs w:val="26"/>
              </w:rPr>
              <w:t>Ministru kabineta 2016.gada 15.jūlija noteikumos Nr.469 "Noteikumi par paralēlajiem aizdevumiem saimnieciskās darbības veicējiem konkurētspējas uzlabošanai"</w:t>
            </w:r>
          </w:p>
        </w:tc>
      </w:tr>
      <w:tr w:rsidR="00006AF2" w:rsidRPr="00CD371F" w14:paraId="3E3EA3E0" w14:textId="77777777" w:rsidTr="00006AF2">
        <w:tc>
          <w:tcPr>
            <w:tcW w:w="567" w:type="dxa"/>
            <w:shd w:val="clear" w:color="auto" w:fill="auto"/>
          </w:tcPr>
          <w:p w14:paraId="6EFC1514" w14:textId="0E1AD7D3" w:rsidR="00006AF2" w:rsidRDefault="00006AF2" w:rsidP="003A53E7">
            <w:pPr>
              <w:tabs>
                <w:tab w:val="left" w:pos="317"/>
              </w:tabs>
              <w:spacing w:before="60" w:after="60"/>
              <w:ind w:left="34"/>
              <w:contextualSpacing/>
              <w:jc w:val="center"/>
              <w:rPr>
                <w:sz w:val="26"/>
                <w:szCs w:val="26"/>
              </w:rPr>
            </w:pPr>
            <w:r>
              <w:rPr>
                <w:sz w:val="26"/>
                <w:szCs w:val="26"/>
              </w:rPr>
              <w:t>2.</w:t>
            </w:r>
          </w:p>
        </w:tc>
        <w:tc>
          <w:tcPr>
            <w:tcW w:w="3119" w:type="dxa"/>
            <w:shd w:val="clear" w:color="auto" w:fill="auto"/>
          </w:tcPr>
          <w:p w14:paraId="57C197D0" w14:textId="394B914C" w:rsidR="00006AF2" w:rsidRDefault="00006AF2" w:rsidP="00006AF2">
            <w:pPr>
              <w:tabs>
                <w:tab w:val="left" w:pos="317"/>
              </w:tabs>
              <w:spacing w:before="60" w:after="60"/>
              <w:ind w:left="34"/>
              <w:contextualSpacing/>
              <w:rPr>
                <w:sz w:val="26"/>
                <w:szCs w:val="26"/>
              </w:rPr>
            </w:pPr>
            <w:r>
              <w:t>Atbildīgā institūcija</w:t>
            </w:r>
          </w:p>
        </w:tc>
        <w:tc>
          <w:tcPr>
            <w:tcW w:w="5499" w:type="dxa"/>
            <w:shd w:val="clear" w:color="auto" w:fill="auto"/>
          </w:tcPr>
          <w:p w14:paraId="3ED64C6C" w14:textId="07C4C3E4" w:rsidR="00006AF2" w:rsidRDefault="00006AF2" w:rsidP="00006AF2">
            <w:pPr>
              <w:tabs>
                <w:tab w:val="left" w:pos="317"/>
              </w:tabs>
              <w:spacing w:before="60" w:after="60"/>
              <w:ind w:left="34"/>
              <w:contextualSpacing/>
              <w:rPr>
                <w:sz w:val="26"/>
                <w:szCs w:val="26"/>
              </w:rPr>
            </w:pPr>
            <w:r>
              <w:rPr>
                <w:sz w:val="26"/>
                <w:szCs w:val="26"/>
              </w:rPr>
              <w:t>Ekonomikas ministrija</w:t>
            </w:r>
          </w:p>
        </w:tc>
      </w:tr>
      <w:tr w:rsidR="00006AF2" w:rsidRPr="00CD371F" w14:paraId="44AE685F" w14:textId="77777777" w:rsidTr="00006AF2">
        <w:tc>
          <w:tcPr>
            <w:tcW w:w="567" w:type="dxa"/>
            <w:shd w:val="clear" w:color="auto" w:fill="auto"/>
          </w:tcPr>
          <w:p w14:paraId="2C84DFD7" w14:textId="59FD49FB" w:rsidR="00006AF2" w:rsidRDefault="00006AF2" w:rsidP="003A53E7">
            <w:pPr>
              <w:tabs>
                <w:tab w:val="left" w:pos="317"/>
              </w:tabs>
              <w:spacing w:before="60" w:after="60"/>
              <w:ind w:left="34"/>
              <w:contextualSpacing/>
              <w:jc w:val="center"/>
              <w:rPr>
                <w:sz w:val="26"/>
                <w:szCs w:val="26"/>
              </w:rPr>
            </w:pPr>
            <w:r>
              <w:rPr>
                <w:sz w:val="26"/>
                <w:szCs w:val="26"/>
              </w:rPr>
              <w:t>3.</w:t>
            </w:r>
          </w:p>
        </w:tc>
        <w:tc>
          <w:tcPr>
            <w:tcW w:w="3119" w:type="dxa"/>
            <w:shd w:val="clear" w:color="auto" w:fill="auto"/>
          </w:tcPr>
          <w:p w14:paraId="008C08BC" w14:textId="39077CDA" w:rsidR="00006AF2" w:rsidRDefault="00006AF2" w:rsidP="00006AF2">
            <w:pPr>
              <w:tabs>
                <w:tab w:val="left" w:pos="317"/>
              </w:tabs>
              <w:spacing w:before="60" w:after="60"/>
              <w:ind w:left="34"/>
              <w:contextualSpacing/>
              <w:rPr>
                <w:sz w:val="26"/>
                <w:szCs w:val="26"/>
              </w:rPr>
            </w:pPr>
            <w:r>
              <w:t>Cita informācija</w:t>
            </w:r>
          </w:p>
        </w:tc>
        <w:tc>
          <w:tcPr>
            <w:tcW w:w="5499" w:type="dxa"/>
            <w:shd w:val="clear" w:color="auto" w:fill="auto"/>
          </w:tcPr>
          <w:p w14:paraId="19935847" w14:textId="38226D3D" w:rsidR="00006AF2" w:rsidRDefault="00006AF2" w:rsidP="00006AF2">
            <w:pPr>
              <w:tabs>
                <w:tab w:val="left" w:pos="317"/>
              </w:tabs>
              <w:spacing w:before="60" w:after="60"/>
              <w:ind w:left="34"/>
              <w:contextualSpacing/>
              <w:rPr>
                <w:sz w:val="26"/>
                <w:szCs w:val="26"/>
              </w:rPr>
            </w:pPr>
            <w:r>
              <w:rPr>
                <w:sz w:val="26"/>
                <w:szCs w:val="26"/>
              </w:rPr>
              <w:t>Nav.</w:t>
            </w:r>
          </w:p>
        </w:tc>
      </w:tr>
    </w:tbl>
    <w:p w14:paraId="3A0302CF" w14:textId="77777777" w:rsidR="00CD371F" w:rsidRPr="00CD371F" w:rsidRDefault="00CD371F" w:rsidP="00CD371F">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26"/>
        <w:gridCol w:w="2613"/>
        <w:gridCol w:w="6175"/>
      </w:tblGrid>
      <w:tr w:rsidR="00CD371F" w:rsidRPr="00CD371F" w14:paraId="3C964CD8" w14:textId="77777777" w:rsidTr="00CD371F">
        <w:trPr>
          <w:trHeight w:val="421"/>
        </w:trPr>
        <w:tc>
          <w:tcPr>
            <w:tcW w:w="9214" w:type="dxa"/>
            <w:gridSpan w:val="3"/>
            <w:vAlign w:val="center"/>
          </w:tcPr>
          <w:p w14:paraId="208F82B6" w14:textId="77777777" w:rsidR="00CD371F" w:rsidRPr="00CD371F" w:rsidRDefault="00CD371F" w:rsidP="00CD371F">
            <w:pPr>
              <w:jc w:val="both"/>
              <w:rPr>
                <w:sz w:val="26"/>
                <w:szCs w:val="26"/>
              </w:rPr>
            </w:pPr>
            <w:r w:rsidRPr="00CD371F">
              <w:rPr>
                <w:b/>
                <w:sz w:val="26"/>
                <w:szCs w:val="26"/>
              </w:rPr>
              <w:t>V. Tiesību akta projekta atbilstība Latvijas Republikas starptautiskajām saistībām</w:t>
            </w:r>
          </w:p>
        </w:tc>
      </w:tr>
      <w:tr w:rsidR="00CD371F" w:rsidRPr="00CD371F" w14:paraId="16CB1FD9" w14:textId="77777777" w:rsidTr="00CD371F">
        <w:trPr>
          <w:trHeight w:val="553"/>
        </w:trPr>
        <w:tc>
          <w:tcPr>
            <w:tcW w:w="426" w:type="dxa"/>
          </w:tcPr>
          <w:p w14:paraId="6D0ED44E" w14:textId="77777777" w:rsidR="00CD371F" w:rsidRPr="00CD371F" w:rsidRDefault="00CD371F" w:rsidP="00CD371F">
            <w:pPr>
              <w:jc w:val="both"/>
              <w:rPr>
                <w:sz w:val="26"/>
                <w:szCs w:val="26"/>
              </w:rPr>
            </w:pPr>
            <w:r w:rsidRPr="00CD371F">
              <w:rPr>
                <w:sz w:val="26"/>
                <w:szCs w:val="26"/>
              </w:rPr>
              <w:t>1.</w:t>
            </w:r>
          </w:p>
        </w:tc>
        <w:tc>
          <w:tcPr>
            <w:tcW w:w="2613" w:type="dxa"/>
          </w:tcPr>
          <w:p w14:paraId="6CF3AC5E" w14:textId="77777777" w:rsidR="00CD371F" w:rsidRPr="00CD371F" w:rsidRDefault="00CD371F" w:rsidP="00CD371F">
            <w:pPr>
              <w:jc w:val="both"/>
              <w:rPr>
                <w:sz w:val="26"/>
                <w:szCs w:val="26"/>
              </w:rPr>
            </w:pPr>
            <w:r w:rsidRPr="00CD371F">
              <w:rPr>
                <w:sz w:val="26"/>
                <w:szCs w:val="26"/>
              </w:rPr>
              <w:t>Saistības pret Eiropas Savienību</w:t>
            </w:r>
          </w:p>
        </w:tc>
        <w:tc>
          <w:tcPr>
            <w:tcW w:w="6175" w:type="dxa"/>
          </w:tcPr>
          <w:p w14:paraId="5B28920D" w14:textId="77777777" w:rsidR="00CD371F" w:rsidRPr="00CD371F" w:rsidRDefault="00CD371F" w:rsidP="00CD371F">
            <w:pPr>
              <w:jc w:val="both"/>
              <w:rPr>
                <w:sz w:val="26"/>
                <w:szCs w:val="26"/>
              </w:rPr>
            </w:pPr>
            <w:r w:rsidRPr="00CD371F">
              <w:rPr>
                <w:sz w:val="26"/>
                <w:szCs w:val="26"/>
              </w:rPr>
              <w:t xml:space="preserve">Ar noteikumu projektu tiks ieviestas prasības no šādiem Eiropas Savienības tiesību aktiem: </w:t>
            </w:r>
          </w:p>
          <w:p w14:paraId="3E77D8F6" w14:textId="433119F2" w:rsidR="00CD371F" w:rsidRPr="00CA2734" w:rsidRDefault="00CD371F" w:rsidP="00CD371F">
            <w:pPr>
              <w:numPr>
                <w:ilvl w:val="0"/>
                <w:numId w:val="34"/>
              </w:numPr>
              <w:jc w:val="both"/>
              <w:rPr>
                <w:sz w:val="26"/>
                <w:szCs w:val="26"/>
              </w:rPr>
            </w:pPr>
            <w:r w:rsidRPr="00CD371F">
              <w:rPr>
                <w:sz w:val="26"/>
                <w:szCs w:val="26"/>
              </w:rPr>
              <w:t>Regula Nr.1407/2013</w:t>
            </w:r>
            <w:r w:rsidR="00692A9F">
              <w:rPr>
                <w:sz w:val="26"/>
                <w:szCs w:val="26"/>
              </w:rPr>
              <w:t xml:space="preserve"> </w:t>
            </w:r>
            <w:r w:rsidR="00692A9F" w:rsidRPr="00692A9F">
              <w:rPr>
                <w:sz w:val="26"/>
                <w:szCs w:val="26"/>
              </w:rPr>
              <w:t xml:space="preserve">par Līguma par Eiropas Savienības darbību 107. un 108. panta piemērošanu </w:t>
            </w:r>
            <w:proofErr w:type="spellStart"/>
            <w:r w:rsidR="00692A9F" w:rsidRPr="00692A9F">
              <w:rPr>
                <w:sz w:val="26"/>
                <w:szCs w:val="26"/>
              </w:rPr>
              <w:t>de</w:t>
            </w:r>
            <w:proofErr w:type="spellEnd"/>
            <w:r w:rsidR="00692A9F" w:rsidRPr="00692A9F">
              <w:rPr>
                <w:sz w:val="26"/>
                <w:szCs w:val="26"/>
              </w:rPr>
              <w:t xml:space="preserve"> </w:t>
            </w:r>
            <w:proofErr w:type="spellStart"/>
            <w:r w:rsidR="00692A9F" w:rsidRPr="00692A9F">
              <w:rPr>
                <w:sz w:val="26"/>
                <w:szCs w:val="26"/>
              </w:rPr>
              <w:t>minimis</w:t>
            </w:r>
            <w:proofErr w:type="spellEnd"/>
            <w:r w:rsidR="00692A9F" w:rsidRPr="00692A9F">
              <w:rPr>
                <w:sz w:val="26"/>
                <w:szCs w:val="26"/>
              </w:rPr>
              <w:t xml:space="preserve"> atbalstam</w:t>
            </w:r>
          </w:p>
        </w:tc>
      </w:tr>
      <w:tr w:rsidR="00CD371F" w:rsidRPr="00CD371F" w14:paraId="2687B553" w14:textId="77777777" w:rsidTr="00CD371F">
        <w:trPr>
          <w:trHeight w:val="339"/>
        </w:trPr>
        <w:tc>
          <w:tcPr>
            <w:tcW w:w="426" w:type="dxa"/>
          </w:tcPr>
          <w:p w14:paraId="09919071" w14:textId="77777777" w:rsidR="00CD371F" w:rsidRPr="00CD371F" w:rsidRDefault="00CD371F" w:rsidP="00CD371F">
            <w:pPr>
              <w:jc w:val="both"/>
              <w:rPr>
                <w:sz w:val="26"/>
                <w:szCs w:val="26"/>
              </w:rPr>
            </w:pPr>
            <w:r w:rsidRPr="00CD371F">
              <w:rPr>
                <w:sz w:val="26"/>
                <w:szCs w:val="26"/>
              </w:rPr>
              <w:t>2.</w:t>
            </w:r>
          </w:p>
        </w:tc>
        <w:tc>
          <w:tcPr>
            <w:tcW w:w="2613" w:type="dxa"/>
          </w:tcPr>
          <w:p w14:paraId="305EF2E7" w14:textId="77777777" w:rsidR="00CD371F" w:rsidRPr="00CD371F" w:rsidRDefault="00CD371F" w:rsidP="00CD371F">
            <w:pPr>
              <w:jc w:val="both"/>
              <w:rPr>
                <w:sz w:val="26"/>
                <w:szCs w:val="26"/>
              </w:rPr>
            </w:pPr>
            <w:r w:rsidRPr="00CD371F">
              <w:rPr>
                <w:sz w:val="26"/>
                <w:szCs w:val="26"/>
              </w:rPr>
              <w:t>Citas starptautiskās saistības</w:t>
            </w:r>
          </w:p>
        </w:tc>
        <w:tc>
          <w:tcPr>
            <w:tcW w:w="6175" w:type="dxa"/>
          </w:tcPr>
          <w:p w14:paraId="45995611" w14:textId="77777777" w:rsidR="00CD371F" w:rsidRPr="00CD371F" w:rsidRDefault="00CD371F" w:rsidP="00CD371F">
            <w:pPr>
              <w:jc w:val="both"/>
              <w:rPr>
                <w:sz w:val="26"/>
                <w:szCs w:val="26"/>
              </w:rPr>
            </w:pPr>
            <w:r w:rsidRPr="00CD371F">
              <w:rPr>
                <w:sz w:val="26"/>
                <w:szCs w:val="26"/>
              </w:rPr>
              <w:t>Projekts šo jomu neskar.</w:t>
            </w:r>
          </w:p>
        </w:tc>
      </w:tr>
      <w:tr w:rsidR="00CD371F" w:rsidRPr="00CD371F" w14:paraId="05B12835" w14:textId="77777777" w:rsidTr="00CD371F">
        <w:trPr>
          <w:trHeight w:val="476"/>
        </w:trPr>
        <w:tc>
          <w:tcPr>
            <w:tcW w:w="426" w:type="dxa"/>
          </w:tcPr>
          <w:p w14:paraId="3F440140" w14:textId="77777777" w:rsidR="00CD371F" w:rsidRPr="00CD371F" w:rsidRDefault="00CD371F" w:rsidP="00CD371F">
            <w:pPr>
              <w:jc w:val="both"/>
              <w:rPr>
                <w:sz w:val="26"/>
                <w:szCs w:val="26"/>
              </w:rPr>
            </w:pPr>
            <w:r w:rsidRPr="00CD371F">
              <w:rPr>
                <w:sz w:val="26"/>
                <w:szCs w:val="26"/>
              </w:rPr>
              <w:t>3.</w:t>
            </w:r>
          </w:p>
        </w:tc>
        <w:tc>
          <w:tcPr>
            <w:tcW w:w="2613" w:type="dxa"/>
          </w:tcPr>
          <w:p w14:paraId="2EF0D4C2" w14:textId="77777777" w:rsidR="00CD371F" w:rsidRPr="00CD371F" w:rsidRDefault="00CD371F" w:rsidP="00CD371F">
            <w:pPr>
              <w:jc w:val="both"/>
              <w:rPr>
                <w:sz w:val="26"/>
                <w:szCs w:val="26"/>
              </w:rPr>
            </w:pPr>
            <w:r w:rsidRPr="00CD371F">
              <w:rPr>
                <w:sz w:val="26"/>
                <w:szCs w:val="26"/>
              </w:rPr>
              <w:t>Cita informācija</w:t>
            </w:r>
          </w:p>
        </w:tc>
        <w:tc>
          <w:tcPr>
            <w:tcW w:w="6175" w:type="dxa"/>
          </w:tcPr>
          <w:p w14:paraId="681EEE84" w14:textId="77777777" w:rsidR="00CD371F" w:rsidRPr="00CD371F" w:rsidRDefault="00CD371F" w:rsidP="00CD371F">
            <w:pPr>
              <w:jc w:val="both"/>
              <w:rPr>
                <w:sz w:val="26"/>
                <w:szCs w:val="26"/>
              </w:rPr>
            </w:pPr>
            <w:r w:rsidRPr="00CD371F">
              <w:rPr>
                <w:sz w:val="26"/>
                <w:szCs w:val="26"/>
              </w:rPr>
              <w:t xml:space="preserve">Nav. </w:t>
            </w:r>
          </w:p>
        </w:tc>
      </w:tr>
    </w:tbl>
    <w:p w14:paraId="78601C18" w14:textId="77777777" w:rsidR="00CD371F" w:rsidRPr="00CD371F" w:rsidRDefault="00CD371F" w:rsidP="00CD371F">
      <w:pPr>
        <w:jc w:val="both"/>
        <w:rPr>
          <w:sz w:val="26"/>
          <w:szCs w:val="26"/>
        </w:rPr>
      </w:pPr>
    </w:p>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639"/>
        <w:gridCol w:w="2409"/>
        <w:gridCol w:w="2863"/>
      </w:tblGrid>
      <w:tr w:rsidR="00CD371F" w:rsidRPr="00CD371F" w14:paraId="3FD2E6F9" w14:textId="77777777" w:rsidTr="0098032E">
        <w:tc>
          <w:tcPr>
            <w:tcW w:w="9208" w:type="dxa"/>
            <w:gridSpan w:val="4"/>
            <w:tcBorders>
              <w:top w:val="single" w:sz="4" w:space="0" w:color="000000"/>
              <w:left w:val="single" w:sz="4" w:space="0" w:color="000000"/>
              <w:bottom w:val="single" w:sz="4" w:space="0" w:color="000000"/>
              <w:right w:val="single" w:sz="4" w:space="0" w:color="000000"/>
            </w:tcBorders>
          </w:tcPr>
          <w:p w14:paraId="1A22B052" w14:textId="77777777" w:rsidR="00CD371F" w:rsidRPr="00CD371F" w:rsidRDefault="00CD371F" w:rsidP="00CD371F">
            <w:pPr>
              <w:jc w:val="both"/>
              <w:rPr>
                <w:sz w:val="26"/>
                <w:szCs w:val="26"/>
              </w:rPr>
            </w:pPr>
            <w:r w:rsidRPr="00CD371F">
              <w:rPr>
                <w:b/>
                <w:sz w:val="26"/>
                <w:szCs w:val="26"/>
              </w:rPr>
              <w:t>1.tabula. Tiesību akta projekta atbilstība ES tiesību aktiem</w:t>
            </w:r>
          </w:p>
        </w:tc>
      </w:tr>
      <w:tr w:rsidR="00CD371F" w:rsidRPr="00CD371F" w14:paraId="16B7B438" w14:textId="77777777" w:rsidTr="00CD6DFD">
        <w:tc>
          <w:tcPr>
            <w:tcW w:w="2297" w:type="dxa"/>
            <w:tcBorders>
              <w:top w:val="single" w:sz="4" w:space="0" w:color="000000"/>
              <w:left w:val="single" w:sz="4" w:space="0" w:color="000000"/>
              <w:bottom w:val="single" w:sz="4" w:space="0" w:color="000000"/>
              <w:right w:val="single" w:sz="4" w:space="0" w:color="000000"/>
            </w:tcBorders>
          </w:tcPr>
          <w:p w14:paraId="18F3A63E" w14:textId="77777777" w:rsidR="00CD371F" w:rsidRPr="00CD371F" w:rsidRDefault="00CD371F" w:rsidP="00CD371F">
            <w:pPr>
              <w:jc w:val="both"/>
              <w:rPr>
                <w:sz w:val="26"/>
                <w:szCs w:val="26"/>
              </w:rPr>
            </w:pPr>
            <w:r w:rsidRPr="00CD371F">
              <w:rPr>
                <w:sz w:val="26"/>
                <w:szCs w:val="26"/>
              </w:rPr>
              <w:t>Attiecīgā ES tiesību akta datums, numurs un nosaukums</w:t>
            </w:r>
          </w:p>
        </w:tc>
        <w:tc>
          <w:tcPr>
            <w:tcW w:w="6911" w:type="dxa"/>
            <w:gridSpan w:val="3"/>
            <w:tcBorders>
              <w:top w:val="single" w:sz="4" w:space="0" w:color="000000"/>
              <w:left w:val="single" w:sz="4" w:space="0" w:color="000000"/>
              <w:bottom w:val="single" w:sz="4" w:space="0" w:color="000000"/>
              <w:right w:val="single" w:sz="4" w:space="0" w:color="000000"/>
            </w:tcBorders>
            <w:shd w:val="clear" w:color="auto" w:fill="auto"/>
          </w:tcPr>
          <w:p w14:paraId="563D4C73" w14:textId="06E7D6F6" w:rsidR="00CD371F" w:rsidRPr="00CD6DFD" w:rsidRDefault="00CD371F" w:rsidP="00CD371F">
            <w:pPr>
              <w:jc w:val="both"/>
              <w:rPr>
                <w:sz w:val="26"/>
                <w:szCs w:val="26"/>
              </w:rPr>
            </w:pPr>
            <w:r w:rsidRPr="00CD6DFD">
              <w:rPr>
                <w:sz w:val="26"/>
                <w:szCs w:val="26"/>
              </w:rPr>
              <w:t>Ar normatīvo aktu tiek ieviesta:</w:t>
            </w:r>
          </w:p>
          <w:p w14:paraId="08AAACE6" w14:textId="1437E14D" w:rsidR="00CD371F" w:rsidRPr="00CD371F" w:rsidRDefault="00B302E6" w:rsidP="00CD371F">
            <w:pPr>
              <w:numPr>
                <w:ilvl w:val="0"/>
                <w:numId w:val="35"/>
              </w:numPr>
              <w:jc w:val="both"/>
              <w:rPr>
                <w:sz w:val="26"/>
                <w:szCs w:val="26"/>
              </w:rPr>
            </w:pPr>
            <w:r w:rsidRPr="00CD6DFD">
              <w:rPr>
                <w:sz w:val="26"/>
                <w:szCs w:val="26"/>
              </w:rPr>
              <w:t xml:space="preserve">Regula Nr.1407/2013 par Līguma par Eiropas Savienības darbību 107. un 108. panta piemērošanu </w:t>
            </w:r>
            <w:proofErr w:type="spellStart"/>
            <w:r w:rsidRPr="00CD6DFD">
              <w:rPr>
                <w:sz w:val="26"/>
                <w:szCs w:val="26"/>
              </w:rPr>
              <w:t>de</w:t>
            </w:r>
            <w:proofErr w:type="spellEnd"/>
            <w:r w:rsidRPr="00CD6DFD">
              <w:rPr>
                <w:sz w:val="26"/>
                <w:szCs w:val="26"/>
              </w:rPr>
              <w:t xml:space="preserve"> </w:t>
            </w:r>
            <w:proofErr w:type="spellStart"/>
            <w:r w:rsidRPr="00CD6DFD">
              <w:rPr>
                <w:sz w:val="26"/>
                <w:szCs w:val="26"/>
              </w:rPr>
              <w:t>minimis</w:t>
            </w:r>
            <w:proofErr w:type="spellEnd"/>
            <w:r w:rsidRPr="00CD6DFD">
              <w:rPr>
                <w:sz w:val="26"/>
                <w:szCs w:val="26"/>
              </w:rPr>
              <w:t xml:space="preserve"> atbalstam</w:t>
            </w:r>
            <w:r w:rsidRPr="00CD371F" w:rsidDel="00B302E6">
              <w:rPr>
                <w:sz w:val="26"/>
                <w:szCs w:val="26"/>
              </w:rPr>
              <w:t xml:space="preserve"> </w:t>
            </w:r>
          </w:p>
        </w:tc>
      </w:tr>
      <w:tr w:rsidR="00CD371F" w:rsidRPr="00CD371F" w14:paraId="19C976F2" w14:textId="77777777" w:rsidTr="0098032E">
        <w:tc>
          <w:tcPr>
            <w:tcW w:w="2297" w:type="dxa"/>
            <w:tcBorders>
              <w:top w:val="single" w:sz="4" w:space="0" w:color="000000"/>
              <w:left w:val="single" w:sz="4" w:space="0" w:color="000000"/>
              <w:bottom w:val="single" w:sz="4" w:space="0" w:color="000000"/>
              <w:right w:val="single" w:sz="4" w:space="0" w:color="000000"/>
            </w:tcBorders>
          </w:tcPr>
          <w:p w14:paraId="208998D2" w14:textId="77777777" w:rsidR="00CD371F" w:rsidRPr="00CD371F" w:rsidRDefault="00CD371F" w:rsidP="00CD371F">
            <w:pPr>
              <w:jc w:val="both"/>
              <w:rPr>
                <w:sz w:val="26"/>
                <w:szCs w:val="26"/>
              </w:rPr>
            </w:pPr>
            <w:r w:rsidRPr="00CD371F">
              <w:rPr>
                <w:sz w:val="26"/>
                <w:szCs w:val="26"/>
              </w:rPr>
              <w:t>A</w:t>
            </w:r>
          </w:p>
        </w:tc>
        <w:tc>
          <w:tcPr>
            <w:tcW w:w="1639" w:type="dxa"/>
            <w:tcBorders>
              <w:top w:val="single" w:sz="4" w:space="0" w:color="000000"/>
              <w:left w:val="single" w:sz="4" w:space="0" w:color="000000"/>
              <w:bottom w:val="single" w:sz="4" w:space="0" w:color="000000"/>
              <w:right w:val="single" w:sz="4" w:space="0" w:color="000000"/>
            </w:tcBorders>
          </w:tcPr>
          <w:p w14:paraId="59B866E9" w14:textId="77777777" w:rsidR="00CD371F" w:rsidRPr="00CD371F" w:rsidRDefault="00CD371F" w:rsidP="00CD371F">
            <w:pPr>
              <w:jc w:val="both"/>
              <w:rPr>
                <w:sz w:val="26"/>
                <w:szCs w:val="26"/>
              </w:rPr>
            </w:pPr>
            <w:r w:rsidRPr="00CD371F">
              <w:rPr>
                <w:sz w:val="26"/>
                <w:szCs w:val="26"/>
              </w:rPr>
              <w:t>B</w:t>
            </w:r>
          </w:p>
        </w:tc>
        <w:tc>
          <w:tcPr>
            <w:tcW w:w="2409" w:type="dxa"/>
            <w:tcBorders>
              <w:top w:val="single" w:sz="4" w:space="0" w:color="000000"/>
              <w:left w:val="single" w:sz="4" w:space="0" w:color="000000"/>
              <w:bottom w:val="single" w:sz="4" w:space="0" w:color="000000"/>
              <w:right w:val="single" w:sz="4" w:space="0" w:color="000000"/>
            </w:tcBorders>
          </w:tcPr>
          <w:p w14:paraId="1250E272" w14:textId="77777777" w:rsidR="00CD371F" w:rsidRPr="00CD371F" w:rsidRDefault="00CD371F" w:rsidP="00CD371F">
            <w:pPr>
              <w:jc w:val="both"/>
              <w:rPr>
                <w:sz w:val="26"/>
                <w:szCs w:val="26"/>
              </w:rPr>
            </w:pPr>
            <w:r w:rsidRPr="00CD371F">
              <w:rPr>
                <w:sz w:val="26"/>
                <w:szCs w:val="26"/>
              </w:rPr>
              <w:t>C</w:t>
            </w:r>
          </w:p>
        </w:tc>
        <w:tc>
          <w:tcPr>
            <w:tcW w:w="2863" w:type="dxa"/>
            <w:tcBorders>
              <w:top w:val="single" w:sz="4" w:space="0" w:color="000000"/>
              <w:left w:val="single" w:sz="4" w:space="0" w:color="000000"/>
              <w:bottom w:val="single" w:sz="4" w:space="0" w:color="000000"/>
              <w:right w:val="single" w:sz="4" w:space="0" w:color="000000"/>
            </w:tcBorders>
          </w:tcPr>
          <w:p w14:paraId="440BF52C" w14:textId="77777777" w:rsidR="00CD371F" w:rsidRPr="00CD371F" w:rsidRDefault="00CD371F" w:rsidP="00CD371F">
            <w:pPr>
              <w:jc w:val="both"/>
              <w:rPr>
                <w:sz w:val="26"/>
                <w:szCs w:val="26"/>
              </w:rPr>
            </w:pPr>
            <w:r w:rsidRPr="00CD371F">
              <w:rPr>
                <w:sz w:val="26"/>
                <w:szCs w:val="26"/>
              </w:rPr>
              <w:t>D</w:t>
            </w:r>
          </w:p>
        </w:tc>
      </w:tr>
      <w:tr w:rsidR="00CD371F" w:rsidRPr="00CD371F" w14:paraId="2B744A97" w14:textId="77777777" w:rsidTr="00CD6DFD">
        <w:tc>
          <w:tcPr>
            <w:tcW w:w="2297" w:type="dxa"/>
            <w:tcBorders>
              <w:top w:val="single" w:sz="4" w:space="0" w:color="000000"/>
              <w:left w:val="single" w:sz="4" w:space="0" w:color="000000"/>
              <w:bottom w:val="single" w:sz="4" w:space="0" w:color="000000"/>
              <w:right w:val="single" w:sz="4" w:space="0" w:color="000000"/>
            </w:tcBorders>
          </w:tcPr>
          <w:p w14:paraId="60E4F336" w14:textId="77777777" w:rsidR="00CD371F" w:rsidRPr="00CD371F" w:rsidRDefault="00CD371F" w:rsidP="00CD371F">
            <w:pPr>
              <w:jc w:val="both"/>
              <w:rPr>
                <w:i/>
                <w:sz w:val="26"/>
                <w:szCs w:val="26"/>
              </w:rPr>
            </w:pPr>
            <w:r w:rsidRPr="00CD371F">
              <w:rPr>
                <w:i/>
                <w:sz w:val="26"/>
                <w:szCs w:val="26"/>
              </w:rPr>
              <w:t xml:space="preserve">Attiecīgā ES tiesību akta panta numurs (uzskaitot katru tiesību akta </w:t>
            </w:r>
            <w:r w:rsidRPr="00CD371F">
              <w:rPr>
                <w:i/>
                <w:sz w:val="26"/>
                <w:szCs w:val="26"/>
              </w:rPr>
              <w:br/>
              <w:t xml:space="preserve">vienību – pantu, </w:t>
            </w:r>
            <w:r w:rsidRPr="00CD371F">
              <w:rPr>
                <w:i/>
                <w:sz w:val="26"/>
                <w:szCs w:val="26"/>
              </w:rPr>
              <w:lastRenderedPageBreak/>
              <w:t>daļu, punktu, apakšpunktu)</w:t>
            </w:r>
          </w:p>
        </w:tc>
        <w:tc>
          <w:tcPr>
            <w:tcW w:w="1639" w:type="dxa"/>
            <w:tcBorders>
              <w:top w:val="single" w:sz="4" w:space="0" w:color="000000"/>
              <w:left w:val="single" w:sz="4" w:space="0" w:color="000000"/>
              <w:bottom w:val="single" w:sz="4" w:space="0" w:color="000000"/>
              <w:right w:val="single" w:sz="4" w:space="0" w:color="000000"/>
            </w:tcBorders>
          </w:tcPr>
          <w:p w14:paraId="4A533B87" w14:textId="77777777" w:rsidR="00CD371F" w:rsidRPr="00CD371F" w:rsidRDefault="00CD371F" w:rsidP="00CD371F">
            <w:pPr>
              <w:jc w:val="both"/>
              <w:rPr>
                <w:i/>
                <w:sz w:val="26"/>
                <w:szCs w:val="26"/>
              </w:rPr>
            </w:pPr>
            <w:r w:rsidRPr="00CD371F">
              <w:rPr>
                <w:i/>
                <w:sz w:val="26"/>
                <w:szCs w:val="26"/>
              </w:rPr>
              <w:lastRenderedPageBreak/>
              <w:t xml:space="preserve">Projekta vienība, kas pārņem vai ievieš katru šīs tabulas A </w:t>
            </w:r>
            <w:r w:rsidRPr="00CD371F">
              <w:rPr>
                <w:i/>
                <w:sz w:val="26"/>
                <w:szCs w:val="26"/>
              </w:rPr>
              <w:lastRenderedPageBreak/>
              <w:t>ailē minēto ES tiesību akta vienību, vai tiesību akts, kur attiecīgā ES tiesību akta vienība pārņemta vai ieviesta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1F8CDF" w14:textId="77777777" w:rsidR="00CD371F" w:rsidRPr="00CD371F" w:rsidRDefault="00CD371F" w:rsidP="00CD371F">
            <w:pPr>
              <w:jc w:val="both"/>
              <w:rPr>
                <w:i/>
                <w:sz w:val="26"/>
                <w:szCs w:val="26"/>
              </w:rPr>
            </w:pPr>
            <w:r w:rsidRPr="00CD371F">
              <w:rPr>
                <w:i/>
                <w:sz w:val="26"/>
                <w:szCs w:val="26"/>
              </w:rPr>
              <w:lastRenderedPageBreak/>
              <w:t xml:space="preserve">Informācija par to, vai šīs tabulas A ailē minētās ES tiesību akta vienības tiek pārņemtas vai </w:t>
            </w:r>
            <w:r w:rsidRPr="00CD371F">
              <w:rPr>
                <w:i/>
                <w:sz w:val="26"/>
                <w:szCs w:val="26"/>
              </w:rPr>
              <w:lastRenderedPageBreak/>
              <w:t>ieviestas pilnībā vai daļēji.</w:t>
            </w:r>
          </w:p>
          <w:p w14:paraId="336C3741" w14:textId="77777777" w:rsidR="00CD371F" w:rsidRPr="00CD371F" w:rsidRDefault="00CD371F" w:rsidP="00CD371F">
            <w:pPr>
              <w:jc w:val="both"/>
              <w:rPr>
                <w:i/>
                <w:sz w:val="26"/>
                <w:szCs w:val="26"/>
              </w:rPr>
            </w:pPr>
            <w:r w:rsidRPr="00CD371F">
              <w:rPr>
                <w:i/>
                <w:sz w:val="26"/>
                <w:szCs w:val="26"/>
              </w:rPr>
              <w:t>Ja attiecīgā ES tiesību akta vienība tiek pārņemta vai ieviesta daļēji, – sniedz attiecīgu skaidrojumu, kā arī precīzi norāda, kad un kādā veidā ES tiesību akta vienība tiks pārņemta vai ieviesta pilnībā.</w:t>
            </w:r>
          </w:p>
          <w:p w14:paraId="59909659" w14:textId="77777777" w:rsidR="00CD371F" w:rsidRPr="00CD371F" w:rsidRDefault="00CD371F" w:rsidP="00CD371F">
            <w:pPr>
              <w:jc w:val="both"/>
              <w:rPr>
                <w:i/>
                <w:sz w:val="26"/>
                <w:szCs w:val="26"/>
              </w:rPr>
            </w:pPr>
            <w:r w:rsidRPr="00CD371F">
              <w:rPr>
                <w:i/>
                <w:sz w:val="26"/>
                <w:szCs w:val="26"/>
              </w:rPr>
              <w:t>Norāda institūciju, kas ir atbildīga par šo saistību izpildi pilnībā</w:t>
            </w:r>
          </w:p>
        </w:tc>
        <w:tc>
          <w:tcPr>
            <w:tcW w:w="2863" w:type="dxa"/>
            <w:tcBorders>
              <w:top w:val="single" w:sz="4" w:space="0" w:color="000000"/>
              <w:left w:val="single" w:sz="4" w:space="0" w:color="000000"/>
              <w:bottom w:val="single" w:sz="4" w:space="0" w:color="000000"/>
              <w:right w:val="single" w:sz="4" w:space="0" w:color="000000"/>
            </w:tcBorders>
          </w:tcPr>
          <w:p w14:paraId="1AE4B717" w14:textId="77777777" w:rsidR="00CD371F" w:rsidRPr="00CD371F" w:rsidRDefault="00CD371F" w:rsidP="00CD371F">
            <w:pPr>
              <w:jc w:val="both"/>
              <w:rPr>
                <w:i/>
                <w:sz w:val="26"/>
                <w:szCs w:val="26"/>
              </w:rPr>
            </w:pPr>
            <w:r w:rsidRPr="00CD371F">
              <w:rPr>
                <w:i/>
                <w:sz w:val="26"/>
                <w:szCs w:val="26"/>
              </w:rPr>
              <w:lastRenderedPageBreak/>
              <w:t xml:space="preserve">Informācija par to, vai šīs tabulas B ailē minētās projekta vienības paredz stingrākas prasības nekā </w:t>
            </w:r>
            <w:r w:rsidRPr="00CD371F">
              <w:rPr>
                <w:i/>
                <w:sz w:val="26"/>
                <w:szCs w:val="26"/>
              </w:rPr>
              <w:lastRenderedPageBreak/>
              <w:t>šīs tabulas A ailē minētās ES tiesību akta vienības.</w:t>
            </w:r>
          </w:p>
          <w:p w14:paraId="5350B044" w14:textId="77777777" w:rsidR="00CD371F" w:rsidRPr="00CD371F" w:rsidRDefault="00CD371F" w:rsidP="00CD371F">
            <w:pPr>
              <w:jc w:val="both"/>
              <w:rPr>
                <w:i/>
                <w:sz w:val="26"/>
                <w:szCs w:val="26"/>
              </w:rPr>
            </w:pPr>
            <w:r w:rsidRPr="00CD371F">
              <w:rPr>
                <w:i/>
                <w:sz w:val="26"/>
                <w:szCs w:val="26"/>
              </w:rPr>
              <w:t>Ja projekts satur stingrākas prasības nekā attiecīgais ES tiesību akts, – norāda pamatojumu un samērīgumu.</w:t>
            </w:r>
          </w:p>
          <w:p w14:paraId="59870269" w14:textId="77777777" w:rsidR="00CD371F" w:rsidRPr="00CD371F" w:rsidRDefault="00CD371F" w:rsidP="00CD371F">
            <w:pPr>
              <w:jc w:val="both"/>
              <w:rPr>
                <w:i/>
                <w:sz w:val="26"/>
                <w:szCs w:val="26"/>
              </w:rPr>
            </w:pPr>
            <w:r w:rsidRPr="00CD371F">
              <w:rPr>
                <w:i/>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CD371F" w:rsidRPr="00CD371F" w14:paraId="7F4C4009" w14:textId="77777777" w:rsidTr="00CD6DFD">
        <w:tc>
          <w:tcPr>
            <w:tcW w:w="2297" w:type="dxa"/>
            <w:tcBorders>
              <w:top w:val="single" w:sz="4" w:space="0" w:color="000000"/>
              <w:left w:val="single" w:sz="4" w:space="0" w:color="000000"/>
              <w:bottom w:val="single" w:sz="4" w:space="0" w:color="000000"/>
              <w:right w:val="single" w:sz="4" w:space="0" w:color="000000"/>
            </w:tcBorders>
          </w:tcPr>
          <w:p w14:paraId="275E5188" w14:textId="77777777" w:rsidR="00CD371F" w:rsidRPr="00CD371F" w:rsidRDefault="00CD371F" w:rsidP="00CD371F">
            <w:pPr>
              <w:jc w:val="both"/>
              <w:rPr>
                <w:i/>
                <w:sz w:val="26"/>
                <w:szCs w:val="26"/>
              </w:rPr>
            </w:pPr>
            <w:r w:rsidRPr="00CD371F">
              <w:rPr>
                <w:i/>
                <w:sz w:val="26"/>
                <w:szCs w:val="26"/>
              </w:rPr>
              <w:lastRenderedPageBreak/>
              <w:t>Regulas</w:t>
            </w:r>
            <w:r w:rsidR="00CA2734">
              <w:rPr>
                <w:i/>
                <w:sz w:val="26"/>
                <w:szCs w:val="26"/>
              </w:rPr>
              <w:t xml:space="preserve"> Nr.1407/2013 4.panta 6.punkta c</w:t>
            </w:r>
            <w:r w:rsidRPr="00CD371F">
              <w:rPr>
                <w:i/>
                <w:sz w:val="26"/>
                <w:szCs w:val="26"/>
              </w:rPr>
              <w:t>)punkts</w:t>
            </w:r>
          </w:p>
        </w:tc>
        <w:tc>
          <w:tcPr>
            <w:tcW w:w="1639" w:type="dxa"/>
            <w:tcBorders>
              <w:top w:val="single" w:sz="4" w:space="0" w:color="000000"/>
              <w:left w:val="single" w:sz="4" w:space="0" w:color="000000"/>
              <w:bottom w:val="single" w:sz="4" w:space="0" w:color="000000"/>
              <w:right w:val="single" w:sz="4" w:space="0" w:color="000000"/>
            </w:tcBorders>
          </w:tcPr>
          <w:p w14:paraId="686A9D9A" w14:textId="77777777" w:rsidR="00CD371F" w:rsidRPr="00CD371F" w:rsidRDefault="00CA2734" w:rsidP="00CD371F">
            <w:pPr>
              <w:jc w:val="both"/>
              <w:rPr>
                <w:i/>
                <w:sz w:val="26"/>
                <w:szCs w:val="26"/>
              </w:rPr>
            </w:pPr>
            <w:r>
              <w:rPr>
                <w:i/>
                <w:sz w:val="26"/>
                <w:szCs w:val="26"/>
              </w:rPr>
              <w:t>3</w:t>
            </w:r>
            <w:r w:rsidR="00CD371F" w:rsidRPr="00CD371F">
              <w:rPr>
                <w:i/>
                <w:sz w:val="26"/>
                <w:szCs w:val="26"/>
              </w:rPr>
              <w:t>.punkts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D2D1CEC" w14:textId="3ECB0F6E" w:rsidR="00CD371F" w:rsidRPr="00CD371F" w:rsidRDefault="00B302E6" w:rsidP="00CD371F">
            <w:pPr>
              <w:jc w:val="both"/>
              <w:rPr>
                <w:i/>
                <w:sz w:val="26"/>
                <w:szCs w:val="26"/>
              </w:rPr>
            </w:pPr>
            <w:r w:rsidRPr="00CD6DFD">
              <w:rPr>
                <w:i/>
                <w:sz w:val="26"/>
                <w:szCs w:val="26"/>
              </w:rPr>
              <w:t>Ieviesta pilnībā</w:t>
            </w:r>
          </w:p>
        </w:tc>
        <w:tc>
          <w:tcPr>
            <w:tcW w:w="2863" w:type="dxa"/>
            <w:tcBorders>
              <w:top w:val="single" w:sz="4" w:space="0" w:color="000000"/>
              <w:left w:val="single" w:sz="4" w:space="0" w:color="000000"/>
              <w:bottom w:val="single" w:sz="4" w:space="0" w:color="000000"/>
              <w:right w:val="single" w:sz="4" w:space="0" w:color="000000"/>
            </w:tcBorders>
          </w:tcPr>
          <w:p w14:paraId="26BB6CDE" w14:textId="77777777" w:rsidR="00CD371F" w:rsidRPr="00CD371F" w:rsidRDefault="00CD371F" w:rsidP="00CD371F">
            <w:pPr>
              <w:jc w:val="both"/>
              <w:rPr>
                <w:i/>
                <w:sz w:val="26"/>
                <w:szCs w:val="26"/>
              </w:rPr>
            </w:pPr>
            <w:r w:rsidRPr="00CD371F">
              <w:rPr>
                <w:i/>
                <w:iCs/>
                <w:sz w:val="26"/>
                <w:szCs w:val="26"/>
              </w:rPr>
              <w:t>Neparedz stingrākas prasības</w:t>
            </w:r>
          </w:p>
        </w:tc>
      </w:tr>
      <w:tr w:rsidR="00CD371F" w:rsidRPr="00CD371F" w14:paraId="5E2BF056" w14:textId="77777777" w:rsidTr="0098032E">
        <w:tc>
          <w:tcPr>
            <w:tcW w:w="3936" w:type="dxa"/>
            <w:gridSpan w:val="2"/>
            <w:tcBorders>
              <w:top w:val="single" w:sz="4" w:space="0" w:color="000000"/>
              <w:left w:val="single" w:sz="4" w:space="0" w:color="000000"/>
              <w:bottom w:val="single" w:sz="4" w:space="0" w:color="000000"/>
              <w:right w:val="single" w:sz="4" w:space="0" w:color="000000"/>
            </w:tcBorders>
          </w:tcPr>
          <w:p w14:paraId="2B418CBC" w14:textId="77777777" w:rsidR="00CD371F" w:rsidRPr="00CD371F" w:rsidRDefault="00CD371F" w:rsidP="00CD371F">
            <w:pPr>
              <w:jc w:val="both"/>
              <w:rPr>
                <w:sz w:val="26"/>
                <w:szCs w:val="26"/>
              </w:rPr>
            </w:pPr>
            <w:r w:rsidRPr="00CD371F">
              <w:rPr>
                <w:sz w:val="26"/>
                <w:szCs w:val="26"/>
              </w:rPr>
              <w:t>Kā ir izmantota ES tiesību aktā paredzētā rīcības brīvība dalībvalstij pārņemt vai ieviest noteiktas ES tiesību akta normas?</w:t>
            </w:r>
          </w:p>
        </w:tc>
        <w:tc>
          <w:tcPr>
            <w:tcW w:w="5272" w:type="dxa"/>
            <w:gridSpan w:val="2"/>
            <w:tcBorders>
              <w:top w:val="single" w:sz="4" w:space="0" w:color="000000"/>
              <w:left w:val="single" w:sz="4" w:space="0" w:color="000000"/>
              <w:bottom w:val="single" w:sz="4" w:space="0" w:color="000000"/>
              <w:right w:val="single" w:sz="4" w:space="0" w:color="000000"/>
            </w:tcBorders>
          </w:tcPr>
          <w:p w14:paraId="0CC0DEB1" w14:textId="77777777" w:rsidR="00CD371F" w:rsidRPr="00CD371F" w:rsidRDefault="00CD371F" w:rsidP="00CD371F">
            <w:pPr>
              <w:jc w:val="both"/>
              <w:rPr>
                <w:sz w:val="26"/>
                <w:szCs w:val="26"/>
              </w:rPr>
            </w:pPr>
            <w:r w:rsidRPr="00CD371F">
              <w:rPr>
                <w:sz w:val="26"/>
                <w:szCs w:val="26"/>
              </w:rPr>
              <w:t xml:space="preserve"> -</w:t>
            </w:r>
          </w:p>
        </w:tc>
      </w:tr>
      <w:tr w:rsidR="00CD371F" w:rsidRPr="00CD371F" w14:paraId="11C24F4D" w14:textId="77777777" w:rsidTr="0098032E">
        <w:tc>
          <w:tcPr>
            <w:tcW w:w="3936" w:type="dxa"/>
            <w:gridSpan w:val="2"/>
            <w:tcBorders>
              <w:top w:val="single" w:sz="4" w:space="0" w:color="000000"/>
              <w:left w:val="single" w:sz="4" w:space="0" w:color="000000"/>
              <w:bottom w:val="single" w:sz="4" w:space="0" w:color="000000"/>
              <w:right w:val="single" w:sz="4" w:space="0" w:color="000000"/>
            </w:tcBorders>
          </w:tcPr>
          <w:p w14:paraId="56AFEA62" w14:textId="77777777" w:rsidR="00CD371F" w:rsidRPr="00CD371F" w:rsidRDefault="00CD371F" w:rsidP="00CD371F">
            <w:pPr>
              <w:jc w:val="both"/>
              <w:rPr>
                <w:i/>
                <w:sz w:val="26"/>
                <w:szCs w:val="26"/>
              </w:rPr>
            </w:pPr>
            <w:r w:rsidRPr="00CD371F">
              <w:rPr>
                <w:sz w:val="26"/>
                <w:szCs w:val="26"/>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272" w:type="dxa"/>
            <w:gridSpan w:val="2"/>
            <w:tcBorders>
              <w:top w:val="single" w:sz="4" w:space="0" w:color="000000"/>
              <w:left w:val="single" w:sz="4" w:space="0" w:color="000000"/>
              <w:bottom w:val="single" w:sz="4" w:space="0" w:color="000000"/>
              <w:right w:val="single" w:sz="4" w:space="0" w:color="000000"/>
            </w:tcBorders>
          </w:tcPr>
          <w:p w14:paraId="35BF94F5" w14:textId="77777777" w:rsidR="00CD371F" w:rsidRPr="00CD371F" w:rsidRDefault="00CD371F" w:rsidP="00CD371F">
            <w:pPr>
              <w:jc w:val="both"/>
              <w:rPr>
                <w:sz w:val="26"/>
                <w:szCs w:val="26"/>
              </w:rPr>
            </w:pPr>
            <w:r w:rsidRPr="00CD371F">
              <w:rPr>
                <w:sz w:val="26"/>
                <w:szCs w:val="26"/>
              </w:rPr>
              <w:t>Projekts šo jomu neskar.</w:t>
            </w:r>
          </w:p>
        </w:tc>
      </w:tr>
      <w:tr w:rsidR="00CD371F" w:rsidRPr="00CD371F" w14:paraId="1B3A74D1" w14:textId="77777777" w:rsidTr="0098032E">
        <w:tc>
          <w:tcPr>
            <w:tcW w:w="3936" w:type="dxa"/>
            <w:gridSpan w:val="2"/>
            <w:tcBorders>
              <w:top w:val="single" w:sz="4" w:space="0" w:color="000000"/>
              <w:left w:val="single" w:sz="4" w:space="0" w:color="000000"/>
              <w:bottom w:val="single" w:sz="4" w:space="0" w:color="000000"/>
              <w:right w:val="single" w:sz="4" w:space="0" w:color="000000"/>
            </w:tcBorders>
          </w:tcPr>
          <w:p w14:paraId="6668FDB5" w14:textId="77777777" w:rsidR="00CD371F" w:rsidRPr="00CD371F" w:rsidRDefault="00CD371F" w:rsidP="00CD371F">
            <w:pPr>
              <w:jc w:val="both"/>
              <w:rPr>
                <w:i/>
                <w:sz w:val="26"/>
                <w:szCs w:val="26"/>
              </w:rPr>
            </w:pPr>
            <w:r w:rsidRPr="00CD371F">
              <w:rPr>
                <w:sz w:val="26"/>
                <w:szCs w:val="26"/>
              </w:rPr>
              <w:t>Cita informācija</w:t>
            </w:r>
          </w:p>
        </w:tc>
        <w:tc>
          <w:tcPr>
            <w:tcW w:w="5272" w:type="dxa"/>
            <w:gridSpan w:val="2"/>
            <w:tcBorders>
              <w:top w:val="single" w:sz="4" w:space="0" w:color="000000"/>
              <w:left w:val="single" w:sz="4" w:space="0" w:color="000000"/>
              <w:bottom w:val="single" w:sz="4" w:space="0" w:color="000000"/>
              <w:right w:val="single" w:sz="4" w:space="0" w:color="000000"/>
            </w:tcBorders>
          </w:tcPr>
          <w:p w14:paraId="64DA068E" w14:textId="0F1BBB3E" w:rsidR="00CD371F" w:rsidRPr="00CD371F" w:rsidRDefault="00B302E6" w:rsidP="00CD371F">
            <w:pPr>
              <w:jc w:val="both"/>
              <w:rPr>
                <w:sz w:val="26"/>
                <w:szCs w:val="26"/>
              </w:rPr>
            </w:pPr>
            <w:r>
              <w:rPr>
                <w:sz w:val="26"/>
                <w:szCs w:val="26"/>
              </w:rPr>
              <w:t xml:space="preserve">Noteikumu projekts ir izstrādāt atbilstoši </w:t>
            </w:r>
            <w:r w:rsidR="00CD6DFD">
              <w:rPr>
                <w:sz w:val="26"/>
                <w:szCs w:val="26"/>
              </w:rPr>
              <w:t>E</w:t>
            </w:r>
            <w:r>
              <w:rPr>
                <w:sz w:val="26"/>
                <w:szCs w:val="26"/>
              </w:rPr>
              <w:t>iropas komisijas</w:t>
            </w:r>
            <w:r w:rsidR="00CD6DFD">
              <w:rPr>
                <w:sz w:val="26"/>
                <w:szCs w:val="26"/>
              </w:rPr>
              <w:t xml:space="preserve"> </w:t>
            </w:r>
            <w:r w:rsidR="00CD6DFD" w:rsidRPr="00CD371F">
              <w:rPr>
                <w:sz w:val="26"/>
                <w:szCs w:val="26"/>
              </w:rPr>
              <w:t>paziņojum</w:t>
            </w:r>
            <w:r w:rsidR="00CD6DFD">
              <w:rPr>
                <w:sz w:val="26"/>
                <w:szCs w:val="26"/>
              </w:rPr>
              <w:t>am</w:t>
            </w:r>
            <w:r w:rsidR="00CD6DFD" w:rsidRPr="00CD371F">
              <w:rPr>
                <w:sz w:val="26"/>
                <w:szCs w:val="26"/>
              </w:rPr>
              <w:t xml:space="preserve"> par EK līguma 87. un 88.panta piemērošanu valsts atbalstam garantiju veidā (2008/C 155/02) (turpmāk – Komisijas paziņojums)</w:t>
            </w:r>
            <w:r w:rsidR="00CD6DFD">
              <w:rPr>
                <w:sz w:val="26"/>
                <w:szCs w:val="26"/>
              </w:rPr>
              <w:t>.</w:t>
            </w:r>
          </w:p>
        </w:tc>
      </w:tr>
    </w:tbl>
    <w:p w14:paraId="2CA039BD" w14:textId="77777777" w:rsidR="00CD371F" w:rsidRPr="00CD371F" w:rsidRDefault="00CD371F" w:rsidP="001154C6">
      <w:pPr>
        <w:jc w:val="both"/>
        <w:rPr>
          <w:sz w:val="26"/>
          <w:szCs w:val="26"/>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4"/>
        <w:gridCol w:w="2741"/>
        <w:gridCol w:w="6189"/>
      </w:tblGrid>
      <w:tr w:rsidR="00CD371F" w:rsidRPr="00CD371F" w14:paraId="6CF545E8" w14:textId="77777777" w:rsidTr="00CD371F">
        <w:trPr>
          <w:trHeight w:val="421"/>
        </w:trPr>
        <w:tc>
          <w:tcPr>
            <w:tcW w:w="9214" w:type="dxa"/>
            <w:gridSpan w:val="3"/>
            <w:vAlign w:val="center"/>
          </w:tcPr>
          <w:p w14:paraId="19D3C9E6" w14:textId="77777777" w:rsidR="00CD371F" w:rsidRPr="00CD371F" w:rsidRDefault="00CD371F" w:rsidP="00CD371F">
            <w:pPr>
              <w:jc w:val="both"/>
              <w:rPr>
                <w:sz w:val="26"/>
                <w:szCs w:val="26"/>
              </w:rPr>
            </w:pPr>
            <w:r w:rsidRPr="00CD371F">
              <w:rPr>
                <w:b/>
                <w:sz w:val="26"/>
                <w:szCs w:val="26"/>
              </w:rPr>
              <w:t>VI. Sabiedrības līdzdalība un komunikācijas aktivitātes</w:t>
            </w:r>
          </w:p>
        </w:tc>
      </w:tr>
      <w:tr w:rsidR="00CD371F" w:rsidRPr="00CD371F" w14:paraId="6BD638C1" w14:textId="77777777" w:rsidTr="00CD371F">
        <w:trPr>
          <w:trHeight w:val="553"/>
        </w:trPr>
        <w:tc>
          <w:tcPr>
            <w:tcW w:w="284" w:type="dxa"/>
          </w:tcPr>
          <w:p w14:paraId="1887CED1" w14:textId="77777777" w:rsidR="00CD371F" w:rsidRPr="00CD371F" w:rsidRDefault="00CD371F" w:rsidP="00CD371F">
            <w:pPr>
              <w:jc w:val="both"/>
              <w:rPr>
                <w:sz w:val="26"/>
                <w:szCs w:val="26"/>
              </w:rPr>
            </w:pPr>
            <w:r w:rsidRPr="00CD371F">
              <w:rPr>
                <w:sz w:val="26"/>
                <w:szCs w:val="26"/>
              </w:rPr>
              <w:t>1.</w:t>
            </w:r>
          </w:p>
        </w:tc>
        <w:tc>
          <w:tcPr>
            <w:tcW w:w="2741" w:type="dxa"/>
          </w:tcPr>
          <w:p w14:paraId="2D15F361" w14:textId="77777777" w:rsidR="00CD371F" w:rsidRPr="00CD371F" w:rsidRDefault="00CD371F" w:rsidP="00CD371F">
            <w:pPr>
              <w:jc w:val="both"/>
              <w:rPr>
                <w:sz w:val="26"/>
                <w:szCs w:val="26"/>
              </w:rPr>
            </w:pPr>
            <w:r w:rsidRPr="00CD371F">
              <w:rPr>
                <w:sz w:val="26"/>
                <w:szCs w:val="26"/>
              </w:rPr>
              <w:t>Plānotās sabiedrības līdzdalības un komunikācijas aktivitātes saistībā ar projektu</w:t>
            </w:r>
          </w:p>
        </w:tc>
        <w:tc>
          <w:tcPr>
            <w:tcW w:w="6189" w:type="dxa"/>
          </w:tcPr>
          <w:p w14:paraId="3E26A6B5" w14:textId="0C4E8517" w:rsidR="00CD371F" w:rsidRPr="00CD371F" w:rsidRDefault="00AD4809" w:rsidP="00AD4809">
            <w:pPr>
              <w:ind w:left="373" w:right="280"/>
              <w:jc w:val="both"/>
              <w:rPr>
                <w:sz w:val="26"/>
                <w:szCs w:val="26"/>
              </w:rPr>
            </w:pPr>
            <w:bookmarkStart w:id="1" w:name="p61"/>
            <w:bookmarkEnd w:id="1"/>
            <w:r w:rsidRPr="00B765A7">
              <w:rPr>
                <w:sz w:val="26"/>
                <w:szCs w:val="26"/>
              </w:rPr>
              <w:t xml:space="preserve">Grozījumi izstrādāti, pamatojoties uz </w:t>
            </w:r>
            <w:r w:rsidR="00852030" w:rsidRPr="00B765A7">
              <w:rPr>
                <w:sz w:val="26"/>
                <w:szCs w:val="26"/>
              </w:rPr>
              <w:t xml:space="preserve">kredītiestāžu </w:t>
            </w:r>
            <w:r w:rsidRPr="00B765A7">
              <w:rPr>
                <w:sz w:val="26"/>
                <w:szCs w:val="26"/>
              </w:rPr>
              <w:t>priekšlikumiem programmas uzlabošanai, kā arī komersantu pieprasījumiem pēc konkrētā produkta pilnveidošanas.</w:t>
            </w:r>
            <w:r w:rsidR="0035165E" w:rsidRPr="00B765A7">
              <w:rPr>
                <w:sz w:val="26"/>
                <w:szCs w:val="26"/>
              </w:rPr>
              <w:t xml:space="preserve"> </w:t>
            </w:r>
            <w:r w:rsidR="00CD371F" w:rsidRPr="00CD371F">
              <w:rPr>
                <w:sz w:val="26"/>
                <w:szCs w:val="26"/>
              </w:rPr>
              <w:t xml:space="preserve">Pēc noteikumu projekta apstiprināšanas sabiedrība </w:t>
            </w:r>
            <w:proofErr w:type="spellStart"/>
            <w:r w:rsidR="00CD371F" w:rsidRPr="00CD371F">
              <w:rPr>
                <w:sz w:val="26"/>
                <w:szCs w:val="26"/>
              </w:rPr>
              <w:t>Altum</w:t>
            </w:r>
            <w:proofErr w:type="spellEnd"/>
            <w:r w:rsidR="00CD371F" w:rsidRPr="00CD371F">
              <w:rPr>
                <w:sz w:val="26"/>
                <w:szCs w:val="26"/>
              </w:rPr>
              <w:t xml:space="preserve"> nodrošinās informēšanas pasākumus.</w:t>
            </w:r>
          </w:p>
        </w:tc>
      </w:tr>
      <w:tr w:rsidR="00CD371F" w:rsidRPr="00CD371F" w14:paraId="3FAC56BB" w14:textId="77777777" w:rsidTr="00CD371F">
        <w:trPr>
          <w:trHeight w:val="339"/>
        </w:trPr>
        <w:tc>
          <w:tcPr>
            <w:tcW w:w="284" w:type="dxa"/>
          </w:tcPr>
          <w:p w14:paraId="144C3D80" w14:textId="77777777" w:rsidR="00CD371F" w:rsidRPr="00CD371F" w:rsidRDefault="00CD371F" w:rsidP="00CD371F">
            <w:pPr>
              <w:jc w:val="both"/>
              <w:rPr>
                <w:sz w:val="26"/>
                <w:szCs w:val="26"/>
              </w:rPr>
            </w:pPr>
            <w:r w:rsidRPr="00CD371F">
              <w:rPr>
                <w:sz w:val="26"/>
                <w:szCs w:val="26"/>
              </w:rPr>
              <w:lastRenderedPageBreak/>
              <w:t>2.</w:t>
            </w:r>
          </w:p>
        </w:tc>
        <w:tc>
          <w:tcPr>
            <w:tcW w:w="2741" w:type="dxa"/>
          </w:tcPr>
          <w:p w14:paraId="4BE014DE" w14:textId="77777777" w:rsidR="00CD371F" w:rsidRPr="00CD371F" w:rsidRDefault="00CD371F" w:rsidP="00CD371F">
            <w:pPr>
              <w:jc w:val="both"/>
              <w:rPr>
                <w:sz w:val="26"/>
                <w:szCs w:val="26"/>
              </w:rPr>
            </w:pPr>
            <w:r w:rsidRPr="00CD371F">
              <w:rPr>
                <w:sz w:val="26"/>
                <w:szCs w:val="26"/>
              </w:rPr>
              <w:t>Sabiedrības līdzdalība projekta izstrādē</w:t>
            </w:r>
          </w:p>
        </w:tc>
        <w:tc>
          <w:tcPr>
            <w:tcW w:w="6189" w:type="dxa"/>
          </w:tcPr>
          <w:p w14:paraId="6E8D596B" w14:textId="1AFF0247" w:rsidR="00CD371F" w:rsidRPr="00CD371F" w:rsidRDefault="00CD371F" w:rsidP="00AD4809">
            <w:pPr>
              <w:ind w:left="373" w:right="280"/>
              <w:jc w:val="both"/>
              <w:rPr>
                <w:sz w:val="26"/>
                <w:szCs w:val="26"/>
              </w:rPr>
            </w:pPr>
            <w:bookmarkStart w:id="2" w:name="p62"/>
            <w:bookmarkEnd w:id="2"/>
            <w:r w:rsidRPr="00CD371F">
              <w:rPr>
                <w:sz w:val="26"/>
                <w:szCs w:val="26"/>
              </w:rPr>
              <w:t xml:space="preserve">Noteikumu projektu EM  </w:t>
            </w:r>
            <w:r w:rsidR="00040033">
              <w:rPr>
                <w:sz w:val="26"/>
                <w:szCs w:val="26"/>
              </w:rPr>
              <w:t xml:space="preserve">ir </w:t>
            </w:r>
            <w:r w:rsidRPr="00CD371F">
              <w:rPr>
                <w:sz w:val="26"/>
                <w:szCs w:val="26"/>
              </w:rPr>
              <w:t>saskaņo</w:t>
            </w:r>
            <w:r w:rsidR="00040033">
              <w:rPr>
                <w:sz w:val="26"/>
                <w:szCs w:val="26"/>
              </w:rPr>
              <w:t>jusi</w:t>
            </w:r>
            <w:r w:rsidR="00430435">
              <w:rPr>
                <w:sz w:val="26"/>
                <w:szCs w:val="26"/>
              </w:rPr>
              <w:t xml:space="preserve"> ar </w:t>
            </w:r>
            <w:r w:rsidR="000F3075">
              <w:rPr>
                <w:sz w:val="26"/>
                <w:szCs w:val="26"/>
              </w:rPr>
              <w:t>Finanšu nozares asociācij</w:t>
            </w:r>
            <w:r w:rsidR="00430435">
              <w:rPr>
                <w:sz w:val="26"/>
                <w:szCs w:val="26"/>
              </w:rPr>
              <w:t>u</w:t>
            </w:r>
            <w:r w:rsidR="00587E02">
              <w:rPr>
                <w:sz w:val="26"/>
                <w:szCs w:val="26"/>
              </w:rPr>
              <w:t>.</w:t>
            </w:r>
          </w:p>
        </w:tc>
      </w:tr>
      <w:tr w:rsidR="00CD371F" w:rsidRPr="00CD371F" w14:paraId="03809F54" w14:textId="77777777" w:rsidTr="00CD371F">
        <w:trPr>
          <w:trHeight w:val="476"/>
        </w:trPr>
        <w:tc>
          <w:tcPr>
            <w:tcW w:w="284" w:type="dxa"/>
          </w:tcPr>
          <w:p w14:paraId="51881D53" w14:textId="77777777" w:rsidR="00CD371F" w:rsidRPr="00CD371F" w:rsidRDefault="00CD371F" w:rsidP="00CD371F">
            <w:pPr>
              <w:jc w:val="both"/>
              <w:rPr>
                <w:sz w:val="26"/>
                <w:szCs w:val="26"/>
              </w:rPr>
            </w:pPr>
            <w:r w:rsidRPr="00CD371F">
              <w:rPr>
                <w:sz w:val="26"/>
                <w:szCs w:val="26"/>
              </w:rPr>
              <w:t>3.</w:t>
            </w:r>
          </w:p>
        </w:tc>
        <w:tc>
          <w:tcPr>
            <w:tcW w:w="2741" w:type="dxa"/>
          </w:tcPr>
          <w:p w14:paraId="6DD9C760" w14:textId="77777777" w:rsidR="00CD371F" w:rsidRPr="00CD371F" w:rsidRDefault="00CD371F" w:rsidP="00CD371F">
            <w:pPr>
              <w:jc w:val="both"/>
              <w:rPr>
                <w:sz w:val="26"/>
                <w:szCs w:val="26"/>
              </w:rPr>
            </w:pPr>
            <w:r w:rsidRPr="00CD371F">
              <w:rPr>
                <w:sz w:val="26"/>
                <w:szCs w:val="26"/>
              </w:rPr>
              <w:t>Sabiedrības līdzdalības rezultāti</w:t>
            </w:r>
          </w:p>
        </w:tc>
        <w:tc>
          <w:tcPr>
            <w:tcW w:w="6189" w:type="dxa"/>
          </w:tcPr>
          <w:p w14:paraId="56C29FFD" w14:textId="44070FC5" w:rsidR="00CD371F" w:rsidRPr="00CD371F" w:rsidRDefault="00CD371F" w:rsidP="00AD4809">
            <w:pPr>
              <w:ind w:left="373" w:right="280"/>
              <w:jc w:val="both"/>
              <w:rPr>
                <w:sz w:val="26"/>
                <w:szCs w:val="26"/>
              </w:rPr>
            </w:pPr>
            <w:r w:rsidRPr="00CD371F">
              <w:rPr>
                <w:sz w:val="26"/>
                <w:szCs w:val="26"/>
              </w:rPr>
              <w:t xml:space="preserve">Noteikumu projektu EM </w:t>
            </w:r>
            <w:r w:rsidR="00040033">
              <w:rPr>
                <w:sz w:val="26"/>
                <w:szCs w:val="26"/>
              </w:rPr>
              <w:t xml:space="preserve">ir </w:t>
            </w:r>
            <w:r w:rsidR="00430435">
              <w:rPr>
                <w:sz w:val="26"/>
                <w:szCs w:val="26"/>
              </w:rPr>
              <w:t>saskaņo</w:t>
            </w:r>
            <w:r w:rsidR="00040033">
              <w:rPr>
                <w:sz w:val="26"/>
                <w:szCs w:val="26"/>
              </w:rPr>
              <w:t>jusi</w:t>
            </w:r>
            <w:r w:rsidR="00430435">
              <w:rPr>
                <w:sz w:val="26"/>
                <w:szCs w:val="26"/>
              </w:rPr>
              <w:t xml:space="preserve"> ar </w:t>
            </w:r>
            <w:r w:rsidRPr="00CD371F">
              <w:rPr>
                <w:sz w:val="26"/>
                <w:szCs w:val="26"/>
              </w:rPr>
              <w:t xml:space="preserve"> </w:t>
            </w:r>
            <w:r w:rsidR="000F3075">
              <w:rPr>
                <w:sz w:val="26"/>
                <w:szCs w:val="26"/>
              </w:rPr>
              <w:t>Finanšu nozares asociācij</w:t>
            </w:r>
            <w:r w:rsidR="00430435">
              <w:rPr>
                <w:sz w:val="26"/>
                <w:szCs w:val="26"/>
              </w:rPr>
              <w:t>u</w:t>
            </w:r>
            <w:r w:rsidR="00587E02">
              <w:rPr>
                <w:sz w:val="26"/>
                <w:szCs w:val="26"/>
              </w:rPr>
              <w:t>.</w:t>
            </w:r>
          </w:p>
        </w:tc>
      </w:tr>
      <w:tr w:rsidR="00CD371F" w:rsidRPr="00CD371F" w14:paraId="68906259" w14:textId="77777777" w:rsidTr="00CD371F">
        <w:trPr>
          <w:trHeight w:val="205"/>
        </w:trPr>
        <w:tc>
          <w:tcPr>
            <w:tcW w:w="284" w:type="dxa"/>
          </w:tcPr>
          <w:p w14:paraId="786D1B00" w14:textId="77777777" w:rsidR="00CD371F" w:rsidRPr="00CD371F" w:rsidRDefault="00CD371F" w:rsidP="00CD371F">
            <w:pPr>
              <w:jc w:val="both"/>
              <w:rPr>
                <w:sz w:val="26"/>
                <w:szCs w:val="26"/>
              </w:rPr>
            </w:pPr>
            <w:r w:rsidRPr="00CD371F">
              <w:rPr>
                <w:sz w:val="26"/>
                <w:szCs w:val="26"/>
              </w:rPr>
              <w:t>4.</w:t>
            </w:r>
          </w:p>
        </w:tc>
        <w:tc>
          <w:tcPr>
            <w:tcW w:w="2741" w:type="dxa"/>
          </w:tcPr>
          <w:p w14:paraId="0CB1C5C4" w14:textId="77777777" w:rsidR="00CD371F" w:rsidRPr="00CD371F" w:rsidRDefault="00CD371F" w:rsidP="00CD371F">
            <w:pPr>
              <w:jc w:val="both"/>
              <w:rPr>
                <w:sz w:val="26"/>
                <w:szCs w:val="26"/>
              </w:rPr>
            </w:pPr>
            <w:r w:rsidRPr="00CD371F">
              <w:rPr>
                <w:sz w:val="26"/>
                <w:szCs w:val="26"/>
              </w:rPr>
              <w:t>Cita informācija</w:t>
            </w:r>
          </w:p>
        </w:tc>
        <w:tc>
          <w:tcPr>
            <w:tcW w:w="6189" w:type="dxa"/>
          </w:tcPr>
          <w:p w14:paraId="1AFC9FEF" w14:textId="77777777" w:rsidR="00CD371F" w:rsidRPr="00CD371F" w:rsidRDefault="00CD371F" w:rsidP="00AD4809">
            <w:pPr>
              <w:ind w:left="373" w:right="280"/>
              <w:jc w:val="both"/>
              <w:rPr>
                <w:sz w:val="26"/>
                <w:szCs w:val="26"/>
              </w:rPr>
            </w:pPr>
            <w:r w:rsidRPr="00CD371F">
              <w:rPr>
                <w:sz w:val="26"/>
                <w:szCs w:val="26"/>
              </w:rPr>
              <w:t>Nav.</w:t>
            </w:r>
          </w:p>
        </w:tc>
      </w:tr>
    </w:tbl>
    <w:p w14:paraId="0619D7F6" w14:textId="77777777" w:rsidR="00CD371F" w:rsidRPr="00CD371F" w:rsidRDefault="00CD371F" w:rsidP="001154C6">
      <w:pPr>
        <w:jc w:val="both"/>
        <w:rPr>
          <w:sz w:val="26"/>
          <w:szCs w:val="26"/>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39"/>
        <w:gridCol w:w="6197"/>
      </w:tblGrid>
      <w:tr w:rsidR="0039762C" w:rsidRPr="00CD371F" w14:paraId="2BBE33C5" w14:textId="77777777" w:rsidTr="00FA631E">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1FC6E14E" w14:textId="77777777" w:rsidR="0039762C" w:rsidRPr="00CD371F" w:rsidRDefault="0039762C" w:rsidP="0039762C">
            <w:pPr>
              <w:spacing w:before="100" w:beforeAutospacing="1" w:after="100" w:afterAutospacing="1"/>
              <w:ind w:firstLine="300"/>
              <w:jc w:val="center"/>
              <w:rPr>
                <w:rFonts w:eastAsia="Times New Roman"/>
                <w:sz w:val="26"/>
                <w:szCs w:val="26"/>
              </w:rPr>
            </w:pPr>
            <w:r w:rsidRPr="00CD371F">
              <w:rPr>
                <w:rFonts w:eastAsia="Times New Roman"/>
                <w:b/>
                <w:bCs/>
                <w:color w:val="000000"/>
                <w:sz w:val="26"/>
                <w:szCs w:val="26"/>
              </w:rPr>
              <w:t>VII. Tiesību akta projekta izpildes nodrošināšana un tās ietekme uz institūcijām</w:t>
            </w:r>
          </w:p>
        </w:tc>
      </w:tr>
      <w:tr w:rsidR="0039762C" w:rsidRPr="00CD371F" w14:paraId="64B5A0DD" w14:textId="77777777" w:rsidTr="00FA631E">
        <w:trPr>
          <w:trHeight w:val="420"/>
        </w:trPr>
        <w:tc>
          <w:tcPr>
            <w:tcW w:w="270" w:type="dxa"/>
            <w:tcBorders>
              <w:top w:val="outset" w:sz="6" w:space="0" w:color="414142"/>
              <w:left w:val="outset" w:sz="6" w:space="0" w:color="414142"/>
              <w:bottom w:val="outset" w:sz="6" w:space="0" w:color="414142"/>
              <w:right w:val="outset" w:sz="6" w:space="0" w:color="414142"/>
            </w:tcBorders>
            <w:hideMark/>
          </w:tcPr>
          <w:p w14:paraId="3AD4DC84" w14:textId="77777777" w:rsidR="0039762C" w:rsidRPr="00CD371F" w:rsidRDefault="0039762C" w:rsidP="0039762C">
            <w:pPr>
              <w:spacing w:before="100" w:beforeAutospacing="1" w:after="100" w:afterAutospacing="1"/>
              <w:rPr>
                <w:rFonts w:eastAsia="Times New Roman"/>
                <w:sz w:val="26"/>
                <w:szCs w:val="26"/>
              </w:rPr>
            </w:pPr>
            <w:r w:rsidRPr="00CD371F">
              <w:rPr>
                <w:rFonts w:eastAsia="Times New Roman"/>
                <w:color w:val="000000"/>
                <w:sz w:val="26"/>
                <w:szCs w:val="26"/>
              </w:rPr>
              <w:t>1.</w:t>
            </w:r>
          </w:p>
        </w:tc>
        <w:tc>
          <w:tcPr>
            <w:tcW w:w="2739" w:type="dxa"/>
            <w:tcBorders>
              <w:top w:val="outset" w:sz="6" w:space="0" w:color="414142"/>
              <w:left w:val="outset" w:sz="6" w:space="0" w:color="414142"/>
              <w:bottom w:val="outset" w:sz="6" w:space="0" w:color="414142"/>
              <w:right w:val="outset" w:sz="6" w:space="0" w:color="414142"/>
            </w:tcBorders>
            <w:hideMark/>
          </w:tcPr>
          <w:p w14:paraId="131C8687" w14:textId="77777777" w:rsidR="0039762C" w:rsidRPr="00CD371F" w:rsidRDefault="0039762C" w:rsidP="0039762C">
            <w:pPr>
              <w:ind w:right="112"/>
              <w:jc w:val="both"/>
              <w:rPr>
                <w:sz w:val="26"/>
                <w:szCs w:val="26"/>
                <w:lang w:eastAsia="en-US"/>
              </w:rPr>
            </w:pPr>
            <w:r w:rsidRPr="00CD371F">
              <w:rPr>
                <w:sz w:val="26"/>
                <w:szCs w:val="26"/>
                <w:lang w:eastAsia="en-US"/>
              </w:rPr>
              <w:t>Projekta izpildē iesaistītās institūcijas</w:t>
            </w:r>
          </w:p>
        </w:tc>
        <w:tc>
          <w:tcPr>
            <w:tcW w:w="6197" w:type="dxa"/>
            <w:tcBorders>
              <w:top w:val="outset" w:sz="6" w:space="0" w:color="414142"/>
              <w:left w:val="outset" w:sz="6" w:space="0" w:color="414142"/>
              <w:bottom w:val="outset" w:sz="6" w:space="0" w:color="414142"/>
              <w:right w:val="outset" w:sz="6" w:space="0" w:color="414142"/>
            </w:tcBorders>
            <w:hideMark/>
          </w:tcPr>
          <w:p w14:paraId="4861A2F6" w14:textId="77777777" w:rsidR="0039762C" w:rsidRPr="00CD371F" w:rsidRDefault="0039762C" w:rsidP="0039762C">
            <w:pPr>
              <w:ind w:left="82" w:right="161"/>
              <w:jc w:val="both"/>
              <w:rPr>
                <w:sz w:val="26"/>
                <w:szCs w:val="26"/>
                <w:lang w:eastAsia="en-US"/>
              </w:rPr>
            </w:pPr>
            <w:r w:rsidRPr="00CD371F">
              <w:rPr>
                <w:sz w:val="26"/>
                <w:szCs w:val="26"/>
                <w:lang w:eastAsia="en-US"/>
              </w:rPr>
              <w:t xml:space="preserve">Ministru kabineta noteikumu projekta izpildi nodrošinās Ekonomikas ministrija un akciju sabiedrība “Attīstības finanšu institūcija </w:t>
            </w:r>
            <w:proofErr w:type="spellStart"/>
            <w:r w:rsidRPr="00CD371F">
              <w:rPr>
                <w:sz w:val="26"/>
                <w:szCs w:val="26"/>
                <w:lang w:eastAsia="en-US"/>
              </w:rPr>
              <w:t>Altum</w:t>
            </w:r>
            <w:proofErr w:type="spellEnd"/>
            <w:r w:rsidRPr="00CD371F">
              <w:rPr>
                <w:sz w:val="26"/>
                <w:szCs w:val="26"/>
                <w:lang w:eastAsia="en-US"/>
              </w:rPr>
              <w:t>”.</w:t>
            </w:r>
          </w:p>
        </w:tc>
      </w:tr>
      <w:tr w:rsidR="0039762C" w:rsidRPr="00CD371F" w14:paraId="3298EE85" w14:textId="77777777" w:rsidTr="00FA631E">
        <w:trPr>
          <w:trHeight w:val="450"/>
        </w:trPr>
        <w:tc>
          <w:tcPr>
            <w:tcW w:w="270" w:type="dxa"/>
            <w:tcBorders>
              <w:top w:val="outset" w:sz="6" w:space="0" w:color="414142"/>
              <w:left w:val="outset" w:sz="6" w:space="0" w:color="414142"/>
              <w:bottom w:val="outset" w:sz="6" w:space="0" w:color="414142"/>
              <w:right w:val="outset" w:sz="6" w:space="0" w:color="414142"/>
            </w:tcBorders>
            <w:hideMark/>
          </w:tcPr>
          <w:p w14:paraId="26E934E6" w14:textId="77777777" w:rsidR="0039762C" w:rsidRPr="00CD371F" w:rsidRDefault="0039762C" w:rsidP="0039762C">
            <w:pPr>
              <w:spacing w:before="100" w:beforeAutospacing="1" w:after="100" w:afterAutospacing="1"/>
              <w:rPr>
                <w:rFonts w:eastAsia="Times New Roman"/>
                <w:sz w:val="26"/>
                <w:szCs w:val="26"/>
              </w:rPr>
            </w:pPr>
            <w:r w:rsidRPr="00CD371F">
              <w:rPr>
                <w:rFonts w:eastAsia="Times New Roman"/>
                <w:color w:val="000000"/>
                <w:sz w:val="26"/>
                <w:szCs w:val="26"/>
              </w:rPr>
              <w:t>2.</w:t>
            </w:r>
          </w:p>
        </w:tc>
        <w:tc>
          <w:tcPr>
            <w:tcW w:w="2739" w:type="dxa"/>
            <w:tcBorders>
              <w:top w:val="outset" w:sz="6" w:space="0" w:color="414142"/>
              <w:left w:val="outset" w:sz="6" w:space="0" w:color="414142"/>
              <w:bottom w:val="outset" w:sz="6" w:space="0" w:color="414142"/>
              <w:right w:val="outset" w:sz="6" w:space="0" w:color="414142"/>
            </w:tcBorders>
            <w:hideMark/>
          </w:tcPr>
          <w:p w14:paraId="5B9F23A2" w14:textId="77777777" w:rsidR="0039762C" w:rsidRPr="00CD371F" w:rsidRDefault="0039762C" w:rsidP="0039762C">
            <w:pPr>
              <w:ind w:right="112"/>
              <w:jc w:val="both"/>
              <w:rPr>
                <w:sz w:val="26"/>
                <w:szCs w:val="26"/>
                <w:lang w:eastAsia="en-US"/>
              </w:rPr>
            </w:pPr>
            <w:r w:rsidRPr="00CD371F">
              <w:rPr>
                <w:sz w:val="26"/>
                <w:szCs w:val="26"/>
                <w:lang w:eastAsia="en-US"/>
              </w:rPr>
              <w:t>Projekta izpildes ietekme uz pārvaldes funkcijām un institucionālo struktūru. Jaunu institūciju izveide, esošu institūciju likvidācija vai reorganizācija, to ietekme uz institūcijas cilvēkresursiem.</w:t>
            </w:r>
          </w:p>
        </w:tc>
        <w:tc>
          <w:tcPr>
            <w:tcW w:w="6197" w:type="dxa"/>
            <w:tcBorders>
              <w:top w:val="outset" w:sz="6" w:space="0" w:color="414142"/>
              <w:left w:val="outset" w:sz="6" w:space="0" w:color="414142"/>
              <w:bottom w:val="outset" w:sz="6" w:space="0" w:color="414142"/>
              <w:right w:val="outset" w:sz="6" w:space="0" w:color="414142"/>
            </w:tcBorders>
            <w:hideMark/>
          </w:tcPr>
          <w:p w14:paraId="0326F404" w14:textId="77777777" w:rsidR="0039762C" w:rsidRPr="00CD371F" w:rsidRDefault="0039762C" w:rsidP="0039762C">
            <w:pPr>
              <w:ind w:left="82" w:right="161"/>
              <w:jc w:val="both"/>
              <w:rPr>
                <w:sz w:val="26"/>
                <w:szCs w:val="26"/>
                <w:lang w:eastAsia="en-US"/>
              </w:rPr>
            </w:pPr>
            <w:r w:rsidRPr="00CD371F">
              <w:rPr>
                <w:sz w:val="26"/>
                <w:szCs w:val="26"/>
                <w:lang w:eastAsia="en-US"/>
              </w:rPr>
              <w:t xml:space="preserve">Ministru kabineta noteikumu projekta izpilde tiks nodrošināta Ekonomikas ministrijas un akciju sabiedrības “Attīstības finanšu institūcija </w:t>
            </w:r>
            <w:proofErr w:type="spellStart"/>
            <w:r w:rsidRPr="00CD371F">
              <w:rPr>
                <w:sz w:val="26"/>
                <w:szCs w:val="26"/>
                <w:lang w:eastAsia="en-US"/>
              </w:rPr>
              <w:t>Altum</w:t>
            </w:r>
            <w:proofErr w:type="spellEnd"/>
            <w:r w:rsidRPr="00CD371F">
              <w:rPr>
                <w:sz w:val="26"/>
                <w:szCs w:val="26"/>
                <w:lang w:eastAsia="en-US"/>
              </w:rPr>
              <w:t>” esošo funkciju ietvaros.</w:t>
            </w:r>
          </w:p>
          <w:p w14:paraId="086C0217" w14:textId="77777777" w:rsidR="0039762C" w:rsidRPr="00CD371F" w:rsidRDefault="0039762C" w:rsidP="0039762C">
            <w:pPr>
              <w:ind w:left="82" w:right="161" w:firstLine="720"/>
              <w:jc w:val="both"/>
              <w:rPr>
                <w:sz w:val="26"/>
                <w:szCs w:val="26"/>
                <w:lang w:eastAsia="en-US"/>
              </w:rPr>
            </w:pPr>
          </w:p>
        </w:tc>
      </w:tr>
      <w:tr w:rsidR="0039762C" w:rsidRPr="00CD371F" w14:paraId="135A1461" w14:textId="77777777" w:rsidTr="00FA631E">
        <w:trPr>
          <w:trHeight w:val="390"/>
        </w:trPr>
        <w:tc>
          <w:tcPr>
            <w:tcW w:w="270" w:type="dxa"/>
            <w:tcBorders>
              <w:top w:val="outset" w:sz="6" w:space="0" w:color="414142"/>
              <w:left w:val="outset" w:sz="6" w:space="0" w:color="414142"/>
              <w:bottom w:val="outset" w:sz="6" w:space="0" w:color="414142"/>
              <w:right w:val="outset" w:sz="6" w:space="0" w:color="414142"/>
            </w:tcBorders>
            <w:hideMark/>
          </w:tcPr>
          <w:p w14:paraId="30033DB3" w14:textId="77777777" w:rsidR="0039762C" w:rsidRPr="00CD371F" w:rsidRDefault="0039762C" w:rsidP="0039762C">
            <w:pPr>
              <w:spacing w:before="100" w:beforeAutospacing="1" w:after="100" w:afterAutospacing="1"/>
              <w:rPr>
                <w:rFonts w:eastAsia="Times New Roman"/>
                <w:sz w:val="26"/>
                <w:szCs w:val="26"/>
              </w:rPr>
            </w:pPr>
            <w:r w:rsidRPr="00CD371F">
              <w:rPr>
                <w:rFonts w:eastAsia="Times New Roman"/>
                <w:color w:val="000000"/>
                <w:sz w:val="26"/>
                <w:szCs w:val="26"/>
              </w:rPr>
              <w:t>3.</w:t>
            </w:r>
          </w:p>
        </w:tc>
        <w:tc>
          <w:tcPr>
            <w:tcW w:w="2739" w:type="dxa"/>
            <w:tcBorders>
              <w:top w:val="outset" w:sz="6" w:space="0" w:color="414142"/>
              <w:left w:val="outset" w:sz="6" w:space="0" w:color="414142"/>
              <w:bottom w:val="outset" w:sz="6" w:space="0" w:color="414142"/>
              <w:right w:val="outset" w:sz="6" w:space="0" w:color="414142"/>
            </w:tcBorders>
            <w:hideMark/>
          </w:tcPr>
          <w:p w14:paraId="0762BB02" w14:textId="77777777" w:rsidR="0039762C" w:rsidRPr="00CD371F" w:rsidRDefault="0039762C" w:rsidP="0039762C">
            <w:pPr>
              <w:jc w:val="both"/>
              <w:rPr>
                <w:rFonts w:eastAsia="Times New Roman"/>
                <w:sz w:val="26"/>
                <w:szCs w:val="26"/>
              </w:rPr>
            </w:pPr>
            <w:r w:rsidRPr="00CD371F">
              <w:rPr>
                <w:rFonts w:eastAsia="Times New Roman"/>
                <w:sz w:val="26"/>
                <w:szCs w:val="26"/>
              </w:rPr>
              <w:t>Cita informācija</w:t>
            </w:r>
          </w:p>
        </w:tc>
        <w:tc>
          <w:tcPr>
            <w:tcW w:w="6197" w:type="dxa"/>
            <w:tcBorders>
              <w:top w:val="outset" w:sz="6" w:space="0" w:color="414142"/>
              <w:left w:val="outset" w:sz="6" w:space="0" w:color="414142"/>
              <w:bottom w:val="outset" w:sz="6" w:space="0" w:color="414142"/>
              <w:right w:val="outset" w:sz="6" w:space="0" w:color="414142"/>
            </w:tcBorders>
            <w:hideMark/>
          </w:tcPr>
          <w:p w14:paraId="71ACF5AE" w14:textId="77777777" w:rsidR="0039762C" w:rsidRPr="00CD371F" w:rsidRDefault="0039762C" w:rsidP="008842B9">
            <w:pPr>
              <w:jc w:val="both"/>
              <w:rPr>
                <w:rFonts w:eastAsia="Times New Roman"/>
                <w:sz w:val="26"/>
                <w:szCs w:val="26"/>
              </w:rPr>
            </w:pPr>
            <w:r w:rsidRPr="00CD371F">
              <w:rPr>
                <w:rFonts w:eastAsia="Times New Roman"/>
                <w:sz w:val="26"/>
                <w:szCs w:val="26"/>
              </w:rPr>
              <w:t>Nav</w:t>
            </w:r>
          </w:p>
        </w:tc>
      </w:tr>
    </w:tbl>
    <w:p w14:paraId="1E97F0F7" w14:textId="77777777" w:rsidR="0039762C" w:rsidRPr="00CD371F" w:rsidRDefault="0039762C" w:rsidP="00A861B4">
      <w:pPr>
        <w:jc w:val="both"/>
        <w:rPr>
          <w:sz w:val="26"/>
          <w:szCs w:val="26"/>
        </w:rPr>
      </w:pPr>
    </w:p>
    <w:p w14:paraId="1EF7C2DD" w14:textId="11BDD410" w:rsidR="00CF6A56" w:rsidRPr="00455957" w:rsidRDefault="00692A9F" w:rsidP="00F562D3">
      <w:pPr>
        <w:rPr>
          <w:sz w:val="26"/>
          <w:szCs w:val="26"/>
        </w:rPr>
      </w:pPr>
      <w:r>
        <w:rPr>
          <w:sz w:val="26"/>
          <w:szCs w:val="26"/>
        </w:rPr>
        <w:t>E</w:t>
      </w:r>
      <w:r w:rsidR="00B67F84" w:rsidRPr="00455957">
        <w:rPr>
          <w:sz w:val="26"/>
          <w:szCs w:val="26"/>
        </w:rPr>
        <w:t xml:space="preserve">konomikas ministrs      </w:t>
      </w:r>
      <w:r w:rsidR="00B67F84" w:rsidRPr="00455957">
        <w:rPr>
          <w:sz w:val="26"/>
          <w:szCs w:val="26"/>
        </w:rPr>
        <w:tab/>
      </w:r>
      <w:r w:rsidR="00B67F84" w:rsidRPr="00455957">
        <w:rPr>
          <w:sz w:val="26"/>
          <w:szCs w:val="26"/>
        </w:rPr>
        <w:tab/>
      </w:r>
      <w:r w:rsidR="00CF6A56" w:rsidRPr="00455957">
        <w:rPr>
          <w:sz w:val="26"/>
          <w:szCs w:val="26"/>
        </w:rPr>
        <w:tab/>
      </w:r>
      <w:r w:rsidR="00CF6A56" w:rsidRPr="00455957">
        <w:rPr>
          <w:sz w:val="26"/>
          <w:szCs w:val="26"/>
        </w:rPr>
        <w:tab/>
      </w:r>
      <w:r w:rsidR="00CF6A56" w:rsidRPr="00455957">
        <w:rPr>
          <w:sz w:val="26"/>
          <w:szCs w:val="26"/>
        </w:rPr>
        <w:tab/>
        <w:t xml:space="preserve">                    </w:t>
      </w:r>
      <w:r w:rsidR="00455957">
        <w:rPr>
          <w:sz w:val="26"/>
          <w:szCs w:val="26"/>
        </w:rPr>
        <w:t xml:space="preserve">       </w:t>
      </w:r>
      <w:r w:rsidR="00CF6A56" w:rsidRPr="00455957">
        <w:rPr>
          <w:sz w:val="26"/>
          <w:szCs w:val="26"/>
        </w:rPr>
        <w:t xml:space="preserve">  </w:t>
      </w:r>
      <w:proofErr w:type="spellStart"/>
      <w:r w:rsidR="00455957" w:rsidRPr="00455957">
        <w:rPr>
          <w:sz w:val="26"/>
          <w:szCs w:val="26"/>
        </w:rPr>
        <w:t>R.Nemiro</w:t>
      </w:r>
      <w:proofErr w:type="spellEnd"/>
    </w:p>
    <w:p w14:paraId="21FB4D09" w14:textId="77777777" w:rsidR="00CF6A56" w:rsidRPr="00455957" w:rsidRDefault="00CF6A56" w:rsidP="00F562D3">
      <w:pPr>
        <w:rPr>
          <w:sz w:val="26"/>
          <w:szCs w:val="26"/>
        </w:rPr>
      </w:pPr>
      <w:r w:rsidRPr="00455957">
        <w:rPr>
          <w:sz w:val="26"/>
          <w:szCs w:val="26"/>
        </w:rPr>
        <w:tab/>
      </w:r>
    </w:p>
    <w:p w14:paraId="40C72750" w14:textId="415AFD13" w:rsidR="00CF6A56" w:rsidRPr="00CD371F" w:rsidRDefault="00CF6A56" w:rsidP="00F562D3">
      <w:pPr>
        <w:rPr>
          <w:sz w:val="26"/>
          <w:szCs w:val="26"/>
        </w:rPr>
      </w:pPr>
      <w:r w:rsidRPr="00455957">
        <w:rPr>
          <w:sz w:val="26"/>
          <w:szCs w:val="26"/>
        </w:rPr>
        <w:t xml:space="preserve">Vīza: Valsts </w:t>
      </w:r>
      <w:r w:rsidR="00B67F84" w:rsidRPr="00455957">
        <w:rPr>
          <w:sz w:val="26"/>
          <w:szCs w:val="26"/>
        </w:rPr>
        <w:t>sekretārs</w:t>
      </w:r>
      <w:r w:rsidR="00B67F84" w:rsidRPr="00455957">
        <w:rPr>
          <w:sz w:val="26"/>
          <w:szCs w:val="26"/>
        </w:rPr>
        <w:tab/>
      </w:r>
      <w:r w:rsidR="00B67F84" w:rsidRPr="00455957">
        <w:rPr>
          <w:sz w:val="26"/>
          <w:szCs w:val="26"/>
        </w:rPr>
        <w:tab/>
      </w:r>
      <w:r w:rsidR="00B67F84" w:rsidRPr="00455957">
        <w:rPr>
          <w:sz w:val="26"/>
          <w:szCs w:val="26"/>
        </w:rPr>
        <w:tab/>
      </w:r>
      <w:r w:rsidRPr="00455957">
        <w:rPr>
          <w:sz w:val="26"/>
          <w:szCs w:val="26"/>
        </w:rPr>
        <w:tab/>
      </w:r>
      <w:r w:rsidRPr="00455957">
        <w:rPr>
          <w:sz w:val="26"/>
          <w:szCs w:val="26"/>
        </w:rPr>
        <w:tab/>
      </w:r>
      <w:r w:rsidRPr="00455957">
        <w:rPr>
          <w:sz w:val="26"/>
          <w:szCs w:val="26"/>
        </w:rPr>
        <w:tab/>
        <w:t xml:space="preserve">    </w:t>
      </w:r>
      <w:r w:rsidRPr="00455957">
        <w:rPr>
          <w:sz w:val="26"/>
          <w:szCs w:val="26"/>
        </w:rPr>
        <w:tab/>
        <w:t xml:space="preserve">    </w:t>
      </w:r>
      <w:r w:rsidR="00692A9F">
        <w:rPr>
          <w:sz w:val="26"/>
          <w:szCs w:val="26"/>
        </w:rPr>
        <w:t xml:space="preserve">   </w:t>
      </w:r>
      <w:r w:rsidR="008842B9" w:rsidRPr="00455957">
        <w:rPr>
          <w:sz w:val="26"/>
          <w:szCs w:val="26"/>
        </w:rPr>
        <w:t>Ē.</w:t>
      </w:r>
      <w:r w:rsidR="00273B79" w:rsidRPr="00455957">
        <w:rPr>
          <w:sz w:val="26"/>
          <w:szCs w:val="26"/>
        </w:rPr>
        <w:t xml:space="preserve"> </w:t>
      </w:r>
      <w:r w:rsidR="008842B9" w:rsidRPr="00455957">
        <w:rPr>
          <w:sz w:val="26"/>
          <w:szCs w:val="26"/>
        </w:rPr>
        <w:t>Eglītis</w:t>
      </w:r>
      <w:r w:rsidRPr="00CD371F">
        <w:rPr>
          <w:sz w:val="26"/>
          <w:szCs w:val="26"/>
        </w:rPr>
        <w:t xml:space="preserve"> </w:t>
      </w:r>
    </w:p>
    <w:p w14:paraId="0C86EB2C" w14:textId="77777777" w:rsidR="00B67F84" w:rsidRPr="00CD371F" w:rsidRDefault="00B67F84" w:rsidP="00F562D3">
      <w:pPr>
        <w:rPr>
          <w:sz w:val="26"/>
          <w:szCs w:val="26"/>
        </w:rPr>
      </w:pPr>
    </w:p>
    <w:p w14:paraId="1F497321" w14:textId="293AAD6D" w:rsidR="003A53E7" w:rsidRDefault="00692A9F" w:rsidP="003A53E7">
      <w:pPr>
        <w:ind w:left="-567"/>
        <w:rPr>
          <w:sz w:val="16"/>
          <w:szCs w:val="16"/>
          <w:lang w:val="en-AU"/>
        </w:rPr>
      </w:pPr>
      <w:r>
        <w:rPr>
          <w:sz w:val="16"/>
          <w:szCs w:val="16"/>
          <w:lang w:val="en-AU"/>
        </w:rPr>
        <w:t>Liene Bergholde</w:t>
      </w:r>
      <w:r w:rsidR="003A53E7">
        <w:rPr>
          <w:sz w:val="16"/>
          <w:szCs w:val="16"/>
          <w:lang w:val="en-AU"/>
        </w:rPr>
        <w:t>, 67013</w:t>
      </w:r>
      <w:r>
        <w:rPr>
          <w:sz w:val="16"/>
          <w:szCs w:val="16"/>
          <w:lang w:val="en-AU"/>
        </w:rPr>
        <w:t>203</w:t>
      </w:r>
    </w:p>
    <w:p w14:paraId="29104674" w14:textId="0C6E46D8" w:rsidR="003A53E7" w:rsidRDefault="00475E4E" w:rsidP="00462A3C">
      <w:pPr>
        <w:ind w:left="-567"/>
        <w:rPr>
          <w:rFonts w:ascii="Calibri" w:hAnsi="Calibri"/>
          <w:sz w:val="22"/>
          <w:szCs w:val="22"/>
          <w:lang w:eastAsia="en-US"/>
        </w:rPr>
      </w:pPr>
      <w:hyperlink r:id="rId12" w:history="1">
        <w:r w:rsidR="00692A9F" w:rsidRPr="00CD6397">
          <w:rPr>
            <w:rStyle w:val="Hyperlink"/>
            <w:sz w:val="16"/>
            <w:szCs w:val="16"/>
            <w:lang w:val="en-AU"/>
          </w:rPr>
          <w:t>Liene.Bergholde@em.gov.lv</w:t>
        </w:r>
      </w:hyperlink>
      <w:r w:rsidR="003A53E7">
        <w:rPr>
          <w:sz w:val="16"/>
          <w:szCs w:val="16"/>
          <w:lang w:val="en-AU"/>
        </w:rPr>
        <w:t xml:space="preserve"> </w:t>
      </w:r>
    </w:p>
    <w:sectPr w:rsidR="003A53E7" w:rsidSect="00BB3106">
      <w:headerReference w:type="default" r:id="rId13"/>
      <w:footerReference w:type="even" r:id="rId14"/>
      <w:footerReference w:type="default" r:id="rId15"/>
      <w:headerReference w:type="first" r:id="rId16"/>
      <w:footerReference w:type="first" r:id="rId17"/>
      <w:pgSz w:w="11906" w:h="16838"/>
      <w:pgMar w:top="1134" w:right="1134" w:bottom="1134" w:left="170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500E" w14:textId="77777777" w:rsidR="00E14B0B" w:rsidRDefault="00E14B0B">
      <w:r>
        <w:separator/>
      </w:r>
    </w:p>
  </w:endnote>
  <w:endnote w:type="continuationSeparator" w:id="0">
    <w:p w14:paraId="38AD0BA2" w14:textId="77777777" w:rsidR="00E14B0B" w:rsidRDefault="00E14B0B">
      <w:r>
        <w:continuationSeparator/>
      </w:r>
    </w:p>
  </w:endnote>
  <w:endnote w:type="continuationNotice" w:id="1">
    <w:p w14:paraId="6DCB78B7" w14:textId="77777777" w:rsidR="00E14B0B" w:rsidRDefault="00E14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28E6" w14:textId="77777777" w:rsidR="004C047A" w:rsidRPr="00186C21" w:rsidRDefault="004C047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3804" w14:textId="456F31B1" w:rsidR="00C40BFE" w:rsidRPr="003903A8" w:rsidRDefault="00C40BFE" w:rsidP="00C40BFE">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00038E">
      <w:rPr>
        <w:bCs/>
        <w:noProof/>
        <w:sz w:val="20"/>
        <w:szCs w:val="20"/>
      </w:rPr>
      <w:t>EMAnot_180219_groz997.docx</w:t>
    </w:r>
    <w:r>
      <w:rPr>
        <w:bCs/>
        <w:sz w:val="20"/>
        <w:szCs w:val="20"/>
      </w:rPr>
      <w:fldChar w:fldCharType="end"/>
    </w:r>
  </w:p>
  <w:p w14:paraId="2CB19F89" w14:textId="77777777" w:rsidR="004C047A" w:rsidRPr="00F07CAE" w:rsidRDefault="004C047A" w:rsidP="00F07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2470" w14:textId="68C79158" w:rsidR="004C047A" w:rsidRPr="003903A8" w:rsidRDefault="004C047A" w:rsidP="00504A53">
    <w:pPr>
      <w:tabs>
        <w:tab w:val="left" w:pos="9071"/>
      </w:tabs>
      <w:ind w:right="-1"/>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00038E">
      <w:rPr>
        <w:bCs/>
        <w:noProof/>
        <w:sz w:val="20"/>
        <w:szCs w:val="20"/>
      </w:rPr>
      <w:t>EMAnot_180219_groz997.docx</w:t>
    </w:r>
    <w:r>
      <w:rPr>
        <w:bCs/>
        <w:sz w:val="20"/>
        <w:szCs w:val="20"/>
      </w:rPr>
      <w:fldChar w:fldCharType="end"/>
    </w:r>
    <w:r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067C" w14:textId="77777777" w:rsidR="00E14B0B" w:rsidRDefault="00E14B0B">
      <w:r>
        <w:separator/>
      </w:r>
    </w:p>
  </w:footnote>
  <w:footnote w:type="continuationSeparator" w:id="0">
    <w:p w14:paraId="2AC8D717" w14:textId="77777777" w:rsidR="00E14B0B" w:rsidRDefault="00E14B0B">
      <w:r>
        <w:continuationSeparator/>
      </w:r>
    </w:p>
  </w:footnote>
  <w:footnote w:type="continuationNotice" w:id="1">
    <w:p w14:paraId="1F32E330" w14:textId="77777777" w:rsidR="00E14B0B" w:rsidRDefault="00E14B0B"/>
  </w:footnote>
  <w:footnote w:id="2">
    <w:p w14:paraId="4EFF8477" w14:textId="77777777" w:rsidR="0002658D" w:rsidRPr="0002658D" w:rsidRDefault="0002658D">
      <w:pPr>
        <w:pStyle w:val="FootnoteText"/>
        <w:rPr>
          <w:lang w:val="lv-LV"/>
        </w:rPr>
      </w:pPr>
      <w:r>
        <w:rPr>
          <w:rStyle w:val="FootnoteReference"/>
        </w:rPr>
        <w:footnoteRef/>
      </w:r>
      <w:r>
        <w:t xml:space="preserve"> </w:t>
      </w:r>
      <w:hyperlink r:id="rId1" w:history="1">
        <w:r w:rsidRPr="00E71F9E">
          <w:rPr>
            <w:rStyle w:val="Hyperlink"/>
          </w:rPr>
          <w:t>http://tap.mk.gov.lv/mk/mksedes/saraksts/protokols/?protokols=2017-11-14</w:t>
        </w:r>
      </w:hyperlink>
      <w:r>
        <w:t xml:space="preserve"> </w:t>
      </w:r>
    </w:p>
  </w:footnote>
  <w:footnote w:id="3">
    <w:p w14:paraId="6833AE8F" w14:textId="24FB22C0" w:rsidR="00852030" w:rsidRPr="00784DD1" w:rsidRDefault="00852030">
      <w:pPr>
        <w:pStyle w:val="FootnoteText"/>
        <w:rPr>
          <w:lang w:val="lv-LV"/>
        </w:rPr>
      </w:pPr>
      <w:r>
        <w:rPr>
          <w:rStyle w:val="FootnoteReference"/>
        </w:rPr>
        <w:footnoteRef/>
      </w:r>
      <w:r>
        <w:t xml:space="preserve"> </w:t>
      </w:r>
      <w:r>
        <w:rPr>
          <w:lang w:val="lv-LV"/>
        </w:rPr>
        <w:t xml:space="preserve">MK noteikumu projekts izsludināts VSS 12.07.2018. </w:t>
      </w:r>
      <w:hyperlink r:id="rId2" w:history="1">
        <w:r w:rsidRPr="00582FFC">
          <w:rPr>
            <w:rStyle w:val="Hyperlink"/>
          </w:rPr>
          <w:t>http://tap.mk.gov.lv/lv/mk/tap/?pid=40460363</w:t>
        </w:r>
      </w:hyperlink>
      <w:r>
        <w:t xml:space="preserve"> </w:t>
      </w:r>
    </w:p>
  </w:footnote>
  <w:footnote w:id="4">
    <w:p w14:paraId="3B89ACA9" w14:textId="77777777" w:rsidR="000F3075" w:rsidRPr="000F3075" w:rsidRDefault="000F3075">
      <w:pPr>
        <w:pStyle w:val="FootnoteText"/>
        <w:rPr>
          <w:lang w:val="lv-LV"/>
        </w:rPr>
      </w:pPr>
      <w:r>
        <w:rPr>
          <w:rStyle w:val="FootnoteReference"/>
        </w:rPr>
        <w:footnoteRef/>
      </w:r>
      <w:r>
        <w:t xml:space="preserve"> </w:t>
      </w:r>
      <w:hyperlink r:id="rId3" w:history="1">
        <w:r w:rsidRPr="00E71F9E">
          <w:rPr>
            <w:rStyle w:val="Hyperlink"/>
          </w:rPr>
          <w:t>https://www.finnvera.fi/eng/products/guarantees/finnvera-guarantee</w:t>
        </w:r>
      </w:hyperlink>
      <w:r>
        <w:t xml:space="preserve"> </w:t>
      </w:r>
    </w:p>
  </w:footnote>
  <w:footnote w:id="5">
    <w:p w14:paraId="2BB1AAA9" w14:textId="77777777" w:rsidR="00CA2734" w:rsidRPr="00B765A7" w:rsidRDefault="00CA2734" w:rsidP="00CA2734">
      <w:pPr>
        <w:pStyle w:val="FootnoteText"/>
        <w:rPr>
          <w:lang w:val="lv-LV"/>
        </w:rPr>
      </w:pPr>
      <w:r>
        <w:rPr>
          <w:rStyle w:val="FootnoteReference"/>
        </w:rPr>
        <w:footnoteRef/>
      </w:r>
      <w:r w:rsidRPr="00B765A7">
        <w:rPr>
          <w:lang w:val="lv-LV"/>
        </w:rPr>
        <w:t xml:space="preserve"> </w:t>
      </w:r>
      <w:hyperlink r:id="rId4" w:history="1">
        <w:r w:rsidRPr="00B765A7">
          <w:rPr>
            <w:rStyle w:val="Hyperlink"/>
            <w:lang w:val="lv-LV"/>
          </w:rPr>
          <w:t>http://eur-lex.europa.eu/legal-content/LV/TXT/?uri=CELEX%3A52008XC0620(02)</w:t>
        </w:r>
      </w:hyperlink>
    </w:p>
    <w:p w14:paraId="59ECD203" w14:textId="77777777" w:rsidR="00CA2734" w:rsidRPr="004B385B" w:rsidRDefault="00CA2734" w:rsidP="00CA2734">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BF92" w14:textId="2C03B562" w:rsidR="004C047A" w:rsidRDefault="004C047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3378">
      <w:rPr>
        <w:rStyle w:val="PageNumber"/>
        <w:noProof/>
      </w:rPr>
      <w:t>5</w:t>
    </w:r>
    <w:r>
      <w:rPr>
        <w:rStyle w:val="PageNumber"/>
      </w:rPr>
      <w:fldChar w:fldCharType="end"/>
    </w:r>
  </w:p>
  <w:p w14:paraId="452E0C7F" w14:textId="77777777" w:rsidR="004C047A" w:rsidRDefault="004C0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F99D" w14:textId="77777777" w:rsidR="004C047A" w:rsidRPr="00433CA3" w:rsidRDefault="004C047A" w:rsidP="00433CA3">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7825D1EA"/>
    <w:lvl w:ilvl="0" w:tplc="F0F0CBB0">
      <w:start w:val="14"/>
      <w:numFmt w:val="bullet"/>
      <w:lvlText w:val="-"/>
      <w:lvlJc w:val="left"/>
      <w:pPr>
        <w:ind w:left="720" w:hanging="360"/>
      </w:pPr>
      <w:rPr>
        <w:rFonts w:ascii="Times New Roman" w:eastAsia="Times New Roman" w:hAnsi="Times New Roman"/>
        <w:w w:val="100"/>
        <w:sz w:val="20"/>
        <w:szCs w:val="20"/>
        <w:shd w:val="clear" w:color="auto" w:fill="auto"/>
      </w:rPr>
    </w:lvl>
    <w:lvl w:ilvl="1" w:tplc="A6883176">
      <w:start w:val="1"/>
      <w:numFmt w:val="bullet"/>
      <w:lvlText w:val="o"/>
      <w:lvlJc w:val="left"/>
      <w:pPr>
        <w:ind w:left="1440" w:hanging="360"/>
      </w:pPr>
      <w:rPr>
        <w:rFonts w:ascii="Courier New" w:eastAsia="Courier New" w:hAnsi="Courier New"/>
        <w:w w:val="100"/>
        <w:sz w:val="20"/>
        <w:szCs w:val="20"/>
        <w:shd w:val="clear" w:color="auto" w:fill="auto"/>
      </w:rPr>
    </w:lvl>
    <w:lvl w:ilvl="2" w:tplc="EF1CAD44">
      <w:start w:val="1"/>
      <w:numFmt w:val="bullet"/>
      <w:lvlText w:val="§"/>
      <w:lvlJc w:val="left"/>
      <w:pPr>
        <w:ind w:left="2160" w:hanging="360"/>
      </w:pPr>
      <w:rPr>
        <w:rFonts w:ascii="Wingdings" w:eastAsia="Wingdings" w:hAnsi="Wingdings"/>
        <w:w w:val="100"/>
        <w:sz w:val="20"/>
        <w:szCs w:val="20"/>
        <w:shd w:val="clear" w:color="auto" w:fill="auto"/>
      </w:rPr>
    </w:lvl>
    <w:lvl w:ilvl="3" w:tplc="858CDBDA">
      <w:start w:val="1"/>
      <w:numFmt w:val="bullet"/>
      <w:lvlText w:val="·"/>
      <w:lvlJc w:val="left"/>
      <w:pPr>
        <w:ind w:left="2880" w:hanging="360"/>
      </w:pPr>
      <w:rPr>
        <w:rFonts w:ascii="Symbol" w:eastAsia="Symbol" w:hAnsi="Symbol"/>
        <w:w w:val="100"/>
        <w:sz w:val="20"/>
        <w:szCs w:val="20"/>
        <w:shd w:val="clear" w:color="auto" w:fill="auto"/>
      </w:rPr>
    </w:lvl>
    <w:lvl w:ilvl="4" w:tplc="ED60080E">
      <w:start w:val="1"/>
      <w:numFmt w:val="bullet"/>
      <w:lvlText w:val="o"/>
      <w:lvlJc w:val="left"/>
      <w:pPr>
        <w:ind w:left="3600" w:hanging="360"/>
      </w:pPr>
      <w:rPr>
        <w:rFonts w:ascii="Courier New" w:eastAsia="Courier New" w:hAnsi="Courier New"/>
        <w:w w:val="100"/>
        <w:sz w:val="20"/>
        <w:szCs w:val="20"/>
        <w:shd w:val="clear" w:color="auto" w:fill="auto"/>
      </w:rPr>
    </w:lvl>
    <w:lvl w:ilvl="5" w:tplc="49BC085A">
      <w:start w:val="1"/>
      <w:numFmt w:val="bullet"/>
      <w:lvlText w:val="§"/>
      <w:lvlJc w:val="left"/>
      <w:pPr>
        <w:ind w:left="4320" w:hanging="360"/>
      </w:pPr>
      <w:rPr>
        <w:rFonts w:ascii="Wingdings" w:eastAsia="Wingdings" w:hAnsi="Wingdings"/>
        <w:w w:val="100"/>
        <w:sz w:val="20"/>
        <w:szCs w:val="20"/>
        <w:shd w:val="clear" w:color="auto" w:fill="auto"/>
      </w:rPr>
    </w:lvl>
    <w:lvl w:ilvl="6" w:tplc="A320AFCC">
      <w:start w:val="1"/>
      <w:numFmt w:val="bullet"/>
      <w:lvlText w:val="·"/>
      <w:lvlJc w:val="left"/>
      <w:pPr>
        <w:ind w:left="5040" w:hanging="360"/>
      </w:pPr>
      <w:rPr>
        <w:rFonts w:ascii="Symbol" w:eastAsia="Symbol" w:hAnsi="Symbol"/>
        <w:w w:val="100"/>
        <w:sz w:val="20"/>
        <w:szCs w:val="20"/>
        <w:shd w:val="clear" w:color="auto" w:fill="auto"/>
      </w:rPr>
    </w:lvl>
    <w:lvl w:ilvl="7" w:tplc="D0108916">
      <w:start w:val="1"/>
      <w:numFmt w:val="bullet"/>
      <w:lvlText w:val="o"/>
      <w:lvlJc w:val="left"/>
      <w:pPr>
        <w:ind w:left="5760" w:hanging="360"/>
      </w:pPr>
      <w:rPr>
        <w:rFonts w:ascii="Courier New" w:eastAsia="Courier New" w:hAnsi="Courier New"/>
        <w:w w:val="100"/>
        <w:sz w:val="20"/>
        <w:szCs w:val="20"/>
        <w:shd w:val="clear" w:color="auto" w:fill="auto"/>
      </w:rPr>
    </w:lvl>
    <w:lvl w:ilvl="8" w:tplc="980476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30D108F1"/>
    <w:multiLevelType w:val="multilevel"/>
    <w:tmpl w:val="60E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005251"/>
    <w:multiLevelType w:val="hybridMultilevel"/>
    <w:tmpl w:val="A52E4EE0"/>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3A16233E"/>
    <w:multiLevelType w:val="hybridMultilevel"/>
    <w:tmpl w:val="2EE8EA98"/>
    <w:lvl w:ilvl="0" w:tplc="3D0421A6">
      <w:numFmt w:val="bullet"/>
      <w:lvlText w:val="-"/>
      <w:lvlJc w:val="left"/>
      <w:pPr>
        <w:ind w:left="420" w:hanging="360"/>
      </w:pPr>
      <w:rPr>
        <w:rFonts w:ascii="Times New Roman" w:eastAsiaTheme="minorHAnsi" w:hAnsi="Times New Roman" w:cs="Times New Roman" w:hint="default"/>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3E3906"/>
    <w:multiLevelType w:val="hybridMultilevel"/>
    <w:tmpl w:val="A11EAB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305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513970"/>
    <w:multiLevelType w:val="hybridMultilevel"/>
    <w:tmpl w:val="770200A6"/>
    <w:lvl w:ilvl="0" w:tplc="AD96E06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8"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15:restartNumberingAfterBreak="0">
    <w:nsid w:val="75B617A8"/>
    <w:multiLevelType w:val="hybridMultilevel"/>
    <w:tmpl w:val="FB487BEA"/>
    <w:lvl w:ilvl="0" w:tplc="45FAE8A0">
      <w:start w:val="201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3"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4F09D7"/>
    <w:multiLevelType w:val="hybridMultilevel"/>
    <w:tmpl w:val="7DE4F490"/>
    <w:lvl w:ilvl="0" w:tplc="C5A0124E">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6"/>
  </w:num>
  <w:num w:numId="3">
    <w:abstractNumId w:val="33"/>
  </w:num>
  <w:num w:numId="4">
    <w:abstractNumId w:val="31"/>
  </w:num>
  <w:num w:numId="5">
    <w:abstractNumId w:val="8"/>
  </w:num>
  <w:num w:numId="6">
    <w:abstractNumId w:val="21"/>
  </w:num>
  <w:num w:numId="7">
    <w:abstractNumId w:val="14"/>
  </w:num>
  <w:num w:numId="8">
    <w:abstractNumId w:val="5"/>
  </w:num>
  <w:num w:numId="9">
    <w:abstractNumId w:val="4"/>
  </w:num>
  <w:num w:numId="10">
    <w:abstractNumId w:val="9"/>
  </w:num>
  <w:num w:numId="11">
    <w:abstractNumId w:val="15"/>
  </w:num>
  <w:num w:numId="12">
    <w:abstractNumId w:val="30"/>
  </w:num>
  <w:num w:numId="13">
    <w:abstractNumId w:val="17"/>
  </w:num>
  <w:num w:numId="14">
    <w:abstractNumId w:val="27"/>
  </w:num>
  <w:num w:numId="15">
    <w:abstractNumId w:val="1"/>
  </w:num>
  <w:num w:numId="16">
    <w:abstractNumId w:val="35"/>
  </w:num>
  <w:num w:numId="17">
    <w:abstractNumId w:val="3"/>
  </w:num>
  <w:num w:numId="18">
    <w:abstractNumId w:val="24"/>
  </w:num>
  <w:num w:numId="19">
    <w:abstractNumId w:val="19"/>
  </w:num>
  <w:num w:numId="20">
    <w:abstractNumId w:val="16"/>
  </w:num>
  <w:num w:numId="21">
    <w:abstractNumId w:val="18"/>
  </w:num>
  <w:num w:numId="22">
    <w:abstractNumId w:val="28"/>
  </w:num>
  <w:num w:numId="23">
    <w:abstractNumId w:val="25"/>
  </w:num>
  <w:num w:numId="24">
    <w:abstractNumId w:val="26"/>
  </w:num>
  <w:num w:numId="25">
    <w:abstractNumId w:val="22"/>
  </w:num>
  <w:num w:numId="26">
    <w:abstractNumId w:val="29"/>
  </w:num>
  <w:num w:numId="27">
    <w:abstractNumId w:val="13"/>
  </w:num>
  <w:num w:numId="28">
    <w:abstractNumId w:val="2"/>
  </w:num>
  <w:num w:numId="29">
    <w:abstractNumId w:val="32"/>
  </w:num>
  <w:num w:numId="30">
    <w:abstractNumId w:val="20"/>
  </w:num>
  <w:num w:numId="31">
    <w:abstractNumId w:val="10"/>
  </w:num>
  <w:num w:numId="32">
    <w:abstractNumId w:val="23"/>
  </w:num>
  <w:num w:numId="33">
    <w:abstractNumId w:val="11"/>
  </w:num>
  <w:num w:numId="34">
    <w:abstractNumId w:val="0"/>
  </w:num>
  <w:num w:numId="35">
    <w:abstractNumId w:val="34"/>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38E"/>
    <w:rsid w:val="00000A3B"/>
    <w:rsid w:val="0000172D"/>
    <w:rsid w:val="00002171"/>
    <w:rsid w:val="0000254C"/>
    <w:rsid w:val="00002E0E"/>
    <w:rsid w:val="00003A26"/>
    <w:rsid w:val="000054C8"/>
    <w:rsid w:val="000069F6"/>
    <w:rsid w:val="00006AF2"/>
    <w:rsid w:val="00006CDD"/>
    <w:rsid w:val="000070AB"/>
    <w:rsid w:val="00010130"/>
    <w:rsid w:val="0001036C"/>
    <w:rsid w:val="00010489"/>
    <w:rsid w:val="00010917"/>
    <w:rsid w:val="00010D44"/>
    <w:rsid w:val="0001104C"/>
    <w:rsid w:val="00011F50"/>
    <w:rsid w:val="000126CC"/>
    <w:rsid w:val="00013582"/>
    <w:rsid w:val="00014D26"/>
    <w:rsid w:val="00016A4F"/>
    <w:rsid w:val="00016DB8"/>
    <w:rsid w:val="00016FFA"/>
    <w:rsid w:val="00020610"/>
    <w:rsid w:val="00021136"/>
    <w:rsid w:val="00021948"/>
    <w:rsid w:val="000226EF"/>
    <w:rsid w:val="00022716"/>
    <w:rsid w:val="00022ADB"/>
    <w:rsid w:val="00023A5E"/>
    <w:rsid w:val="00025982"/>
    <w:rsid w:val="00025D9F"/>
    <w:rsid w:val="000261F2"/>
    <w:rsid w:val="0002658D"/>
    <w:rsid w:val="0002670D"/>
    <w:rsid w:val="000276C4"/>
    <w:rsid w:val="00027C48"/>
    <w:rsid w:val="00031531"/>
    <w:rsid w:val="00032C84"/>
    <w:rsid w:val="00032CC9"/>
    <w:rsid w:val="00033622"/>
    <w:rsid w:val="00033962"/>
    <w:rsid w:val="00035163"/>
    <w:rsid w:val="000363D2"/>
    <w:rsid w:val="00036BA5"/>
    <w:rsid w:val="00037EA8"/>
    <w:rsid w:val="00040033"/>
    <w:rsid w:val="00041C63"/>
    <w:rsid w:val="0004227B"/>
    <w:rsid w:val="000439E5"/>
    <w:rsid w:val="00043C55"/>
    <w:rsid w:val="00043D08"/>
    <w:rsid w:val="0004620F"/>
    <w:rsid w:val="00046B88"/>
    <w:rsid w:val="0004745A"/>
    <w:rsid w:val="0004782E"/>
    <w:rsid w:val="00047ADE"/>
    <w:rsid w:val="00047C4D"/>
    <w:rsid w:val="000501E1"/>
    <w:rsid w:val="000503D4"/>
    <w:rsid w:val="000518A7"/>
    <w:rsid w:val="0005308B"/>
    <w:rsid w:val="00055841"/>
    <w:rsid w:val="00056289"/>
    <w:rsid w:val="00056326"/>
    <w:rsid w:val="00056E0C"/>
    <w:rsid w:val="00057D59"/>
    <w:rsid w:val="000600BF"/>
    <w:rsid w:val="00061BA5"/>
    <w:rsid w:val="00062143"/>
    <w:rsid w:val="000624F1"/>
    <w:rsid w:val="000643D4"/>
    <w:rsid w:val="000648AC"/>
    <w:rsid w:val="00064C5E"/>
    <w:rsid w:val="0006611D"/>
    <w:rsid w:val="000663AF"/>
    <w:rsid w:val="000671DF"/>
    <w:rsid w:val="000706BF"/>
    <w:rsid w:val="00070927"/>
    <w:rsid w:val="000715EF"/>
    <w:rsid w:val="00072137"/>
    <w:rsid w:val="00075707"/>
    <w:rsid w:val="00076AD3"/>
    <w:rsid w:val="000805C2"/>
    <w:rsid w:val="00080875"/>
    <w:rsid w:val="00080F7E"/>
    <w:rsid w:val="00081113"/>
    <w:rsid w:val="000817DA"/>
    <w:rsid w:val="00083A4D"/>
    <w:rsid w:val="00083ECF"/>
    <w:rsid w:val="00084A32"/>
    <w:rsid w:val="00085257"/>
    <w:rsid w:val="00085C7A"/>
    <w:rsid w:val="0008752E"/>
    <w:rsid w:val="0009001A"/>
    <w:rsid w:val="00091649"/>
    <w:rsid w:val="0009178C"/>
    <w:rsid w:val="0009201C"/>
    <w:rsid w:val="00093676"/>
    <w:rsid w:val="00094212"/>
    <w:rsid w:val="0009448B"/>
    <w:rsid w:val="00094926"/>
    <w:rsid w:val="00095292"/>
    <w:rsid w:val="000952A1"/>
    <w:rsid w:val="00096395"/>
    <w:rsid w:val="0009693B"/>
    <w:rsid w:val="000A0387"/>
    <w:rsid w:val="000A03A6"/>
    <w:rsid w:val="000A2823"/>
    <w:rsid w:val="000A368F"/>
    <w:rsid w:val="000A3888"/>
    <w:rsid w:val="000A423C"/>
    <w:rsid w:val="000A534A"/>
    <w:rsid w:val="000A79AB"/>
    <w:rsid w:val="000B3E3D"/>
    <w:rsid w:val="000B3E6C"/>
    <w:rsid w:val="000B46E1"/>
    <w:rsid w:val="000B4CB2"/>
    <w:rsid w:val="000B582B"/>
    <w:rsid w:val="000B744A"/>
    <w:rsid w:val="000B74F2"/>
    <w:rsid w:val="000B7AB5"/>
    <w:rsid w:val="000C090B"/>
    <w:rsid w:val="000C0BBB"/>
    <w:rsid w:val="000C0F79"/>
    <w:rsid w:val="000C1255"/>
    <w:rsid w:val="000C3696"/>
    <w:rsid w:val="000C4F50"/>
    <w:rsid w:val="000C6E81"/>
    <w:rsid w:val="000C7E15"/>
    <w:rsid w:val="000D0DCE"/>
    <w:rsid w:val="000D1838"/>
    <w:rsid w:val="000D1847"/>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18E"/>
    <w:rsid w:val="000E43ED"/>
    <w:rsid w:val="000E5231"/>
    <w:rsid w:val="000E5BDF"/>
    <w:rsid w:val="000E63C6"/>
    <w:rsid w:val="000E6573"/>
    <w:rsid w:val="000E6952"/>
    <w:rsid w:val="000E6DCD"/>
    <w:rsid w:val="000E7176"/>
    <w:rsid w:val="000F06A3"/>
    <w:rsid w:val="000F0C52"/>
    <w:rsid w:val="000F0E3B"/>
    <w:rsid w:val="000F14BE"/>
    <w:rsid w:val="000F288D"/>
    <w:rsid w:val="000F2A34"/>
    <w:rsid w:val="000F3075"/>
    <w:rsid w:val="000F3247"/>
    <w:rsid w:val="000F4DC7"/>
    <w:rsid w:val="000F4F3B"/>
    <w:rsid w:val="000F56A7"/>
    <w:rsid w:val="000F7B86"/>
    <w:rsid w:val="001004CE"/>
    <w:rsid w:val="001008E2"/>
    <w:rsid w:val="00100ADC"/>
    <w:rsid w:val="00100D7C"/>
    <w:rsid w:val="001020FB"/>
    <w:rsid w:val="00102912"/>
    <w:rsid w:val="001037F8"/>
    <w:rsid w:val="00103A6C"/>
    <w:rsid w:val="00103DC5"/>
    <w:rsid w:val="00104292"/>
    <w:rsid w:val="00104E5A"/>
    <w:rsid w:val="00104E6E"/>
    <w:rsid w:val="0010529D"/>
    <w:rsid w:val="00105319"/>
    <w:rsid w:val="00106976"/>
    <w:rsid w:val="0011299A"/>
    <w:rsid w:val="00112F49"/>
    <w:rsid w:val="00113946"/>
    <w:rsid w:val="00113BA6"/>
    <w:rsid w:val="00115480"/>
    <w:rsid w:val="001154C6"/>
    <w:rsid w:val="0011584F"/>
    <w:rsid w:val="00116C54"/>
    <w:rsid w:val="00120406"/>
    <w:rsid w:val="001206A2"/>
    <w:rsid w:val="00120A48"/>
    <w:rsid w:val="00120ACA"/>
    <w:rsid w:val="00121D4F"/>
    <w:rsid w:val="00121F0F"/>
    <w:rsid w:val="001221A7"/>
    <w:rsid w:val="001246EA"/>
    <w:rsid w:val="00124F0E"/>
    <w:rsid w:val="00125297"/>
    <w:rsid w:val="00125BE7"/>
    <w:rsid w:val="001267AF"/>
    <w:rsid w:val="00126C02"/>
    <w:rsid w:val="00126F8A"/>
    <w:rsid w:val="00130B8C"/>
    <w:rsid w:val="001320BC"/>
    <w:rsid w:val="001323C1"/>
    <w:rsid w:val="001333C1"/>
    <w:rsid w:val="00133C20"/>
    <w:rsid w:val="001356F7"/>
    <w:rsid w:val="00136085"/>
    <w:rsid w:val="00136B1B"/>
    <w:rsid w:val="001404C5"/>
    <w:rsid w:val="001408A3"/>
    <w:rsid w:val="001418C6"/>
    <w:rsid w:val="00141D62"/>
    <w:rsid w:val="001421E1"/>
    <w:rsid w:val="001428A9"/>
    <w:rsid w:val="00142902"/>
    <w:rsid w:val="00142AEA"/>
    <w:rsid w:val="0014304D"/>
    <w:rsid w:val="00144810"/>
    <w:rsid w:val="00144BF2"/>
    <w:rsid w:val="001457B4"/>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E94"/>
    <w:rsid w:val="00162EED"/>
    <w:rsid w:val="00162EF1"/>
    <w:rsid w:val="00163EB4"/>
    <w:rsid w:val="00164215"/>
    <w:rsid w:val="001658E9"/>
    <w:rsid w:val="00167801"/>
    <w:rsid w:val="00167959"/>
    <w:rsid w:val="00171627"/>
    <w:rsid w:val="001725AE"/>
    <w:rsid w:val="00172F58"/>
    <w:rsid w:val="001750CD"/>
    <w:rsid w:val="00176350"/>
    <w:rsid w:val="00177068"/>
    <w:rsid w:val="00177522"/>
    <w:rsid w:val="0018069C"/>
    <w:rsid w:val="00180BDE"/>
    <w:rsid w:val="001913BD"/>
    <w:rsid w:val="001934C4"/>
    <w:rsid w:val="00195D1F"/>
    <w:rsid w:val="00196226"/>
    <w:rsid w:val="0019632B"/>
    <w:rsid w:val="0019688E"/>
    <w:rsid w:val="001979DD"/>
    <w:rsid w:val="001A060A"/>
    <w:rsid w:val="001A2127"/>
    <w:rsid w:val="001A2DC9"/>
    <w:rsid w:val="001A3B59"/>
    <w:rsid w:val="001A40ED"/>
    <w:rsid w:val="001A478B"/>
    <w:rsid w:val="001A5627"/>
    <w:rsid w:val="001A5867"/>
    <w:rsid w:val="001A5A2B"/>
    <w:rsid w:val="001A6B23"/>
    <w:rsid w:val="001A756C"/>
    <w:rsid w:val="001A7BCB"/>
    <w:rsid w:val="001B0A1F"/>
    <w:rsid w:val="001B2391"/>
    <w:rsid w:val="001B2891"/>
    <w:rsid w:val="001B28B5"/>
    <w:rsid w:val="001B2B6D"/>
    <w:rsid w:val="001B50DE"/>
    <w:rsid w:val="001B5678"/>
    <w:rsid w:val="001B6148"/>
    <w:rsid w:val="001B6264"/>
    <w:rsid w:val="001B688B"/>
    <w:rsid w:val="001B7CB1"/>
    <w:rsid w:val="001C1418"/>
    <w:rsid w:val="001C15B2"/>
    <w:rsid w:val="001C1AC7"/>
    <w:rsid w:val="001C346C"/>
    <w:rsid w:val="001C363B"/>
    <w:rsid w:val="001C4291"/>
    <w:rsid w:val="001C5252"/>
    <w:rsid w:val="001C53BB"/>
    <w:rsid w:val="001C70DA"/>
    <w:rsid w:val="001C7820"/>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36CF"/>
    <w:rsid w:val="001E44A7"/>
    <w:rsid w:val="001E4E6D"/>
    <w:rsid w:val="001E5C2E"/>
    <w:rsid w:val="001E5DF4"/>
    <w:rsid w:val="001E6375"/>
    <w:rsid w:val="001F0A1D"/>
    <w:rsid w:val="001F14A5"/>
    <w:rsid w:val="001F14FA"/>
    <w:rsid w:val="001F1B20"/>
    <w:rsid w:val="001F1F35"/>
    <w:rsid w:val="001F2E31"/>
    <w:rsid w:val="001F34E6"/>
    <w:rsid w:val="001F361F"/>
    <w:rsid w:val="001F3D4C"/>
    <w:rsid w:val="001F4DB2"/>
    <w:rsid w:val="001F4DD8"/>
    <w:rsid w:val="001F5063"/>
    <w:rsid w:val="001F595C"/>
    <w:rsid w:val="001F65F3"/>
    <w:rsid w:val="001F7BE6"/>
    <w:rsid w:val="0020001C"/>
    <w:rsid w:val="0020004B"/>
    <w:rsid w:val="002003F2"/>
    <w:rsid w:val="00202DA4"/>
    <w:rsid w:val="002030DB"/>
    <w:rsid w:val="0020342E"/>
    <w:rsid w:val="002062E4"/>
    <w:rsid w:val="00206342"/>
    <w:rsid w:val="00206722"/>
    <w:rsid w:val="00207072"/>
    <w:rsid w:val="00207B52"/>
    <w:rsid w:val="002116BD"/>
    <w:rsid w:val="00212218"/>
    <w:rsid w:val="00213149"/>
    <w:rsid w:val="00214A06"/>
    <w:rsid w:val="00214F0B"/>
    <w:rsid w:val="00215ED7"/>
    <w:rsid w:val="0021747A"/>
    <w:rsid w:val="00220078"/>
    <w:rsid w:val="002202EA"/>
    <w:rsid w:val="00221CCE"/>
    <w:rsid w:val="00222172"/>
    <w:rsid w:val="00222580"/>
    <w:rsid w:val="00222C27"/>
    <w:rsid w:val="0022567B"/>
    <w:rsid w:val="002305A8"/>
    <w:rsid w:val="00230DC6"/>
    <w:rsid w:val="00232B52"/>
    <w:rsid w:val="00232BD8"/>
    <w:rsid w:val="00233ACD"/>
    <w:rsid w:val="00234F2B"/>
    <w:rsid w:val="00235496"/>
    <w:rsid w:val="002363B4"/>
    <w:rsid w:val="00237EFC"/>
    <w:rsid w:val="00240959"/>
    <w:rsid w:val="002413A6"/>
    <w:rsid w:val="00241E63"/>
    <w:rsid w:val="002421F8"/>
    <w:rsid w:val="00242936"/>
    <w:rsid w:val="0024330A"/>
    <w:rsid w:val="00244314"/>
    <w:rsid w:val="00244398"/>
    <w:rsid w:val="00244C4C"/>
    <w:rsid w:val="002463FA"/>
    <w:rsid w:val="0024658B"/>
    <w:rsid w:val="00246F31"/>
    <w:rsid w:val="00250B85"/>
    <w:rsid w:val="002524B8"/>
    <w:rsid w:val="002539BA"/>
    <w:rsid w:val="00253B3F"/>
    <w:rsid w:val="00253F70"/>
    <w:rsid w:val="00254323"/>
    <w:rsid w:val="0025451F"/>
    <w:rsid w:val="00254A20"/>
    <w:rsid w:val="00254CDC"/>
    <w:rsid w:val="00255E6A"/>
    <w:rsid w:val="00255FEF"/>
    <w:rsid w:val="00261A6E"/>
    <w:rsid w:val="00261D6D"/>
    <w:rsid w:val="00261ED1"/>
    <w:rsid w:val="002636FC"/>
    <w:rsid w:val="00265208"/>
    <w:rsid w:val="002668BD"/>
    <w:rsid w:val="002673AF"/>
    <w:rsid w:val="00267907"/>
    <w:rsid w:val="002703C7"/>
    <w:rsid w:val="00271EB3"/>
    <w:rsid w:val="0027234B"/>
    <w:rsid w:val="0027270B"/>
    <w:rsid w:val="002732E7"/>
    <w:rsid w:val="00273339"/>
    <w:rsid w:val="002737E1"/>
    <w:rsid w:val="0027380B"/>
    <w:rsid w:val="00273B79"/>
    <w:rsid w:val="00273F81"/>
    <w:rsid w:val="00275FF8"/>
    <w:rsid w:val="002762A5"/>
    <w:rsid w:val="00277ACD"/>
    <w:rsid w:val="00277FBE"/>
    <w:rsid w:val="00280927"/>
    <w:rsid w:val="00280F91"/>
    <w:rsid w:val="00282093"/>
    <w:rsid w:val="00282E1F"/>
    <w:rsid w:val="00283E34"/>
    <w:rsid w:val="0028403E"/>
    <w:rsid w:val="00285F34"/>
    <w:rsid w:val="00287763"/>
    <w:rsid w:val="002919D2"/>
    <w:rsid w:val="00291E5B"/>
    <w:rsid w:val="00291F16"/>
    <w:rsid w:val="0029221A"/>
    <w:rsid w:val="002924CC"/>
    <w:rsid w:val="002924D8"/>
    <w:rsid w:val="00292856"/>
    <w:rsid w:val="00293318"/>
    <w:rsid w:val="00293548"/>
    <w:rsid w:val="0029357C"/>
    <w:rsid w:val="0029369E"/>
    <w:rsid w:val="0029375C"/>
    <w:rsid w:val="00293BE3"/>
    <w:rsid w:val="00293BEA"/>
    <w:rsid w:val="00296AB3"/>
    <w:rsid w:val="00297452"/>
    <w:rsid w:val="002976ED"/>
    <w:rsid w:val="002A15EF"/>
    <w:rsid w:val="002A1D97"/>
    <w:rsid w:val="002A37F4"/>
    <w:rsid w:val="002A3FAF"/>
    <w:rsid w:val="002A452C"/>
    <w:rsid w:val="002A5C20"/>
    <w:rsid w:val="002B30CC"/>
    <w:rsid w:val="002B4865"/>
    <w:rsid w:val="002B49EC"/>
    <w:rsid w:val="002B4A30"/>
    <w:rsid w:val="002B4D5F"/>
    <w:rsid w:val="002B52C7"/>
    <w:rsid w:val="002B5A2C"/>
    <w:rsid w:val="002B5D24"/>
    <w:rsid w:val="002B628A"/>
    <w:rsid w:val="002B6636"/>
    <w:rsid w:val="002B746F"/>
    <w:rsid w:val="002B79A1"/>
    <w:rsid w:val="002C2730"/>
    <w:rsid w:val="002C2A3D"/>
    <w:rsid w:val="002C442E"/>
    <w:rsid w:val="002C512B"/>
    <w:rsid w:val="002C52EB"/>
    <w:rsid w:val="002C5C63"/>
    <w:rsid w:val="002C68D6"/>
    <w:rsid w:val="002C6C37"/>
    <w:rsid w:val="002C752A"/>
    <w:rsid w:val="002C75AF"/>
    <w:rsid w:val="002C7B42"/>
    <w:rsid w:val="002D07C0"/>
    <w:rsid w:val="002D10F3"/>
    <w:rsid w:val="002D1242"/>
    <w:rsid w:val="002D1AAA"/>
    <w:rsid w:val="002D2DC3"/>
    <w:rsid w:val="002D370A"/>
    <w:rsid w:val="002D7F8E"/>
    <w:rsid w:val="002E0B99"/>
    <w:rsid w:val="002E167C"/>
    <w:rsid w:val="002E1A3E"/>
    <w:rsid w:val="002E1CF9"/>
    <w:rsid w:val="002E49C9"/>
    <w:rsid w:val="002E4AC5"/>
    <w:rsid w:val="002E55A9"/>
    <w:rsid w:val="002F25E7"/>
    <w:rsid w:val="002F5BDF"/>
    <w:rsid w:val="002F7833"/>
    <w:rsid w:val="002F7A63"/>
    <w:rsid w:val="00303A7F"/>
    <w:rsid w:val="003046B0"/>
    <w:rsid w:val="00304D05"/>
    <w:rsid w:val="00305FE3"/>
    <w:rsid w:val="00306BDD"/>
    <w:rsid w:val="00306C1E"/>
    <w:rsid w:val="00310D41"/>
    <w:rsid w:val="003112BD"/>
    <w:rsid w:val="0031255F"/>
    <w:rsid w:val="0031340F"/>
    <w:rsid w:val="003134F0"/>
    <w:rsid w:val="003143DF"/>
    <w:rsid w:val="00314552"/>
    <w:rsid w:val="00315B99"/>
    <w:rsid w:val="00320DEC"/>
    <w:rsid w:val="0032152A"/>
    <w:rsid w:val="00322373"/>
    <w:rsid w:val="00322AB4"/>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4F6"/>
    <w:rsid w:val="00334AA3"/>
    <w:rsid w:val="00334B92"/>
    <w:rsid w:val="00337DBF"/>
    <w:rsid w:val="00340A6F"/>
    <w:rsid w:val="003422F9"/>
    <w:rsid w:val="00342E1B"/>
    <w:rsid w:val="00343C7B"/>
    <w:rsid w:val="00344178"/>
    <w:rsid w:val="00345AC5"/>
    <w:rsid w:val="00347231"/>
    <w:rsid w:val="0034786E"/>
    <w:rsid w:val="0035093B"/>
    <w:rsid w:val="00350CB0"/>
    <w:rsid w:val="0035165E"/>
    <w:rsid w:val="0035362C"/>
    <w:rsid w:val="003577C7"/>
    <w:rsid w:val="00360258"/>
    <w:rsid w:val="00360CDE"/>
    <w:rsid w:val="00360F61"/>
    <w:rsid w:val="00362B4E"/>
    <w:rsid w:val="00362FEC"/>
    <w:rsid w:val="00364D8C"/>
    <w:rsid w:val="0036504D"/>
    <w:rsid w:val="00365127"/>
    <w:rsid w:val="00366D85"/>
    <w:rsid w:val="0036786A"/>
    <w:rsid w:val="00370544"/>
    <w:rsid w:val="00373A5D"/>
    <w:rsid w:val="003743B1"/>
    <w:rsid w:val="0037545A"/>
    <w:rsid w:val="003759CE"/>
    <w:rsid w:val="00376A77"/>
    <w:rsid w:val="003805E5"/>
    <w:rsid w:val="003838CA"/>
    <w:rsid w:val="0038424B"/>
    <w:rsid w:val="00384613"/>
    <w:rsid w:val="00384F30"/>
    <w:rsid w:val="003852F7"/>
    <w:rsid w:val="0038574C"/>
    <w:rsid w:val="00385C2A"/>
    <w:rsid w:val="00385DEB"/>
    <w:rsid w:val="00386863"/>
    <w:rsid w:val="003903A8"/>
    <w:rsid w:val="003908DB"/>
    <w:rsid w:val="0039273B"/>
    <w:rsid w:val="00392B49"/>
    <w:rsid w:val="00392E82"/>
    <w:rsid w:val="003933E9"/>
    <w:rsid w:val="00393472"/>
    <w:rsid w:val="003934B8"/>
    <w:rsid w:val="00393D05"/>
    <w:rsid w:val="003942BF"/>
    <w:rsid w:val="003944A8"/>
    <w:rsid w:val="003949D4"/>
    <w:rsid w:val="00394C33"/>
    <w:rsid w:val="00396124"/>
    <w:rsid w:val="0039687D"/>
    <w:rsid w:val="003969CE"/>
    <w:rsid w:val="0039762C"/>
    <w:rsid w:val="003A0C47"/>
    <w:rsid w:val="003A2154"/>
    <w:rsid w:val="003A2A13"/>
    <w:rsid w:val="003A3816"/>
    <w:rsid w:val="003A4AC8"/>
    <w:rsid w:val="003A53E7"/>
    <w:rsid w:val="003A5CE0"/>
    <w:rsid w:val="003A6127"/>
    <w:rsid w:val="003A6AB4"/>
    <w:rsid w:val="003A778C"/>
    <w:rsid w:val="003B0FF1"/>
    <w:rsid w:val="003B31CD"/>
    <w:rsid w:val="003B39A6"/>
    <w:rsid w:val="003B45FA"/>
    <w:rsid w:val="003B4632"/>
    <w:rsid w:val="003B5C85"/>
    <w:rsid w:val="003B601E"/>
    <w:rsid w:val="003B6492"/>
    <w:rsid w:val="003B67EF"/>
    <w:rsid w:val="003B69F4"/>
    <w:rsid w:val="003B7C62"/>
    <w:rsid w:val="003C0B01"/>
    <w:rsid w:val="003C2574"/>
    <w:rsid w:val="003C2797"/>
    <w:rsid w:val="003C2DA4"/>
    <w:rsid w:val="003C3770"/>
    <w:rsid w:val="003C39F1"/>
    <w:rsid w:val="003C4567"/>
    <w:rsid w:val="003C47F2"/>
    <w:rsid w:val="003C48E2"/>
    <w:rsid w:val="003C58BF"/>
    <w:rsid w:val="003C5BD8"/>
    <w:rsid w:val="003C5D25"/>
    <w:rsid w:val="003C6CB6"/>
    <w:rsid w:val="003C6E0F"/>
    <w:rsid w:val="003C7725"/>
    <w:rsid w:val="003C7C96"/>
    <w:rsid w:val="003D164D"/>
    <w:rsid w:val="003D22C9"/>
    <w:rsid w:val="003D2917"/>
    <w:rsid w:val="003D2F02"/>
    <w:rsid w:val="003D3ADD"/>
    <w:rsid w:val="003D3DC7"/>
    <w:rsid w:val="003D42F9"/>
    <w:rsid w:val="003D5485"/>
    <w:rsid w:val="003D5CDD"/>
    <w:rsid w:val="003D6ECA"/>
    <w:rsid w:val="003E096B"/>
    <w:rsid w:val="003E1992"/>
    <w:rsid w:val="003E3AE6"/>
    <w:rsid w:val="003E3CE7"/>
    <w:rsid w:val="003E4701"/>
    <w:rsid w:val="003E4F47"/>
    <w:rsid w:val="003E5435"/>
    <w:rsid w:val="003E5C83"/>
    <w:rsid w:val="003E62BA"/>
    <w:rsid w:val="003E73BB"/>
    <w:rsid w:val="003E755C"/>
    <w:rsid w:val="003F0705"/>
    <w:rsid w:val="003F11A0"/>
    <w:rsid w:val="003F1B8F"/>
    <w:rsid w:val="003F222E"/>
    <w:rsid w:val="003F24CB"/>
    <w:rsid w:val="003F3001"/>
    <w:rsid w:val="003F36CD"/>
    <w:rsid w:val="003F373D"/>
    <w:rsid w:val="003F3DFF"/>
    <w:rsid w:val="003F60F0"/>
    <w:rsid w:val="00400158"/>
    <w:rsid w:val="0040028C"/>
    <w:rsid w:val="0040030D"/>
    <w:rsid w:val="00400D2F"/>
    <w:rsid w:val="00401FC2"/>
    <w:rsid w:val="004045C7"/>
    <w:rsid w:val="0040559D"/>
    <w:rsid w:val="00405B29"/>
    <w:rsid w:val="00406797"/>
    <w:rsid w:val="00407AA4"/>
    <w:rsid w:val="004110C4"/>
    <w:rsid w:val="00411B8F"/>
    <w:rsid w:val="00413696"/>
    <w:rsid w:val="00414B46"/>
    <w:rsid w:val="0041545D"/>
    <w:rsid w:val="0041659D"/>
    <w:rsid w:val="00416F89"/>
    <w:rsid w:val="0041705E"/>
    <w:rsid w:val="0042049C"/>
    <w:rsid w:val="00420AB5"/>
    <w:rsid w:val="00421513"/>
    <w:rsid w:val="004227C9"/>
    <w:rsid w:val="00422D8D"/>
    <w:rsid w:val="00424D8D"/>
    <w:rsid w:val="00425B84"/>
    <w:rsid w:val="00425FF2"/>
    <w:rsid w:val="00426A4A"/>
    <w:rsid w:val="00427933"/>
    <w:rsid w:val="00427BE1"/>
    <w:rsid w:val="00430435"/>
    <w:rsid w:val="00431321"/>
    <w:rsid w:val="00431C6A"/>
    <w:rsid w:val="00431F6D"/>
    <w:rsid w:val="00433222"/>
    <w:rsid w:val="00433CA3"/>
    <w:rsid w:val="00435601"/>
    <w:rsid w:val="004358C2"/>
    <w:rsid w:val="004359E1"/>
    <w:rsid w:val="00435B0F"/>
    <w:rsid w:val="004365FE"/>
    <w:rsid w:val="00437EB4"/>
    <w:rsid w:val="00440253"/>
    <w:rsid w:val="004405B1"/>
    <w:rsid w:val="0044125C"/>
    <w:rsid w:val="00443631"/>
    <w:rsid w:val="004437F3"/>
    <w:rsid w:val="00443837"/>
    <w:rsid w:val="00445707"/>
    <w:rsid w:val="004462A6"/>
    <w:rsid w:val="0044757A"/>
    <w:rsid w:val="004477A8"/>
    <w:rsid w:val="00447B9B"/>
    <w:rsid w:val="0045164A"/>
    <w:rsid w:val="00452232"/>
    <w:rsid w:val="00453421"/>
    <w:rsid w:val="00453898"/>
    <w:rsid w:val="0045457B"/>
    <w:rsid w:val="00454890"/>
    <w:rsid w:val="00454A09"/>
    <w:rsid w:val="00455957"/>
    <w:rsid w:val="004565EC"/>
    <w:rsid w:val="004566DA"/>
    <w:rsid w:val="00456F68"/>
    <w:rsid w:val="00457218"/>
    <w:rsid w:val="00457912"/>
    <w:rsid w:val="004602A6"/>
    <w:rsid w:val="004603AF"/>
    <w:rsid w:val="0046091D"/>
    <w:rsid w:val="00461384"/>
    <w:rsid w:val="00462A3C"/>
    <w:rsid w:val="004633A1"/>
    <w:rsid w:val="0046461F"/>
    <w:rsid w:val="00464EF7"/>
    <w:rsid w:val="00465744"/>
    <w:rsid w:val="00465E0E"/>
    <w:rsid w:val="0046732D"/>
    <w:rsid w:val="00467EA6"/>
    <w:rsid w:val="0047025D"/>
    <w:rsid w:val="00471474"/>
    <w:rsid w:val="00473AFD"/>
    <w:rsid w:val="00473C57"/>
    <w:rsid w:val="00474E65"/>
    <w:rsid w:val="00475999"/>
    <w:rsid w:val="00475E4E"/>
    <w:rsid w:val="00477249"/>
    <w:rsid w:val="004773BC"/>
    <w:rsid w:val="004803A0"/>
    <w:rsid w:val="00482751"/>
    <w:rsid w:val="00482E5C"/>
    <w:rsid w:val="00483994"/>
    <w:rsid w:val="00484D6F"/>
    <w:rsid w:val="00485372"/>
    <w:rsid w:val="0048582F"/>
    <w:rsid w:val="00485857"/>
    <w:rsid w:val="00485CD9"/>
    <w:rsid w:val="00486163"/>
    <w:rsid w:val="004867DC"/>
    <w:rsid w:val="00490BC2"/>
    <w:rsid w:val="0049185C"/>
    <w:rsid w:val="004943B2"/>
    <w:rsid w:val="004960DD"/>
    <w:rsid w:val="00497B1B"/>
    <w:rsid w:val="004A0A47"/>
    <w:rsid w:val="004A0AA3"/>
    <w:rsid w:val="004A3D81"/>
    <w:rsid w:val="004A42D9"/>
    <w:rsid w:val="004A4EFE"/>
    <w:rsid w:val="004A570F"/>
    <w:rsid w:val="004A7B5A"/>
    <w:rsid w:val="004A7FFE"/>
    <w:rsid w:val="004B0CAD"/>
    <w:rsid w:val="004B16F6"/>
    <w:rsid w:val="004B1C26"/>
    <w:rsid w:val="004B2292"/>
    <w:rsid w:val="004B385B"/>
    <w:rsid w:val="004B38D7"/>
    <w:rsid w:val="004B3BA8"/>
    <w:rsid w:val="004B41B4"/>
    <w:rsid w:val="004B4564"/>
    <w:rsid w:val="004B4BD9"/>
    <w:rsid w:val="004C047A"/>
    <w:rsid w:val="004C1386"/>
    <w:rsid w:val="004C24A1"/>
    <w:rsid w:val="004C25C3"/>
    <w:rsid w:val="004C30B5"/>
    <w:rsid w:val="004C3A3D"/>
    <w:rsid w:val="004C7D56"/>
    <w:rsid w:val="004C7DDE"/>
    <w:rsid w:val="004D09D2"/>
    <w:rsid w:val="004D1CDA"/>
    <w:rsid w:val="004D3C11"/>
    <w:rsid w:val="004D3C8A"/>
    <w:rsid w:val="004D3D5A"/>
    <w:rsid w:val="004D5770"/>
    <w:rsid w:val="004D74C1"/>
    <w:rsid w:val="004E01A7"/>
    <w:rsid w:val="004E03A5"/>
    <w:rsid w:val="004E1136"/>
    <w:rsid w:val="004E2372"/>
    <w:rsid w:val="004E2585"/>
    <w:rsid w:val="004E29B5"/>
    <w:rsid w:val="004E2A2E"/>
    <w:rsid w:val="004E2F39"/>
    <w:rsid w:val="004E4568"/>
    <w:rsid w:val="004E5360"/>
    <w:rsid w:val="004E62C3"/>
    <w:rsid w:val="004F0AC4"/>
    <w:rsid w:val="004F0D07"/>
    <w:rsid w:val="004F0FB1"/>
    <w:rsid w:val="004F171B"/>
    <w:rsid w:val="004F1AEB"/>
    <w:rsid w:val="004F1BAE"/>
    <w:rsid w:val="004F1BD3"/>
    <w:rsid w:val="004F1F0C"/>
    <w:rsid w:val="004F22CB"/>
    <w:rsid w:val="004F2CCB"/>
    <w:rsid w:val="004F2E44"/>
    <w:rsid w:val="004F38FE"/>
    <w:rsid w:val="004F6878"/>
    <w:rsid w:val="004F7D9F"/>
    <w:rsid w:val="005011A8"/>
    <w:rsid w:val="00502751"/>
    <w:rsid w:val="00502855"/>
    <w:rsid w:val="0050359C"/>
    <w:rsid w:val="00503BDF"/>
    <w:rsid w:val="00504A53"/>
    <w:rsid w:val="00504A57"/>
    <w:rsid w:val="00504C88"/>
    <w:rsid w:val="00504DE4"/>
    <w:rsid w:val="005050DC"/>
    <w:rsid w:val="0050586E"/>
    <w:rsid w:val="005065E4"/>
    <w:rsid w:val="00506F73"/>
    <w:rsid w:val="005101EB"/>
    <w:rsid w:val="00510A23"/>
    <w:rsid w:val="00512138"/>
    <w:rsid w:val="00513342"/>
    <w:rsid w:val="00513D72"/>
    <w:rsid w:val="00513EF3"/>
    <w:rsid w:val="00513FBB"/>
    <w:rsid w:val="00514837"/>
    <w:rsid w:val="00514E3B"/>
    <w:rsid w:val="00515068"/>
    <w:rsid w:val="005157D7"/>
    <w:rsid w:val="00515B13"/>
    <w:rsid w:val="00517A8F"/>
    <w:rsid w:val="00517CFE"/>
    <w:rsid w:val="0052015A"/>
    <w:rsid w:val="0052047B"/>
    <w:rsid w:val="00520703"/>
    <w:rsid w:val="005209B4"/>
    <w:rsid w:val="005209DB"/>
    <w:rsid w:val="00520A23"/>
    <w:rsid w:val="00521703"/>
    <w:rsid w:val="005223A7"/>
    <w:rsid w:val="005229D7"/>
    <w:rsid w:val="00524E89"/>
    <w:rsid w:val="005262F6"/>
    <w:rsid w:val="00526367"/>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BEC"/>
    <w:rsid w:val="00552CBC"/>
    <w:rsid w:val="00554AB1"/>
    <w:rsid w:val="00555A9D"/>
    <w:rsid w:val="00555C6A"/>
    <w:rsid w:val="00555F3E"/>
    <w:rsid w:val="0055651A"/>
    <w:rsid w:val="005576B0"/>
    <w:rsid w:val="00565507"/>
    <w:rsid w:val="00566497"/>
    <w:rsid w:val="0056689A"/>
    <w:rsid w:val="005670FE"/>
    <w:rsid w:val="005708D1"/>
    <w:rsid w:val="0057235E"/>
    <w:rsid w:val="00572523"/>
    <w:rsid w:val="00573772"/>
    <w:rsid w:val="005739B0"/>
    <w:rsid w:val="0057424D"/>
    <w:rsid w:val="0057481D"/>
    <w:rsid w:val="005753E6"/>
    <w:rsid w:val="005757C3"/>
    <w:rsid w:val="00576865"/>
    <w:rsid w:val="005775BF"/>
    <w:rsid w:val="0058130D"/>
    <w:rsid w:val="00582658"/>
    <w:rsid w:val="005855B0"/>
    <w:rsid w:val="00586678"/>
    <w:rsid w:val="00586D51"/>
    <w:rsid w:val="00587E02"/>
    <w:rsid w:val="005908C8"/>
    <w:rsid w:val="00590C28"/>
    <w:rsid w:val="00591A64"/>
    <w:rsid w:val="005921A0"/>
    <w:rsid w:val="005925F6"/>
    <w:rsid w:val="00592B42"/>
    <w:rsid w:val="00593014"/>
    <w:rsid w:val="005935AE"/>
    <w:rsid w:val="00593C30"/>
    <w:rsid w:val="00595346"/>
    <w:rsid w:val="00596457"/>
    <w:rsid w:val="005A016F"/>
    <w:rsid w:val="005A0D79"/>
    <w:rsid w:val="005A0E62"/>
    <w:rsid w:val="005A10FB"/>
    <w:rsid w:val="005A2057"/>
    <w:rsid w:val="005A3C4F"/>
    <w:rsid w:val="005A4B0F"/>
    <w:rsid w:val="005A4CA6"/>
    <w:rsid w:val="005A4F60"/>
    <w:rsid w:val="005A5474"/>
    <w:rsid w:val="005A6A6F"/>
    <w:rsid w:val="005B08F6"/>
    <w:rsid w:val="005B11E3"/>
    <w:rsid w:val="005B13AF"/>
    <w:rsid w:val="005B26BE"/>
    <w:rsid w:val="005B2E98"/>
    <w:rsid w:val="005B337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7B9"/>
    <w:rsid w:val="005C2DA0"/>
    <w:rsid w:val="005C341A"/>
    <w:rsid w:val="005C39E7"/>
    <w:rsid w:val="005D127A"/>
    <w:rsid w:val="005D1609"/>
    <w:rsid w:val="005D1819"/>
    <w:rsid w:val="005D4842"/>
    <w:rsid w:val="005D5A73"/>
    <w:rsid w:val="005D5C24"/>
    <w:rsid w:val="005D70B9"/>
    <w:rsid w:val="005E0052"/>
    <w:rsid w:val="005E1C73"/>
    <w:rsid w:val="005E2246"/>
    <w:rsid w:val="005E527A"/>
    <w:rsid w:val="005E5495"/>
    <w:rsid w:val="005E5885"/>
    <w:rsid w:val="005E6398"/>
    <w:rsid w:val="005E716D"/>
    <w:rsid w:val="005E7925"/>
    <w:rsid w:val="005F07D3"/>
    <w:rsid w:val="005F0C1C"/>
    <w:rsid w:val="005F1A67"/>
    <w:rsid w:val="005F256C"/>
    <w:rsid w:val="005F3977"/>
    <w:rsid w:val="005F5523"/>
    <w:rsid w:val="005F78CF"/>
    <w:rsid w:val="00601522"/>
    <w:rsid w:val="00602411"/>
    <w:rsid w:val="00602C7A"/>
    <w:rsid w:val="00603A52"/>
    <w:rsid w:val="00603D1A"/>
    <w:rsid w:val="00604B03"/>
    <w:rsid w:val="00606C20"/>
    <w:rsid w:val="00606D36"/>
    <w:rsid w:val="00607C2F"/>
    <w:rsid w:val="006100BF"/>
    <w:rsid w:val="00612807"/>
    <w:rsid w:val="0061539D"/>
    <w:rsid w:val="006159B1"/>
    <w:rsid w:val="0061651A"/>
    <w:rsid w:val="006168D2"/>
    <w:rsid w:val="00616FC8"/>
    <w:rsid w:val="00617094"/>
    <w:rsid w:val="0061743E"/>
    <w:rsid w:val="006177B3"/>
    <w:rsid w:val="00617C20"/>
    <w:rsid w:val="006203D0"/>
    <w:rsid w:val="00621AB0"/>
    <w:rsid w:val="006222A8"/>
    <w:rsid w:val="00624D78"/>
    <w:rsid w:val="00630B3B"/>
    <w:rsid w:val="00630FA5"/>
    <w:rsid w:val="006310E2"/>
    <w:rsid w:val="00631240"/>
    <w:rsid w:val="0063145B"/>
    <w:rsid w:val="00631534"/>
    <w:rsid w:val="00631FB8"/>
    <w:rsid w:val="006325D3"/>
    <w:rsid w:val="00632612"/>
    <w:rsid w:val="00633002"/>
    <w:rsid w:val="00633F09"/>
    <w:rsid w:val="0063453D"/>
    <w:rsid w:val="00634856"/>
    <w:rsid w:val="006354BD"/>
    <w:rsid w:val="0063679F"/>
    <w:rsid w:val="00637115"/>
    <w:rsid w:val="00637945"/>
    <w:rsid w:val="00637F8C"/>
    <w:rsid w:val="0064001D"/>
    <w:rsid w:val="00640EE3"/>
    <w:rsid w:val="006411A9"/>
    <w:rsid w:val="00641F81"/>
    <w:rsid w:val="00642B0A"/>
    <w:rsid w:val="006441C8"/>
    <w:rsid w:val="00644742"/>
    <w:rsid w:val="00644F99"/>
    <w:rsid w:val="00645228"/>
    <w:rsid w:val="00647C54"/>
    <w:rsid w:val="00650359"/>
    <w:rsid w:val="00650F99"/>
    <w:rsid w:val="00652E55"/>
    <w:rsid w:val="00653CC2"/>
    <w:rsid w:val="00653DE8"/>
    <w:rsid w:val="006542E4"/>
    <w:rsid w:val="00655A09"/>
    <w:rsid w:val="00656FCD"/>
    <w:rsid w:val="006601FF"/>
    <w:rsid w:val="00660212"/>
    <w:rsid w:val="00662129"/>
    <w:rsid w:val="00662B5B"/>
    <w:rsid w:val="00662D5E"/>
    <w:rsid w:val="00663CC5"/>
    <w:rsid w:val="0066607F"/>
    <w:rsid w:val="00666888"/>
    <w:rsid w:val="00666D36"/>
    <w:rsid w:val="00671392"/>
    <w:rsid w:val="006718EF"/>
    <w:rsid w:val="006719D2"/>
    <w:rsid w:val="00671CD8"/>
    <w:rsid w:val="0067593B"/>
    <w:rsid w:val="00676D30"/>
    <w:rsid w:val="006773D7"/>
    <w:rsid w:val="00677826"/>
    <w:rsid w:val="00677D07"/>
    <w:rsid w:val="006806C4"/>
    <w:rsid w:val="0068314C"/>
    <w:rsid w:val="0068454C"/>
    <w:rsid w:val="006860FF"/>
    <w:rsid w:val="00686744"/>
    <w:rsid w:val="00686C26"/>
    <w:rsid w:val="00687E19"/>
    <w:rsid w:val="00687FA7"/>
    <w:rsid w:val="00690170"/>
    <w:rsid w:val="0069169A"/>
    <w:rsid w:val="006918A2"/>
    <w:rsid w:val="00692584"/>
    <w:rsid w:val="00692A9F"/>
    <w:rsid w:val="00692B68"/>
    <w:rsid w:val="0069386D"/>
    <w:rsid w:val="00693999"/>
    <w:rsid w:val="00694DC3"/>
    <w:rsid w:val="006950EA"/>
    <w:rsid w:val="0069543C"/>
    <w:rsid w:val="006954B3"/>
    <w:rsid w:val="00696EDE"/>
    <w:rsid w:val="00697523"/>
    <w:rsid w:val="006A0793"/>
    <w:rsid w:val="006A10CA"/>
    <w:rsid w:val="006A25EB"/>
    <w:rsid w:val="006A3A6B"/>
    <w:rsid w:val="006A3BA8"/>
    <w:rsid w:val="006A48D9"/>
    <w:rsid w:val="006A4B36"/>
    <w:rsid w:val="006A5FDF"/>
    <w:rsid w:val="006A7153"/>
    <w:rsid w:val="006B13B3"/>
    <w:rsid w:val="006B2982"/>
    <w:rsid w:val="006B3406"/>
    <w:rsid w:val="006B4D9B"/>
    <w:rsid w:val="006B55C3"/>
    <w:rsid w:val="006B685F"/>
    <w:rsid w:val="006B6C22"/>
    <w:rsid w:val="006B714B"/>
    <w:rsid w:val="006B7372"/>
    <w:rsid w:val="006B7DFE"/>
    <w:rsid w:val="006C08B4"/>
    <w:rsid w:val="006C3682"/>
    <w:rsid w:val="006C3EDF"/>
    <w:rsid w:val="006C451E"/>
    <w:rsid w:val="006C6368"/>
    <w:rsid w:val="006C6B4B"/>
    <w:rsid w:val="006C7116"/>
    <w:rsid w:val="006D04E8"/>
    <w:rsid w:val="006D1EED"/>
    <w:rsid w:val="006D2391"/>
    <w:rsid w:val="006D243B"/>
    <w:rsid w:val="006D2742"/>
    <w:rsid w:val="006D2DAA"/>
    <w:rsid w:val="006D4A39"/>
    <w:rsid w:val="006D4F76"/>
    <w:rsid w:val="006D6FD8"/>
    <w:rsid w:val="006D7B92"/>
    <w:rsid w:val="006E0DBA"/>
    <w:rsid w:val="006E1A40"/>
    <w:rsid w:val="006E2371"/>
    <w:rsid w:val="006E39D0"/>
    <w:rsid w:val="006E3A79"/>
    <w:rsid w:val="006E41E2"/>
    <w:rsid w:val="006E4338"/>
    <w:rsid w:val="006E47D4"/>
    <w:rsid w:val="006E4CE1"/>
    <w:rsid w:val="006E5786"/>
    <w:rsid w:val="006E654C"/>
    <w:rsid w:val="006E7854"/>
    <w:rsid w:val="006E7C0D"/>
    <w:rsid w:val="006F0F9F"/>
    <w:rsid w:val="006F1EFE"/>
    <w:rsid w:val="006F5701"/>
    <w:rsid w:val="006F5A7D"/>
    <w:rsid w:val="006F5A81"/>
    <w:rsid w:val="007002DF"/>
    <w:rsid w:val="0070131C"/>
    <w:rsid w:val="00701815"/>
    <w:rsid w:val="00701847"/>
    <w:rsid w:val="00702183"/>
    <w:rsid w:val="00702642"/>
    <w:rsid w:val="007032A7"/>
    <w:rsid w:val="00703D69"/>
    <w:rsid w:val="007045F4"/>
    <w:rsid w:val="007058CD"/>
    <w:rsid w:val="007070BD"/>
    <w:rsid w:val="0071172A"/>
    <w:rsid w:val="007117AB"/>
    <w:rsid w:val="0071382C"/>
    <w:rsid w:val="00713CA6"/>
    <w:rsid w:val="00715246"/>
    <w:rsid w:val="0071583D"/>
    <w:rsid w:val="00715B2A"/>
    <w:rsid w:val="007162B8"/>
    <w:rsid w:val="00716646"/>
    <w:rsid w:val="00716CB3"/>
    <w:rsid w:val="00716DF3"/>
    <w:rsid w:val="00716FBE"/>
    <w:rsid w:val="00717E52"/>
    <w:rsid w:val="00717E8B"/>
    <w:rsid w:val="007203E9"/>
    <w:rsid w:val="00723FE4"/>
    <w:rsid w:val="00724555"/>
    <w:rsid w:val="00724E9D"/>
    <w:rsid w:val="007252A5"/>
    <w:rsid w:val="0072561B"/>
    <w:rsid w:val="0072584B"/>
    <w:rsid w:val="00725D61"/>
    <w:rsid w:val="00727A98"/>
    <w:rsid w:val="00730DEF"/>
    <w:rsid w:val="00731140"/>
    <w:rsid w:val="00732B36"/>
    <w:rsid w:val="00733654"/>
    <w:rsid w:val="007337CC"/>
    <w:rsid w:val="00735728"/>
    <w:rsid w:val="007373D3"/>
    <w:rsid w:val="00737A0A"/>
    <w:rsid w:val="00737E7E"/>
    <w:rsid w:val="00740E0A"/>
    <w:rsid w:val="007410CF"/>
    <w:rsid w:val="00743536"/>
    <w:rsid w:val="00743680"/>
    <w:rsid w:val="0074374A"/>
    <w:rsid w:val="00743A0D"/>
    <w:rsid w:val="00743CD5"/>
    <w:rsid w:val="0074525F"/>
    <w:rsid w:val="0074534E"/>
    <w:rsid w:val="0074706A"/>
    <w:rsid w:val="00747929"/>
    <w:rsid w:val="00747CE9"/>
    <w:rsid w:val="007509A3"/>
    <w:rsid w:val="00752E42"/>
    <w:rsid w:val="00753FC7"/>
    <w:rsid w:val="0075444B"/>
    <w:rsid w:val="00754FFC"/>
    <w:rsid w:val="00756366"/>
    <w:rsid w:val="00760166"/>
    <w:rsid w:val="007626DA"/>
    <w:rsid w:val="00762BB2"/>
    <w:rsid w:val="00763A6A"/>
    <w:rsid w:val="00763E53"/>
    <w:rsid w:val="007645B3"/>
    <w:rsid w:val="007650F5"/>
    <w:rsid w:val="00765680"/>
    <w:rsid w:val="00765AAC"/>
    <w:rsid w:val="007660E1"/>
    <w:rsid w:val="00766442"/>
    <w:rsid w:val="00767697"/>
    <w:rsid w:val="00767C41"/>
    <w:rsid w:val="00771694"/>
    <w:rsid w:val="00771758"/>
    <w:rsid w:val="00772941"/>
    <w:rsid w:val="007729DB"/>
    <w:rsid w:val="0077305F"/>
    <w:rsid w:val="00773754"/>
    <w:rsid w:val="00773A85"/>
    <w:rsid w:val="00773E94"/>
    <w:rsid w:val="00775563"/>
    <w:rsid w:val="007759EA"/>
    <w:rsid w:val="00776D89"/>
    <w:rsid w:val="0077707B"/>
    <w:rsid w:val="00777540"/>
    <w:rsid w:val="007808CD"/>
    <w:rsid w:val="00781895"/>
    <w:rsid w:val="0078372F"/>
    <w:rsid w:val="00784DD1"/>
    <w:rsid w:val="007854C1"/>
    <w:rsid w:val="00786AEB"/>
    <w:rsid w:val="0078726F"/>
    <w:rsid w:val="0079068A"/>
    <w:rsid w:val="00790757"/>
    <w:rsid w:val="007908D6"/>
    <w:rsid w:val="00791797"/>
    <w:rsid w:val="0079179D"/>
    <w:rsid w:val="00792B36"/>
    <w:rsid w:val="007939BC"/>
    <w:rsid w:val="00796848"/>
    <w:rsid w:val="00796A3B"/>
    <w:rsid w:val="0079752F"/>
    <w:rsid w:val="00797F33"/>
    <w:rsid w:val="007A1722"/>
    <w:rsid w:val="007A19E9"/>
    <w:rsid w:val="007A210F"/>
    <w:rsid w:val="007A3282"/>
    <w:rsid w:val="007A368E"/>
    <w:rsid w:val="007A3DD8"/>
    <w:rsid w:val="007A41B7"/>
    <w:rsid w:val="007A547F"/>
    <w:rsid w:val="007A613A"/>
    <w:rsid w:val="007A6742"/>
    <w:rsid w:val="007A69F0"/>
    <w:rsid w:val="007A75E1"/>
    <w:rsid w:val="007A7CE8"/>
    <w:rsid w:val="007B0293"/>
    <w:rsid w:val="007B04C6"/>
    <w:rsid w:val="007B06BE"/>
    <w:rsid w:val="007B08A2"/>
    <w:rsid w:val="007B3382"/>
    <w:rsid w:val="007B34BD"/>
    <w:rsid w:val="007B368F"/>
    <w:rsid w:val="007B3C06"/>
    <w:rsid w:val="007B3EC9"/>
    <w:rsid w:val="007B4935"/>
    <w:rsid w:val="007B4B86"/>
    <w:rsid w:val="007B642D"/>
    <w:rsid w:val="007B6A8D"/>
    <w:rsid w:val="007B7025"/>
    <w:rsid w:val="007C089A"/>
    <w:rsid w:val="007C199A"/>
    <w:rsid w:val="007C20E6"/>
    <w:rsid w:val="007C281D"/>
    <w:rsid w:val="007C337A"/>
    <w:rsid w:val="007C48F8"/>
    <w:rsid w:val="007C61D1"/>
    <w:rsid w:val="007C6F56"/>
    <w:rsid w:val="007D1A9C"/>
    <w:rsid w:val="007D2880"/>
    <w:rsid w:val="007D34E5"/>
    <w:rsid w:val="007D3894"/>
    <w:rsid w:val="007D467E"/>
    <w:rsid w:val="007D491B"/>
    <w:rsid w:val="007D6A79"/>
    <w:rsid w:val="007D7C78"/>
    <w:rsid w:val="007E1388"/>
    <w:rsid w:val="007E1832"/>
    <w:rsid w:val="007E19B0"/>
    <w:rsid w:val="007E2FAB"/>
    <w:rsid w:val="007E3033"/>
    <w:rsid w:val="007E4850"/>
    <w:rsid w:val="007E5013"/>
    <w:rsid w:val="007E5597"/>
    <w:rsid w:val="007E6491"/>
    <w:rsid w:val="007E6B8B"/>
    <w:rsid w:val="007E757C"/>
    <w:rsid w:val="007E7AAD"/>
    <w:rsid w:val="007F1383"/>
    <w:rsid w:val="007F1D02"/>
    <w:rsid w:val="007F33A1"/>
    <w:rsid w:val="007F34A1"/>
    <w:rsid w:val="007F3E3C"/>
    <w:rsid w:val="007F52DF"/>
    <w:rsid w:val="007F5FF8"/>
    <w:rsid w:val="007F6B79"/>
    <w:rsid w:val="007F7144"/>
    <w:rsid w:val="008001BF"/>
    <w:rsid w:val="008019F1"/>
    <w:rsid w:val="00801DE0"/>
    <w:rsid w:val="008025E5"/>
    <w:rsid w:val="00802CE6"/>
    <w:rsid w:val="008032CD"/>
    <w:rsid w:val="008052BB"/>
    <w:rsid w:val="00806F09"/>
    <w:rsid w:val="00807166"/>
    <w:rsid w:val="00807DA5"/>
    <w:rsid w:val="00810B5B"/>
    <w:rsid w:val="00811FD5"/>
    <w:rsid w:val="00812350"/>
    <w:rsid w:val="0081309E"/>
    <w:rsid w:val="008145E1"/>
    <w:rsid w:val="00816075"/>
    <w:rsid w:val="008162F1"/>
    <w:rsid w:val="008172A5"/>
    <w:rsid w:val="00822172"/>
    <w:rsid w:val="00824711"/>
    <w:rsid w:val="008258D3"/>
    <w:rsid w:val="00830138"/>
    <w:rsid w:val="008321AF"/>
    <w:rsid w:val="00834C8E"/>
    <w:rsid w:val="0083560F"/>
    <w:rsid w:val="00835FC5"/>
    <w:rsid w:val="00836D51"/>
    <w:rsid w:val="00836FAA"/>
    <w:rsid w:val="00841771"/>
    <w:rsid w:val="00842CF0"/>
    <w:rsid w:val="00844F61"/>
    <w:rsid w:val="0084692A"/>
    <w:rsid w:val="00846A52"/>
    <w:rsid w:val="00850210"/>
    <w:rsid w:val="00852030"/>
    <w:rsid w:val="0085260F"/>
    <w:rsid w:val="0085338B"/>
    <w:rsid w:val="008542CA"/>
    <w:rsid w:val="00855F45"/>
    <w:rsid w:val="0085621C"/>
    <w:rsid w:val="00856D3C"/>
    <w:rsid w:val="008572C2"/>
    <w:rsid w:val="0086037D"/>
    <w:rsid w:val="00860C20"/>
    <w:rsid w:val="00860E40"/>
    <w:rsid w:val="0086136A"/>
    <w:rsid w:val="00861F9D"/>
    <w:rsid w:val="0086228E"/>
    <w:rsid w:val="00862D38"/>
    <w:rsid w:val="00862E1F"/>
    <w:rsid w:val="0086590F"/>
    <w:rsid w:val="00866A7E"/>
    <w:rsid w:val="00866E70"/>
    <w:rsid w:val="00866FDE"/>
    <w:rsid w:val="00867797"/>
    <w:rsid w:val="00867B85"/>
    <w:rsid w:val="00871DF3"/>
    <w:rsid w:val="00872696"/>
    <w:rsid w:val="00873983"/>
    <w:rsid w:val="00873E50"/>
    <w:rsid w:val="0087484E"/>
    <w:rsid w:val="008749E1"/>
    <w:rsid w:val="00875F2C"/>
    <w:rsid w:val="00875FC0"/>
    <w:rsid w:val="008762EE"/>
    <w:rsid w:val="0087658C"/>
    <w:rsid w:val="00876EFD"/>
    <w:rsid w:val="008770A2"/>
    <w:rsid w:val="00880BF6"/>
    <w:rsid w:val="00880E65"/>
    <w:rsid w:val="00882E49"/>
    <w:rsid w:val="00882FF6"/>
    <w:rsid w:val="008842B9"/>
    <w:rsid w:val="008843EF"/>
    <w:rsid w:val="008849C8"/>
    <w:rsid w:val="008850E9"/>
    <w:rsid w:val="008853B0"/>
    <w:rsid w:val="00887D64"/>
    <w:rsid w:val="008908B4"/>
    <w:rsid w:val="0089096D"/>
    <w:rsid w:val="008909C2"/>
    <w:rsid w:val="008927D4"/>
    <w:rsid w:val="00892FF9"/>
    <w:rsid w:val="00893326"/>
    <w:rsid w:val="00893512"/>
    <w:rsid w:val="00893BCA"/>
    <w:rsid w:val="00893F35"/>
    <w:rsid w:val="00893FBD"/>
    <w:rsid w:val="0089574D"/>
    <w:rsid w:val="0089638A"/>
    <w:rsid w:val="00896CFD"/>
    <w:rsid w:val="00896EEF"/>
    <w:rsid w:val="008A05DE"/>
    <w:rsid w:val="008A28E1"/>
    <w:rsid w:val="008A34DC"/>
    <w:rsid w:val="008A3FDC"/>
    <w:rsid w:val="008A43C4"/>
    <w:rsid w:val="008A497D"/>
    <w:rsid w:val="008A4E08"/>
    <w:rsid w:val="008A639B"/>
    <w:rsid w:val="008A6430"/>
    <w:rsid w:val="008A6881"/>
    <w:rsid w:val="008B0346"/>
    <w:rsid w:val="008B0C53"/>
    <w:rsid w:val="008B2080"/>
    <w:rsid w:val="008B44C6"/>
    <w:rsid w:val="008B47D3"/>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64C6"/>
    <w:rsid w:val="008D701B"/>
    <w:rsid w:val="008E09BF"/>
    <w:rsid w:val="008E1526"/>
    <w:rsid w:val="008E2886"/>
    <w:rsid w:val="008E3879"/>
    <w:rsid w:val="008E3B04"/>
    <w:rsid w:val="008E3D30"/>
    <w:rsid w:val="008E4853"/>
    <w:rsid w:val="008E5138"/>
    <w:rsid w:val="008E52AE"/>
    <w:rsid w:val="008E53E0"/>
    <w:rsid w:val="008E5A0E"/>
    <w:rsid w:val="008E65C8"/>
    <w:rsid w:val="008E769F"/>
    <w:rsid w:val="008E7DE2"/>
    <w:rsid w:val="008F071F"/>
    <w:rsid w:val="008F1412"/>
    <w:rsid w:val="008F1432"/>
    <w:rsid w:val="008F1D55"/>
    <w:rsid w:val="008F23E8"/>
    <w:rsid w:val="008F2C35"/>
    <w:rsid w:val="008F4615"/>
    <w:rsid w:val="008F4E4A"/>
    <w:rsid w:val="008F5616"/>
    <w:rsid w:val="008F6EA9"/>
    <w:rsid w:val="008F74E6"/>
    <w:rsid w:val="00900EA0"/>
    <w:rsid w:val="00902525"/>
    <w:rsid w:val="009027B2"/>
    <w:rsid w:val="009028C9"/>
    <w:rsid w:val="0090301A"/>
    <w:rsid w:val="0090344A"/>
    <w:rsid w:val="009059D7"/>
    <w:rsid w:val="00907F21"/>
    <w:rsid w:val="009109E4"/>
    <w:rsid w:val="00911C2F"/>
    <w:rsid w:val="00912151"/>
    <w:rsid w:val="0091317F"/>
    <w:rsid w:val="00913472"/>
    <w:rsid w:val="0091658B"/>
    <w:rsid w:val="009179C9"/>
    <w:rsid w:val="00920513"/>
    <w:rsid w:val="00920F0A"/>
    <w:rsid w:val="0092249F"/>
    <w:rsid w:val="00922C2C"/>
    <w:rsid w:val="00923280"/>
    <w:rsid w:val="00923EDC"/>
    <w:rsid w:val="00925022"/>
    <w:rsid w:val="00925454"/>
    <w:rsid w:val="009254F8"/>
    <w:rsid w:val="009258D9"/>
    <w:rsid w:val="00925ACC"/>
    <w:rsid w:val="00925D6C"/>
    <w:rsid w:val="00927E6F"/>
    <w:rsid w:val="009313E6"/>
    <w:rsid w:val="00931AC7"/>
    <w:rsid w:val="00932DEC"/>
    <w:rsid w:val="00935088"/>
    <w:rsid w:val="009363FF"/>
    <w:rsid w:val="00936600"/>
    <w:rsid w:val="00936D37"/>
    <w:rsid w:val="009378FC"/>
    <w:rsid w:val="00941F50"/>
    <w:rsid w:val="00944CA3"/>
    <w:rsid w:val="00945BD9"/>
    <w:rsid w:val="00946D7D"/>
    <w:rsid w:val="00946DBE"/>
    <w:rsid w:val="009470E0"/>
    <w:rsid w:val="00947CD9"/>
    <w:rsid w:val="009503AC"/>
    <w:rsid w:val="0095132D"/>
    <w:rsid w:val="00951F2B"/>
    <w:rsid w:val="00952293"/>
    <w:rsid w:val="009536E6"/>
    <w:rsid w:val="00953C2C"/>
    <w:rsid w:val="00953CB4"/>
    <w:rsid w:val="00953F60"/>
    <w:rsid w:val="00953FF7"/>
    <w:rsid w:val="00954258"/>
    <w:rsid w:val="009550BC"/>
    <w:rsid w:val="00955C0E"/>
    <w:rsid w:val="00956951"/>
    <w:rsid w:val="00956ACC"/>
    <w:rsid w:val="009571C3"/>
    <w:rsid w:val="00961A25"/>
    <w:rsid w:val="00961F6D"/>
    <w:rsid w:val="009623F4"/>
    <w:rsid w:val="00965315"/>
    <w:rsid w:val="00966386"/>
    <w:rsid w:val="0096668D"/>
    <w:rsid w:val="00966768"/>
    <w:rsid w:val="009668FA"/>
    <w:rsid w:val="0096741A"/>
    <w:rsid w:val="0097068A"/>
    <w:rsid w:val="00970E38"/>
    <w:rsid w:val="00971D65"/>
    <w:rsid w:val="00973D50"/>
    <w:rsid w:val="00976440"/>
    <w:rsid w:val="009767C5"/>
    <w:rsid w:val="0097740C"/>
    <w:rsid w:val="009777FF"/>
    <w:rsid w:val="00980ABB"/>
    <w:rsid w:val="00981725"/>
    <w:rsid w:val="00981765"/>
    <w:rsid w:val="00983B23"/>
    <w:rsid w:val="00983EEF"/>
    <w:rsid w:val="009840ED"/>
    <w:rsid w:val="009842D1"/>
    <w:rsid w:val="00984E63"/>
    <w:rsid w:val="009850BC"/>
    <w:rsid w:val="009865D3"/>
    <w:rsid w:val="00986A57"/>
    <w:rsid w:val="009873D6"/>
    <w:rsid w:val="009905AC"/>
    <w:rsid w:val="009914B7"/>
    <w:rsid w:val="00991A63"/>
    <w:rsid w:val="00991CE7"/>
    <w:rsid w:val="00992ABE"/>
    <w:rsid w:val="00992FC7"/>
    <w:rsid w:val="00995EC2"/>
    <w:rsid w:val="00996FB2"/>
    <w:rsid w:val="00997A5B"/>
    <w:rsid w:val="009A059E"/>
    <w:rsid w:val="009A0899"/>
    <w:rsid w:val="009A2656"/>
    <w:rsid w:val="009A2CFA"/>
    <w:rsid w:val="009A351B"/>
    <w:rsid w:val="009A3FDD"/>
    <w:rsid w:val="009A4461"/>
    <w:rsid w:val="009A6031"/>
    <w:rsid w:val="009A652C"/>
    <w:rsid w:val="009A660C"/>
    <w:rsid w:val="009A6963"/>
    <w:rsid w:val="009A6C95"/>
    <w:rsid w:val="009B037F"/>
    <w:rsid w:val="009B0444"/>
    <w:rsid w:val="009B229C"/>
    <w:rsid w:val="009B259F"/>
    <w:rsid w:val="009B2679"/>
    <w:rsid w:val="009B4693"/>
    <w:rsid w:val="009B52C1"/>
    <w:rsid w:val="009B59CA"/>
    <w:rsid w:val="009B7318"/>
    <w:rsid w:val="009C0F32"/>
    <w:rsid w:val="009C11AB"/>
    <w:rsid w:val="009C2F82"/>
    <w:rsid w:val="009C321E"/>
    <w:rsid w:val="009C3FEA"/>
    <w:rsid w:val="009C47EB"/>
    <w:rsid w:val="009C5E21"/>
    <w:rsid w:val="009C6150"/>
    <w:rsid w:val="009C61B9"/>
    <w:rsid w:val="009C6BF2"/>
    <w:rsid w:val="009C708C"/>
    <w:rsid w:val="009C717B"/>
    <w:rsid w:val="009D0470"/>
    <w:rsid w:val="009D0802"/>
    <w:rsid w:val="009D14A2"/>
    <w:rsid w:val="009D20E5"/>
    <w:rsid w:val="009D31EF"/>
    <w:rsid w:val="009D3FFE"/>
    <w:rsid w:val="009D4635"/>
    <w:rsid w:val="009D5626"/>
    <w:rsid w:val="009D63FE"/>
    <w:rsid w:val="009D73F0"/>
    <w:rsid w:val="009E16AA"/>
    <w:rsid w:val="009E4086"/>
    <w:rsid w:val="009E4632"/>
    <w:rsid w:val="009E538D"/>
    <w:rsid w:val="009E5533"/>
    <w:rsid w:val="009E6D94"/>
    <w:rsid w:val="009F1856"/>
    <w:rsid w:val="009F2175"/>
    <w:rsid w:val="009F2919"/>
    <w:rsid w:val="009F2A98"/>
    <w:rsid w:val="009F5004"/>
    <w:rsid w:val="009F6DE1"/>
    <w:rsid w:val="009F7BA1"/>
    <w:rsid w:val="009F7BFF"/>
    <w:rsid w:val="009F7C1D"/>
    <w:rsid w:val="009F7FF6"/>
    <w:rsid w:val="00A00145"/>
    <w:rsid w:val="00A00383"/>
    <w:rsid w:val="00A011FE"/>
    <w:rsid w:val="00A019DD"/>
    <w:rsid w:val="00A03660"/>
    <w:rsid w:val="00A036CB"/>
    <w:rsid w:val="00A04194"/>
    <w:rsid w:val="00A041A8"/>
    <w:rsid w:val="00A04B88"/>
    <w:rsid w:val="00A04BA4"/>
    <w:rsid w:val="00A04BB2"/>
    <w:rsid w:val="00A05249"/>
    <w:rsid w:val="00A0651B"/>
    <w:rsid w:val="00A066C7"/>
    <w:rsid w:val="00A07492"/>
    <w:rsid w:val="00A10E1C"/>
    <w:rsid w:val="00A1147B"/>
    <w:rsid w:val="00A119C5"/>
    <w:rsid w:val="00A12878"/>
    <w:rsid w:val="00A1353F"/>
    <w:rsid w:val="00A14660"/>
    <w:rsid w:val="00A146F0"/>
    <w:rsid w:val="00A15658"/>
    <w:rsid w:val="00A15AC7"/>
    <w:rsid w:val="00A16034"/>
    <w:rsid w:val="00A17EE4"/>
    <w:rsid w:val="00A21EB9"/>
    <w:rsid w:val="00A23607"/>
    <w:rsid w:val="00A2423C"/>
    <w:rsid w:val="00A24E6B"/>
    <w:rsid w:val="00A250E8"/>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28A2"/>
    <w:rsid w:val="00A435C8"/>
    <w:rsid w:val="00A43B77"/>
    <w:rsid w:val="00A44195"/>
    <w:rsid w:val="00A45825"/>
    <w:rsid w:val="00A45F13"/>
    <w:rsid w:val="00A46A29"/>
    <w:rsid w:val="00A477DB"/>
    <w:rsid w:val="00A503F8"/>
    <w:rsid w:val="00A50676"/>
    <w:rsid w:val="00A509FE"/>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775C6"/>
    <w:rsid w:val="00A807E4"/>
    <w:rsid w:val="00A810B9"/>
    <w:rsid w:val="00A81715"/>
    <w:rsid w:val="00A81BC0"/>
    <w:rsid w:val="00A82BCE"/>
    <w:rsid w:val="00A831DA"/>
    <w:rsid w:val="00A8321F"/>
    <w:rsid w:val="00A839E9"/>
    <w:rsid w:val="00A8482E"/>
    <w:rsid w:val="00A84BA5"/>
    <w:rsid w:val="00A84D91"/>
    <w:rsid w:val="00A861B4"/>
    <w:rsid w:val="00A876DA"/>
    <w:rsid w:val="00A87C09"/>
    <w:rsid w:val="00A908E0"/>
    <w:rsid w:val="00A9195A"/>
    <w:rsid w:val="00A93AAA"/>
    <w:rsid w:val="00A940F7"/>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53DD"/>
    <w:rsid w:val="00AA7959"/>
    <w:rsid w:val="00AB09B4"/>
    <w:rsid w:val="00AB1CB7"/>
    <w:rsid w:val="00AB2558"/>
    <w:rsid w:val="00AB3B97"/>
    <w:rsid w:val="00AB4076"/>
    <w:rsid w:val="00AB4123"/>
    <w:rsid w:val="00AB419D"/>
    <w:rsid w:val="00AC1405"/>
    <w:rsid w:val="00AC2E05"/>
    <w:rsid w:val="00AC3C70"/>
    <w:rsid w:val="00AC4798"/>
    <w:rsid w:val="00AC4893"/>
    <w:rsid w:val="00AC5E53"/>
    <w:rsid w:val="00AC62C9"/>
    <w:rsid w:val="00AC739B"/>
    <w:rsid w:val="00AC7507"/>
    <w:rsid w:val="00AC7A4B"/>
    <w:rsid w:val="00AD07D5"/>
    <w:rsid w:val="00AD0CFD"/>
    <w:rsid w:val="00AD21F1"/>
    <w:rsid w:val="00AD2BD3"/>
    <w:rsid w:val="00AD4270"/>
    <w:rsid w:val="00AD4809"/>
    <w:rsid w:val="00AD4816"/>
    <w:rsid w:val="00AD4B0A"/>
    <w:rsid w:val="00AD5806"/>
    <w:rsid w:val="00AD59F8"/>
    <w:rsid w:val="00AD6654"/>
    <w:rsid w:val="00AD74D3"/>
    <w:rsid w:val="00AD7F47"/>
    <w:rsid w:val="00AE08E4"/>
    <w:rsid w:val="00AE09F5"/>
    <w:rsid w:val="00AE2B57"/>
    <w:rsid w:val="00AE2CDE"/>
    <w:rsid w:val="00AE31DE"/>
    <w:rsid w:val="00AE368A"/>
    <w:rsid w:val="00AE3859"/>
    <w:rsid w:val="00AE3AF5"/>
    <w:rsid w:val="00AE3BBF"/>
    <w:rsid w:val="00AE3E9C"/>
    <w:rsid w:val="00AE4342"/>
    <w:rsid w:val="00AE4369"/>
    <w:rsid w:val="00AE542A"/>
    <w:rsid w:val="00AE5D47"/>
    <w:rsid w:val="00AE655D"/>
    <w:rsid w:val="00AE6B86"/>
    <w:rsid w:val="00AE77FE"/>
    <w:rsid w:val="00AF0203"/>
    <w:rsid w:val="00AF1DA1"/>
    <w:rsid w:val="00AF3C86"/>
    <w:rsid w:val="00AF429D"/>
    <w:rsid w:val="00AF4495"/>
    <w:rsid w:val="00AF49AD"/>
    <w:rsid w:val="00AF5E83"/>
    <w:rsid w:val="00AF6E0E"/>
    <w:rsid w:val="00AF6E7B"/>
    <w:rsid w:val="00B009FE"/>
    <w:rsid w:val="00B02599"/>
    <w:rsid w:val="00B0376B"/>
    <w:rsid w:val="00B03BE9"/>
    <w:rsid w:val="00B051CF"/>
    <w:rsid w:val="00B0571A"/>
    <w:rsid w:val="00B0623F"/>
    <w:rsid w:val="00B063C8"/>
    <w:rsid w:val="00B070CA"/>
    <w:rsid w:val="00B07847"/>
    <w:rsid w:val="00B105D9"/>
    <w:rsid w:val="00B10BD7"/>
    <w:rsid w:val="00B13AD3"/>
    <w:rsid w:val="00B17BFE"/>
    <w:rsid w:val="00B201C9"/>
    <w:rsid w:val="00B20394"/>
    <w:rsid w:val="00B222DF"/>
    <w:rsid w:val="00B24512"/>
    <w:rsid w:val="00B24994"/>
    <w:rsid w:val="00B24E57"/>
    <w:rsid w:val="00B25431"/>
    <w:rsid w:val="00B25DF5"/>
    <w:rsid w:val="00B25E7E"/>
    <w:rsid w:val="00B26A6D"/>
    <w:rsid w:val="00B26AF6"/>
    <w:rsid w:val="00B27919"/>
    <w:rsid w:val="00B302E6"/>
    <w:rsid w:val="00B30577"/>
    <w:rsid w:val="00B3086C"/>
    <w:rsid w:val="00B31421"/>
    <w:rsid w:val="00B315D8"/>
    <w:rsid w:val="00B31AB6"/>
    <w:rsid w:val="00B32E32"/>
    <w:rsid w:val="00B33800"/>
    <w:rsid w:val="00B34073"/>
    <w:rsid w:val="00B360B9"/>
    <w:rsid w:val="00B360D0"/>
    <w:rsid w:val="00B36911"/>
    <w:rsid w:val="00B40964"/>
    <w:rsid w:val="00B430D1"/>
    <w:rsid w:val="00B433B7"/>
    <w:rsid w:val="00B4453B"/>
    <w:rsid w:val="00B44CB4"/>
    <w:rsid w:val="00B44EAE"/>
    <w:rsid w:val="00B51132"/>
    <w:rsid w:val="00B512BF"/>
    <w:rsid w:val="00B518A1"/>
    <w:rsid w:val="00B52507"/>
    <w:rsid w:val="00B52521"/>
    <w:rsid w:val="00B52842"/>
    <w:rsid w:val="00B52EAB"/>
    <w:rsid w:val="00B537F2"/>
    <w:rsid w:val="00B54274"/>
    <w:rsid w:val="00B54E8A"/>
    <w:rsid w:val="00B55107"/>
    <w:rsid w:val="00B5537F"/>
    <w:rsid w:val="00B55F76"/>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6555"/>
    <w:rsid w:val="00B67C1F"/>
    <w:rsid w:val="00B67F84"/>
    <w:rsid w:val="00B700C4"/>
    <w:rsid w:val="00B72940"/>
    <w:rsid w:val="00B72FDA"/>
    <w:rsid w:val="00B7428A"/>
    <w:rsid w:val="00B74FB6"/>
    <w:rsid w:val="00B75347"/>
    <w:rsid w:val="00B7579E"/>
    <w:rsid w:val="00B75835"/>
    <w:rsid w:val="00B75C50"/>
    <w:rsid w:val="00B75CB4"/>
    <w:rsid w:val="00B76139"/>
    <w:rsid w:val="00B765A7"/>
    <w:rsid w:val="00B76F3C"/>
    <w:rsid w:val="00B77711"/>
    <w:rsid w:val="00B77B4D"/>
    <w:rsid w:val="00B77F0E"/>
    <w:rsid w:val="00B81C3D"/>
    <w:rsid w:val="00B81F07"/>
    <w:rsid w:val="00B826D8"/>
    <w:rsid w:val="00B83C91"/>
    <w:rsid w:val="00B841E0"/>
    <w:rsid w:val="00B85266"/>
    <w:rsid w:val="00B8555E"/>
    <w:rsid w:val="00B85B4F"/>
    <w:rsid w:val="00B8618F"/>
    <w:rsid w:val="00B86304"/>
    <w:rsid w:val="00B86843"/>
    <w:rsid w:val="00B87ECD"/>
    <w:rsid w:val="00B91FC8"/>
    <w:rsid w:val="00B922CD"/>
    <w:rsid w:val="00B924DB"/>
    <w:rsid w:val="00B9306B"/>
    <w:rsid w:val="00B932C9"/>
    <w:rsid w:val="00B93972"/>
    <w:rsid w:val="00B957AC"/>
    <w:rsid w:val="00B97065"/>
    <w:rsid w:val="00BA0050"/>
    <w:rsid w:val="00BA1673"/>
    <w:rsid w:val="00BA20AE"/>
    <w:rsid w:val="00BA38EB"/>
    <w:rsid w:val="00BA551D"/>
    <w:rsid w:val="00BA581D"/>
    <w:rsid w:val="00BB0240"/>
    <w:rsid w:val="00BB04C9"/>
    <w:rsid w:val="00BB0730"/>
    <w:rsid w:val="00BB0CB6"/>
    <w:rsid w:val="00BB15BF"/>
    <w:rsid w:val="00BB161D"/>
    <w:rsid w:val="00BB2692"/>
    <w:rsid w:val="00BB2CDC"/>
    <w:rsid w:val="00BB3106"/>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4AD"/>
    <w:rsid w:val="00BC75BB"/>
    <w:rsid w:val="00BC7AD1"/>
    <w:rsid w:val="00BD0612"/>
    <w:rsid w:val="00BD3238"/>
    <w:rsid w:val="00BD44FE"/>
    <w:rsid w:val="00BD58F1"/>
    <w:rsid w:val="00BD5F95"/>
    <w:rsid w:val="00BD6F0F"/>
    <w:rsid w:val="00BD7183"/>
    <w:rsid w:val="00BD76BF"/>
    <w:rsid w:val="00BE0007"/>
    <w:rsid w:val="00BE02EF"/>
    <w:rsid w:val="00BE0597"/>
    <w:rsid w:val="00BE3160"/>
    <w:rsid w:val="00BE3AA2"/>
    <w:rsid w:val="00BE459F"/>
    <w:rsid w:val="00BE50E2"/>
    <w:rsid w:val="00BE5AEF"/>
    <w:rsid w:val="00BE6954"/>
    <w:rsid w:val="00BE702E"/>
    <w:rsid w:val="00BF0BAD"/>
    <w:rsid w:val="00BF2D47"/>
    <w:rsid w:val="00BF3252"/>
    <w:rsid w:val="00BF5DDA"/>
    <w:rsid w:val="00BF60E2"/>
    <w:rsid w:val="00BF620C"/>
    <w:rsid w:val="00BF77E6"/>
    <w:rsid w:val="00C005E4"/>
    <w:rsid w:val="00C02B98"/>
    <w:rsid w:val="00C02E41"/>
    <w:rsid w:val="00C035A3"/>
    <w:rsid w:val="00C03F4B"/>
    <w:rsid w:val="00C046E8"/>
    <w:rsid w:val="00C047CE"/>
    <w:rsid w:val="00C04862"/>
    <w:rsid w:val="00C04A96"/>
    <w:rsid w:val="00C0524A"/>
    <w:rsid w:val="00C05DC1"/>
    <w:rsid w:val="00C06B3B"/>
    <w:rsid w:val="00C06DC6"/>
    <w:rsid w:val="00C07A2F"/>
    <w:rsid w:val="00C10BF5"/>
    <w:rsid w:val="00C11733"/>
    <w:rsid w:val="00C123C5"/>
    <w:rsid w:val="00C12CB2"/>
    <w:rsid w:val="00C13F92"/>
    <w:rsid w:val="00C14721"/>
    <w:rsid w:val="00C16982"/>
    <w:rsid w:val="00C21280"/>
    <w:rsid w:val="00C21301"/>
    <w:rsid w:val="00C21984"/>
    <w:rsid w:val="00C21D54"/>
    <w:rsid w:val="00C22A2D"/>
    <w:rsid w:val="00C22A40"/>
    <w:rsid w:val="00C235A0"/>
    <w:rsid w:val="00C23F5F"/>
    <w:rsid w:val="00C24033"/>
    <w:rsid w:val="00C24108"/>
    <w:rsid w:val="00C30FA8"/>
    <w:rsid w:val="00C314DD"/>
    <w:rsid w:val="00C31623"/>
    <w:rsid w:val="00C31D99"/>
    <w:rsid w:val="00C32BFC"/>
    <w:rsid w:val="00C34400"/>
    <w:rsid w:val="00C35214"/>
    <w:rsid w:val="00C355D8"/>
    <w:rsid w:val="00C35950"/>
    <w:rsid w:val="00C36699"/>
    <w:rsid w:val="00C37F8E"/>
    <w:rsid w:val="00C40BFE"/>
    <w:rsid w:val="00C4256A"/>
    <w:rsid w:val="00C42606"/>
    <w:rsid w:val="00C42CC8"/>
    <w:rsid w:val="00C42D9F"/>
    <w:rsid w:val="00C43A8F"/>
    <w:rsid w:val="00C44220"/>
    <w:rsid w:val="00C4581D"/>
    <w:rsid w:val="00C4597D"/>
    <w:rsid w:val="00C45F6C"/>
    <w:rsid w:val="00C46C58"/>
    <w:rsid w:val="00C46DA0"/>
    <w:rsid w:val="00C46DB3"/>
    <w:rsid w:val="00C472ED"/>
    <w:rsid w:val="00C5098C"/>
    <w:rsid w:val="00C50E98"/>
    <w:rsid w:val="00C537E9"/>
    <w:rsid w:val="00C561A5"/>
    <w:rsid w:val="00C56F2C"/>
    <w:rsid w:val="00C6029A"/>
    <w:rsid w:val="00C61083"/>
    <w:rsid w:val="00C61A59"/>
    <w:rsid w:val="00C62A3D"/>
    <w:rsid w:val="00C637BD"/>
    <w:rsid w:val="00C63CA4"/>
    <w:rsid w:val="00C64AAC"/>
    <w:rsid w:val="00C64C06"/>
    <w:rsid w:val="00C64F99"/>
    <w:rsid w:val="00C65979"/>
    <w:rsid w:val="00C66758"/>
    <w:rsid w:val="00C676FD"/>
    <w:rsid w:val="00C718C7"/>
    <w:rsid w:val="00C7250B"/>
    <w:rsid w:val="00C733AC"/>
    <w:rsid w:val="00C73DA6"/>
    <w:rsid w:val="00C748FD"/>
    <w:rsid w:val="00C751D5"/>
    <w:rsid w:val="00C75F30"/>
    <w:rsid w:val="00C76907"/>
    <w:rsid w:val="00C8516D"/>
    <w:rsid w:val="00C86869"/>
    <w:rsid w:val="00C923C1"/>
    <w:rsid w:val="00C93500"/>
    <w:rsid w:val="00C94156"/>
    <w:rsid w:val="00C94246"/>
    <w:rsid w:val="00C94FFA"/>
    <w:rsid w:val="00C95CCF"/>
    <w:rsid w:val="00C95E93"/>
    <w:rsid w:val="00C95F14"/>
    <w:rsid w:val="00C966E5"/>
    <w:rsid w:val="00C96B69"/>
    <w:rsid w:val="00C96BF5"/>
    <w:rsid w:val="00C97DC9"/>
    <w:rsid w:val="00CA1F44"/>
    <w:rsid w:val="00CA2734"/>
    <w:rsid w:val="00CA3433"/>
    <w:rsid w:val="00CA351E"/>
    <w:rsid w:val="00CA3691"/>
    <w:rsid w:val="00CA4EF5"/>
    <w:rsid w:val="00CA5623"/>
    <w:rsid w:val="00CA5B04"/>
    <w:rsid w:val="00CA641E"/>
    <w:rsid w:val="00CA6ADD"/>
    <w:rsid w:val="00CB1DA7"/>
    <w:rsid w:val="00CB344B"/>
    <w:rsid w:val="00CB5873"/>
    <w:rsid w:val="00CB5E7B"/>
    <w:rsid w:val="00CB7E10"/>
    <w:rsid w:val="00CC22C6"/>
    <w:rsid w:val="00CC2802"/>
    <w:rsid w:val="00CC3BB9"/>
    <w:rsid w:val="00CC5847"/>
    <w:rsid w:val="00CC6AAF"/>
    <w:rsid w:val="00CD081E"/>
    <w:rsid w:val="00CD0EF5"/>
    <w:rsid w:val="00CD1348"/>
    <w:rsid w:val="00CD189A"/>
    <w:rsid w:val="00CD1CDC"/>
    <w:rsid w:val="00CD222D"/>
    <w:rsid w:val="00CD284B"/>
    <w:rsid w:val="00CD2D41"/>
    <w:rsid w:val="00CD2FF8"/>
    <w:rsid w:val="00CD34CD"/>
    <w:rsid w:val="00CD371F"/>
    <w:rsid w:val="00CD39FC"/>
    <w:rsid w:val="00CD5D39"/>
    <w:rsid w:val="00CD6B9C"/>
    <w:rsid w:val="00CD6D1A"/>
    <w:rsid w:val="00CD6DFD"/>
    <w:rsid w:val="00CE0E71"/>
    <w:rsid w:val="00CE11C3"/>
    <w:rsid w:val="00CE1AF7"/>
    <w:rsid w:val="00CE26C7"/>
    <w:rsid w:val="00CE366C"/>
    <w:rsid w:val="00CE5250"/>
    <w:rsid w:val="00CE66CD"/>
    <w:rsid w:val="00CE68B2"/>
    <w:rsid w:val="00CE7C62"/>
    <w:rsid w:val="00CF1958"/>
    <w:rsid w:val="00CF21FE"/>
    <w:rsid w:val="00CF2662"/>
    <w:rsid w:val="00CF2793"/>
    <w:rsid w:val="00CF3404"/>
    <w:rsid w:val="00CF47A0"/>
    <w:rsid w:val="00CF6A56"/>
    <w:rsid w:val="00D02EF2"/>
    <w:rsid w:val="00D038A8"/>
    <w:rsid w:val="00D06875"/>
    <w:rsid w:val="00D06FF9"/>
    <w:rsid w:val="00D11105"/>
    <w:rsid w:val="00D128DE"/>
    <w:rsid w:val="00D12BC1"/>
    <w:rsid w:val="00D13578"/>
    <w:rsid w:val="00D1656E"/>
    <w:rsid w:val="00D16FEA"/>
    <w:rsid w:val="00D17A04"/>
    <w:rsid w:val="00D20309"/>
    <w:rsid w:val="00D20B69"/>
    <w:rsid w:val="00D21127"/>
    <w:rsid w:val="00D2252E"/>
    <w:rsid w:val="00D233DB"/>
    <w:rsid w:val="00D23EE9"/>
    <w:rsid w:val="00D253CA"/>
    <w:rsid w:val="00D25DA8"/>
    <w:rsid w:val="00D26271"/>
    <w:rsid w:val="00D30519"/>
    <w:rsid w:val="00D30B83"/>
    <w:rsid w:val="00D31719"/>
    <w:rsid w:val="00D31ABC"/>
    <w:rsid w:val="00D36607"/>
    <w:rsid w:val="00D37B9E"/>
    <w:rsid w:val="00D404FC"/>
    <w:rsid w:val="00D40D87"/>
    <w:rsid w:val="00D432B7"/>
    <w:rsid w:val="00D43562"/>
    <w:rsid w:val="00D439B2"/>
    <w:rsid w:val="00D43F8B"/>
    <w:rsid w:val="00D44275"/>
    <w:rsid w:val="00D4503B"/>
    <w:rsid w:val="00D45CB4"/>
    <w:rsid w:val="00D4602A"/>
    <w:rsid w:val="00D4637C"/>
    <w:rsid w:val="00D46FC9"/>
    <w:rsid w:val="00D51EA7"/>
    <w:rsid w:val="00D52D77"/>
    <w:rsid w:val="00D53132"/>
    <w:rsid w:val="00D54B0E"/>
    <w:rsid w:val="00D54F74"/>
    <w:rsid w:val="00D560EF"/>
    <w:rsid w:val="00D56CD9"/>
    <w:rsid w:val="00D57DE0"/>
    <w:rsid w:val="00D608DA"/>
    <w:rsid w:val="00D60987"/>
    <w:rsid w:val="00D615CD"/>
    <w:rsid w:val="00D62196"/>
    <w:rsid w:val="00D62721"/>
    <w:rsid w:val="00D62868"/>
    <w:rsid w:val="00D642F4"/>
    <w:rsid w:val="00D65E09"/>
    <w:rsid w:val="00D65F49"/>
    <w:rsid w:val="00D6791F"/>
    <w:rsid w:val="00D70622"/>
    <w:rsid w:val="00D709A3"/>
    <w:rsid w:val="00D70AD6"/>
    <w:rsid w:val="00D70C7F"/>
    <w:rsid w:val="00D7163F"/>
    <w:rsid w:val="00D71BC9"/>
    <w:rsid w:val="00D724F1"/>
    <w:rsid w:val="00D72F92"/>
    <w:rsid w:val="00D73133"/>
    <w:rsid w:val="00D73847"/>
    <w:rsid w:val="00D73B20"/>
    <w:rsid w:val="00D7406C"/>
    <w:rsid w:val="00D74243"/>
    <w:rsid w:val="00D75802"/>
    <w:rsid w:val="00D773A6"/>
    <w:rsid w:val="00D77797"/>
    <w:rsid w:val="00D80DF0"/>
    <w:rsid w:val="00D81371"/>
    <w:rsid w:val="00D827F6"/>
    <w:rsid w:val="00D83EA4"/>
    <w:rsid w:val="00D8411F"/>
    <w:rsid w:val="00D844E1"/>
    <w:rsid w:val="00D855ED"/>
    <w:rsid w:val="00D85BEF"/>
    <w:rsid w:val="00D86891"/>
    <w:rsid w:val="00D86AFD"/>
    <w:rsid w:val="00D87403"/>
    <w:rsid w:val="00D874AA"/>
    <w:rsid w:val="00D90DAC"/>
    <w:rsid w:val="00D91571"/>
    <w:rsid w:val="00D91DB2"/>
    <w:rsid w:val="00D921CE"/>
    <w:rsid w:val="00D92FF1"/>
    <w:rsid w:val="00D931C7"/>
    <w:rsid w:val="00D9352C"/>
    <w:rsid w:val="00D93B9D"/>
    <w:rsid w:val="00D93C8B"/>
    <w:rsid w:val="00D94A8C"/>
    <w:rsid w:val="00D95B6A"/>
    <w:rsid w:val="00D960E5"/>
    <w:rsid w:val="00D96514"/>
    <w:rsid w:val="00D96D3B"/>
    <w:rsid w:val="00D97E4F"/>
    <w:rsid w:val="00DA0819"/>
    <w:rsid w:val="00DA28DA"/>
    <w:rsid w:val="00DA2D85"/>
    <w:rsid w:val="00DA35BD"/>
    <w:rsid w:val="00DA3A24"/>
    <w:rsid w:val="00DA4FB4"/>
    <w:rsid w:val="00DA7E9C"/>
    <w:rsid w:val="00DB032F"/>
    <w:rsid w:val="00DB0593"/>
    <w:rsid w:val="00DB15A0"/>
    <w:rsid w:val="00DB27AC"/>
    <w:rsid w:val="00DB3047"/>
    <w:rsid w:val="00DB3AAA"/>
    <w:rsid w:val="00DB3E69"/>
    <w:rsid w:val="00DB3F79"/>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3461"/>
    <w:rsid w:val="00DD47B9"/>
    <w:rsid w:val="00DD4CEC"/>
    <w:rsid w:val="00DD581E"/>
    <w:rsid w:val="00DD6343"/>
    <w:rsid w:val="00DD63E8"/>
    <w:rsid w:val="00DD6C65"/>
    <w:rsid w:val="00DE0149"/>
    <w:rsid w:val="00DE28C9"/>
    <w:rsid w:val="00DE306B"/>
    <w:rsid w:val="00DE498C"/>
    <w:rsid w:val="00DE5170"/>
    <w:rsid w:val="00DE541D"/>
    <w:rsid w:val="00DE5A75"/>
    <w:rsid w:val="00DE649D"/>
    <w:rsid w:val="00DE716C"/>
    <w:rsid w:val="00DF02AB"/>
    <w:rsid w:val="00DF08EF"/>
    <w:rsid w:val="00DF1387"/>
    <w:rsid w:val="00DF14FA"/>
    <w:rsid w:val="00DF1FF6"/>
    <w:rsid w:val="00DF200A"/>
    <w:rsid w:val="00DF4E69"/>
    <w:rsid w:val="00DF5118"/>
    <w:rsid w:val="00DF66E2"/>
    <w:rsid w:val="00DF76ED"/>
    <w:rsid w:val="00E01CE0"/>
    <w:rsid w:val="00E01F86"/>
    <w:rsid w:val="00E023F1"/>
    <w:rsid w:val="00E027FA"/>
    <w:rsid w:val="00E02F2A"/>
    <w:rsid w:val="00E047BC"/>
    <w:rsid w:val="00E051C8"/>
    <w:rsid w:val="00E058D4"/>
    <w:rsid w:val="00E05D03"/>
    <w:rsid w:val="00E05F25"/>
    <w:rsid w:val="00E05F79"/>
    <w:rsid w:val="00E06025"/>
    <w:rsid w:val="00E06324"/>
    <w:rsid w:val="00E068C7"/>
    <w:rsid w:val="00E1076E"/>
    <w:rsid w:val="00E10825"/>
    <w:rsid w:val="00E10D4B"/>
    <w:rsid w:val="00E11F86"/>
    <w:rsid w:val="00E13454"/>
    <w:rsid w:val="00E14B0B"/>
    <w:rsid w:val="00E15357"/>
    <w:rsid w:val="00E15AFF"/>
    <w:rsid w:val="00E15F1B"/>
    <w:rsid w:val="00E166D5"/>
    <w:rsid w:val="00E16883"/>
    <w:rsid w:val="00E16A2A"/>
    <w:rsid w:val="00E16A68"/>
    <w:rsid w:val="00E17066"/>
    <w:rsid w:val="00E17C2E"/>
    <w:rsid w:val="00E2233C"/>
    <w:rsid w:val="00E22CDB"/>
    <w:rsid w:val="00E22CFD"/>
    <w:rsid w:val="00E246BE"/>
    <w:rsid w:val="00E24A2E"/>
    <w:rsid w:val="00E24CA9"/>
    <w:rsid w:val="00E24CF3"/>
    <w:rsid w:val="00E261CA"/>
    <w:rsid w:val="00E26820"/>
    <w:rsid w:val="00E26AC6"/>
    <w:rsid w:val="00E306A6"/>
    <w:rsid w:val="00E30776"/>
    <w:rsid w:val="00E30BA5"/>
    <w:rsid w:val="00E340FF"/>
    <w:rsid w:val="00E3445A"/>
    <w:rsid w:val="00E35208"/>
    <w:rsid w:val="00E3522D"/>
    <w:rsid w:val="00E35D25"/>
    <w:rsid w:val="00E35D4A"/>
    <w:rsid w:val="00E36DC1"/>
    <w:rsid w:val="00E40ED9"/>
    <w:rsid w:val="00E42325"/>
    <w:rsid w:val="00E43B36"/>
    <w:rsid w:val="00E44189"/>
    <w:rsid w:val="00E44D48"/>
    <w:rsid w:val="00E44DA7"/>
    <w:rsid w:val="00E44E56"/>
    <w:rsid w:val="00E45BEE"/>
    <w:rsid w:val="00E4648C"/>
    <w:rsid w:val="00E46A2B"/>
    <w:rsid w:val="00E46C63"/>
    <w:rsid w:val="00E46F83"/>
    <w:rsid w:val="00E47790"/>
    <w:rsid w:val="00E50D68"/>
    <w:rsid w:val="00E50F22"/>
    <w:rsid w:val="00E52957"/>
    <w:rsid w:val="00E540AC"/>
    <w:rsid w:val="00E55AE0"/>
    <w:rsid w:val="00E56046"/>
    <w:rsid w:val="00E60CE1"/>
    <w:rsid w:val="00E61CFA"/>
    <w:rsid w:val="00E635BB"/>
    <w:rsid w:val="00E639CA"/>
    <w:rsid w:val="00E63D4C"/>
    <w:rsid w:val="00E640A7"/>
    <w:rsid w:val="00E64CA0"/>
    <w:rsid w:val="00E65AD1"/>
    <w:rsid w:val="00E70122"/>
    <w:rsid w:val="00E70410"/>
    <w:rsid w:val="00E707EA"/>
    <w:rsid w:val="00E70F67"/>
    <w:rsid w:val="00E734FC"/>
    <w:rsid w:val="00E73E6D"/>
    <w:rsid w:val="00E746B2"/>
    <w:rsid w:val="00E74934"/>
    <w:rsid w:val="00E75DFB"/>
    <w:rsid w:val="00E761AC"/>
    <w:rsid w:val="00E83FA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5DC3"/>
    <w:rsid w:val="00EA7BB0"/>
    <w:rsid w:val="00EB06DC"/>
    <w:rsid w:val="00EB0DBC"/>
    <w:rsid w:val="00EB2952"/>
    <w:rsid w:val="00EB3EC7"/>
    <w:rsid w:val="00EB4A11"/>
    <w:rsid w:val="00EB5B17"/>
    <w:rsid w:val="00EB5F39"/>
    <w:rsid w:val="00EB6DC3"/>
    <w:rsid w:val="00EB732A"/>
    <w:rsid w:val="00EC08CA"/>
    <w:rsid w:val="00EC1992"/>
    <w:rsid w:val="00EC24E4"/>
    <w:rsid w:val="00EC318B"/>
    <w:rsid w:val="00EC39A5"/>
    <w:rsid w:val="00EC456A"/>
    <w:rsid w:val="00EC5A90"/>
    <w:rsid w:val="00EC6429"/>
    <w:rsid w:val="00EC6456"/>
    <w:rsid w:val="00EC65A6"/>
    <w:rsid w:val="00EC735A"/>
    <w:rsid w:val="00ED0902"/>
    <w:rsid w:val="00ED2163"/>
    <w:rsid w:val="00ED2F5B"/>
    <w:rsid w:val="00ED327A"/>
    <w:rsid w:val="00ED40A3"/>
    <w:rsid w:val="00ED427C"/>
    <w:rsid w:val="00ED6511"/>
    <w:rsid w:val="00ED69A1"/>
    <w:rsid w:val="00ED6B55"/>
    <w:rsid w:val="00ED7EE7"/>
    <w:rsid w:val="00EE014C"/>
    <w:rsid w:val="00EE03B3"/>
    <w:rsid w:val="00EE082F"/>
    <w:rsid w:val="00EE09FD"/>
    <w:rsid w:val="00EE0B57"/>
    <w:rsid w:val="00EE1320"/>
    <w:rsid w:val="00EE184D"/>
    <w:rsid w:val="00EE3084"/>
    <w:rsid w:val="00EE68B1"/>
    <w:rsid w:val="00EF063C"/>
    <w:rsid w:val="00EF0904"/>
    <w:rsid w:val="00EF1EE0"/>
    <w:rsid w:val="00EF2468"/>
    <w:rsid w:val="00EF2CBD"/>
    <w:rsid w:val="00EF37D0"/>
    <w:rsid w:val="00EF3F96"/>
    <w:rsid w:val="00EF4776"/>
    <w:rsid w:val="00EF48F6"/>
    <w:rsid w:val="00EF492A"/>
    <w:rsid w:val="00EF508C"/>
    <w:rsid w:val="00EF53ED"/>
    <w:rsid w:val="00F0108C"/>
    <w:rsid w:val="00F01A62"/>
    <w:rsid w:val="00F033EC"/>
    <w:rsid w:val="00F03E93"/>
    <w:rsid w:val="00F044AE"/>
    <w:rsid w:val="00F046D7"/>
    <w:rsid w:val="00F04974"/>
    <w:rsid w:val="00F05471"/>
    <w:rsid w:val="00F063FC"/>
    <w:rsid w:val="00F06706"/>
    <w:rsid w:val="00F06BC0"/>
    <w:rsid w:val="00F07CAE"/>
    <w:rsid w:val="00F07DBC"/>
    <w:rsid w:val="00F10DE0"/>
    <w:rsid w:val="00F11CA0"/>
    <w:rsid w:val="00F12142"/>
    <w:rsid w:val="00F121B4"/>
    <w:rsid w:val="00F1303D"/>
    <w:rsid w:val="00F13CC9"/>
    <w:rsid w:val="00F13EFC"/>
    <w:rsid w:val="00F15885"/>
    <w:rsid w:val="00F15FE9"/>
    <w:rsid w:val="00F166A4"/>
    <w:rsid w:val="00F17851"/>
    <w:rsid w:val="00F178E3"/>
    <w:rsid w:val="00F2050C"/>
    <w:rsid w:val="00F20882"/>
    <w:rsid w:val="00F20ADE"/>
    <w:rsid w:val="00F20F94"/>
    <w:rsid w:val="00F2111F"/>
    <w:rsid w:val="00F21E58"/>
    <w:rsid w:val="00F2331D"/>
    <w:rsid w:val="00F23AF8"/>
    <w:rsid w:val="00F247DF"/>
    <w:rsid w:val="00F24960"/>
    <w:rsid w:val="00F279C6"/>
    <w:rsid w:val="00F3206A"/>
    <w:rsid w:val="00F334E5"/>
    <w:rsid w:val="00F368B9"/>
    <w:rsid w:val="00F36CFF"/>
    <w:rsid w:val="00F40005"/>
    <w:rsid w:val="00F40051"/>
    <w:rsid w:val="00F4140E"/>
    <w:rsid w:val="00F4267D"/>
    <w:rsid w:val="00F4361B"/>
    <w:rsid w:val="00F43649"/>
    <w:rsid w:val="00F43854"/>
    <w:rsid w:val="00F43924"/>
    <w:rsid w:val="00F43A4B"/>
    <w:rsid w:val="00F50D66"/>
    <w:rsid w:val="00F51C68"/>
    <w:rsid w:val="00F526B2"/>
    <w:rsid w:val="00F52711"/>
    <w:rsid w:val="00F539C0"/>
    <w:rsid w:val="00F53B6C"/>
    <w:rsid w:val="00F55299"/>
    <w:rsid w:val="00F5554F"/>
    <w:rsid w:val="00F562D3"/>
    <w:rsid w:val="00F62410"/>
    <w:rsid w:val="00F62772"/>
    <w:rsid w:val="00F638B2"/>
    <w:rsid w:val="00F63ABB"/>
    <w:rsid w:val="00F63B8D"/>
    <w:rsid w:val="00F63D53"/>
    <w:rsid w:val="00F6441C"/>
    <w:rsid w:val="00F645B6"/>
    <w:rsid w:val="00F64735"/>
    <w:rsid w:val="00F653BE"/>
    <w:rsid w:val="00F6588F"/>
    <w:rsid w:val="00F65F16"/>
    <w:rsid w:val="00F705AB"/>
    <w:rsid w:val="00F70878"/>
    <w:rsid w:val="00F7111F"/>
    <w:rsid w:val="00F71FB6"/>
    <w:rsid w:val="00F73768"/>
    <w:rsid w:val="00F74EDC"/>
    <w:rsid w:val="00F7573D"/>
    <w:rsid w:val="00F75EE3"/>
    <w:rsid w:val="00F76277"/>
    <w:rsid w:val="00F766CE"/>
    <w:rsid w:val="00F77172"/>
    <w:rsid w:val="00F80C09"/>
    <w:rsid w:val="00F81DB5"/>
    <w:rsid w:val="00F82FF6"/>
    <w:rsid w:val="00F843A0"/>
    <w:rsid w:val="00F8454B"/>
    <w:rsid w:val="00F84AE3"/>
    <w:rsid w:val="00F85406"/>
    <w:rsid w:val="00F85790"/>
    <w:rsid w:val="00F85D7A"/>
    <w:rsid w:val="00F87A20"/>
    <w:rsid w:val="00F91EAD"/>
    <w:rsid w:val="00F924D8"/>
    <w:rsid w:val="00F93A02"/>
    <w:rsid w:val="00F9473F"/>
    <w:rsid w:val="00F951A6"/>
    <w:rsid w:val="00F9523F"/>
    <w:rsid w:val="00F95D54"/>
    <w:rsid w:val="00F95D9D"/>
    <w:rsid w:val="00FA16E2"/>
    <w:rsid w:val="00FA312C"/>
    <w:rsid w:val="00FA3ACF"/>
    <w:rsid w:val="00FA3EF1"/>
    <w:rsid w:val="00FA4192"/>
    <w:rsid w:val="00FA456E"/>
    <w:rsid w:val="00FA4747"/>
    <w:rsid w:val="00FB0643"/>
    <w:rsid w:val="00FB0CD8"/>
    <w:rsid w:val="00FB13EB"/>
    <w:rsid w:val="00FB21C8"/>
    <w:rsid w:val="00FB49D3"/>
    <w:rsid w:val="00FB5C88"/>
    <w:rsid w:val="00FB7443"/>
    <w:rsid w:val="00FC083D"/>
    <w:rsid w:val="00FC22A4"/>
    <w:rsid w:val="00FC233D"/>
    <w:rsid w:val="00FC3238"/>
    <w:rsid w:val="00FC3974"/>
    <w:rsid w:val="00FC4C13"/>
    <w:rsid w:val="00FC4DDB"/>
    <w:rsid w:val="00FC56A7"/>
    <w:rsid w:val="00FC683C"/>
    <w:rsid w:val="00FC68E4"/>
    <w:rsid w:val="00FC7693"/>
    <w:rsid w:val="00FD0032"/>
    <w:rsid w:val="00FD0A1D"/>
    <w:rsid w:val="00FD0EC4"/>
    <w:rsid w:val="00FD2E24"/>
    <w:rsid w:val="00FD4552"/>
    <w:rsid w:val="00FD45F7"/>
    <w:rsid w:val="00FD4E29"/>
    <w:rsid w:val="00FD578F"/>
    <w:rsid w:val="00FD5DCE"/>
    <w:rsid w:val="00FD6099"/>
    <w:rsid w:val="00FD7A43"/>
    <w:rsid w:val="00FD7F9D"/>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EBFA60"/>
  <w15:docId w15:val="{AE1207F6-6735-41A1-BD55-3304D034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8D"/>
    <w:rPr>
      <w:rFonts w:ascii="Times New Roman" w:hAnsi="Times New Roman"/>
      <w:sz w:val="24"/>
      <w:szCs w:val="24"/>
    </w:rPr>
  </w:style>
  <w:style w:type="paragraph" w:styleId="Heading3">
    <w:name w:val="heading 3"/>
    <w:basedOn w:val="Normal"/>
    <w:next w:val="Normal"/>
    <w:link w:val="Heading3Char"/>
    <w:uiPriority w:val="9"/>
    <w:semiHidden/>
    <w:unhideWhenUsed/>
    <w:qFormat/>
    <w:rsid w:val="00802CE6"/>
    <w:pPr>
      <w:keepNext/>
      <w:keepLines/>
      <w:spacing w:before="200"/>
      <w:outlineLvl w:val="2"/>
    </w:pPr>
    <w:rPr>
      <w:rFonts w:ascii="Cambria" w:eastAsia="Times New Roman" w:hAnsi="Cambria"/>
      <w:b/>
      <w:bCs/>
      <w:color w:val="4F81BD"/>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26"/>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26"/>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Heading3Char">
    <w:name w:val="Heading 3 Char"/>
    <w:link w:val="Heading3"/>
    <w:uiPriority w:val="9"/>
    <w:semiHidden/>
    <w:rsid w:val="00802CE6"/>
    <w:rPr>
      <w:rFonts w:ascii="Cambria" w:eastAsia="Times New Roman" w:hAnsi="Cambria"/>
      <w:b/>
      <w:bCs/>
      <w:color w:val="4F81BD"/>
      <w:lang w:val="en-AU" w:eastAsia="en-US"/>
    </w:rPr>
  </w:style>
  <w:style w:type="character" w:styleId="Mention">
    <w:name w:val="Mention"/>
    <w:basedOn w:val="DefaultParagraphFont"/>
    <w:uiPriority w:val="99"/>
    <w:semiHidden/>
    <w:unhideWhenUsed/>
    <w:rsid w:val="008E09BF"/>
    <w:rPr>
      <w:color w:val="2B579A"/>
      <w:shd w:val="clear" w:color="auto" w:fill="E6E6E6"/>
    </w:rPr>
  </w:style>
  <w:style w:type="character" w:customStyle="1" w:styleId="UnresolvedMention1">
    <w:name w:val="Unresolved Mention1"/>
    <w:basedOn w:val="DefaultParagraphFont"/>
    <w:uiPriority w:val="99"/>
    <w:semiHidden/>
    <w:unhideWhenUsed/>
    <w:rsid w:val="0002658D"/>
    <w:rPr>
      <w:color w:val="808080"/>
      <w:shd w:val="clear" w:color="auto" w:fill="E6E6E6"/>
    </w:rPr>
  </w:style>
  <w:style w:type="character" w:customStyle="1" w:styleId="UnresolvedMention2">
    <w:name w:val="Unresolved Mention2"/>
    <w:basedOn w:val="DefaultParagraphFont"/>
    <w:uiPriority w:val="99"/>
    <w:semiHidden/>
    <w:unhideWhenUsed/>
    <w:rsid w:val="00B81C3D"/>
    <w:rPr>
      <w:color w:val="808080"/>
      <w:shd w:val="clear" w:color="auto" w:fill="E6E6E6"/>
    </w:rPr>
  </w:style>
  <w:style w:type="character" w:styleId="UnresolvedMention">
    <w:name w:val="Unresolved Mention"/>
    <w:basedOn w:val="DefaultParagraphFont"/>
    <w:uiPriority w:val="99"/>
    <w:semiHidden/>
    <w:unhideWhenUsed/>
    <w:rsid w:val="0069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185799443">
      <w:bodyDiv w:val="1"/>
      <w:marLeft w:val="0"/>
      <w:marRight w:val="0"/>
      <w:marTop w:val="0"/>
      <w:marBottom w:val="0"/>
      <w:divBdr>
        <w:top w:val="none" w:sz="0" w:space="0" w:color="auto"/>
        <w:left w:val="none" w:sz="0" w:space="0" w:color="auto"/>
        <w:bottom w:val="none" w:sz="0" w:space="0" w:color="auto"/>
        <w:right w:val="none" w:sz="0" w:space="0" w:color="auto"/>
      </w:divBdr>
    </w:div>
    <w:div w:id="219218989">
      <w:bodyDiv w:val="1"/>
      <w:marLeft w:val="0"/>
      <w:marRight w:val="0"/>
      <w:marTop w:val="0"/>
      <w:marBottom w:val="0"/>
      <w:divBdr>
        <w:top w:val="none" w:sz="0" w:space="0" w:color="auto"/>
        <w:left w:val="none" w:sz="0" w:space="0" w:color="auto"/>
        <w:bottom w:val="none" w:sz="0" w:space="0" w:color="auto"/>
        <w:right w:val="none" w:sz="0" w:space="0" w:color="auto"/>
      </w:divBdr>
    </w:div>
    <w:div w:id="245892026">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284434710">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81335574">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42582473">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48236382">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sChild>
        <w:div w:id="441613188">
          <w:marLeft w:val="0"/>
          <w:marRight w:val="0"/>
          <w:marTop w:val="0"/>
          <w:marBottom w:val="0"/>
          <w:divBdr>
            <w:top w:val="none" w:sz="0" w:space="0" w:color="auto"/>
            <w:left w:val="none" w:sz="0" w:space="0" w:color="auto"/>
            <w:bottom w:val="none" w:sz="0" w:space="0" w:color="auto"/>
            <w:right w:val="none" w:sz="0" w:space="0" w:color="auto"/>
          </w:divBdr>
        </w:div>
        <w:div w:id="1033768875">
          <w:marLeft w:val="0"/>
          <w:marRight w:val="0"/>
          <w:marTop w:val="0"/>
          <w:marBottom w:val="0"/>
          <w:divBdr>
            <w:top w:val="none" w:sz="0" w:space="0" w:color="auto"/>
            <w:left w:val="none" w:sz="0" w:space="0" w:color="auto"/>
            <w:bottom w:val="none" w:sz="0" w:space="0" w:color="auto"/>
            <w:right w:val="none" w:sz="0" w:space="0" w:color="auto"/>
          </w:divBdr>
        </w:div>
      </w:divsChild>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78103">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988510241">
      <w:bodyDiv w:val="1"/>
      <w:marLeft w:val="0"/>
      <w:marRight w:val="0"/>
      <w:marTop w:val="0"/>
      <w:marBottom w:val="0"/>
      <w:divBdr>
        <w:top w:val="none" w:sz="0" w:space="0" w:color="auto"/>
        <w:left w:val="none" w:sz="0" w:space="0" w:color="auto"/>
        <w:bottom w:val="none" w:sz="0" w:space="0" w:color="auto"/>
        <w:right w:val="none" w:sz="0" w:space="0" w:color="auto"/>
      </w:divBdr>
    </w:div>
    <w:div w:id="1059934993">
      <w:bodyDiv w:val="1"/>
      <w:marLeft w:val="0"/>
      <w:marRight w:val="0"/>
      <w:marTop w:val="0"/>
      <w:marBottom w:val="0"/>
      <w:divBdr>
        <w:top w:val="none" w:sz="0" w:space="0" w:color="auto"/>
        <w:left w:val="none" w:sz="0" w:space="0" w:color="auto"/>
        <w:bottom w:val="none" w:sz="0" w:space="0" w:color="auto"/>
        <w:right w:val="none" w:sz="0" w:space="0" w:color="auto"/>
      </w:divBdr>
    </w:div>
    <w:div w:id="1077899187">
      <w:bodyDiv w:val="1"/>
      <w:marLeft w:val="0"/>
      <w:marRight w:val="0"/>
      <w:marTop w:val="0"/>
      <w:marBottom w:val="0"/>
      <w:divBdr>
        <w:top w:val="none" w:sz="0" w:space="0" w:color="auto"/>
        <w:left w:val="none" w:sz="0" w:space="0" w:color="auto"/>
        <w:bottom w:val="none" w:sz="0" w:space="0" w:color="auto"/>
        <w:right w:val="none" w:sz="0" w:space="0" w:color="auto"/>
      </w:divBdr>
      <w:divsChild>
        <w:div w:id="499850674">
          <w:marLeft w:val="0"/>
          <w:marRight w:val="0"/>
          <w:marTop w:val="0"/>
          <w:marBottom w:val="0"/>
          <w:divBdr>
            <w:top w:val="none" w:sz="0" w:space="0" w:color="auto"/>
            <w:left w:val="none" w:sz="0" w:space="0" w:color="auto"/>
            <w:bottom w:val="none" w:sz="0" w:space="0" w:color="auto"/>
            <w:right w:val="none" w:sz="0" w:space="0" w:color="auto"/>
          </w:divBdr>
        </w:div>
        <w:div w:id="502399337">
          <w:marLeft w:val="0"/>
          <w:marRight w:val="0"/>
          <w:marTop w:val="0"/>
          <w:marBottom w:val="0"/>
          <w:divBdr>
            <w:top w:val="none" w:sz="0" w:space="0" w:color="auto"/>
            <w:left w:val="none" w:sz="0" w:space="0" w:color="auto"/>
            <w:bottom w:val="none" w:sz="0" w:space="0" w:color="auto"/>
            <w:right w:val="none" w:sz="0" w:space="0" w:color="auto"/>
          </w:divBdr>
        </w:div>
      </w:divsChild>
    </w:div>
    <w:div w:id="1079524851">
      <w:bodyDiv w:val="1"/>
      <w:marLeft w:val="0"/>
      <w:marRight w:val="0"/>
      <w:marTop w:val="0"/>
      <w:marBottom w:val="0"/>
      <w:divBdr>
        <w:top w:val="none" w:sz="0" w:space="0" w:color="auto"/>
        <w:left w:val="none" w:sz="0" w:space="0" w:color="auto"/>
        <w:bottom w:val="none" w:sz="0" w:space="0" w:color="auto"/>
        <w:right w:val="none" w:sz="0" w:space="0" w:color="auto"/>
      </w:divBdr>
    </w:div>
    <w:div w:id="1080256452">
      <w:bodyDiv w:val="1"/>
      <w:marLeft w:val="0"/>
      <w:marRight w:val="0"/>
      <w:marTop w:val="0"/>
      <w:marBottom w:val="0"/>
      <w:divBdr>
        <w:top w:val="none" w:sz="0" w:space="0" w:color="auto"/>
        <w:left w:val="none" w:sz="0" w:space="0" w:color="auto"/>
        <w:bottom w:val="none" w:sz="0" w:space="0" w:color="auto"/>
        <w:right w:val="none" w:sz="0" w:space="0" w:color="auto"/>
      </w:divBdr>
    </w:div>
    <w:div w:id="1081104033">
      <w:bodyDiv w:val="1"/>
      <w:marLeft w:val="0"/>
      <w:marRight w:val="0"/>
      <w:marTop w:val="0"/>
      <w:marBottom w:val="0"/>
      <w:divBdr>
        <w:top w:val="none" w:sz="0" w:space="0" w:color="auto"/>
        <w:left w:val="none" w:sz="0" w:space="0" w:color="auto"/>
        <w:bottom w:val="none" w:sz="0" w:space="0" w:color="auto"/>
        <w:right w:val="none" w:sz="0" w:space="0" w:color="auto"/>
      </w:divBdr>
    </w:div>
    <w:div w:id="1175653642">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296257978">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05582854">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35758353">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04237206">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ene.Bergholde@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innvera.fi/eng/products/guarantees/finnvera-guarantee" TargetMode="External"/><Relationship Id="rId2" Type="http://schemas.openxmlformats.org/officeDocument/2006/relationships/hyperlink" Target="http://tap.mk.gov.lv/lv/mk/tap/?pid=40460363" TargetMode="External"/><Relationship Id="rId1" Type="http://schemas.openxmlformats.org/officeDocument/2006/relationships/hyperlink" Target="http://tap.mk.gov.lv/mk/mksedes/saraksts/protokols/?protokols=2017-11-14" TargetMode="External"/><Relationship Id="rId4" Type="http://schemas.openxmlformats.org/officeDocument/2006/relationships/hyperlink" Target="http://eur-lex.europa.eu/legal-content/LV/TXT/?uri=CELEX%3A52008XC06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94584-4CB9-4E03-89B3-FEF4A6943B3D}">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77ACDA7F-E41B-451C-969E-6B795D73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12064</Words>
  <Characters>6877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26.oktobra noteikumos Nr.997„Noteikumi par garantijām komersantu un atbilstošu lauksaimniecības pakalpojumu kooperatīvo sabiedrību konkurētspējas uzlabošanai”” sākotnējās ietekmes</vt:lpstr>
    </vt:vector>
  </TitlesOfParts>
  <Company>EM</Company>
  <LinksUpToDate>false</LinksUpToDate>
  <CharactersWithSpaces>18904</CharactersWithSpaces>
  <SharedDoc>false</SharedDoc>
  <HLinks>
    <vt:vector size="6" baseType="variant">
      <vt:variant>
        <vt:i4>1507344</vt:i4>
      </vt:variant>
      <vt:variant>
        <vt:i4>0</vt:i4>
      </vt:variant>
      <vt:variant>
        <vt:i4>0</vt:i4>
      </vt:variant>
      <vt:variant>
        <vt:i4>5</vt:i4>
      </vt:variant>
      <vt:variant>
        <vt:lpwstr>http://tap.mk.gov.lv/lv/mk/tap/?pid=40390361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26.oktobra noteikumos Nr.997„Noteikumi par garantijām komersantu un atbilstošu lauksaimniecības pakalpojumu kooperatīvo sabiedrību konkurētspējas uzlabošanai”” sākotnējās ietekmes novērtējuma ziņojums (anotācija)</dc:title>
  <dc:subject>MK noteikumu anotācija</dc:subject>
  <dc:creator>Elīna Dlohi</dc:creator>
  <cp:lastModifiedBy>Liene Bergholde</cp:lastModifiedBy>
  <cp:revision>6</cp:revision>
  <cp:lastPrinted>2016-10-31T12:58:00Z</cp:lastPrinted>
  <dcterms:created xsi:type="dcterms:W3CDTF">2019-02-15T12:04:00Z</dcterms:created>
  <dcterms:modified xsi:type="dcterms:W3CDTF">2019-02-19T07:46:00Z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ies>
</file>