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F33D5" w14:textId="614C6F3B" w:rsidR="00E71285" w:rsidRPr="003F60E8" w:rsidRDefault="00E71285" w:rsidP="00061648">
      <w:pPr>
        <w:pStyle w:val="Footer"/>
        <w:tabs>
          <w:tab w:val="left" w:pos="720"/>
        </w:tabs>
        <w:contextualSpacing/>
        <w:jc w:val="both"/>
        <w:rPr>
          <w:rFonts w:ascii="Times New Roman" w:eastAsia="Times New Roman" w:hAnsi="Times New Roman" w:cs="Times New Roman"/>
          <w:bCs/>
          <w:sz w:val="28"/>
          <w:szCs w:val="28"/>
          <w:lang w:eastAsia="lv-LV"/>
        </w:rPr>
      </w:pPr>
    </w:p>
    <w:p w14:paraId="6EBCB168" w14:textId="77777777" w:rsidR="00E71285" w:rsidRPr="003F60E8" w:rsidRDefault="00E71285" w:rsidP="00C3688A">
      <w:pPr>
        <w:tabs>
          <w:tab w:val="left" w:pos="6663"/>
        </w:tabs>
        <w:spacing w:after="0" w:line="240" w:lineRule="auto"/>
        <w:contextualSpacing/>
        <w:rPr>
          <w:rFonts w:ascii="Times New Roman" w:eastAsia="Times New Roman" w:hAnsi="Times New Roman" w:cs="Times New Roman"/>
          <w:sz w:val="28"/>
          <w:szCs w:val="28"/>
          <w:lang w:eastAsia="lv-LV"/>
        </w:rPr>
      </w:pPr>
    </w:p>
    <w:p w14:paraId="5D7200C1" w14:textId="5E932A6D" w:rsidR="00AE0A24" w:rsidRPr="003F60E8" w:rsidRDefault="00AE0A24" w:rsidP="00C91CA9">
      <w:pPr>
        <w:tabs>
          <w:tab w:val="left" w:pos="6663"/>
        </w:tabs>
        <w:spacing w:after="0" w:line="240" w:lineRule="auto"/>
        <w:rPr>
          <w:rFonts w:ascii="Times New Roman" w:eastAsia="Times New Roman" w:hAnsi="Times New Roman"/>
          <w:b/>
          <w:sz w:val="28"/>
          <w:szCs w:val="28"/>
        </w:rPr>
      </w:pPr>
      <w:r w:rsidRPr="003F60E8">
        <w:rPr>
          <w:rFonts w:ascii="Times New Roman" w:eastAsia="Times New Roman" w:hAnsi="Times New Roman"/>
          <w:sz w:val="28"/>
          <w:szCs w:val="28"/>
        </w:rPr>
        <w:t>201</w:t>
      </w:r>
      <w:r w:rsidRPr="003F60E8">
        <w:rPr>
          <w:rFonts w:ascii="Times New Roman" w:hAnsi="Times New Roman"/>
          <w:sz w:val="28"/>
          <w:szCs w:val="28"/>
        </w:rPr>
        <w:t>9</w:t>
      </w:r>
      <w:r w:rsidRPr="003F60E8">
        <w:rPr>
          <w:rFonts w:ascii="Times New Roman" w:eastAsia="Times New Roman" w:hAnsi="Times New Roman"/>
          <w:sz w:val="28"/>
          <w:szCs w:val="28"/>
        </w:rPr>
        <w:t xml:space="preserve">. gada </w:t>
      </w:r>
      <w:r w:rsidR="003A5DB4">
        <w:rPr>
          <w:rFonts w:ascii="Times New Roman" w:eastAsia="Times New Roman" w:hAnsi="Times New Roman"/>
          <w:sz w:val="28"/>
          <w:szCs w:val="28"/>
        </w:rPr>
        <w:t>9. aprīlī</w:t>
      </w:r>
      <w:r w:rsidRPr="003F60E8">
        <w:rPr>
          <w:rFonts w:ascii="Times New Roman" w:eastAsia="Times New Roman" w:hAnsi="Times New Roman"/>
          <w:sz w:val="28"/>
          <w:szCs w:val="28"/>
        </w:rPr>
        <w:tab/>
        <w:t>Noteikumi Nr.</w:t>
      </w:r>
      <w:r w:rsidR="003A5DB4">
        <w:rPr>
          <w:rFonts w:ascii="Times New Roman" w:eastAsia="Times New Roman" w:hAnsi="Times New Roman"/>
          <w:sz w:val="28"/>
          <w:szCs w:val="28"/>
        </w:rPr>
        <w:t> 143</w:t>
      </w:r>
    </w:p>
    <w:p w14:paraId="7993C4D3" w14:textId="6DD11EA1" w:rsidR="00AE0A24" w:rsidRPr="003F60E8" w:rsidRDefault="00AE0A24" w:rsidP="00C91CA9">
      <w:pPr>
        <w:tabs>
          <w:tab w:val="left" w:pos="6663"/>
        </w:tabs>
        <w:spacing w:after="0" w:line="240" w:lineRule="auto"/>
        <w:rPr>
          <w:rFonts w:ascii="Times New Roman" w:eastAsia="Times New Roman" w:hAnsi="Times New Roman"/>
          <w:sz w:val="28"/>
          <w:szCs w:val="28"/>
        </w:rPr>
      </w:pPr>
      <w:r w:rsidRPr="003F60E8">
        <w:rPr>
          <w:rFonts w:ascii="Times New Roman" w:eastAsia="Times New Roman" w:hAnsi="Times New Roman"/>
          <w:sz w:val="28"/>
          <w:szCs w:val="28"/>
        </w:rPr>
        <w:t>Rīgā</w:t>
      </w:r>
      <w:r w:rsidRPr="003F60E8">
        <w:rPr>
          <w:rFonts w:ascii="Times New Roman" w:eastAsia="Times New Roman" w:hAnsi="Times New Roman"/>
          <w:sz w:val="28"/>
          <w:szCs w:val="28"/>
        </w:rPr>
        <w:tab/>
        <w:t>(prot. Nr.</w:t>
      </w:r>
      <w:r w:rsidR="003A5DB4">
        <w:rPr>
          <w:rFonts w:ascii="Times New Roman" w:eastAsia="Times New Roman" w:hAnsi="Times New Roman"/>
          <w:sz w:val="28"/>
          <w:szCs w:val="28"/>
        </w:rPr>
        <w:t> 18 </w:t>
      </w:r>
      <w:bookmarkStart w:id="0" w:name="_GoBack"/>
      <w:bookmarkEnd w:id="0"/>
      <w:r w:rsidR="003A5DB4">
        <w:rPr>
          <w:rFonts w:ascii="Times New Roman" w:eastAsia="Times New Roman" w:hAnsi="Times New Roman"/>
          <w:sz w:val="28"/>
          <w:szCs w:val="28"/>
        </w:rPr>
        <w:t>3</w:t>
      </w:r>
      <w:r w:rsidRPr="003F60E8">
        <w:rPr>
          <w:rFonts w:ascii="Times New Roman" w:eastAsia="Times New Roman" w:hAnsi="Times New Roman"/>
          <w:sz w:val="28"/>
          <w:szCs w:val="28"/>
        </w:rPr>
        <w:t>. §)</w:t>
      </w:r>
    </w:p>
    <w:p w14:paraId="20063809" w14:textId="2D2AC91C" w:rsidR="00A844E8" w:rsidRPr="003F60E8" w:rsidRDefault="00A844E8" w:rsidP="00C3688A">
      <w:pPr>
        <w:tabs>
          <w:tab w:val="left" w:pos="6663"/>
        </w:tabs>
        <w:spacing w:after="0" w:line="240" w:lineRule="auto"/>
        <w:contextualSpacing/>
        <w:rPr>
          <w:rFonts w:ascii="Times New Roman" w:eastAsia="Times New Roman" w:hAnsi="Times New Roman" w:cs="Times New Roman"/>
          <w:sz w:val="28"/>
          <w:szCs w:val="28"/>
          <w:lang w:eastAsia="lv-LV"/>
        </w:rPr>
      </w:pPr>
    </w:p>
    <w:p w14:paraId="3C70A7DC" w14:textId="51B00A74" w:rsidR="00FD00BA" w:rsidRPr="003F60E8" w:rsidRDefault="00A844E8" w:rsidP="00C3688A">
      <w:pPr>
        <w:shd w:val="clear" w:color="auto" w:fill="FFFFFF"/>
        <w:spacing w:after="0" w:line="240" w:lineRule="auto"/>
        <w:contextualSpacing/>
        <w:jc w:val="center"/>
        <w:rPr>
          <w:rFonts w:ascii="Times New Roman" w:eastAsia="Times New Roman" w:hAnsi="Times New Roman" w:cs="Times New Roman"/>
          <w:b/>
          <w:sz w:val="28"/>
          <w:szCs w:val="28"/>
          <w:lang w:eastAsia="lv-LV"/>
        </w:rPr>
      </w:pPr>
      <w:r w:rsidRPr="003F60E8">
        <w:rPr>
          <w:rFonts w:ascii="Times New Roman" w:eastAsia="Times New Roman" w:hAnsi="Times New Roman" w:cs="Times New Roman"/>
          <w:b/>
          <w:sz w:val="28"/>
          <w:szCs w:val="28"/>
          <w:lang w:eastAsia="lv-LV"/>
        </w:rPr>
        <w:t>Grozījumi Ministru kabineta 2016. gada</w:t>
      </w:r>
      <w:r w:rsidR="007C6039" w:rsidRPr="003F60E8">
        <w:rPr>
          <w:rFonts w:ascii="Times New Roman" w:eastAsia="Times New Roman" w:hAnsi="Times New Roman" w:cs="Times New Roman"/>
          <w:b/>
          <w:sz w:val="28"/>
          <w:szCs w:val="28"/>
          <w:lang w:eastAsia="lv-LV"/>
        </w:rPr>
        <w:t xml:space="preserve"> </w:t>
      </w:r>
      <w:r w:rsidR="001F36DA" w:rsidRPr="003F60E8">
        <w:rPr>
          <w:rFonts w:ascii="Times New Roman" w:eastAsia="Times New Roman" w:hAnsi="Times New Roman" w:cs="Times New Roman"/>
          <w:b/>
          <w:sz w:val="28"/>
          <w:szCs w:val="28"/>
          <w:lang w:eastAsia="lv-LV"/>
        </w:rPr>
        <w:t>11.</w:t>
      </w:r>
      <w:r w:rsidR="00AE0A24" w:rsidRPr="003F60E8">
        <w:rPr>
          <w:rFonts w:ascii="Times New Roman" w:eastAsia="Times New Roman" w:hAnsi="Times New Roman" w:cs="Times New Roman"/>
          <w:b/>
          <w:sz w:val="28"/>
          <w:szCs w:val="28"/>
          <w:lang w:eastAsia="lv-LV"/>
        </w:rPr>
        <w:t> </w:t>
      </w:r>
      <w:r w:rsidR="001F36DA" w:rsidRPr="003F60E8">
        <w:rPr>
          <w:rFonts w:ascii="Times New Roman" w:eastAsia="Times New Roman" w:hAnsi="Times New Roman" w:cs="Times New Roman"/>
          <w:b/>
          <w:sz w:val="28"/>
          <w:szCs w:val="28"/>
          <w:lang w:eastAsia="lv-LV"/>
        </w:rPr>
        <w:t>oktobra</w:t>
      </w:r>
      <w:r w:rsidR="007C6039" w:rsidRPr="003F60E8">
        <w:rPr>
          <w:rFonts w:ascii="Times New Roman" w:eastAsia="Times New Roman" w:hAnsi="Times New Roman" w:cs="Times New Roman"/>
          <w:b/>
          <w:sz w:val="28"/>
          <w:szCs w:val="28"/>
          <w:lang w:eastAsia="lv-LV"/>
        </w:rPr>
        <w:t xml:space="preserve"> noteikumos Nr. </w:t>
      </w:r>
      <w:r w:rsidR="00FD00BA" w:rsidRPr="003F60E8">
        <w:rPr>
          <w:rFonts w:ascii="Times New Roman" w:eastAsia="Times New Roman" w:hAnsi="Times New Roman" w:cs="Times New Roman"/>
          <w:b/>
          <w:sz w:val="28"/>
          <w:szCs w:val="28"/>
          <w:lang w:eastAsia="lv-LV"/>
        </w:rPr>
        <w:t>668</w:t>
      </w:r>
      <w:r w:rsidR="007C6039" w:rsidRPr="003F60E8">
        <w:rPr>
          <w:rFonts w:ascii="Times New Roman" w:eastAsia="Times New Roman" w:hAnsi="Times New Roman" w:cs="Times New Roman"/>
          <w:b/>
          <w:sz w:val="28"/>
          <w:szCs w:val="28"/>
          <w:lang w:eastAsia="lv-LV"/>
        </w:rPr>
        <w:t xml:space="preserve"> </w:t>
      </w:r>
      <w:r w:rsidR="00AE0A24" w:rsidRPr="003F60E8">
        <w:rPr>
          <w:rFonts w:ascii="Times New Roman" w:eastAsia="Times New Roman" w:hAnsi="Times New Roman" w:cs="Times New Roman"/>
          <w:b/>
          <w:sz w:val="28"/>
          <w:szCs w:val="28"/>
          <w:lang w:eastAsia="lv-LV"/>
        </w:rPr>
        <w:t>"</w:t>
      </w:r>
      <w:r w:rsidR="00FD00BA" w:rsidRPr="003F60E8">
        <w:rPr>
          <w:rFonts w:ascii="Times New Roman" w:eastAsia="Times New Roman" w:hAnsi="Times New Roman" w:cs="Times New Roman"/>
          <w:b/>
          <w:sz w:val="28"/>
          <w:szCs w:val="28"/>
          <w:lang w:eastAsia="lv-LV"/>
        </w:rPr>
        <w:t xml:space="preserve">Energoefektivitātes monitoringa un piemērojamā </w:t>
      </w:r>
      <w:proofErr w:type="spellStart"/>
      <w:r w:rsidR="00FD00BA" w:rsidRPr="003F60E8">
        <w:rPr>
          <w:rFonts w:ascii="Times New Roman" w:eastAsia="Times New Roman" w:hAnsi="Times New Roman" w:cs="Times New Roman"/>
          <w:b/>
          <w:sz w:val="28"/>
          <w:szCs w:val="28"/>
          <w:lang w:eastAsia="lv-LV"/>
        </w:rPr>
        <w:t>energopārvaldības</w:t>
      </w:r>
      <w:proofErr w:type="spellEnd"/>
      <w:r w:rsidR="00FD00BA" w:rsidRPr="003F60E8">
        <w:rPr>
          <w:rFonts w:ascii="Times New Roman" w:eastAsia="Times New Roman" w:hAnsi="Times New Roman" w:cs="Times New Roman"/>
          <w:b/>
          <w:sz w:val="28"/>
          <w:szCs w:val="28"/>
          <w:lang w:eastAsia="lv-LV"/>
        </w:rPr>
        <w:t xml:space="preserve"> sistēmas standarta noteikumi</w:t>
      </w:r>
      <w:r w:rsidR="00AE0A24" w:rsidRPr="003F60E8">
        <w:rPr>
          <w:rFonts w:ascii="Times New Roman" w:eastAsia="Times New Roman" w:hAnsi="Times New Roman" w:cs="Times New Roman"/>
          <w:b/>
          <w:sz w:val="28"/>
          <w:szCs w:val="28"/>
          <w:lang w:eastAsia="lv-LV"/>
        </w:rPr>
        <w:t>"</w:t>
      </w:r>
    </w:p>
    <w:p w14:paraId="4B290E56" w14:textId="4F414592" w:rsidR="00C3688A" w:rsidRPr="003F60E8" w:rsidRDefault="00C3688A" w:rsidP="003B043E">
      <w:pPr>
        <w:tabs>
          <w:tab w:val="left" w:pos="2552"/>
        </w:tabs>
        <w:spacing w:after="0" w:line="240" w:lineRule="auto"/>
        <w:ind w:right="-1"/>
        <w:contextualSpacing/>
        <w:jc w:val="both"/>
        <w:rPr>
          <w:rFonts w:ascii="Times New Roman" w:eastAsia="Times New Roman" w:hAnsi="Times New Roman" w:cs="Times New Roman"/>
          <w:sz w:val="28"/>
          <w:szCs w:val="28"/>
          <w:lang w:eastAsia="lv-LV"/>
        </w:rPr>
      </w:pPr>
    </w:p>
    <w:p w14:paraId="529FDA9C" w14:textId="77777777" w:rsidR="006D4DC9" w:rsidRPr="003F60E8" w:rsidRDefault="00826729" w:rsidP="00826729">
      <w:pPr>
        <w:tabs>
          <w:tab w:val="left" w:pos="2552"/>
        </w:tabs>
        <w:spacing w:after="0" w:line="240" w:lineRule="auto"/>
        <w:ind w:right="-1"/>
        <w:contextualSpacing/>
        <w:jc w:val="right"/>
        <w:rPr>
          <w:rFonts w:ascii="Times New Roman" w:hAnsi="Times New Roman" w:cs="Times New Roman"/>
          <w:iCs/>
          <w:sz w:val="28"/>
          <w:szCs w:val="28"/>
          <w:shd w:val="clear" w:color="auto" w:fill="FFFFFF"/>
        </w:rPr>
      </w:pPr>
      <w:r w:rsidRPr="003F60E8">
        <w:rPr>
          <w:rFonts w:ascii="Times New Roman" w:hAnsi="Times New Roman" w:cs="Times New Roman"/>
          <w:iCs/>
          <w:sz w:val="28"/>
          <w:szCs w:val="28"/>
          <w:shd w:val="clear" w:color="auto" w:fill="FFFFFF"/>
        </w:rPr>
        <w:t>Izdoti saskaņā ar</w:t>
      </w:r>
      <w:r w:rsidR="006D4DC9" w:rsidRPr="003F60E8">
        <w:rPr>
          <w:rFonts w:ascii="Times New Roman" w:hAnsi="Times New Roman" w:cs="Times New Roman"/>
          <w:iCs/>
          <w:sz w:val="28"/>
          <w:szCs w:val="28"/>
          <w:shd w:val="clear" w:color="auto" w:fill="FFFFFF"/>
        </w:rPr>
        <w:t xml:space="preserve"> </w:t>
      </w:r>
    </w:p>
    <w:p w14:paraId="4593FB0E" w14:textId="1444FF87" w:rsidR="006D4DC9" w:rsidRPr="003F60E8" w:rsidRDefault="00826729" w:rsidP="00826729">
      <w:pPr>
        <w:tabs>
          <w:tab w:val="left" w:pos="2552"/>
        </w:tabs>
        <w:spacing w:after="0" w:line="240" w:lineRule="auto"/>
        <w:ind w:right="-1"/>
        <w:contextualSpacing/>
        <w:jc w:val="right"/>
        <w:rPr>
          <w:rFonts w:ascii="Times New Roman" w:hAnsi="Times New Roman" w:cs="Times New Roman"/>
          <w:iCs/>
          <w:sz w:val="28"/>
          <w:szCs w:val="28"/>
          <w:shd w:val="clear" w:color="auto" w:fill="FFFFFF"/>
        </w:rPr>
      </w:pPr>
      <w:r w:rsidRPr="003F60E8">
        <w:rPr>
          <w:rFonts w:ascii="Times New Roman" w:hAnsi="Times New Roman" w:cs="Times New Roman"/>
          <w:iCs/>
          <w:sz w:val="28"/>
          <w:szCs w:val="28"/>
          <w:shd w:val="clear" w:color="auto" w:fill="FFFFFF"/>
        </w:rPr>
        <w:t>Energoefektivitātes likuma</w:t>
      </w:r>
      <w:r w:rsidR="006D4DC9" w:rsidRPr="003F60E8">
        <w:rPr>
          <w:rFonts w:ascii="Times New Roman" w:hAnsi="Times New Roman" w:cs="Times New Roman"/>
          <w:iCs/>
          <w:sz w:val="28"/>
          <w:szCs w:val="28"/>
          <w:shd w:val="clear" w:color="auto" w:fill="FFFFFF"/>
        </w:rPr>
        <w:t xml:space="preserve"> </w:t>
      </w:r>
      <w:r w:rsidRPr="003F60E8">
        <w:rPr>
          <w:rFonts w:ascii="Times New Roman" w:hAnsi="Times New Roman" w:cs="Times New Roman"/>
          <w:iCs/>
          <w:sz w:val="28"/>
          <w:szCs w:val="28"/>
        </w:rPr>
        <w:br/>
      </w:r>
      <w:r w:rsidRPr="003F60E8">
        <w:rPr>
          <w:rFonts w:ascii="Times New Roman" w:hAnsi="Times New Roman" w:cs="Times New Roman"/>
          <w:iCs/>
          <w:sz w:val="28"/>
          <w:szCs w:val="28"/>
          <w:shd w:val="clear" w:color="auto" w:fill="FFFFFF"/>
        </w:rPr>
        <w:t>5.</w:t>
      </w:r>
      <w:r w:rsidR="006D4DC9" w:rsidRPr="003F60E8">
        <w:rPr>
          <w:rFonts w:ascii="Times New Roman" w:hAnsi="Times New Roman" w:cs="Times New Roman"/>
          <w:iCs/>
          <w:sz w:val="28"/>
          <w:szCs w:val="28"/>
          <w:shd w:val="clear" w:color="auto" w:fill="FFFFFF"/>
        </w:rPr>
        <w:t> </w:t>
      </w:r>
      <w:r w:rsidRPr="003F60E8">
        <w:rPr>
          <w:rFonts w:ascii="Times New Roman" w:hAnsi="Times New Roman" w:cs="Times New Roman"/>
          <w:iCs/>
          <w:sz w:val="28"/>
          <w:szCs w:val="28"/>
          <w:shd w:val="clear" w:color="auto" w:fill="FFFFFF"/>
        </w:rPr>
        <w:t>panta</w:t>
      </w:r>
      <w:r w:rsidR="006D4DC9" w:rsidRPr="003F60E8">
        <w:rPr>
          <w:rFonts w:ascii="Times New Roman" w:hAnsi="Times New Roman" w:cs="Times New Roman"/>
          <w:iCs/>
          <w:sz w:val="28"/>
          <w:szCs w:val="28"/>
          <w:shd w:val="clear" w:color="auto" w:fill="FFFFFF"/>
        </w:rPr>
        <w:t xml:space="preserve"> </w:t>
      </w:r>
      <w:r w:rsidRPr="003F60E8">
        <w:rPr>
          <w:rFonts w:ascii="Times New Roman" w:hAnsi="Times New Roman" w:cs="Times New Roman"/>
          <w:iCs/>
          <w:sz w:val="28"/>
          <w:szCs w:val="28"/>
          <w:shd w:val="clear" w:color="auto" w:fill="FFFFFF"/>
        </w:rPr>
        <w:t xml:space="preserve">ceturto </w:t>
      </w:r>
      <w:r w:rsidR="008A32AB" w:rsidRPr="003F60E8">
        <w:rPr>
          <w:rFonts w:ascii="Times New Roman" w:hAnsi="Times New Roman" w:cs="Times New Roman"/>
          <w:iCs/>
          <w:sz w:val="28"/>
          <w:szCs w:val="28"/>
          <w:shd w:val="clear" w:color="auto" w:fill="FFFFFF"/>
        </w:rPr>
        <w:t xml:space="preserve">daļu </w:t>
      </w:r>
      <w:r w:rsidRPr="003F60E8">
        <w:rPr>
          <w:rFonts w:ascii="Times New Roman" w:hAnsi="Times New Roman" w:cs="Times New Roman"/>
          <w:iCs/>
          <w:sz w:val="28"/>
          <w:szCs w:val="28"/>
          <w:shd w:val="clear" w:color="auto" w:fill="FFFFFF"/>
        </w:rPr>
        <w:t>un piekto daļu,</w:t>
      </w:r>
      <w:r w:rsidR="006D4DC9" w:rsidRPr="003F60E8">
        <w:rPr>
          <w:rFonts w:ascii="Times New Roman" w:hAnsi="Times New Roman" w:cs="Times New Roman"/>
          <w:iCs/>
          <w:sz w:val="28"/>
          <w:szCs w:val="28"/>
          <w:shd w:val="clear" w:color="auto" w:fill="FFFFFF"/>
        </w:rPr>
        <w:t xml:space="preserve"> </w:t>
      </w:r>
    </w:p>
    <w:p w14:paraId="55DC295B" w14:textId="4B3C480C" w:rsidR="006D4DC9" w:rsidRPr="003F60E8" w:rsidRDefault="00826729" w:rsidP="00826729">
      <w:pPr>
        <w:tabs>
          <w:tab w:val="left" w:pos="2552"/>
        </w:tabs>
        <w:spacing w:after="0" w:line="240" w:lineRule="auto"/>
        <w:ind w:right="-1"/>
        <w:contextualSpacing/>
        <w:jc w:val="right"/>
        <w:rPr>
          <w:rFonts w:ascii="Times New Roman" w:hAnsi="Times New Roman" w:cs="Times New Roman"/>
          <w:iCs/>
          <w:sz w:val="28"/>
          <w:szCs w:val="28"/>
          <w:shd w:val="clear" w:color="auto" w:fill="FFFFFF"/>
        </w:rPr>
      </w:pPr>
      <w:r w:rsidRPr="003F60E8">
        <w:rPr>
          <w:rFonts w:ascii="Times New Roman" w:hAnsi="Times New Roman" w:cs="Times New Roman"/>
          <w:iCs/>
          <w:sz w:val="28"/>
          <w:szCs w:val="28"/>
          <w:shd w:val="clear" w:color="auto" w:fill="FFFFFF"/>
        </w:rPr>
        <w:t>6.</w:t>
      </w:r>
      <w:r w:rsidR="006D4DC9" w:rsidRPr="003F60E8">
        <w:rPr>
          <w:rFonts w:ascii="Times New Roman" w:hAnsi="Times New Roman" w:cs="Times New Roman"/>
          <w:iCs/>
          <w:sz w:val="28"/>
          <w:szCs w:val="28"/>
          <w:shd w:val="clear" w:color="auto" w:fill="FFFFFF"/>
        </w:rPr>
        <w:t> </w:t>
      </w:r>
      <w:r w:rsidRPr="003F60E8">
        <w:rPr>
          <w:rFonts w:ascii="Times New Roman" w:hAnsi="Times New Roman" w:cs="Times New Roman"/>
          <w:iCs/>
          <w:sz w:val="28"/>
          <w:szCs w:val="28"/>
          <w:shd w:val="clear" w:color="auto" w:fill="FFFFFF"/>
        </w:rPr>
        <w:t>panta</w:t>
      </w:r>
      <w:r w:rsidR="006D4DC9" w:rsidRPr="003F60E8">
        <w:rPr>
          <w:rFonts w:ascii="Times New Roman" w:hAnsi="Times New Roman" w:cs="Times New Roman"/>
          <w:iCs/>
          <w:sz w:val="28"/>
          <w:szCs w:val="28"/>
          <w:shd w:val="clear" w:color="auto" w:fill="FFFFFF"/>
        </w:rPr>
        <w:t xml:space="preserve"> </w:t>
      </w:r>
      <w:r w:rsidRPr="003F60E8">
        <w:rPr>
          <w:rFonts w:ascii="Times New Roman" w:hAnsi="Times New Roman" w:cs="Times New Roman"/>
          <w:iCs/>
          <w:sz w:val="28"/>
          <w:szCs w:val="28"/>
          <w:shd w:val="clear" w:color="auto" w:fill="FFFFFF"/>
        </w:rPr>
        <w:t>piekto daļu,</w:t>
      </w:r>
      <w:r w:rsidR="006D4DC9" w:rsidRPr="003F60E8">
        <w:rPr>
          <w:rFonts w:ascii="Times New Roman" w:hAnsi="Times New Roman" w:cs="Times New Roman"/>
          <w:iCs/>
          <w:sz w:val="28"/>
          <w:szCs w:val="28"/>
          <w:shd w:val="clear" w:color="auto" w:fill="FFFFFF"/>
        </w:rPr>
        <w:t xml:space="preserve"> </w:t>
      </w:r>
      <w:r w:rsidRPr="003F60E8">
        <w:rPr>
          <w:rFonts w:ascii="Times New Roman" w:hAnsi="Times New Roman" w:cs="Times New Roman"/>
          <w:iCs/>
          <w:sz w:val="28"/>
          <w:szCs w:val="28"/>
        </w:rPr>
        <w:br/>
      </w:r>
      <w:r w:rsidRPr="003F60E8">
        <w:rPr>
          <w:rFonts w:ascii="Times New Roman" w:hAnsi="Times New Roman" w:cs="Times New Roman"/>
          <w:iCs/>
          <w:sz w:val="28"/>
          <w:szCs w:val="28"/>
          <w:shd w:val="clear" w:color="auto" w:fill="FFFFFF"/>
        </w:rPr>
        <w:t>10.</w:t>
      </w:r>
      <w:r w:rsidR="006D4DC9" w:rsidRPr="003F60E8">
        <w:rPr>
          <w:rFonts w:ascii="Times New Roman" w:hAnsi="Times New Roman" w:cs="Times New Roman"/>
          <w:iCs/>
          <w:sz w:val="28"/>
          <w:szCs w:val="28"/>
          <w:shd w:val="clear" w:color="auto" w:fill="FFFFFF"/>
        </w:rPr>
        <w:t> </w:t>
      </w:r>
      <w:r w:rsidRPr="003F60E8">
        <w:rPr>
          <w:rFonts w:ascii="Times New Roman" w:hAnsi="Times New Roman" w:cs="Times New Roman"/>
          <w:iCs/>
          <w:sz w:val="28"/>
          <w:szCs w:val="28"/>
          <w:shd w:val="clear" w:color="auto" w:fill="FFFFFF"/>
        </w:rPr>
        <w:t>panta</w:t>
      </w:r>
      <w:r w:rsidR="006D4DC9" w:rsidRPr="003F60E8">
        <w:rPr>
          <w:rFonts w:ascii="Times New Roman" w:hAnsi="Times New Roman" w:cs="Times New Roman"/>
          <w:iCs/>
          <w:sz w:val="28"/>
          <w:szCs w:val="28"/>
          <w:shd w:val="clear" w:color="auto" w:fill="FFFFFF"/>
        </w:rPr>
        <w:t xml:space="preserve"> </w:t>
      </w:r>
      <w:r w:rsidRPr="003F60E8">
        <w:rPr>
          <w:rFonts w:ascii="Times New Roman" w:hAnsi="Times New Roman" w:cs="Times New Roman"/>
          <w:iCs/>
          <w:sz w:val="28"/>
          <w:szCs w:val="28"/>
          <w:shd w:val="clear" w:color="auto" w:fill="FFFFFF"/>
        </w:rPr>
        <w:t>sesto un septīto daļu,</w:t>
      </w:r>
      <w:r w:rsidR="006D4DC9" w:rsidRPr="003F60E8">
        <w:rPr>
          <w:rFonts w:ascii="Times New Roman" w:hAnsi="Times New Roman" w:cs="Times New Roman"/>
          <w:iCs/>
          <w:sz w:val="28"/>
          <w:szCs w:val="28"/>
          <w:shd w:val="clear" w:color="auto" w:fill="FFFFFF"/>
        </w:rPr>
        <w:t xml:space="preserve"> </w:t>
      </w:r>
    </w:p>
    <w:p w14:paraId="1616C477" w14:textId="477BC990" w:rsidR="00826729" w:rsidRPr="003F60E8" w:rsidRDefault="00826729" w:rsidP="00826729">
      <w:pPr>
        <w:tabs>
          <w:tab w:val="left" w:pos="2552"/>
        </w:tabs>
        <w:spacing w:after="0" w:line="240" w:lineRule="auto"/>
        <w:ind w:right="-1"/>
        <w:contextualSpacing/>
        <w:jc w:val="right"/>
        <w:rPr>
          <w:rFonts w:ascii="Times New Roman" w:eastAsia="Times New Roman" w:hAnsi="Times New Roman" w:cs="Times New Roman"/>
          <w:sz w:val="28"/>
          <w:szCs w:val="28"/>
          <w:lang w:eastAsia="lv-LV"/>
        </w:rPr>
      </w:pPr>
      <w:r w:rsidRPr="003F60E8">
        <w:rPr>
          <w:rFonts w:ascii="Times New Roman" w:hAnsi="Times New Roman" w:cs="Times New Roman"/>
          <w:iCs/>
          <w:sz w:val="28"/>
          <w:szCs w:val="28"/>
          <w:shd w:val="clear" w:color="auto" w:fill="FFFFFF"/>
        </w:rPr>
        <w:t>12.</w:t>
      </w:r>
      <w:r w:rsidR="006D4DC9" w:rsidRPr="003F60E8">
        <w:rPr>
          <w:rFonts w:ascii="Times New Roman" w:hAnsi="Times New Roman" w:cs="Times New Roman"/>
          <w:iCs/>
          <w:sz w:val="28"/>
          <w:szCs w:val="28"/>
          <w:shd w:val="clear" w:color="auto" w:fill="FFFFFF"/>
        </w:rPr>
        <w:t> </w:t>
      </w:r>
      <w:r w:rsidRPr="003F60E8">
        <w:rPr>
          <w:rFonts w:ascii="Times New Roman" w:hAnsi="Times New Roman" w:cs="Times New Roman"/>
          <w:iCs/>
          <w:sz w:val="28"/>
          <w:szCs w:val="28"/>
          <w:shd w:val="clear" w:color="auto" w:fill="FFFFFF"/>
        </w:rPr>
        <w:t>panta</w:t>
      </w:r>
      <w:r w:rsidR="006D4DC9" w:rsidRPr="003F60E8">
        <w:rPr>
          <w:rFonts w:ascii="Times New Roman" w:hAnsi="Times New Roman" w:cs="Times New Roman"/>
          <w:iCs/>
          <w:sz w:val="28"/>
          <w:szCs w:val="28"/>
          <w:shd w:val="clear" w:color="auto" w:fill="FFFFFF"/>
        </w:rPr>
        <w:t xml:space="preserve"> </w:t>
      </w:r>
      <w:r w:rsidRPr="003F60E8">
        <w:rPr>
          <w:rFonts w:ascii="Times New Roman" w:hAnsi="Times New Roman" w:cs="Times New Roman"/>
          <w:iCs/>
          <w:sz w:val="28"/>
          <w:szCs w:val="28"/>
          <w:shd w:val="clear" w:color="auto" w:fill="FFFFFF"/>
        </w:rPr>
        <w:t>ceturto un sesto daļu</w:t>
      </w:r>
      <w:r w:rsidR="006D4DC9" w:rsidRPr="003F60E8">
        <w:rPr>
          <w:rFonts w:ascii="Times New Roman" w:hAnsi="Times New Roman" w:cs="Times New Roman"/>
          <w:iCs/>
          <w:sz w:val="28"/>
          <w:szCs w:val="28"/>
          <w:shd w:val="clear" w:color="auto" w:fill="FFFFFF"/>
        </w:rPr>
        <w:t xml:space="preserve"> un </w:t>
      </w:r>
      <w:r w:rsidRPr="003F60E8">
        <w:rPr>
          <w:rFonts w:ascii="Times New Roman" w:hAnsi="Times New Roman" w:cs="Times New Roman"/>
          <w:iCs/>
          <w:sz w:val="28"/>
          <w:szCs w:val="28"/>
        </w:rPr>
        <w:br/>
      </w:r>
      <w:r w:rsidRPr="003F60E8">
        <w:rPr>
          <w:rFonts w:ascii="Times New Roman" w:hAnsi="Times New Roman" w:cs="Times New Roman"/>
          <w:iCs/>
          <w:sz w:val="28"/>
          <w:szCs w:val="28"/>
          <w:shd w:val="clear" w:color="auto" w:fill="FFFFFF"/>
        </w:rPr>
        <w:t>15.</w:t>
      </w:r>
      <w:r w:rsidR="006D4DC9" w:rsidRPr="003F60E8">
        <w:rPr>
          <w:rFonts w:ascii="Times New Roman" w:hAnsi="Times New Roman" w:cs="Times New Roman"/>
          <w:iCs/>
          <w:sz w:val="28"/>
          <w:szCs w:val="28"/>
          <w:shd w:val="clear" w:color="auto" w:fill="FFFFFF"/>
        </w:rPr>
        <w:t> </w:t>
      </w:r>
      <w:r w:rsidRPr="003F60E8">
        <w:rPr>
          <w:rFonts w:ascii="Times New Roman" w:hAnsi="Times New Roman" w:cs="Times New Roman"/>
          <w:iCs/>
          <w:sz w:val="28"/>
          <w:szCs w:val="28"/>
          <w:shd w:val="clear" w:color="auto" w:fill="FFFFFF"/>
        </w:rPr>
        <w:t>panta</w:t>
      </w:r>
      <w:r w:rsidR="006D4DC9" w:rsidRPr="003F60E8">
        <w:rPr>
          <w:rFonts w:ascii="Times New Roman" w:hAnsi="Times New Roman" w:cs="Times New Roman"/>
          <w:iCs/>
          <w:sz w:val="28"/>
          <w:szCs w:val="28"/>
          <w:shd w:val="clear" w:color="auto" w:fill="FFFFFF"/>
        </w:rPr>
        <w:t xml:space="preserve"> </w:t>
      </w:r>
      <w:r w:rsidRPr="003F60E8">
        <w:rPr>
          <w:rFonts w:ascii="Times New Roman" w:hAnsi="Times New Roman" w:cs="Times New Roman"/>
          <w:iCs/>
          <w:sz w:val="28"/>
          <w:szCs w:val="28"/>
          <w:shd w:val="clear" w:color="auto" w:fill="FFFFFF"/>
        </w:rPr>
        <w:t>pirmo daļu</w:t>
      </w:r>
    </w:p>
    <w:p w14:paraId="673F6268" w14:textId="77777777" w:rsidR="002D65C2" w:rsidRPr="003F60E8" w:rsidRDefault="002D65C2" w:rsidP="00C3688A">
      <w:pPr>
        <w:shd w:val="clear" w:color="auto" w:fill="FFFFFF"/>
        <w:spacing w:after="0" w:line="240" w:lineRule="auto"/>
        <w:contextualSpacing/>
        <w:jc w:val="both"/>
        <w:rPr>
          <w:rFonts w:ascii="Times New Roman" w:eastAsia="Times New Roman" w:hAnsi="Times New Roman" w:cs="Times New Roman"/>
          <w:sz w:val="28"/>
          <w:szCs w:val="28"/>
          <w:lang w:eastAsia="lv-LV"/>
        </w:rPr>
      </w:pPr>
    </w:p>
    <w:p w14:paraId="0E72A0B6" w14:textId="0F785A15" w:rsidR="00A844E8" w:rsidRPr="003F60E8" w:rsidRDefault="00A844E8" w:rsidP="00A70080">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r w:rsidRPr="003F60E8">
        <w:rPr>
          <w:rFonts w:ascii="Times New Roman" w:eastAsia="Times New Roman" w:hAnsi="Times New Roman" w:cs="Times New Roman"/>
          <w:sz w:val="28"/>
          <w:szCs w:val="28"/>
          <w:lang w:eastAsia="lv-LV"/>
        </w:rPr>
        <w:t xml:space="preserve">Izdarīt Ministru kabineta 2016. gada </w:t>
      </w:r>
      <w:r w:rsidR="00FD00BA" w:rsidRPr="003F60E8">
        <w:rPr>
          <w:rFonts w:ascii="Times New Roman" w:eastAsia="Times New Roman" w:hAnsi="Times New Roman" w:cs="Times New Roman"/>
          <w:sz w:val="28"/>
          <w:szCs w:val="28"/>
          <w:lang w:eastAsia="lv-LV"/>
        </w:rPr>
        <w:t>11.</w:t>
      </w:r>
      <w:r w:rsidR="00AE0A24" w:rsidRPr="003F60E8">
        <w:rPr>
          <w:rFonts w:ascii="Times New Roman" w:eastAsia="Times New Roman" w:hAnsi="Times New Roman" w:cs="Times New Roman"/>
          <w:sz w:val="28"/>
          <w:szCs w:val="28"/>
          <w:lang w:eastAsia="lv-LV"/>
        </w:rPr>
        <w:t> </w:t>
      </w:r>
      <w:r w:rsidR="00FD00BA" w:rsidRPr="003F60E8">
        <w:rPr>
          <w:rFonts w:ascii="Times New Roman" w:eastAsia="Times New Roman" w:hAnsi="Times New Roman" w:cs="Times New Roman"/>
          <w:sz w:val="28"/>
          <w:szCs w:val="28"/>
          <w:lang w:eastAsia="lv-LV"/>
        </w:rPr>
        <w:t xml:space="preserve">oktobra noteikumos Nr. 668 </w:t>
      </w:r>
      <w:r w:rsidR="00AE0A24" w:rsidRPr="003F60E8">
        <w:rPr>
          <w:rFonts w:ascii="Times New Roman" w:eastAsia="Times New Roman" w:hAnsi="Times New Roman" w:cs="Times New Roman"/>
          <w:sz w:val="28"/>
          <w:szCs w:val="28"/>
          <w:lang w:eastAsia="lv-LV"/>
        </w:rPr>
        <w:t>"</w:t>
      </w:r>
      <w:r w:rsidR="00FD00BA" w:rsidRPr="003F60E8">
        <w:rPr>
          <w:rFonts w:ascii="Times New Roman" w:eastAsia="Times New Roman" w:hAnsi="Times New Roman" w:cs="Times New Roman"/>
          <w:sz w:val="28"/>
          <w:szCs w:val="28"/>
          <w:lang w:eastAsia="lv-LV"/>
        </w:rPr>
        <w:t xml:space="preserve">Energoefektivitātes monitoringa un piemērojamā </w:t>
      </w:r>
      <w:proofErr w:type="spellStart"/>
      <w:r w:rsidR="00FD00BA" w:rsidRPr="003F60E8">
        <w:rPr>
          <w:rFonts w:ascii="Times New Roman" w:eastAsia="Times New Roman" w:hAnsi="Times New Roman" w:cs="Times New Roman"/>
          <w:sz w:val="28"/>
          <w:szCs w:val="28"/>
          <w:lang w:eastAsia="lv-LV"/>
        </w:rPr>
        <w:t>energopārvaldības</w:t>
      </w:r>
      <w:proofErr w:type="spellEnd"/>
      <w:r w:rsidR="00FD00BA" w:rsidRPr="003F60E8">
        <w:rPr>
          <w:rFonts w:ascii="Times New Roman" w:eastAsia="Times New Roman" w:hAnsi="Times New Roman" w:cs="Times New Roman"/>
          <w:sz w:val="28"/>
          <w:szCs w:val="28"/>
          <w:lang w:eastAsia="lv-LV"/>
        </w:rPr>
        <w:t xml:space="preserve"> sistēmas standarta noteikumi</w:t>
      </w:r>
      <w:r w:rsidR="00AE0A24" w:rsidRPr="003F60E8">
        <w:rPr>
          <w:rFonts w:ascii="Times New Roman" w:eastAsia="Times New Roman" w:hAnsi="Times New Roman" w:cs="Times New Roman"/>
          <w:sz w:val="28"/>
          <w:szCs w:val="28"/>
          <w:lang w:eastAsia="lv-LV"/>
        </w:rPr>
        <w:t>"</w:t>
      </w:r>
      <w:r w:rsidR="00FD00BA" w:rsidRPr="003F60E8">
        <w:rPr>
          <w:rFonts w:ascii="Times New Roman" w:eastAsia="Times New Roman" w:hAnsi="Times New Roman" w:cs="Times New Roman"/>
          <w:sz w:val="28"/>
          <w:szCs w:val="28"/>
          <w:lang w:eastAsia="lv-LV"/>
        </w:rPr>
        <w:t xml:space="preserve"> </w:t>
      </w:r>
      <w:r w:rsidRPr="003F60E8">
        <w:rPr>
          <w:rFonts w:ascii="Times New Roman" w:eastAsia="Times New Roman" w:hAnsi="Times New Roman" w:cs="Times New Roman"/>
          <w:sz w:val="28"/>
          <w:szCs w:val="28"/>
          <w:lang w:eastAsia="lv-LV"/>
        </w:rPr>
        <w:t xml:space="preserve">(Latvijas Vēstnesis, 2016, </w:t>
      </w:r>
      <w:r w:rsidR="006943C8" w:rsidRPr="003F60E8">
        <w:rPr>
          <w:rFonts w:ascii="Times New Roman" w:eastAsia="Times New Roman" w:hAnsi="Times New Roman" w:cs="Times New Roman"/>
          <w:sz w:val="28"/>
          <w:szCs w:val="28"/>
          <w:lang w:eastAsia="lv-LV"/>
        </w:rPr>
        <w:t>211</w:t>
      </w:r>
      <w:r w:rsidRPr="003F60E8">
        <w:rPr>
          <w:rFonts w:ascii="Times New Roman" w:eastAsia="Times New Roman" w:hAnsi="Times New Roman" w:cs="Times New Roman"/>
          <w:sz w:val="28"/>
          <w:szCs w:val="28"/>
          <w:lang w:eastAsia="lv-LV"/>
        </w:rPr>
        <w:t>.</w:t>
      </w:r>
      <w:r w:rsidR="006D4DC9" w:rsidRPr="003F60E8">
        <w:rPr>
          <w:rFonts w:ascii="Times New Roman" w:eastAsia="Times New Roman" w:hAnsi="Times New Roman" w:cs="Times New Roman"/>
          <w:sz w:val="28"/>
          <w:szCs w:val="28"/>
          <w:lang w:eastAsia="lv-LV"/>
        </w:rPr>
        <w:t> </w:t>
      </w:r>
      <w:r w:rsidRPr="003F60E8">
        <w:rPr>
          <w:rFonts w:ascii="Times New Roman" w:eastAsia="Times New Roman" w:hAnsi="Times New Roman" w:cs="Times New Roman"/>
          <w:sz w:val="28"/>
          <w:szCs w:val="28"/>
          <w:lang w:eastAsia="lv-LV"/>
        </w:rPr>
        <w:t>nr.) šādus grozījumus:</w:t>
      </w:r>
    </w:p>
    <w:p w14:paraId="517D2E57" w14:textId="77777777" w:rsidR="00F51F31" w:rsidRPr="003F60E8" w:rsidRDefault="00F51F31" w:rsidP="00C3688A">
      <w:pPr>
        <w:shd w:val="clear" w:color="auto" w:fill="FFFFFF"/>
        <w:spacing w:after="0" w:line="240" w:lineRule="auto"/>
        <w:contextualSpacing/>
        <w:jc w:val="both"/>
        <w:rPr>
          <w:rFonts w:ascii="Times New Roman" w:eastAsia="Times New Roman" w:hAnsi="Times New Roman" w:cs="Times New Roman"/>
          <w:sz w:val="28"/>
          <w:szCs w:val="28"/>
          <w:lang w:eastAsia="lv-LV"/>
        </w:rPr>
      </w:pPr>
    </w:p>
    <w:p w14:paraId="71F3B954" w14:textId="727E13E0" w:rsidR="00D527EB" w:rsidRPr="003F60E8" w:rsidRDefault="00B109E8" w:rsidP="007B2CC4">
      <w:pPr>
        <w:spacing w:after="0" w:line="240" w:lineRule="auto"/>
        <w:ind w:firstLine="709"/>
        <w:contextualSpacing/>
        <w:rPr>
          <w:rFonts w:ascii="Times New Roman" w:hAnsi="Times New Roman" w:cs="Times New Roman"/>
          <w:sz w:val="28"/>
          <w:szCs w:val="28"/>
        </w:rPr>
      </w:pPr>
      <w:r w:rsidRPr="003F60E8">
        <w:rPr>
          <w:rFonts w:ascii="Times New Roman" w:hAnsi="Times New Roman" w:cs="Times New Roman"/>
          <w:sz w:val="28"/>
          <w:szCs w:val="28"/>
        </w:rPr>
        <w:t>1</w:t>
      </w:r>
      <w:r w:rsidR="00D527EB" w:rsidRPr="003F60E8">
        <w:rPr>
          <w:rFonts w:ascii="Times New Roman" w:hAnsi="Times New Roman" w:cs="Times New Roman"/>
          <w:sz w:val="28"/>
          <w:szCs w:val="28"/>
        </w:rPr>
        <w:t xml:space="preserve">. </w:t>
      </w:r>
      <w:r w:rsidR="00403524" w:rsidRPr="003F60E8">
        <w:rPr>
          <w:rFonts w:ascii="Times New Roman" w:hAnsi="Times New Roman" w:cs="Times New Roman"/>
          <w:sz w:val="28"/>
          <w:szCs w:val="28"/>
        </w:rPr>
        <w:t>Papildināt</w:t>
      </w:r>
      <w:r w:rsidR="00D527EB" w:rsidRPr="003F60E8">
        <w:rPr>
          <w:rFonts w:ascii="Times New Roman" w:hAnsi="Times New Roman" w:cs="Times New Roman"/>
          <w:sz w:val="28"/>
          <w:szCs w:val="28"/>
        </w:rPr>
        <w:t xml:space="preserve"> </w:t>
      </w:r>
      <w:r w:rsidR="0062072E" w:rsidRPr="003F60E8">
        <w:rPr>
          <w:rFonts w:ascii="Times New Roman" w:hAnsi="Times New Roman" w:cs="Times New Roman"/>
          <w:sz w:val="28"/>
          <w:szCs w:val="28"/>
        </w:rPr>
        <w:t>25.</w:t>
      </w:r>
      <w:r w:rsidR="003F60E8" w:rsidRPr="003F60E8">
        <w:rPr>
          <w:rFonts w:ascii="Times New Roman" w:hAnsi="Times New Roman" w:cs="Times New Roman"/>
          <w:sz w:val="28"/>
          <w:szCs w:val="28"/>
        </w:rPr>
        <w:t> </w:t>
      </w:r>
      <w:r w:rsidR="0062072E" w:rsidRPr="003F60E8">
        <w:rPr>
          <w:rFonts w:ascii="Times New Roman" w:hAnsi="Times New Roman" w:cs="Times New Roman"/>
          <w:sz w:val="28"/>
          <w:szCs w:val="28"/>
        </w:rPr>
        <w:t xml:space="preserve">punktu </w:t>
      </w:r>
      <w:r w:rsidR="001A7191" w:rsidRPr="003F60E8">
        <w:rPr>
          <w:rFonts w:ascii="Times New Roman" w:hAnsi="Times New Roman" w:cs="Times New Roman"/>
          <w:sz w:val="28"/>
          <w:szCs w:val="28"/>
        </w:rPr>
        <w:t xml:space="preserve">aiz </w:t>
      </w:r>
      <w:r w:rsidR="001420BD" w:rsidRPr="003F60E8">
        <w:rPr>
          <w:rFonts w:ascii="Times New Roman" w:hAnsi="Times New Roman" w:cs="Times New Roman"/>
          <w:sz w:val="28"/>
          <w:szCs w:val="28"/>
        </w:rPr>
        <w:t xml:space="preserve">skaitļa </w:t>
      </w:r>
      <w:r w:rsidR="00AE0A24" w:rsidRPr="003F60E8">
        <w:rPr>
          <w:rFonts w:ascii="Times New Roman" w:hAnsi="Times New Roman" w:cs="Times New Roman"/>
          <w:sz w:val="28"/>
          <w:szCs w:val="28"/>
        </w:rPr>
        <w:t>"</w:t>
      </w:r>
      <w:r w:rsidR="001A7191" w:rsidRPr="003F60E8">
        <w:rPr>
          <w:rFonts w:ascii="Times New Roman" w:hAnsi="Times New Roman" w:cs="Times New Roman"/>
          <w:sz w:val="28"/>
          <w:szCs w:val="28"/>
        </w:rPr>
        <w:t>6.</w:t>
      </w:r>
      <w:r w:rsidR="00AE0A24" w:rsidRPr="003F60E8">
        <w:rPr>
          <w:rFonts w:ascii="Times New Roman" w:hAnsi="Times New Roman" w:cs="Times New Roman"/>
          <w:sz w:val="28"/>
          <w:szCs w:val="28"/>
        </w:rPr>
        <w:t>"</w:t>
      </w:r>
      <w:r w:rsidR="001A7191" w:rsidRPr="003F60E8">
        <w:rPr>
          <w:rFonts w:ascii="Times New Roman" w:hAnsi="Times New Roman" w:cs="Times New Roman"/>
          <w:sz w:val="28"/>
          <w:szCs w:val="28"/>
        </w:rPr>
        <w:t xml:space="preserve"> ar vārd</w:t>
      </w:r>
      <w:r w:rsidR="000754E8" w:rsidRPr="003F60E8">
        <w:rPr>
          <w:rFonts w:ascii="Times New Roman" w:hAnsi="Times New Roman" w:cs="Times New Roman"/>
          <w:sz w:val="28"/>
          <w:szCs w:val="28"/>
        </w:rPr>
        <w:t>u un skaitli</w:t>
      </w:r>
      <w:r w:rsidR="001A7191" w:rsidRPr="003F60E8">
        <w:rPr>
          <w:rFonts w:ascii="Times New Roman" w:hAnsi="Times New Roman" w:cs="Times New Roman"/>
          <w:sz w:val="28"/>
          <w:szCs w:val="28"/>
        </w:rPr>
        <w:t xml:space="preserve"> </w:t>
      </w:r>
      <w:r w:rsidR="00AE0A24" w:rsidRPr="003F60E8">
        <w:rPr>
          <w:rFonts w:ascii="Times New Roman" w:hAnsi="Times New Roman" w:cs="Times New Roman"/>
          <w:sz w:val="28"/>
          <w:szCs w:val="28"/>
        </w:rPr>
        <w:t>"</w:t>
      </w:r>
      <w:r w:rsidR="001A7191" w:rsidRPr="003F60E8">
        <w:rPr>
          <w:rFonts w:ascii="Times New Roman" w:hAnsi="Times New Roman" w:cs="Times New Roman"/>
          <w:sz w:val="28"/>
          <w:szCs w:val="28"/>
        </w:rPr>
        <w:t>un 6</w:t>
      </w:r>
      <w:r w:rsidR="000754E8" w:rsidRPr="003F60E8">
        <w:rPr>
          <w:rFonts w:ascii="Times New Roman" w:hAnsi="Times New Roman" w:cs="Times New Roman"/>
          <w:sz w:val="28"/>
          <w:szCs w:val="28"/>
        </w:rPr>
        <w:t>.</w:t>
      </w:r>
      <w:r w:rsidR="001A7191" w:rsidRPr="003F60E8">
        <w:rPr>
          <w:rFonts w:ascii="Times New Roman" w:hAnsi="Times New Roman" w:cs="Times New Roman"/>
          <w:sz w:val="28"/>
          <w:szCs w:val="28"/>
          <w:vertAlign w:val="superscript"/>
        </w:rPr>
        <w:t>1</w:t>
      </w:r>
      <w:r w:rsidR="00AE0A24" w:rsidRPr="003F60E8">
        <w:rPr>
          <w:rFonts w:ascii="Times New Roman" w:hAnsi="Times New Roman" w:cs="Times New Roman"/>
          <w:sz w:val="28"/>
          <w:szCs w:val="28"/>
        </w:rPr>
        <w:t>"</w:t>
      </w:r>
      <w:r w:rsidR="000754E8" w:rsidRPr="003F60E8">
        <w:rPr>
          <w:rFonts w:ascii="Times New Roman" w:hAnsi="Times New Roman" w:cs="Times New Roman"/>
          <w:sz w:val="28"/>
          <w:szCs w:val="28"/>
        </w:rPr>
        <w:t>.</w:t>
      </w:r>
    </w:p>
    <w:p w14:paraId="4C56603A" w14:textId="77777777" w:rsidR="00F51F31" w:rsidRPr="003F60E8" w:rsidRDefault="00F51F31" w:rsidP="007B2CC4">
      <w:pPr>
        <w:spacing w:after="0" w:line="240" w:lineRule="auto"/>
        <w:contextualSpacing/>
        <w:jc w:val="both"/>
        <w:rPr>
          <w:rFonts w:ascii="Times New Roman" w:hAnsi="Times New Roman" w:cs="Times New Roman"/>
          <w:sz w:val="28"/>
          <w:szCs w:val="28"/>
        </w:rPr>
      </w:pPr>
    </w:p>
    <w:p w14:paraId="2469F331" w14:textId="7077D6CA" w:rsidR="000F2D35" w:rsidRPr="003F60E8" w:rsidRDefault="00B109E8" w:rsidP="007B2CC4">
      <w:pPr>
        <w:spacing w:after="0" w:line="240" w:lineRule="auto"/>
        <w:ind w:firstLine="709"/>
        <w:contextualSpacing/>
        <w:jc w:val="both"/>
        <w:rPr>
          <w:rFonts w:ascii="Times New Roman" w:hAnsi="Times New Roman" w:cs="Times New Roman"/>
          <w:sz w:val="28"/>
          <w:szCs w:val="28"/>
          <w:shd w:val="clear" w:color="auto" w:fill="FFFFFF"/>
        </w:rPr>
      </w:pPr>
      <w:r w:rsidRPr="003F60E8">
        <w:rPr>
          <w:rFonts w:ascii="Times New Roman" w:hAnsi="Times New Roman" w:cs="Times New Roman"/>
          <w:sz w:val="28"/>
          <w:szCs w:val="28"/>
          <w:shd w:val="clear" w:color="auto" w:fill="FFFFFF"/>
        </w:rPr>
        <w:t>2</w:t>
      </w:r>
      <w:r w:rsidR="000F2D35" w:rsidRPr="003F60E8">
        <w:rPr>
          <w:rFonts w:ascii="Times New Roman" w:hAnsi="Times New Roman" w:cs="Times New Roman"/>
          <w:sz w:val="28"/>
          <w:szCs w:val="28"/>
          <w:shd w:val="clear" w:color="auto" w:fill="FFFFFF"/>
        </w:rPr>
        <w:t>.</w:t>
      </w:r>
      <w:r w:rsidR="007B3802" w:rsidRPr="003F60E8">
        <w:rPr>
          <w:rFonts w:ascii="Times New Roman" w:hAnsi="Times New Roman" w:cs="Times New Roman"/>
          <w:sz w:val="28"/>
          <w:szCs w:val="28"/>
          <w:shd w:val="clear" w:color="auto" w:fill="FFFFFF"/>
        </w:rPr>
        <w:t xml:space="preserve"> </w:t>
      </w:r>
      <w:r w:rsidR="001A7191" w:rsidRPr="003F60E8">
        <w:rPr>
          <w:rFonts w:ascii="Times New Roman" w:hAnsi="Times New Roman" w:cs="Times New Roman"/>
          <w:sz w:val="28"/>
          <w:szCs w:val="28"/>
          <w:shd w:val="clear" w:color="auto" w:fill="FFFFFF"/>
        </w:rPr>
        <w:t xml:space="preserve">Aizstāt </w:t>
      </w:r>
      <w:r w:rsidR="000F2D35" w:rsidRPr="003F60E8">
        <w:rPr>
          <w:rFonts w:ascii="Times New Roman" w:hAnsi="Times New Roman" w:cs="Times New Roman"/>
          <w:sz w:val="28"/>
          <w:szCs w:val="28"/>
          <w:shd w:val="clear" w:color="auto" w:fill="FFFFFF"/>
        </w:rPr>
        <w:t>30.</w:t>
      </w:r>
      <w:r w:rsidR="006D4DC9" w:rsidRPr="003F60E8">
        <w:rPr>
          <w:rFonts w:ascii="Times New Roman" w:hAnsi="Times New Roman" w:cs="Times New Roman"/>
          <w:sz w:val="28"/>
          <w:szCs w:val="28"/>
          <w:shd w:val="clear" w:color="auto" w:fill="FFFFFF"/>
        </w:rPr>
        <w:t> </w:t>
      </w:r>
      <w:r w:rsidR="000F2D35" w:rsidRPr="003F60E8">
        <w:rPr>
          <w:rFonts w:ascii="Times New Roman" w:hAnsi="Times New Roman" w:cs="Times New Roman"/>
          <w:sz w:val="28"/>
          <w:szCs w:val="28"/>
          <w:shd w:val="clear" w:color="auto" w:fill="FFFFFF"/>
        </w:rPr>
        <w:t>punkt</w:t>
      </w:r>
      <w:r w:rsidR="001A7191" w:rsidRPr="003F60E8">
        <w:rPr>
          <w:rFonts w:ascii="Times New Roman" w:hAnsi="Times New Roman" w:cs="Times New Roman"/>
          <w:sz w:val="28"/>
          <w:szCs w:val="28"/>
          <w:shd w:val="clear" w:color="auto" w:fill="FFFFFF"/>
        </w:rPr>
        <w:t xml:space="preserve">ā vārdu </w:t>
      </w:r>
      <w:r w:rsidR="00AE0A24" w:rsidRPr="003F60E8">
        <w:rPr>
          <w:rFonts w:ascii="Times New Roman" w:hAnsi="Times New Roman" w:cs="Times New Roman"/>
          <w:sz w:val="28"/>
          <w:szCs w:val="28"/>
          <w:shd w:val="clear" w:color="auto" w:fill="FFFFFF"/>
        </w:rPr>
        <w:t>"</w:t>
      </w:r>
      <w:r w:rsidR="001A7191" w:rsidRPr="003F60E8">
        <w:rPr>
          <w:rFonts w:ascii="Times New Roman" w:hAnsi="Times New Roman" w:cs="Times New Roman"/>
          <w:sz w:val="28"/>
          <w:szCs w:val="28"/>
          <w:shd w:val="clear" w:color="auto" w:fill="FFFFFF"/>
        </w:rPr>
        <w:t>aprīlim</w:t>
      </w:r>
      <w:r w:rsidR="00AE0A24" w:rsidRPr="003F60E8">
        <w:rPr>
          <w:rFonts w:ascii="Times New Roman" w:hAnsi="Times New Roman" w:cs="Times New Roman"/>
          <w:sz w:val="28"/>
          <w:szCs w:val="28"/>
          <w:shd w:val="clear" w:color="auto" w:fill="FFFFFF"/>
        </w:rPr>
        <w:t>"</w:t>
      </w:r>
      <w:r w:rsidR="001A7191" w:rsidRPr="003F60E8">
        <w:rPr>
          <w:rFonts w:ascii="Times New Roman" w:hAnsi="Times New Roman" w:cs="Times New Roman"/>
          <w:sz w:val="28"/>
          <w:szCs w:val="28"/>
          <w:shd w:val="clear" w:color="auto" w:fill="FFFFFF"/>
        </w:rPr>
        <w:t xml:space="preserve"> ar vārdu </w:t>
      </w:r>
      <w:r w:rsidR="00AE0A24" w:rsidRPr="003F60E8">
        <w:rPr>
          <w:rFonts w:ascii="Times New Roman" w:hAnsi="Times New Roman" w:cs="Times New Roman"/>
          <w:sz w:val="28"/>
          <w:szCs w:val="28"/>
          <w:shd w:val="clear" w:color="auto" w:fill="FFFFFF"/>
        </w:rPr>
        <w:t>"</w:t>
      </w:r>
      <w:r w:rsidR="001A7191" w:rsidRPr="003F60E8">
        <w:rPr>
          <w:rFonts w:ascii="Times New Roman" w:hAnsi="Times New Roman" w:cs="Times New Roman"/>
          <w:sz w:val="28"/>
          <w:szCs w:val="28"/>
          <w:shd w:val="clear" w:color="auto" w:fill="FFFFFF"/>
        </w:rPr>
        <w:t>martam</w:t>
      </w:r>
      <w:r w:rsidR="00AE0A24" w:rsidRPr="003F60E8">
        <w:rPr>
          <w:rFonts w:ascii="Times New Roman" w:hAnsi="Times New Roman" w:cs="Times New Roman"/>
          <w:sz w:val="28"/>
          <w:szCs w:val="28"/>
          <w:shd w:val="clear" w:color="auto" w:fill="FFFFFF"/>
        </w:rPr>
        <w:t>"</w:t>
      </w:r>
      <w:r w:rsidR="001A7191" w:rsidRPr="003F60E8">
        <w:rPr>
          <w:rFonts w:ascii="Times New Roman" w:hAnsi="Times New Roman" w:cs="Times New Roman"/>
          <w:sz w:val="28"/>
          <w:szCs w:val="28"/>
          <w:shd w:val="clear" w:color="auto" w:fill="FFFFFF"/>
        </w:rPr>
        <w:t>.</w:t>
      </w:r>
    </w:p>
    <w:p w14:paraId="4463DBF2" w14:textId="77777777" w:rsidR="009D4C10" w:rsidRPr="003F60E8" w:rsidRDefault="009D4C10" w:rsidP="007B2CC4">
      <w:pPr>
        <w:spacing w:after="0" w:line="240" w:lineRule="auto"/>
        <w:contextualSpacing/>
        <w:jc w:val="both"/>
        <w:rPr>
          <w:rFonts w:ascii="Times New Roman" w:hAnsi="Times New Roman" w:cs="Times New Roman"/>
          <w:sz w:val="28"/>
          <w:szCs w:val="28"/>
          <w:shd w:val="clear" w:color="auto" w:fill="FFFFFF"/>
        </w:rPr>
      </w:pPr>
    </w:p>
    <w:p w14:paraId="293CF0E4" w14:textId="52EFD420" w:rsidR="00476F89" w:rsidRPr="003F60E8" w:rsidRDefault="00B109E8" w:rsidP="007B2CC4">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r w:rsidRPr="003F60E8">
        <w:rPr>
          <w:rFonts w:ascii="Times New Roman" w:eastAsia="Times New Roman" w:hAnsi="Times New Roman" w:cs="Times New Roman"/>
          <w:sz w:val="28"/>
          <w:szCs w:val="28"/>
          <w:lang w:eastAsia="lv-LV"/>
        </w:rPr>
        <w:t>3</w:t>
      </w:r>
      <w:r w:rsidR="00FF3DFB" w:rsidRPr="003F60E8">
        <w:rPr>
          <w:rFonts w:ascii="Times New Roman" w:eastAsia="Times New Roman" w:hAnsi="Times New Roman" w:cs="Times New Roman"/>
          <w:sz w:val="28"/>
          <w:szCs w:val="28"/>
          <w:lang w:eastAsia="lv-LV"/>
        </w:rPr>
        <w:t>.</w:t>
      </w:r>
      <w:r w:rsidR="007B3802" w:rsidRPr="003F60E8">
        <w:rPr>
          <w:rFonts w:ascii="Times New Roman" w:eastAsia="Times New Roman" w:hAnsi="Times New Roman" w:cs="Times New Roman"/>
          <w:sz w:val="28"/>
          <w:szCs w:val="28"/>
          <w:lang w:eastAsia="lv-LV"/>
        </w:rPr>
        <w:t xml:space="preserve"> </w:t>
      </w:r>
      <w:r w:rsidR="00476F89" w:rsidRPr="003F60E8">
        <w:rPr>
          <w:rFonts w:ascii="Times New Roman" w:eastAsia="Times New Roman" w:hAnsi="Times New Roman" w:cs="Times New Roman"/>
          <w:sz w:val="28"/>
          <w:szCs w:val="28"/>
          <w:lang w:eastAsia="lv-LV"/>
        </w:rPr>
        <w:t xml:space="preserve">Izteikt </w:t>
      </w:r>
      <w:r w:rsidR="00B81C67" w:rsidRPr="003F60E8">
        <w:rPr>
          <w:rFonts w:ascii="Times New Roman" w:eastAsia="Times New Roman" w:hAnsi="Times New Roman" w:cs="Times New Roman"/>
          <w:sz w:val="28"/>
          <w:szCs w:val="28"/>
          <w:lang w:eastAsia="lv-LV"/>
        </w:rPr>
        <w:t>4.</w:t>
      </w:r>
      <w:r w:rsidR="006D4DC9" w:rsidRPr="003F60E8">
        <w:rPr>
          <w:rFonts w:ascii="Times New Roman" w:eastAsia="Times New Roman" w:hAnsi="Times New Roman" w:cs="Times New Roman"/>
          <w:sz w:val="28"/>
          <w:szCs w:val="28"/>
          <w:lang w:eastAsia="lv-LV"/>
        </w:rPr>
        <w:t> </w:t>
      </w:r>
      <w:r w:rsidR="00B81C67" w:rsidRPr="003F60E8">
        <w:rPr>
          <w:rFonts w:ascii="Times New Roman" w:eastAsia="Times New Roman" w:hAnsi="Times New Roman" w:cs="Times New Roman"/>
          <w:sz w:val="28"/>
          <w:szCs w:val="28"/>
          <w:lang w:eastAsia="lv-LV"/>
        </w:rPr>
        <w:t xml:space="preserve">pielikumu </w:t>
      </w:r>
      <w:r w:rsidR="002263D4" w:rsidRPr="003F60E8">
        <w:rPr>
          <w:rFonts w:ascii="Times New Roman" w:eastAsia="Times New Roman" w:hAnsi="Times New Roman" w:cs="Times New Roman"/>
          <w:sz w:val="28"/>
          <w:szCs w:val="28"/>
          <w:lang w:eastAsia="lv-LV"/>
        </w:rPr>
        <w:t>šādā</w:t>
      </w:r>
      <w:r w:rsidR="00A235A0" w:rsidRPr="003F60E8">
        <w:rPr>
          <w:rFonts w:ascii="Times New Roman" w:eastAsia="Times New Roman" w:hAnsi="Times New Roman" w:cs="Times New Roman"/>
          <w:sz w:val="28"/>
          <w:szCs w:val="28"/>
          <w:lang w:eastAsia="lv-LV"/>
        </w:rPr>
        <w:t xml:space="preserve"> </w:t>
      </w:r>
      <w:r w:rsidR="00B81C67" w:rsidRPr="003F60E8">
        <w:rPr>
          <w:rFonts w:ascii="Times New Roman" w:eastAsia="Times New Roman" w:hAnsi="Times New Roman" w:cs="Times New Roman"/>
          <w:sz w:val="28"/>
          <w:szCs w:val="28"/>
          <w:lang w:eastAsia="lv-LV"/>
        </w:rPr>
        <w:t>redakcijā</w:t>
      </w:r>
      <w:r w:rsidR="00476F89" w:rsidRPr="003F60E8">
        <w:rPr>
          <w:rFonts w:ascii="Times New Roman" w:eastAsia="Times New Roman" w:hAnsi="Times New Roman" w:cs="Times New Roman"/>
          <w:sz w:val="28"/>
          <w:szCs w:val="28"/>
          <w:lang w:eastAsia="lv-LV"/>
        </w:rPr>
        <w:t>:</w:t>
      </w:r>
    </w:p>
    <w:p w14:paraId="711A9E95" w14:textId="77777777" w:rsidR="00451351" w:rsidRPr="003F60E8" w:rsidRDefault="00451351" w:rsidP="00451351">
      <w:pPr>
        <w:shd w:val="clear" w:color="auto" w:fill="FFFFFF"/>
        <w:spacing w:after="0" w:line="240" w:lineRule="auto"/>
        <w:contextualSpacing/>
        <w:jc w:val="both"/>
        <w:rPr>
          <w:rFonts w:ascii="Times New Roman" w:eastAsia="Times New Roman" w:hAnsi="Times New Roman" w:cs="Times New Roman"/>
          <w:sz w:val="28"/>
          <w:szCs w:val="28"/>
          <w:lang w:eastAsia="lv-LV"/>
        </w:rPr>
      </w:pPr>
    </w:p>
    <w:p w14:paraId="5156D37A" w14:textId="4E9EFEE1" w:rsidR="00B81C67" w:rsidRPr="003F60E8" w:rsidRDefault="00AE0A24" w:rsidP="00C3688A">
      <w:pPr>
        <w:pStyle w:val="ListParagraph"/>
        <w:spacing w:after="0" w:line="240" w:lineRule="auto"/>
        <w:ind w:left="1495"/>
        <w:jc w:val="right"/>
        <w:rPr>
          <w:rFonts w:ascii="Times New Roman" w:hAnsi="Times New Roman" w:cs="Times New Roman"/>
          <w:sz w:val="28"/>
          <w:szCs w:val="28"/>
        </w:rPr>
      </w:pPr>
      <w:r w:rsidRPr="003F60E8">
        <w:rPr>
          <w:rFonts w:ascii="Times New Roman" w:hAnsi="Times New Roman" w:cs="Times New Roman"/>
          <w:sz w:val="28"/>
          <w:szCs w:val="28"/>
        </w:rPr>
        <w:t>"</w:t>
      </w:r>
      <w:r w:rsidR="00B81C67" w:rsidRPr="003F60E8">
        <w:rPr>
          <w:rFonts w:ascii="Times New Roman" w:hAnsi="Times New Roman" w:cs="Times New Roman"/>
          <w:sz w:val="28"/>
          <w:szCs w:val="28"/>
        </w:rPr>
        <w:t>4.</w:t>
      </w:r>
      <w:r w:rsidR="006D4DC9" w:rsidRPr="003F60E8">
        <w:rPr>
          <w:rFonts w:ascii="Times New Roman" w:hAnsi="Times New Roman" w:cs="Times New Roman"/>
          <w:sz w:val="28"/>
          <w:szCs w:val="28"/>
        </w:rPr>
        <w:t> </w:t>
      </w:r>
      <w:r w:rsidR="00B81C67" w:rsidRPr="003F60E8">
        <w:rPr>
          <w:rFonts w:ascii="Times New Roman" w:hAnsi="Times New Roman" w:cs="Times New Roman"/>
          <w:sz w:val="28"/>
          <w:szCs w:val="28"/>
        </w:rPr>
        <w:t>pielikums</w:t>
      </w:r>
    </w:p>
    <w:p w14:paraId="0BD661EC" w14:textId="77777777" w:rsidR="00451351" w:rsidRPr="003F60E8" w:rsidRDefault="00B81C67" w:rsidP="00C3688A">
      <w:pPr>
        <w:pStyle w:val="ListParagraph"/>
        <w:spacing w:after="0" w:line="240" w:lineRule="auto"/>
        <w:ind w:left="1495"/>
        <w:jc w:val="right"/>
        <w:rPr>
          <w:rFonts w:ascii="Times New Roman" w:hAnsi="Times New Roman" w:cs="Times New Roman"/>
          <w:sz w:val="28"/>
          <w:szCs w:val="28"/>
        </w:rPr>
      </w:pPr>
      <w:r w:rsidRPr="003F60E8">
        <w:rPr>
          <w:rFonts w:ascii="Times New Roman" w:hAnsi="Times New Roman" w:cs="Times New Roman"/>
          <w:sz w:val="28"/>
          <w:szCs w:val="28"/>
        </w:rPr>
        <w:t>Ministru kabineta</w:t>
      </w:r>
    </w:p>
    <w:p w14:paraId="67583867" w14:textId="23D32DEF" w:rsidR="00B81C67" w:rsidRPr="003F60E8" w:rsidRDefault="00B81C67" w:rsidP="00C3688A">
      <w:pPr>
        <w:pStyle w:val="ListParagraph"/>
        <w:spacing w:after="0" w:line="240" w:lineRule="auto"/>
        <w:ind w:left="1495"/>
        <w:jc w:val="right"/>
        <w:rPr>
          <w:rFonts w:ascii="Times New Roman" w:hAnsi="Times New Roman" w:cs="Times New Roman"/>
          <w:sz w:val="28"/>
          <w:szCs w:val="28"/>
        </w:rPr>
      </w:pPr>
      <w:r w:rsidRPr="003F60E8">
        <w:rPr>
          <w:rFonts w:ascii="Times New Roman" w:hAnsi="Times New Roman" w:cs="Times New Roman"/>
          <w:sz w:val="28"/>
          <w:szCs w:val="28"/>
        </w:rPr>
        <w:t>2016.</w:t>
      </w:r>
      <w:r w:rsidR="006D4DC9" w:rsidRPr="003F60E8">
        <w:rPr>
          <w:rFonts w:ascii="Times New Roman" w:hAnsi="Times New Roman" w:cs="Times New Roman"/>
          <w:sz w:val="28"/>
          <w:szCs w:val="28"/>
        </w:rPr>
        <w:t> </w:t>
      </w:r>
      <w:r w:rsidRPr="003F60E8">
        <w:rPr>
          <w:rFonts w:ascii="Times New Roman" w:hAnsi="Times New Roman" w:cs="Times New Roman"/>
          <w:sz w:val="28"/>
          <w:szCs w:val="28"/>
        </w:rPr>
        <w:t>gada 11.</w:t>
      </w:r>
      <w:r w:rsidR="006D4DC9" w:rsidRPr="003F60E8">
        <w:rPr>
          <w:rFonts w:ascii="Times New Roman" w:hAnsi="Times New Roman" w:cs="Times New Roman"/>
          <w:sz w:val="28"/>
          <w:szCs w:val="28"/>
        </w:rPr>
        <w:t> </w:t>
      </w:r>
      <w:r w:rsidRPr="003F60E8">
        <w:rPr>
          <w:rFonts w:ascii="Times New Roman" w:hAnsi="Times New Roman" w:cs="Times New Roman"/>
          <w:sz w:val="28"/>
          <w:szCs w:val="28"/>
        </w:rPr>
        <w:t>oktobra</w:t>
      </w:r>
    </w:p>
    <w:p w14:paraId="0BB4355A" w14:textId="678C7AC6" w:rsidR="00B81C67" w:rsidRPr="003F60E8" w:rsidRDefault="00B81C67" w:rsidP="00C3688A">
      <w:pPr>
        <w:pStyle w:val="ListParagraph"/>
        <w:spacing w:after="0" w:line="240" w:lineRule="auto"/>
        <w:ind w:left="1495"/>
        <w:jc w:val="right"/>
        <w:rPr>
          <w:rFonts w:ascii="Times New Roman" w:hAnsi="Times New Roman" w:cs="Times New Roman"/>
          <w:sz w:val="28"/>
          <w:szCs w:val="28"/>
        </w:rPr>
      </w:pPr>
      <w:r w:rsidRPr="003F60E8">
        <w:rPr>
          <w:rFonts w:ascii="Times New Roman" w:hAnsi="Times New Roman" w:cs="Times New Roman"/>
          <w:sz w:val="28"/>
          <w:szCs w:val="28"/>
        </w:rPr>
        <w:t>noteikumiem Nr.</w:t>
      </w:r>
      <w:r w:rsidR="006D4DC9" w:rsidRPr="003F60E8">
        <w:rPr>
          <w:rFonts w:ascii="Times New Roman" w:hAnsi="Times New Roman" w:cs="Times New Roman"/>
          <w:sz w:val="28"/>
          <w:szCs w:val="28"/>
        </w:rPr>
        <w:t> </w:t>
      </w:r>
      <w:r w:rsidRPr="003F60E8">
        <w:rPr>
          <w:rFonts w:ascii="Times New Roman" w:hAnsi="Times New Roman" w:cs="Times New Roman"/>
          <w:sz w:val="28"/>
          <w:szCs w:val="28"/>
        </w:rPr>
        <w:t>668</w:t>
      </w:r>
    </w:p>
    <w:p w14:paraId="197D8095" w14:textId="77777777" w:rsidR="00B81C67" w:rsidRPr="003F60E8" w:rsidRDefault="00B81C67" w:rsidP="00C3688A">
      <w:pPr>
        <w:pStyle w:val="ListParagraph"/>
        <w:spacing w:after="0" w:line="240" w:lineRule="auto"/>
        <w:ind w:left="1495"/>
        <w:jc w:val="right"/>
        <w:rPr>
          <w:rFonts w:ascii="Times New Roman" w:hAnsi="Times New Roman" w:cs="Times New Roman"/>
          <w:b/>
          <w:sz w:val="28"/>
          <w:szCs w:val="28"/>
        </w:rPr>
      </w:pPr>
    </w:p>
    <w:p w14:paraId="65E82B4D" w14:textId="68C3C601" w:rsidR="00B81C67" w:rsidRPr="003F60E8" w:rsidRDefault="00B81C67" w:rsidP="00C3688A">
      <w:pPr>
        <w:spacing w:after="0" w:line="240" w:lineRule="auto"/>
        <w:contextualSpacing/>
        <w:jc w:val="center"/>
        <w:rPr>
          <w:rFonts w:ascii="Times New Roman" w:hAnsi="Times New Roman" w:cs="Times New Roman"/>
          <w:b/>
          <w:sz w:val="28"/>
          <w:szCs w:val="28"/>
        </w:rPr>
      </w:pPr>
      <w:r w:rsidRPr="003F60E8">
        <w:rPr>
          <w:rFonts w:ascii="Times New Roman" w:hAnsi="Times New Roman" w:cs="Times New Roman"/>
          <w:b/>
          <w:sz w:val="28"/>
          <w:szCs w:val="28"/>
        </w:rPr>
        <w:t xml:space="preserve">Dokumenti, kas apliecina </w:t>
      </w:r>
      <w:r w:rsidR="0022273E" w:rsidRPr="003F60E8">
        <w:rPr>
          <w:rFonts w:ascii="Times New Roman" w:hAnsi="Times New Roman" w:cs="Times New Roman"/>
          <w:b/>
          <w:sz w:val="28"/>
          <w:szCs w:val="28"/>
        </w:rPr>
        <w:t xml:space="preserve">nesertificētas </w:t>
      </w:r>
      <w:proofErr w:type="spellStart"/>
      <w:r w:rsidRPr="003F60E8">
        <w:rPr>
          <w:rFonts w:ascii="Times New Roman" w:hAnsi="Times New Roman" w:cs="Times New Roman"/>
          <w:b/>
          <w:sz w:val="28"/>
          <w:szCs w:val="28"/>
        </w:rPr>
        <w:t>energopārvaldības</w:t>
      </w:r>
      <w:proofErr w:type="spellEnd"/>
      <w:r w:rsidRPr="003F60E8">
        <w:rPr>
          <w:rFonts w:ascii="Times New Roman" w:hAnsi="Times New Roman" w:cs="Times New Roman"/>
          <w:b/>
          <w:sz w:val="28"/>
          <w:szCs w:val="28"/>
        </w:rPr>
        <w:t xml:space="preserve"> sistēmas ieviešanu</w:t>
      </w:r>
    </w:p>
    <w:p w14:paraId="19B694CF" w14:textId="77777777" w:rsidR="00B81C67" w:rsidRPr="003F60E8" w:rsidRDefault="00B81C67" w:rsidP="00413919">
      <w:pPr>
        <w:spacing w:after="0" w:line="240" w:lineRule="auto"/>
        <w:rPr>
          <w:rFonts w:ascii="Times New Roman" w:hAnsi="Times New Roman" w:cs="Times New Roman"/>
          <w:sz w:val="28"/>
          <w:szCs w:val="28"/>
        </w:rPr>
      </w:pPr>
    </w:p>
    <w:p w14:paraId="10052079" w14:textId="0686F10F" w:rsidR="00B81C67" w:rsidRPr="003F60E8" w:rsidRDefault="002D65C2" w:rsidP="00413919">
      <w:pPr>
        <w:spacing w:after="0" w:line="240" w:lineRule="auto"/>
        <w:ind w:firstLine="709"/>
        <w:contextualSpacing/>
        <w:jc w:val="both"/>
        <w:rPr>
          <w:rFonts w:ascii="Times New Roman" w:hAnsi="Times New Roman" w:cs="Times New Roman"/>
          <w:sz w:val="28"/>
          <w:szCs w:val="28"/>
        </w:rPr>
      </w:pPr>
      <w:r w:rsidRPr="003F60E8">
        <w:rPr>
          <w:rFonts w:ascii="Times New Roman" w:hAnsi="Times New Roman" w:cs="Times New Roman"/>
          <w:sz w:val="28"/>
          <w:szCs w:val="28"/>
        </w:rPr>
        <w:t>1.</w:t>
      </w:r>
      <w:r w:rsidR="006D4DC9" w:rsidRPr="003F60E8">
        <w:rPr>
          <w:rFonts w:ascii="Times New Roman" w:hAnsi="Times New Roman" w:cs="Times New Roman"/>
          <w:sz w:val="28"/>
          <w:szCs w:val="28"/>
        </w:rPr>
        <w:t> </w:t>
      </w:r>
      <w:r w:rsidR="00B81C67" w:rsidRPr="003F60E8">
        <w:rPr>
          <w:rFonts w:ascii="Times New Roman" w:hAnsi="Times New Roman" w:cs="Times New Roman"/>
          <w:sz w:val="28"/>
          <w:szCs w:val="28"/>
        </w:rPr>
        <w:t xml:space="preserve">Valsts iestādes </w:t>
      </w:r>
      <w:r w:rsidR="00A70239" w:rsidRPr="003F60E8">
        <w:rPr>
          <w:rFonts w:ascii="Times New Roman" w:hAnsi="Times New Roman" w:cs="Times New Roman"/>
          <w:sz w:val="28"/>
          <w:szCs w:val="28"/>
        </w:rPr>
        <w:t xml:space="preserve">vadītāja </w:t>
      </w:r>
      <w:r w:rsidR="00B81C67" w:rsidRPr="003F60E8">
        <w:rPr>
          <w:rFonts w:ascii="Times New Roman" w:hAnsi="Times New Roman" w:cs="Times New Roman"/>
          <w:sz w:val="28"/>
          <w:szCs w:val="28"/>
        </w:rPr>
        <w:t xml:space="preserve">vai pašvaldības domes rīkojums par </w:t>
      </w:r>
      <w:proofErr w:type="spellStart"/>
      <w:r w:rsidR="00B81C67" w:rsidRPr="003F60E8">
        <w:rPr>
          <w:rFonts w:ascii="Times New Roman" w:hAnsi="Times New Roman" w:cs="Times New Roman"/>
          <w:sz w:val="28"/>
          <w:szCs w:val="28"/>
        </w:rPr>
        <w:t>energopārvaldības</w:t>
      </w:r>
      <w:proofErr w:type="spellEnd"/>
      <w:r w:rsidR="00B81C67" w:rsidRPr="003F60E8">
        <w:rPr>
          <w:rFonts w:ascii="Times New Roman" w:hAnsi="Times New Roman" w:cs="Times New Roman"/>
          <w:sz w:val="28"/>
          <w:szCs w:val="28"/>
        </w:rPr>
        <w:t xml:space="preserve"> ieviešanu</w:t>
      </w:r>
      <w:r w:rsidR="002263D4" w:rsidRPr="003F60E8">
        <w:rPr>
          <w:rFonts w:ascii="Times New Roman" w:hAnsi="Times New Roman" w:cs="Times New Roman"/>
          <w:sz w:val="28"/>
          <w:szCs w:val="28"/>
        </w:rPr>
        <w:t>.</w:t>
      </w:r>
      <w:r w:rsidR="00B81C67" w:rsidRPr="003F60E8">
        <w:rPr>
          <w:rFonts w:ascii="Times New Roman" w:hAnsi="Times New Roman" w:cs="Times New Roman"/>
          <w:sz w:val="28"/>
          <w:szCs w:val="28"/>
        </w:rPr>
        <w:t xml:space="preserve"> </w:t>
      </w:r>
    </w:p>
    <w:p w14:paraId="05DB231D" w14:textId="77777777" w:rsidR="00286CFD" w:rsidRPr="003F60E8" w:rsidRDefault="00286CFD" w:rsidP="00286CFD">
      <w:pPr>
        <w:spacing w:after="0" w:line="240" w:lineRule="auto"/>
        <w:contextualSpacing/>
        <w:jc w:val="both"/>
        <w:rPr>
          <w:rFonts w:ascii="Times New Roman" w:hAnsi="Times New Roman" w:cs="Times New Roman"/>
          <w:sz w:val="28"/>
          <w:szCs w:val="28"/>
        </w:rPr>
      </w:pPr>
    </w:p>
    <w:p w14:paraId="657BEB6B" w14:textId="34315261" w:rsidR="00AC72C2" w:rsidRPr="003F60E8" w:rsidRDefault="002D65C2" w:rsidP="00413919">
      <w:pPr>
        <w:spacing w:after="0" w:line="240" w:lineRule="auto"/>
        <w:ind w:firstLine="709"/>
        <w:contextualSpacing/>
        <w:jc w:val="both"/>
        <w:rPr>
          <w:rFonts w:ascii="Times New Roman" w:hAnsi="Times New Roman" w:cs="Times New Roman"/>
          <w:sz w:val="28"/>
          <w:szCs w:val="28"/>
        </w:rPr>
      </w:pPr>
      <w:r w:rsidRPr="003F60E8">
        <w:rPr>
          <w:rFonts w:ascii="Times New Roman" w:hAnsi="Times New Roman" w:cs="Times New Roman"/>
          <w:sz w:val="28"/>
          <w:szCs w:val="28"/>
        </w:rPr>
        <w:t>2.</w:t>
      </w:r>
      <w:r w:rsidR="006D4DC9" w:rsidRPr="003F60E8">
        <w:rPr>
          <w:rFonts w:ascii="Times New Roman" w:hAnsi="Times New Roman" w:cs="Times New Roman"/>
          <w:sz w:val="28"/>
          <w:szCs w:val="28"/>
        </w:rPr>
        <w:t> </w:t>
      </w:r>
      <w:r w:rsidR="00B81C67" w:rsidRPr="003F60E8">
        <w:rPr>
          <w:rFonts w:ascii="Times New Roman" w:hAnsi="Times New Roman" w:cs="Times New Roman"/>
          <w:sz w:val="28"/>
          <w:szCs w:val="28"/>
        </w:rPr>
        <w:t xml:space="preserve">Valsts iestādes </w:t>
      </w:r>
      <w:r w:rsidR="00E9039E" w:rsidRPr="003F60E8">
        <w:rPr>
          <w:rFonts w:ascii="Times New Roman" w:hAnsi="Times New Roman" w:cs="Times New Roman"/>
          <w:sz w:val="28"/>
          <w:szCs w:val="28"/>
        </w:rPr>
        <w:t xml:space="preserve">vadītāja </w:t>
      </w:r>
      <w:r w:rsidR="00B81C67" w:rsidRPr="003F60E8">
        <w:rPr>
          <w:rFonts w:ascii="Times New Roman" w:hAnsi="Times New Roman" w:cs="Times New Roman"/>
          <w:sz w:val="28"/>
          <w:szCs w:val="28"/>
        </w:rPr>
        <w:t xml:space="preserve">vai pašvaldības domes rīkojums </w:t>
      </w:r>
      <w:r w:rsidR="00AC72C2" w:rsidRPr="003F60E8">
        <w:rPr>
          <w:rFonts w:ascii="Times New Roman" w:hAnsi="Times New Roman" w:cs="Times New Roman"/>
          <w:sz w:val="28"/>
          <w:szCs w:val="28"/>
        </w:rPr>
        <w:t xml:space="preserve">par </w:t>
      </w:r>
      <w:r w:rsidR="00B81C67" w:rsidRPr="003F60E8">
        <w:rPr>
          <w:rFonts w:ascii="Times New Roman" w:hAnsi="Times New Roman" w:cs="Times New Roman"/>
          <w:sz w:val="28"/>
          <w:szCs w:val="28"/>
        </w:rPr>
        <w:t xml:space="preserve">darba grupas izveidošanu un </w:t>
      </w:r>
      <w:proofErr w:type="spellStart"/>
      <w:r w:rsidR="00B81C67" w:rsidRPr="003F60E8">
        <w:rPr>
          <w:rFonts w:ascii="Times New Roman" w:hAnsi="Times New Roman" w:cs="Times New Roman"/>
          <w:sz w:val="28"/>
          <w:szCs w:val="28"/>
        </w:rPr>
        <w:t>energopārvaldības</w:t>
      </w:r>
      <w:proofErr w:type="spellEnd"/>
      <w:r w:rsidR="00B81C67" w:rsidRPr="003F60E8">
        <w:rPr>
          <w:rFonts w:ascii="Times New Roman" w:hAnsi="Times New Roman" w:cs="Times New Roman"/>
          <w:sz w:val="28"/>
          <w:szCs w:val="28"/>
        </w:rPr>
        <w:t xml:space="preserve"> s</w:t>
      </w:r>
      <w:r w:rsidR="00AF248B" w:rsidRPr="003F60E8">
        <w:rPr>
          <w:rFonts w:ascii="Times New Roman" w:hAnsi="Times New Roman" w:cs="Times New Roman"/>
          <w:sz w:val="28"/>
          <w:szCs w:val="28"/>
        </w:rPr>
        <w:t>istēmas robežu noteikšanu</w:t>
      </w:r>
      <w:r w:rsidR="002263D4" w:rsidRPr="003F60E8">
        <w:rPr>
          <w:rFonts w:ascii="Times New Roman" w:hAnsi="Times New Roman" w:cs="Times New Roman"/>
          <w:sz w:val="28"/>
          <w:szCs w:val="28"/>
        </w:rPr>
        <w:t>.</w:t>
      </w:r>
      <w:r w:rsidR="00B81C67" w:rsidRPr="003F60E8">
        <w:rPr>
          <w:rFonts w:ascii="Times New Roman" w:hAnsi="Times New Roman" w:cs="Times New Roman"/>
          <w:sz w:val="28"/>
          <w:szCs w:val="28"/>
        </w:rPr>
        <w:t xml:space="preserve"> </w:t>
      </w:r>
    </w:p>
    <w:p w14:paraId="6CC6BB5B" w14:textId="6A05AC5F" w:rsidR="00B81C67" w:rsidRPr="003F60E8" w:rsidRDefault="002D65C2" w:rsidP="00413919">
      <w:pPr>
        <w:spacing w:after="0" w:line="240" w:lineRule="auto"/>
        <w:ind w:firstLine="709"/>
        <w:contextualSpacing/>
        <w:jc w:val="both"/>
        <w:rPr>
          <w:rFonts w:ascii="Times New Roman" w:hAnsi="Times New Roman" w:cs="Times New Roman"/>
          <w:sz w:val="28"/>
          <w:szCs w:val="28"/>
        </w:rPr>
      </w:pPr>
      <w:r w:rsidRPr="003F60E8">
        <w:rPr>
          <w:rFonts w:ascii="Times New Roman" w:hAnsi="Times New Roman" w:cs="Times New Roman"/>
          <w:sz w:val="28"/>
          <w:szCs w:val="28"/>
        </w:rPr>
        <w:lastRenderedPageBreak/>
        <w:t>3.</w:t>
      </w:r>
      <w:r w:rsidR="006D4DC9" w:rsidRPr="003F60E8">
        <w:rPr>
          <w:rFonts w:ascii="Times New Roman" w:hAnsi="Times New Roman" w:cs="Times New Roman"/>
          <w:sz w:val="28"/>
          <w:szCs w:val="28"/>
        </w:rPr>
        <w:t> </w:t>
      </w:r>
      <w:r w:rsidR="00AC72C2" w:rsidRPr="003F60E8">
        <w:rPr>
          <w:rFonts w:ascii="Times New Roman" w:hAnsi="Times New Roman" w:cs="Times New Roman"/>
          <w:sz w:val="28"/>
          <w:szCs w:val="28"/>
        </w:rPr>
        <w:t>Enerģijas patēriņa bāzes līnijas noteikšanas pamatojums un i</w:t>
      </w:r>
      <w:r w:rsidR="00B81C67" w:rsidRPr="003F60E8">
        <w:rPr>
          <w:rFonts w:ascii="Times New Roman" w:hAnsi="Times New Roman" w:cs="Times New Roman"/>
          <w:sz w:val="28"/>
          <w:szCs w:val="28"/>
        </w:rPr>
        <w:t>zmantotie enerģijas patēriņa dati</w:t>
      </w:r>
      <w:r w:rsidR="002263D4" w:rsidRPr="003F60E8">
        <w:rPr>
          <w:rFonts w:ascii="Times New Roman" w:hAnsi="Times New Roman" w:cs="Times New Roman"/>
          <w:sz w:val="28"/>
          <w:szCs w:val="28"/>
        </w:rPr>
        <w:t>.</w:t>
      </w:r>
    </w:p>
    <w:p w14:paraId="2C6A935B" w14:textId="77777777" w:rsidR="00286CFD" w:rsidRPr="003F60E8" w:rsidRDefault="00286CFD" w:rsidP="00286CFD">
      <w:pPr>
        <w:spacing w:after="0" w:line="240" w:lineRule="auto"/>
        <w:contextualSpacing/>
        <w:jc w:val="both"/>
        <w:rPr>
          <w:rFonts w:ascii="Times New Roman" w:hAnsi="Times New Roman" w:cs="Times New Roman"/>
          <w:sz w:val="28"/>
          <w:szCs w:val="28"/>
        </w:rPr>
      </w:pPr>
    </w:p>
    <w:p w14:paraId="6E618C46" w14:textId="1BAE96ED" w:rsidR="00AC72C2" w:rsidRPr="003F60E8" w:rsidRDefault="002D65C2" w:rsidP="00413919">
      <w:pPr>
        <w:spacing w:after="0" w:line="240" w:lineRule="auto"/>
        <w:ind w:firstLine="709"/>
        <w:contextualSpacing/>
        <w:jc w:val="both"/>
        <w:rPr>
          <w:rFonts w:ascii="Times New Roman" w:hAnsi="Times New Roman" w:cs="Times New Roman"/>
          <w:sz w:val="28"/>
          <w:szCs w:val="28"/>
        </w:rPr>
      </w:pPr>
      <w:r w:rsidRPr="003F60E8">
        <w:rPr>
          <w:rFonts w:ascii="Times New Roman" w:hAnsi="Times New Roman" w:cs="Times New Roman"/>
          <w:sz w:val="28"/>
          <w:szCs w:val="28"/>
        </w:rPr>
        <w:t>4.</w:t>
      </w:r>
      <w:r w:rsidR="006D4DC9" w:rsidRPr="003F60E8">
        <w:rPr>
          <w:rFonts w:ascii="Times New Roman" w:hAnsi="Times New Roman" w:cs="Times New Roman"/>
          <w:sz w:val="28"/>
          <w:szCs w:val="28"/>
        </w:rPr>
        <w:t> </w:t>
      </w:r>
      <w:r w:rsidR="00B81C67" w:rsidRPr="003F60E8">
        <w:rPr>
          <w:rFonts w:ascii="Times New Roman" w:hAnsi="Times New Roman" w:cs="Times New Roman"/>
          <w:sz w:val="28"/>
          <w:szCs w:val="28"/>
        </w:rPr>
        <w:t>Energo</w:t>
      </w:r>
      <w:r w:rsidR="00554D2F" w:rsidRPr="003F60E8">
        <w:rPr>
          <w:rFonts w:ascii="Times New Roman" w:hAnsi="Times New Roman" w:cs="Times New Roman"/>
          <w:sz w:val="28"/>
          <w:szCs w:val="28"/>
        </w:rPr>
        <w:t>efektivitātes</w:t>
      </w:r>
      <w:r w:rsidR="00B81C67" w:rsidRPr="003F60E8">
        <w:rPr>
          <w:rFonts w:ascii="Times New Roman" w:hAnsi="Times New Roman" w:cs="Times New Roman"/>
          <w:sz w:val="28"/>
          <w:szCs w:val="28"/>
        </w:rPr>
        <w:t xml:space="preserve"> plāns (noteiktie mērķi, energoefektivitātes indikatori, plānotie pasākumi un to sadalījums pēc prioritātes, energoefektivitātes pasāku</w:t>
      </w:r>
      <w:r w:rsidR="00A22CA7" w:rsidRPr="003F60E8">
        <w:rPr>
          <w:rFonts w:ascii="Times New Roman" w:hAnsi="Times New Roman" w:cs="Times New Roman"/>
          <w:sz w:val="28"/>
          <w:szCs w:val="28"/>
        </w:rPr>
        <w:t>mu ieviešanas finansējuma plāns</w:t>
      </w:r>
      <w:r w:rsidR="00AC72C2" w:rsidRPr="003F60E8">
        <w:rPr>
          <w:rFonts w:ascii="Times New Roman" w:hAnsi="Times New Roman" w:cs="Times New Roman"/>
          <w:sz w:val="28"/>
          <w:szCs w:val="28"/>
        </w:rPr>
        <w:t>)</w:t>
      </w:r>
      <w:r w:rsidR="002263D4" w:rsidRPr="003F60E8">
        <w:rPr>
          <w:rFonts w:ascii="Times New Roman" w:hAnsi="Times New Roman" w:cs="Times New Roman"/>
          <w:sz w:val="28"/>
          <w:szCs w:val="28"/>
        </w:rPr>
        <w:t>.</w:t>
      </w:r>
    </w:p>
    <w:p w14:paraId="1EFCD8FD" w14:textId="77777777" w:rsidR="00286CFD" w:rsidRPr="003F60E8" w:rsidRDefault="00286CFD" w:rsidP="00286CFD">
      <w:pPr>
        <w:spacing w:after="0" w:line="240" w:lineRule="auto"/>
        <w:contextualSpacing/>
        <w:jc w:val="both"/>
        <w:rPr>
          <w:rFonts w:ascii="Times New Roman" w:hAnsi="Times New Roman" w:cs="Times New Roman"/>
          <w:sz w:val="28"/>
          <w:szCs w:val="28"/>
        </w:rPr>
      </w:pPr>
    </w:p>
    <w:p w14:paraId="1A675820" w14:textId="7271451C" w:rsidR="00AC72C2" w:rsidRPr="003F60E8" w:rsidRDefault="002D65C2" w:rsidP="00413919">
      <w:pPr>
        <w:spacing w:after="0" w:line="240" w:lineRule="auto"/>
        <w:ind w:firstLine="709"/>
        <w:contextualSpacing/>
        <w:jc w:val="both"/>
        <w:rPr>
          <w:rFonts w:ascii="Times New Roman" w:hAnsi="Times New Roman" w:cs="Times New Roman"/>
          <w:sz w:val="28"/>
          <w:szCs w:val="28"/>
        </w:rPr>
      </w:pPr>
      <w:r w:rsidRPr="003F60E8">
        <w:rPr>
          <w:rFonts w:ascii="Times New Roman" w:hAnsi="Times New Roman" w:cs="Times New Roman"/>
          <w:sz w:val="28"/>
          <w:szCs w:val="28"/>
        </w:rPr>
        <w:t>5.</w:t>
      </w:r>
      <w:r w:rsidR="00D527EB" w:rsidRPr="003F60E8">
        <w:rPr>
          <w:rFonts w:ascii="Times New Roman" w:hAnsi="Times New Roman" w:cs="Times New Roman"/>
          <w:sz w:val="28"/>
          <w:szCs w:val="28"/>
        </w:rPr>
        <w:t xml:space="preserve"> </w:t>
      </w:r>
      <w:r w:rsidR="00AC72C2" w:rsidRPr="003F60E8">
        <w:rPr>
          <w:rFonts w:ascii="Times New Roman" w:hAnsi="Times New Roman" w:cs="Times New Roman"/>
          <w:sz w:val="28"/>
          <w:szCs w:val="28"/>
        </w:rPr>
        <w:t>E</w:t>
      </w:r>
      <w:r w:rsidR="00B81C67" w:rsidRPr="003F60E8">
        <w:rPr>
          <w:rFonts w:ascii="Times New Roman" w:hAnsi="Times New Roman" w:cs="Times New Roman"/>
          <w:sz w:val="28"/>
          <w:szCs w:val="28"/>
        </w:rPr>
        <w:t>nerģijas patēriņa monitoring</w:t>
      </w:r>
      <w:r w:rsidR="00CD6CF9" w:rsidRPr="003F60E8">
        <w:rPr>
          <w:rFonts w:ascii="Times New Roman" w:hAnsi="Times New Roman" w:cs="Times New Roman"/>
          <w:sz w:val="28"/>
          <w:szCs w:val="28"/>
        </w:rPr>
        <w:t>a plāns</w:t>
      </w:r>
      <w:r w:rsidR="00991987" w:rsidRPr="003F60E8">
        <w:rPr>
          <w:rFonts w:ascii="Times New Roman" w:hAnsi="Times New Roman" w:cs="Times New Roman"/>
          <w:sz w:val="28"/>
          <w:szCs w:val="28"/>
        </w:rPr>
        <w:t>.</w:t>
      </w:r>
      <w:r w:rsidR="00AE0A24" w:rsidRPr="003F60E8">
        <w:rPr>
          <w:rFonts w:ascii="Times New Roman" w:hAnsi="Times New Roman" w:cs="Times New Roman"/>
          <w:sz w:val="28"/>
          <w:szCs w:val="28"/>
        </w:rPr>
        <w:t>"</w:t>
      </w:r>
    </w:p>
    <w:p w14:paraId="0CC4FF30" w14:textId="77777777" w:rsidR="00286CFD" w:rsidRPr="003F60E8" w:rsidRDefault="00286CFD" w:rsidP="00286CFD">
      <w:pPr>
        <w:spacing w:after="0" w:line="240" w:lineRule="auto"/>
        <w:contextualSpacing/>
        <w:jc w:val="both"/>
        <w:rPr>
          <w:rFonts w:ascii="Times New Roman" w:hAnsi="Times New Roman" w:cs="Times New Roman"/>
          <w:sz w:val="28"/>
          <w:szCs w:val="28"/>
        </w:rPr>
      </w:pPr>
    </w:p>
    <w:p w14:paraId="44852D94" w14:textId="0B6B0E8B" w:rsidR="00AC72C2" w:rsidRPr="003F60E8" w:rsidRDefault="00B109E8" w:rsidP="00AE0A24">
      <w:pPr>
        <w:spacing w:after="0" w:line="240" w:lineRule="auto"/>
        <w:ind w:firstLine="709"/>
        <w:contextualSpacing/>
        <w:rPr>
          <w:rFonts w:ascii="Times New Roman" w:hAnsi="Times New Roman" w:cs="Times New Roman"/>
          <w:sz w:val="28"/>
          <w:szCs w:val="28"/>
        </w:rPr>
      </w:pPr>
      <w:r w:rsidRPr="003F60E8">
        <w:rPr>
          <w:rFonts w:ascii="Times New Roman" w:hAnsi="Times New Roman" w:cs="Times New Roman"/>
          <w:sz w:val="28"/>
          <w:szCs w:val="28"/>
        </w:rPr>
        <w:t>4</w:t>
      </w:r>
      <w:r w:rsidR="00AC72C2" w:rsidRPr="003F60E8">
        <w:rPr>
          <w:rFonts w:ascii="Times New Roman" w:hAnsi="Times New Roman" w:cs="Times New Roman"/>
          <w:sz w:val="28"/>
          <w:szCs w:val="28"/>
        </w:rPr>
        <w:t>.</w:t>
      </w:r>
      <w:r w:rsidR="00413919" w:rsidRPr="003F60E8">
        <w:rPr>
          <w:rFonts w:ascii="Times New Roman" w:hAnsi="Times New Roman" w:cs="Times New Roman"/>
          <w:sz w:val="28"/>
          <w:szCs w:val="28"/>
        </w:rPr>
        <w:t xml:space="preserve"> </w:t>
      </w:r>
      <w:r w:rsidR="00AC72C2" w:rsidRPr="003F60E8">
        <w:rPr>
          <w:rFonts w:ascii="Times New Roman" w:hAnsi="Times New Roman" w:cs="Times New Roman"/>
          <w:sz w:val="28"/>
          <w:szCs w:val="28"/>
        </w:rPr>
        <w:t xml:space="preserve">Papildināt noteikumus ar </w:t>
      </w:r>
      <w:r w:rsidR="006A268D" w:rsidRPr="003F60E8">
        <w:rPr>
          <w:rFonts w:ascii="Times New Roman" w:hAnsi="Times New Roman" w:cs="Times New Roman"/>
          <w:sz w:val="28"/>
          <w:szCs w:val="28"/>
        </w:rPr>
        <w:t>6</w:t>
      </w:r>
      <w:r w:rsidR="00D9133F" w:rsidRPr="003F60E8">
        <w:rPr>
          <w:rFonts w:ascii="Times New Roman" w:hAnsi="Times New Roman" w:cs="Times New Roman"/>
          <w:sz w:val="28"/>
          <w:szCs w:val="28"/>
        </w:rPr>
        <w:t>.</w:t>
      </w:r>
      <w:r w:rsidR="006A268D" w:rsidRPr="003F60E8">
        <w:rPr>
          <w:rFonts w:ascii="Times New Roman" w:hAnsi="Times New Roman" w:cs="Times New Roman"/>
          <w:sz w:val="28"/>
          <w:szCs w:val="28"/>
          <w:vertAlign w:val="superscript"/>
        </w:rPr>
        <w:t>1</w:t>
      </w:r>
      <w:r w:rsidR="003F60E8" w:rsidRPr="003F60E8">
        <w:rPr>
          <w:rFonts w:ascii="Times New Roman" w:hAnsi="Times New Roman" w:cs="Times New Roman"/>
          <w:sz w:val="28"/>
          <w:szCs w:val="28"/>
        </w:rPr>
        <w:t> </w:t>
      </w:r>
      <w:r w:rsidR="00AC72C2" w:rsidRPr="003F60E8">
        <w:rPr>
          <w:rFonts w:ascii="Times New Roman" w:hAnsi="Times New Roman" w:cs="Times New Roman"/>
          <w:sz w:val="28"/>
          <w:szCs w:val="28"/>
        </w:rPr>
        <w:t>pielikumu šādā redakcijā:</w:t>
      </w:r>
    </w:p>
    <w:p w14:paraId="7B1EF74A" w14:textId="7A2B5C56" w:rsidR="00EB7465" w:rsidRPr="003F60E8" w:rsidRDefault="00EB7465" w:rsidP="00B33204">
      <w:pPr>
        <w:spacing w:after="0" w:line="240" w:lineRule="auto"/>
        <w:contextualSpacing/>
        <w:rPr>
          <w:rFonts w:ascii="Times New Roman" w:hAnsi="Times New Roman" w:cs="Times New Roman"/>
          <w:sz w:val="28"/>
          <w:szCs w:val="28"/>
        </w:rPr>
      </w:pPr>
    </w:p>
    <w:p w14:paraId="391FF6E3" w14:textId="7352DAF4" w:rsidR="00AC72C2" w:rsidRPr="003F60E8" w:rsidRDefault="00AE0A24" w:rsidP="00EF20A3">
      <w:pPr>
        <w:tabs>
          <w:tab w:val="left" w:pos="3525"/>
          <w:tab w:val="right" w:pos="9071"/>
        </w:tabs>
        <w:spacing w:after="0" w:line="240" w:lineRule="auto"/>
        <w:contextualSpacing/>
        <w:jc w:val="right"/>
        <w:rPr>
          <w:rFonts w:ascii="Times New Roman" w:hAnsi="Times New Roman" w:cs="Times New Roman"/>
          <w:sz w:val="28"/>
          <w:szCs w:val="28"/>
        </w:rPr>
      </w:pPr>
      <w:r w:rsidRPr="003F60E8">
        <w:rPr>
          <w:rFonts w:ascii="Times New Roman" w:hAnsi="Times New Roman" w:cs="Times New Roman"/>
          <w:sz w:val="28"/>
          <w:szCs w:val="28"/>
        </w:rPr>
        <w:t>"</w:t>
      </w:r>
      <w:r w:rsidR="006A268D" w:rsidRPr="003F60E8">
        <w:rPr>
          <w:rFonts w:ascii="Times New Roman" w:hAnsi="Times New Roman" w:cs="Times New Roman"/>
          <w:sz w:val="28"/>
          <w:szCs w:val="28"/>
        </w:rPr>
        <w:t>6</w:t>
      </w:r>
      <w:r w:rsidR="006964A4" w:rsidRPr="003F60E8">
        <w:rPr>
          <w:rFonts w:ascii="Times New Roman" w:hAnsi="Times New Roman" w:cs="Times New Roman"/>
          <w:sz w:val="28"/>
          <w:szCs w:val="28"/>
        </w:rPr>
        <w:t>.</w:t>
      </w:r>
      <w:r w:rsidR="006A268D" w:rsidRPr="003F60E8">
        <w:rPr>
          <w:rFonts w:ascii="Times New Roman" w:hAnsi="Times New Roman" w:cs="Times New Roman"/>
          <w:sz w:val="28"/>
          <w:szCs w:val="28"/>
          <w:vertAlign w:val="superscript"/>
        </w:rPr>
        <w:t>1</w:t>
      </w:r>
      <w:r w:rsidR="006D4DC9" w:rsidRPr="003F60E8">
        <w:rPr>
          <w:rFonts w:ascii="Times New Roman" w:hAnsi="Times New Roman" w:cs="Times New Roman"/>
          <w:sz w:val="28"/>
          <w:szCs w:val="28"/>
        </w:rPr>
        <w:t> </w:t>
      </w:r>
      <w:r w:rsidR="00AC72C2" w:rsidRPr="003F60E8">
        <w:rPr>
          <w:rFonts w:ascii="Times New Roman" w:hAnsi="Times New Roman" w:cs="Times New Roman"/>
          <w:sz w:val="28"/>
          <w:szCs w:val="28"/>
        </w:rPr>
        <w:t>pielikums</w:t>
      </w:r>
    </w:p>
    <w:p w14:paraId="34F7B311" w14:textId="77777777" w:rsidR="00B33204" w:rsidRPr="003F60E8" w:rsidRDefault="00AC72C2" w:rsidP="00C3688A">
      <w:pPr>
        <w:spacing w:after="0" w:line="240" w:lineRule="auto"/>
        <w:contextualSpacing/>
        <w:jc w:val="right"/>
        <w:rPr>
          <w:rFonts w:ascii="Times New Roman" w:hAnsi="Times New Roman" w:cs="Times New Roman"/>
          <w:sz w:val="28"/>
          <w:szCs w:val="28"/>
        </w:rPr>
      </w:pPr>
      <w:r w:rsidRPr="003F60E8">
        <w:rPr>
          <w:rFonts w:ascii="Times New Roman" w:hAnsi="Times New Roman" w:cs="Times New Roman"/>
          <w:sz w:val="28"/>
          <w:szCs w:val="28"/>
        </w:rPr>
        <w:t>Ministru kabineta</w:t>
      </w:r>
    </w:p>
    <w:p w14:paraId="1A4F369D" w14:textId="7F686C88" w:rsidR="00AC72C2" w:rsidRPr="003F60E8" w:rsidRDefault="00AC72C2" w:rsidP="00C3688A">
      <w:pPr>
        <w:spacing w:after="0" w:line="240" w:lineRule="auto"/>
        <w:contextualSpacing/>
        <w:jc w:val="right"/>
        <w:rPr>
          <w:rFonts w:ascii="Times New Roman" w:hAnsi="Times New Roman" w:cs="Times New Roman"/>
          <w:sz w:val="28"/>
          <w:szCs w:val="28"/>
        </w:rPr>
      </w:pPr>
      <w:r w:rsidRPr="003F60E8">
        <w:rPr>
          <w:rFonts w:ascii="Times New Roman" w:hAnsi="Times New Roman" w:cs="Times New Roman"/>
          <w:sz w:val="28"/>
          <w:szCs w:val="28"/>
        </w:rPr>
        <w:t>2016.</w:t>
      </w:r>
      <w:r w:rsidR="006D4DC9" w:rsidRPr="003F60E8">
        <w:rPr>
          <w:rFonts w:ascii="Times New Roman" w:hAnsi="Times New Roman" w:cs="Times New Roman"/>
          <w:sz w:val="28"/>
          <w:szCs w:val="28"/>
        </w:rPr>
        <w:t> </w:t>
      </w:r>
      <w:r w:rsidRPr="003F60E8">
        <w:rPr>
          <w:rFonts w:ascii="Times New Roman" w:hAnsi="Times New Roman" w:cs="Times New Roman"/>
          <w:sz w:val="28"/>
          <w:szCs w:val="28"/>
        </w:rPr>
        <w:t>gada 11.</w:t>
      </w:r>
      <w:r w:rsidR="006D4DC9" w:rsidRPr="003F60E8">
        <w:rPr>
          <w:rFonts w:ascii="Times New Roman" w:hAnsi="Times New Roman" w:cs="Times New Roman"/>
          <w:sz w:val="28"/>
          <w:szCs w:val="28"/>
        </w:rPr>
        <w:t> </w:t>
      </w:r>
      <w:r w:rsidRPr="003F60E8">
        <w:rPr>
          <w:rFonts w:ascii="Times New Roman" w:hAnsi="Times New Roman" w:cs="Times New Roman"/>
          <w:sz w:val="28"/>
          <w:szCs w:val="28"/>
        </w:rPr>
        <w:t>oktobra</w:t>
      </w:r>
    </w:p>
    <w:p w14:paraId="6BEED7D6" w14:textId="69111F46" w:rsidR="00AC72C2" w:rsidRPr="003F60E8" w:rsidRDefault="00AC72C2" w:rsidP="00C3688A">
      <w:pPr>
        <w:spacing w:after="0" w:line="240" w:lineRule="auto"/>
        <w:contextualSpacing/>
        <w:jc w:val="right"/>
        <w:rPr>
          <w:rFonts w:ascii="Times New Roman" w:hAnsi="Times New Roman" w:cs="Times New Roman"/>
          <w:sz w:val="28"/>
          <w:szCs w:val="28"/>
        </w:rPr>
      </w:pPr>
      <w:r w:rsidRPr="003F60E8">
        <w:rPr>
          <w:rFonts w:ascii="Times New Roman" w:hAnsi="Times New Roman" w:cs="Times New Roman"/>
          <w:sz w:val="28"/>
          <w:szCs w:val="28"/>
        </w:rPr>
        <w:t>noteikumiem Nr.</w:t>
      </w:r>
      <w:r w:rsidR="006D4DC9" w:rsidRPr="003F60E8">
        <w:rPr>
          <w:rFonts w:ascii="Times New Roman" w:hAnsi="Times New Roman" w:cs="Times New Roman"/>
          <w:sz w:val="28"/>
          <w:szCs w:val="28"/>
        </w:rPr>
        <w:t> </w:t>
      </w:r>
      <w:r w:rsidRPr="003F60E8">
        <w:rPr>
          <w:rFonts w:ascii="Times New Roman" w:hAnsi="Times New Roman" w:cs="Times New Roman"/>
          <w:sz w:val="28"/>
          <w:szCs w:val="28"/>
        </w:rPr>
        <w:t>668</w:t>
      </w:r>
    </w:p>
    <w:p w14:paraId="44DB0C6D" w14:textId="77777777" w:rsidR="00AC72C2" w:rsidRPr="003F60E8" w:rsidRDefault="00AC72C2" w:rsidP="00C3688A">
      <w:pPr>
        <w:spacing w:after="0" w:line="240" w:lineRule="auto"/>
        <w:contextualSpacing/>
        <w:rPr>
          <w:rFonts w:ascii="Times New Roman" w:hAnsi="Times New Roman" w:cs="Times New Roman"/>
          <w:sz w:val="28"/>
          <w:szCs w:val="28"/>
        </w:rPr>
      </w:pPr>
    </w:p>
    <w:p w14:paraId="227889CA" w14:textId="33A20CD2" w:rsidR="00AC72C2" w:rsidRPr="003F60E8" w:rsidRDefault="00AC72C2" w:rsidP="00C3688A">
      <w:pPr>
        <w:spacing w:after="0" w:line="240" w:lineRule="auto"/>
        <w:contextualSpacing/>
        <w:jc w:val="center"/>
        <w:rPr>
          <w:b/>
          <w:sz w:val="28"/>
          <w:szCs w:val="28"/>
        </w:rPr>
      </w:pPr>
      <w:r w:rsidRPr="003F60E8">
        <w:rPr>
          <w:rFonts w:ascii="Times New Roman" w:hAnsi="Times New Roman"/>
          <w:b/>
          <w:sz w:val="28"/>
          <w:szCs w:val="28"/>
        </w:rPr>
        <w:t xml:space="preserve">Dzīvojamo namu pārvaldnieku </w:t>
      </w:r>
      <w:r w:rsidR="003F60E8" w:rsidRPr="003F60E8">
        <w:rPr>
          <w:rFonts w:ascii="Times New Roman" w:hAnsi="Times New Roman"/>
          <w:b/>
          <w:sz w:val="28"/>
          <w:szCs w:val="28"/>
        </w:rPr>
        <w:t>–</w:t>
      </w:r>
      <w:r w:rsidRPr="003F60E8">
        <w:rPr>
          <w:rFonts w:ascii="Times New Roman" w:hAnsi="Times New Roman"/>
          <w:b/>
          <w:sz w:val="28"/>
          <w:szCs w:val="28"/>
        </w:rPr>
        <w:t xml:space="preserve"> lielo elektroenerģijas patērētāju</w:t>
      </w:r>
      <w:r w:rsidRPr="003F60E8">
        <w:rPr>
          <w:rFonts w:ascii="Times New Roman" w:hAnsi="Times New Roman"/>
          <w:b/>
          <w:sz w:val="28"/>
          <w:szCs w:val="28"/>
          <w:vertAlign w:val="superscript"/>
        </w:rPr>
        <w:t xml:space="preserve">1 </w:t>
      </w:r>
      <w:r w:rsidR="003F60E8" w:rsidRPr="003F60E8">
        <w:rPr>
          <w:rFonts w:ascii="Times New Roman" w:hAnsi="Times New Roman"/>
          <w:b/>
          <w:sz w:val="28"/>
          <w:szCs w:val="28"/>
        </w:rPr>
        <w:t xml:space="preserve">– </w:t>
      </w:r>
      <w:r w:rsidRPr="003F60E8">
        <w:rPr>
          <w:rFonts w:ascii="Times New Roman" w:hAnsi="Times New Roman"/>
          <w:b/>
          <w:sz w:val="28"/>
          <w:szCs w:val="28"/>
        </w:rPr>
        <w:t>dati par elektroenerģijas patēriņu atsevišķos objektos par 20____.</w:t>
      </w:r>
      <w:r w:rsidR="00AE0A24" w:rsidRPr="003F60E8">
        <w:rPr>
          <w:rFonts w:ascii="Times New Roman" w:hAnsi="Times New Roman"/>
          <w:b/>
          <w:sz w:val="28"/>
          <w:szCs w:val="28"/>
        </w:rPr>
        <w:t> </w:t>
      </w:r>
      <w:r w:rsidRPr="003F60E8">
        <w:rPr>
          <w:rFonts w:ascii="Times New Roman" w:hAnsi="Times New Roman"/>
          <w:b/>
          <w:sz w:val="28"/>
          <w:szCs w:val="28"/>
        </w:rPr>
        <w:t>gadu</w:t>
      </w:r>
    </w:p>
    <w:p w14:paraId="65BBE20C" w14:textId="73DBDED7" w:rsidR="00C71570" w:rsidRPr="003F60E8" w:rsidRDefault="00C71570" w:rsidP="00C71570">
      <w:pPr>
        <w:spacing w:after="0" w:line="240" w:lineRule="auto"/>
        <w:contextualSpacing/>
        <w:rPr>
          <w:rFonts w:ascii="Times New Roman" w:hAnsi="Times New Roman" w:cs="Times New Roman"/>
          <w:sz w:val="28"/>
          <w:szCs w:val="28"/>
        </w:rPr>
      </w:pPr>
    </w:p>
    <w:tbl>
      <w:tblPr>
        <w:tblStyle w:val="TableGrid"/>
        <w:tblW w:w="10065" w:type="dxa"/>
        <w:tblInd w:w="-856" w:type="dxa"/>
        <w:tblLook w:val="04A0" w:firstRow="1" w:lastRow="0" w:firstColumn="1" w:lastColumn="0" w:noHBand="0" w:noVBand="1"/>
      </w:tblPr>
      <w:tblGrid>
        <w:gridCol w:w="636"/>
        <w:gridCol w:w="1456"/>
        <w:gridCol w:w="1350"/>
        <w:gridCol w:w="1083"/>
        <w:gridCol w:w="903"/>
        <w:gridCol w:w="976"/>
        <w:gridCol w:w="1296"/>
        <w:gridCol w:w="976"/>
        <w:gridCol w:w="1789"/>
      </w:tblGrid>
      <w:tr w:rsidR="003F60E8" w:rsidRPr="003F60E8" w14:paraId="3900D4A5" w14:textId="77777777" w:rsidTr="003F60E8">
        <w:tc>
          <w:tcPr>
            <w:tcW w:w="658" w:type="dxa"/>
            <w:vAlign w:val="center"/>
          </w:tcPr>
          <w:p w14:paraId="14389054" w14:textId="3227EB5E" w:rsidR="00AC72C2" w:rsidRPr="003F60E8" w:rsidRDefault="00AC72C2" w:rsidP="006D4DC9">
            <w:pPr>
              <w:contextualSpacing/>
              <w:jc w:val="center"/>
              <w:rPr>
                <w:rFonts w:ascii="Times New Roman" w:hAnsi="Times New Roman" w:cs="Times New Roman"/>
                <w:sz w:val="24"/>
                <w:szCs w:val="24"/>
              </w:rPr>
            </w:pPr>
            <w:r w:rsidRPr="003F60E8">
              <w:rPr>
                <w:rFonts w:ascii="Times New Roman" w:hAnsi="Times New Roman" w:cs="Times New Roman"/>
                <w:sz w:val="24"/>
                <w:szCs w:val="24"/>
              </w:rPr>
              <w:t>Nr.</w:t>
            </w:r>
            <w:r w:rsidR="00AE0A24" w:rsidRPr="003F60E8">
              <w:rPr>
                <w:rFonts w:ascii="Times New Roman" w:hAnsi="Times New Roman" w:cs="Times New Roman"/>
                <w:sz w:val="24"/>
                <w:szCs w:val="24"/>
              </w:rPr>
              <w:t> </w:t>
            </w:r>
            <w:r w:rsidR="00AE0A24" w:rsidRPr="003F60E8">
              <w:rPr>
                <w:rFonts w:ascii="Times New Roman" w:hAnsi="Times New Roman" w:cs="Times New Roman"/>
                <w:sz w:val="24"/>
                <w:szCs w:val="24"/>
              </w:rPr>
              <w:br/>
            </w:r>
            <w:r w:rsidRPr="003F60E8">
              <w:rPr>
                <w:rFonts w:ascii="Times New Roman" w:hAnsi="Times New Roman" w:cs="Times New Roman"/>
                <w:sz w:val="24"/>
                <w:szCs w:val="24"/>
              </w:rPr>
              <w:t>p.</w:t>
            </w:r>
            <w:r w:rsidR="00AE0A24" w:rsidRPr="003F60E8">
              <w:rPr>
                <w:rFonts w:ascii="Times New Roman" w:hAnsi="Times New Roman" w:cs="Times New Roman"/>
                <w:sz w:val="24"/>
                <w:szCs w:val="24"/>
              </w:rPr>
              <w:t> </w:t>
            </w:r>
            <w:r w:rsidRPr="003F60E8">
              <w:rPr>
                <w:rFonts w:ascii="Times New Roman" w:hAnsi="Times New Roman" w:cs="Times New Roman"/>
                <w:sz w:val="24"/>
                <w:szCs w:val="24"/>
              </w:rPr>
              <w:t>k.</w:t>
            </w:r>
          </w:p>
        </w:tc>
        <w:tc>
          <w:tcPr>
            <w:tcW w:w="1456" w:type="dxa"/>
            <w:vAlign w:val="center"/>
          </w:tcPr>
          <w:p w14:paraId="5905B304" w14:textId="386F9684" w:rsidR="00AC72C2" w:rsidRPr="003F60E8" w:rsidRDefault="00AC72C2" w:rsidP="006D4DC9">
            <w:pPr>
              <w:contextualSpacing/>
              <w:jc w:val="center"/>
              <w:rPr>
                <w:rFonts w:ascii="Times New Roman" w:hAnsi="Times New Roman" w:cs="Times New Roman"/>
                <w:sz w:val="24"/>
                <w:szCs w:val="24"/>
              </w:rPr>
            </w:pPr>
            <w:r w:rsidRPr="003F60E8">
              <w:rPr>
                <w:rFonts w:ascii="Times New Roman" w:hAnsi="Times New Roman" w:cs="Times New Roman"/>
                <w:sz w:val="24"/>
                <w:szCs w:val="24"/>
              </w:rPr>
              <w:t xml:space="preserve">Reģistrācijas </w:t>
            </w:r>
            <w:r w:rsidR="002263D4" w:rsidRPr="003F60E8">
              <w:rPr>
                <w:rFonts w:ascii="Times New Roman" w:hAnsi="Times New Roman" w:cs="Times New Roman"/>
                <w:sz w:val="24"/>
                <w:szCs w:val="24"/>
              </w:rPr>
              <w:t>numurs</w:t>
            </w:r>
          </w:p>
        </w:tc>
        <w:tc>
          <w:tcPr>
            <w:tcW w:w="1350" w:type="dxa"/>
            <w:vAlign w:val="center"/>
          </w:tcPr>
          <w:p w14:paraId="4AB18BC0" w14:textId="77777777" w:rsidR="00AC72C2" w:rsidRPr="003F60E8" w:rsidRDefault="00AC72C2" w:rsidP="006D4DC9">
            <w:pPr>
              <w:contextualSpacing/>
              <w:jc w:val="center"/>
              <w:rPr>
                <w:rFonts w:ascii="Times New Roman" w:hAnsi="Times New Roman" w:cs="Times New Roman"/>
                <w:sz w:val="24"/>
                <w:szCs w:val="24"/>
              </w:rPr>
            </w:pPr>
            <w:r w:rsidRPr="003F60E8">
              <w:rPr>
                <w:rFonts w:ascii="Times New Roman" w:hAnsi="Times New Roman" w:cs="Times New Roman"/>
                <w:sz w:val="24"/>
                <w:szCs w:val="24"/>
              </w:rPr>
              <w:t>Nosaukums</w:t>
            </w:r>
          </w:p>
        </w:tc>
        <w:tc>
          <w:tcPr>
            <w:tcW w:w="1083" w:type="dxa"/>
            <w:vAlign w:val="center"/>
          </w:tcPr>
          <w:p w14:paraId="184B22CA" w14:textId="77777777" w:rsidR="00AC72C2" w:rsidRPr="003F60E8" w:rsidRDefault="00AC72C2" w:rsidP="006D4DC9">
            <w:pPr>
              <w:contextualSpacing/>
              <w:jc w:val="center"/>
              <w:rPr>
                <w:rFonts w:ascii="Times New Roman" w:hAnsi="Times New Roman" w:cs="Times New Roman"/>
                <w:sz w:val="24"/>
                <w:szCs w:val="24"/>
              </w:rPr>
            </w:pPr>
            <w:r w:rsidRPr="003F60E8">
              <w:rPr>
                <w:rFonts w:ascii="Times New Roman" w:hAnsi="Times New Roman" w:cs="Times New Roman"/>
                <w:sz w:val="24"/>
                <w:szCs w:val="24"/>
              </w:rPr>
              <w:t>Juridiskā adrese</w:t>
            </w:r>
          </w:p>
        </w:tc>
        <w:tc>
          <w:tcPr>
            <w:tcW w:w="870" w:type="dxa"/>
            <w:vAlign w:val="center"/>
          </w:tcPr>
          <w:p w14:paraId="1582514A" w14:textId="5297DB1E" w:rsidR="00AC72C2" w:rsidRPr="003F60E8" w:rsidRDefault="00AC72C2" w:rsidP="006D4DC9">
            <w:pPr>
              <w:contextualSpacing/>
              <w:jc w:val="center"/>
              <w:rPr>
                <w:rFonts w:ascii="Times New Roman" w:hAnsi="Times New Roman" w:cs="Times New Roman"/>
                <w:sz w:val="24"/>
                <w:szCs w:val="24"/>
              </w:rPr>
            </w:pPr>
            <w:r w:rsidRPr="003F60E8">
              <w:rPr>
                <w:rFonts w:ascii="Times New Roman" w:hAnsi="Times New Roman" w:cs="Times New Roman"/>
                <w:sz w:val="24"/>
                <w:szCs w:val="24"/>
              </w:rPr>
              <w:t>NACE 2.</w:t>
            </w:r>
            <w:r w:rsidR="00F91122">
              <w:rPr>
                <w:rFonts w:ascii="Times New Roman" w:hAnsi="Times New Roman" w:cs="Times New Roman"/>
                <w:sz w:val="24"/>
                <w:szCs w:val="24"/>
              </w:rPr>
              <w:t> </w:t>
            </w:r>
            <w:r w:rsidRPr="003F60E8">
              <w:rPr>
                <w:rFonts w:ascii="Times New Roman" w:hAnsi="Times New Roman" w:cs="Times New Roman"/>
                <w:sz w:val="24"/>
                <w:szCs w:val="24"/>
              </w:rPr>
              <w:t>red.</w:t>
            </w:r>
            <w:r w:rsidRPr="003F60E8">
              <w:rPr>
                <w:rFonts w:ascii="Times New Roman" w:hAnsi="Times New Roman" w:cs="Times New Roman"/>
                <w:sz w:val="24"/>
                <w:szCs w:val="24"/>
                <w:vertAlign w:val="superscript"/>
              </w:rPr>
              <w:t>2</w:t>
            </w:r>
          </w:p>
        </w:tc>
        <w:tc>
          <w:tcPr>
            <w:tcW w:w="1021" w:type="dxa"/>
            <w:vAlign w:val="center"/>
          </w:tcPr>
          <w:p w14:paraId="4375364F" w14:textId="77777777" w:rsidR="00AC72C2" w:rsidRPr="003F60E8" w:rsidRDefault="00AC72C2" w:rsidP="006D4DC9">
            <w:pPr>
              <w:contextualSpacing/>
              <w:jc w:val="center"/>
              <w:rPr>
                <w:rFonts w:ascii="Times New Roman" w:hAnsi="Times New Roman" w:cs="Times New Roman"/>
                <w:sz w:val="24"/>
                <w:szCs w:val="24"/>
              </w:rPr>
            </w:pPr>
            <w:r w:rsidRPr="003F60E8">
              <w:rPr>
                <w:rFonts w:ascii="Times New Roman" w:hAnsi="Times New Roman" w:cs="Times New Roman"/>
                <w:sz w:val="24"/>
                <w:szCs w:val="24"/>
              </w:rPr>
              <w:t>Objekta adrese</w:t>
            </w:r>
          </w:p>
        </w:tc>
        <w:tc>
          <w:tcPr>
            <w:tcW w:w="1296" w:type="dxa"/>
            <w:vAlign w:val="center"/>
          </w:tcPr>
          <w:p w14:paraId="02B157E9" w14:textId="77777777" w:rsidR="00AC72C2" w:rsidRPr="003F60E8" w:rsidRDefault="00AC72C2" w:rsidP="006D4DC9">
            <w:pPr>
              <w:contextualSpacing/>
              <w:jc w:val="center"/>
              <w:rPr>
                <w:rFonts w:ascii="Times New Roman" w:hAnsi="Times New Roman" w:cs="Times New Roman"/>
                <w:sz w:val="24"/>
                <w:szCs w:val="24"/>
              </w:rPr>
            </w:pPr>
            <w:r w:rsidRPr="003F60E8">
              <w:rPr>
                <w:rFonts w:ascii="Times New Roman" w:hAnsi="Times New Roman" w:cs="Times New Roman"/>
                <w:sz w:val="24"/>
                <w:szCs w:val="24"/>
              </w:rPr>
              <w:t>Objekta nosaukums</w:t>
            </w:r>
          </w:p>
        </w:tc>
        <w:tc>
          <w:tcPr>
            <w:tcW w:w="976" w:type="dxa"/>
            <w:vAlign w:val="center"/>
          </w:tcPr>
          <w:p w14:paraId="688625A3" w14:textId="77777777" w:rsidR="00AC72C2" w:rsidRPr="003F60E8" w:rsidRDefault="00AC72C2" w:rsidP="006D4DC9">
            <w:pPr>
              <w:contextualSpacing/>
              <w:jc w:val="center"/>
              <w:rPr>
                <w:rFonts w:ascii="Times New Roman" w:hAnsi="Times New Roman" w:cs="Times New Roman"/>
                <w:sz w:val="24"/>
                <w:szCs w:val="24"/>
              </w:rPr>
            </w:pPr>
            <w:r w:rsidRPr="003F60E8">
              <w:rPr>
                <w:rFonts w:ascii="Times New Roman" w:hAnsi="Times New Roman" w:cs="Times New Roman"/>
                <w:sz w:val="24"/>
                <w:szCs w:val="24"/>
              </w:rPr>
              <w:t>Objekta raksturs</w:t>
            </w:r>
          </w:p>
        </w:tc>
        <w:tc>
          <w:tcPr>
            <w:tcW w:w="1355" w:type="dxa"/>
            <w:vAlign w:val="center"/>
          </w:tcPr>
          <w:p w14:paraId="7D5ECD8F" w14:textId="77777777" w:rsidR="00AC72C2" w:rsidRPr="003F60E8" w:rsidRDefault="00AC72C2" w:rsidP="006D4DC9">
            <w:pPr>
              <w:contextualSpacing/>
              <w:jc w:val="center"/>
              <w:rPr>
                <w:rFonts w:ascii="Times New Roman" w:hAnsi="Times New Roman" w:cs="Times New Roman"/>
                <w:sz w:val="24"/>
                <w:szCs w:val="24"/>
              </w:rPr>
            </w:pPr>
            <w:r w:rsidRPr="003F60E8">
              <w:rPr>
                <w:rFonts w:ascii="Times New Roman" w:hAnsi="Times New Roman" w:cs="Times New Roman"/>
                <w:sz w:val="24"/>
                <w:szCs w:val="24"/>
              </w:rPr>
              <w:t>Elektroenerģijas patēriņš, kWh</w:t>
            </w:r>
          </w:p>
        </w:tc>
      </w:tr>
      <w:tr w:rsidR="003F60E8" w:rsidRPr="003F60E8" w14:paraId="7D289829" w14:textId="77777777" w:rsidTr="003F60E8">
        <w:tc>
          <w:tcPr>
            <w:tcW w:w="658" w:type="dxa"/>
            <w:vAlign w:val="center"/>
          </w:tcPr>
          <w:p w14:paraId="6FEA94C8" w14:textId="77777777" w:rsidR="00AC72C2" w:rsidRPr="003F60E8" w:rsidRDefault="00AC72C2" w:rsidP="006D4DC9">
            <w:pPr>
              <w:contextualSpacing/>
              <w:jc w:val="center"/>
              <w:rPr>
                <w:sz w:val="24"/>
                <w:szCs w:val="24"/>
              </w:rPr>
            </w:pPr>
          </w:p>
        </w:tc>
        <w:tc>
          <w:tcPr>
            <w:tcW w:w="1456" w:type="dxa"/>
            <w:vAlign w:val="center"/>
          </w:tcPr>
          <w:p w14:paraId="155AAA81" w14:textId="77777777" w:rsidR="00AC72C2" w:rsidRPr="003F60E8" w:rsidRDefault="00AC72C2" w:rsidP="006D4DC9">
            <w:pPr>
              <w:contextualSpacing/>
              <w:jc w:val="center"/>
              <w:rPr>
                <w:sz w:val="24"/>
                <w:szCs w:val="24"/>
              </w:rPr>
            </w:pPr>
          </w:p>
        </w:tc>
        <w:tc>
          <w:tcPr>
            <w:tcW w:w="1350" w:type="dxa"/>
            <w:vAlign w:val="center"/>
          </w:tcPr>
          <w:p w14:paraId="524BD56D" w14:textId="77777777" w:rsidR="00AC72C2" w:rsidRPr="003F60E8" w:rsidRDefault="00AC72C2" w:rsidP="006D4DC9">
            <w:pPr>
              <w:contextualSpacing/>
              <w:jc w:val="center"/>
              <w:rPr>
                <w:sz w:val="24"/>
                <w:szCs w:val="24"/>
              </w:rPr>
            </w:pPr>
          </w:p>
        </w:tc>
        <w:tc>
          <w:tcPr>
            <w:tcW w:w="1083" w:type="dxa"/>
            <w:vAlign w:val="center"/>
          </w:tcPr>
          <w:p w14:paraId="4247AA23" w14:textId="77777777" w:rsidR="00AC72C2" w:rsidRPr="003F60E8" w:rsidRDefault="00AC72C2" w:rsidP="006D4DC9">
            <w:pPr>
              <w:contextualSpacing/>
              <w:jc w:val="center"/>
              <w:rPr>
                <w:sz w:val="24"/>
                <w:szCs w:val="24"/>
              </w:rPr>
            </w:pPr>
          </w:p>
        </w:tc>
        <w:tc>
          <w:tcPr>
            <w:tcW w:w="870" w:type="dxa"/>
            <w:vAlign w:val="center"/>
          </w:tcPr>
          <w:p w14:paraId="5256DE00" w14:textId="77777777" w:rsidR="00AC72C2" w:rsidRPr="003F60E8" w:rsidRDefault="00AC72C2" w:rsidP="006D4DC9">
            <w:pPr>
              <w:contextualSpacing/>
              <w:jc w:val="center"/>
              <w:rPr>
                <w:sz w:val="24"/>
                <w:szCs w:val="24"/>
              </w:rPr>
            </w:pPr>
          </w:p>
        </w:tc>
        <w:tc>
          <w:tcPr>
            <w:tcW w:w="1021" w:type="dxa"/>
            <w:vAlign w:val="center"/>
          </w:tcPr>
          <w:p w14:paraId="698F854E" w14:textId="77777777" w:rsidR="00AC72C2" w:rsidRPr="003F60E8" w:rsidRDefault="00AC72C2" w:rsidP="006D4DC9">
            <w:pPr>
              <w:contextualSpacing/>
              <w:jc w:val="center"/>
              <w:rPr>
                <w:sz w:val="24"/>
                <w:szCs w:val="24"/>
              </w:rPr>
            </w:pPr>
          </w:p>
        </w:tc>
        <w:tc>
          <w:tcPr>
            <w:tcW w:w="1296" w:type="dxa"/>
            <w:vAlign w:val="center"/>
          </w:tcPr>
          <w:p w14:paraId="41FA0356" w14:textId="77777777" w:rsidR="00AC72C2" w:rsidRPr="003F60E8" w:rsidRDefault="00AC72C2" w:rsidP="006D4DC9">
            <w:pPr>
              <w:contextualSpacing/>
              <w:jc w:val="center"/>
              <w:rPr>
                <w:sz w:val="24"/>
                <w:szCs w:val="24"/>
              </w:rPr>
            </w:pPr>
          </w:p>
        </w:tc>
        <w:tc>
          <w:tcPr>
            <w:tcW w:w="976" w:type="dxa"/>
            <w:vAlign w:val="center"/>
          </w:tcPr>
          <w:p w14:paraId="2F5ED9B4" w14:textId="77777777" w:rsidR="00AC72C2" w:rsidRPr="003F60E8" w:rsidRDefault="00AC72C2" w:rsidP="006D4DC9">
            <w:pPr>
              <w:contextualSpacing/>
              <w:jc w:val="center"/>
              <w:rPr>
                <w:sz w:val="24"/>
                <w:szCs w:val="24"/>
              </w:rPr>
            </w:pPr>
          </w:p>
        </w:tc>
        <w:tc>
          <w:tcPr>
            <w:tcW w:w="1355" w:type="dxa"/>
            <w:vAlign w:val="center"/>
          </w:tcPr>
          <w:p w14:paraId="64D29199" w14:textId="77777777" w:rsidR="00AC72C2" w:rsidRPr="003F60E8" w:rsidRDefault="00AC72C2" w:rsidP="006D4DC9">
            <w:pPr>
              <w:contextualSpacing/>
              <w:jc w:val="center"/>
              <w:rPr>
                <w:sz w:val="24"/>
                <w:szCs w:val="24"/>
              </w:rPr>
            </w:pPr>
          </w:p>
        </w:tc>
      </w:tr>
      <w:tr w:rsidR="003F60E8" w:rsidRPr="003F60E8" w14:paraId="0FE74CDD" w14:textId="77777777" w:rsidTr="003F60E8">
        <w:tc>
          <w:tcPr>
            <w:tcW w:w="658" w:type="dxa"/>
            <w:vAlign w:val="center"/>
          </w:tcPr>
          <w:p w14:paraId="19624738" w14:textId="77777777" w:rsidR="00AC72C2" w:rsidRPr="003F60E8" w:rsidRDefault="00AC72C2" w:rsidP="006D4DC9">
            <w:pPr>
              <w:contextualSpacing/>
              <w:jc w:val="center"/>
              <w:rPr>
                <w:sz w:val="24"/>
                <w:szCs w:val="24"/>
              </w:rPr>
            </w:pPr>
          </w:p>
        </w:tc>
        <w:tc>
          <w:tcPr>
            <w:tcW w:w="1456" w:type="dxa"/>
            <w:vAlign w:val="center"/>
          </w:tcPr>
          <w:p w14:paraId="6A52FF97" w14:textId="77777777" w:rsidR="00AC72C2" w:rsidRPr="003F60E8" w:rsidRDefault="00AC72C2" w:rsidP="006D4DC9">
            <w:pPr>
              <w:contextualSpacing/>
              <w:jc w:val="center"/>
              <w:rPr>
                <w:sz w:val="24"/>
                <w:szCs w:val="24"/>
              </w:rPr>
            </w:pPr>
          </w:p>
        </w:tc>
        <w:tc>
          <w:tcPr>
            <w:tcW w:w="1350" w:type="dxa"/>
            <w:vAlign w:val="center"/>
          </w:tcPr>
          <w:p w14:paraId="0D24324E" w14:textId="77777777" w:rsidR="00AC72C2" w:rsidRPr="003F60E8" w:rsidRDefault="00AC72C2" w:rsidP="006D4DC9">
            <w:pPr>
              <w:contextualSpacing/>
              <w:jc w:val="center"/>
              <w:rPr>
                <w:sz w:val="24"/>
                <w:szCs w:val="24"/>
              </w:rPr>
            </w:pPr>
          </w:p>
        </w:tc>
        <w:tc>
          <w:tcPr>
            <w:tcW w:w="1083" w:type="dxa"/>
            <w:vAlign w:val="center"/>
          </w:tcPr>
          <w:p w14:paraId="40AA83C6" w14:textId="77777777" w:rsidR="00AC72C2" w:rsidRPr="003F60E8" w:rsidRDefault="00AC72C2" w:rsidP="006D4DC9">
            <w:pPr>
              <w:contextualSpacing/>
              <w:jc w:val="center"/>
              <w:rPr>
                <w:sz w:val="24"/>
                <w:szCs w:val="24"/>
              </w:rPr>
            </w:pPr>
          </w:p>
        </w:tc>
        <w:tc>
          <w:tcPr>
            <w:tcW w:w="870" w:type="dxa"/>
            <w:vAlign w:val="center"/>
          </w:tcPr>
          <w:p w14:paraId="688E0790" w14:textId="77777777" w:rsidR="00AC72C2" w:rsidRPr="003F60E8" w:rsidRDefault="00AC72C2" w:rsidP="006D4DC9">
            <w:pPr>
              <w:contextualSpacing/>
              <w:jc w:val="center"/>
              <w:rPr>
                <w:sz w:val="24"/>
                <w:szCs w:val="24"/>
              </w:rPr>
            </w:pPr>
          </w:p>
        </w:tc>
        <w:tc>
          <w:tcPr>
            <w:tcW w:w="1021" w:type="dxa"/>
            <w:vAlign w:val="center"/>
          </w:tcPr>
          <w:p w14:paraId="2BC507D7" w14:textId="77777777" w:rsidR="00AC72C2" w:rsidRPr="003F60E8" w:rsidRDefault="00AC72C2" w:rsidP="006D4DC9">
            <w:pPr>
              <w:contextualSpacing/>
              <w:jc w:val="center"/>
              <w:rPr>
                <w:sz w:val="24"/>
                <w:szCs w:val="24"/>
              </w:rPr>
            </w:pPr>
          </w:p>
        </w:tc>
        <w:tc>
          <w:tcPr>
            <w:tcW w:w="1296" w:type="dxa"/>
            <w:vAlign w:val="center"/>
          </w:tcPr>
          <w:p w14:paraId="40CA857E" w14:textId="77777777" w:rsidR="00AC72C2" w:rsidRPr="003F60E8" w:rsidRDefault="00AC72C2" w:rsidP="006D4DC9">
            <w:pPr>
              <w:contextualSpacing/>
              <w:jc w:val="center"/>
              <w:rPr>
                <w:sz w:val="24"/>
                <w:szCs w:val="24"/>
              </w:rPr>
            </w:pPr>
          </w:p>
        </w:tc>
        <w:tc>
          <w:tcPr>
            <w:tcW w:w="976" w:type="dxa"/>
            <w:vAlign w:val="center"/>
          </w:tcPr>
          <w:p w14:paraId="34700A11" w14:textId="77777777" w:rsidR="00AC72C2" w:rsidRPr="003F60E8" w:rsidRDefault="00AC72C2" w:rsidP="006D4DC9">
            <w:pPr>
              <w:contextualSpacing/>
              <w:jc w:val="center"/>
              <w:rPr>
                <w:sz w:val="24"/>
                <w:szCs w:val="24"/>
              </w:rPr>
            </w:pPr>
          </w:p>
        </w:tc>
        <w:tc>
          <w:tcPr>
            <w:tcW w:w="1355" w:type="dxa"/>
            <w:vAlign w:val="center"/>
          </w:tcPr>
          <w:p w14:paraId="493EF91B" w14:textId="77777777" w:rsidR="00AC72C2" w:rsidRPr="003F60E8" w:rsidRDefault="00AC72C2" w:rsidP="006D4DC9">
            <w:pPr>
              <w:contextualSpacing/>
              <w:jc w:val="center"/>
              <w:rPr>
                <w:sz w:val="24"/>
                <w:szCs w:val="24"/>
              </w:rPr>
            </w:pPr>
          </w:p>
        </w:tc>
      </w:tr>
      <w:tr w:rsidR="003F60E8" w:rsidRPr="003F60E8" w14:paraId="4D3B28CB" w14:textId="77777777" w:rsidTr="003F60E8">
        <w:tc>
          <w:tcPr>
            <w:tcW w:w="658" w:type="dxa"/>
            <w:vAlign w:val="center"/>
          </w:tcPr>
          <w:p w14:paraId="377C7BC6" w14:textId="77777777" w:rsidR="00AC72C2" w:rsidRPr="003F60E8" w:rsidRDefault="00AC72C2" w:rsidP="006D4DC9">
            <w:pPr>
              <w:contextualSpacing/>
              <w:jc w:val="center"/>
              <w:rPr>
                <w:sz w:val="24"/>
                <w:szCs w:val="24"/>
              </w:rPr>
            </w:pPr>
          </w:p>
        </w:tc>
        <w:tc>
          <w:tcPr>
            <w:tcW w:w="1456" w:type="dxa"/>
            <w:vAlign w:val="center"/>
          </w:tcPr>
          <w:p w14:paraId="3DA52B54" w14:textId="77777777" w:rsidR="00AC72C2" w:rsidRPr="003F60E8" w:rsidRDefault="00AC72C2" w:rsidP="006D4DC9">
            <w:pPr>
              <w:contextualSpacing/>
              <w:jc w:val="center"/>
              <w:rPr>
                <w:sz w:val="24"/>
                <w:szCs w:val="24"/>
              </w:rPr>
            </w:pPr>
          </w:p>
        </w:tc>
        <w:tc>
          <w:tcPr>
            <w:tcW w:w="1350" w:type="dxa"/>
            <w:vAlign w:val="center"/>
          </w:tcPr>
          <w:p w14:paraId="047C0B8A" w14:textId="77777777" w:rsidR="00AC72C2" w:rsidRPr="003F60E8" w:rsidRDefault="00AC72C2" w:rsidP="006D4DC9">
            <w:pPr>
              <w:contextualSpacing/>
              <w:jc w:val="center"/>
              <w:rPr>
                <w:sz w:val="24"/>
                <w:szCs w:val="24"/>
              </w:rPr>
            </w:pPr>
          </w:p>
        </w:tc>
        <w:tc>
          <w:tcPr>
            <w:tcW w:w="1083" w:type="dxa"/>
            <w:vAlign w:val="center"/>
          </w:tcPr>
          <w:p w14:paraId="25D34E54" w14:textId="77777777" w:rsidR="00AC72C2" w:rsidRPr="003F60E8" w:rsidRDefault="00AC72C2" w:rsidP="006D4DC9">
            <w:pPr>
              <w:contextualSpacing/>
              <w:jc w:val="center"/>
              <w:rPr>
                <w:sz w:val="24"/>
                <w:szCs w:val="24"/>
              </w:rPr>
            </w:pPr>
          </w:p>
        </w:tc>
        <w:tc>
          <w:tcPr>
            <w:tcW w:w="870" w:type="dxa"/>
            <w:vAlign w:val="center"/>
          </w:tcPr>
          <w:p w14:paraId="3670B1E6" w14:textId="77777777" w:rsidR="00AC72C2" w:rsidRPr="003F60E8" w:rsidRDefault="00AC72C2" w:rsidP="006D4DC9">
            <w:pPr>
              <w:contextualSpacing/>
              <w:jc w:val="center"/>
              <w:rPr>
                <w:sz w:val="24"/>
                <w:szCs w:val="24"/>
              </w:rPr>
            </w:pPr>
          </w:p>
        </w:tc>
        <w:tc>
          <w:tcPr>
            <w:tcW w:w="1021" w:type="dxa"/>
            <w:vAlign w:val="center"/>
          </w:tcPr>
          <w:p w14:paraId="1C65A60A" w14:textId="77777777" w:rsidR="00AC72C2" w:rsidRPr="003F60E8" w:rsidRDefault="00AC72C2" w:rsidP="006D4DC9">
            <w:pPr>
              <w:contextualSpacing/>
              <w:jc w:val="center"/>
              <w:rPr>
                <w:sz w:val="24"/>
                <w:szCs w:val="24"/>
              </w:rPr>
            </w:pPr>
          </w:p>
        </w:tc>
        <w:tc>
          <w:tcPr>
            <w:tcW w:w="1296" w:type="dxa"/>
            <w:vAlign w:val="center"/>
          </w:tcPr>
          <w:p w14:paraId="029F8D2D" w14:textId="77777777" w:rsidR="00AC72C2" w:rsidRPr="003F60E8" w:rsidRDefault="00AC72C2" w:rsidP="006D4DC9">
            <w:pPr>
              <w:contextualSpacing/>
              <w:jc w:val="center"/>
              <w:rPr>
                <w:sz w:val="24"/>
                <w:szCs w:val="24"/>
              </w:rPr>
            </w:pPr>
          </w:p>
        </w:tc>
        <w:tc>
          <w:tcPr>
            <w:tcW w:w="976" w:type="dxa"/>
            <w:vAlign w:val="center"/>
          </w:tcPr>
          <w:p w14:paraId="3DF7AC06" w14:textId="77777777" w:rsidR="00AC72C2" w:rsidRPr="003F60E8" w:rsidRDefault="00AC72C2" w:rsidP="006D4DC9">
            <w:pPr>
              <w:contextualSpacing/>
              <w:jc w:val="center"/>
              <w:rPr>
                <w:sz w:val="24"/>
                <w:szCs w:val="24"/>
              </w:rPr>
            </w:pPr>
          </w:p>
        </w:tc>
        <w:tc>
          <w:tcPr>
            <w:tcW w:w="1355" w:type="dxa"/>
            <w:vAlign w:val="center"/>
          </w:tcPr>
          <w:p w14:paraId="618F3041" w14:textId="77777777" w:rsidR="00AC72C2" w:rsidRPr="003F60E8" w:rsidRDefault="00AC72C2" w:rsidP="006D4DC9">
            <w:pPr>
              <w:contextualSpacing/>
              <w:jc w:val="center"/>
              <w:rPr>
                <w:sz w:val="24"/>
                <w:szCs w:val="24"/>
              </w:rPr>
            </w:pPr>
          </w:p>
        </w:tc>
      </w:tr>
      <w:tr w:rsidR="003F60E8" w:rsidRPr="003F60E8" w14:paraId="1D611875" w14:textId="77777777" w:rsidTr="003F60E8">
        <w:tc>
          <w:tcPr>
            <w:tcW w:w="658" w:type="dxa"/>
            <w:vAlign w:val="center"/>
          </w:tcPr>
          <w:p w14:paraId="7198E542" w14:textId="77777777" w:rsidR="00AC72C2" w:rsidRPr="003F60E8" w:rsidRDefault="00AC72C2" w:rsidP="006D4DC9">
            <w:pPr>
              <w:contextualSpacing/>
              <w:jc w:val="center"/>
              <w:rPr>
                <w:sz w:val="24"/>
                <w:szCs w:val="24"/>
              </w:rPr>
            </w:pPr>
          </w:p>
        </w:tc>
        <w:tc>
          <w:tcPr>
            <w:tcW w:w="1456" w:type="dxa"/>
            <w:vAlign w:val="center"/>
          </w:tcPr>
          <w:p w14:paraId="11A01C4D" w14:textId="77777777" w:rsidR="00AC72C2" w:rsidRPr="003F60E8" w:rsidRDefault="00AC72C2" w:rsidP="006D4DC9">
            <w:pPr>
              <w:contextualSpacing/>
              <w:jc w:val="center"/>
              <w:rPr>
                <w:sz w:val="24"/>
                <w:szCs w:val="24"/>
              </w:rPr>
            </w:pPr>
          </w:p>
        </w:tc>
        <w:tc>
          <w:tcPr>
            <w:tcW w:w="1350" w:type="dxa"/>
            <w:vAlign w:val="center"/>
          </w:tcPr>
          <w:p w14:paraId="466A6B3F" w14:textId="77777777" w:rsidR="00AC72C2" w:rsidRPr="003F60E8" w:rsidRDefault="00AC72C2" w:rsidP="006D4DC9">
            <w:pPr>
              <w:contextualSpacing/>
              <w:jc w:val="center"/>
              <w:rPr>
                <w:sz w:val="24"/>
                <w:szCs w:val="24"/>
              </w:rPr>
            </w:pPr>
          </w:p>
        </w:tc>
        <w:tc>
          <w:tcPr>
            <w:tcW w:w="1083" w:type="dxa"/>
            <w:vAlign w:val="center"/>
          </w:tcPr>
          <w:p w14:paraId="7BA12F58" w14:textId="77777777" w:rsidR="00AC72C2" w:rsidRPr="003F60E8" w:rsidRDefault="00AC72C2" w:rsidP="006D4DC9">
            <w:pPr>
              <w:contextualSpacing/>
              <w:jc w:val="center"/>
              <w:rPr>
                <w:sz w:val="24"/>
                <w:szCs w:val="24"/>
              </w:rPr>
            </w:pPr>
          </w:p>
        </w:tc>
        <w:tc>
          <w:tcPr>
            <w:tcW w:w="870" w:type="dxa"/>
            <w:vAlign w:val="center"/>
          </w:tcPr>
          <w:p w14:paraId="71A22C8A" w14:textId="77777777" w:rsidR="00AC72C2" w:rsidRPr="003F60E8" w:rsidRDefault="00AC72C2" w:rsidP="006D4DC9">
            <w:pPr>
              <w:contextualSpacing/>
              <w:jc w:val="center"/>
              <w:rPr>
                <w:sz w:val="24"/>
                <w:szCs w:val="24"/>
              </w:rPr>
            </w:pPr>
          </w:p>
        </w:tc>
        <w:tc>
          <w:tcPr>
            <w:tcW w:w="1021" w:type="dxa"/>
            <w:vAlign w:val="center"/>
          </w:tcPr>
          <w:p w14:paraId="7593A7C9" w14:textId="77777777" w:rsidR="00AC72C2" w:rsidRPr="003F60E8" w:rsidRDefault="00AC72C2" w:rsidP="006D4DC9">
            <w:pPr>
              <w:contextualSpacing/>
              <w:jc w:val="center"/>
              <w:rPr>
                <w:sz w:val="24"/>
                <w:szCs w:val="24"/>
              </w:rPr>
            </w:pPr>
          </w:p>
        </w:tc>
        <w:tc>
          <w:tcPr>
            <w:tcW w:w="1296" w:type="dxa"/>
            <w:vAlign w:val="center"/>
          </w:tcPr>
          <w:p w14:paraId="3C98BB63" w14:textId="77777777" w:rsidR="00AC72C2" w:rsidRPr="003F60E8" w:rsidRDefault="00AC72C2" w:rsidP="006D4DC9">
            <w:pPr>
              <w:contextualSpacing/>
              <w:jc w:val="center"/>
              <w:rPr>
                <w:sz w:val="24"/>
                <w:szCs w:val="24"/>
              </w:rPr>
            </w:pPr>
          </w:p>
        </w:tc>
        <w:tc>
          <w:tcPr>
            <w:tcW w:w="976" w:type="dxa"/>
            <w:vAlign w:val="center"/>
          </w:tcPr>
          <w:p w14:paraId="4A59980F" w14:textId="77777777" w:rsidR="00AC72C2" w:rsidRPr="003F60E8" w:rsidRDefault="00AC72C2" w:rsidP="006D4DC9">
            <w:pPr>
              <w:contextualSpacing/>
              <w:jc w:val="center"/>
              <w:rPr>
                <w:sz w:val="24"/>
                <w:szCs w:val="24"/>
              </w:rPr>
            </w:pPr>
          </w:p>
        </w:tc>
        <w:tc>
          <w:tcPr>
            <w:tcW w:w="1355" w:type="dxa"/>
            <w:vAlign w:val="center"/>
          </w:tcPr>
          <w:p w14:paraId="6A2B6225" w14:textId="77777777" w:rsidR="00AC72C2" w:rsidRPr="003F60E8" w:rsidRDefault="00AC72C2" w:rsidP="006D4DC9">
            <w:pPr>
              <w:contextualSpacing/>
              <w:jc w:val="center"/>
              <w:rPr>
                <w:sz w:val="24"/>
                <w:szCs w:val="24"/>
              </w:rPr>
            </w:pPr>
          </w:p>
        </w:tc>
      </w:tr>
    </w:tbl>
    <w:tbl>
      <w:tblPr>
        <w:tblW w:w="5201"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80"/>
        <w:gridCol w:w="283"/>
        <w:gridCol w:w="3114"/>
        <w:gridCol w:w="283"/>
        <w:gridCol w:w="2076"/>
      </w:tblGrid>
      <w:tr w:rsidR="003F60E8" w:rsidRPr="003F60E8" w14:paraId="655AAA2C" w14:textId="77777777" w:rsidTr="00EA7441">
        <w:trPr>
          <w:trHeight w:val="405"/>
        </w:trPr>
        <w:tc>
          <w:tcPr>
            <w:tcW w:w="1950" w:type="pct"/>
            <w:tcBorders>
              <w:top w:val="nil"/>
              <w:left w:val="nil"/>
              <w:bottom w:val="single" w:sz="6" w:space="0" w:color="414142"/>
              <w:right w:val="nil"/>
            </w:tcBorders>
            <w:shd w:val="clear" w:color="auto" w:fill="FFFFFF"/>
            <w:vAlign w:val="center"/>
            <w:hideMark/>
          </w:tcPr>
          <w:p w14:paraId="30F41360" w14:textId="77777777" w:rsidR="00AC72C2" w:rsidRPr="003F60E8" w:rsidRDefault="00AC72C2" w:rsidP="00C3688A">
            <w:pPr>
              <w:spacing w:after="0" w:line="240" w:lineRule="auto"/>
              <w:contextualSpacing/>
              <w:rPr>
                <w:rFonts w:ascii="Times New Roman" w:eastAsia="Times New Roman" w:hAnsi="Times New Roman" w:cs="Times New Roman"/>
                <w:sz w:val="24"/>
                <w:szCs w:val="24"/>
                <w:lang w:eastAsia="lv-LV"/>
              </w:rPr>
            </w:pPr>
            <w:r w:rsidRPr="003F60E8">
              <w:rPr>
                <w:rFonts w:ascii="Times New Roman" w:eastAsia="Times New Roman" w:hAnsi="Times New Roman" w:cs="Times New Roman"/>
                <w:sz w:val="24"/>
                <w:szCs w:val="24"/>
                <w:lang w:eastAsia="lv-LV"/>
              </w:rPr>
              <w:t> </w:t>
            </w:r>
          </w:p>
        </w:tc>
        <w:tc>
          <w:tcPr>
            <w:tcW w:w="150" w:type="pct"/>
            <w:tcBorders>
              <w:top w:val="nil"/>
              <w:left w:val="nil"/>
              <w:bottom w:val="nil"/>
              <w:right w:val="nil"/>
            </w:tcBorders>
            <w:shd w:val="clear" w:color="auto" w:fill="FFFFFF"/>
            <w:vAlign w:val="center"/>
            <w:hideMark/>
          </w:tcPr>
          <w:p w14:paraId="1E981FAC" w14:textId="77777777" w:rsidR="00AC72C2" w:rsidRPr="003F60E8" w:rsidRDefault="00AC72C2" w:rsidP="00C3688A">
            <w:pPr>
              <w:spacing w:after="0" w:line="240" w:lineRule="auto"/>
              <w:contextualSpacing/>
              <w:rPr>
                <w:rFonts w:ascii="Times New Roman" w:eastAsia="Times New Roman" w:hAnsi="Times New Roman" w:cs="Times New Roman"/>
                <w:sz w:val="24"/>
                <w:szCs w:val="24"/>
                <w:lang w:eastAsia="lv-LV"/>
              </w:rPr>
            </w:pPr>
            <w:r w:rsidRPr="003F60E8">
              <w:rPr>
                <w:rFonts w:ascii="Times New Roman" w:eastAsia="Times New Roman" w:hAnsi="Times New Roman" w:cs="Times New Roman"/>
                <w:sz w:val="24"/>
                <w:szCs w:val="24"/>
                <w:lang w:eastAsia="lv-LV"/>
              </w:rPr>
              <w:t> </w:t>
            </w:r>
          </w:p>
        </w:tc>
        <w:tc>
          <w:tcPr>
            <w:tcW w:w="1650" w:type="pct"/>
            <w:tcBorders>
              <w:top w:val="nil"/>
              <w:left w:val="nil"/>
              <w:bottom w:val="single" w:sz="6" w:space="0" w:color="414142"/>
              <w:right w:val="nil"/>
            </w:tcBorders>
            <w:shd w:val="clear" w:color="auto" w:fill="FFFFFF"/>
            <w:vAlign w:val="center"/>
            <w:hideMark/>
          </w:tcPr>
          <w:p w14:paraId="4D03BC23" w14:textId="77777777" w:rsidR="00AC72C2" w:rsidRPr="003F60E8" w:rsidRDefault="00AC72C2" w:rsidP="00C3688A">
            <w:pPr>
              <w:spacing w:after="0" w:line="240" w:lineRule="auto"/>
              <w:contextualSpacing/>
              <w:rPr>
                <w:rFonts w:ascii="Times New Roman" w:eastAsia="Times New Roman" w:hAnsi="Times New Roman" w:cs="Times New Roman"/>
                <w:sz w:val="24"/>
                <w:szCs w:val="24"/>
                <w:lang w:eastAsia="lv-LV"/>
              </w:rPr>
            </w:pPr>
            <w:r w:rsidRPr="003F60E8">
              <w:rPr>
                <w:rFonts w:ascii="Times New Roman" w:eastAsia="Times New Roman" w:hAnsi="Times New Roman" w:cs="Times New Roman"/>
                <w:sz w:val="24"/>
                <w:szCs w:val="24"/>
                <w:lang w:eastAsia="lv-LV"/>
              </w:rPr>
              <w:t> </w:t>
            </w:r>
          </w:p>
        </w:tc>
        <w:tc>
          <w:tcPr>
            <w:tcW w:w="150" w:type="pct"/>
            <w:tcBorders>
              <w:top w:val="nil"/>
              <w:left w:val="nil"/>
              <w:bottom w:val="nil"/>
              <w:right w:val="nil"/>
            </w:tcBorders>
            <w:shd w:val="clear" w:color="auto" w:fill="FFFFFF"/>
            <w:vAlign w:val="center"/>
            <w:hideMark/>
          </w:tcPr>
          <w:p w14:paraId="23555C77" w14:textId="77777777" w:rsidR="00AC72C2" w:rsidRPr="003F60E8" w:rsidRDefault="00AC72C2" w:rsidP="00C3688A">
            <w:pPr>
              <w:spacing w:after="0" w:line="240" w:lineRule="auto"/>
              <w:contextualSpacing/>
              <w:rPr>
                <w:rFonts w:ascii="Times New Roman" w:eastAsia="Times New Roman" w:hAnsi="Times New Roman" w:cs="Times New Roman"/>
                <w:sz w:val="24"/>
                <w:szCs w:val="24"/>
                <w:lang w:eastAsia="lv-LV"/>
              </w:rPr>
            </w:pPr>
            <w:r w:rsidRPr="003F60E8">
              <w:rPr>
                <w:rFonts w:ascii="Times New Roman" w:eastAsia="Times New Roman" w:hAnsi="Times New Roman" w:cs="Times New Roman"/>
                <w:sz w:val="24"/>
                <w:szCs w:val="24"/>
                <w:lang w:eastAsia="lv-LV"/>
              </w:rPr>
              <w:t> </w:t>
            </w:r>
          </w:p>
        </w:tc>
        <w:tc>
          <w:tcPr>
            <w:tcW w:w="1100" w:type="pct"/>
            <w:tcBorders>
              <w:top w:val="nil"/>
              <w:left w:val="nil"/>
              <w:bottom w:val="single" w:sz="6" w:space="0" w:color="414142"/>
              <w:right w:val="nil"/>
            </w:tcBorders>
            <w:shd w:val="clear" w:color="auto" w:fill="FFFFFF"/>
            <w:vAlign w:val="center"/>
            <w:hideMark/>
          </w:tcPr>
          <w:p w14:paraId="1CC8FB3A" w14:textId="77777777" w:rsidR="00AC72C2" w:rsidRPr="003F60E8" w:rsidRDefault="00AC72C2" w:rsidP="00C3688A">
            <w:pPr>
              <w:spacing w:after="0" w:line="240" w:lineRule="auto"/>
              <w:contextualSpacing/>
              <w:rPr>
                <w:rFonts w:ascii="Times New Roman" w:eastAsia="Times New Roman" w:hAnsi="Times New Roman" w:cs="Times New Roman"/>
                <w:sz w:val="24"/>
                <w:szCs w:val="24"/>
                <w:lang w:eastAsia="lv-LV"/>
              </w:rPr>
            </w:pPr>
            <w:r w:rsidRPr="003F60E8">
              <w:rPr>
                <w:rFonts w:ascii="Times New Roman" w:eastAsia="Times New Roman" w:hAnsi="Times New Roman" w:cs="Times New Roman"/>
                <w:sz w:val="24"/>
                <w:szCs w:val="24"/>
                <w:lang w:eastAsia="lv-LV"/>
              </w:rPr>
              <w:t> </w:t>
            </w:r>
          </w:p>
        </w:tc>
      </w:tr>
      <w:tr w:rsidR="003F60E8" w:rsidRPr="003F60E8" w14:paraId="13C3DF91" w14:textId="77777777" w:rsidTr="00EA7441">
        <w:tc>
          <w:tcPr>
            <w:tcW w:w="1950" w:type="pct"/>
            <w:tcBorders>
              <w:top w:val="outset" w:sz="6" w:space="0" w:color="414142"/>
              <w:left w:val="nil"/>
              <w:bottom w:val="nil"/>
              <w:right w:val="nil"/>
            </w:tcBorders>
            <w:shd w:val="clear" w:color="auto" w:fill="FFFFFF"/>
            <w:hideMark/>
          </w:tcPr>
          <w:p w14:paraId="623F4C79" w14:textId="77777777" w:rsidR="00AC72C2" w:rsidRPr="003F60E8" w:rsidRDefault="00AC72C2" w:rsidP="00C3688A">
            <w:pPr>
              <w:spacing w:after="0" w:line="240" w:lineRule="auto"/>
              <w:contextualSpacing/>
              <w:jc w:val="center"/>
              <w:rPr>
                <w:rFonts w:ascii="Times New Roman" w:eastAsia="Times New Roman" w:hAnsi="Times New Roman" w:cs="Times New Roman"/>
                <w:sz w:val="24"/>
                <w:szCs w:val="24"/>
                <w:lang w:eastAsia="lv-LV"/>
              </w:rPr>
            </w:pPr>
            <w:r w:rsidRPr="003F60E8">
              <w:rPr>
                <w:rFonts w:ascii="Times New Roman" w:eastAsia="Times New Roman" w:hAnsi="Times New Roman" w:cs="Times New Roman"/>
                <w:sz w:val="24"/>
                <w:szCs w:val="24"/>
                <w:lang w:eastAsia="lv-LV"/>
              </w:rPr>
              <w:t>(amats)</w:t>
            </w:r>
          </w:p>
        </w:tc>
        <w:tc>
          <w:tcPr>
            <w:tcW w:w="150" w:type="pct"/>
            <w:tcBorders>
              <w:top w:val="nil"/>
              <w:left w:val="nil"/>
              <w:bottom w:val="nil"/>
              <w:right w:val="nil"/>
            </w:tcBorders>
            <w:shd w:val="clear" w:color="auto" w:fill="FFFFFF"/>
            <w:vAlign w:val="center"/>
            <w:hideMark/>
          </w:tcPr>
          <w:p w14:paraId="3165ACC7" w14:textId="77777777" w:rsidR="00AC72C2" w:rsidRPr="003F60E8" w:rsidRDefault="00AC72C2" w:rsidP="00C3688A">
            <w:pPr>
              <w:spacing w:after="0" w:line="240" w:lineRule="auto"/>
              <w:contextualSpacing/>
              <w:rPr>
                <w:rFonts w:ascii="Times New Roman" w:eastAsia="Times New Roman" w:hAnsi="Times New Roman" w:cs="Times New Roman"/>
                <w:sz w:val="24"/>
                <w:szCs w:val="24"/>
                <w:lang w:eastAsia="lv-LV"/>
              </w:rPr>
            </w:pPr>
            <w:r w:rsidRPr="003F60E8">
              <w:rPr>
                <w:rFonts w:ascii="Times New Roman" w:eastAsia="Times New Roman" w:hAnsi="Times New Roman" w:cs="Times New Roman"/>
                <w:sz w:val="24"/>
                <w:szCs w:val="24"/>
                <w:lang w:eastAsia="lv-LV"/>
              </w:rPr>
              <w:t> </w:t>
            </w:r>
          </w:p>
        </w:tc>
        <w:tc>
          <w:tcPr>
            <w:tcW w:w="1650" w:type="pct"/>
            <w:tcBorders>
              <w:top w:val="outset" w:sz="6" w:space="0" w:color="414142"/>
              <w:left w:val="nil"/>
              <w:bottom w:val="nil"/>
              <w:right w:val="nil"/>
            </w:tcBorders>
            <w:shd w:val="clear" w:color="auto" w:fill="FFFFFF"/>
            <w:hideMark/>
          </w:tcPr>
          <w:p w14:paraId="24A21A92" w14:textId="77777777" w:rsidR="00AC72C2" w:rsidRPr="003F60E8" w:rsidRDefault="00AC72C2" w:rsidP="00C3688A">
            <w:pPr>
              <w:spacing w:after="0" w:line="240" w:lineRule="auto"/>
              <w:contextualSpacing/>
              <w:jc w:val="center"/>
              <w:rPr>
                <w:rFonts w:ascii="Times New Roman" w:eastAsia="Times New Roman" w:hAnsi="Times New Roman" w:cs="Times New Roman"/>
                <w:sz w:val="24"/>
                <w:szCs w:val="24"/>
                <w:lang w:eastAsia="lv-LV"/>
              </w:rPr>
            </w:pPr>
            <w:r w:rsidRPr="003F60E8">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shd w:val="clear" w:color="auto" w:fill="FFFFFF"/>
            <w:vAlign w:val="center"/>
            <w:hideMark/>
          </w:tcPr>
          <w:p w14:paraId="79E2296E" w14:textId="77777777" w:rsidR="00AC72C2" w:rsidRPr="003F60E8" w:rsidRDefault="00AC72C2" w:rsidP="00C3688A">
            <w:pPr>
              <w:spacing w:after="0" w:line="240" w:lineRule="auto"/>
              <w:contextualSpacing/>
              <w:rPr>
                <w:rFonts w:ascii="Times New Roman" w:eastAsia="Times New Roman" w:hAnsi="Times New Roman" w:cs="Times New Roman"/>
                <w:sz w:val="24"/>
                <w:szCs w:val="24"/>
                <w:lang w:eastAsia="lv-LV"/>
              </w:rPr>
            </w:pPr>
            <w:r w:rsidRPr="003F60E8">
              <w:rPr>
                <w:rFonts w:ascii="Times New Roman" w:eastAsia="Times New Roman" w:hAnsi="Times New Roman" w:cs="Times New Roman"/>
                <w:sz w:val="24"/>
                <w:szCs w:val="24"/>
                <w:lang w:eastAsia="lv-LV"/>
              </w:rPr>
              <w:t> </w:t>
            </w:r>
          </w:p>
        </w:tc>
        <w:tc>
          <w:tcPr>
            <w:tcW w:w="1100" w:type="pct"/>
            <w:tcBorders>
              <w:top w:val="outset" w:sz="6" w:space="0" w:color="414142"/>
              <w:left w:val="nil"/>
              <w:bottom w:val="nil"/>
              <w:right w:val="nil"/>
            </w:tcBorders>
            <w:shd w:val="clear" w:color="auto" w:fill="FFFFFF"/>
            <w:hideMark/>
          </w:tcPr>
          <w:p w14:paraId="745C4B5B" w14:textId="77777777" w:rsidR="00AC72C2" w:rsidRPr="003F60E8" w:rsidRDefault="00AC72C2" w:rsidP="00C3688A">
            <w:pPr>
              <w:spacing w:after="0" w:line="240" w:lineRule="auto"/>
              <w:contextualSpacing/>
              <w:jc w:val="center"/>
              <w:rPr>
                <w:rFonts w:ascii="Times New Roman" w:eastAsia="Times New Roman" w:hAnsi="Times New Roman" w:cs="Times New Roman"/>
                <w:sz w:val="24"/>
                <w:szCs w:val="24"/>
                <w:lang w:eastAsia="lv-LV"/>
              </w:rPr>
            </w:pPr>
            <w:r w:rsidRPr="003F60E8">
              <w:rPr>
                <w:rFonts w:ascii="Times New Roman" w:eastAsia="Times New Roman" w:hAnsi="Times New Roman" w:cs="Times New Roman"/>
                <w:sz w:val="24"/>
                <w:szCs w:val="24"/>
                <w:lang w:eastAsia="lv-LV"/>
              </w:rPr>
              <w:t>(paraksts</w:t>
            </w:r>
            <w:r w:rsidRPr="003F60E8">
              <w:rPr>
                <w:rFonts w:ascii="Times New Roman" w:eastAsia="Times New Roman" w:hAnsi="Times New Roman" w:cs="Times New Roman"/>
                <w:sz w:val="24"/>
                <w:szCs w:val="24"/>
                <w:vertAlign w:val="superscript"/>
                <w:lang w:eastAsia="lv-LV"/>
              </w:rPr>
              <w:t>3</w:t>
            </w:r>
            <w:r w:rsidRPr="003F60E8">
              <w:rPr>
                <w:rFonts w:ascii="Times New Roman" w:eastAsia="Times New Roman" w:hAnsi="Times New Roman" w:cs="Times New Roman"/>
                <w:sz w:val="24"/>
                <w:szCs w:val="24"/>
                <w:lang w:eastAsia="lv-LV"/>
              </w:rPr>
              <w:t>)</w:t>
            </w:r>
          </w:p>
        </w:tc>
      </w:tr>
    </w:tbl>
    <w:p w14:paraId="057EE25D" w14:textId="77777777" w:rsidR="008B085A" w:rsidRPr="003F60E8" w:rsidRDefault="008B085A" w:rsidP="00C3688A">
      <w:pPr>
        <w:shd w:val="clear" w:color="auto" w:fill="FFFFFF"/>
        <w:spacing w:after="0" w:line="240" w:lineRule="auto"/>
        <w:contextualSpacing/>
        <w:rPr>
          <w:rFonts w:ascii="Times New Roman" w:eastAsia="Times New Roman" w:hAnsi="Times New Roman" w:cs="Times New Roman"/>
          <w:sz w:val="24"/>
          <w:szCs w:val="24"/>
          <w:lang w:eastAsia="lv-LV"/>
        </w:rPr>
      </w:pPr>
    </w:p>
    <w:p w14:paraId="21CACB7D" w14:textId="153DF8CF" w:rsidR="00CD6CF9" w:rsidRPr="003F60E8" w:rsidRDefault="00AC72C2" w:rsidP="006D4DC9">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3F60E8">
        <w:rPr>
          <w:rFonts w:ascii="Times New Roman" w:eastAsia="Times New Roman" w:hAnsi="Times New Roman" w:cs="Times New Roman"/>
          <w:sz w:val="24"/>
          <w:szCs w:val="24"/>
          <w:lang w:eastAsia="lv-LV"/>
        </w:rPr>
        <w:t>Piezīmes.</w:t>
      </w:r>
    </w:p>
    <w:p w14:paraId="451DBE48" w14:textId="3CB8BED7" w:rsidR="006D4DC9" w:rsidRPr="003F60E8" w:rsidRDefault="00AC72C2" w:rsidP="006D4DC9">
      <w:pPr>
        <w:shd w:val="clear" w:color="auto" w:fill="FFFFFF"/>
        <w:spacing w:after="0" w:line="240" w:lineRule="auto"/>
        <w:ind w:firstLine="709"/>
        <w:contextualSpacing/>
        <w:jc w:val="both"/>
        <w:rPr>
          <w:rFonts w:ascii="Times New Roman" w:hAnsi="Times New Roman" w:cs="Times New Roman"/>
          <w:sz w:val="24"/>
          <w:szCs w:val="24"/>
        </w:rPr>
      </w:pPr>
      <w:r w:rsidRPr="003F60E8">
        <w:rPr>
          <w:rFonts w:ascii="Times New Roman" w:hAnsi="Times New Roman" w:cs="Times New Roman"/>
          <w:sz w:val="24"/>
          <w:szCs w:val="24"/>
          <w:shd w:val="clear" w:color="auto" w:fill="FFFFFF"/>
        </w:rPr>
        <w:t>1.</w:t>
      </w:r>
      <w:r w:rsidR="00C33DB7" w:rsidRPr="003F60E8">
        <w:rPr>
          <w:rFonts w:ascii="Times New Roman" w:hAnsi="Times New Roman" w:cs="Times New Roman"/>
          <w:sz w:val="24"/>
          <w:szCs w:val="24"/>
          <w:shd w:val="clear" w:color="auto" w:fill="FFFFFF"/>
        </w:rPr>
        <w:t> </w:t>
      </w:r>
      <w:r w:rsidRPr="003F60E8">
        <w:rPr>
          <w:rFonts w:ascii="Times New Roman" w:hAnsi="Times New Roman" w:cs="Times New Roman"/>
          <w:sz w:val="24"/>
          <w:szCs w:val="24"/>
          <w:shd w:val="clear" w:color="auto" w:fill="FFFFFF"/>
        </w:rPr>
        <w:t xml:space="preserve">Lielais elektroenerģijas patērētājs ir komersants, kura ikgadējais elektroenerģijas patēriņš pārsniedz 500 </w:t>
      </w:r>
      <w:proofErr w:type="spellStart"/>
      <w:r w:rsidRPr="003F60E8">
        <w:rPr>
          <w:rFonts w:ascii="Times New Roman" w:hAnsi="Times New Roman" w:cs="Times New Roman"/>
          <w:sz w:val="24"/>
          <w:szCs w:val="24"/>
          <w:shd w:val="clear" w:color="auto" w:fill="FFFFFF"/>
        </w:rPr>
        <w:t>MWh</w:t>
      </w:r>
      <w:proofErr w:type="spellEnd"/>
      <w:r w:rsidRPr="003F60E8">
        <w:rPr>
          <w:rFonts w:ascii="Times New Roman" w:hAnsi="Times New Roman" w:cs="Times New Roman"/>
          <w:sz w:val="24"/>
          <w:szCs w:val="24"/>
          <w:shd w:val="clear" w:color="auto" w:fill="FFFFFF"/>
        </w:rPr>
        <w:t>.</w:t>
      </w:r>
    </w:p>
    <w:p w14:paraId="27E85036" w14:textId="3F076497" w:rsidR="006D4DC9" w:rsidRPr="003F60E8" w:rsidRDefault="00AC72C2" w:rsidP="006D4DC9">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3F60E8">
        <w:rPr>
          <w:rFonts w:ascii="Times New Roman" w:hAnsi="Times New Roman" w:cs="Times New Roman"/>
          <w:sz w:val="24"/>
          <w:szCs w:val="24"/>
          <w:shd w:val="clear" w:color="auto" w:fill="FFFFFF"/>
        </w:rPr>
        <w:t>2.</w:t>
      </w:r>
      <w:r w:rsidR="00C33DB7" w:rsidRPr="003F60E8">
        <w:rPr>
          <w:rFonts w:ascii="Times New Roman" w:hAnsi="Times New Roman" w:cs="Times New Roman"/>
          <w:sz w:val="24"/>
          <w:szCs w:val="24"/>
          <w:shd w:val="clear" w:color="auto" w:fill="FFFFFF"/>
        </w:rPr>
        <w:t> </w:t>
      </w:r>
      <w:r w:rsidRPr="003F60E8">
        <w:rPr>
          <w:rFonts w:ascii="Times New Roman" w:hAnsi="Times New Roman" w:cs="Times New Roman"/>
          <w:sz w:val="24"/>
          <w:szCs w:val="24"/>
          <w:shd w:val="clear" w:color="auto" w:fill="FFFFFF"/>
        </w:rPr>
        <w:t>Saimniecisko darbību statistiskā klasifikācija Eiropas Savienībā, 2. redakcija.</w:t>
      </w:r>
    </w:p>
    <w:p w14:paraId="39838172" w14:textId="75E972B4" w:rsidR="00CD6CF9" w:rsidRPr="003F60E8" w:rsidRDefault="00AC72C2" w:rsidP="006D4DC9">
      <w:pPr>
        <w:shd w:val="clear" w:color="auto" w:fill="FFFFFF"/>
        <w:spacing w:after="0" w:line="240" w:lineRule="auto"/>
        <w:ind w:firstLine="709"/>
        <w:contextualSpacing/>
        <w:jc w:val="both"/>
        <w:rPr>
          <w:rFonts w:ascii="Times New Roman" w:eastAsia="Times New Roman" w:hAnsi="Times New Roman" w:cs="Times New Roman"/>
          <w:sz w:val="24"/>
          <w:szCs w:val="24"/>
          <w:lang w:eastAsia="lv-LV"/>
        </w:rPr>
      </w:pPr>
      <w:r w:rsidRPr="003F60E8">
        <w:rPr>
          <w:rFonts w:ascii="Times New Roman" w:eastAsia="Times New Roman" w:hAnsi="Times New Roman" w:cs="Times New Roman"/>
          <w:sz w:val="24"/>
          <w:szCs w:val="24"/>
          <w:lang w:eastAsia="lv-LV"/>
        </w:rPr>
        <w:t>3.</w:t>
      </w:r>
      <w:r w:rsidR="00C33DB7" w:rsidRPr="003F60E8">
        <w:rPr>
          <w:rFonts w:ascii="Times New Roman" w:eastAsia="Times New Roman" w:hAnsi="Times New Roman" w:cs="Times New Roman"/>
          <w:sz w:val="24"/>
          <w:szCs w:val="24"/>
          <w:lang w:eastAsia="lv-LV"/>
        </w:rPr>
        <w:t> </w:t>
      </w:r>
      <w:r w:rsidRPr="003F60E8">
        <w:rPr>
          <w:rFonts w:ascii="Times New Roman" w:eastAsia="Times New Roman" w:hAnsi="Times New Roman" w:cs="Times New Roman"/>
          <w:sz w:val="24"/>
          <w:szCs w:val="24"/>
          <w:lang w:eastAsia="lv-LV"/>
        </w:rPr>
        <w:t xml:space="preserve"> Dokumenta rekvizītu </w:t>
      </w:r>
      <w:r w:rsidR="00AE0A24" w:rsidRPr="003F60E8">
        <w:rPr>
          <w:rFonts w:ascii="Times New Roman" w:eastAsia="Times New Roman" w:hAnsi="Times New Roman" w:cs="Times New Roman"/>
          <w:sz w:val="24"/>
          <w:szCs w:val="24"/>
          <w:lang w:eastAsia="lv-LV"/>
        </w:rPr>
        <w:t>"</w:t>
      </w:r>
      <w:r w:rsidRPr="003F60E8">
        <w:rPr>
          <w:rFonts w:ascii="Times New Roman" w:eastAsia="Times New Roman" w:hAnsi="Times New Roman" w:cs="Times New Roman"/>
          <w:sz w:val="24"/>
          <w:szCs w:val="24"/>
          <w:lang w:eastAsia="lv-LV"/>
        </w:rPr>
        <w:t>paraksts</w:t>
      </w:r>
      <w:r w:rsidR="00AE0A24" w:rsidRPr="003F60E8">
        <w:rPr>
          <w:rFonts w:ascii="Times New Roman" w:eastAsia="Times New Roman" w:hAnsi="Times New Roman" w:cs="Times New Roman"/>
          <w:sz w:val="24"/>
          <w:szCs w:val="24"/>
          <w:lang w:eastAsia="lv-LV"/>
        </w:rPr>
        <w:t>"</w:t>
      </w:r>
      <w:r w:rsidRPr="003F60E8">
        <w:rPr>
          <w:rFonts w:ascii="Times New Roman" w:eastAsia="Times New Roman" w:hAnsi="Times New Roman" w:cs="Times New Roman"/>
          <w:sz w:val="24"/>
          <w:szCs w:val="24"/>
          <w:lang w:eastAsia="lv-LV"/>
        </w:rPr>
        <w:t xml:space="preserve"> neaizpilda, ja elektroniskais dokuments ir sagatavots atbilstoši normatīvajiem aktiem par elektronisko dokumentu noformēšanu.</w:t>
      </w:r>
      <w:r w:rsidR="00AE0A24" w:rsidRPr="003F60E8">
        <w:rPr>
          <w:rFonts w:ascii="Times New Roman" w:eastAsia="Times New Roman" w:hAnsi="Times New Roman" w:cs="Times New Roman"/>
          <w:sz w:val="24"/>
          <w:szCs w:val="24"/>
          <w:lang w:eastAsia="lv-LV"/>
        </w:rPr>
        <w:t>"</w:t>
      </w:r>
    </w:p>
    <w:p w14:paraId="6E45B2F9" w14:textId="0CE7BC15" w:rsidR="002D65C2" w:rsidRPr="003F60E8" w:rsidRDefault="002D65C2" w:rsidP="00C3688A">
      <w:pPr>
        <w:shd w:val="clear" w:color="auto" w:fill="FFFFFF"/>
        <w:spacing w:after="0" w:line="240" w:lineRule="auto"/>
        <w:contextualSpacing/>
        <w:rPr>
          <w:rFonts w:ascii="Times New Roman" w:hAnsi="Times New Roman" w:cs="Times New Roman"/>
          <w:sz w:val="28"/>
          <w:szCs w:val="28"/>
        </w:rPr>
      </w:pPr>
    </w:p>
    <w:p w14:paraId="061F8EFF" w14:textId="753B4510" w:rsidR="002D65C2" w:rsidRPr="003F60E8" w:rsidRDefault="002D65C2" w:rsidP="00C3688A">
      <w:pPr>
        <w:shd w:val="clear" w:color="auto" w:fill="FFFFFF"/>
        <w:spacing w:after="0" w:line="240" w:lineRule="auto"/>
        <w:contextualSpacing/>
        <w:rPr>
          <w:rFonts w:ascii="Times New Roman" w:hAnsi="Times New Roman" w:cs="Times New Roman"/>
          <w:sz w:val="28"/>
          <w:szCs w:val="28"/>
        </w:rPr>
      </w:pPr>
    </w:p>
    <w:p w14:paraId="7DD55C0A" w14:textId="77777777" w:rsidR="009B72D7" w:rsidRPr="003F60E8" w:rsidRDefault="009B72D7" w:rsidP="00C3688A">
      <w:pPr>
        <w:shd w:val="clear" w:color="auto" w:fill="FFFFFF"/>
        <w:spacing w:after="0" w:line="240" w:lineRule="auto"/>
        <w:contextualSpacing/>
        <w:rPr>
          <w:rFonts w:ascii="Times New Roman" w:hAnsi="Times New Roman" w:cs="Times New Roman"/>
          <w:sz w:val="28"/>
          <w:szCs w:val="28"/>
        </w:rPr>
      </w:pPr>
    </w:p>
    <w:p w14:paraId="76339A27" w14:textId="77777777" w:rsidR="00AE0A24" w:rsidRPr="003F60E8" w:rsidRDefault="00AE0A24" w:rsidP="006B101E">
      <w:pPr>
        <w:pStyle w:val="Body"/>
        <w:tabs>
          <w:tab w:val="left" w:pos="6237"/>
        </w:tabs>
        <w:spacing w:after="0" w:line="240" w:lineRule="auto"/>
        <w:ind w:firstLine="709"/>
        <w:jc w:val="both"/>
        <w:rPr>
          <w:rFonts w:ascii="Times New Roman" w:hAnsi="Times New Roman"/>
          <w:color w:val="auto"/>
          <w:sz w:val="28"/>
          <w:lang w:val="de-DE"/>
        </w:rPr>
      </w:pPr>
      <w:r w:rsidRPr="003F60E8">
        <w:rPr>
          <w:rFonts w:ascii="Times New Roman" w:hAnsi="Times New Roman"/>
          <w:color w:val="auto"/>
          <w:sz w:val="28"/>
          <w:lang w:val="de-DE"/>
        </w:rPr>
        <w:t>Ministru prezidents</w:t>
      </w:r>
      <w:r w:rsidRPr="003F60E8">
        <w:rPr>
          <w:rFonts w:ascii="Times New Roman" w:hAnsi="Times New Roman"/>
          <w:color w:val="auto"/>
          <w:sz w:val="28"/>
          <w:lang w:val="de-DE"/>
        </w:rPr>
        <w:tab/>
      </w:r>
      <w:r w:rsidRPr="003F60E8">
        <w:rPr>
          <w:rFonts w:ascii="Times New Roman" w:eastAsia="Calibri" w:hAnsi="Times New Roman"/>
          <w:color w:val="auto"/>
          <w:sz w:val="28"/>
          <w:lang w:val="de-DE"/>
        </w:rPr>
        <w:t>A. </w:t>
      </w:r>
      <w:r w:rsidRPr="003F60E8">
        <w:rPr>
          <w:rFonts w:ascii="Times New Roman" w:hAnsi="Times New Roman"/>
          <w:color w:val="auto"/>
          <w:sz w:val="28"/>
          <w:lang w:val="de-DE"/>
        </w:rPr>
        <w:t>K. Kariņš</w:t>
      </w:r>
    </w:p>
    <w:p w14:paraId="34ADAE59" w14:textId="77777777" w:rsidR="00AE0A24" w:rsidRPr="003F60E8" w:rsidRDefault="00AE0A24" w:rsidP="006B101E">
      <w:pPr>
        <w:pStyle w:val="Body"/>
        <w:spacing w:after="0" w:line="240" w:lineRule="auto"/>
        <w:ind w:firstLine="709"/>
        <w:jc w:val="both"/>
        <w:rPr>
          <w:rFonts w:ascii="Times New Roman" w:hAnsi="Times New Roman"/>
          <w:color w:val="auto"/>
          <w:sz w:val="28"/>
          <w:lang w:val="de-DE"/>
        </w:rPr>
      </w:pPr>
    </w:p>
    <w:p w14:paraId="060660A1" w14:textId="77777777" w:rsidR="00AE0A24" w:rsidRPr="003F60E8" w:rsidRDefault="00AE0A24" w:rsidP="006B101E">
      <w:pPr>
        <w:pStyle w:val="Body"/>
        <w:spacing w:after="0" w:line="240" w:lineRule="auto"/>
        <w:ind w:firstLine="709"/>
        <w:jc w:val="both"/>
        <w:rPr>
          <w:rFonts w:ascii="Times New Roman" w:hAnsi="Times New Roman"/>
          <w:color w:val="auto"/>
          <w:sz w:val="28"/>
          <w:lang w:val="de-DE"/>
        </w:rPr>
      </w:pPr>
    </w:p>
    <w:p w14:paraId="3DB5C13A" w14:textId="77777777" w:rsidR="00AE0A24" w:rsidRPr="003F60E8" w:rsidRDefault="00AE0A24" w:rsidP="006B101E">
      <w:pPr>
        <w:pStyle w:val="Body"/>
        <w:spacing w:after="0" w:line="240" w:lineRule="auto"/>
        <w:ind w:firstLine="709"/>
        <w:jc w:val="both"/>
        <w:rPr>
          <w:rFonts w:ascii="Times New Roman" w:hAnsi="Times New Roman"/>
          <w:color w:val="auto"/>
          <w:sz w:val="28"/>
          <w:lang w:val="de-DE"/>
        </w:rPr>
      </w:pPr>
    </w:p>
    <w:p w14:paraId="00C2A584" w14:textId="77777777" w:rsidR="00AE0A24" w:rsidRPr="003F60E8" w:rsidRDefault="00AE0A24" w:rsidP="004D2B35">
      <w:pPr>
        <w:pStyle w:val="Body"/>
        <w:tabs>
          <w:tab w:val="left" w:pos="6237"/>
        </w:tabs>
        <w:spacing w:after="0" w:line="240" w:lineRule="auto"/>
        <w:ind w:firstLine="709"/>
        <w:jc w:val="both"/>
        <w:rPr>
          <w:rFonts w:ascii="Times New Roman" w:hAnsi="Times New Roman"/>
          <w:color w:val="auto"/>
          <w:sz w:val="28"/>
          <w:lang w:val="de-DE"/>
        </w:rPr>
      </w:pPr>
      <w:r w:rsidRPr="003F60E8">
        <w:rPr>
          <w:rFonts w:ascii="Times New Roman" w:hAnsi="Times New Roman"/>
          <w:color w:val="auto"/>
          <w:sz w:val="28"/>
          <w:lang w:val="de-DE"/>
        </w:rPr>
        <w:t>Ekonomikas ministrs</w:t>
      </w:r>
      <w:r w:rsidRPr="003F60E8">
        <w:rPr>
          <w:rFonts w:ascii="Times New Roman" w:hAnsi="Times New Roman"/>
          <w:color w:val="auto"/>
          <w:sz w:val="28"/>
          <w:lang w:val="de-DE"/>
        </w:rPr>
        <w:tab/>
        <w:t>R. Nemiro</w:t>
      </w:r>
    </w:p>
    <w:p w14:paraId="402D14B0" w14:textId="77777777" w:rsidR="00A47C69" w:rsidRPr="003F60E8" w:rsidRDefault="00A47C69" w:rsidP="002C0010">
      <w:pPr>
        <w:tabs>
          <w:tab w:val="left" w:pos="6379"/>
        </w:tabs>
        <w:spacing w:after="0" w:line="240" w:lineRule="auto"/>
        <w:contextualSpacing/>
        <w:rPr>
          <w:rFonts w:ascii="Times New Roman" w:eastAsia="Times New Roman" w:hAnsi="Times New Roman" w:cs="Times New Roman"/>
          <w:sz w:val="28"/>
          <w:szCs w:val="28"/>
        </w:rPr>
      </w:pPr>
    </w:p>
    <w:sectPr w:rsidR="00A47C69" w:rsidRPr="003F60E8" w:rsidSect="00C91CA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6F742" w14:textId="77777777" w:rsidR="000A186F" w:rsidRDefault="000A186F">
      <w:pPr>
        <w:spacing w:after="0" w:line="240" w:lineRule="auto"/>
      </w:pPr>
      <w:r>
        <w:separator/>
      </w:r>
    </w:p>
  </w:endnote>
  <w:endnote w:type="continuationSeparator" w:id="0">
    <w:p w14:paraId="33FB6084" w14:textId="77777777" w:rsidR="000A186F" w:rsidRDefault="000A186F">
      <w:pPr>
        <w:spacing w:after="0" w:line="240" w:lineRule="auto"/>
      </w:pPr>
      <w:r>
        <w:continuationSeparator/>
      </w:r>
    </w:p>
  </w:endnote>
  <w:endnote w:type="continuationNotice" w:id="1">
    <w:p w14:paraId="51EE1427" w14:textId="77777777" w:rsidR="000A186F" w:rsidRDefault="000A1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F706" w14:textId="77902491" w:rsidR="00AE0A24" w:rsidRPr="00AE0A24" w:rsidRDefault="00AE0A24">
    <w:pPr>
      <w:pStyle w:val="Footer"/>
      <w:rPr>
        <w:rFonts w:ascii="Times New Roman" w:hAnsi="Times New Roman" w:cs="Times New Roman"/>
        <w:sz w:val="16"/>
        <w:szCs w:val="16"/>
      </w:rPr>
    </w:pPr>
    <w:r w:rsidRPr="00AE0A24">
      <w:rPr>
        <w:rFonts w:ascii="Times New Roman" w:hAnsi="Times New Roman" w:cs="Times New Roman"/>
        <w:sz w:val="16"/>
        <w:szCs w:val="16"/>
      </w:rPr>
      <w:t>N0501_9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69DF" w14:textId="2CD771B9" w:rsidR="00AE0A24" w:rsidRPr="00AE0A24" w:rsidRDefault="00AE0A24">
    <w:pPr>
      <w:pStyle w:val="Footer"/>
      <w:rPr>
        <w:rFonts w:ascii="Times New Roman" w:hAnsi="Times New Roman" w:cs="Times New Roman"/>
        <w:sz w:val="16"/>
        <w:szCs w:val="16"/>
      </w:rPr>
    </w:pPr>
    <w:r w:rsidRPr="00AE0A24">
      <w:rPr>
        <w:rFonts w:ascii="Times New Roman" w:hAnsi="Times New Roman" w:cs="Times New Roman"/>
        <w:sz w:val="16"/>
        <w:szCs w:val="16"/>
      </w:rPr>
      <w:t>N0501_9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D9A68" w14:textId="77777777" w:rsidR="000A186F" w:rsidRDefault="000A186F">
      <w:pPr>
        <w:spacing w:after="0" w:line="240" w:lineRule="auto"/>
      </w:pPr>
      <w:r>
        <w:separator/>
      </w:r>
    </w:p>
  </w:footnote>
  <w:footnote w:type="continuationSeparator" w:id="0">
    <w:p w14:paraId="644C9182" w14:textId="77777777" w:rsidR="000A186F" w:rsidRDefault="000A186F">
      <w:pPr>
        <w:spacing w:after="0" w:line="240" w:lineRule="auto"/>
      </w:pPr>
      <w:r>
        <w:continuationSeparator/>
      </w:r>
    </w:p>
  </w:footnote>
  <w:footnote w:type="continuationNotice" w:id="1">
    <w:p w14:paraId="391B51E6" w14:textId="77777777" w:rsidR="000A186F" w:rsidRDefault="000A18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4896A762" w:rsidR="0032379C" w:rsidRPr="00FD50A5" w:rsidRDefault="00C56C3F" w:rsidP="00C91CA9">
    <w:pPr>
      <w:pStyle w:val="Header"/>
      <w:jc w:val="center"/>
      <w:rPr>
        <w:rFonts w:ascii="Times New Roman" w:hAnsi="Times New Roman"/>
        <w:sz w:val="24"/>
        <w:szCs w:val="24"/>
      </w:rPr>
    </w:pPr>
    <w:r w:rsidRPr="00FD50A5">
      <w:rPr>
        <w:rFonts w:ascii="Times New Roman" w:hAnsi="Times New Roman"/>
        <w:sz w:val="24"/>
        <w:szCs w:val="24"/>
      </w:rPr>
      <w:fldChar w:fldCharType="begin"/>
    </w:r>
    <w:r w:rsidRPr="00FD50A5">
      <w:rPr>
        <w:rFonts w:ascii="Times New Roman" w:hAnsi="Times New Roman"/>
        <w:sz w:val="24"/>
        <w:szCs w:val="24"/>
      </w:rPr>
      <w:instrText xml:space="preserve"> PAGE   \* MERGEFORMAT </w:instrText>
    </w:r>
    <w:r w:rsidRPr="00FD50A5">
      <w:rPr>
        <w:rFonts w:ascii="Times New Roman" w:hAnsi="Times New Roman"/>
        <w:sz w:val="24"/>
        <w:szCs w:val="24"/>
      </w:rPr>
      <w:fldChar w:fldCharType="separate"/>
    </w:r>
    <w:r w:rsidR="008A32AB">
      <w:rPr>
        <w:rFonts w:ascii="Times New Roman" w:hAnsi="Times New Roman"/>
        <w:noProof/>
        <w:sz w:val="24"/>
        <w:szCs w:val="24"/>
      </w:rPr>
      <w:t>2</w:t>
    </w:r>
    <w:r w:rsidRPr="00FD50A5">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D1E1" w14:textId="77777777" w:rsidR="00AE0A24" w:rsidRPr="003629D6" w:rsidRDefault="00AE0A24">
    <w:pPr>
      <w:pStyle w:val="Header"/>
      <w:rPr>
        <w:rFonts w:ascii="Times New Roman" w:hAnsi="Times New Roman" w:cs="Times New Roman"/>
        <w:sz w:val="24"/>
        <w:szCs w:val="24"/>
      </w:rPr>
    </w:pPr>
  </w:p>
  <w:p w14:paraId="46EC8326" w14:textId="7FE13091" w:rsidR="00AE0A24" w:rsidRDefault="00AE0A24">
    <w:pPr>
      <w:pStyle w:val="Header"/>
    </w:pPr>
    <w:r>
      <w:rPr>
        <w:noProof/>
      </w:rPr>
      <w:drawing>
        <wp:inline distT="0" distB="0" distL="0" distR="0" wp14:anchorId="6569B905" wp14:editId="23EBE89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3"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231A5"/>
    <w:rsid w:val="00036EA7"/>
    <w:rsid w:val="000432BC"/>
    <w:rsid w:val="0005543E"/>
    <w:rsid w:val="000564A2"/>
    <w:rsid w:val="00061648"/>
    <w:rsid w:val="0006638F"/>
    <w:rsid w:val="0006643B"/>
    <w:rsid w:val="000754E8"/>
    <w:rsid w:val="00087BB6"/>
    <w:rsid w:val="00090B92"/>
    <w:rsid w:val="00093360"/>
    <w:rsid w:val="000A186F"/>
    <w:rsid w:val="000A511C"/>
    <w:rsid w:val="000A599A"/>
    <w:rsid w:val="000B2B56"/>
    <w:rsid w:val="000B509C"/>
    <w:rsid w:val="000C055C"/>
    <w:rsid w:val="000C1DBC"/>
    <w:rsid w:val="000C4D5E"/>
    <w:rsid w:val="000E0144"/>
    <w:rsid w:val="000F2D35"/>
    <w:rsid w:val="000F6A71"/>
    <w:rsid w:val="000F72AE"/>
    <w:rsid w:val="00106559"/>
    <w:rsid w:val="00117D82"/>
    <w:rsid w:val="00125CA2"/>
    <w:rsid w:val="00130564"/>
    <w:rsid w:val="00137A16"/>
    <w:rsid w:val="001420BD"/>
    <w:rsid w:val="00163F7D"/>
    <w:rsid w:val="00167378"/>
    <w:rsid w:val="00175927"/>
    <w:rsid w:val="0018780A"/>
    <w:rsid w:val="001937F6"/>
    <w:rsid w:val="00194301"/>
    <w:rsid w:val="00195ACB"/>
    <w:rsid w:val="001A14F3"/>
    <w:rsid w:val="001A7191"/>
    <w:rsid w:val="001A7466"/>
    <w:rsid w:val="001C1593"/>
    <w:rsid w:val="001C3208"/>
    <w:rsid w:val="001E1A05"/>
    <w:rsid w:val="001E6DD1"/>
    <w:rsid w:val="001E7DC1"/>
    <w:rsid w:val="001F36DA"/>
    <w:rsid w:val="00220A0E"/>
    <w:rsid w:val="0022273E"/>
    <w:rsid w:val="002263D4"/>
    <w:rsid w:val="0026174A"/>
    <w:rsid w:val="00271E45"/>
    <w:rsid w:val="00284B3C"/>
    <w:rsid w:val="00286CFD"/>
    <w:rsid w:val="00286DF3"/>
    <w:rsid w:val="002920E6"/>
    <w:rsid w:val="002C0010"/>
    <w:rsid w:val="002C6F21"/>
    <w:rsid w:val="002D32F8"/>
    <w:rsid w:val="002D65C2"/>
    <w:rsid w:val="002F0BB9"/>
    <w:rsid w:val="0030327D"/>
    <w:rsid w:val="003040F1"/>
    <w:rsid w:val="003074E3"/>
    <w:rsid w:val="0032371A"/>
    <w:rsid w:val="00325B14"/>
    <w:rsid w:val="00331607"/>
    <w:rsid w:val="00336E40"/>
    <w:rsid w:val="003374D2"/>
    <w:rsid w:val="00346167"/>
    <w:rsid w:val="00353349"/>
    <w:rsid w:val="00355DA1"/>
    <w:rsid w:val="00365874"/>
    <w:rsid w:val="00373F89"/>
    <w:rsid w:val="003851AD"/>
    <w:rsid w:val="00391056"/>
    <w:rsid w:val="003910D5"/>
    <w:rsid w:val="003A5DB4"/>
    <w:rsid w:val="003B043E"/>
    <w:rsid w:val="003E11B3"/>
    <w:rsid w:val="003F60E8"/>
    <w:rsid w:val="0040065B"/>
    <w:rsid w:val="004009DE"/>
    <w:rsid w:val="00403524"/>
    <w:rsid w:val="00413919"/>
    <w:rsid w:val="00416D8F"/>
    <w:rsid w:val="00451351"/>
    <w:rsid w:val="00467B6F"/>
    <w:rsid w:val="00476F89"/>
    <w:rsid w:val="004806A0"/>
    <w:rsid w:val="00484388"/>
    <w:rsid w:val="00484E3B"/>
    <w:rsid w:val="0049734E"/>
    <w:rsid w:val="004B1F9D"/>
    <w:rsid w:val="004C3F39"/>
    <w:rsid w:val="005020A8"/>
    <w:rsid w:val="005118FD"/>
    <w:rsid w:val="005136EC"/>
    <w:rsid w:val="00514E82"/>
    <w:rsid w:val="00524BBB"/>
    <w:rsid w:val="00527A51"/>
    <w:rsid w:val="005306F4"/>
    <w:rsid w:val="00543338"/>
    <w:rsid w:val="00554D2F"/>
    <w:rsid w:val="00584564"/>
    <w:rsid w:val="005956CF"/>
    <w:rsid w:val="005A74DD"/>
    <w:rsid w:val="005C1028"/>
    <w:rsid w:val="005C6636"/>
    <w:rsid w:val="005F7CE7"/>
    <w:rsid w:val="00611259"/>
    <w:rsid w:val="00616060"/>
    <w:rsid w:val="0062072E"/>
    <w:rsid w:val="00631581"/>
    <w:rsid w:val="00645A94"/>
    <w:rsid w:val="006658CE"/>
    <w:rsid w:val="0067262F"/>
    <w:rsid w:val="0067370D"/>
    <w:rsid w:val="006856AD"/>
    <w:rsid w:val="0068796E"/>
    <w:rsid w:val="00692CB5"/>
    <w:rsid w:val="006943C8"/>
    <w:rsid w:val="00694646"/>
    <w:rsid w:val="006964A4"/>
    <w:rsid w:val="00697148"/>
    <w:rsid w:val="006A1D75"/>
    <w:rsid w:val="006A268D"/>
    <w:rsid w:val="006A7288"/>
    <w:rsid w:val="006B01CB"/>
    <w:rsid w:val="006D1898"/>
    <w:rsid w:val="006D1EA6"/>
    <w:rsid w:val="006D4DC9"/>
    <w:rsid w:val="006F02D8"/>
    <w:rsid w:val="006F32F6"/>
    <w:rsid w:val="006F51E1"/>
    <w:rsid w:val="0071320B"/>
    <w:rsid w:val="00725819"/>
    <w:rsid w:val="007316D0"/>
    <w:rsid w:val="00764A2B"/>
    <w:rsid w:val="0076648C"/>
    <w:rsid w:val="00776810"/>
    <w:rsid w:val="00782474"/>
    <w:rsid w:val="007863F8"/>
    <w:rsid w:val="007A0C19"/>
    <w:rsid w:val="007B2CC4"/>
    <w:rsid w:val="007B3802"/>
    <w:rsid w:val="007C6039"/>
    <w:rsid w:val="007F5655"/>
    <w:rsid w:val="007F6142"/>
    <w:rsid w:val="008013E6"/>
    <w:rsid w:val="00810F76"/>
    <w:rsid w:val="00811096"/>
    <w:rsid w:val="00826729"/>
    <w:rsid w:val="0083221E"/>
    <w:rsid w:val="0083768D"/>
    <w:rsid w:val="008445E1"/>
    <w:rsid w:val="00873FEB"/>
    <w:rsid w:val="00890916"/>
    <w:rsid w:val="00896CCA"/>
    <w:rsid w:val="008A32AB"/>
    <w:rsid w:val="008B085A"/>
    <w:rsid w:val="008B1EC5"/>
    <w:rsid w:val="008B26E6"/>
    <w:rsid w:val="008B3C94"/>
    <w:rsid w:val="008B437D"/>
    <w:rsid w:val="008B6EEF"/>
    <w:rsid w:val="008C0AD3"/>
    <w:rsid w:val="008C1AD5"/>
    <w:rsid w:val="008E0BCA"/>
    <w:rsid w:val="00902DCE"/>
    <w:rsid w:val="00923889"/>
    <w:rsid w:val="00950F46"/>
    <w:rsid w:val="009823CC"/>
    <w:rsid w:val="00991987"/>
    <w:rsid w:val="00991F29"/>
    <w:rsid w:val="009B3738"/>
    <w:rsid w:val="009B72D7"/>
    <w:rsid w:val="009B7448"/>
    <w:rsid w:val="009C6C5F"/>
    <w:rsid w:val="009C6FA9"/>
    <w:rsid w:val="009D418F"/>
    <w:rsid w:val="009D4C10"/>
    <w:rsid w:val="009E6B5B"/>
    <w:rsid w:val="00A11F81"/>
    <w:rsid w:val="00A14EE7"/>
    <w:rsid w:val="00A22CA7"/>
    <w:rsid w:val="00A235A0"/>
    <w:rsid w:val="00A255C0"/>
    <w:rsid w:val="00A402F8"/>
    <w:rsid w:val="00A47C69"/>
    <w:rsid w:val="00A56064"/>
    <w:rsid w:val="00A6055B"/>
    <w:rsid w:val="00A70080"/>
    <w:rsid w:val="00A70239"/>
    <w:rsid w:val="00A844E8"/>
    <w:rsid w:val="00A9393D"/>
    <w:rsid w:val="00AB67E3"/>
    <w:rsid w:val="00AB6BFB"/>
    <w:rsid w:val="00AC04EF"/>
    <w:rsid w:val="00AC6391"/>
    <w:rsid w:val="00AC72C2"/>
    <w:rsid w:val="00AE0467"/>
    <w:rsid w:val="00AE0A24"/>
    <w:rsid w:val="00AE5370"/>
    <w:rsid w:val="00AF248B"/>
    <w:rsid w:val="00B053CC"/>
    <w:rsid w:val="00B109E8"/>
    <w:rsid w:val="00B2405F"/>
    <w:rsid w:val="00B3212D"/>
    <w:rsid w:val="00B33204"/>
    <w:rsid w:val="00B615F2"/>
    <w:rsid w:val="00B624D0"/>
    <w:rsid w:val="00B720AC"/>
    <w:rsid w:val="00B76A0D"/>
    <w:rsid w:val="00B81C67"/>
    <w:rsid w:val="00B851BE"/>
    <w:rsid w:val="00B91028"/>
    <w:rsid w:val="00B9127D"/>
    <w:rsid w:val="00B97499"/>
    <w:rsid w:val="00BA25F3"/>
    <w:rsid w:val="00BA5F95"/>
    <w:rsid w:val="00BB5C3E"/>
    <w:rsid w:val="00BB5FBB"/>
    <w:rsid w:val="00BC1E25"/>
    <w:rsid w:val="00BC68FE"/>
    <w:rsid w:val="00BF2787"/>
    <w:rsid w:val="00BF34B2"/>
    <w:rsid w:val="00BF430A"/>
    <w:rsid w:val="00C070BA"/>
    <w:rsid w:val="00C07249"/>
    <w:rsid w:val="00C107E3"/>
    <w:rsid w:val="00C141B0"/>
    <w:rsid w:val="00C17279"/>
    <w:rsid w:val="00C2108A"/>
    <w:rsid w:val="00C27F28"/>
    <w:rsid w:val="00C33DB7"/>
    <w:rsid w:val="00C3688A"/>
    <w:rsid w:val="00C479C3"/>
    <w:rsid w:val="00C50A79"/>
    <w:rsid w:val="00C56C3F"/>
    <w:rsid w:val="00C67B92"/>
    <w:rsid w:val="00C71570"/>
    <w:rsid w:val="00C83537"/>
    <w:rsid w:val="00C93DD1"/>
    <w:rsid w:val="00CA76F9"/>
    <w:rsid w:val="00CC36C7"/>
    <w:rsid w:val="00CD35BF"/>
    <w:rsid w:val="00CD6CF9"/>
    <w:rsid w:val="00CF028B"/>
    <w:rsid w:val="00CF2843"/>
    <w:rsid w:val="00D04926"/>
    <w:rsid w:val="00D2154A"/>
    <w:rsid w:val="00D36171"/>
    <w:rsid w:val="00D527EB"/>
    <w:rsid w:val="00D570E2"/>
    <w:rsid w:val="00D57653"/>
    <w:rsid w:val="00D57F71"/>
    <w:rsid w:val="00D71389"/>
    <w:rsid w:val="00D71D8F"/>
    <w:rsid w:val="00D77090"/>
    <w:rsid w:val="00D907A1"/>
    <w:rsid w:val="00D9133F"/>
    <w:rsid w:val="00D976B6"/>
    <w:rsid w:val="00DA11B8"/>
    <w:rsid w:val="00DA225F"/>
    <w:rsid w:val="00DA3B9E"/>
    <w:rsid w:val="00DE54ED"/>
    <w:rsid w:val="00DF25E7"/>
    <w:rsid w:val="00DF2894"/>
    <w:rsid w:val="00E20898"/>
    <w:rsid w:val="00E21238"/>
    <w:rsid w:val="00E319BD"/>
    <w:rsid w:val="00E32D04"/>
    <w:rsid w:val="00E71285"/>
    <w:rsid w:val="00E77C9F"/>
    <w:rsid w:val="00E9039E"/>
    <w:rsid w:val="00E923A8"/>
    <w:rsid w:val="00EA3CA6"/>
    <w:rsid w:val="00EB7465"/>
    <w:rsid w:val="00EF20A3"/>
    <w:rsid w:val="00EF3E2B"/>
    <w:rsid w:val="00EF58AB"/>
    <w:rsid w:val="00EF612C"/>
    <w:rsid w:val="00F027EB"/>
    <w:rsid w:val="00F10E94"/>
    <w:rsid w:val="00F47BB3"/>
    <w:rsid w:val="00F51F31"/>
    <w:rsid w:val="00F71DA3"/>
    <w:rsid w:val="00F74DD0"/>
    <w:rsid w:val="00F91122"/>
    <w:rsid w:val="00FA45F1"/>
    <w:rsid w:val="00FC7A42"/>
    <w:rsid w:val="00FD00BA"/>
    <w:rsid w:val="00FD50A5"/>
    <w:rsid w:val="00FF1D5B"/>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1648"/>
    <w:rPr>
      <w:color w:val="605E5C"/>
      <w:shd w:val="clear" w:color="auto" w:fill="E1DFDD"/>
    </w:rPr>
  </w:style>
  <w:style w:type="paragraph" w:customStyle="1" w:styleId="Body">
    <w:name w:val="Body"/>
    <w:rsid w:val="00AE0A2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BB1F-5974-4CAD-9F12-C5502D38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1600</Words>
  <Characters>912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11.oktobra noteikumos Nr.668 “Energoefektivitātes monitoringa un piemērojamā energopārvaldības sistēmas standarta noteikumi”</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11.oktobra noteikumos Nr.668 “Energoefektivitātes monitoringa un piemērojamā energopārvaldības sistēmas standarta noteikumi”</dc:title>
  <dc:subject/>
  <dc:creator>Inguna.Ozolina@em.gov.lv</dc:creator>
  <cp:keywords/>
  <dc:description>67013175, inguna.ozolina@em.gov.lv</dc:description>
  <cp:lastModifiedBy>Leontine Babkina</cp:lastModifiedBy>
  <cp:revision>17</cp:revision>
  <cp:lastPrinted>2019-04-03T07:59:00Z</cp:lastPrinted>
  <dcterms:created xsi:type="dcterms:W3CDTF">2019-02-25T11:36:00Z</dcterms:created>
  <dcterms:modified xsi:type="dcterms:W3CDTF">2019-04-10T08:23:00Z</dcterms:modified>
</cp:coreProperties>
</file>