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B17" w:rsidRPr="00A507CF" w:rsidRDefault="00F43B2D" w:rsidP="00502B17">
      <w:pPr>
        <w:spacing w:line="276" w:lineRule="auto"/>
        <w:jc w:val="center"/>
        <w:rPr>
          <w:rFonts w:eastAsia="Calibri"/>
          <w:b/>
          <w:sz w:val="26"/>
          <w:szCs w:val="26"/>
          <w:lang w:val="lv-LV"/>
        </w:rPr>
      </w:pPr>
      <w:r w:rsidRPr="00A507CF">
        <w:rPr>
          <w:rFonts w:eastAsia="Calibri"/>
          <w:b/>
          <w:sz w:val="26"/>
          <w:szCs w:val="26"/>
          <w:lang w:val="lv-LV"/>
        </w:rPr>
        <w:t>Informatīvais ziņojums</w:t>
      </w:r>
    </w:p>
    <w:p w:rsidR="00A50217" w:rsidRPr="00A507CF" w:rsidRDefault="00F43B2D" w:rsidP="00584139">
      <w:pPr>
        <w:spacing w:after="200" w:line="276" w:lineRule="auto"/>
        <w:jc w:val="center"/>
        <w:rPr>
          <w:rFonts w:eastAsia="Calibri"/>
          <w:b/>
          <w:sz w:val="26"/>
          <w:szCs w:val="26"/>
          <w:lang w:val="lv-LV"/>
        </w:rPr>
      </w:pPr>
      <w:r w:rsidRPr="00A507CF">
        <w:rPr>
          <w:rFonts w:eastAsia="Calibri"/>
          <w:b/>
          <w:sz w:val="26"/>
          <w:szCs w:val="26"/>
          <w:lang w:val="lv-LV"/>
        </w:rPr>
        <w:t xml:space="preserve">“Par priekšlikumiem </w:t>
      </w:r>
      <w:r w:rsidR="00A73159" w:rsidRPr="00A507CF">
        <w:rPr>
          <w:rFonts w:eastAsia="Calibri"/>
          <w:b/>
          <w:sz w:val="26"/>
          <w:szCs w:val="26"/>
          <w:lang w:val="lv-LV"/>
        </w:rPr>
        <w:t xml:space="preserve">aktīvākai valsts </w:t>
      </w:r>
      <w:proofErr w:type="spellStart"/>
      <w:r w:rsidR="00A73159" w:rsidRPr="00A507CF">
        <w:rPr>
          <w:rFonts w:eastAsia="Calibri"/>
          <w:b/>
          <w:sz w:val="26"/>
          <w:szCs w:val="26"/>
          <w:lang w:val="lv-LV"/>
        </w:rPr>
        <w:t>fondēto</w:t>
      </w:r>
      <w:proofErr w:type="spellEnd"/>
      <w:r w:rsidR="00A73159" w:rsidRPr="00A507CF">
        <w:rPr>
          <w:rFonts w:eastAsia="Calibri"/>
          <w:b/>
          <w:sz w:val="26"/>
          <w:szCs w:val="26"/>
          <w:lang w:val="lv-LV"/>
        </w:rPr>
        <w:t xml:space="preserve"> pensiju shēmas līdzekļu ieguldīšanai Latvijas ekonomikas attīstībā</w:t>
      </w:r>
      <w:r w:rsidRPr="00A507CF">
        <w:rPr>
          <w:rFonts w:eastAsia="Calibri"/>
          <w:b/>
          <w:sz w:val="26"/>
          <w:szCs w:val="26"/>
          <w:lang w:val="lv-LV"/>
        </w:rPr>
        <w:t>”</w:t>
      </w:r>
    </w:p>
    <w:p w:rsidR="00584139" w:rsidRPr="00E76E46" w:rsidRDefault="00F43B2D" w:rsidP="00584139">
      <w:pPr>
        <w:spacing w:after="120" w:line="276" w:lineRule="auto"/>
        <w:jc w:val="both"/>
        <w:rPr>
          <w:rFonts w:eastAsia="Calibri"/>
          <w:sz w:val="26"/>
          <w:szCs w:val="26"/>
          <w:lang w:val="lv-LV"/>
        </w:rPr>
      </w:pPr>
      <w:r w:rsidRPr="00E76E46">
        <w:rPr>
          <w:rFonts w:eastAsia="Calibri"/>
          <w:sz w:val="26"/>
          <w:szCs w:val="26"/>
          <w:lang w:val="lv-LV"/>
        </w:rPr>
        <w:t>Izpildot Ministru prezidenta 2017. gada 12. decembra rezolūciju Nr. 90/TA-2348, Ekonomikas ministrija ir sagatavojusi</w:t>
      </w:r>
      <w:r w:rsidR="00A50217" w:rsidRPr="00E76E46">
        <w:rPr>
          <w:rFonts w:eastAsia="Calibri"/>
          <w:sz w:val="26"/>
          <w:szCs w:val="26"/>
          <w:lang w:val="lv-LV"/>
        </w:rPr>
        <w:t xml:space="preserve"> un iesnie</w:t>
      </w:r>
      <w:r w:rsidRPr="00E76E46">
        <w:rPr>
          <w:rFonts w:eastAsia="Calibri"/>
          <w:sz w:val="26"/>
          <w:szCs w:val="26"/>
          <w:lang w:val="lv-LV"/>
        </w:rPr>
        <w:t>dz</w:t>
      </w:r>
      <w:r w:rsidR="00A50217" w:rsidRPr="00E76E46">
        <w:rPr>
          <w:rFonts w:eastAsia="Calibri"/>
          <w:sz w:val="26"/>
          <w:szCs w:val="26"/>
          <w:lang w:val="lv-LV"/>
        </w:rPr>
        <w:t xml:space="preserve"> izskatīšanai Ministru kabinetā priekšlikumus aktīvākai valsts </w:t>
      </w:r>
      <w:proofErr w:type="spellStart"/>
      <w:r w:rsidR="00A50217" w:rsidRPr="00E76E46">
        <w:rPr>
          <w:rFonts w:eastAsia="Calibri"/>
          <w:sz w:val="26"/>
          <w:szCs w:val="26"/>
          <w:lang w:val="lv-LV"/>
        </w:rPr>
        <w:t>fondēto</w:t>
      </w:r>
      <w:proofErr w:type="spellEnd"/>
      <w:r w:rsidR="00A50217" w:rsidRPr="00E76E46">
        <w:rPr>
          <w:rFonts w:eastAsia="Calibri"/>
          <w:sz w:val="26"/>
          <w:szCs w:val="26"/>
          <w:lang w:val="lv-LV"/>
        </w:rPr>
        <w:t xml:space="preserve"> pensiju shēmas līdzekļu ieguldīšanai Latvijas ekonomikas attīstībā</w:t>
      </w:r>
      <w:r w:rsidRPr="00E76E46">
        <w:rPr>
          <w:rFonts w:eastAsia="Calibri"/>
          <w:sz w:val="26"/>
          <w:szCs w:val="26"/>
          <w:lang w:val="lv-LV"/>
        </w:rPr>
        <w:t xml:space="preserve">. </w:t>
      </w:r>
    </w:p>
    <w:p w:rsidR="00A50217" w:rsidRPr="00E76E46" w:rsidRDefault="00F43B2D" w:rsidP="00584139">
      <w:pPr>
        <w:spacing w:after="120" w:line="276" w:lineRule="auto"/>
        <w:jc w:val="both"/>
        <w:rPr>
          <w:rFonts w:eastAsia="Calibri"/>
          <w:sz w:val="26"/>
          <w:szCs w:val="26"/>
          <w:lang w:val="lv-LV"/>
        </w:rPr>
      </w:pPr>
      <w:r w:rsidRPr="00E76E46">
        <w:rPr>
          <w:rFonts w:eastAsia="Calibri"/>
          <w:b/>
          <w:sz w:val="26"/>
          <w:szCs w:val="26"/>
          <w:lang w:val="lv-LV"/>
        </w:rPr>
        <w:t>Informatīvā ziņojuma mērķis</w:t>
      </w:r>
      <w:r w:rsidRPr="00E76E46">
        <w:rPr>
          <w:rFonts w:eastAsia="Calibri"/>
          <w:sz w:val="26"/>
          <w:szCs w:val="26"/>
          <w:lang w:val="lv-LV"/>
        </w:rPr>
        <w:t xml:space="preserve"> ir sniegt aktuālo informāciju par riska kapitāla nozares attīstību Latvijā un nepieciešamajiem grozījumiem </w:t>
      </w:r>
      <w:r w:rsidR="001B0E8C" w:rsidRPr="00E76E46">
        <w:rPr>
          <w:rFonts w:eastAsia="Calibri"/>
          <w:sz w:val="26"/>
          <w:szCs w:val="26"/>
          <w:lang w:val="lv-LV"/>
        </w:rPr>
        <w:t xml:space="preserve">Valsts </w:t>
      </w:r>
      <w:proofErr w:type="spellStart"/>
      <w:r w:rsidR="001B0E8C" w:rsidRPr="00E76E46">
        <w:rPr>
          <w:rFonts w:eastAsia="Calibri"/>
          <w:sz w:val="26"/>
          <w:szCs w:val="26"/>
          <w:lang w:val="lv-LV"/>
        </w:rPr>
        <w:t>fondēto</w:t>
      </w:r>
      <w:proofErr w:type="spellEnd"/>
      <w:r w:rsidR="001B0E8C" w:rsidRPr="00E76E46">
        <w:rPr>
          <w:rFonts w:eastAsia="Calibri"/>
          <w:sz w:val="26"/>
          <w:szCs w:val="26"/>
          <w:lang w:val="lv-LV"/>
        </w:rPr>
        <w:t xml:space="preserve"> pensiju likumā</w:t>
      </w:r>
      <w:r w:rsidRPr="00E76E46">
        <w:rPr>
          <w:rFonts w:eastAsia="Calibri"/>
          <w:sz w:val="26"/>
          <w:szCs w:val="26"/>
          <w:lang w:val="lv-LV"/>
        </w:rPr>
        <w:t xml:space="preserve">, lai veicinātu investīcijas Latvijas ekonomikā. </w:t>
      </w:r>
    </w:p>
    <w:p w:rsidR="003C4415" w:rsidRPr="00E76E46" w:rsidRDefault="00F43B2D" w:rsidP="00584139">
      <w:pPr>
        <w:spacing w:after="120" w:line="276" w:lineRule="auto"/>
        <w:jc w:val="both"/>
        <w:rPr>
          <w:rFonts w:eastAsia="Calibri"/>
          <w:sz w:val="26"/>
          <w:szCs w:val="26"/>
          <w:lang w:val="lv-LV"/>
        </w:rPr>
      </w:pPr>
      <w:r w:rsidRPr="00E76E46">
        <w:rPr>
          <w:rFonts w:eastAsia="Calibri"/>
          <w:sz w:val="26"/>
          <w:szCs w:val="26"/>
          <w:lang w:val="lv-LV"/>
        </w:rPr>
        <w:t>Ziņojumā ietvertie priekšlikumi cita starpā veicinās Finanšu sektora attīstības plānā 2017.- 2019.gadam ietvertās prioritātes, tai skaitā palielinā</w:t>
      </w:r>
      <w:r w:rsidR="006A5A7A" w:rsidRPr="00E76E46">
        <w:rPr>
          <w:rFonts w:eastAsia="Calibri"/>
          <w:sz w:val="26"/>
          <w:szCs w:val="26"/>
          <w:lang w:val="lv-LV"/>
        </w:rPr>
        <w:t>s</w:t>
      </w:r>
      <w:r w:rsidRPr="00E76E46">
        <w:rPr>
          <w:rFonts w:eastAsia="Calibri"/>
          <w:sz w:val="26"/>
          <w:szCs w:val="26"/>
          <w:lang w:val="lv-LV"/>
        </w:rPr>
        <w:t xml:space="preserve"> institucionālo un privāto investoru aktivitāti vietējā tirgū. </w:t>
      </w:r>
    </w:p>
    <w:p w:rsidR="003E424A" w:rsidRPr="00E76E46" w:rsidRDefault="00F43B2D" w:rsidP="00584139">
      <w:pPr>
        <w:spacing w:after="120" w:line="276" w:lineRule="auto"/>
        <w:jc w:val="both"/>
        <w:rPr>
          <w:rFonts w:eastAsia="Calibri"/>
          <w:b/>
          <w:sz w:val="26"/>
          <w:szCs w:val="26"/>
          <w:lang w:val="lv-LV"/>
        </w:rPr>
      </w:pPr>
      <w:r w:rsidRPr="00E76E46">
        <w:rPr>
          <w:rFonts w:eastAsia="Calibri"/>
          <w:b/>
          <w:sz w:val="26"/>
          <w:szCs w:val="26"/>
          <w:lang w:val="lv-LV"/>
        </w:rPr>
        <w:t>Riska kapitāla tirgus attīstība Latvijā</w:t>
      </w:r>
    </w:p>
    <w:p w:rsidR="0038562E" w:rsidRPr="00E76E46" w:rsidRDefault="00F43B2D" w:rsidP="0038562E">
      <w:pPr>
        <w:spacing w:after="240" w:line="276" w:lineRule="auto"/>
        <w:jc w:val="both"/>
        <w:rPr>
          <w:rFonts w:eastAsia="Verdana"/>
          <w:sz w:val="26"/>
          <w:szCs w:val="26"/>
          <w:highlight w:val="yellow"/>
          <w:lang w:val="lv-LV"/>
        </w:rPr>
      </w:pPr>
      <w:r w:rsidRPr="00E76E46">
        <w:rPr>
          <w:rFonts w:eastAsia="Calibri"/>
          <w:sz w:val="26"/>
          <w:szCs w:val="26"/>
          <w:lang w:val="lv-LV"/>
        </w:rPr>
        <w:t xml:space="preserve">Riska kapitāla fondi ir būtiski Latvijas tautsaimniecības attīstībai, un tie tradicionāli investē uz zināšanām bāzētos uzņēmumos ar augstu pievienoto vērtību un straujām izaugsmes iespējām. </w:t>
      </w:r>
      <w:r w:rsidRPr="00E76E46">
        <w:rPr>
          <w:rFonts w:eastAsia="Verdana"/>
          <w:sz w:val="26"/>
          <w:szCs w:val="26"/>
          <w:lang w:val="lv-LV"/>
        </w:rPr>
        <w:t>Riska kapitāla nozare Latvijā attīstās lēni, un salīdzinājumā ar citām Baltijas valstīm un Eiropas vidējo rādītāju, Latvijā riska kapitāla ieguldījumi % no iekšzemes kopprodukta (turpmāk – IKP) ir zemāki, un tie sastāda vien 0,103 % no IKP, savukārt Igaunijā šis rādītājs ir 0,361 %,  Lietuvā – 0,404 % un Eiropā vidēji – 0,329 %</w:t>
      </w:r>
      <w:r w:rsidR="007A735D" w:rsidRPr="00E76E46">
        <w:rPr>
          <w:rFonts w:eastAsia="Verdana"/>
          <w:sz w:val="26"/>
          <w:szCs w:val="26"/>
          <w:lang w:val="lv-LV"/>
        </w:rPr>
        <w:t xml:space="preserve"> (skatīt </w:t>
      </w:r>
      <w:r w:rsidR="004F57D3" w:rsidRPr="00E76E46">
        <w:rPr>
          <w:rFonts w:eastAsia="Verdana"/>
          <w:sz w:val="26"/>
          <w:szCs w:val="26"/>
          <w:lang w:val="lv-LV"/>
        </w:rPr>
        <w:t>1.attēlu</w:t>
      </w:r>
      <w:r w:rsidRPr="00E76E46">
        <w:rPr>
          <w:rFonts w:eastAsia="Verdana"/>
          <w:sz w:val="26"/>
          <w:szCs w:val="26"/>
          <w:lang w:val="lv-LV"/>
        </w:rPr>
        <w:t>).</w:t>
      </w:r>
      <w:r w:rsidR="003F2ECA" w:rsidRPr="00E76E46">
        <w:rPr>
          <w:rFonts w:eastAsia="Verdana"/>
          <w:sz w:val="26"/>
          <w:szCs w:val="26"/>
          <w:lang w:val="lv-LV"/>
        </w:rPr>
        <w:t xml:space="preserve"> 2016.-2017.gadā Latvijas pensiju fondu ieguldījumi alternatīvajos investīciju fondus (t.sk. arī nekustamā īpašuma fondos) bija 2,1% n</w:t>
      </w:r>
      <w:r w:rsidR="003E424A" w:rsidRPr="00E76E46">
        <w:rPr>
          <w:rFonts w:eastAsia="Verdana"/>
          <w:sz w:val="26"/>
          <w:szCs w:val="26"/>
          <w:lang w:val="lv-LV"/>
        </w:rPr>
        <w:t>o pensiju plānu kopējā portfeļa</w:t>
      </w:r>
      <w:r w:rsidR="003F2ECA" w:rsidRPr="00E76E46">
        <w:rPr>
          <w:rFonts w:eastAsia="Verdana"/>
          <w:sz w:val="26"/>
          <w:szCs w:val="26"/>
          <w:lang w:val="lv-LV"/>
        </w:rPr>
        <w:t>.</w:t>
      </w:r>
      <w:r w:rsidR="000B012D" w:rsidRPr="00E76E46">
        <w:rPr>
          <w:rFonts w:eastAsia="Verdana"/>
          <w:sz w:val="26"/>
          <w:szCs w:val="26"/>
          <w:lang w:val="lv-LV"/>
        </w:rPr>
        <w:t xml:space="preserve"> Alternatīvo investīciju fondu veidā tiek dibināti gan fondi, kas iegulda riska kapitālā, gan nekustamajā īpašumā. Statistika, kura atspoguļotu pensiju fondu ieguldījumus tikai riska kapitāla fondos, nav pieejama.</w:t>
      </w:r>
    </w:p>
    <w:p w:rsidR="0038562E" w:rsidRPr="00E76E46" w:rsidRDefault="00F43B2D" w:rsidP="00246F2D">
      <w:pPr>
        <w:spacing w:after="120" w:line="276" w:lineRule="auto"/>
        <w:jc w:val="both"/>
        <w:rPr>
          <w:rFonts w:eastAsia="Calibri"/>
          <w:sz w:val="26"/>
          <w:szCs w:val="26"/>
          <w:lang w:val="lv-LV"/>
        </w:rPr>
      </w:pPr>
      <w:r w:rsidRPr="00E76E46">
        <w:rPr>
          <w:rFonts w:eastAsia="Calibri"/>
          <w:sz w:val="26"/>
          <w:szCs w:val="26"/>
          <w:lang w:val="lv-LV"/>
        </w:rPr>
        <w:t xml:space="preserve">Lai nodrošinātu riska kapitāla nozares konkurētspēju Baltijā un tuvināšanos Eiropas vidējiem rādītājiem investīciju apmērā % no IKP, kā arī uzņēmējdarbības attīstību Latvijā, nodrošinot komercbanku finansējumam alternatīvus finanšu resursus, valsts intervence ir īpaši nozīmīga riska kapitāla nozares attīstībai Latvijā. </w:t>
      </w:r>
      <w:bookmarkStart w:id="0" w:name="_GoBack"/>
      <w:bookmarkEnd w:id="0"/>
    </w:p>
    <w:p w:rsidR="003E424A" w:rsidRPr="00E76E46" w:rsidRDefault="00F43B2D" w:rsidP="003E424A">
      <w:pPr>
        <w:spacing w:after="120" w:line="276" w:lineRule="auto"/>
        <w:jc w:val="both"/>
        <w:rPr>
          <w:rFonts w:eastAsia="Calibri"/>
          <w:sz w:val="26"/>
          <w:szCs w:val="26"/>
          <w:lang w:val="lv-LV"/>
        </w:rPr>
      </w:pPr>
      <w:r w:rsidRPr="00E76E46">
        <w:rPr>
          <w:rFonts w:eastAsia="Calibri"/>
          <w:sz w:val="26"/>
          <w:szCs w:val="26"/>
          <w:lang w:val="lv-LV"/>
        </w:rPr>
        <w:t xml:space="preserve">Ar mērķi sekmēt finanšu pieejamību uzņēmējdarbības attīstībai Ekonomikas ministrija sadarbībā ar akciju sabiedrību “Attīstības finanšu institūcija </w:t>
      </w:r>
      <w:proofErr w:type="spellStart"/>
      <w:r w:rsidRPr="00E76E46">
        <w:rPr>
          <w:rFonts w:eastAsia="Calibri"/>
          <w:sz w:val="26"/>
          <w:szCs w:val="26"/>
          <w:lang w:val="lv-LV"/>
        </w:rPr>
        <w:t>Altum</w:t>
      </w:r>
      <w:proofErr w:type="spellEnd"/>
      <w:r w:rsidRPr="00E76E46">
        <w:rPr>
          <w:rFonts w:eastAsia="Calibri"/>
          <w:sz w:val="26"/>
          <w:szCs w:val="26"/>
          <w:lang w:val="lv-LV"/>
        </w:rPr>
        <w:t>” 2007.-2013.gada plānošanas periodā ar Eiropas Reģionālās attīstības fonda</w:t>
      </w:r>
      <w:r w:rsidR="00B772A7" w:rsidRPr="00E76E46">
        <w:rPr>
          <w:rFonts w:eastAsia="Calibri"/>
          <w:sz w:val="26"/>
          <w:szCs w:val="26"/>
          <w:lang w:val="lv-LV"/>
        </w:rPr>
        <w:t xml:space="preserve"> (turpmāk – ERAF)</w:t>
      </w:r>
      <w:r w:rsidRPr="00E76E46">
        <w:rPr>
          <w:rFonts w:eastAsia="Calibri"/>
          <w:sz w:val="26"/>
          <w:szCs w:val="26"/>
          <w:lang w:val="lv-LV"/>
        </w:rPr>
        <w:t xml:space="preserve"> līdzfinansējuma atbalstu īstenoja vairākus riska kapitāla instrumentus  - sagatavošanas kapitāla fondus, sākuma kapitāla fondus un izaugsmes kapitāla fondus -, nodrošinot finansējuma pieejamību agrīnās un vēlīnās attīstības stadijas uzņēmumu attīstībai. Tā arī 2014.-2020.gada plānošanas periodā, novirzot 75 miljonus </w:t>
      </w:r>
      <w:proofErr w:type="spellStart"/>
      <w:r w:rsidRPr="00E76E46">
        <w:rPr>
          <w:rFonts w:eastAsia="Calibri"/>
          <w:i/>
          <w:sz w:val="26"/>
          <w:szCs w:val="26"/>
          <w:lang w:val="lv-LV"/>
        </w:rPr>
        <w:t>euro</w:t>
      </w:r>
      <w:proofErr w:type="spellEnd"/>
      <w:r w:rsidRPr="00E76E46">
        <w:rPr>
          <w:rFonts w:eastAsia="Calibri"/>
          <w:sz w:val="26"/>
          <w:szCs w:val="26"/>
          <w:lang w:val="lv-LV"/>
        </w:rPr>
        <w:t xml:space="preserve"> </w:t>
      </w:r>
      <w:r w:rsidR="00B772A7" w:rsidRPr="00E76E46">
        <w:rPr>
          <w:rFonts w:eastAsia="Calibri"/>
          <w:sz w:val="26"/>
          <w:szCs w:val="26"/>
          <w:lang w:val="lv-LV"/>
        </w:rPr>
        <w:t>ERAF</w:t>
      </w:r>
      <w:r w:rsidRPr="00E76E46">
        <w:rPr>
          <w:rFonts w:eastAsia="Calibri"/>
          <w:sz w:val="26"/>
          <w:szCs w:val="26"/>
          <w:lang w:val="lv-LV"/>
        </w:rPr>
        <w:t xml:space="preserve"> finansējuma, lai veicinātu riska kapitāla nozares un uzņēmējdarbības attīstību Latvijā, Ekonomikas ministrija sadarbībā ar akciju sabiedrību “Attīstības finanšu institūcija </w:t>
      </w:r>
      <w:proofErr w:type="spellStart"/>
      <w:r w:rsidRPr="00E76E46">
        <w:rPr>
          <w:rFonts w:eastAsia="Calibri"/>
          <w:sz w:val="26"/>
          <w:szCs w:val="26"/>
          <w:lang w:val="lv-LV"/>
        </w:rPr>
        <w:t>Altum</w:t>
      </w:r>
      <w:proofErr w:type="spellEnd"/>
      <w:r w:rsidRPr="00E76E46">
        <w:rPr>
          <w:rFonts w:eastAsia="Calibri"/>
          <w:sz w:val="26"/>
          <w:szCs w:val="26"/>
          <w:lang w:val="lv-LV"/>
        </w:rPr>
        <w:t xml:space="preserve">” ir </w:t>
      </w:r>
      <w:r w:rsidRPr="00E76E46">
        <w:rPr>
          <w:rFonts w:eastAsia="Calibri"/>
          <w:sz w:val="26"/>
          <w:szCs w:val="26"/>
          <w:lang w:val="lv-LV"/>
        </w:rPr>
        <w:lastRenderedPageBreak/>
        <w:t>izstrādājusi un 2018.gadā ieviesīs akcelerācijas fondus</w:t>
      </w:r>
      <w:r>
        <w:rPr>
          <w:rStyle w:val="FootnoteReference"/>
          <w:rFonts w:eastAsia="Calibri"/>
          <w:sz w:val="26"/>
          <w:szCs w:val="26"/>
          <w:lang w:val="lv-LV"/>
        </w:rPr>
        <w:footnoteReference w:id="1"/>
      </w:r>
      <w:r w:rsidRPr="00E76E46">
        <w:rPr>
          <w:rFonts w:eastAsia="Calibri"/>
          <w:sz w:val="26"/>
          <w:szCs w:val="26"/>
          <w:lang w:val="lv-LV"/>
        </w:rPr>
        <w:t>, sēklas kapitāla, sākuma kapitāla un izaugsmes kapitāla fondus</w:t>
      </w:r>
      <w:r>
        <w:rPr>
          <w:rStyle w:val="FootnoteReference"/>
          <w:rFonts w:eastAsia="Calibri"/>
          <w:sz w:val="26"/>
          <w:szCs w:val="26"/>
          <w:lang w:val="lv-LV"/>
        </w:rPr>
        <w:footnoteReference w:id="2"/>
      </w:r>
      <w:r w:rsidR="00156DE3" w:rsidRPr="00E76E46">
        <w:rPr>
          <w:rFonts w:eastAsia="Calibri"/>
          <w:sz w:val="26"/>
          <w:szCs w:val="26"/>
          <w:lang w:val="lv-LV"/>
        </w:rPr>
        <w:t>- kopā 7.  Uz ziņojuma sagatavošanas brīdi visu fondu pārvaldnieku atlases process ir pabeigts.</w:t>
      </w:r>
      <w:r w:rsidRPr="00E76E46">
        <w:rPr>
          <w:rFonts w:eastAsia="Calibri"/>
          <w:sz w:val="26"/>
          <w:szCs w:val="26"/>
          <w:lang w:val="lv-LV"/>
        </w:rPr>
        <w:t xml:space="preserve">  </w:t>
      </w:r>
    </w:p>
    <w:p w:rsidR="0038562E" w:rsidRPr="00E76E46" w:rsidRDefault="00F43B2D" w:rsidP="0038562E">
      <w:pPr>
        <w:jc w:val="right"/>
        <w:rPr>
          <w:sz w:val="22"/>
          <w:lang w:val="lv-LV"/>
        </w:rPr>
      </w:pPr>
      <w:r w:rsidRPr="00E76E46">
        <w:rPr>
          <w:sz w:val="22"/>
          <w:lang w:val="lv-LV"/>
        </w:rPr>
        <w:t>1.attēls</w:t>
      </w:r>
    </w:p>
    <w:p w:rsidR="0038562E" w:rsidRPr="00E76E46" w:rsidRDefault="00F43B2D" w:rsidP="0038562E">
      <w:pPr>
        <w:jc w:val="right"/>
        <w:rPr>
          <w:i/>
          <w:sz w:val="20"/>
          <w:lang w:val="lv-LV"/>
        </w:rPr>
      </w:pPr>
      <w:r w:rsidRPr="00E76E46">
        <w:rPr>
          <w:i/>
          <w:sz w:val="20"/>
          <w:lang w:val="lv-LV"/>
        </w:rPr>
        <w:t>Riska kapitāla investīcijas % no IKP 201</w:t>
      </w:r>
      <w:r w:rsidR="005617DD" w:rsidRPr="00E76E46">
        <w:rPr>
          <w:i/>
          <w:sz w:val="20"/>
          <w:lang w:val="lv-LV"/>
        </w:rPr>
        <w:t>6</w:t>
      </w:r>
      <w:r w:rsidRPr="00E76E46">
        <w:rPr>
          <w:i/>
          <w:sz w:val="20"/>
          <w:lang w:val="lv-LV"/>
        </w:rPr>
        <w:t>.gadā Eiropā</w:t>
      </w:r>
      <w:r>
        <w:rPr>
          <w:rStyle w:val="FootnoteReference"/>
          <w:i/>
          <w:sz w:val="20"/>
          <w:lang w:val="lv-LV"/>
        </w:rPr>
        <w:footnoteReference w:id="3"/>
      </w:r>
    </w:p>
    <w:p w:rsidR="0038562E" w:rsidRPr="00E76E46" w:rsidRDefault="00F43B2D" w:rsidP="00DC5505">
      <w:pPr>
        <w:jc w:val="both"/>
        <w:rPr>
          <w:rFonts w:eastAsia="Verdana"/>
          <w:sz w:val="26"/>
          <w:szCs w:val="26"/>
          <w:highlight w:val="yellow"/>
          <w:lang w:val="lv-LV"/>
        </w:rPr>
      </w:pPr>
      <w:r w:rsidRPr="00E76E46">
        <w:rPr>
          <w:rFonts w:ascii="TrebuchetMS" w:hAnsi="TrebuchetMS" w:cs="TrebuchetMS"/>
          <w:noProof/>
          <w:color w:val="002E4F"/>
          <w:sz w:val="16"/>
          <w:szCs w:val="16"/>
          <w:lang w:val="lv-LV" w:eastAsia="lv-LV"/>
        </w:rPr>
        <w:drawing>
          <wp:inline distT="0" distB="0" distL="0" distR="0">
            <wp:extent cx="5520400" cy="256554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443078"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 t="7707" r="-1597"/>
                    <a:stretch>
                      <a:fillRect/>
                    </a:stretch>
                  </pic:blipFill>
                  <pic:spPr bwMode="auto">
                    <a:xfrm>
                      <a:off x="0" y="0"/>
                      <a:ext cx="5552843" cy="2580625"/>
                    </a:xfrm>
                    <a:prstGeom prst="rect">
                      <a:avLst/>
                    </a:prstGeom>
                    <a:noFill/>
                    <a:ln>
                      <a:noFill/>
                    </a:ln>
                    <a:extLst>
                      <a:ext uri="{53640926-AAD7-44D8-BBD7-CCE9431645EC}">
                        <a14:shadowObscured xmlns:a14="http://schemas.microsoft.com/office/drawing/2010/main"/>
                      </a:ext>
                    </a:extLst>
                  </pic:spPr>
                </pic:pic>
              </a:graphicData>
            </a:graphic>
          </wp:inline>
        </w:drawing>
      </w:r>
    </w:p>
    <w:p w:rsidR="00C4748C" w:rsidRPr="00E76E46" w:rsidRDefault="00F43B2D" w:rsidP="00DC5505">
      <w:pPr>
        <w:spacing w:after="120" w:line="276" w:lineRule="auto"/>
        <w:jc w:val="both"/>
        <w:rPr>
          <w:rFonts w:eastAsia="Verdana"/>
          <w:sz w:val="26"/>
          <w:szCs w:val="26"/>
          <w:lang w:val="lv-LV"/>
        </w:rPr>
      </w:pPr>
      <w:r w:rsidRPr="00E76E46">
        <w:rPr>
          <w:rFonts w:eastAsia="Verdana"/>
          <w:sz w:val="26"/>
          <w:szCs w:val="26"/>
          <w:lang w:val="lv-LV"/>
        </w:rPr>
        <w:t xml:space="preserve">Valsts intervence ar privāto līdzfinansējumu riska kapitāla nozarē ir būtiska, ņemot vērā nozares attīstības pakāpi un tirgus lielumu. </w:t>
      </w:r>
      <w:r w:rsidR="003C4415" w:rsidRPr="00E76E46">
        <w:rPr>
          <w:rFonts w:eastAsia="Verdana"/>
          <w:sz w:val="26"/>
          <w:szCs w:val="26"/>
          <w:lang w:val="lv-LV"/>
        </w:rPr>
        <w:t xml:space="preserve">Šāda prakse, kurā valsts izmantojot pieejamos publiskos resursus, tai skaitā ES fondu līdzekļus, </w:t>
      </w:r>
      <w:r w:rsidR="00A52086" w:rsidRPr="00E76E46">
        <w:rPr>
          <w:rFonts w:eastAsia="Verdana"/>
          <w:sz w:val="26"/>
          <w:szCs w:val="26"/>
          <w:lang w:val="lv-LV"/>
        </w:rPr>
        <w:t>piedalās ar publiskajiem resursiem riska kapitāla fondos</w:t>
      </w:r>
      <w:r w:rsidR="000B012D" w:rsidRPr="00E76E46">
        <w:rPr>
          <w:rFonts w:eastAsia="Verdana"/>
          <w:sz w:val="26"/>
          <w:szCs w:val="26"/>
          <w:lang w:val="lv-LV"/>
        </w:rPr>
        <w:t>,</w:t>
      </w:r>
      <w:r w:rsidR="00A52086" w:rsidRPr="00E76E46">
        <w:rPr>
          <w:rFonts w:eastAsia="Verdana"/>
          <w:sz w:val="26"/>
          <w:szCs w:val="26"/>
          <w:lang w:val="lv-LV"/>
        </w:rPr>
        <w:t xml:space="preserve"> </w:t>
      </w:r>
      <w:r w:rsidR="003C4415" w:rsidRPr="00E76E46">
        <w:rPr>
          <w:rFonts w:eastAsia="Verdana"/>
          <w:sz w:val="26"/>
          <w:szCs w:val="26"/>
          <w:lang w:val="lv-LV"/>
        </w:rPr>
        <w:t>ir</w:t>
      </w:r>
      <w:r w:rsidR="00DC5505" w:rsidRPr="00E76E46">
        <w:rPr>
          <w:rFonts w:eastAsia="Verdana"/>
          <w:sz w:val="26"/>
          <w:szCs w:val="26"/>
          <w:lang w:val="lv-LV"/>
        </w:rPr>
        <w:t xml:space="preserve"> īpaši izplatīta arī Centrāl</w:t>
      </w:r>
      <w:r w:rsidR="003E424A" w:rsidRPr="00E76E46">
        <w:rPr>
          <w:rFonts w:eastAsia="Verdana"/>
          <w:sz w:val="26"/>
          <w:szCs w:val="26"/>
          <w:lang w:val="lv-LV"/>
        </w:rPr>
        <w:t>ās un A</w:t>
      </w:r>
      <w:r w:rsidR="00DC5505" w:rsidRPr="00E76E46">
        <w:rPr>
          <w:rFonts w:eastAsia="Verdana"/>
          <w:sz w:val="26"/>
          <w:szCs w:val="26"/>
          <w:lang w:val="lv-LV"/>
        </w:rPr>
        <w:t xml:space="preserve">ustrumeiropas valstīs, tai skaitā Latvijā, Lietuvā un Igaunijā, sastādot vidēji </w:t>
      </w:r>
      <w:r w:rsidR="00156DE3" w:rsidRPr="00E76E46">
        <w:rPr>
          <w:rFonts w:eastAsia="Verdana"/>
          <w:sz w:val="26"/>
          <w:szCs w:val="26"/>
          <w:lang w:val="lv-LV"/>
        </w:rPr>
        <w:t>aptuveni 50</w:t>
      </w:r>
      <w:r w:rsidR="00DC5505" w:rsidRPr="00E76E46">
        <w:rPr>
          <w:rFonts w:eastAsia="Verdana"/>
          <w:sz w:val="26"/>
          <w:szCs w:val="26"/>
          <w:lang w:val="lv-LV"/>
        </w:rPr>
        <w:t>% no kopējā investīciju portfe</w:t>
      </w:r>
      <w:r w:rsidRPr="00E76E46">
        <w:rPr>
          <w:rFonts w:eastAsia="Verdana"/>
          <w:sz w:val="26"/>
          <w:szCs w:val="26"/>
          <w:lang w:val="lv-LV"/>
        </w:rPr>
        <w:t>ļa (skat. 2.attēlu)</w:t>
      </w:r>
    </w:p>
    <w:p w:rsidR="00C4748C" w:rsidRPr="00E76E46" w:rsidRDefault="00F43B2D" w:rsidP="00606C94">
      <w:pPr>
        <w:jc w:val="right"/>
        <w:rPr>
          <w:rFonts w:eastAsia="Verdana"/>
          <w:sz w:val="20"/>
          <w:lang w:val="lv-LV"/>
        </w:rPr>
      </w:pPr>
      <w:r w:rsidRPr="00E76E46">
        <w:rPr>
          <w:rFonts w:eastAsia="Verdana"/>
          <w:sz w:val="20"/>
          <w:lang w:val="lv-LV"/>
        </w:rPr>
        <w:t>2.attēls</w:t>
      </w:r>
    </w:p>
    <w:p w:rsidR="00C4748C" w:rsidRPr="00E76E46" w:rsidRDefault="00F43B2D" w:rsidP="00606C94">
      <w:pPr>
        <w:jc w:val="right"/>
        <w:rPr>
          <w:rFonts w:eastAsia="Verdana"/>
          <w:i/>
          <w:sz w:val="20"/>
          <w:lang w:val="lv-LV"/>
        </w:rPr>
      </w:pPr>
      <w:r w:rsidRPr="00E76E46">
        <w:rPr>
          <w:rFonts w:eastAsia="Verdana"/>
          <w:i/>
          <w:sz w:val="20"/>
          <w:lang w:val="lv-LV"/>
        </w:rPr>
        <w:t>Riska kapitāla fondu investori</w:t>
      </w:r>
      <w:r w:rsidR="00606C94" w:rsidRPr="00E76E46">
        <w:rPr>
          <w:rFonts w:eastAsia="Verdana"/>
          <w:i/>
          <w:sz w:val="20"/>
          <w:lang w:val="lv-LV"/>
        </w:rPr>
        <w:t xml:space="preserve"> Baltijas valstīs un Eiropā</w:t>
      </w:r>
      <w:r w:rsidRPr="00E76E46">
        <w:rPr>
          <w:rFonts w:eastAsia="Verdana"/>
          <w:i/>
          <w:sz w:val="20"/>
          <w:lang w:val="lv-LV"/>
        </w:rPr>
        <w:t xml:space="preserve"> (2012. – 2016.g.)</w:t>
      </w:r>
    </w:p>
    <w:p w:rsidR="00C4748C" w:rsidRPr="00E76E46" w:rsidRDefault="00C4748C" w:rsidP="00C4748C">
      <w:pPr>
        <w:jc w:val="right"/>
        <w:rPr>
          <w:rFonts w:eastAsia="Verdana"/>
          <w:i/>
          <w:sz w:val="20"/>
          <w:lang w:val="lv-LV"/>
        </w:rPr>
      </w:pPr>
    </w:p>
    <w:p w:rsidR="00C4748C" w:rsidRPr="00E76E46" w:rsidRDefault="00F43B2D" w:rsidP="00C4748C">
      <w:pPr>
        <w:spacing w:after="120" w:line="276" w:lineRule="auto"/>
        <w:jc w:val="both"/>
        <w:rPr>
          <w:rFonts w:eastAsia="Verdana"/>
          <w:sz w:val="26"/>
          <w:szCs w:val="26"/>
          <w:lang w:val="lv-LV"/>
        </w:rPr>
      </w:pPr>
      <w:r w:rsidRPr="00E76E46">
        <w:rPr>
          <w:noProof/>
          <w:lang w:val="lv-LV" w:eastAsia="lv-LV"/>
        </w:rPr>
        <w:drawing>
          <wp:inline distT="0" distB="0" distL="0" distR="0">
            <wp:extent cx="6029325" cy="2533650"/>
            <wp:effectExtent l="0" t="0" r="9525" b="0"/>
            <wp:docPr id="1" name="Chart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748C" w:rsidRPr="00E76E46" w:rsidRDefault="00F43B2D" w:rsidP="00C4748C">
      <w:pPr>
        <w:spacing w:after="120" w:line="276" w:lineRule="auto"/>
        <w:jc w:val="both"/>
        <w:rPr>
          <w:rFonts w:eastAsia="Verdana"/>
          <w:sz w:val="26"/>
          <w:szCs w:val="26"/>
          <w:lang w:val="lv-LV"/>
        </w:rPr>
      </w:pPr>
      <w:r w:rsidRPr="00E76E46">
        <w:rPr>
          <w:rFonts w:eastAsia="Verdana"/>
          <w:sz w:val="26"/>
          <w:szCs w:val="26"/>
          <w:lang w:val="lv-LV"/>
        </w:rPr>
        <w:lastRenderedPageBreak/>
        <w:t xml:space="preserve">Kā redzams 2.attēlā – būtisks privātā līdzfinansējuma avots riska kapitāla fondos ir tieši </w:t>
      </w:r>
      <w:r w:rsidR="00A507CF" w:rsidRPr="00A507CF">
        <w:rPr>
          <w:rFonts w:eastAsia="Verdana"/>
          <w:sz w:val="26"/>
          <w:szCs w:val="26"/>
          <w:lang w:val="lv-LV"/>
        </w:rPr>
        <w:t>VFPS līdzekļu pārvaldītāji</w:t>
      </w:r>
      <w:r w:rsidRPr="00E76E46">
        <w:rPr>
          <w:rFonts w:eastAsia="Verdana"/>
          <w:sz w:val="26"/>
          <w:szCs w:val="26"/>
          <w:lang w:val="lv-LV"/>
        </w:rPr>
        <w:t xml:space="preserve">, kas ir viens no lielākajiem privātajiem ieguldītājiem investīciju fondos un no kopējā investīciju portfeļa veido </w:t>
      </w:r>
      <w:r w:rsidR="00156DE3" w:rsidRPr="00E76E46">
        <w:rPr>
          <w:rFonts w:eastAsia="Verdana"/>
          <w:sz w:val="26"/>
          <w:szCs w:val="26"/>
          <w:lang w:val="lv-LV"/>
        </w:rPr>
        <w:t>vairāk nekā 20%</w:t>
      </w:r>
      <w:r w:rsidRPr="00E76E46">
        <w:rPr>
          <w:rFonts w:eastAsia="Verdana"/>
          <w:sz w:val="26"/>
          <w:szCs w:val="26"/>
          <w:lang w:val="lv-LV"/>
        </w:rPr>
        <w:t>.</w:t>
      </w:r>
      <w:r w:rsidR="00E818B4" w:rsidRPr="00E76E46">
        <w:rPr>
          <w:rFonts w:eastAsia="Verdana"/>
          <w:sz w:val="26"/>
          <w:szCs w:val="26"/>
          <w:lang w:val="lv-LV"/>
        </w:rPr>
        <w:t xml:space="preserve"> </w:t>
      </w:r>
      <w:r w:rsidR="00E818B4" w:rsidRPr="00E76E46">
        <w:rPr>
          <w:rFonts w:eastAsia="Calibri"/>
          <w:sz w:val="26"/>
          <w:szCs w:val="26"/>
          <w:lang w:val="lv-LV"/>
        </w:rPr>
        <w:t xml:space="preserve">Pamatojoties uz </w:t>
      </w:r>
      <w:proofErr w:type="spellStart"/>
      <w:r w:rsidR="00E818B4" w:rsidRPr="00E76E46">
        <w:rPr>
          <w:rFonts w:eastAsia="Calibri"/>
          <w:i/>
          <w:sz w:val="26"/>
          <w:szCs w:val="26"/>
          <w:lang w:val="lv-LV"/>
        </w:rPr>
        <w:t>Invest</w:t>
      </w:r>
      <w:proofErr w:type="spellEnd"/>
      <w:r w:rsidR="00E818B4" w:rsidRPr="00E76E46">
        <w:rPr>
          <w:rFonts w:eastAsia="Calibri"/>
          <w:i/>
          <w:sz w:val="26"/>
          <w:szCs w:val="26"/>
          <w:lang w:val="lv-LV"/>
        </w:rPr>
        <w:t xml:space="preserve"> </w:t>
      </w:r>
      <w:proofErr w:type="spellStart"/>
      <w:r w:rsidR="00E818B4" w:rsidRPr="00E76E46">
        <w:rPr>
          <w:rFonts w:eastAsia="Calibri"/>
          <w:i/>
          <w:sz w:val="26"/>
          <w:szCs w:val="26"/>
          <w:lang w:val="lv-LV"/>
        </w:rPr>
        <w:t>Europe</w:t>
      </w:r>
      <w:proofErr w:type="spellEnd"/>
      <w:r w:rsidR="00E818B4" w:rsidRPr="00E76E46">
        <w:rPr>
          <w:rFonts w:eastAsia="Calibri"/>
          <w:i/>
          <w:sz w:val="26"/>
          <w:szCs w:val="26"/>
          <w:lang w:val="lv-LV"/>
        </w:rPr>
        <w:t xml:space="preserve"> </w:t>
      </w:r>
      <w:r w:rsidR="00E818B4" w:rsidRPr="00E76E46">
        <w:rPr>
          <w:rFonts w:eastAsia="Calibri"/>
          <w:sz w:val="26"/>
          <w:szCs w:val="26"/>
          <w:lang w:val="lv-LV"/>
        </w:rPr>
        <w:t>riska kapitāla nozares apskatiem, a</w:t>
      </w:r>
      <w:r w:rsidRPr="00E76E46">
        <w:rPr>
          <w:rFonts w:eastAsia="Calibri"/>
          <w:sz w:val="26"/>
          <w:szCs w:val="26"/>
          <w:lang w:val="lv-LV"/>
        </w:rPr>
        <w:t xml:space="preserve">rī </w:t>
      </w:r>
      <w:r w:rsidR="00E818B4" w:rsidRPr="00E76E46">
        <w:rPr>
          <w:rFonts w:eastAsia="Calibri"/>
          <w:sz w:val="26"/>
          <w:szCs w:val="26"/>
          <w:lang w:val="lv-LV"/>
        </w:rPr>
        <w:t>pasaules</w:t>
      </w:r>
      <w:r w:rsidRPr="00E76E46">
        <w:rPr>
          <w:rFonts w:eastAsia="Calibri"/>
          <w:sz w:val="26"/>
          <w:szCs w:val="26"/>
          <w:lang w:val="lv-LV"/>
        </w:rPr>
        <w:t xml:space="preserve"> praksē riska kapitāla fondos lielākā </w:t>
      </w:r>
      <w:r w:rsidR="000B012D" w:rsidRPr="00E76E46">
        <w:rPr>
          <w:rFonts w:eastAsia="Calibri"/>
          <w:sz w:val="26"/>
          <w:szCs w:val="26"/>
          <w:lang w:val="lv-LV"/>
        </w:rPr>
        <w:t xml:space="preserve">un stabilākā </w:t>
      </w:r>
      <w:r w:rsidRPr="00E76E46">
        <w:rPr>
          <w:rFonts w:eastAsia="Calibri"/>
          <w:sz w:val="26"/>
          <w:szCs w:val="26"/>
          <w:lang w:val="lv-LV"/>
        </w:rPr>
        <w:t xml:space="preserve">institucionālo investoru grupa ir tieši </w:t>
      </w:r>
      <w:r w:rsidR="00A507CF" w:rsidRPr="00A507CF">
        <w:rPr>
          <w:rFonts w:eastAsia="Verdana"/>
          <w:sz w:val="26"/>
          <w:szCs w:val="26"/>
          <w:lang w:val="lv-LV"/>
        </w:rPr>
        <w:t>VFPS līdzekļu pārvaldītāji</w:t>
      </w:r>
      <w:r w:rsidR="00A507CF" w:rsidRPr="00E76E46">
        <w:rPr>
          <w:rFonts w:eastAsia="Calibri"/>
          <w:sz w:val="26"/>
          <w:szCs w:val="26"/>
          <w:lang w:val="lv-LV"/>
        </w:rPr>
        <w:t xml:space="preserve"> </w:t>
      </w:r>
      <w:r w:rsidRPr="00E76E46">
        <w:rPr>
          <w:rFonts w:eastAsia="Calibri"/>
          <w:sz w:val="26"/>
          <w:szCs w:val="26"/>
          <w:lang w:val="lv-LV"/>
        </w:rPr>
        <w:t>(skatīt 3.attēlu)</w:t>
      </w:r>
      <w:r w:rsidR="00E818B4" w:rsidRPr="00E76E46">
        <w:rPr>
          <w:rFonts w:eastAsia="Calibri"/>
          <w:sz w:val="26"/>
          <w:szCs w:val="26"/>
          <w:lang w:val="lv-LV"/>
        </w:rPr>
        <w:t xml:space="preserve">. </w:t>
      </w:r>
      <w:r w:rsidR="00E818B4" w:rsidRPr="00E76E46">
        <w:rPr>
          <w:rFonts w:eastAsia="Verdana"/>
          <w:sz w:val="26"/>
          <w:szCs w:val="26"/>
          <w:lang w:val="lv-LV"/>
        </w:rPr>
        <w:t>Tieši pensiju fondu ieguldījumi var sekmēt līdzfinansējuma piesaisti privātajos riska kapitāla fondos un sekmēt investīcijas tautsaimniecībā līdz 2023.gadam.</w:t>
      </w:r>
      <w:r w:rsidRPr="00E76E46">
        <w:rPr>
          <w:rFonts w:eastAsia="Calibri"/>
          <w:sz w:val="26"/>
          <w:szCs w:val="26"/>
          <w:lang w:val="lv-LV"/>
        </w:rPr>
        <w:t xml:space="preserve"> </w:t>
      </w:r>
    </w:p>
    <w:p w:rsidR="00C4748C" w:rsidRPr="00E76E46" w:rsidRDefault="00F43B2D" w:rsidP="00C4748C">
      <w:pPr>
        <w:jc w:val="right"/>
        <w:rPr>
          <w:rFonts w:eastAsia="Calibri"/>
          <w:sz w:val="22"/>
          <w:lang w:val="lv-LV"/>
        </w:rPr>
      </w:pPr>
      <w:r w:rsidRPr="00E76E46">
        <w:rPr>
          <w:rFonts w:eastAsia="Calibri"/>
          <w:sz w:val="22"/>
          <w:lang w:val="lv-LV"/>
        </w:rPr>
        <w:t>3.attēls</w:t>
      </w:r>
    </w:p>
    <w:p w:rsidR="00C4748C" w:rsidRPr="00E76E46" w:rsidRDefault="00F43B2D" w:rsidP="00C4748C">
      <w:pPr>
        <w:jc w:val="right"/>
        <w:rPr>
          <w:rFonts w:eastAsia="Calibri"/>
          <w:i/>
          <w:sz w:val="22"/>
          <w:lang w:val="lv-LV"/>
        </w:rPr>
      </w:pPr>
      <w:r w:rsidRPr="00E76E46">
        <w:rPr>
          <w:rFonts w:eastAsia="Calibri"/>
          <w:i/>
          <w:sz w:val="22"/>
          <w:lang w:val="lv-LV"/>
        </w:rPr>
        <w:t>Piesaistītā privātā līdzfinansējuma apmērs Eiropā riska kapitālā sadalījumā pa avotiem</w:t>
      </w:r>
      <w:r>
        <w:rPr>
          <w:rStyle w:val="FootnoteReference"/>
          <w:rFonts w:eastAsia="Calibri"/>
          <w:i/>
          <w:sz w:val="22"/>
          <w:lang w:val="lv-LV"/>
        </w:rPr>
        <w:footnoteReference w:id="4"/>
      </w:r>
    </w:p>
    <w:p w:rsidR="00C4748C" w:rsidRPr="00E76E46" w:rsidRDefault="00F43B2D" w:rsidP="00C4748C">
      <w:pPr>
        <w:spacing w:after="120" w:line="276" w:lineRule="auto"/>
        <w:jc w:val="both"/>
        <w:rPr>
          <w:rFonts w:eastAsia="Calibri"/>
          <w:sz w:val="26"/>
          <w:szCs w:val="26"/>
          <w:lang w:val="lv-LV"/>
        </w:rPr>
      </w:pPr>
      <w:r w:rsidRPr="00E76E46">
        <w:rPr>
          <w:rFonts w:eastAsia="Calibri"/>
          <w:noProof/>
          <w:sz w:val="26"/>
          <w:szCs w:val="26"/>
          <w:lang w:val="lv-LV" w:eastAsia="lv-LV"/>
        </w:rPr>
        <w:drawing>
          <wp:inline distT="0" distB="0" distL="0" distR="0">
            <wp:extent cx="5837555" cy="2371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436284"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845269" cy="2374859"/>
                    </a:xfrm>
                    <a:prstGeom prst="rect">
                      <a:avLst/>
                    </a:prstGeom>
                    <a:noFill/>
                    <a:ln>
                      <a:noFill/>
                    </a:ln>
                  </pic:spPr>
                </pic:pic>
              </a:graphicData>
            </a:graphic>
          </wp:inline>
        </w:drawing>
      </w:r>
    </w:p>
    <w:p w:rsidR="008513FD" w:rsidRPr="00E76E46" w:rsidRDefault="00F43B2D" w:rsidP="00E818B4">
      <w:pPr>
        <w:spacing w:after="120" w:line="276" w:lineRule="auto"/>
        <w:jc w:val="both"/>
        <w:rPr>
          <w:rFonts w:eastAsia="Calibri"/>
          <w:sz w:val="26"/>
          <w:szCs w:val="26"/>
          <w:lang w:val="lv-LV"/>
        </w:rPr>
      </w:pPr>
      <w:r w:rsidRPr="00E76E46">
        <w:rPr>
          <w:rFonts w:eastAsia="Calibri"/>
          <w:sz w:val="26"/>
          <w:szCs w:val="26"/>
          <w:lang w:val="lv-LV"/>
        </w:rPr>
        <w:t xml:space="preserve">Latvijā aktīvie </w:t>
      </w:r>
      <w:r w:rsidR="00A507CF">
        <w:rPr>
          <w:rFonts w:eastAsia="Calibri"/>
          <w:sz w:val="26"/>
          <w:szCs w:val="26"/>
          <w:lang w:val="lv-LV"/>
        </w:rPr>
        <w:t>ieguldījumu</w:t>
      </w:r>
      <w:r w:rsidRPr="00E76E46">
        <w:rPr>
          <w:rFonts w:eastAsia="Calibri"/>
          <w:sz w:val="26"/>
          <w:szCs w:val="26"/>
          <w:lang w:val="lv-LV"/>
        </w:rPr>
        <w:t xml:space="preserve"> plāni </w:t>
      </w:r>
      <w:r w:rsidR="000B012D" w:rsidRPr="00E76E46">
        <w:rPr>
          <w:rFonts w:eastAsia="Calibri"/>
          <w:sz w:val="26"/>
          <w:szCs w:val="26"/>
          <w:lang w:val="lv-LV"/>
        </w:rPr>
        <w:t>ir veikuši</w:t>
      </w:r>
      <w:r w:rsidRPr="00E76E46">
        <w:rPr>
          <w:rFonts w:eastAsia="Calibri"/>
          <w:sz w:val="26"/>
          <w:szCs w:val="26"/>
          <w:lang w:val="lv-LV"/>
        </w:rPr>
        <w:t xml:space="preserve"> ieguldījumus riska kapitāla fondos</w:t>
      </w:r>
      <w:r w:rsidR="000B012D" w:rsidRPr="00E76E46">
        <w:rPr>
          <w:rFonts w:eastAsia="Calibri"/>
          <w:sz w:val="26"/>
          <w:szCs w:val="26"/>
          <w:lang w:val="lv-LV"/>
        </w:rPr>
        <w:t xml:space="preserve">. Tomēr šie ieguldījumi, izņemot Swedbank </w:t>
      </w:r>
      <w:r w:rsidRPr="00E76E46">
        <w:rPr>
          <w:rFonts w:eastAsia="Calibri"/>
          <w:sz w:val="26"/>
          <w:szCs w:val="26"/>
          <w:lang w:val="lv-LV"/>
        </w:rPr>
        <w:t xml:space="preserve">IPS, ir veikti līdz 2017.gada grozījumu Valsts </w:t>
      </w:r>
      <w:proofErr w:type="spellStart"/>
      <w:r w:rsidRPr="00E76E46">
        <w:rPr>
          <w:rFonts w:eastAsia="Calibri"/>
          <w:sz w:val="26"/>
          <w:szCs w:val="26"/>
          <w:lang w:val="lv-LV"/>
        </w:rPr>
        <w:t>fondēto</w:t>
      </w:r>
      <w:proofErr w:type="spellEnd"/>
      <w:r w:rsidRPr="00E76E46">
        <w:rPr>
          <w:rFonts w:eastAsia="Calibri"/>
          <w:sz w:val="26"/>
          <w:szCs w:val="26"/>
          <w:lang w:val="lv-LV"/>
        </w:rPr>
        <w:t xml:space="preserve"> pensiju likumā stāšanai spēkā un attiecīgi būtiskai pārvaldnieku komisiju samazināšanai, kas izraisījusi tendenci meklēt pārvaldnieku darbības izdevumu samazināšanas veidus. </w:t>
      </w:r>
    </w:p>
    <w:p w:rsidR="00E818B4" w:rsidRPr="00E76E46" w:rsidRDefault="00F43B2D" w:rsidP="00E818B4">
      <w:pPr>
        <w:spacing w:after="120" w:line="276" w:lineRule="auto"/>
        <w:jc w:val="both"/>
        <w:rPr>
          <w:rFonts w:eastAsia="Calibri"/>
          <w:sz w:val="26"/>
          <w:szCs w:val="26"/>
          <w:lang w:val="lv-LV"/>
        </w:rPr>
      </w:pPr>
      <w:r w:rsidRPr="00E76E46">
        <w:rPr>
          <w:rFonts w:eastAsia="Calibri"/>
          <w:sz w:val="26"/>
          <w:szCs w:val="26"/>
          <w:lang w:val="lv-LV"/>
        </w:rPr>
        <w:t>Pensiju plānu aktīvu vērtība atspoguļota 4</w:t>
      </w:r>
      <w:r w:rsidR="004F33BD" w:rsidRPr="00E76E46">
        <w:rPr>
          <w:rFonts w:eastAsia="Calibri"/>
          <w:sz w:val="26"/>
          <w:szCs w:val="26"/>
          <w:lang w:val="lv-LV"/>
        </w:rPr>
        <w:t>.attēlā</w:t>
      </w:r>
      <w:r w:rsidRPr="00E76E46">
        <w:rPr>
          <w:rFonts w:eastAsia="Calibri"/>
          <w:sz w:val="26"/>
          <w:szCs w:val="26"/>
          <w:lang w:val="lv-LV"/>
        </w:rPr>
        <w:t xml:space="preserve">. No tiem ieguldījumus riska kapitāla fondos ir veikuši tikai aktīvo ieguldījumu plānu </w:t>
      </w:r>
      <w:r w:rsidR="00156DE3" w:rsidRPr="00E76E46">
        <w:rPr>
          <w:rFonts w:eastAsia="Calibri"/>
          <w:sz w:val="26"/>
          <w:szCs w:val="26"/>
          <w:lang w:val="lv-LV"/>
        </w:rPr>
        <w:t>pārvaldnieki</w:t>
      </w:r>
      <w:r w:rsidR="004F33BD" w:rsidRPr="00E76E46">
        <w:rPr>
          <w:rFonts w:eastAsia="Calibri"/>
          <w:sz w:val="26"/>
          <w:szCs w:val="26"/>
          <w:lang w:val="lv-LV"/>
        </w:rPr>
        <w:t>.</w:t>
      </w:r>
    </w:p>
    <w:p w:rsidR="00E818B4" w:rsidRPr="00E76E46" w:rsidRDefault="00F43B2D" w:rsidP="00E818B4">
      <w:pPr>
        <w:jc w:val="right"/>
        <w:rPr>
          <w:rFonts w:eastAsia="Calibri"/>
          <w:sz w:val="22"/>
          <w:lang w:val="lv-LV"/>
        </w:rPr>
      </w:pPr>
      <w:r w:rsidRPr="00E76E46">
        <w:rPr>
          <w:rFonts w:eastAsia="Calibri"/>
          <w:sz w:val="22"/>
          <w:lang w:val="lv-LV"/>
        </w:rPr>
        <w:t>4.attēls</w:t>
      </w:r>
    </w:p>
    <w:p w:rsidR="00E818B4" w:rsidRPr="00E76E46" w:rsidRDefault="00F43B2D" w:rsidP="00E818B4">
      <w:pPr>
        <w:jc w:val="right"/>
        <w:rPr>
          <w:rFonts w:eastAsia="Calibri"/>
          <w:i/>
          <w:sz w:val="22"/>
          <w:lang w:val="lv-LV"/>
        </w:rPr>
      </w:pPr>
      <w:r w:rsidRPr="00E76E46">
        <w:rPr>
          <w:rFonts w:eastAsia="Calibri"/>
          <w:i/>
          <w:sz w:val="22"/>
          <w:lang w:val="lv-LV"/>
        </w:rPr>
        <w:t xml:space="preserve">Kopējā aktīvu vērtība milj. EUR aktīvajiem </w:t>
      </w:r>
      <w:r w:rsidR="00A507CF">
        <w:rPr>
          <w:rFonts w:eastAsia="Calibri"/>
          <w:i/>
          <w:sz w:val="22"/>
          <w:lang w:val="lv-LV"/>
        </w:rPr>
        <w:t>ieguldījumu</w:t>
      </w:r>
      <w:r w:rsidRPr="00E76E46">
        <w:rPr>
          <w:rFonts w:eastAsia="Calibri"/>
          <w:i/>
          <w:sz w:val="22"/>
          <w:lang w:val="lv-LV"/>
        </w:rPr>
        <w:t xml:space="preserve"> plāniem uz 2017.gada 20.oktobri </w:t>
      </w:r>
    </w:p>
    <w:p w:rsidR="00E818B4" w:rsidRPr="00E76E46" w:rsidRDefault="00F43B2D" w:rsidP="009F7E8A">
      <w:pPr>
        <w:spacing w:after="120" w:line="276" w:lineRule="auto"/>
        <w:jc w:val="center"/>
        <w:rPr>
          <w:rFonts w:eastAsia="Verdana"/>
          <w:sz w:val="26"/>
          <w:szCs w:val="26"/>
          <w:lang w:val="lv-LV"/>
        </w:rPr>
      </w:pPr>
      <w:r w:rsidRPr="00E76E46">
        <w:rPr>
          <w:rFonts w:eastAsia="Calibri"/>
          <w:noProof/>
          <w:sz w:val="26"/>
          <w:szCs w:val="26"/>
          <w:lang w:val="lv-LV" w:eastAsia="lv-LV"/>
        </w:rPr>
        <w:lastRenderedPageBreak/>
        <w:drawing>
          <wp:inline distT="0" distB="0" distL="0" distR="0">
            <wp:extent cx="4033520" cy="2028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182545"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083487" cy="2053958"/>
                    </a:xfrm>
                    <a:prstGeom prst="rect">
                      <a:avLst/>
                    </a:prstGeom>
                    <a:noFill/>
                  </pic:spPr>
                </pic:pic>
              </a:graphicData>
            </a:graphic>
          </wp:inline>
        </w:drawing>
      </w:r>
    </w:p>
    <w:p w:rsidR="00246F2D" w:rsidRPr="00E76E46" w:rsidRDefault="00F43B2D" w:rsidP="00246F2D">
      <w:pPr>
        <w:spacing w:after="120" w:line="276" w:lineRule="auto"/>
        <w:jc w:val="both"/>
        <w:rPr>
          <w:rFonts w:eastAsia="Calibri"/>
          <w:sz w:val="26"/>
          <w:szCs w:val="26"/>
          <w:lang w:val="lv-LV"/>
        </w:rPr>
      </w:pPr>
      <w:r w:rsidRPr="00E76E46">
        <w:rPr>
          <w:rFonts w:eastAsia="Verdana"/>
          <w:sz w:val="26"/>
          <w:szCs w:val="26"/>
          <w:lang w:val="lv-LV"/>
        </w:rPr>
        <w:t xml:space="preserve">Investīciju periods nacionālā līmeņa </w:t>
      </w:r>
      <w:r w:rsidR="009B1D80" w:rsidRPr="00E76E46">
        <w:rPr>
          <w:rFonts w:eastAsia="Verdana"/>
          <w:sz w:val="26"/>
          <w:szCs w:val="26"/>
          <w:lang w:val="lv-LV"/>
        </w:rPr>
        <w:t xml:space="preserve">riska kapitāla </w:t>
      </w:r>
      <w:r w:rsidRPr="00E76E46">
        <w:rPr>
          <w:rFonts w:eastAsia="Verdana"/>
          <w:sz w:val="26"/>
          <w:szCs w:val="26"/>
          <w:lang w:val="lv-LV"/>
        </w:rPr>
        <w:t>fondiem, kas ieviesti 2007.-2013.gada plānošanas periodā</w:t>
      </w:r>
      <w:r w:rsidR="00F263AB" w:rsidRPr="00E76E46">
        <w:rPr>
          <w:rFonts w:eastAsia="Verdana"/>
          <w:sz w:val="26"/>
          <w:szCs w:val="26"/>
          <w:lang w:val="lv-LV"/>
        </w:rPr>
        <w:t>,</w:t>
      </w:r>
      <w:r w:rsidRPr="00E76E46">
        <w:rPr>
          <w:rFonts w:eastAsia="Verdana"/>
          <w:sz w:val="26"/>
          <w:szCs w:val="26"/>
          <w:lang w:val="lv-LV"/>
        </w:rPr>
        <w:t xml:space="preserve"> ir beidzies,</w:t>
      </w:r>
      <w:r w:rsidR="00A40839" w:rsidRPr="00E76E46">
        <w:rPr>
          <w:rFonts w:eastAsia="Verdana"/>
          <w:sz w:val="26"/>
          <w:szCs w:val="26"/>
          <w:lang w:val="lv-LV"/>
        </w:rPr>
        <w:t xml:space="preserve"> un</w:t>
      </w:r>
      <w:r w:rsidRPr="00E76E46">
        <w:rPr>
          <w:rFonts w:eastAsia="Verdana"/>
          <w:sz w:val="26"/>
          <w:szCs w:val="26"/>
          <w:lang w:val="lv-LV"/>
        </w:rPr>
        <w:t xml:space="preserve"> </w:t>
      </w:r>
      <w:r w:rsidR="008513FD" w:rsidRPr="00E76E46">
        <w:rPr>
          <w:rFonts w:eastAsia="Verdana"/>
          <w:sz w:val="26"/>
          <w:szCs w:val="26"/>
          <w:lang w:val="lv-LV"/>
        </w:rPr>
        <w:t xml:space="preserve">šie </w:t>
      </w:r>
      <w:r w:rsidRPr="00E76E46">
        <w:rPr>
          <w:rFonts w:eastAsia="Verdana"/>
          <w:sz w:val="26"/>
          <w:szCs w:val="26"/>
          <w:lang w:val="lv-LV"/>
        </w:rPr>
        <w:t xml:space="preserve">ar </w:t>
      </w:r>
      <w:r w:rsidR="009B1D80" w:rsidRPr="00E76E46">
        <w:rPr>
          <w:rFonts w:eastAsia="Verdana"/>
          <w:sz w:val="26"/>
          <w:szCs w:val="26"/>
          <w:lang w:val="lv-LV"/>
        </w:rPr>
        <w:t xml:space="preserve">publisko </w:t>
      </w:r>
      <w:r w:rsidRPr="00E76E46">
        <w:rPr>
          <w:rFonts w:eastAsia="Verdana"/>
          <w:sz w:val="26"/>
          <w:szCs w:val="26"/>
          <w:lang w:val="lv-LV"/>
        </w:rPr>
        <w:t xml:space="preserve">līdzfinansējumu </w:t>
      </w:r>
      <w:r w:rsidR="008513FD" w:rsidRPr="00E76E46">
        <w:rPr>
          <w:rFonts w:eastAsia="Verdana"/>
          <w:sz w:val="26"/>
          <w:szCs w:val="26"/>
          <w:lang w:val="lv-LV"/>
        </w:rPr>
        <w:t xml:space="preserve">īstenotie </w:t>
      </w:r>
      <w:r w:rsidRPr="00E76E46">
        <w:rPr>
          <w:rFonts w:eastAsia="Verdana"/>
          <w:sz w:val="26"/>
          <w:szCs w:val="26"/>
          <w:lang w:val="lv-LV"/>
        </w:rPr>
        <w:t>s</w:t>
      </w:r>
      <w:r w:rsidR="00A40839" w:rsidRPr="00E76E46">
        <w:rPr>
          <w:rFonts w:eastAsia="Verdana"/>
          <w:sz w:val="26"/>
          <w:szCs w:val="26"/>
          <w:lang w:val="lv-LV"/>
        </w:rPr>
        <w:t xml:space="preserve">ēklas kapitāla </w:t>
      </w:r>
      <w:r w:rsidR="008513FD" w:rsidRPr="00E76E46">
        <w:rPr>
          <w:rFonts w:eastAsia="Verdana"/>
          <w:sz w:val="26"/>
          <w:szCs w:val="26"/>
          <w:lang w:val="lv-LV"/>
        </w:rPr>
        <w:t xml:space="preserve">fondi </w:t>
      </w:r>
      <w:r w:rsidRPr="00E76E46">
        <w:rPr>
          <w:rFonts w:eastAsia="Verdana"/>
          <w:sz w:val="26"/>
          <w:szCs w:val="26"/>
          <w:lang w:val="lv-LV"/>
        </w:rPr>
        <w:t xml:space="preserve">(fonda pārvaldnieks – SIA „AIFP </w:t>
      </w:r>
      <w:proofErr w:type="spellStart"/>
      <w:r w:rsidRPr="00E76E46">
        <w:rPr>
          <w:rFonts w:eastAsia="Verdana"/>
          <w:sz w:val="26"/>
          <w:szCs w:val="26"/>
          <w:lang w:val="lv-LV"/>
        </w:rPr>
        <w:t>Imprimatur</w:t>
      </w:r>
      <w:proofErr w:type="spellEnd"/>
      <w:r w:rsidRPr="00E76E46">
        <w:rPr>
          <w:rFonts w:eastAsia="Verdana"/>
          <w:sz w:val="26"/>
          <w:szCs w:val="26"/>
          <w:lang w:val="lv-LV"/>
        </w:rPr>
        <w:t xml:space="preserve"> Capital </w:t>
      </w:r>
      <w:proofErr w:type="spellStart"/>
      <w:r w:rsidRPr="00E76E46">
        <w:rPr>
          <w:rFonts w:eastAsia="Verdana"/>
          <w:sz w:val="26"/>
          <w:szCs w:val="26"/>
          <w:lang w:val="lv-LV"/>
        </w:rPr>
        <w:t>Fund</w:t>
      </w:r>
      <w:proofErr w:type="spellEnd"/>
      <w:r w:rsidRPr="00E76E46">
        <w:rPr>
          <w:rFonts w:eastAsia="Verdana"/>
          <w:sz w:val="26"/>
          <w:szCs w:val="26"/>
          <w:lang w:val="lv-LV"/>
        </w:rPr>
        <w:t xml:space="preserve"> </w:t>
      </w:r>
      <w:proofErr w:type="spellStart"/>
      <w:r w:rsidRPr="00E76E46">
        <w:rPr>
          <w:rFonts w:eastAsia="Verdana"/>
          <w:sz w:val="26"/>
          <w:szCs w:val="26"/>
          <w:lang w:val="lv-LV"/>
        </w:rPr>
        <w:t>Management</w:t>
      </w:r>
      <w:proofErr w:type="spellEnd"/>
      <w:r w:rsidRPr="00E76E46">
        <w:rPr>
          <w:rFonts w:eastAsia="Verdana"/>
          <w:sz w:val="26"/>
          <w:szCs w:val="26"/>
          <w:lang w:val="lv-LV"/>
        </w:rPr>
        <w:t xml:space="preserve">”), uzsākšanas </w:t>
      </w:r>
      <w:r w:rsidR="00A40839" w:rsidRPr="00E76E46">
        <w:rPr>
          <w:rFonts w:eastAsia="Verdana"/>
          <w:sz w:val="26"/>
          <w:szCs w:val="26"/>
          <w:lang w:val="lv-LV"/>
        </w:rPr>
        <w:t xml:space="preserve">kapitāla </w:t>
      </w:r>
      <w:r w:rsidR="008513FD" w:rsidRPr="00E76E46">
        <w:rPr>
          <w:rFonts w:eastAsia="Verdana"/>
          <w:sz w:val="26"/>
          <w:szCs w:val="26"/>
          <w:lang w:val="lv-LV"/>
        </w:rPr>
        <w:t xml:space="preserve">fondi </w:t>
      </w:r>
      <w:r w:rsidRPr="00E76E46">
        <w:rPr>
          <w:rFonts w:eastAsia="Verdana"/>
          <w:sz w:val="26"/>
          <w:szCs w:val="26"/>
          <w:lang w:val="lv-LV"/>
        </w:rPr>
        <w:t xml:space="preserve">(fonda pārvaldnieks – SIA „AIFP </w:t>
      </w:r>
      <w:proofErr w:type="spellStart"/>
      <w:r w:rsidRPr="00E76E46">
        <w:rPr>
          <w:rFonts w:eastAsia="Verdana"/>
          <w:sz w:val="26"/>
          <w:szCs w:val="26"/>
          <w:lang w:val="lv-LV"/>
        </w:rPr>
        <w:t>Imprimatur</w:t>
      </w:r>
      <w:proofErr w:type="spellEnd"/>
      <w:r w:rsidRPr="00E76E46">
        <w:rPr>
          <w:rFonts w:eastAsia="Verdana"/>
          <w:sz w:val="26"/>
          <w:szCs w:val="26"/>
          <w:lang w:val="lv-LV"/>
        </w:rPr>
        <w:t xml:space="preserve"> Capital </w:t>
      </w:r>
      <w:proofErr w:type="spellStart"/>
      <w:r w:rsidRPr="00E76E46">
        <w:rPr>
          <w:rFonts w:eastAsia="Verdana"/>
          <w:sz w:val="26"/>
          <w:szCs w:val="26"/>
          <w:lang w:val="lv-LV"/>
        </w:rPr>
        <w:t>Fund</w:t>
      </w:r>
      <w:proofErr w:type="spellEnd"/>
      <w:r w:rsidRPr="00E76E46">
        <w:rPr>
          <w:rFonts w:eastAsia="Verdana"/>
          <w:sz w:val="26"/>
          <w:szCs w:val="26"/>
          <w:lang w:val="lv-LV"/>
        </w:rPr>
        <w:t xml:space="preserve"> </w:t>
      </w:r>
      <w:proofErr w:type="spellStart"/>
      <w:r w:rsidRPr="00E76E46">
        <w:rPr>
          <w:rFonts w:eastAsia="Verdana"/>
          <w:sz w:val="26"/>
          <w:szCs w:val="26"/>
          <w:lang w:val="lv-LV"/>
        </w:rPr>
        <w:t>Management</w:t>
      </w:r>
      <w:proofErr w:type="spellEnd"/>
      <w:r w:rsidRPr="00E76E46">
        <w:rPr>
          <w:rFonts w:eastAsia="Verdana"/>
          <w:sz w:val="26"/>
          <w:szCs w:val="26"/>
          <w:lang w:val="lv-LV"/>
        </w:rPr>
        <w:t>”), r</w:t>
      </w:r>
      <w:r w:rsidR="00A40839" w:rsidRPr="00E76E46">
        <w:rPr>
          <w:rFonts w:eastAsia="Verdana"/>
          <w:sz w:val="26"/>
          <w:szCs w:val="26"/>
          <w:lang w:val="lv-LV"/>
        </w:rPr>
        <w:t xml:space="preserve">iska kapitāla </w:t>
      </w:r>
      <w:r w:rsidR="008513FD" w:rsidRPr="00E76E46">
        <w:rPr>
          <w:rFonts w:eastAsia="Verdana"/>
          <w:sz w:val="26"/>
          <w:szCs w:val="26"/>
          <w:lang w:val="lv-LV"/>
        </w:rPr>
        <w:t xml:space="preserve">fondi </w:t>
      </w:r>
      <w:r w:rsidRPr="00E76E46">
        <w:rPr>
          <w:rFonts w:eastAsia="Verdana"/>
          <w:sz w:val="26"/>
          <w:szCs w:val="26"/>
          <w:lang w:val="lv-LV"/>
        </w:rPr>
        <w:t>(fonda pārvaldnieks – SIA „</w:t>
      </w:r>
      <w:proofErr w:type="spellStart"/>
      <w:r w:rsidRPr="00E76E46">
        <w:rPr>
          <w:rFonts w:eastAsia="Verdana"/>
          <w:sz w:val="26"/>
          <w:szCs w:val="26"/>
          <w:lang w:val="lv-LV"/>
        </w:rPr>
        <w:t>BaltCap</w:t>
      </w:r>
      <w:proofErr w:type="spellEnd"/>
      <w:r w:rsidRPr="00E76E46">
        <w:rPr>
          <w:rFonts w:eastAsia="Verdana"/>
          <w:sz w:val="26"/>
          <w:szCs w:val="26"/>
          <w:lang w:val="lv-LV"/>
        </w:rPr>
        <w:t xml:space="preserve"> AIFP), i</w:t>
      </w:r>
      <w:r w:rsidR="009B1D80" w:rsidRPr="00E76E46">
        <w:rPr>
          <w:rFonts w:eastAsia="Verdana"/>
          <w:sz w:val="26"/>
          <w:szCs w:val="26"/>
          <w:lang w:val="lv-LV"/>
        </w:rPr>
        <w:t xml:space="preserve">zaugsmes kapitāla </w:t>
      </w:r>
      <w:r w:rsidR="008513FD" w:rsidRPr="00E76E46">
        <w:rPr>
          <w:rFonts w:eastAsia="Verdana"/>
          <w:sz w:val="26"/>
          <w:szCs w:val="26"/>
          <w:lang w:val="lv-LV"/>
        </w:rPr>
        <w:t xml:space="preserve">fondi </w:t>
      </w:r>
      <w:r w:rsidRPr="00E76E46">
        <w:rPr>
          <w:rFonts w:eastAsia="Verdana"/>
          <w:sz w:val="26"/>
          <w:szCs w:val="26"/>
          <w:lang w:val="lv-LV"/>
        </w:rPr>
        <w:t>(fondu pārvaldnieki – SIA „ZGI Capital”, SIA „</w:t>
      </w:r>
      <w:proofErr w:type="spellStart"/>
      <w:r w:rsidRPr="00E76E46">
        <w:rPr>
          <w:rFonts w:eastAsia="Verdana"/>
          <w:sz w:val="26"/>
          <w:szCs w:val="26"/>
          <w:lang w:val="lv-LV"/>
        </w:rPr>
        <w:t>FlyCap</w:t>
      </w:r>
      <w:proofErr w:type="spellEnd"/>
      <w:r w:rsidRPr="00E76E46">
        <w:rPr>
          <w:rFonts w:eastAsia="Verdana"/>
          <w:sz w:val="26"/>
          <w:szCs w:val="26"/>
          <w:lang w:val="lv-LV"/>
        </w:rPr>
        <w:t xml:space="preserve"> AIFP”, SIA „</w:t>
      </w:r>
      <w:proofErr w:type="spellStart"/>
      <w:r w:rsidRPr="00E76E46">
        <w:rPr>
          <w:rFonts w:eastAsia="Verdana"/>
          <w:sz w:val="26"/>
          <w:szCs w:val="26"/>
          <w:lang w:val="lv-LV"/>
        </w:rPr>
        <w:t>Expansion</w:t>
      </w:r>
      <w:proofErr w:type="spellEnd"/>
      <w:r w:rsidRPr="00E76E46">
        <w:rPr>
          <w:rFonts w:eastAsia="Verdana"/>
          <w:sz w:val="26"/>
          <w:szCs w:val="26"/>
          <w:lang w:val="lv-LV"/>
        </w:rPr>
        <w:t xml:space="preserve"> Capital AIFP”) kopumā </w:t>
      </w:r>
      <w:r w:rsidR="00A40839" w:rsidRPr="00E76E46">
        <w:rPr>
          <w:rFonts w:eastAsia="Verdana"/>
          <w:sz w:val="26"/>
          <w:szCs w:val="26"/>
          <w:lang w:val="lv-LV"/>
        </w:rPr>
        <w:t xml:space="preserve">ir </w:t>
      </w:r>
      <w:r w:rsidR="008513FD" w:rsidRPr="00E76E46">
        <w:rPr>
          <w:rFonts w:eastAsia="Verdana"/>
          <w:sz w:val="26"/>
          <w:szCs w:val="26"/>
          <w:lang w:val="lv-LV"/>
        </w:rPr>
        <w:t xml:space="preserve">veikuši </w:t>
      </w:r>
      <w:r w:rsidRPr="00E76E46">
        <w:rPr>
          <w:rFonts w:eastAsia="Verdana"/>
          <w:sz w:val="26"/>
          <w:szCs w:val="26"/>
          <w:lang w:val="lv-LV"/>
        </w:rPr>
        <w:t>210 riska kapitāla investīcijas 69 miljonu EUR apmērā.</w:t>
      </w:r>
      <w:r w:rsidR="00A40839" w:rsidRPr="00E76E46">
        <w:rPr>
          <w:rFonts w:eastAsia="Verdana"/>
          <w:sz w:val="26"/>
          <w:szCs w:val="26"/>
          <w:lang w:val="lv-LV"/>
        </w:rPr>
        <w:t xml:space="preserve"> Kā minēts iepriekš, lai nodrošinātu arī turpmāku riska kapitāla investīciju pieejamību, 2018.gadā tiks ieviesti jauni valsts līdzfinansēti riska kapitāla fondi. Papildus j</w:t>
      </w:r>
      <w:r w:rsidRPr="00E76E46">
        <w:rPr>
          <w:rFonts w:eastAsia="Verdana"/>
          <w:sz w:val="26"/>
          <w:szCs w:val="26"/>
          <w:lang w:val="lv-LV"/>
        </w:rPr>
        <w:t xml:space="preserve">āmin, ka Latvija ir </w:t>
      </w:r>
      <w:proofErr w:type="spellStart"/>
      <w:r w:rsidRPr="00E76E46">
        <w:rPr>
          <w:rFonts w:eastAsia="Verdana"/>
          <w:sz w:val="26"/>
          <w:szCs w:val="26"/>
          <w:lang w:val="lv-LV"/>
        </w:rPr>
        <w:t>līdzinvestors</w:t>
      </w:r>
      <w:proofErr w:type="spellEnd"/>
      <w:r w:rsidRPr="00E76E46">
        <w:rPr>
          <w:rFonts w:eastAsia="Verdana"/>
          <w:sz w:val="26"/>
          <w:szCs w:val="26"/>
          <w:lang w:val="lv-LV"/>
        </w:rPr>
        <w:t xml:space="preserve"> Baltijas Inovāciju fondā, kur strauji augošiem uzņēmējiem pieejamas finansiāli ietilpīgas investīcijas (līdz 15 miljoniem EUR apmērā), un investīciju periods Baltijas Inovāciju fonda ietvaros turpinās līdz 2022.gada beigām, tā piemēram,  fonda </w:t>
      </w:r>
      <w:proofErr w:type="spellStart"/>
      <w:r w:rsidRPr="00E76E46">
        <w:rPr>
          <w:rFonts w:eastAsia="Verdana"/>
          <w:sz w:val="26"/>
          <w:szCs w:val="26"/>
          <w:lang w:val="lv-LV"/>
        </w:rPr>
        <w:t>Baltcap</w:t>
      </w:r>
      <w:proofErr w:type="spellEnd"/>
      <w:r w:rsidRPr="00E76E46">
        <w:rPr>
          <w:rFonts w:eastAsia="Verdana"/>
          <w:sz w:val="26"/>
          <w:szCs w:val="26"/>
          <w:lang w:val="lv-LV"/>
        </w:rPr>
        <w:t xml:space="preserve"> </w:t>
      </w:r>
      <w:proofErr w:type="spellStart"/>
      <w:r w:rsidRPr="00E76E46">
        <w:rPr>
          <w:rFonts w:eastAsia="Verdana"/>
          <w:sz w:val="26"/>
          <w:szCs w:val="26"/>
          <w:lang w:val="lv-LV"/>
        </w:rPr>
        <w:t>Growth</w:t>
      </w:r>
      <w:proofErr w:type="spellEnd"/>
      <w:r w:rsidRPr="00E76E46">
        <w:rPr>
          <w:rFonts w:eastAsia="Verdana"/>
          <w:sz w:val="26"/>
          <w:szCs w:val="26"/>
          <w:lang w:val="lv-LV"/>
        </w:rPr>
        <w:t xml:space="preserve"> </w:t>
      </w:r>
      <w:proofErr w:type="spellStart"/>
      <w:r w:rsidRPr="00E76E46">
        <w:rPr>
          <w:rFonts w:eastAsia="Verdana"/>
          <w:sz w:val="26"/>
          <w:szCs w:val="26"/>
          <w:lang w:val="lv-LV"/>
        </w:rPr>
        <w:t>Fund</w:t>
      </w:r>
      <w:proofErr w:type="spellEnd"/>
      <w:r w:rsidRPr="00E76E46">
        <w:rPr>
          <w:rFonts w:eastAsia="Verdana"/>
          <w:sz w:val="26"/>
          <w:szCs w:val="26"/>
          <w:lang w:val="lv-LV"/>
        </w:rPr>
        <w:t xml:space="preserve"> ietvaros (</w:t>
      </w:r>
      <w:r w:rsidR="007A735D" w:rsidRPr="00E76E46">
        <w:rPr>
          <w:rFonts w:eastAsia="Verdana"/>
          <w:sz w:val="26"/>
          <w:szCs w:val="26"/>
          <w:lang w:val="lv-LV"/>
        </w:rPr>
        <w:t xml:space="preserve">skatīt </w:t>
      </w:r>
      <w:r w:rsidR="004F33BD" w:rsidRPr="00E76E46">
        <w:rPr>
          <w:rFonts w:eastAsia="Verdana"/>
          <w:sz w:val="26"/>
          <w:szCs w:val="26"/>
          <w:lang w:val="lv-LV"/>
        </w:rPr>
        <w:t>5</w:t>
      </w:r>
      <w:r w:rsidR="004F57D3" w:rsidRPr="00E76E46">
        <w:rPr>
          <w:rFonts w:eastAsia="Verdana"/>
          <w:sz w:val="26"/>
          <w:szCs w:val="26"/>
          <w:lang w:val="lv-LV"/>
        </w:rPr>
        <w:t>.attēlu</w:t>
      </w:r>
      <w:r w:rsidRPr="00E76E46">
        <w:rPr>
          <w:rFonts w:eastAsia="Verdana"/>
          <w:sz w:val="26"/>
          <w:szCs w:val="26"/>
          <w:lang w:val="lv-LV"/>
        </w:rPr>
        <w:t xml:space="preserve">). </w:t>
      </w:r>
    </w:p>
    <w:p w:rsidR="00C2144F" w:rsidRPr="00E76E46" w:rsidRDefault="00C2144F" w:rsidP="005A227A">
      <w:pPr>
        <w:jc w:val="right"/>
        <w:rPr>
          <w:rFonts w:eastAsia="Verdana"/>
          <w:sz w:val="22"/>
          <w:lang w:val="lv-LV"/>
        </w:rPr>
      </w:pPr>
    </w:p>
    <w:p w:rsidR="005A227A" w:rsidRPr="00E76E46" w:rsidRDefault="00F43B2D" w:rsidP="005A227A">
      <w:pPr>
        <w:jc w:val="right"/>
        <w:rPr>
          <w:rFonts w:eastAsia="Verdana"/>
          <w:sz w:val="22"/>
          <w:lang w:val="lv-LV"/>
        </w:rPr>
      </w:pPr>
      <w:r w:rsidRPr="00E76E46">
        <w:rPr>
          <w:rFonts w:eastAsia="Verdana"/>
          <w:sz w:val="22"/>
          <w:lang w:val="lv-LV"/>
        </w:rPr>
        <w:t>5</w:t>
      </w:r>
      <w:r w:rsidR="004F57D3" w:rsidRPr="00E76E46">
        <w:rPr>
          <w:rFonts w:eastAsia="Verdana"/>
          <w:sz w:val="22"/>
          <w:lang w:val="lv-LV"/>
        </w:rPr>
        <w:t>.attēls</w:t>
      </w:r>
    </w:p>
    <w:p w:rsidR="005A227A" w:rsidRPr="00E76E46" w:rsidRDefault="00F43B2D" w:rsidP="005A227A">
      <w:pPr>
        <w:jc w:val="right"/>
        <w:rPr>
          <w:rFonts w:eastAsia="Verdana"/>
          <w:i/>
          <w:sz w:val="22"/>
          <w:lang w:val="lv-LV"/>
        </w:rPr>
      </w:pPr>
      <w:r w:rsidRPr="00E76E46">
        <w:rPr>
          <w:rFonts w:eastAsia="Verdana"/>
          <w:i/>
          <w:sz w:val="22"/>
          <w:lang w:val="lv-LV"/>
        </w:rPr>
        <w:t>Investīciju periods Baltijas Inovāciju fonda riska kapitāla fondos</w:t>
      </w:r>
    </w:p>
    <w:p w:rsidR="002A176A" w:rsidRPr="00E76E46" w:rsidRDefault="00F43B2D" w:rsidP="000A19D5">
      <w:pPr>
        <w:spacing w:after="240"/>
        <w:jc w:val="both"/>
        <w:rPr>
          <w:rFonts w:eastAsia="Verdana"/>
          <w:sz w:val="26"/>
          <w:szCs w:val="26"/>
          <w:highlight w:val="yellow"/>
          <w:lang w:val="lv-LV"/>
        </w:rPr>
      </w:pPr>
      <w:r w:rsidRPr="00E76E46">
        <w:rPr>
          <w:rFonts w:eastAsia="Verdana"/>
          <w:noProof/>
          <w:sz w:val="26"/>
          <w:szCs w:val="26"/>
          <w:lang w:val="lv-LV" w:eastAsia="lv-LV"/>
        </w:rPr>
        <w:drawing>
          <wp:inline distT="0" distB="0" distL="0" distR="0">
            <wp:extent cx="5762625" cy="1133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879013"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762625" cy="1133475"/>
                    </a:xfrm>
                    <a:prstGeom prst="rect">
                      <a:avLst/>
                    </a:prstGeom>
                    <a:noFill/>
                    <a:ln>
                      <a:noFill/>
                    </a:ln>
                  </pic:spPr>
                </pic:pic>
              </a:graphicData>
            </a:graphic>
          </wp:inline>
        </w:drawing>
      </w:r>
    </w:p>
    <w:p w:rsidR="008225F3" w:rsidRPr="00E76E46" w:rsidRDefault="008225F3" w:rsidP="00584139">
      <w:pPr>
        <w:spacing w:after="120" w:line="276" w:lineRule="auto"/>
        <w:jc w:val="both"/>
        <w:rPr>
          <w:rFonts w:eastAsia="Calibri"/>
          <w:sz w:val="26"/>
          <w:szCs w:val="26"/>
          <w:lang w:val="lv-LV"/>
        </w:rPr>
      </w:pPr>
    </w:p>
    <w:p w:rsidR="008225F3" w:rsidRPr="00E76E46" w:rsidRDefault="00F43B2D" w:rsidP="00584139">
      <w:pPr>
        <w:spacing w:after="120" w:line="276" w:lineRule="auto"/>
        <w:jc w:val="both"/>
        <w:rPr>
          <w:rFonts w:eastAsia="Calibri"/>
          <w:sz w:val="26"/>
          <w:szCs w:val="26"/>
          <w:lang w:val="lv-LV"/>
        </w:rPr>
      </w:pPr>
      <w:r w:rsidRPr="00E76E46">
        <w:rPr>
          <w:rFonts w:eastAsia="Calibri"/>
          <w:sz w:val="26"/>
          <w:szCs w:val="26"/>
          <w:lang w:val="lv-LV"/>
        </w:rPr>
        <w:t xml:space="preserve">Lai 2018.gadā nodrošinātu jaunu riska kapitāla fondu uzsākšanu, akciju sabiedrības “Attīstības finanšu institūcija </w:t>
      </w:r>
      <w:proofErr w:type="spellStart"/>
      <w:r w:rsidRPr="00E76E46">
        <w:rPr>
          <w:rFonts w:eastAsia="Calibri"/>
          <w:sz w:val="26"/>
          <w:szCs w:val="26"/>
          <w:lang w:val="lv-LV"/>
        </w:rPr>
        <w:t>Altum</w:t>
      </w:r>
      <w:proofErr w:type="spellEnd"/>
      <w:r w:rsidRPr="00E76E46">
        <w:rPr>
          <w:rFonts w:eastAsia="Calibri"/>
          <w:sz w:val="26"/>
          <w:szCs w:val="26"/>
          <w:lang w:val="lv-LV"/>
        </w:rPr>
        <w:t>” publiskās iepirkumu procedūras ietvaros izvēlētajiem finanšu starpniekiem būs nepieciešams nodrošināt privātā līdzfinansējuma piesaisti</w:t>
      </w:r>
      <w:r w:rsidR="00A87FC1" w:rsidRPr="00E76E46">
        <w:rPr>
          <w:rFonts w:eastAsia="Calibri"/>
          <w:sz w:val="26"/>
          <w:szCs w:val="26"/>
          <w:lang w:val="lv-LV"/>
        </w:rPr>
        <w:t>. S</w:t>
      </w:r>
      <w:r w:rsidRPr="00E76E46">
        <w:rPr>
          <w:rFonts w:eastAsia="Calibri"/>
          <w:sz w:val="26"/>
          <w:szCs w:val="26"/>
          <w:lang w:val="lv-LV"/>
        </w:rPr>
        <w:t>askaņā ar Ministru kabineta 2016.gada 12.aprīļa noteikumu Nr.226 “Noteikumi par akcelerācijas fondiem saimnieciskās darbības veicēju izveides, attīstības un konkurētspējas veicināšanai” 41.punktu</w:t>
      </w:r>
      <w:r w:rsidR="00224D25" w:rsidRPr="00E76E46">
        <w:rPr>
          <w:rFonts w:eastAsia="Calibri"/>
          <w:sz w:val="26"/>
          <w:szCs w:val="26"/>
          <w:lang w:val="lv-LV"/>
        </w:rPr>
        <w:t xml:space="preserve"> akcelerācijas fondiem piesaistītā privātā līdzfinansējuma apmēram jābūt vismaz</w:t>
      </w:r>
      <w:r w:rsidRPr="00E76E46">
        <w:rPr>
          <w:rFonts w:eastAsia="Calibri"/>
          <w:sz w:val="26"/>
          <w:szCs w:val="26"/>
          <w:lang w:val="lv-LV"/>
        </w:rPr>
        <w:t xml:space="preserve"> 10 % no sēklas</w:t>
      </w:r>
      <w:r w:rsidR="00156DE3" w:rsidRPr="00E76E46">
        <w:rPr>
          <w:rFonts w:eastAsia="Calibri"/>
          <w:sz w:val="26"/>
          <w:szCs w:val="26"/>
          <w:lang w:val="lv-LV"/>
        </w:rPr>
        <w:t xml:space="preserve"> </w:t>
      </w:r>
      <w:r w:rsidRPr="00E76E46">
        <w:rPr>
          <w:rFonts w:eastAsia="Calibri"/>
          <w:sz w:val="26"/>
          <w:szCs w:val="26"/>
          <w:lang w:val="lv-LV"/>
        </w:rPr>
        <w:t>naudas ieguldījumu apmēra</w:t>
      </w:r>
      <w:r w:rsidR="00224D25" w:rsidRPr="00E76E46">
        <w:rPr>
          <w:rFonts w:eastAsia="Calibri"/>
          <w:sz w:val="26"/>
          <w:szCs w:val="26"/>
          <w:lang w:val="lv-LV"/>
        </w:rPr>
        <w:t xml:space="preserve">, atbilstoši Ministru kabineta 2016.gada 2.augusta </w:t>
      </w:r>
      <w:r w:rsidR="00761737" w:rsidRPr="00E76E46">
        <w:rPr>
          <w:rFonts w:eastAsia="Calibri"/>
          <w:sz w:val="26"/>
          <w:szCs w:val="26"/>
          <w:lang w:val="lv-LV"/>
        </w:rPr>
        <w:t>noteikumu</w:t>
      </w:r>
      <w:r w:rsidR="00224D25" w:rsidRPr="00E76E46">
        <w:rPr>
          <w:rFonts w:eastAsia="Calibri"/>
          <w:sz w:val="26"/>
          <w:szCs w:val="26"/>
          <w:lang w:val="lv-LV"/>
        </w:rPr>
        <w:t xml:space="preserve"> Nr.518 “Noteikumi par sēklas kapitāla, sākuma kapitāla un izaugsmes kapitāla fondiem saimnieciskās </w:t>
      </w:r>
      <w:r w:rsidR="00224D25" w:rsidRPr="00E76E46">
        <w:rPr>
          <w:rFonts w:eastAsia="Calibri"/>
          <w:sz w:val="26"/>
          <w:szCs w:val="26"/>
          <w:lang w:val="lv-LV"/>
        </w:rPr>
        <w:lastRenderedPageBreak/>
        <w:t xml:space="preserve">darbības veicēju izveides, attīstības un konkurētspējas veicināšanai” </w:t>
      </w:r>
      <w:r w:rsidR="00A87FC1" w:rsidRPr="00E76E46">
        <w:rPr>
          <w:rFonts w:eastAsia="Calibri"/>
          <w:sz w:val="26"/>
          <w:szCs w:val="26"/>
          <w:lang w:val="lv-LV"/>
        </w:rPr>
        <w:t>(turpmāk – MK noteikumi Nr.518) 33.punktu sēklas kapitāla fondiem tam jābūt vismaz 10 % no sēklas kapitāla ieguldījumu apmēra, atbilstoši MK noteikumu Nr.518 36.punktam – sākuma kapitāla fondiem tam jābūt vismaz 25 % apmērā no sākuma kapitāla ieguldījumu apmēra un atbilstoši MK noteikumu Nr.518 40.punktam – izaugsmes kapitāla fondiem tam jābūt vismaz 40 % apmērā no izaugsmes kapitāla ieguldījumu apmēra.</w:t>
      </w:r>
    </w:p>
    <w:p w:rsidR="003E424A" w:rsidRPr="00E76E46" w:rsidRDefault="00F43B2D" w:rsidP="003E424A">
      <w:pPr>
        <w:spacing w:after="120" w:line="276" w:lineRule="auto"/>
        <w:jc w:val="both"/>
        <w:rPr>
          <w:rFonts w:eastAsia="Calibri"/>
          <w:sz w:val="26"/>
          <w:szCs w:val="26"/>
          <w:lang w:val="lv-LV"/>
        </w:rPr>
      </w:pPr>
      <w:r w:rsidRPr="00E76E46">
        <w:rPr>
          <w:rFonts w:eastAsia="Verdana"/>
          <w:sz w:val="26"/>
          <w:szCs w:val="26"/>
          <w:lang w:val="lv-LV"/>
        </w:rPr>
        <w:t>P</w:t>
      </w:r>
      <w:r w:rsidRPr="00E76E46">
        <w:rPr>
          <w:rFonts w:eastAsia="Calibri"/>
          <w:sz w:val="26"/>
          <w:szCs w:val="26"/>
          <w:lang w:val="lv-LV"/>
        </w:rPr>
        <w:t xml:space="preserve">amatojoties uz </w:t>
      </w:r>
      <w:r w:rsidR="00156DE3" w:rsidRPr="00E76E46">
        <w:rPr>
          <w:rFonts w:eastAsia="Calibri"/>
          <w:sz w:val="26"/>
          <w:szCs w:val="26"/>
          <w:lang w:val="lv-LV"/>
        </w:rPr>
        <w:t xml:space="preserve">Latvijas Privātā un </w:t>
      </w:r>
      <w:r w:rsidRPr="00E76E46">
        <w:rPr>
          <w:rFonts w:eastAsia="Calibri"/>
          <w:sz w:val="26"/>
          <w:szCs w:val="26"/>
          <w:lang w:val="lv-LV"/>
        </w:rPr>
        <w:t>riska kapitāla asociācijas (turpmāk – LVCA) aplēsēm, publiski līdzfinansētie riska kapitāla fondi līdz 2023.gada beigām Baltijas reģionā kopumā investēs vismaz 700 milj. EUR, no kuriem aptuveni 400 milj. EUR sastāda privātais finansējums, tomēr privātā līdzfinansējuma iztrūkums reģionā ir aptuveni 200 milj. EUR.</w:t>
      </w:r>
    </w:p>
    <w:p w:rsidR="00EF787E" w:rsidRPr="00E76E46" w:rsidRDefault="00EF787E" w:rsidP="00584139">
      <w:pPr>
        <w:spacing w:after="120" w:line="276" w:lineRule="auto"/>
        <w:jc w:val="both"/>
        <w:rPr>
          <w:rFonts w:eastAsia="Calibri"/>
          <w:b/>
          <w:sz w:val="26"/>
          <w:szCs w:val="26"/>
          <w:lang w:val="lv-LV"/>
        </w:rPr>
      </w:pPr>
    </w:p>
    <w:p w:rsidR="003E424A" w:rsidRPr="00E76E46" w:rsidRDefault="00F43B2D" w:rsidP="00584139">
      <w:pPr>
        <w:spacing w:after="120" w:line="276" w:lineRule="auto"/>
        <w:jc w:val="both"/>
        <w:rPr>
          <w:rFonts w:eastAsia="Calibri"/>
          <w:b/>
          <w:sz w:val="26"/>
          <w:szCs w:val="26"/>
          <w:lang w:val="lv-LV"/>
        </w:rPr>
      </w:pPr>
      <w:r w:rsidRPr="00E76E46">
        <w:rPr>
          <w:rFonts w:eastAsia="Calibri"/>
          <w:b/>
          <w:sz w:val="26"/>
          <w:szCs w:val="26"/>
          <w:lang w:val="lv-LV"/>
        </w:rPr>
        <w:t>Priekšlikumi riska kapitāla tirgus attīstībai</w:t>
      </w:r>
    </w:p>
    <w:p w:rsidR="00A50217" w:rsidRPr="00E76E46" w:rsidRDefault="00F43B2D" w:rsidP="00584139">
      <w:pPr>
        <w:spacing w:after="120" w:line="276" w:lineRule="auto"/>
        <w:jc w:val="both"/>
        <w:rPr>
          <w:rFonts w:eastAsia="Calibri"/>
          <w:sz w:val="26"/>
          <w:szCs w:val="26"/>
          <w:lang w:val="lv-LV"/>
        </w:rPr>
      </w:pPr>
      <w:r w:rsidRPr="00E76E46">
        <w:rPr>
          <w:rFonts w:eastAsia="Calibri"/>
          <w:sz w:val="26"/>
          <w:szCs w:val="26"/>
          <w:lang w:val="lv-LV"/>
        </w:rPr>
        <w:t xml:space="preserve">Ieguldījumi riska kapitāla fondos Latvijā tiešā veidā veicina ekonomisko aktivitāti, nodrošinot finansējumu </w:t>
      </w:r>
      <w:r w:rsidR="004F33BD" w:rsidRPr="00E76E46">
        <w:rPr>
          <w:rFonts w:eastAsia="Calibri"/>
          <w:sz w:val="26"/>
          <w:szCs w:val="26"/>
          <w:lang w:val="lv-LV"/>
        </w:rPr>
        <w:t>tādiem</w:t>
      </w:r>
      <w:r w:rsidRPr="00E76E46">
        <w:rPr>
          <w:rFonts w:eastAsia="Calibri"/>
          <w:sz w:val="26"/>
          <w:szCs w:val="26"/>
          <w:lang w:val="lv-LV"/>
        </w:rPr>
        <w:t xml:space="preserve"> uzņēmumiem, kas strādā ar augstu pievienoto vērtību un k</w:t>
      </w:r>
      <w:r w:rsidR="000D5A44" w:rsidRPr="00E76E46">
        <w:rPr>
          <w:rFonts w:eastAsia="Calibri"/>
          <w:sz w:val="26"/>
          <w:szCs w:val="26"/>
          <w:lang w:val="lv-LV"/>
        </w:rPr>
        <w:t>oncentrējas uz eksporta tirgiem</w:t>
      </w:r>
      <w:r w:rsidRPr="00E76E46">
        <w:rPr>
          <w:rFonts w:eastAsia="Calibri"/>
          <w:sz w:val="26"/>
          <w:szCs w:val="26"/>
          <w:lang w:val="lv-LV"/>
        </w:rPr>
        <w:t xml:space="preserve"> un veicina Latvijas konkurētspēju un labklājību.</w:t>
      </w:r>
      <w:r w:rsidR="004F33BD" w:rsidRPr="00E76E46">
        <w:rPr>
          <w:rFonts w:eastAsia="Calibri"/>
          <w:sz w:val="26"/>
          <w:szCs w:val="26"/>
          <w:lang w:val="lv-LV"/>
        </w:rPr>
        <w:t xml:space="preserve"> </w:t>
      </w:r>
      <w:r w:rsidRPr="00E76E46">
        <w:rPr>
          <w:rFonts w:eastAsia="Calibri"/>
          <w:sz w:val="26"/>
          <w:szCs w:val="26"/>
          <w:lang w:val="lv-LV"/>
        </w:rPr>
        <w:t xml:space="preserve">Pēc </w:t>
      </w:r>
      <w:r w:rsidR="003E424A" w:rsidRPr="00E76E46">
        <w:rPr>
          <w:rFonts w:eastAsia="Calibri"/>
          <w:sz w:val="26"/>
          <w:szCs w:val="26"/>
          <w:lang w:val="lv-LV"/>
        </w:rPr>
        <w:t>LVCA</w:t>
      </w:r>
      <w:r w:rsidRPr="00E76E46">
        <w:rPr>
          <w:rFonts w:eastAsia="Calibri"/>
          <w:sz w:val="26"/>
          <w:szCs w:val="26"/>
          <w:lang w:val="lv-LV"/>
        </w:rPr>
        <w:t xml:space="preserve"> datiem pēdējo gadu laikā riska kapitālu saņēmušo uzņēmumu apgrozījums vidēji ir pieaudzis par vairāk kā 350%, no kuriem lielāko daļu veido eksports. Investīcijas Latvijas uzņēmumos palielina nodokļu bāzi, veicina nodarbinātību un sekmē iemaksu apjomu pensiju fondos. </w:t>
      </w:r>
    </w:p>
    <w:p w:rsidR="00B26AB2" w:rsidRPr="00E76E46" w:rsidRDefault="00F43B2D" w:rsidP="00B26AB2">
      <w:pPr>
        <w:spacing w:after="120" w:line="276" w:lineRule="auto"/>
        <w:jc w:val="both"/>
        <w:rPr>
          <w:rFonts w:eastAsia="Calibri"/>
          <w:sz w:val="26"/>
          <w:szCs w:val="26"/>
          <w:lang w:val="lv-LV"/>
        </w:rPr>
      </w:pPr>
      <w:r w:rsidRPr="00E76E46">
        <w:rPr>
          <w:rFonts w:eastAsia="Calibri"/>
          <w:sz w:val="26"/>
          <w:szCs w:val="26"/>
          <w:lang w:val="lv-LV"/>
        </w:rPr>
        <w:t xml:space="preserve">Saskaņā ar Finanšu un kapitāla tirgus komisijas datiem, 2017. gada pirmajā pusgadā valsts </w:t>
      </w:r>
      <w:proofErr w:type="spellStart"/>
      <w:r w:rsidRPr="00E76E46">
        <w:rPr>
          <w:rFonts w:eastAsia="Calibri"/>
          <w:sz w:val="26"/>
          <w:szCs w:val="26"/>
          <w:lang w:val="lv-LV"/>
        </w:rPr>
        <w:t>fondēto</w:t>
      </w:r>
      <w:proofErr w:type="spellEnd"/>
      <w:r w:rsidRPr="00E76E46">
        <w:rPr>
          <w:rFonts w:eastAsia="Calibri"/>
          <w:sz w:val="26"/>
          <w:szCs w:val="26"/>
          <w:lang w:val="lv-LV"/>
        </w:rPr>
        <w:t xml:space="preserve"> pensiju shēmas līdzekļu ieguldījumu plānos uzkrātais kapitāls pieauga par 9% jeb 248.3 milj. eiro un jūnija beigās pārsniedza 3 mljrd. eiro. Ieguldījumi alternatīvajos ieguldījumu fondos </w:t>
      </w:r>
      <w:r w:rsidR="008513FD" w:rsidRPr="00E76E46">
        <w:rPr>
          <w:rFonts w:eastAsia="Calibri"/>
          <w:sz w:val="26"/>
          <w:szCs w:val="26"/>
          <w:lang w:val="lv-LV"/>
        </w:rPr>
        <w:t xml:space="preserve">(t.sk nekustamā īpašuma fondos) </w:t>
      </w:r>
      <w:r w:rsidRPr="00E76E46">
        <w:rPr>
          <w:rFonts w:eastAsia="Calibri"/>
          <w:sz w:val="26"/>
          <w:szCs w:val="26"/>
          <w:lang w:val="lv-LV"/>
        </w:rPr>
        <w:t xml:space="preserve">pārskata ceturkšņa beigās veidoja 2.1% no kopējā portfeļa tāpat kā 2016. gada beigās. </w:t>
      </w:r>
      <w:r>
        <w:rPr>
          <w:rStyle w:val="FootnoteReference"/>
          <w:rFonts w:eastAsia="Calibri"/>
          <w:sz w:val="26"/>
          <w:szCs w:val="26"/>
          <w:lang w:val="lv-LV"/>
        </w:rPr>
        <w:footnoteReference w:id="5"/>
      </w:r>
      <w:r w:rsidR="00156DE3" w:rsidRPr="00E76E46">
        <w:rPr>
          <w:rFonts w:eastAsia="Calibri"/>
          <w:sz w:val="26"/>
          <w:szCs w:val="26"/>
          <w:lang w:val="lv-LV"/>
        </w:rPr>
        <w:t xml:space="preserve"> Jāņem vērā, ka šāds ieguldījumu līmenis sasniegts, veicot tās laikā pirms pensiju fondu pārvaldnieku komisiju samazināšanas. Pretēji dabiski prognozējamai tendencei palielināt ieguldījumus riska kapitālā, palielinoties pieredzei darbā ar šāda veida aktīviem, zemāk uzskaitīto iemeslu dēļ Latvijā varētu notikt pretējs process.</w:t>
      </w:r>
    </w:p>
    <w:p w:rsidR="004F33BD" w:rsidRPr="00E76E46" w:rsidRDefault="00F43B2D" w:rsidP="00B26AB2">
      <w:pPr>
        <w:spacing w:after="120" w:line="276" w:lineRule="auto"/>
        <w:jc w:val="both"/>
        <w:rPr>
          <w:rFonts w:eastAsia="Calibri"/>
          <w:sz w:val="26"/>
          <w:szCs w:val="26"/>
          <w:lang w:val="lv-LV"/>
        </w:rPr>
      </w:pPr>
      <w:r w:rsidRPr="00E76E46">
        <w:rPr>
          <w:rFonts w:eastAsia="Calibri"/>
          <w:sz w:val="26"/>
          <w:szCs w:val="26"/>
          <w:lang w:val="lv-LV"/>
        </w:rPr>
        <w:t>Atbilstoši LVCA pieejamajai informācijai</w:t>
      </w:r>
      <w:r w:rsidR="00A50217" w:rsidRPr="00E76E46">
        <w:rPr>
          <w:rFonts w:eastAsia="Calibri"/>
          <w:sz w:val="26"/>
          <w:szCs w:val="26"/>
          <w:lang w:val="lv-LV"/>
        </w:rPr>
        <w:t xml:space="preserve"> pensiju fondu pārvaldnieki (izņemot pasīvos fondus) 25-35% iegulda Latvijas ekonomikā, tostarp arī riska kapitālā un Latvijas uzņēmumu akcijās un obligācijās. Piemēram, pensiju fondu līdzekļi ir ieguldīti Latvenergo obligācijās, </w:t>
      </w:r>
      <w:proofErr w:type="spellStart"/>
      <w:r w:rsidR="00A50217" w:rsidRPr="00E76E46">
        <w:rPr>
          <w:rFonts w:eastAsia="Calibri"/>
          <w:sz w:val="26"/>
          <w:szCs w:val="26"/>
          <w:lang w:val="lv-LV"/>
        </w:rPr>
        <w:t>OlainFarm</w:t>
      </w:r>
      <w:proofErr w:type="spellEnd"/>
      <w:r w:rsidR="00A50217" w:rsidRPr="00E76E46">
        <w:rPr>
          <w:rFonts w:eastAsia="Calibri"/>
          <w:sz w:val="26"/>
          <w:szCs w:val="26"/>
          <w:lang w:val="lv-LV"/>
        </w:rPr>
        <w:t xml:space="preserve"> un </w:t>
      </w:r>
      <w:proofErr w:type="spellStart"/>
      <w:r w:rsidR="00A50217" w:rsidRPr="00E76E46">
        <w:rPr>
          <w:rFonts w:eastAsia="Calibri"/>
          <w:sz w:val="26"/>
          <w:szCs w:val="26"/>
          <w:lang w:val="lv-LV"/>
        </w:rPr>
        <w:t>HansaMatrix</w:t>
      </w:r>
      <w:proofErr w:type="spellEnd"/>
      <w:r w:rsidR="00A50217" w:rsidRPr="00E76E46">
        <w:rPr>
          <w:rFonts w:eastAsia="Calibri"/>
          <w:sz w:val="26"/>
          <w:szCs w:val="26"/>
          <w:lang w:val="lv-LV"/>
        </w:rPr>
        <w:t xml:space="preserve"> akcijās, kā arī caur riska kapitāla fondiem ir pastarpināti īpašnieki tādos uzņēmumos, kā </w:t>
      </w:r>
      <w:r w:rsidRPr="00E76E46">
        <w:rPr>
          <w:rFonts w:eastAsia="Calibri"/>
          <w:sz w:val="26"/>
          <w:szCs w:val="26"/>
          <w:lang w:val="lv-LV"/>
        </w:rPr>
        <w:t>“</w:t>
      </w:r>
      <w:r w:rsidR="00A50217" w:rsidRPr="00E76E46">
        <w:rPr>
          <w:rFonts w:eastAsia="Calibri"/>
          <w:sz w:val="26"/>
          <w:szCs w:val="26"/>
          <w:lang w:val="lv-LV"/>
        </w:rPr>
        <w:t>Pūre</w:t>
      </w:r>
      <w:r w:rsidRPr="00E76E46">
        <w:rPr>
          <w:rFonts w:eastAsia="Calibri"/>
          <w:sz w:val="26"/>
          <w:szCs w:val="26"/>
          <w:lang w:val="lv-LV"/>
        </w:rPr>
        <w:t>”</w:t>
      </w:r>
      <w:r w:rsidR="00A50217" w:rsidRPr="00E76E46">
        <w:rPr>
          <w:rFonts w:eastAsia="Calibri"/>
          <w:sz w:val="26"/>
          <w:szCs w:val="26"/>
          <w:lang w:val="lv-LV"/>
        </w:rPr>
        <w:t xml:space="preserve">, </w:t>
      </w:r>
      <w:r w:rsidRPr="00E76E46">
        <w:rPr>
          <w:rFonts w:eastAsia="Calibri"/>
          <w:sz w:val="26"/>
          <w:szCs w:val="26"/>
          <w:lang w:val="lv-LV"/>
        </w:rPr>
        <w:t>“</w:t>
      </w:r>
      <w:r w:rsidR="00A50217" w:rsidRPr="00E76E46">
        <w:rPr>
          <w:rFonts w:eastAsia="Calibri"/>
          <w:sz w:val="26"/>
          <w:szCs w:val="26"/>
          <w:lang w:val="lv-LV"/>
        </w:rPr>
        <w:t>Digitālās Ekonomikas Attīstības Centrs (DEAC)</w:t>
      </w:r>
      <w:r w:rsidRPr="00E76E46">
        <w:rPr>
          <w:rFonts w:eastAsia="Calibri"/>
          <w:sz w:val="26"/>
          <w:szCs w:val="26"/>
          <w:lang w:val="lv-LV"/>
        </w:rPr>
        <w:t>”</w:t>
      </w:r>
      <w:r w:rsidR="00A50217" w:rsidRPr="00E76E46">
        <w:rPr>
          <w:rFonts w:eastAsia="Calibri"/>
          <w:sz w:val="26"/>
          <w:szCs w:val="26"/>
          <w:lang w:val="lv-LV"/>
        </w:rPr>
        <w:t xml:space="preserve">, </w:t>
      </w:r>
      <w:r w:rsidRPr="00E76E46">
        <w:rPr>
          <w:rFonts w:eastAsia="Calibri"/>
          <w:sz w:val="26"/>
          <w:szCs w:val="26"/>
          <w:lang w:val="lv-LV"/>
        </w:rPr>
        <w:t>“</w:t>
      </w:r>
      <w:r w:rsidR="00A50217" w:rsidRPr="00E76E46">
        <w:rPr>
          <w:rFonts w:eastAsia="Calibri"/>
          <w:sz w:val="26"/>
          <w:szCs w:val="26"/>
          <w:lang w:val="lv-LV"/>
        </w:rPr>
        <w:t>Eco Baltija</w:t>
      </w:r>
      <w:r w:rsidRPr="00E76E46">
        <w:rPr>
          <w:rFonts w:eastAsia="Calibri"/>
          <w:sz w:val="26"/>
          <w:szCs w:val="26"/>
          <w:lang w:val="lv-LV"/>
        </w:rPr>
        <w:t xml:space="preserve">” un daudzos citos uzņēmumos. </w:t>
      </w:r>
      <w:r w:rsidR="0036180E" w:rsidRPr="00E76E46">
        <w:rPr>
          <w:rFonts w:eastAsia="Calibri"/>
          <w:sz w:val="26"/>
          <w:szCs w:val="26"/>
          <w:lang w:val="lv-LV"/>
        </w:rPr>
        <w:t>V</w:t>
      </w:r>
      <w:r w:rsidR="00713B56" w:rsidRPr="00E76E46">
        <w:rPr>
          <w:rFonts w:eastAsia="Calibri"/>
          <w:sz w:val="26"/>
          <w:szCs w:val="26"/>
          <w:lang w:val="lv-LV"/>
        </w:rPr>
        <w:t xml:space="preserve">ēsturiski lielāko privātā kapitāla piesaistes darījumu publiski līdzfinansētam izaugsmes kapitāla fondam </w:t>
      </w:r>
      <w:r w:rsidRPr="00E76E46">
        <w:rPr>
          <w:rFonts w:eastAsia="Calibri"/>
          <w:sz w:val="26"/>
          <w:szCs w:val="26"/>
          <w:lang w:val="lv-LV"/>
        </w:rPr>
        <w:t xml:space="preserve">“ZGI – 4” </w:t>
      </w:r>
      <w:r w:rsidR="00141768" w:rsidRPr="00E76E46">
        <w:rPr>
          <w:rFonts w:eastAsia="Calibri"/>
          <w:sz w:val="26"/>
          <w:szCs w:val="26"/>
          <w:lang w:val="lv-LV"/>
        </w:rPr>
        <w:t xml:space="preserve">11 </w:t>
      </w:r>
      <w:r w:rsidRPr="00E76E46">
        <w:rPr>
          <w:rFonts w:eastAsia="Calibri"/>
          <w:sz w:val="26"/>
          <w:szCs w:val="26"/>
          <w:lang w:val="lv-LV"/>
        </w:rPr>
        <w:t xml:space="preserve">milj. EUR apjomā 2018.gada augustā </w:t>
      </w:r>
      <w:r w:rsidR="0036180E" w:rsidRPr="00E76E46">
        <w:rPr>
          <w:rFonts w:eastAsia="Calibri"/>
          <w:sz w:val="26"/>
          <w:szCs w:val="26"/>
          <w:lang w:val="lv-LV"/>
        </w:rPr>
        <w:t xml:space="preserve">veica </w:t>
      </w:r>
      <w:r w:rsidRPr="00E76E46">
        <w:rPr>
          <w:rFonts w:eastAsia="Calibri"/>
          <w:sz w:val="26"/>
          <w:szCs w:val="26"/>
          <w:lang w:val="lv-LV"/>
        </w:rPr>
        <w:t xml:space="preserve">“Swedbank </w:t>
      </w:r>
      <w:r w:rsidRPr="00E76E46">
        <w:rPr>
          <w:rFonts w:eastAsia="Calibri"/>
          <w:sz w:val="26"/>
          <w:szCs w:val="26"/>
          <w:lang w:val="lv-LV"/>
        </w:rPr>
        <w:lastRenderedPageBreak/>
        <w:t>Ieguldījumu Pārvaldes Sabiedrība</w:t>
      </w:r>
      <w:r w:rsidR="00156DE3" w:rsidRPr="00E76E46">
        <w:rPr>
          <w:rFonts w:eastAsia="Calibri"/>
          <w:sz w:val="26"/>
          <w:szCs w:val="26"/>
          <w:lang w:val="lv-LV"/>
        </w:rPr>
        <w:t>”</w:t>
      </w:r>
      <w:r w:rsidRPr="00E76E46">
        <w:rPr>
          <w:rFonts w:eastAsia="Calibri"/>
          <w:sz w:val="26"/>
          <w:szCs w:val="26"/>
          <w:lang w:val="lv-LV"/>
        </w:rPr>
        <w:t>, k</w:t>
      </w:r>
      <w:r w:rsidR="0036180E" w:rsidRPr="00E76E46">
        <w:rPr>
          <w:rFonts w:eastAsia="Calibri"/>
          <w:sz w:val="26"/>
          <w:szCs w:val="26"/>
          <w:lang w:val="lv-LV"/>
        </w:rPr>
        <w:t xml:space="preserve">ura ir viena no </w:t>
      </w:r>
      <w:proofErr w:type="spellStart"/>
      <w:r w:rsidR="0036180E" w:rsidRPr="00E76E46">
        <w:rPr>
          <w:rFonts w:eastAsia="Calibri"/>
          <w:sz w:val="26"/>
          <w:szCs w:val="26"/>
          <w:lang w:val="lv-LV"/>
        </w:rPr>
        <w:t>nedaudzajiem</w:t>
      </w:r>
      <w:proofErr w:type="spellEnd"/>
      <w:r w:rsidR="0036180E" w:rsidRPr="00E76E46">
        <w:rPr>
          <w:rFonts w:eastAsia="Calibri"/>
          <w:sz w:val="26"/>
          <w:szCs w:val="26"/>
          <w:lang w:val="lv-LV"/>
        </w:rPr>
        <w:t xml:space="preserve"> riska kapitāla fondos regulāri investējošiem pensiju fondu pārvaldniekiem Latvijā un kuras ieguldījums tajos ir būtiski lielāks par citiem</w:t>
      </w:r>
      <w:r w:rsidRPr="00E76E46">
        <w:rPr>
          <w:rFonts w:eastAsia="Calibri"/>
          <w:sz w:val="26"/>
          <w:szCs w:val="26"/>
          <w:lang w:val="lv-LV"/>
        </w:rPr>
        <w:t>.</w:t>
      </w:r>
    </w:p>
    <w:p w:rsidR="00B772A7" w:rsidRPr="00E76E46" w:rsidRDefault="00F43B2D" w:rsidP="00A50217">
      <w:pPr>
        <w:spacing w:after="120" w:line="276" w:lineRule="auto"/>
        <w:jc w:val="both"/>
        <w:rPr>
          <w:rFonts w:eastAsia="Calibri"/>
          <w:sz w:val="26"/>
          <w:szCs w:val="26"/>
          <w:lang w:val="lv-LV"/>
        </w:rPr>
      </w:pPr>
      <w:r w:rsidRPr="00E76E46">
        <w:rPr>
          <w:rFonts w:eastAsia="Calibri"/>
          <w:sz w:val="26"/>
          <w:szCs w:val="26"/>
          <w:lang w:val="lv-LV"/>
        </w:rPr>
        <w:t>Šie ieguldījumi ir būtiski Latvijas kapitāla tirgus (noteikta kā prioritāte Finanšu sektora attīstības plānā 2017.-2019.gadam) un inovāciju attīstībai. Savukārt, komisiju samazinājuma tempam netiekot līdzi aktīvu pieauguma tempam, tiks samazināta pārvaldnieku vēlme</w:t>
      </w:r>
      <w:r w:rsidR="005F51A0" w:rsidRPr="00E76E46">
        <w:rPr>
          <w:rFonts w:eastAsia="Calibri"/>
          <w:sz w:val="26"/>
          <w:szCs w:val="26"/>
          <w:lang w:val="lv-LV"/>
        </w:rPr>
        <w:t xml:space="preserve"> investēt. </w:t>
      </w:r>
      <w:r w:rsidR="00900F9F" w:rsidRPr="00E76E46">
        <w:rPr>
          <w:rFonts w:eastAsia="Calibri"/>
          <w:sz w:val="26"/>
          <w:szCs w:val="26"/>
          <w:lang w:val="lv-LV"/>
        </w:rPr>
        <w:t>Kā min</w:t>
      </w:r>
      <w:r w:rsidR="00214B82" w:rsidRPr="00E76E46">
        <w:rPr>
          <w:rFonts w:eastAsia="Calibri"/>
          <w:sz w:val="26"/>
          <w:szCs w:val="26"/>
          <w:lang w:val="lv-LV"/>
        </w:rPr>
        <w:t>ēts iepriekš</w:t>
      </w:r>
      <w:r w:rsidR="004F57D3" w:rsidRPr="00E76E46">
        <w:rPr>
          <w:rFonts w:eastAsia="Calibri"/>
          <w:sz w:val="26"/>
          <w:szCs w:val="26"/>
          <w:lang w:val="lv-LV"/>
        </w:rPr>
        <w:t>,</w:t>
      </w:r>
      <w:r w:rsidR="00214B82" w:rsidRPr="00E76E46">
        <w:rPr>
          <w:rFonts w:eastAsia="Calibri"/>
          <w:sz w:val="26"/>
          <w:szCs w:val="26"/>
          <w:lang w:val="lv-LV"/>
        </w:rPr>
        <w:t xml:space="preserve"> </w:t>
      </w:r>
      <w:r w:rsidRPr="00E76E46">
        <w:rPr>
          <w:rFonts w:eastAsia="Calibri"/>
          <w:sz w:val="26"/>
          <w:szCs w:val="26"/>
          <w:lang w:val="lv-LV"/>
        </w:rPr>
        <w:t xml:space="preserve">ar mērķi veicināt riska kapitāla nozares attīstību Latvijā un finanšu pieejamību uzņēmējdarbības attīstībai, 2018.gadā ar publisko (ERAF) līdzfinansējumu tiks ieviesti vairāki agrīnās un vēlīnās stadijas riska kapitāla fondi. Lai fondi uzsāktu savu darbību, tiem ir nepieciešams privātā sektora līdzfinansējums, kas izaugsmes kapitāla fondu gadījumā sasniedz pat 40 % apmēru no fonda ieguldījumu apmēra. </w:t>
      </w:r>
    </w:p>
    <w:p w:rsidR="00FB305A" w:rsidRPr="00E76E46" w:rsidRDefault="00F43B2D" w:rsidP="00A50217">
      <w:pPr>
        <w:spacing w:after="120" w:line="276" w:lineRule="auto"/>
        <w:jc w:val="both"/>
        <w:rPr>
          <w:rFonts w:eastAsia="Calibri"/>
          <w:sz w:val="26"/>
          <w:szCs w:val="26"/>
          <w:lang w:val="lv-LV"/>
        </w:rPr>
      </w:pPr>
      <w:r w:rsidRPr="00E76E46">
        <w:rPr>
          <w:rFonts w:eastAsia="Calibri"/>
          <w:sz w:val="26"/>
          <w:szCs w:val="26"/>
          <w:lang w:val="lv-LV"/>
        </w:rPr>
        <w:t>Komisiju samazinājuma rezultātā šajos riska kapitāla fondos piesaistīt privātā sektora līdzfinansējumu būs daudz sarežģītāk, un bez pietiekoša privātā sektora līdzfinansējuma piesaistes riska kapitāla fondi nespēs</w:t>
      </w:r>
      <w:r w:rsidR="00D63123" w:rsidRPr="00E76E46">
        <w:rPr>
          <w:rFonts w:eastAsia="Calibri"/>
          <w:sz w:val="26"/>
          <w:szCs w:val="26"/>
          <w:lang w:val="lv-LV"/>
        </w:rPr>
        <w:t xml:space="preserve"> savlaicīgi</w:t>
      </w:r>
      <w:r w:rsidRPr="00E76E46">
        <w:rPr>
          <w:rFonts w:eastAsia="Calibri"/>
          <w:sz w:val="26"/>
          <w:szCs w:val="26"/>
          <w:lang w:val="lv-LV"/>
        </w:rPr>
        <w:t xml:space="preserve"> uzsākt savu darbību. </w:t>
      </w:r>
    </w:p>
    <w:p w:rsidR="009B44E7" w:rsidRPr="00E76E46" w:rsidRDefault="00F43B2D" w:rsidP="00F41E8A">
      <w:pPr>
        <w:spacing w:after="120" w:line="276" w:lineRule="auto"/>
        <w:jc w:val="both"/>
        <w:rPr>
          <w:rFonts w:eastAsia="Calibri"/>
          <w:sz w:val="26"/>
          <w:szCs w:val="26"/>
          <w:lang w:val="lv-LV"/>
        </w:rPr>
      </w:pPr>
      <w:r w:rsidRPr="00E76E46">
        <w:rPr>
          <w:rFonts w:eastAsia="Calibri"/>
          <w:sz w:val="26"/>
          <w:szCs w:val="26"/>
          <w:lang w:val="lv-LV"/>
        </w:rPr>
        <w:t>Viens no iemesliem, kādēļ</w:t>
      </w:r>
      <w:r w:rsidR="00A50217" w:rsidRPr="00E76E46">
        <w:rPr>
          <w:rFonts w:eastAsia="Calibri"/>
          <w:sz w:val="26"/>
          <w:szCs w:val="26"/>
          <w:lang w:val="lv-LV"/>
        </w:rPr>
        <w:t xml:space="preserve"> investīcijas Latvijā netiek veiktas lielā </w:t>
      </w:r>
      <w:r w:rsidR="00713B56" w:rsidRPr="00E76E46">
        <w:rPr>
          <w:rFonts w:eastAsia="Calibri"/>
          <w:sz w:val="26"/>
          <w:szCs w:val="26"/>
          <w:lang w:val="lv-LV"/>
        </w:rPr>
        <w:t>apjomā</w:t>
      </w:r>
      <w:r w:rsidR="00A50217" w:rsidRPr="00E76E46">
        <w:rPr>
          <w:rFonts w:eastAsia="Calibri"/>
          <w:sz w:val="26"/>
          <w:szCs w:val="26"/>
          <w:lang w:val="lv-LV"/>
        </w:rPr>
        <w:t>, ir izmaksas</w:t>
      </w:r>
      <w:r w:rsidR="00713B56" w:rsidRPr="00E76E46">
        <w:rPr>
          <w:rFonts w:eastAsia="Calibri"/>
          <w:sz w:val="26"/>
          <w:szCs w:val="26"/>
          <w:lang w:val="lv-LV"/>
        </w:rPr>
        <w:t>. I</w:t>
      </w:r>
      <w:r w:rsidR="00A50217" w:rsidRPr="00E76E46">
        <w:rPr>
          <w:rFonts w:eastAsia="Calibri"/>
          <w:sz w:val="26"/>
          <w:szCs w:val="26"/>
          <w:lang w:val="lv-LV"/>
        </w:rPr>
        <w:t xml:space="preserve">nvestīcijas riska kapitāla fondā Latvijā </w:t>
      </w:r>
      <w:r w:rsidR="00A507CF" w:rsidRPr="00A507CF">
        <w:rPr>
          <w:rFonts w:eastAsia="Verdana"/>
          <w:sz w:val="26"/>
          <w:szCs w:val="26"/>
          <w:lang w:val="lv-LV"/>
        </w:rPr>
        <w:t>VFPS līdzekļu pārvaldītāji</w:t>
      </w:r>
      <w:r w:rsidR="00A507CF">
        <w:rPr>
          <w:rFonts w:eastAsia="Verdana"/>
          <w:sz w:val="26"/>
          <w:szCs w:val="26"/>
          <w:lang w:val="lv-LV"/>
        </w:rPr>
        <w:t>em</w:t>
      </w:r>
      <w:r w:rsidR="00A507CF" w:rsidRPr="00E76E46">
        <w:rPr>
          <w:rFonts w:eastAsia="Calibri"/>
          <w:sz w:val="26"/>
          <w:szCs w:val="26"/>
          <w:lang w:val="lv-LV"/>
        </w:rPr>
        <w:t xml:space="preserve"> </w:t>
      </w:r>
      <w:r w:rsidR="00A50217" w:rsidRPr="00E76E46">
        <w:rPr>
          <w:rFonts w:eastAsia="Calibri"/>
          <w:sz w:val="26"/>
          <w:szCs w:val="26"/>
          <w:lang w:val="lv-LV"/>
        </w:rPr>
        <w:t xml:space="preserve">izmaksā daudz dārgāk, jo tiem pašiem ir jāveic pilna </w:t>
      </w:r>
      <w:r w:rsidR="00E21691" w:rsidRPr="00E76E46">
        <w:rPr>
          <w:rFonts w:eastAsia="Calibri"/>
          <w:sz w:val="26"/>
          <w:szCs w:val="26"/>
          <w:lang w:val="lv-LV"/>
        </w:rPr>
        <w:t xml:space="preserve">cikla investīciju </w:t>
      </w:r>
      <w:r w:rsidR="00713B56" w:rsidRPr="00E76E46">
        <w:rPr>
          <w:rFonts w:eastAsia="Calibri"/>
          <w:sz w:val="26"/>
          <w:szCs w:val="26"/>
          <w:lang w:val="lv-LV"/>
        </w:rPr>
        <w:t>analīze (p</w:t>
      </w:r>
      <w:r w:rsidR="00A50217" w:rsidRPr="00E76E46">
        <w:rPr>
          <w:rFonts w:eastAsia="Calibri"/>
          <w:sz w:val="26"/>
          <w:szCs w:val="26"/>
          <w:lang w:val="lv-LV"/>
        </w:rPr>
        <w:t>iemēram, investēt globālā indeksu fondā sākotnēji tā izvērtēšana prasa 2 līdz 3 cilvēkstundas, savukārt, lai investētu un uzraudzītu investīcijas vietējā riska kapitāla fondā, ir nepieciešamas vidēji 200 līdz 300 cilvēkstundas, atsevišķos gadījumos pat 350 līdz 400 cilvēkstundas</w:t>
      </w:r>
      <w:r w:rsidR="00713B56" w:rsidRPr="00E76E46">
        <w:rPr>
          <w:rFonts w:eastAsia="Calibri"/>
          <w:sz w:val="26"/>
          <w:szCs w:val="26"/>
          <w:lang w:val="lv-LV"/>
        </w:rPr>
        <w:t>)</w:t>
      </w:r>
      <w:r w:rsidR="00A50217" w:rsidRPr="00E76E46">
        <w:rPr>
          <w:rFonts w:eastAsia="Calibri"/>
          <w:sz w:val="26"/>
          <w:szCs w:val="26"/>
          <w:lang w:val="lv-LV"/>
        </w:rPr>
        <w:t xml:space="preserve">. </w:t>
      </w:r>
      <w:r w:rsidR="00B772A7" w:rsidRPr="00E76E46">
        <w:rPr>
          <w:rFonts w:eastAsia="Calibri"/>
          <w:sz w:val="26"/>
          <w:szCs w:val="26"/>
          <w:lang w:val="lv-LV"/>
        </w:rPr>
        <w:t>P</w:t>
      </w:r>
      <w:r w:rsidR="00F41E8A" w:rsidRPr="00E76E46">
        <w:rPr>
          <w:rFonts w:eastAsia="Calibri"/>
          <w:sz w:val="26"/>
          <w:szCs w:val="26"/>
          <w:lang w:val="lv-LV"/>
        </w:rPr>
        <w:t>retstatā</w:t>
      </w:r>
      <w:r w:rsidR="00B772A7" w:rsidRPr="00E76E46">
        <w:rPr>
          <w:rFonts w:eastAsia="Calibri"/>
          <w:sz w:val="26"/>
          <w:szCs w:val="26"/>
          <w:lang w:val="lv-LV"/>
        </w:rPr>
        <w:t xml:space="preserve"> pensiju </w:t>
      </w:r>
      <w:r w:rsidRPr="00E76E46">
        <w:rPr>
          <w:rFonts w:eastAsia="Calibri"/>
          <w:sz w:val="26"/>
          <w:szCs w:val="26"/>
          <w:lang w:val="lv-LV"/>
        </w:rPr>
        <w:t>plānu</w:t>
      </w:r>
      <w:r w:rsidR="00B772A7" w:rsidRPr="00E76E46">
        <w:rPr>
          <w:rFonts w:eastAsia="Calibri"/>
          <w:sz w:val="26"/>
          <w:szCs w:val="26"/>
          <w:lang w:val="lv-LV"/>
        </w:rPr>
        <w:t xml:space="preserve"> ieguldījumam riska kapitāla fondos</w:t>
      </w:r>
      <w:r w:rsidR="00F41E8A" w:rsidRPr="00E76E46">
        <w:rPr>
          <w:rFonts w:eastAsia="Calibri"/>
          <w:sz w:val="26"/>
          <w:szCs w:val="26"/>
          <w:lang w:val="lv-LV"/>
        </w:rPr>
        <w:t>, kur finansējums tiek ieguldīts konkrētā stratēģijā, sākotnē</w:t>
      </w:r>
      <w:r w:rsidR="00B772A7" w:rsidRPr="00E76E46">
        <w:rPr>
          <w:rFonts w:eastAsia="Calibri"/>
          <w:sz w:val="26"/>
          <w:szCs w:val="26"/>
          <w:lang w:val="lv-LV"/>
        </w:rPr>
        <w:t>jo</w:t>
      </w:r>
      <w:r w:rsidR="00F41E8A" w:rsidRPr="00E76E46">
        <w:rPr>
          <w:rFonts w:eastAsia="Calibri"/>
          <w:sz w:val="26"/>
          <w:szCs w:val="26"/>
          <w:lang w:val="lv-LV"/>
        </w:rPr>
        <w:t xml:space="preserve"> publisk</w:t>
      </w:r>
      <w:r w:rsidR="00B772A7" w:rsidRPr="00E76E46">
        <w:rPr>
          <w:rFonts w:eastAsia="Calibri"/>
          <w:sz w:val="26"/>
          <w:szCs w:val="26"/>
          <w:lang w:val="lv-LV"/>
        </w:rPr>
        <w:t>o</w:t>
      </w:r>
      <w:r w:rsidR="00F41E8A" w:rsidRPr="00E76E46">
        <w:rPr>
          <w:rFonts w:eastAsia="Calibri"/>
          <w:sz w:val="26"/>
          <w:szCs w:val="26"/>
          <w:lang w:val="lv-LV"/>
        </w:rPr>
        <w:t xml:space="preserve"> akciju piedāvājum</w:t>
      </w:r>
      <w:r w:rsidR="00B772A7" w:rsidRPr="00E76E46">
        <w:rPr>
          <w:rFonts w:eastAsia="Calibri"/>
          <w:sz w:val="26"/>
          <w:szCs w:val="26"/>
          <w:lang w:val="lv-LV"/>
        </w:rPr>
        <w:t>u</w:t>
      </w:r>
      <w:r w:rsidR="00F41E8A" w:rsidRPr="00E76E46">
        <w:rPr>
          <w:rFonts w:eastAsia="Calibri"/>
          <w:sz w:val="26"/>
          <w:szCs w:val="26"/>
          <w:lang w:val="lv-LV"/>
        </w:rPr>
        <w:t xml:space="preserve"> (turpmāk - IPO) </w:t>
      </w:r>
      <w:r w:rsidR="00B772A7" w:rsidRPr="00E76E46">
        <w:rPr>
          <w:rFonts w:eastAsia="Calibri"/>
          <w:sz w:val="26"/>
          <w:szCs w:val="26"/>
          <w:lang w:val="lv-LV"/>
        </w:rPr>
        <w:t xml:space="preserve">sagatavošana </w:t>
      </w:r>
      <w:r w:rsidR="00F41E8A" w:rsidRPr="00E76E46">
        <w:rPr>
          <w:rFonts w:eastAsia="Calibri"/>
          <w:sz w:val="26"/>
          <w:szCs w:val="26"/>
          <w:lang w:val="lv-LV"/>
        </w:rPr>
        <w:t>prasa daudz mazāku laika iesaisti, attiecīgi izmaksas ir mazākas</w:t>
      </w:r>
      <w:r w:rsidRPr="00E76E46">
        <w:rPr>
          <w:rFonts w:eastAsia="Calibri"/>
          <w:sz w:val="26"/>
          <w:szCs w:val="26"/>
          <w:lang w:val="lv-LV"/>
        </w:rPr>
        <w:t xml:space="preserve"> - vidēji 30-40 stundas. </w:t>
      </w:r>
      <w:r w:rsidR="00E76E46">
        <w:rPr>
          <w:rFonts w:eastAsia="Calibri"/>
          <w:sz w:val="26"/>
          <w:szCs w:val="26"/>
          <w:lang w:val="lv-LV"/>
        </w:rPr>
        <w:t>S</w:t>
      </w:r>
      <w:r w:rsidR="00F41E8A" w:rsidRPr="00E76E46">
        <w:rPr>
          <w:rFonts w:eastAsia="Calibri"/>
          <w:sz w:val="26"/>
          <w:szCs w:val="26"/>
          <w:lang w:val="lv-LV"/>
        </w:rPr>
        <w:t xml:space="preserve">avukārt vietējo obligāciju emisijas gadījumā laika patēriņš analīzei un investīciju lēmuma pieņemšanai vidēji ir 5-6 cilvēkstundas. </w:t>
      </w:r>
    </w:p>
    <w:p w:rsidR="00F41E8A" w:rsidRPr="00E76E46" w:rsidRDefault="00F43B2D" w:rsidP="00F41E8A">
      <w:pPr>
        <w:spacing w:after="120" w:line="276" w:lineRule="auto"/>
        <w:jc w:val="both"/>
        <w:rPr>
          <w:rFonts w:eastAsia="Calibri"/>
          <w:sz w:val="26"/>
          <w:szCs w:val="26"/>
          <w:highlight w:val="yellow"/>
          <w:lang w:val="lv-LV"/>
        </w:rPr>
      </w:pPr>
      <w:r w:rsidRPr="00E76E46">
        <w:rPr>
          <w:rFonts w:eastAsia="Calibri"/>
          <w:sz w:val="26"/>
          <w:szCs w:val="26"/>
          <w:lang w:val="lv-LV"/>
        </w:rPr>
        <w:t>Ieguldot riska kapitāla fondā, pensiju plānu pārvaldītājiem bieži vien ir jāpiesaista ārējs juridiskais konsultants ar pieredzi riska kapitāla fondu strukturēšanā, lai izvērtētu, piemēram, fonda izvēlētās jurisdikcijas nianses. Līdzšinējā pieredze rāda, ka riska kapitāla fonds ar Baltijas stratēģiju un ieguldīšanas iespējām Latvijā, var tik reģistrēts gan Latvijā, gan Igaunijā, gan Luksemburgā vai Lielbritānijā. Katras valsts regulējums, lai gan veidots uz vienotiem Eiropas direktīvu un regulu principiem, tomēr praksē atšķiras, tāpat kā atšķiras šo valstu tiesu prakses investoru aizsardzības jautājumos. Tādējādi riska kapitāla investīciju gadījumā veidojas papildus ārējās izmaksas, kas jāsedz pārvaldniekam, savukārt citu ieguldījumu gadījumā tik detalizēta analīze nav nepieciešama, un šādas izmaksas neveidojas.</w:t>
      </w:r>
    </w:p>
    <w:p w:rsidR="00F41E8A" w:rsidRPr="00E76E46" w:rsidRDefault="00F43B2D" w:rsidP="00F41E8A">
      <w:pPr>
        <w:spacing w:line="276" w:lineRule="auto"/>
        <w:jc w:val="both"/>
        <w:rPr>
          <w:rFonts w:eastAsia="Calibri"/>
          <w:sz w:val="26"/>
          <w:szCs w:val="26"/>
          <w:lang w:val="lv-LV"/>
        </w:rPr>
      </w:pPr>
      <w:r w:rsidRPr="00E76E46">
        <w:rPr>
          <w:rFonts w:eastAsia="Calibri"/>
          <w:sz w:val="26"/>
          <w:szCs w:val="26"/>
          <w:lang w:val="lv-LV"/>
        </w:rPr>
        <w:t>Lai salīdzinātu veicamās darbības un attiecīgi dažādos izmaksu līmeņus investīcijām riska kapitāla fondā un IPO, zemāk sniedzam salīdzinājumu.</w:t>
      </w:r>
    </w:p>
    <w:p w:rsidR="00F41E8A" w:rsidRPr="00E76E46" w:rsidRDefault="00F43B2D" w:rsidP="004A521A">
      <w:pPr>
        <w:widowControl w:val="0"/>
        <w:numPr>
          <w:ilvl w:val="0"/>
          <w:numId w:val="3"/>
        </w:numPr>
        <w:spacing w:before="60" w:after="60" w:line="276" w:lineRule="auto"/>
        <w:ind w:left="567"/>
        <w:contextualSpacing/>
        <w:jc w:val="both"/>
        <w:rPr>
          <w:rFonts w:eastAsia="Calibri"/>
          <w:sz w:val="26"/>
          <w:szCs w:val="26"/>
          <w:lang w:val="lv-LV"/>
        </w:rPr>
      </w:pPr>
      <w:r w:rsidRPr="00E76E46">
        <w:rPr>
          <w:rFonts w:eastAsia="Calibri"/>
          <w:sz w:val="26"/>
          <w:szCs w:val="26"/>
          <w:lang w:val="lv-LV"/>
        </w:rPr>
        <w:t>Soļi, kas jāveic riska kapitāla fondu izvērtēšanā:</w:t>
      </w:r>
    </w:p>
    <w:p w:rsidR="00F41E8A" w:rsidRPr="00E76E46" w:rsidRDefault="00F43B2D" w:rsidP="004A521A">
      <w:pPr>
        <w:widowControl w:val="0"/>
        <w:numPr>
          <w:ilvl w:val="0"/>
          <w:numId w:val="1"/>
        </w:numPr>
        <w:spacing w:before="60" w:after="60" w:line="276" w:lineRule="auto"/>
        <w:ind w:left="567"/>
        <w:contextualSpacing/>
        <w:jc w:val="both"/>
        <w:rPr>
          <w:rFonts w:eastAsia="Calibri"/>
          <w:sz w:val="26"/>
          <w:szCs w:val="26"/>
          <w:lang w:val="lv-LV"/>
        </w:rPr>
      </w:pPr>
      <w:r w:rsidRPr="00E76E46">
        <w:rPr>
          <w:rFonts w:eastAsia="Calibri"/>
          <w:sz w:val="26"/>
          <w:szCs w:val="26"/>
          <w:lang w:val="lv-LV"/>
        </w:rPr>
        <w:lastRenderedPageBreak/>
        <w:t xml:space="preserve">fonda </w:t>
      </w:r>
      <w:proofErr w:type="spellStart"/>
      <w:r w:rsidRPr="00E76E46">
        <w:rPr>
          <w:rFonts w:eastAsia="Calibri"/>
          <w:sz w:val="26"/>
          <w:szCs w:val="26"/>
          <w:lang w:val="lv-LV"/>
        </w:rPr>
        <w:t>priekšizpēte</w:t>
      </w:r>
      <w:proofErr w:type="spellEnd"/>
      <w:r w:rsidRPr="00E76E46">
        <w:rPr>
          <w:rFonts w:eastAsia="Calibri"/>
          <w:sz w:val="26"/>
          <w:szCs w:val="26"/>
          <w:lang w:val="lv-LV"/>
        </w:rPr>
        <w:t>, tikšanās ar tā pārstāvjiem, papildus dokumentācijas un informācijas pieprasīšana un lēmuma pieņemšana, fonda biznesa idejas validēšana;</w:t>
      </w:r>
    </w:p>
    <w:p w:rsidR="00F41E8A" w:rsidRPr="00E76E46" w:rsidRDefault="00F43B2D" w:rsidP="004A521A">
      <w:pPr>
        <w:widowControl w:val="0"/>
        <w:numPr>
          <w:ilvl w:val="0"/>
          <w:numId w:val="1"/>
        </w:numPr>
        <w:spacing w:before="60" w:after="60" w:line="276" w:lineRule="auto"/>
        <w:ind w:left="567"/>
        <w:contextualSpacing/>
        <w:jc w:val="both"/>
        <w:rPr>
          <w:rFonts w:eastAsia="Calibri"/>
          <w:sz w:val="26"/>
          <w:szCs w:val="26"/>
          <w:lang w:val="lv-LV"/>
        </w:rPr>
      </w:pPr>
      <w:r w:rsidRPr="00E76E46">
        <w:rPr>
          <w:rFonts w:eastAsia="Calibri"/>
          <w:sz w:val="26"/>
          <w:szCs w:val="26"/>
          <w:lang w:val="lv-LV"/>
        </w:rPr>
        <w:t>padziļinātās izpētes dokumentu un informācijas pieprasīšana un apstrāde, padziļinātās izpētes intervijas jautājumu definēšana un sagatavošana, tikšanās ar fonda komandu un padziļinātās izpētes intervijas (minimums viena pilna diena, bieži pusotra līdz divas pilnas dienas);</w:t>
      </w:r>
    </w:p>
    <w:p w:rsidR="00F41E8A" w:rsidRPr="00E76E46" w:rsidRDefault="00F43B2D" w:rsidP="004A521A">
      <w:pPr>
        <w:widowControl w:val="0"/>
        <w:numPr>
          <w:ilvl w:val="0"/>
          <w:numId w:val="1"/>
        </w:numPr>
        <w:spacing w:before="60" w:after="60" w:line="276" w:lineRule="auto"/>
        <w:ind w:left="567"/>
        <w:contextualSpacing/>
        <w:jc w:val="both"/>
        <w:rPr>
          <w:rFonts w:eastAsia="Calibri"/>
          <w:sz w:val="26"/>
          <w:szCs w:val="26"/>
          <w:lang w:val="lv-LV"/>
        </w:rPr>
      </w:pPr>
      <w:r w:rsidRPr="00E76E46">
        <w:rPr>
          <w:rFonts w:eastAsia="Calibri"/>
          <w:sz w:val="26"/>
          <w:szCs w:val="26"/>
          <w:lang w:val="lv-LV"/>
        </w:rPr>
        <w:t>padziļinātās izpētes ziņojuma sagatavošana, tirgus izpēte, atsauksmju caurskatīšana un sadarbības partneru aptaujāšana, tikšanās un lēmumu pieņemšana;</w:t>
      </w:r>
    </w:p>
    <w:p w:rsidR="00F41E8A" w:rsidRPr="00E76E46" w:rsidRDefault="00F43B2D" w:rsidP="004A521A">
      <w:pPr>
        <w:widowControl w:val="0"/>
        <w:numPr>
          <w:ilvl w:val="0"/>
          <w:numId w:val="1"/>
        </w:numPr>
        <w:spacing w:before="60" w:after="60" w:line="276" w:lineRule="auto"/>
        <w:ind w:left="567"/>
        <w:contextualSpacing/>
        <w:jc w:val="both"/>
        <w:rPr>
          <w:rFonts w:eastAsia="Calibri"/>
          <w:sz w:val="26"/>
          <w:szCs w:val="26"/>
          <w:lang w:val="lv-LV"/>
        </w:rPr>
      </w:pPr>
      <w:r w:rsidRPr="00E76E46">
        <w:rPr>
          <w:rFonts w:eastAsia="Calibri"/>
          <w:sz w:val="26"/>
          <w:szCs w:val="26"/>
          <w:lang w:val="lv-LV"/>
        </w:rPr>
        <w:t>fonda padziļinātās izpētes un fonda biznesa idejas aizstāvēšana investīciju komitejā, investīciju lēmuma pieņemšana un investīcijas priekšnosacījumu definēšana;</w:t>
      </w:r>
    </w:p>
    <w:p w:rsidR="00F41E8A" w:rsidRPr="00E76E46" w:rsidRDefault="00F43B2D" w:rsidP="004A521A">
      <w:pPr>
        <w:widowControl w:val="0"/>
        <w:numPr>
          <w:ilvl w:val="0"/>
          <w:numId w:val="1"/>
        </w:numPr>
        <w:spacing w:before="60" w:after="60" w:line="276" w:lineRule="auto"/>
        <w:ind w:left="567"/>
        <w:contextualSpacing/>
        <w:jc w:val="both"/>
        <w:rPr>
          <w:rFonts w:eastAsia="Calibri"/>
          <w:sz w:val="26"/>
          <w:szCs w:val="26"/>
          <w:lang w:val="lv-LV"/>
        </w:rPr>
      </w:pPr>
      <w:r w:rsidRPr="00E76E46">
        <w:rPr>
          <w:rFonts w:eastAsia="Calibri"/>
          <w:sz w:val="26"/>
          <w:szCs w:val="26"/>
          <w:lang w:val="lv-LV"/>
        </w:rPr>
        <w:t xml:space="preserve">juridiskā analīze, diskusijas un sadarbība ar fondu juridiskajos jautājumos, pievienošanās līguma un pavadvēstuļu (tai skaitā, </w:t>
      </w:r>
      <w:proofErr w:type="spellStart"/>
      <w:r w:rsidRPr="00E76E46">
        <w:rPr>
          <w:rFonts w:eastAsia="Calibri"/>
          <w:sz w:val="26"/>
          <w:szCs w:val="26"/>
          <w:lang w:val="lv-LV"/>
        </w:rPr>
        <w:t>side</w:t>
      </w:r>
      <w:proofErr w:type="spellEnd"/>
      <w:r w:rsidRPr="00E76E46">
        <w:rPr>
          <w:rFonts w:eastAsia="Calibri"/>
          <w:sz w:val="26"/>
          <w:szCs w:val="26"/>
          <w:lang w:val="lv-LV"/>
        </w:rPr>
        <w:t xml:space="preserve"> </w:t>
      </w:r>
      <w:proofErr w:type="spellStart"/>
      <w:r w:rsidRPr="00E76E46">
        <w:rPr>
          <w:rFonts w:eastAsia="Calibri"/>
          <w:sz w:val="26"/>
          <w:szCs w:val="26"/>
          <w:lang w:val="lv-LV"/>
        </w:rPr>
        <w:t>letter</w:t>
      </w:r>
      <w:proofErr w:type="spellEnd"/>
      <w:r w:rsidRPr="00E76E46">
        <w:rPr>
          <w:rFonts w:eastAsia="Calibri"/>
          <w:sz w:val="26"/>
          <w:szCs w:val="26"/>
          <w:lang w:val="lv-LV"/>
        </w:rPr>
        <w:t>) sagatavošanai un pārrunas ar fondu, kā arī fonda atbilstības kontrole (tai skaitā, AML pārbaude).</w:t>
      </w:r>
    </w:p>
    <w:p w:rsidR="00F41E8A" w:rsidRPr="00E76E46" w:rsidRDefault="00F43B2D" w:rsidP="004A521A">
      <w:pPr>
        <w:widowControl w:val="0"/>
        <w:numPr>
          <w:ilvl w:val="0"/>
          <w:numId w:val="3"/>
        </w:numPr>
        <w:spacing w:before="60" w:after="60" w:line="276" w:lineRule="auto"/>
        <w:ind w:left="567"/>
        <w:contextualSpacing/>
        <w:jc w:val="both"/>
        <w:rPr>
          <w:rFonts w:eastAsia="Calibri"/>
          <w:sz w:val="26"/>
          <w:szCs w:val="26"/>
          <w:lang w:val="lv-LV"/>
        </w:rPr>
      </w:pPr>
      <w:r w:rsidRPr="00E76E46">
        <w:rPr>
          <w:rFonts w:eastAsia="Calibri"/>
          <w:sz w:val="26"/>
          <w:szCs w:val="26"/>
          <w:lang w:val="lv-LV"/>
        </w:rPr>
        <w:t>Soļi, kas jāveic akciju IPO izvērtēšanā:</w:t>
      </w:r>
    </w:p>
    <w:p w:rsidR="00F41E8A" w:rsidRPr="00E76E46" w:rsidRDefault="00F43B2D" w:rsidP="004A521A">
      <w:pPr>
        <w:widowControl w:val="0"/>
        <w:numPr>
          <w:ilvl w:val="0"/>
          <w:numId w:val="1"/>
        </w:numPr>
        <w:spacing w:before="60" w:after="60" w:line="276" w:lineRule="auto"/>
        <w:ind w:left="567"/>
        <w:contextualSpacing/>
        <w:jc w:val="both"/>
        <w:rPr>
          <w:rFonts w:eastAsia="Calibri"/>
          <w:sz w:val="26"/>
          <w:szCs w:val="26"/>
          <w:lang w:val="lv-LV"/>
        </w:rPr>
      </w:pPr>
      <w:r w:rsidRPr="00E76E46">
        <w:rPr>
          <w:rFonts w:eastAsia="Calibri"/>
          <w:sz w:val="26"/>
          <w:szCs w:val="26"/>
          <w:lang w:val="lv-LV"/>
        </w:rPr>
        <w:t>tikšanās ar uzņēmuma vadību un konsultantiem;</w:t>
      </w:r>
    </w:p>
    <w:p w:rsidR="00F41E8A" w:rsidRPr="00E76E46" w:rsidRDefault="00F43B2D" w:rsidP="004A521A">
      <w:pPr>
        <w:widowControl w:val="0"/>
        <w:numPr>
          <w:ilvl w:val="0"/>
          <w:numId w:val="1"/>
        </w:numPr>
        <w:spacing w:before="60" w:after="60" w:line="276" w:lineRule="auto"/>
        <w:ind w:left="567"/>
        <w:contextualSpacing/>
        <w:jc w:val="both"/>
        <w:rPr>
          <w:rFonts w:eastAsia="Calibri"/>
          <w:sz w:val="26"/>
          <w:szCs w:val="26"/>
          <w:lang w:val="lv-LV"/>
        </w:rPr>
      </w:pPr>
      <w:r w:rsidRPr="00E76E46">
        <w:rPr>
          <w:rFonts w:eastAsia="Calibri"/>
          <w:sz w:val="26"/>
          <w:szCs w:val="26"/>
          <w:lang w:val="lv-LV"/>
        </w:rPr>
        <w:t>uzņēmuma vizīte (ja nepieciešams un iespējams);</w:t>
      </w:r>
    </w:p>
    <w:p w:rsidR="00F41E8A" w:rsidRPr="00E76E46" w:rsidRDefault="00F43B2D" w:rsidP="004A521A">
      <w:pPr>
        <w:widowControl w:val="0"/>
        <w:numPr>
          <w:ilvl w:val="0"/>
          <w:numId w:val="1"/>
        </w:numPr>
        <w:spacing w:before="60" w:after="60" w:line="276" w:lineRule="auto"/>
        <w:ind w:left="567"/>
        <w:contextualSpacing/>
        <w:jc w:val="both"/>
        <w:rPr>
          <w:rFonts w:eastAsia="Calibri"/>
          <w:sz w:val="26"/>
          <w:szCs w:val="26"/>
          <w:lang w:val="lv-LV"/>
        </w:rPr>
      </w:pPr>
      <w:r w:rsidRPr="00E76E46">
        <w:rPr>
          <w:rFonts w:eastAsia="Calibri"/>
          <w:sz w:val="26"/>
          <w:szCs w:val="26"/>
          <w:lang w:val="lv-LV"/>
        </w:rPr>
        <w:t>IPO dokumentācijas izpēte un juridiskā analīze;</w:t>
      </w:r>
    </w:p>
    <w:p w:rsidR="00F41E8A" w:rsidRPr="00E76E46" w:rsidRDefault="00F43B2D" w:rsidP="004A521A">
      <w:pPr>
        <w:widowControl w:val="0"/>
        <w:numPr>
          <w:ilvl w:val="0"/>
          <w:numId w:val="1"/>
        </w:numPr>
        <w:spacing w:after="60" w:line="276" w:lineRule="auto"/>
        <w:ind w:left="567"/>
        <w:contextualSpacing/>
        <w:jc w:val="both"/>
        <w:rPr>
          <w:rFonts w:eastAsia="Calibri"/>
          <w:sz w:val="26"/>
          <w:szCs w:val="26"/>
          <w:lang w:val="lv-LV"/>
        </w:rPr>
      </w:pPr>
      <w:r w:rsidRPr="00E76E46">
        <w:rPr>
          <w:rFonts w:eastAsia="Calibri"/>
          <w:sz w:val="26"/>
          <w:szCs w:val="26"/>
          <w:lang w:val="lv-LV"/>
        </w:rPr>
        <w:t>izpētes analīzes apkopojums, papildus jautājumi un diskusijas ar IPO konsultantu / uzņēmumu;</w:t>
      </w:r>
    </w:p>
    <w:p w:rsidR="00156DE3" w:rsidRPr="00E76E46" w:rsidRDefault="00F43B2D">
      <w:pPr>
        <w:widowControl w:val="0"/>
        <w:numPr>
          <w:ilvl w:val="0"/>
          <w:numId w:val="1"/>
        </w:numPr>
        <w:spacing w:after="240" w:line="276" w:lineRule="auto"/>
        <w:ind w:left="567" w:hanging="357"/>
        <w:jc w:val="both"/>
        <w:rPr>
          <w:rFonts w:eastAsia="Calibri"/>
          <w:sz w:val="26"/>
          <w:szCs w:val="26"/>
          <w:lang w:val="lv-LV"/>
        </w:rPr>
      </w:pPr>
      <w:r w:rsidRPr="00E76E46">
        <w:rPr>
          <w:rFonts w:eastAsia="Calibri"/>
          <w:sz w:val="26"/>
          <w:szCs w:val="26"/>
          <w:lang w:val="lv-LV"/>
        </w:rPr>
        <w:t>iekšējās investīciju tikšanās un lēmumu pieņemšana.</w:t>
      </w:r>
    </w:p>
    <w:p w:rsidR="009B44E7" w:rsidRPr="00E76E46" w:rsidRDefault="00F43B2D" w:rsidP="00A50217">
      <w:pPr>
        <w:spacing w:after="120" w:line="276" w:lineRule="auto"/>
        <w:jc w:val="both"/>
        <w:rPr>
          <w:rFonts w:eastAsia="Calibri"/>
          <w:b/>
          <w:sz w:val="26"/>
          <w:szCs w:val="26"/>
          <w:lang w:val="lv-LV"/>
        </w:rPr>
      </w:pPr>
      <w:r w:rsidRPr="00E76E46">
        <w:rPr>
          <w:rFonts w:eastAsia="Calibri"/>
          <w:b/>
          <w:sz w:val="26"/>
          <w:szCs w:val="26"/>
          <w:lang w:val="lv-LV"/>
        </w:rPr>
        <w:t>Turpmāka rīcība</w:t>
      </w:r>
    </w:p>
    <w:p w:rsidR="00FB305A" w:rsidRPr="00E76E46" w:rsidRDefault="00F43B2D" w:rsidP="00A50217">
      <w:pPr>
        <w:spacing w:after="120" w:line="276" w:lineRule="auto"/>
        <w:jc w:val="both"/>
        <w:rPr>
          <w:rFonts w:eastAsia="Calibri"/>
          <w:sz w:val="26"/>
          <w:szCs w:val="26"/>
          <w:lang w:val="lv-LV"/>
        </w:rPr>
      </w:pPr>
      <w:r w:rsidRPr="00E76E46">
        <w:rPr>
          <w:rFonts w:eastAsia="Calibri"/>
          <w:sz w:val="26"/>
          <w:szCs w:val="26"/>
          <w:lang w:val="lv-LV"/>
        </w:rPr>
        <w:t>Ņ</w:t>
      </w:r>
      <w:r w:rsidR="00A50217" w:rsidRPr="00E76E46">
        <w:rPr>
          <w:rFonts w:eastAsia="Calibri"/>
          <w:sz w:val="26"/>
          <w:szCs w:val="26"/>
          <w:lang w:val="lv-LV"/>
        </w:rPr>
        <w:t xml:space="preserve">emot vērā </w:t>
      </w:r>
      <w:r w:rsidR="00B81521" w:rsidRPr="00E76E46">
        <w:rPr>
          <w:rFonts w:eastAsia="Calibri"/>
          <w:sz w:val="26"/>
          <w:szCs w:val="26"/>
          <w:lang w:val="lv-LV"/>
        </w:rPr>
        <w:t xml:space="preserve">ar grozījumiem </w:t>
      </w:r>
      <w:r w:rsidR="00A50217" w:rsidRPr="00E76E46">
        <w:rPr>
          <w:rFonts w:eastAsia="Calibri"/>
          <w:sz w:val="26"/>
          <w:szCs w:val="26"/>
          <w:lang w:val="lv-LV"/>
        </w:rPr>
        <w:t xml:space="preserve">Valsts </w:t>
      </w:r>
      <w:proofErr w:type="spellStart"/>
      <w:r w:rsidR="00A50217" w:rsidRPr="00E76E46">
        <w:rPr>
          <w:rFonts w:eastAsia="Calibri"/>
          <w:sz w:val="26"/>
          <w:szCs w:val="26"/>
          <w:lang w:val="lv-LV"/>
        </w:rPr>
        <w:t>fondēto</w:t>
      </w:r>
      <w:proofErr w:type="spellEnd"/>
      <w:r w:rsidR="00A50217" w:rsidRPr="00E76E46">
        <w:rPr>
          <w:rFonts w:eastAsia="Calibri"/>
          <w:sz w:val="26"/>
          <w:szCs w:val="26"/>
          <w:lang w:val="lv-LV"/>
        </w:rPr>
        <w:t xml:space="preserve"> pensiju likumā</w:t>
      </w:r>
      <w:r w:rsidR="00B81521" w:rsidRPr="00E76E46">
        <w:rPr>
          <w:rFonts w:eastAsia="Calibri"/>
          <w:sz w:val="26"/>
          <w:szCs w:val="26"/>
          <w:lang w:val="lv-LV"/>
        </w:rPr>
        <w:t xml:space="preserve">, kas izdarīti 2017.gada 22.novembrī, </w:t>
      </w:r>
      <w:r w:rsidR="00A50217" w:rsidRPr="00E76E46">
        <w:rPr>
          <w:rFonts w:eastAsia="Calibri"/>
          <w:sz w:val="26"/>
          <w:szCs w:val="26"/>
          <w:lang w:val="lv-LV"/>
        </w:rPr>
        <w:t xml:space="preserve"> </w:t>
      </w:r>
      <w:r w:rsidR="00B81521" w:rsidRPr="00E76E46">
        <w:rPr>
          <w:rFonts w:eastAsia="Calibri"/>
          <w:sz w:val="26"/>
          <w:szCs w:val="26"/>
          <w:lang w:val="lv-LV"/>
        </w:rPr>
        <w:t>noteikto</w:t>
      </w:r>
      <w:r w:rsidR="00A50217" w:rsidRPr="00E76E46">
        <w:rPr>
          <w:rFonts w:eastAsia="Calibri"/>
          <w:sz w:val="26"/>
          <w:szCs w:val="26"/>
          <w:lang w:val="lv-LV"/>
        </w:rPr>
        <w:t xml:space="preserve"> komisiju samazinājumu, pastāv liela varbūtība, ka pārvaldītāji var pieņemt lēmumu par labu nedaudz mazāk ienesīgām ilgtermiņā, taču īstermiņā lētākām globālajām investīcijām, gūstot tūlītēju izmaksu efektu, taču ciešot ilgtermiņa pensiju plāna ienesīgumam. </w:t>
      </w:r>
    </w:p>
    <w:p w:rsidR="009B44E7" w:rsidRPr="00E76E46" w:rsidRDefault="00F43B2D" w:rsidP="009B44E7">
      <w:pPr>
        <w:spacing w:after="120" w:line="276" w:lineRule="auto"/>
        <w:jc w:val="both"/>
        <w:rPr>
          <w:rFonts w:eastAsia="Calibri"/>
          <w:b/>
          <w:sz w:val="26"/>
          <w:szCs w:val="26"/>
          <w:lang w:val="lv-LV"/>
        </w:rPr>
      </w:pPr>
      <w:r w:rsidRPr="00E76E46">
        <w:rPr>
          <w:rFonts w:eastAsia="Calibri"/>
          <w:b/>
          <w:sz w:val="26"/>
          <w:szCs w:val="26"/>
          <w:lang w:val="lv-LV"/>
        </w:rPr>
        <w:t>Ņemot vērā analītisko izmaksu līmeņu atšķirības ieguldījumiem Latvijas ekonomikā un ārpus tās, Ekonomikas ministrija uzskata par nepieciešamu</w:t>
      </w:r>
      <w:r w:rsidR="00F24716" w:rsidRPr="00E76E46">
        <w:rPr>
          <w:rFonts w:eastAsia="Calibri"/>
          <w:b/>
          <w:sz w:val="26"/>
          <w:szCs w:val="26"/>
          <w:lang w:val="lv-LV"/>
        </w:rPr>
        <w:t>:</w:t>
      </w:r>
      <w:r w:rsidRPr="00E76E46">
        <w:rPr>
          <w:rFonts w:eastAsia="Calibri"/>
          <w:b/>
          <w:sz w:val="26"/>
          <w:szCs w:val="26"/>
          <w:lang w:val="lv-LV"/>
        </w:rPr>
        <w:t xml:space="preserve"> </w:t>
      </w:r>
    </w:p>
    <w:p w:rsidR="00A50217" w:rsidRDefault="00F43B2D" w:rsidP="009B44E7">
      <w:pPr>
        <w:spacing w:after="120" w:line="276" w:lineRule="auto"/>
        <w:ind w:firstLine="720"/>
        <w:jc w:val="both"/>
        <w:rPr>
          <w:rFonts w:eastAsia="Calibri"/>
          <w:sz w:val="26"/>
          <w:szCs w:val="26"/>
          <w:lang w:val="lv-LV"/>
        </w:rPr>
      </w:pPr>
      <w:r w:rsidRPr="00E76E46">
        <w:rPr>
          <w:rFonts w:eastAsia="Calibri"/>
          <w:b/>
          <w:sz w:val="26"/>
          <w:szCs w:val="26"/>
          <w:lang w:val="lv-LV"/>
        </w:rPr>
        <w:t>1) i</w:t>
      </w:r>
      <w:r w:rsidR="00F41E8A" w:rsidRPr="00E76E46">
        <w:rPr>
          <w:rFonts w:eastAsia="Calibri"/>
          <w:b/>
          <w:sz w:val="26"/>
          <w:szCs w:val="26"/>
          <w:lang w:val="lv-LV"/>
        </w:rPr>
        <w:t>zmantot maksimālo komisiju gries</w:t>
      </w:r>
      <w:r w:rsidRPr="00E76E46">
        <w:rPr>
          <w:rFonts w:eastAsia="Calibri"/>
          <w:b/>
          <w:sz w:val="26"/>
          <w:szCs w:val="26"/>
          <w:lang w:val="lv-LV"/>
        </w:rPr>
        <w:t xml:space="preserve">tus kā instrumentu, lai stimulētu pensiju fondu investīcijas Latvijā. Attiecīgi rosinām </w:t>
      </w:r>
      <w:r w:rsidR="00C72CFA" w:rsidRPr="00E76E46">
        <w:rPr>
          <w:rFonts w:eastAsia="Calibri"/>
          <w:b/>
          <w:sz w:val="26"/>
          <w:szCs w:val="26"/>
          <w:lang w:val="lv-LV"/>
        </w:rPr>
        <w:t xml:space="preserve">veikt grozījumus </w:t>
      </w:r>
      <w:r w:rsidR="00B81521" w:rsidRPr="00E76E46">
        <w:rPr>
          <w:rFonts w:eastAsia="Calibri"/>
          <w:b/>
          <w:sz w:val="26"/>
          <w:szCs w:val="26"/>
          <w:lang w:val="lv-LV"/>
        </w:rPr>
        <w:t xml:space="preserve">Valsts </w:t>
      </w:r>
      <w:proofErr w:type="spellStart"/>
      <w:r w:rsidR="00B81521" w:rsidRPr="00E76E46">
        <w:rPr>
          <w:rFonts w:eastAsia="Calibri"/>
          <w:b/>
          <w:sz w:val="26"/>
          <w:szCs w:val="26"/>
          <w:lang w:val="lv-LV"/>
        </w:rPr>
        <w:t>fondēto</w:t>
      </w:r>
      <w:proofErr w:type="spellEnd"/>
      <w:r w:rsidR="00B81521" w:rsidRPr="00E76E46">
        <w:rPr>
          <w:rFonts w:eastAsia="Calibri"/>
          <w:b/>
          <w:sz w:val="26"/>
          <w:szCs w:val="26"/>
          <w:lang w:val="lv-LV"/>
        </w:rPr>
        <w:t xml:space="preserve"> pensiju likumā</w:t>
      </w:r>
      <w:r w:rsidR="00C72CFA" w:rsidRPr="00E76E46">
        <w:rPr>
          <w:rFonts w:eastAsia="Calibri"/>
          <w:b/>
          <w:sz w:val="26"/>
          <w:szCs w:val="26"/>
          <w:lang w:val="lv-LV"/>
        </w:rPr>
        <w:t xml:space="preserve"> paredzot, ka </w:t>
      </w:r>
      <w:r w:rsidRPr="00E76E46">
        <w:rPr>
          <w:rFonts w:eastAsia="Calibri"/>
          <w:sz w:val="26"/>
          <w:szCs w:val="26"/>
          <w:lang w:val="lv-LV"/>
        </w:rPr>
        <w:t xml:space="preserve">maksājuma pastāvīgā daļa, kas ietver maksājumus līdzekļu pārvaldītājam, līdzekļu turētājam, kā arī maksājumus trešajām personām, kurus veic no ieguldījumu plāna līdzekļiem, izņemot izdevumus, kas radušies, veicot darījumus ar ieguldījumu plāna aktīvu pārdošanu ar atpirkšanu, un kas ir noteikta atkarībā no pārvaldītāja pārvaldīšanā esošo ieguldījumu plānu kopējiem aktīviem. </w:t>
      </w:r>
    </w:p>
    <w:p w:rsidR="00F43B2D" w:rsidRPr="00F43B2D" w:rsidRDefault="00F43B2D" w:rsidP="00F43B2D">
      <w:pPr>
        <w:spacing w:after="120" w:line="276" w:lineRule="auto"/>
        <w:jc w:val="both"/>
        <w:rPr>
          <w:rFonts w:eastAsia="Calibri"/>
          <w:b/>
          <w:sz w:val="26"/>
          <w:szCs w:val="26"/>
          <w:lang w:val="lv-LV"/>
        </w:rPr>
      </w:pPr>
      <w:r w:rsidRPr="00F43B2D">
        <w:rPr>
          <w:rFonts w:eastAsia="Calibri"/>
          <w:b/>
          <w:sz w:val="26"/>
          <w:szCs w:val="26"/>
          <w:lang w:val="lv-LV"/>
        </w:rPr>
        <w:lastRenderedPageBreak/>
        <w:t xml:space="preserve">Attiecīgi rosinām veikt grozījumus Valsts </w:t>
      </w:r>
      <w:proofErr w:type="spellStart"/>
      <w:r w:rsidRPr="00F43B2D">
        <w:rPr>
          <w:rFonts w:eastAsia="Calibri"/>
          <w:b/>
          <w:sz w:val="26"/>
          <w:szCs w:val="26"/>
          <w:lang w:val="lv-LV"/>
        </w:rPr>
        <w:t>fondēto</w:t>
      </w:r>
      <w:proofErr w:type="spellEnd"/>
      <w:r w:rsidRPr="00F43B2D">
        <w:rPr>
          <w:rFonts w:eastAsia="Calibri"/>
          <w:b/>
          <w:sz w:val="26"/>
          <w:szCs w:val="26"/>
          <w:lang w:val="lv-LV"/>
        </w:rPr>
        <w:t xml:space="preserve"> pensiju likumā 11.panta 5.</w:t>
      </w:r>
      <w:r w:rsidRPr="00F43B2D">
        <w:rPr>
          <w:rFonts w:eastAsia="Calibri"/>
          <w:b/>
          <w:sz w:val="26"/>
          <w:szCs w:val="26"/>
          <w:vertAlign w:val="superscript"/>
          <w:lang w:val="lv-LV"/>
        </w:rPr>
        <w:t>1</w:t>
      </w:r>
      <w:r w:rsidRPr="00F43B2D">
        <w:rPr>
          <w:rFonts w:eastAsia="Calibri"/>
          <w:b/>
          <w:sz w:val="26"/>
          <w:szCs w:val="26"/>
          <w:lang w:val="lv-LV"/>
        </w:rPr>
        <w:t xml:space="preserve"> daļas 1.punktā, paredzot, ka :</w:t>
      </w:r>
    </w:p>
    <w:p w:rsidR="00F43B2D" w:rsidRPr="00F43B2D" w:rsidRDefault="00F43B2D" w:rsidP="00F43B2D">
      <w:pPr>
        <w:spacing w:line="276" w:lineRule="auto"/>
        <w:jc w:val="both"/>
        <w:rPr>
          <w:rFonts w:eastAsia="Calibri"/>
          <w:sz w:val="26"/>
          <w:szCs w:val="26"/>
          <w:lang w:val="lv-LV"/>
        </w:rPr>
      </w:pPr>
      <w:r w:rsidRPr="00F43B2D">
        <w:rPr>
          <w:rFonts w:eastAsia="Calibri"/>
          <w:sz w:val="26"/>
          <w:szCs w:val="26"/>
          <w:lang w:val="lv-LV"/>
        </w:rPr>
        <w:t>maksājuma pastāvīgā daļa, kas ietver maksājumus līdzekļu pārvaldītājam, līdzekļu turētājam, kā arī maksājumus trešajām personām, kurus veic no ieguldījumu plāna līdzekļiem, izņemot izdevumus, kas radušies, veicot darījumus ar ieguldījumu plāna aktīvu pārdošanu ar atpirkšanu, un kas ir noteikta atkarībā no pārvaldītāja pārvaldīšanā esošo ieguldījumu plānu kopējiem aktīviem:</w:t>
      </w:r>
    </w:p>
    <w:p w:rsidR="00F43B2D" w:rsidRPr="00F43B2D" w:rsidRDefault="00F43B2D" w:rsidP="00F43B2D">
      <w:pPr>
        <w:spacing w:line="276" w:lineRule="auto"/>
        <w:ind w:firstLine="567"/>
        <w:jc w:val="both"/>
        <w:rPr>
          <w:rFonts w:eastAsia="Calibri"/>
          <w:b/>
          <w:sz w:val="26"/>
          <w:szCs w:val="26"/>
          <w:lang w:val="lv-LV"/>
        </w:rPr>
      </w:pPr>
      <w:r w:rsidRPr="00F43B2D">
        <w:rPr>
          <w:rFonts w:eastAsia="Calibri"/>
          <w:sz w:val="26"/>
          <w:szCs w:val="26"/>
          <w:lang w:val="lv-LV"/>
        </w:rPr>
        <w:t>a)</w:t>
      </w:r>
      <w:r w:rsidRPr="00F43B2D">
        <w:rPr>
          <w:rFonts w:eastAsia="Calibri"/>
          <w:sz w:val="26"/>
          <w:szCs w:val="26"/>
          <w:lang w:val="lv-LV"/>
        </w:rPr>
        <w:tab/>
        <w:t xml:space="preserve">līdz 0,6 procentiem gadā - kopējai aktīvu daļai, kas nepārsniedz 300 miljonus </w:t>
      </w:r>
      <w:proofErr w:type="spellStart"/>
      <w:r w:rsidRPr="00F43B2D">
        <w:rPr>
          <w:rFonts w:eastAsia="Calibri"/>
          <w:sz w:val="26"/>
          <w:szCs w:val="26"/>
          <w:lang w:val="lv-LV"/>
        </w:rPr>
        <w:t>euro</w:t>
      </w:r>
      <w:proofErr w:type="spellEnd"/>
      <w:r w:rsidRPr="00F43B2D">
        <w:rPr>
          <w:rFonts w:eastAsia="Calibri"/>
          <w:sz w:val="26"/>
          <w:szCs w:val="26"/>
          <w:lang w:val="lv-LV"/>
        </w:rPr>
        <w:t xml:space="preserve">, aprēķinot to iepriekšējā gada 30.novembrī, un </w:t>
      </w:r>
      <w:r w:rsidRPr="00F43B2D">
        <w:rPr>
          <w:rFonts w:eastAsia="Calibri"/>
          <w:b/>
          <w:sz w:val="26"/>
          <w:szCs w:val="26"/>
          <w:lang w:val="lv-LV"/>
        </w:rPr>
        <w:t>līdz 0,7 procentiem gadā, ja pārvaldītājs pēdējo četru gadu laikā ir noslēdzis jaunas vienošanās par ieguldījumu plānu aktīvu ieguldīšanu alternatīvo ieguldījumu fondā, kura ieguldījumu politika cita starpā paredz veikt ieguldījumus arī riska kapitāla tirgū Latvijā, vai arī kurš pēdējo četru gadu laikā ir veicis tiešos ieguldījumus riska kapitāla tirgū Latvijā;</w:t>
      </w:r>
    </w:p>
    <w:p w:rsidR="00F43B2D" w:rsidRPr="00F43B2D" w:rsidRDefault="00F43B2D" w:rsidP="00F43B2D">
      <w:pPr>
        <w:spacing w:after="120" w:line="276" w:lineRule="auto"/>
        <w:ind w:firstLine="567"/>
        <w:jc w:val="both"/>
        <w:rPr>
          <w:rFonts w:eastAsia="Calibri"/>
          <w:b/>
          <w:sz w:val="26"/>
          <w:szCs w:val="26"/>
          <w:lang w:val="lv-LV"/>
        </w:rPr>
      </w:pPr>
      <w:r w:rsidRPr="00F43B2D">
        <w:rPr>
          <w:rFonts w:eastAsia="Calibri"/>
          <w:sz w:val="26"/>
          <w:szCs w:val="26"/>
          <w:lang w:val="lv-LV"/>
        </w:rPr>
        <w:t>b)</w:t>
      </w:r>
      <w:r w:rsidRPr="00F43B2D">
        <w:rPr>
          <w:rFonts w:eastAsia="Calibri"/>
          <w:sz w:val="26"/>
          <w:szCs w:val="26"/>
          <w:lang w:val="lv-LV"/>
        </w:rPr>
        <w:tab/>
        <w:t xml:space="preserve">līdz 0,4 procentiem gadā – kopējai aktīvu daļai, kas pārsniedz 300 miljonus </w:t>
      </w:r>
      <w:proofErr w:type="spellStart"/>
      <w:r w:rsidRPr="00F43B2D">
        <w:rPr>
          <w:rFonts w:eastAsia="Calibri"/>
          <w:sz w:val="26"/>
          <w:szCs w:val="26"/>
          <w:lang w:val="lv-LV"/>
        </w:rPr>
        <w:t>euro</w:t>
      </w:r>
      <w:proofErr w:type="spellEnd"/>
      <w:r w:rsidRPr="00F43B2D">
        <w:rPr>
          <w:rFonts w:eastAsia="Calibri"/>
          <w:sz w:val="26"/>
          <w:szCs w:val="26"/>
          <w:lang w:val="lv-LV"/>
        </w:rPr>
        <w:t xml:space="preserve">, aprēķinot to iepriekšējā gada 30.novembrī, un </w:t>
      </w:r>
      <w:r w:rsidRPr="00F43B2D">
        <w:rPr>
          <w:rFonts w:eastAsia="Calibri"/>
          <w:b/>
          <w:sz w:val="26"/>
          <w:szCs w:val="26"/>
          <w:lang w:val="lv-LV"/>
        </w:rPr>
        <w:t xml:space="preserve">līdz 0,45 procentiem gadā, ja pārvaldītājs pēdējo četru gadu laikā ir noslēdzis jaunas vienošanās par ieguldījumu plānu aktīvu ieguldīšanu alternatīvo ieguldījumu fondā, kura ieguldījumu politika cita starpā paredz veikt ieguldījumus arī riska kapitāla tirgū Latvijā, vai arī kurš pēdējo četru gadu laikā  ir veicis tiešos ieguldījumus riska kapitāla tirgū Latvijā.” </w:t>
      </w:r>
    </w:p>
    <w:p w:rsidR="00F43B2D" w:rsidRPr="00257DF4" w:rsidRDefault="00F43B2D" w:rsidP="00F43B2D">
      <w:pPr>
        <w:spacing w:after="120" w:line="276" w:lineRule="auto"/>
        <w:jc w:val="both"/>
        <w:rPr>
          <w:rFonts w:eastAsia="Calibri"/>
          <w:b/>
          <w:sz w:val="26"/>
          <w:szCs w:val="26"/>
          <w:lang w:val="lv-LV"/>
        </w:rPr>
      </w:pPr>
      <w:r w:rsidRPr="00257DF4">
        <w:rPr>
          <w:rFonts w:eastAsia="Calibri"/>
          <w:b/>
          <w:sz w:val="26"/>
          <w:szCs w:val="26"/>
          <w:lang w:val="lv-LV"/>
        </w:rPr>
        <w:t xml:space="preserve">Attiecīgi rosinām veikt grozījumus Valsts </w:t>
      </w:r>
      <w:proofErr w:type="spellStart"/>
      <w:r w:rsidRPr="00257DF4">
        <w:rPr>
          <w:rFonts w:eastAsia="Calibri"/>
          <w:b/>
          <w:sz w:val="26"/>
          <w:szCs w:val="26"/>
          <w:lang w:val="lv-LV"/>
        </w:rPr>
        <w:t>fondēto</w:t>
      </w:r>
      <w:proofErr w:type="spellEnd"/>
      <w:r w:rsidRPr="00257DF4">
        <w:rPr>
          <w:rFonts w:eastAsia="Calibri"/>
          <w:b/>
          <w:sz w:val="26"/>
          <w:szCs w:val="26"/>
          <w:lang w:val="lv-LV"/>
        </w:rPr>
        <w:t xml:space="preserve"> pensiju likumā 11.panta 5.</w:t>
      </w:r>
      <w:r w:rsidRPr="00257DF4">
        <w:rPr>
          <w:rFonts w:eastAsia="Calibri"/>
          <w:b/>
          <w:sz w:val="26"/>
          <w:szCs w:val="26"/>
          <w:vertAlign w:val="superscript"/>
          <w:lang w:val="lv-LV"/>
        </w:rPr>
        <w:t>1</w:t>
      </w:r>
      <w:r w:rsidRPr="00257DF4">
        <w:rPr>
          <w:rFonts w:eastAsia="Calibri"/>
          <w:b/>
          <w:sz w:val="26"/>
          <w:szCs w:val="26"/>
          <w:lang w:val="lv-LV"/>
        </w:rPr>
        <w:t xml:space="preserve"> daļas 1.punktā, paredzot, ka :</w:t>
      </w:r>
    </w:p>
    <w:p w:rsidR="00F43B2D" w:rsidRPr="00257DF4" w:rsidRDefault="00F43B2D" w:rsidP="00F43B2D">
      <w:pPr>
        <w:spacing w:line="276" w:lineRule="auto"/>
        <w:jc w:val="both"/>
        <w:rPr>
          <w:rFonts w:eastAsia="Calibri"/>
          <w:sz w:val="26"/>
          <w:szCs w:val="26"/>
          <w:lang w:val="lv-LV"/>
        </w:rPr>
      </w:pPr>
      <w:r w:rsidRPr="00257DF4">
        <w:rPr>
          <w:rFonts w:eastAsia="Calibri"/>
          <w:sz w:val="26"/>
          <w:szCs w:val="26"/>
          <w:lang w:val="lv-LV"/>
        </w:rPr>
        <w:t>maksājuma pastāvīgā daļa, kas ietver maksājumus līdzekļu pārvaldītājam, līdzekļu turētājam, kā arī maksājumus trešajām personām, kurus veic no ieguldījumu plāna līdzekļiem, izņemot izdevumus, kas radušies, veicot darījumus ar ieguldījumu plāna aktīvu pārdošanu ar atpirkšanu, un kas ir noteikta atkarībā no pārvaldītāja pārvaldīšanā esošo ieguldījumu plānu kopējiem aktīviem:</w:t>
      </w:r>
    </w:p>
    <w:p w:rsidR="00F43B2D" w:rsidRPr="00257DF4" w:rsidRDefault="00F43B2D" w:rsidP="00F43B2D">
      <w:pPr>
        <w:spacing w:line="276" w:lineRule="auto"/>
        <w:ind w:firstLine="567"/>
        <w:jc w:val="both"/>
        <w:rPr>
          <w:rFonts w:eastAsia="Calibri"/>
          <w:b/>
          <w:sz w:val="26"/>
          <w:szCs w:val="26"/>
          <w:lang w:val="lv-LV"/>
        </w:rPr>
      </w:pPr>
      <w:r w:rsidRPr="00257DF4">
        <w:rPr>
          <w:rFonts w:eastAsia="Calibri"/>
          <w:sz w:val="26"/>
          <w:szCs w:val="26"/>
          <w:lang w:val="lv-LV"/>
        </w:rPr>
        <w:t>a)</w:t>
      </w:r>
      <w:r w:rsidRPr="00257DF4">
        <w:rPr>
          <w:rFonts w:eastAsia="Calibri"/>
          <w:sz w:val="26"/>
          <w:szCs w:val="26"/>
          <w:lang w:val="lv-LV"/>
        </w:rPr>
        <w:tab/>
        <w:t xml:space="preserve">līdz 0,6 procentiem gadā - kopējai aktīvu daļai, kas nepārsniedz 300 miljonus </w:t>
      </w:r>
      <w:proofErr w:type="spellStart"/>
      <w:r w:rsidRPr="00257DF4">
        <w:rPr>
          <w:rFonts w:eastAsia="Calibri"/>
          <w:sz w:val="26"/>
          <w:szCs w:val="26"/>
          <w:lang w:val="lv-LV"/>
        </w:rPr>
        <w:t>euro</w:t>
      </w:r>
      <w:proofErr w:type="spellEnd"/>
      <w:r w:rsidRPr="00257DF4">
        <w:rPr>
          <w:rFonts w:eastAsia="Calibri"/>
          <w:sz w:val="26"/>
          <w:szCs w:val="26"/>
          <w:lang w:val="lv-LV"/>
        </w:rPr>
        <w:t xml:space="preserve">, aprēķinot to iepriekšējā gada 30.novembrī, un </w:t>
      </w:r>
      <w:r w:rsidRPr="00257DF4">
        <w:rPr>
          <w:rFonts w:eastAsia="Calibri"/>
          <w:b/>
          <w:sz w:val="26"/>
          <w:szCs w:val="26"/>
          <w:lang w:val="lv-LV"/>
        </w:rPr>
        <w:t>līdz 0,7 procentiem gadā, ja pārvaldītājs pēdējo četru gadu laikā ir noslēdzis jaunas vienošanās par ieguldījumu plānu aktīvu ieguldīšanu alternatīvo ieguldījumu fondā, kura ieguldījumu politika cita starpā paredz veikt ieguldījumus arī riska kapitāla tirgū Latvijā, vai arī kurš pēdējo četru gadu laikā ir veicis tiešos ieguldījumus riska kapitāla tirgū Latvijā;</w:t>
      </w:r>
    </w:p>
    <w:p w:rsidR="00F43B2D" w:rsidRPr="00257DF4" w:rsidRDefault="00F43B2D" w:rsidP="00F43B2D">
      <w:pPr>
        <w:spacing w:after="120" w:line="276" w:lineRule="auto"/>
        <w:ind w:firstLine="567"/>
        <w:jc w:val="both"/>
        <w:rPr>
          <w:rFonts w:eastAsia="Calibri"/>
          <w:b/>
          <w:sz w:val="26"/>
          <w:szCs w:val="26"/>
          <w:lang w:val="lv-LV"/>
        </w:rPr>
      </w:pPr>
      <w:r w:rsidRPr="00257DF4">
        <w:rPr>
          <w:rFonts w:eastAsia="Calibri"/>
          <w:sz w:val="26"/>
          <w:szCs w:val="26"/>
          <w:lang w:val="lv-LV"/>
        </w:rPr>
        <w:t>b)</w:t>
      </w:r>
      <w:r w:rsidRPr="00257DF4">
        <w:rPr>
          <w:rFonts w:eastAsia="Calibri"/>
          <w:sz w:val="26"/>
          <w:szCs w:val="26"/>
          <w:lang w:val="lv-LV"/>
        </w:rPr>
        <w:tab/>
        <w:t xml:space="preserve">līdz 0,4 procentiem gadā – kopējai aktīvu daļai, kas pārsniedz 300 miljonus </w:t>
      </w:r>
      <w:proofErr w:type="spellStart"/>
      <w:r w:rsidRPr="00257DF4">
        <w:rPr>
          <w:rFonts w:eastAsia="Calibri"/>
          <w:sz w:val="26"/>
          <w:szCs w:val="26"/>
          <w:lang w:val="lv-LV"/>
        </w:rPr>
        <w:t>euro</w:t>
      </w:r>
      <w:proofErr w:type="spellEnd"/>
      <w:r w:rsidRPr="00257DF4">
        <w:rPr>
          <w:rFonts w:eastAsia="Calibri"/>
          <w:sz w:val="26"/>
          <w:szCs w:val="26"/>
          <w:lang w:val="lv-LV"/>
        </w:rPr>
        <w:t xml:space="preserve">, aprēķinot to iepriekšējā gada 30.novembrī, un </w:t>
      </w:r>
      <w:r w:rsidRPr="00257DF4">
        <w:rPr>
          <w:rFonts w:eastAsia="Calibri"/>
          <w:b/>
          <w:sz w:val="26"/>
          <w:szCs w:val="26"/>
          <w:lang w:val="lv-LV"/>
        </w:rPr>
        <w:t xml:space="preserve">līdz 0,45 procentiem gadā, ja pārvaldītājs pēdējo četru gadu laikā ir noslēdzis jaunas vienošanās par ieguldījumu plānu aktīvu ieguldīšanu alternatīvo ieguldījumu fondā, kura ieguldījumu politika cita starpā paredz veikt ieguldījumus arī riska kapitāla tirgū </w:t>
      </w:r>
      <w:r w:rsidRPr="00257DF4">
        <w:rPr>
          <w:rFonts w:eastAsia="Calibri"/>
          <w:b/>
          <w:sz w:val="26"/>
          <w:szCs w:val="26"/>
          <w:lang w:val="lv-LV"/>
        </w:rPr>
        <w:lastRenderedPageBreak/>
        <w:t xml:space="preserve">Latvijā, vai arī kurš pēdējo četru gadu laikā  ir veicis tiešos ieguldījumus riska kapitāla tirgū Latvijā.” </w:t>
      </w:r>
    </w:p>
    <w:p w:rsidR="00A50217" w:rsidRPr="00E76E46" w:rsidRDefault="00F43B2D" w:rsidP="001B75AD">
      <w:pPr>
        <w:spacing w:after="120" w:line="276" w:lineRule="auto"/>
        <w:jc w:val="both"/>
        <w:rPr>
          <w:rFonts w:eastAsia="Calibri"/>
          <w:sz w:val="26"/>
          <w:szCs w:val="26"/>
          <w:lang w:val="lv-LV"/>
        </w:rPr>
      </w:pPr>
      <w:r w:rsidRPr="00E76E46">
        <w:rPr>
          <w:rFonts w:eastAsia="Calibri"/>
          <w:sz w:val="26"/>
          <w:szCs w:val="26"/>
          <w:lang w:val="lv-LV"/>
        </w:rPr>
        <w:t>I</w:t>
      </w:r>
      <w:r w:rsidR="00D568DF" w:rsidRPr="00E76E46">
        <w:rPr>
          <w:rFonts w:eastAsia="Calibri"/>
          <w:sz w:val="26"/>
          <w:szCs w:val="26"/>
          <w:lang w:val="lv-LV"/>
        </w:rPr>
        <w:t xml:space="preserve">zstrādājot likumprojektu un detalizētas tiesību normas, tiks noteikta </w:t>
      </w:r>
      <w:r w:rsidRPr="00E76E46">
        <w:rPr>
          <w:rFonts w:eastAsia="Calibri"/>
          <w:sz w:val="26"/>
          <w:szCs w:val="26"/>
          <w:lang w:val="lv-LV"/>
        </w:rPr>
        <w:t>precīza</w:t>
      </w:r>
      <w:r w:rsidR="00D568DF" w:rsidRPr="00E76E46">
        <w:rPr>
          <w:rFonts w:eastAsia="Calibri"/>
          <w:sz w:val="26"/>
          <w:szCs w:val="26"/>
          <w:lang w:val="lv-LV"/>
        </w:rPr>
        <w:t xml:space="preserve"> prasība p</w:t>
      </w:r>
      <w:r w:rsidRPr="00E76E46">
        <w:rPr>
          <w:rFonts w:eastAsia="Calibri"/>
          <w:sz w:val="26"/>
          <w:szCs w:val="26"/>
          <w:lang w:val="lv-LV"/>
        </w:rPr>
        <w:t>ar</w:t>
      </w:r>
      <w:r w:rsidR="00D568DF" w:rsidRPr="00E76E46">
        <w:rPr>
          <w:rFonts w:eastAsia="Calibri"/>
          <w:sz w:val="26"/>
          <w:szCs w:val="26"/>
          <w:lang w:val="lv-LV"/>
        </w:rPr>
        <w:t xml:space="preserve"> minimāl</w:t>
      </w:r>
      <w:r w:rsidR="00DD5590" w:rsidRPr="00E76E46">
        <w:rPr>
          <w:rFonts w:eastAsia="Calibri"/>
          <w:sz w:val="26"/>
          <w:szCs w:val="26"/>
          <w:lang w:val="lv-LV"/>
        </w:rPr>
        <w:t>o</w:t>
      </w:r>
      <w:r w:rsidR="00D568DF" w:rsidRPr="00E76E46">
        <w:rPr>
          <w:rFonts w:eastAsia="Calibri"/>
          <w:sz w:val="26"/>
          <w:szCs w:val="26"/>
          <w:lang w:val="lv-LV"/>
        </w:rPr>
        <w:t xml:space="preserve"> investīciju apjom</w:t>
      </w:r>
      <w:r w:rsidRPr="00E76E46">
        <w:rPr>
          <w:rFonts w:eastAsia="Calibri"/>
          <w:sz w:val="26"/>
          <w:szCs w:val="26"/>
          <w:lang w:val="lv-LV"/>
        </w:rPr>
        <w:t>u</w:t>
      </w:r>
      <w:r w:rsidR="00DD5590" w:rsidRPr="00E76E46">
        <w:rPr>
          <w:rFonts w:eastAsia="Calibri"/>
          <w:sz w:val="26"/>
          <w:szCs w:val="26"/>
          <w:lang w:val="lv-LV"/>
        </w:rPr>
        <w:t xml:space="preserve"> </w:t>
      </w:r>
      <w:r w:rsidR="00721E81" w:rsidRPr="00E76E46">
        <w:rPr>
          <w:rFonts w:eastAsia="Calibri"/>
          <w:sz w:val="26"/>
          <w:szCs w:val="26"/>
          <w:lang w:val="lv-LV"/>
        </w:rPr>
        <w:t xml:space="preserve">(alternatīvo investīciju fondos un/vai tiešajām investīcijām riska kapitālā Latvijā) </w:t>
      </w:r>
      <w:r w:rsidR="00DD5590" w:rsidRPr="00E76E46">
        <w:rPr>
          <w:rFonts w:eastAsia="Calibri"/>
          <w:sz w:val="26"/>
          <w:szCs w:val="26"/>
          <w:lang w:val="lv-LV"/>
        </w:rPr>
        <w:t>procentos no kopējās ieguldījumu plāna aktīvu vērtības</w:t>
      </w:r>
      <w:r w:rsidR="00D568DF" w:rsidRPr="00E76E46">
        <w:rPr>
          <w:rFonts w:eastAsia="Calibri"/>
          <w:sz w:val="26"/>
          <w:szCs w:val="26"/>
          <w:lang w:val="lv-LV"/>
        </w:rPr>
        <w:t xml:space="preserve">, </w:t>
      </w:r>
      <w:r w:rsidR="00721E81" w:rsidRPr="00E76E46">
        <w:rPr>
          <w:rFonts w:eastAsia="Calibri"/>
          <w:sz w:val="26"/>
          <w:szCs w:val="26"/>
          <w:lang w:val="lv-LV"/>
        </w:rPr>
        <w:t>kā arī nosacījumi attiecībā uz alternatīvo ieguldījumu</w:t>
      </w:r>
      <w:r w:rsidR="00D91D3D" w:rsidRPr="00E76E46">
        <w:rPr>
          <w:rFonts w:eastAsia="Calibri"/>
          <w:sz w:val="26"/>
          <w:szCs w:val="26"/>
          <w:lang w:val="lv-LV"/>
        </w:rPr>
        <w:t xml:space="preserve"> fondu ieguldījumu politiku,</w:t>
      </w:r>
      <w:r w:rsidR="00721E81" w:rsidRPr="00E76E46">
        <w:rPr>
          <w:rFonts w:eastAsia="Calibri"/>
          <w:sz w:val="26"/>
          <w:szCs w:val="26"/>
          <w:lang w:val="lv-LV"/>
        </w:rPr>
        <w:t xml:space="preserve"> </w:t>
      </w:r>
      <w:r w:rsidR="00D91D3D" w:rsidRPr="00E76E46">
        <w:rPr>
          <w:rFonts w:eastAsia="Calibri"/>
          <w:sz w:val="26"/>
          <w:szCs w:val="26"/>
          <w:lang w:val="lv-LV"/>
        </w:rPr>
        <w:t xml:space="preserve">kuriem izpildoties, </w:t>
      </w:r>
      <w:r w:rsidR="00D568DF" w:rsidRPr="00E76E46">
        <w:rPr>
          <w:rFonts w:eastAsia="Calibri"/>
          <w:sz w:val="26"/>
          <w:szCs w:val="26"/>
          <w:lang w:val="lv-LV"/>
        </w:rPr>
        <w:t xml:space="preserve">pārvaldniekam būs tiesības saņemt </w:t>
      </w:r>
      <w:r w:rsidR="00DD5590" w:rsidRPr="00E76E46">
        <w:rPr>
          <w:rFonts w:eastAsia="Calibri"/>
          <w:sz w:val="26"/>
          <w:szCs w:val="26"/>
          <w:lang w:val="lv-LV"/>
        </w:rPr>
        <w:t>paaugstinātu</w:t>
      </w:r>
      <w:r w:rsidR="00D568DF" w:rsidRPr="00E76E46">
        <w:rPr>
          <w:rFonts w:eastAsia="Calibri"/>
          <w:sz w:val="26"/>
          <w:szCs w:val="26"/>
          <w:lang w:val="lv-LV"/>
        </w:rPr>
        <w:t xml:space="preserve"> </w:t>
      </w:r>
      <w:r w:rsidR="00DD5590" w:rsidRPr="00E76E46">
        <w:rPr>
          <w:rFonts w:eastAsia="Calibri"/>
          <w:sz w:val="26"/>
          <w:szCs w:val="26"/>
          <w:lang w:val="lv-LV"/>
        </w:rPr>
        <w:t>maksājuma pastāvīgo daļu</w:t>
      </w:r>
      <w:r w:rsidR="00D568DF" w:rsidRPr="00E76E46">
        <w:rPr>
          <w:rFonts w:eastAsia="Calibri"/>
          <w:sz w:val="26"/>
          <w:szCs w:val="26"/>
          <w:lang w:val="lv-LV"/>
        </w:rPr>
        <w:t xml:space="preserve">. </w:t>
      </w:r>
    </w:p>
    <w:p w:rsidR="00A50217" w:rsidRDefault="00F43B2D" w:rsidP="00F24716">
      <w:pPr>
        <w:spacing w:after="120" w:line="276" w:lineRule="auto"/>
        <w:jc w:val="both"/>
        <w:rPr>
          <w:rFonts w:eastAsia="Calibri"/>
          <w:sz w:val="26"/>
          <w:szCs w:val="26"/>
          <w:lang w:val="lv-LV"/>
        </w:rPr>
      </w:pPr>
      <w:r w:rsidRPr="00E76E46">
        <w:rPr>
          <w:rFonts w:eastAsia="Calibri"/>
          <w:sz w:val="26"/>
          <w:szCs w:val="26"/>
          <w:lang w:val="lv-LV"/>
        </w:rPr>
        <w:t xml:space="preserve">Minētie grozījumi varētu sniegt pozitīvu atdevi attiecībā uz pensiju fondu ienesīgumu un labvēlīgi ietekmēt arī pensiju plānu dalībniekus. Papildus jānorāda, ka pensiju plānu pārvaldītājiem, kā to nosaka Valsts </w:t>
      </w:r>
      <w:proofErr w:type="spellStart"/>
      <w:r w:rsidRPr="00E76E46">
        <w:rPr>
          <w:rFonts w:eastAsia="Calibri"/>
          <w:sz w:val="26"/>
          <w:szCs w:val="26"/>
          <w:lang w:val="lv-LV"/>
        </w:rPr>
        <w:t>fondēto</w:t>
      </w:r>
      <w:proofErr w:type="spellEnd"/>
      <w:r w:rsidRPr="00E76E46">
        <w:rPr>
          <w:rFonts w:eastAsia="Calibri"/>
          <w:sz w:val="26"/>
          <w:szCs w:val="26"/>
          <w:lang w:val="lv-LV"/>
        </w:rPr>
        <w:t xml:space="preserve"> pensiju likums, ir jārīkojas kā gādīgam un rūpīgam saimniekam un vienīgi pensiju plānu dalībnieku interesēs. Tādēļ tie ir motivēti meklēt un veikt vienīgi perspektīvus ieguldījumus. </w:t>
      </w:r>
      <w:r w:rsidR="00EB636A" w:rsidRPr="00E76E46">
        <w:rPr>
          <w:rFonts w:eastAsia="Calibri"/>
          <w:sz w:val="26"/>
          <w:szCs w:val="26"/>
          <w:lang w:val="lv-LV"/>
        </w:rPr>
        <w:t>K</w:t>
      </w:r>
      <w:r w:rsidRPr="00E76E46">
        <w:rPr>
          <w:rFonts w:eastAsia="Calibri"/>
          <w:sz w:val="26"/>
          <w:szCs w:val="26"/>
          <w:lang w:val="lv-LV"/>
        </w:rPr>
        <w:t xml:space="preserve">omisiju sistēma, kad pārvaldītāji saņem mainīgo maksājuma daļu, vēl vairāk motivē pārvaldītājus sasniegt labu rezultātu pensiju plānu dalībniekiem. Tādēļ pārvaldītāji izvairīsies no ieguldījumu veikšanas riska kapitāla fondos ar vāju pārvaldes komandu vai nepārliecinošu ieguldīšanas stratēģiju, jo zaudējumi vai ieguldījumu </w:t>
      </w:r>
      <w:proofErr w:type="spellStart"/>
      <w:r w:rsidRPr="00E76E46">
        <w:rPr>
          <w:rFonts w:eastAsia="Calibri"/>
          <w:sz w:val="26"/>
          <w:szCs w:val="26"/>
          <w:lang w:val="lv-LV"/>
        </w:rPr>
        <w:t>atdeve</w:t>
      </w:r>
      <w:proofErr w:type="spellEnd"/>
      <w:r w:rsidRPr="00E76E46">
        <w:rPr>
          <w:rFonts w:eastAsia="Calibri"/>
          <w:sz w:val="26"/>
          <w:szCs w:val="26"/>
          <w:lang w:val="lv-LV"/>
        </w:rPr>
        <w:t xml:space="preserve"> no riska kapitāla ieguld</w:t>
      </w:r>
      <w:r w:rsidR="00204221" w:rsidRPr="00E76E46">
        <w:rPr>
          <w:rFonts w:eastAsia="Calibri"/>
          <w:sz w:val="26"/>
          <w:szCs w:val="26"/>
          <w:lang w:val="lv-LV"/>
        </w:rPr>
        <w:t>ījumiem zem salīdzinošā indeksa</w:t>
      </w:r>
      <w:r w:rsidRPr="00E76E46">
        <w:rPr>
          <w:rFonts w:eastAsia="Calibri"/>
          <w:sz w:val="26"/>
          <w:szCs w:val="26"/>
          <w:lang w:val="lv-LV"/>
        </w:rPr>
        <w:t xml:space="preserve"> nozīmēs tiešus zaudējumus pārvaldītājiem zemāku pārvaldes mainīgo maksu veidā. </w:t>
      </w:r>
    </w:p>
    <w:p w:rsidR="00C6329D" w:rsidRPr="006F349E" w:rsidRDefault="00F43B2D" w:rsidP="006F349E">
      <w:pPr>
        <w:spacing w:line="276" w:lineRule="auto"/>
        <w:jc w:val="both"/>
        <w:rPr>
          <w:rFonts w:eastAsia="Calibri"/>
          <w:i/>
          <w:sz w:val="22"/>
          <w:szCs w:val="22"/>
          <w:lang w:val="lv-LV"/>
        </w:rPr>
      </w:pPr>
      <w:r w:rsidRPr="006F349E">
        <w:rPr>
          <w:rFonts w:eastAsia="Calibri"/>
          <w:i/>
          <w:sz w:val="22"/>
          <w:szCs w:val="22"/>
          <w:lang w:val="lv-LV"/>
        </w:rPr>
        <w:t>6.attēls</w:t>
      </w:r>
    </w:p>
    <w:p w:rsidR="00D631EA" w:rsidRPr="006F349E" w:rsidRDefault="00F43B2D" w:rsidP="006F349E">
      <w:pPr>
        <w:spacing w:line="276" w:lineRule="auto"/>
        <w:jc w:val="both"/>
        <w:rPr>
          <w:rFonts w:eastAsia="Calibri"/>
          <w:i/>
          <w:sz w:val="22"/>
          <w:szCs w:val="22"/>
          <w:lang w:val="lv-LV"/>
        </w:rPr>
      </w:pPr>
      <w:r>
        <w:rPr>
          <w:rFonts w:eastAsia="Calibri"/>
          <w:i/>
          <w:sz w:val="22"/>
          <w:szCs w:val="22"/>
          <w:lang w:val="lv-LV"/>
        </w:rPr>
        <w:t>Peļņas no RK salīdzinājums ar citiem ieguldījumiem</w:t>
      </w:r>
      <w:r w:rsidR="006F349E">
        <w:rPr>
          <w:rFonts w:eastAsia="Calibri"/>
          <w:i/>
          <w:sz w:val="22"/>
          <w:szCs w:val="22"/>
          <w:lang w:val="lv-LV"/>
        </w:rPr>
        <w:t xml:space="preserve">. </w:t>
      </w:r>
    </w:p>
    <w:p w:rsidR="00380BC2" w:rsidRPr="00E76E46" w:rsidRDefault="00F43B2D" w:rsidP="00F24716">
      <w:pPr>
        <w:spacing w:after="120" w:line="276" w:lineRule="auto"/>
        <w:jc w:val="both"/>
        <w:rPr>
          <w:rFonts w:eastAsia="Calibri"/>
          <w:sz w:val="26"/>
          <w:szCs w:val="26"/>
          <w:lang w:val="lv-LV"/>
        </w:rPr>
      </w:pPr>
      <w:r w:rsidRPr="00E76E46">
        <w:rPr>
          <w:rFonts w:eastAsia="Calibri"/>
          <w:noProof/>
          <w:sz w:val="26"/>
          <w:szCs w:val="26"/>
          <w:lang w:val="lv-LV" w:eastAsia="lv-LV"/>
        </w:rPr>
        <w:drawing>
          <wp:anchor distT="0" distB="0" distL="114300" distR="114300" simplePos="0" relativeHeight="251658240" behindDoc="0" locked="0" layoutInCell="1" allowOverlap="1">
            <wp:simplePos x="0" y="0"/>
            <wp:positionH relativeFrom="column">
              <wp:posOffset>-266700</wp:posOffset>
            </wp:positionH>
            <wp:positionV relativeFrom="paragraph">
              <wp:posOffset>66675</wp:posOffset>
            </wp:positionV>
            <wp:extent cx="2806700" cy="31204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697833" name="Screen Shot 2018-10-12 at 13.09.2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6700" cy="3120440"/>
                    </a:xfrm>
                    <a:prstGeom prst="rect">
                      <a:avLst/>
                    </a:prstGeom>
                  </pic:spPr>
                </pic:pic>
              </a:graphicData>
            </a:graphic>
          </wp:anchor>
        </w:drawing>
      </w:r>
      <w:r w:rsidR="00156DE3" w:rsidRPr="00E76E46">
        <w:rPr>
          <w:rFonts w:eastAsia="Calibri"/>
          <w:sz w:val="26"/>
          <w:szCs w:val="26"/>
          <w:lang w:val="lv-LV"/>
        </w:rPr>
        <w:t xml:space="preserve">Pensiju plānu investīcijas riska kapitāla fondos atbilst to dalībnieku interesēm, jo investīciju riska kapitālā </w:t>
      </w:r>
      <w:proofErr w:type="spellStart"/>
      <w:r w:rsidR="00156DE3" w:rsidRPr="00E76E46">
        <w:rPr>
          <w:rFonts w:eastAsia="Calibri"/>
          <w:sz w:val="26"/>
          <w:szCs w:val="26"/>
          <w:lang w:val="lv-LV"/>
        </w:rPr>
        <w:t>atdeve</w:t>
      </w:r>
      <w:proofErr w:type="spellEnd"/>
      <w:r w:rsidR="00156DE3" w:rsidRPr="00E76E46">
        <w:rPr>
          <w:rFonts w:eastAsia="Calibri"/>
          <w:sz w:val="26"/>
          <w:szCs w:val="26"/>
          <w:lang w:val="lv-LV"/>
        </w:rPr>
        <w:t xml:space="preserve"> </w:t>
      </w:r>
      <w:r w:rsidR="00C722B0" w:rsidRPr="00E76E46">
        <w:rPr>
          <w:rFonts w:eastAsia="Calibri"/>
          <w:sz w:val="26"/>
          <w:szCs w:val="26"/>
          <w:lang w:val="lv-LV"/>
        </w:rPr>
        <w:t xml:space="preserve">ilgtermiņā </w:t>
      </w:r>
      <w:r w:rsidR="00156DE3" w:rsidRPr="00E76E46">
        <w:rPr>
          <w:rFonts w:eastAsia="Calibri"/>
          <w:sz w:val="26"/>
          <w:szCs w:val="26"/>
          <w:lang w:val="lv-LV"/>
        </w:rPr>
        <w:t>ir lielāka nekā publiski tirgojamos finanšu instrumentos. Pētījumi rāda, ka riska kapitāla investīcijas nopelna 3-4% gadā vairāk nekā ieguldījumi biržā.</w:t>
      </w:r>
      <w:r>
        <w:rPr>
          <w:rStyle w:val="FootnoteReference"/>
          <w:rFonts w:eastAsia="Calibri"/>
          <w:sz w:val="26"/>
          <w:szCs w:val="26"/>
          <w:lang w:val="lv-LV"/>
        </w:rPr>
        <w:footnoteReference w:id="6"/>
      </w:r>
      <w:r w:rsidR="00156DE3" w:rsidRPr="00E76E46">
        <w:rPr>
          <w:rFonts w:eastAsia="Calibri"/>
          <w:sz w:val="26"/>
          <w:szCs w:val="26"/>
          <w:lang w:val="lv-LV"/>
        </w:rPr>
        <w:t xml:space="preserve"> </w:t>
      </w:r>
      <w:r w:rsidR="00C722B0" w:rsidRPr="00E76E46">
        <w:rPr>
          <w:rFonts w:eastAsia="Calibri"/>
          <w:sz w:val="26"/>
          <w:szCs w:val="26"/>
          <w:lang w:val="lv-LV"/>
        </w:rPr>
        <w:t xml:space="preserve">(Izņēmums ir investīcijas agrīnajās stadijās, bet </w:t>
      </w:r>
      <w:r w:rsidR="00A507CF">
        <w:rPr>
          <w:rFonts w:eastAsia="Calibri"/>
          <w:sz w:val="26"/>
          <w:szCs w:val="26"/>
          <w:lang w:val="lv-LV"/>
        </w:rPr>
        <w:t>pensiju fondu pārvaldītāji</w:t>
      </w:r>
      <w:r w:rsidR="00C722B0" w:rsidRPr="00E76E46">
        <w:rPr>
          <w:rFonts w:eastAsia="Calibri"/>
          <w:sz w:val="26"/>
          <w:szCs w:val="26"/>
          <w:lang w:val="lv-LV"/>
        </w:rPr>
        <w:t xml:space="preserve"> gan Eiropā kopumā, gan Latvijā fondos ar šādu investīciju stratēģiju neinvestē un</w:t>
      </w:r>
      <w:r w:rsidR="00141768" w:rsidRPr="00E76E46">
        <w:rPr>
          <w:rFonts w:eastAsia="Calibri"/>
          <w:sz w:val="26"/>
          <w:szCs w:val="26"/>
          <w:lang w:val="lv-LV"/>
        </w:rPr>
        <w:t>,</w:t>
      </w:r>
      <w:r w:rsidR="00C722B0" w:rsidRPr="00E76E46">
        <w:rPr>
          <w:rFonts w:eastAsia="Calibri"/>
          <w:sz w:val="26"/>
          <w:szCs w:val="26"/>
          <w:lang w:val="lv-LV"/>
        </w:rPr>
        <w:t xml:space="preserve"> pēc LVCA rīcībā esošās informācijas</w:t>
      </w:r>
      <w:r w:rsidR="00141768" w:rsidRPr="00E76E46">
        <w:rPr>
          <w:rFonts w:eastAsia="Calibri"/>
          <w:sz w:val="26"/>
          <w:szCs w:val="26"/>
          <w:lang w:val="lv-LV"/>
        </w:rPr>
        <w:t>,</w:t>
      </w:r>
      <w:r w:rsidR="00C722B0" w:rsidRPr="00E76E46">
        <w:rPr>
          <w:rFonts w:eastAsia="Calibri"/>
          <w:sz w:val="26"/>
          <w:szCs w:val="26"/>
          <w:lang w:val="lv-LV"/>
        </w:rPr>
        <w:t xml:space="preserve"> arī neplāno investēt).</w:t>
      </w:r>
      <w:r w:rsidRPr="00E76E46">
        <w:rPr>
          <w:rFonts w:eastAsia="Calibri"/>
          <w:sz w:val="26"/>
          <w:szCs w:val="26"/>
          <w:lang w:val="lv-LV"/>
        </w:rPr>
        <w:t xml:space="preserve"> </w:t>
      </w:r>
      <w:r w:rsidRPr="006F349E">
        <w:rPr>
          <w:rFonts w:eastAsia="Calibri"/>
          <w:sz w:val="26"/>
          <w:szCs w:val="26"/>
          <w:lang w:val="lv-LV"/>
        </w:rPr>
        <w:t xml:space="preserve">Britu Riska kapitāla asociācijas apkopotie dati </w:t>
      </w:r>
      <w:r w:rsidR="00C6329D" w:rsidRPr="006F349E">
        <w:rPr>
          <w:rFonts w:eastAsia="Calibri"/>
          <w:sz w:val="26"/>
          <w:szCs w:val="26"/>
          <w:lang w:val="lv-LV"/>
        </w:rPr>
        <w:t>(6.</w:t>
      </w:r>
      <w:r w:rsidRPr="006F349E">
        <w:rPr>
          <w:rFonts w:eastAsia="Calibri"/>
          <w:sz w:val="26"/>
          <w:szCs w:val="26"/>
          <w:lang w:val="lv-LV"/>
        </w:rPr>
        <w:t>attēls) parāda, ka ieguldījumu riska kapitāla vēlīnajās stadijās iekšējā peļņas likme (IRR) ir 14,9% gadā</w:t>
      </w:r>
      <w:r w:rsidRPr="00E76E46">
        <w:rPr>
          <w:rFonts w:eastAsia="Calibri"/>
          <w:sz w:val="26"/>
          <w:szCs w:val="26"/>
          <w:lang w:val="lv-LV"/>
        </w:rPr>
        <w:t>. Savukārt vidējais pensiju fondu IRR ir vien 7,8%.</w:t>
      </w:r>
      <w:r w:rsidR="00C722B0" w:rsidRPr="00E76E46">
        <w:rPr>
          <w:rFonts w:eastAsia="Calibri"/>
          <w:sz w:val="26"/>
          <w:szCs w:val="26"/>
          <w:lang w:val="lv-LV"/>
        </w:rPr>
        <w:t xml:space="preserve"> </w:t>
      </w:r>
    </w:p>
    <w:p w:rsidR="00380BC2" w:rsidRPr="00C6329D" w:rsidRDefault="00F43B2D" w:rsidP="00C6329D">
      <w:pPr>
        <w:pStyle w:val="NormalWeb"/>
        <w:shd w:val="clear" w:color="auto" w:fill="FFFFFF"/>
        <w:jc w:val="both"/>
        <w:rPr>
          <w:color w:val="000000" w:themeColor="text1"/>
          <w:sz w:val="26"/>
          <w:szCs w:val="26"/>
          <w:lang w:val="lv-LV"/>
        </w:rPr>
      </w:pPr>
      <w:r w:rsidRPr="00C6329D">
        <w:rPr>
          <w:color w:val="000000" w:themeColor="text1"/>
          <w:sz w:val="26"/>
          <w:szCs w:val="26"/>
          <w:lang w:val="lv-LV"/>
        </w:rPr>
        <w:lastRenderedPageBreak/>
        <w:t xml:space="preserve">Saskaņā ar </w:t>
      </w:r>
      <w:proofErr w:type="spellStart"/>
      <w:r w:rsidRPr="00C6329D">
        <w:rPr>
          <w:color w:val="000000" w:themeColor="text1"/>
          <w:sz w:val="26"/>
          <w:szCs w:val="26"/>
          <w:lang w:val="lv-LV"/>
        </w:rPr>
        <w:t>Greenwich</w:t>
      </w:r>
      <w:proofErr w:type="spellEnd"/>
      <w:r w:rsidRPr="00C6329D">
        <w:rPr>
          <w:color w:val="000000" w:themeColor="text1"/>
          <w:sz w:val="26"/>
          <w:szCs w:val="26"/>
          <w:lang w:val="lv-LV"/>
        </w:rPr>
        <w:t xml:space="preserve"> </w:t>
      </w:r>
      <w:proofErr w:type="spellStart"/>
      <w:r w:rsidRPr="00C6329D">
        <w:rPr>
          <w:color w:val="000000" w:themeColor="text1"/>
          <w:sz w:val="26"/>
          <w:szCs w:val="26"/>
          <w:lang w:val="lv-LV"/>
        </w:rPr>
        <w:t>Associates</w:t>
      </w:r>
      <w:proofErr w:type="spellEnd"/>
      <w:r w:rsidRPr="00C6329D">
        <w:rPr>
          <w:color w:val="000000" w:themeColor="text1"/>
          <w:sz w:val="26"/>
          <w:szCs w:val="26"/>
          <w:lang w:val="lv-LV"/>
        </w:rPr>
        <w:t xml:space="preserve"> datiem</w:t>
      </w:r>
      <w:r>
        <w:rPr>
          <w:rStyle w:val="FootnoteReference"/>
          <w:color w:val="000000" w:themeColor="text1"/>
          <w:sz w:val="26"/>
          <w:szCs w:val="26"/>
          <w:lang w:val="lv-LV"/>
        </w:rPr>
        <w:footnoteReference w:id="7"/>
      </w:r>
      <w:r w:rsidRPr="00C6329D">
        <w:rPr>
          <w:color w:val="000000" w:themeColor="text1"/>
          <w:sz w:val="26"/>
          <w:szCs w:val="26"/>
          <w:lang w:val="lv-LV"/>
        </w:rPr>
        <w:t xml:space="preserve"> </w:t>
      </w:r>
      <w:r w:rsidR="00C974C6" w:rsidRPr="00C6329D">
        <w:rPr>
          <w:color w:val="000000" w:themeColor="text1"/>
          <w:sz w:val="26"/>
          <w:szCs w:val="26"/>
          <w:lang w:val="lv-LV"/>
        </w:rPr>
        <w:t xml:space="preserve">vairākums </w:t>
      </w:r>
      <w:r w:rsidRPr="00C6329D">
        <w:rPr>
          <w:color w:val="000000" w:themeColor="text1"/>
          <w:sz w:val="26"/>
          <w:szCs w:val="26"/>
          <w:lang w:val="lv-LV"/>
        </w:rPr>
        <w:t>pensiju fondu pā</w:t>
      </w:r>
      <w:r w:rsidR="00C974C6" w:rsidRPr="00C6329D">
        <w:rPr>
          <w:color w:val="000000" w:themeColor="text1"/>
          <w:sz w:val="26"/>
          <w:szCs w:val="26"/>
          <w:lang w:val="lv-LV"/>
        </w:rPr>
        <w:t>r</w:t>
      </w:r>
      <w:r w:rsidRPr="00C6329D">
        <w:rPr>
          <w:color w:val="000000" w:themeColor="text1"/>
          <w:sz w:val="26"/>
          <w:szCs w:val="26"/>
          <w:lang w:val="lv-LV"/>
        </w:rPr>
        <w:t>valdniek</w:t>
      </w:r>
      <w:r w:rsidR="00C974C6" w:rsidRPr="00C6329D">
        <w:rPr>
          <w:color w:val="000000" w:themeColor="text1"/>
          <w:sz w:val="26"/>
          <w:szCs w:val="26"/>
          <w:lang w:val="lv-LV"/>
        </w:rPr>
        <w:t>u</w:t>
      </w:r>
      <w:r w:rsidRPr="00C6329D">
        <w:rPr>
          <w:color w:val="000000" w:themeColor="text1"/>
          <w:sz w:val="26"/>
          <w:szCs w:val="26"/>
          <w:lang w:val="lv-LV"/>
        </w:rPr>
        <w:t xml:space="preserve"> ar pieredzi ieguldījumos riska kapitālā uzskata, ka arī nākotnē peļņa no šādiem ieguldījumiem par 3-6% gadā pā</w:t>
      </w:r>
      <w:r w:rsidR="00141768" w:rsidRPr="00C6329D">
        <w:rPr>
          <w:color w:val="000000" w:themeColor="text1"/>
          <w:sz w:val="26"/>
          <w:szCs w:val="26"/>
          <w:lang w:val="lv-LV"/>
        </w:rPr>
        <w:t>r</w:t>
      </w:r>
      <w:r w:rsidRPr="00C6329D">
        <w:rPr>
          <w:color w:val="000000" w:themeColor="text1"/>
          <w:sz w:val="26"/>
          <w:szCs w:val="26"/>
          <w:lang w:val="lv-LV"/>
        </w:rPr>
        <w:t xml:space="preserve">sniegs ienākumus no darījumiem biržā. </w:t>
      </w:r>
    </w:p>
    <w:p w:rsidR="00C722B0" w:rsidRPr="00E76E46" w:rsidRDefault="00F43B2D" w:rsidP="00F24716">
      <w:pPr>
        <w:spacing w:after="120" w:line="276" w:lineRule="auto"/>
        <w:jc w:val="both"/>
        <w:rPr>
          <w:rFonts w:eastAsia="Calibri"/>
          <w:sz w:val="26"/>
          <w:szCs w:val="26"/>
          <w:lang w:val="lv-LV"/>
        </w:rPr>
      </w:pPr>
      <w:r w:rsidRPr="00E76E46">
        <w:rPr>
          <w:rFonts w:eastAsia="Calibri"/>
          <w:sz w:val="26"/>
          <w:szCs w:val="26"/>
          <w:lang w:val="lv-LV"/>
        </w:rPr>
        <w:t>P</w:t>
      </w:r>
      <w:r w:rsidR="00156DE3" w:rsidRPr="00E76E46">
        <w:rPr>
          <w:rFonts w:eastAsia="Calibri"/>
          <w:sz w:val="26"/>
          <w:szCs w:val="26"/>
          <w:lang w:val="lv-LV"/>
        </w:rPr>
        <w:t xml:space="preserve">otenciāla peļņa </w:t>
      </w:r>
      <w:r w:rsidRPr="00E76E46">
        <w:rPr>
          <w:rFonts w:eastAsia="Calibri"/>
          <w:sz w:val="26"/>
          <w:szCs w:val="26"/>
          <w:lang w:val="lv-LV"/>
        </w:rPr>
        <w:t xml:space="preserve">no ieguldījumiem riska kapitālā </w:t>
      </w:r>
      <w:r w:rsidR="00141768" w:rsidRPr="00E76E46">
        <w:rPr>
          <w:rFonts w:eastAsia="Calibri"/>
          <w:sz w:val="26"/>
          <w:szCs w:val="26"/>
          <w:lang w:val="lv-LV"/>
        </w:rPr>
        <w:t xml:space="preserve">(RK) </w:t>
      </w:r>
      <w:r w:rsidR="00156DE3" w:rsidRPr="00E76E46">
        <w:rPr>
          <w:rFonts w:eastAsia="Calibri"/>
          <w:sz w:val="26"/>
          <w:szCs w:val="26"/>
          <w:lang w:val="lv-LV"/>
        </w:rPr>
        <w:t>kompensētu un pārsniegtu pensiju fondu pārvaldnieku lielākas komisijas ieguldījumu riska kapitālā gadījumā.</w:t>
      </w:r>
      <w:r w:rsidRPr="00E76E46">
        <w:rPr>
          <w:rFonts w:eastAsia="Calibri"/>
          <w:sz w:val="26"/>
          <w:szCs w:val="26"/>
          <w:lang w:val="lv-LV"/>
        </w:rPr>
        <w:t xml:space="preserve"> </w:t>
      </w:r>
    </w:p>
    <w:p w:rsidR="00D50EEF" w:rsidRDefault="00F43B2D" w:rsidP="00F24716">
      <w:pPr>
        <w:spacing w:after="120" w:line="276" w:lineRule="auto"/>
        <w:jc w:val="both"/>
        <w:rPr>
          <w:rFonts w:eastAsia="Calibri"/>
          <w:sz w:val="26"/>
          <w:szCs w:val="26"/>
          <w:lang w:val="lv-LV"/>
        </w:rPr>
      </w:pPr>
      <w:r w:rsidRPr="006F349E">
        <w:rPr>
          <w:rFonts w:eastAsia="Calibri"/>
          <w:sz w:val="26"/>
          <w:szCs w:val="26"/>
          <w:lang w:val="lv-LV"/>
        </w:rPr>
        <w:t xml:space="preserve">Zemāk </w:t>
      </w:r>
      <w:r w:rsidR="006F349E" w:rsidRPr="006F349E">
        <w:rPr>
          <w:rFonts w:eastAsia="Calibri"/>
          <w:sz w:val="26"/>
          <w:szCs w:val="26"/>
          <w:lang w:val="lv-LV"/>
        </w:rPr>
        <w:t>(1.</w:t>
      </w:r>
      <w:r w:rsidRPr="006F349E">
        <w:rPr>
          <w:rFonts w:eastAsia="Calibri"/>
          <w:sz w:val="26"/>
          <w:szCs w:val="26"/>
          <w:lang w:val="lv-LV"/>
        </w:rPr>
        <w:t>tabula)</w:t>
      </w:r>
      <w:r w:rsidRPr="00E76E46">
        <w:rPr>
          <w:rFonts w:eastAsia="Calibri"/>
          <w:sz w:val="26"/>
          <w:szCs w:val="26"/>
          <w:lang w:val="lv-LV"/>
        </w:rPr>
        <w:t xml:space="preserve"> veikti aprēķini</w:t>
      </w:r>
      <w:r w:rsidR="00C6329D">
        <w:rPr>
          <w:rFonts w:eastAsia="Calibri"/>
          <w:sz w:val="26"/>
          <w:szCs w:val="26"/>
          <w:lang w:val="lv-LV"/>
        </w:rPr>
        <w:t>,</w:t>
      </w:r>
      <w:r w:rsidRPr="00E76E46">
        <w:rPr>
          <w:rFonts w:eastAsia="Calibri"/>
          <w:sz w:val="26"/>
          <w:szCs w:val="26"/>
          <w:lang w:val="lv-LV"/>
        </w:rPr>
        <w:t xml:space="preserve"> kā paaugstināti ienākumi no ieguldījumiem </w:t>
      </w:r>
      <w:r w:rsidR="00172E8B" w:rsidRPr="00E76E46">
        <w:rPr>
          <w:rFonts w:eastAsia="Calibri"/>
          <w:sz w:val="26"/>
          <w:szCs w:val="26"/>
          <w:lang w:val="lv-LV"/>
        </w:rPr>
        <w:t xml:space="preserve">RK </w:t>
      </w:r>
      <w:r w:rsidRPr="00E76E46">
        <w:rPr>
          <w:rFonts w:eastAsia="Calibri"/>
          <w:sz w:val="26"/>
          <w:szCs w:val="26"/>
          <w:lang w:val="lv-LV"/>
        </w:rPr>
        <w:t xml:space="preserve">ietekmētu pensiju plānu </w:t>
      </w:r>
      <w:r w:rsidR="00172E8B" w:rsidRPr="00E76E46">
        <w:rPr>
          <w:rFonts w:eastAsia="Calibri"/>
          <w:sz w:val="26"/>
          <w:szCs w:val="26"/>
          <w:lang w:val="lv-LV"/>
        </w:rPr>
        <w:t>rezultativitāti</w:t>
      </w:r>
      <w:r w:rsidRPr="00E76E46">
        <w:rPr>
          <w:rFonts w:eastAsia="Calibri"/>
          <w:sz w:val="26"/>
          <w:szCs w:val="26"/>
          <w:lang w:val="lv-LV"/>
        </w:rPr>
        <w:t xml:space="preserve"> </w:t>
      </w:r>
      <w:r w:rsidR="00172E8B" w:rsidRPr="00E76E46">
        <w:rPr>
          <w:rFonts w:eastAsia="Calibri"/>
          <w:sz w:val="26"/>
          <w:szCs w:val="26"/>
          <w:lang w:val="lv-LV"/>
        </w:rPr>
        <w:t>kopumā. Ja RK tiek ieguldīti 5% no pensiju plānu aktīviem un IRR pārsniegums no ieguldījumiem tajos ir tikai 3%, pensiju plāna kopīgais ienesīgums palielinās par 0,15% gadā. Taču gadījumā, ja IRR pārsniegums ir 6 % gadā, tad pensiju plāna kopīgais gada ienesīgums palielinās par 0,3%.</w:t>
      </w:r>
    </w:p>
    <w:p w:rsidR="006F349E" w:rsidRPr="006F349E" w:rsidRDefault="00F43B2D" w:rsidP="006F349E">
      <w:pPr>
        <w:spacing w:line="276" w:lineRule="auto"/>
        <w:jc w:val="right"/>
        <w:rPr>
          <w:rFonts w:eastAsia="Calibri"/>
          <w:i/>
          <w:sz w:val="20"/>
          <w:szCs w:val="20"/>
          <w:lang w:val="lv-LV"/>
        </w:rPr>
      </w:pPr>
      <w:r w:rsidRPr="006F349E">
        <w:rPr>
          <w:rFonts w:eastAsia="Calibri"/>
          <w:i/>
          <w:sz w:val="20"/>
          <w:szCs w:val="20"/>
          <w:lang w:val="lv-LV"/>
        </w:rPr>
        <w:t>1.tabula</w:t>
      </w:r>
    </w:p>
    <w:p w:rsidR="006F349E" w:rsidRPr="006F349E" w:rsidRDefault="00F43B2D" w:rsidP="006F349E">
      <w:pPr>
        <w:spacing w:line="276" w:lineRule="auto"/>
        <w:jc w:val="right"/>
        <w:rPr>
          <w:rFonts w:eastAsia="Calibri"/>
          <w:i/>
          <w:sz w:val="20"/>
          <w:szCs w:val="20"/>
          <w:lang w:val="lv-LV"/>
        </w:rPr>
      </w:pPr>
      <w:r w:rsidRPr="006F349E">
        <w:rPr>
          <w:rFonts w:eastAsia="Calibri"/>
          <w:i/>
          <w:sz w:val="20"/>
          <w:szCs w:val="20"/>
          <w:lang w:val="lv-LV"/>
        </w:rPr>
        <w:t xml:space="preserve">Paaugstinātu ienākumu no ieguldījumiem riska kapitālā ietekme uz pensiju plānu rezultativitāti </w:t>
      </w:r>
    </w:p>
    <w:tbl>
      <w:tblPr>
        <w:tblW w:w="9748" w:type="dxa"/>
        <w:tblLayout w:type="fixed"/>
        <w:tblLook w:val="04A0" w:firstRow="1" w:lastRow="0" w:firstColumn="1" w:lastColumn="0" w:noHBand="0" w:noVBand="1"/>
      </w:tblPr>
      <w:tblGrid>
        <w:gridCol w:w="1526"/>
        <w:gridCol w:w="1418"/>
        <w:gridCol w:w="1417"/>
        <w:gridCol w:w="1843"/>
        <w:gridCol w:w="1843"/>
        <w:gridCol w:w="1701"/>
      </w:tblGrid>
      <w:tr w:rsidR="008D5487" w:rsidTr="00C6329D">
        <w:trPr>
          <w:trHeight w:val="2264"/>
        </w:trPr>
        <w:tc>
          <w:tcPr>
            <w:tcW w:w="1526" w:type="dxa"/>
            <w:tcBorders>
              <w:top w:val="single" w:sz="4" w:space="0" w:color="auto"/>
              <w:left w:val="single" w:sz="4" w:space="0" w:color="auto"/>
              <w:bottom w:val="single" w:sz="4" w:space="0" w:color="auto"/>
              <w:right w:val="single" w:sz="4" w:space="0" w:color="auto"/>
            </w:tcBorders>
            <w:shd w:val="clear" w:color="auto" w:fill="auto"/>
            <w:noWrap/>
            <w:hideMark/>
          </w:tcPr>
          <w:p w:rsidR="008B2B37" w:rsidRPr="00C6329D" w:rsidRDefault="00F43B2D" w:rsidP="00C6329D">
            <w:pPr>
              <w:jc w:val="center"/>
              <w:rPr>
                <w:b/>
                <w:bCs/>
                <w:color w:val="000000"/>
                <w:sz w:val="20"/>
                <w:lang w:val="lv-LV"/>
              </w:rPr>
            </w:pPr>
            <w:r w:rsidRPr="00C6329D">
              <w:rPr>
                <w:b/>
                <w:bCs/>
                <w:color w:val="000000"/>
                <w:sz w:val="20"/>
                <w:lang w:val="lv-LV"/>
              </w:rPr>
              <w:t xml:space="preserve">Aktīvie </w:t>
            </w:r>
            <w:r w:rsidR="00A507CF">
              <w:rPr>
                <w:b/>
                <w:bCs/>
                <w:color w:val="000000"/>
                <w:sz w:val="20"/>
                <w:lang w:val="lv-LV"/>
              </w:rPr>
              <w:t>ieguldījumu</w:t>
            </w:r>
            <w:r w:rsidRPr="00C6329D">
              <w:rPr>
                <w:b/>
                <w:bCs/>
                <w:color w:val="000000"/>
                <w:sz w:val="20"/>
                <w:lang w:val="lv-LV"/>
              </w:rPr>
              <w:t xml:space="preserve"> plāni</w:t>
            </w:r>
          </w:p>
        </w:tc>
        <w:tc>
          <w:tcPr>
            <w:tcW w:w="1418" w:type="dxa"/>
            <w:tcBorders>
              <w:top w:val="single" w:sz="4" w:space="0" w:color="auto"/>
              <w:left w:val="nil"/>
              <w:bottom w:val="single" w:sz="4" w:space="0" w:color="auto"/>
              <w:right w:val="single" w:sz="4" w:space="0" w:color="auto"/>
            </w:tcBorders>
            <w:shd w:val="clear" w:color="auto" w:fill="auto"/>
            <w:noWrap/>
            <w:hideMark/>
          </w:tcPr>
          <w:p w:rsidR="008B2B37" w:rsidRPr="00C6329D" w:rsidRDefault="00F43B2D" w:rsidP="00C6329D">
            <w:pPr>
              <w:jc w:val="center"/>
              <w:rPr>
                <w:b/>
                <w:bCs/>
                <w:color w:val="000000"/>
                <w:sz w:val="20"/>
                <w:lang w:val="lv-LV"/>
              </w:rPr>
            </w:pPr>
            <w:r w:rsidRPr="00C6329D">
              <w:rPr>
                <w:b/>
                <w:bCs/>
                <w:color w:val="000000"/>
                <w:sz w:val="20"/>
                <w:lang w:val="lv-LV"/>
              </w:rPr>
              <w:t xml:space="preserve">Pensiju fonda pārvaldnieka aktīvi </w:t>
            </w:r>
            <w:r w:rsidR="006F349E">
              <w:rPr>
                <w:b/>
                <w:bCs/>
                <w:color w:val="000000"/>
                <w:sz w:val="20"/>
                <w:lang w:val="lv-LV"/>
              </w:rPr>
              <w:t>(</w:t>
            </w:r>
            <w:r w:rsidRPr="00C6329D">
              <w:rPr>
                <w:b/>
                <w:bCs/>
                <w:color w:val="000000"/>
                <w:sz w:val="20"/>
                <w:lang w:val="lv-LV"/>
              </w:rPr>
              <w:t>MEUR uz 20.10.2017.</w:t>
            </w:r>
            <w:r w:rsidR="006F349E">
              <w:rPr>
                <w:b/>
                <w:bCs/>
                <w:color w:val="000000"/>
                <w:sz w:val="20"/>
                <w:lang w:val="lv-LV"/>
              </w:rPr>
              <w:t>)</w:t>
            </w:r>
          </w:p>
        </w:tc>
        <w:tc>
          <w:tcPr>
            <w:tcW w:w="1417" w:type="dxa"/>
            <w:tcBorders>
              <w:top w:val="single" w:sz="4" w:space="0" w:color="auto"/>
              <w:left w:val="nil"/>
              <w:bottom w:val="single" w:sz="4" w:space="0" w:color="auto"/>
              <w:right w:val="single" w:sz="4" w:space="0" w:color="auto"/>
            </w:tcBorders>
            <w:shd w:val="clear" w:color="auto" w:fill="auto"/>
            <w:noWrap/>
            <w:hideMark/>
          </w:tcPr>
          <w:p w:rsidR="006F349E" w:rsidRDefault="00F43B2D" w:rsidP="00C6329D">
            <w:pPr>
              <w:jc w:val="center"/>
              <w:rPr>
                <w:b/>
                <w:bCs/>
                <w:color w:val="000000"/>
                <w:sz w:val="20"/>
                <w:lang w:val="lv-LV"/>
              </w:rPr>
            </w:pPr>
            <w:r w:rsidRPr="00C6329D">
              <w:rPr>
                <w:b/>
                <w:bCs/>
                <w:color w:val="000000"/>
                <w:sz w:val="20"/>
                <w:lang w:val="lv-LV"/>
              </w:rPr>
              <w:t xml:space="preserve">Pensiju fonda pārvaldnieka ieguldījums Riska kapitāla fondā </w:t>
            </w:r>
          </w:p>
          <w:p w:rsidR="008B2B37" w:rsidRPr="00C6329D" w:rsidRDefault="00F43B2D" w:rsidP="00C6329D">
            <w:pPr>
              <w:jc w:val="center"/>
              <w:rPr>
                <w:b/>
                <w:bCs/>
                <w:color w:val="000000"/>
                <w:sz w:val="20"/>
                <w:lang w:val="lv-LV"/>
              </w:rPr>
            </w:pPr>
            <w:r>
              <w:rPr>
                <w:b/>
                <w:bCs/>
                <w:color w:val="000000"/>
                <w:sz w:val="20"/>
                <w:lang w:val="lv-LV"/>
              </w:rPr>
              <w:t>(</w:t>
            </w:r>
            <w:r w:rsidR="00172E8B" w:rsidRPr="00C6329D">
              <w:rPr>
                <w:b/>
                <w:bCs/>
                <w:color w:val="000000"/>
                <w:sz w:val="20"/>
                <w:lang w:val="lv-LV"/>
              </w:rPr>
              <w:t>MEUR -5 % no aktīviem</w:t>
            </w:r>
            <w:r>
              <w:rPr>
                <w:b/>
                <w:bCs/>
                <w:color w:val="000000"/>
                <w:sz w:val="20"/>
                <w:lang w:val="lv-LV"/>
              </w:rPr>
              <w:t>)</w:t>
            </w:r>
          </w:p>
        </w:tc>
        <w:tc>
          <w:tcPr>
            <w:tcW w:w="1843" w:type="dxa"/>
            <w:tcBorders>
              <w:top w:val="single" w:sz="4" w:space="0" w:color="auto"/>
              <w:left w:val="nil"/>
              <w:bottom w:val="single" w:sz="4" w:space="0" w:color="auto"/>
              <w:right w:val="single" w:sz="4" w:space="0" w:color="auto"/>
            </w:tcBorders>
            <w:shd w:val="clear" w:color="auto" w:fill="auto"/>
            <w:noWrap/>
            <w:hideMark/>
          </w:tcPr>
          <w:p w:rsidR="008B2B37" w:rsidRPr="00C6329D" w:rsidRDefault="00F43B2D" w:rsidP="00C6329D">
            <w:pPr>
              <w:jc w:val="center"/>
              <w:rPr>
                <w:b/>
                <w:bCs/>
                <w:color w:val="000000"/>
                <w:sz w:val="20"/>
                <w:lang w:val="lv-LV"/>
              </w:rPr>
            </w:pPr>
            <w:r w:rsidRPr="00C6329D">
              <w:rPr>
                <w:b/>
                <w:bCs/>
                <w:color w:val="000000"/>
                <w:sz w:val="20"/>
                <w:lang w:val="lv-LV"/>
              </w:rPr>
              <w:t>Papildus IRR no ieguldījumiem RK, kas pārsniedz vidējo ienesīgumu no ieguldījumiem akciju tirgos, ietekme uz visu pensiju plāna portfeli</w:t>
            </w:r>
          </w:p>
        </w:tc>
        <w:tc>
          <w:tcPr>
            <w:tcW w:w="1843" w:type="dxa"/>
            <w:tcBorders>
              <w:top w:val="single" w:sz="4" w:space="0" w:color="auto"/>
              <w:left w:val="nil"/>
              <w:bottom w:val="single" w:sz="4" w:space="0" w:color="auto"/>
              <w:right w:val="single" w:sz="4" w:space="0" w:color="auto"/>
            </w:tcBorders>
            <w:shd w:val="clear" w:color="auto" w:fill="auto"/>
            <w:noWrap/>
            <w:hideMark/>
          </w:tcPr>
          <w:p w:rsidR="008B2B37" w:rsidRPr="00C6329D" w:rsidRDefault="00F43B2D" w:rsidP="00C6329D">
            <w:pPr>
              <w:jc w:val="center"/>
              <w:rPr>
                <w:b/>
                <w:bCs/>
                <w:color w:val="000000"/>
                <w:sz w:val="20"/>
                <w:lang w:val="lv-LV"/>
              </w:rPr>
            </w:pPr>
            <w:r w:rsidRPr="00C6329D">
              <w:rPr>
                <w:b/>
                <w:bCs/>
                <w:color w:val="000000"/>
                <w:sz w:val="20"/>
                <w:lang w:val="lv-LV"/>
              </w:rPr>
              <w:t>Papildus IRR no ieguldījumiem RK, kas pārsniedz vidējo ienesīgumu no ieguldījumiem akciju tirgos, ietekme uz visu pensiju plāna portfeli</w:t>
            </w:r>
          </w:p>
        </w:tc>
        <w:tc>
          <w:tcPr>
            <w:tcW w:w="1701" w:type="dxa"/>
            <w:tcBorders>
              <w:top w:val="single" w:sz="4" w:space="0" w:color="auto"/>
              <w:left w:val="nil"/>
              <w:bottom w:val="single" w:sz="4" w:space="0" w:color="auto"/>
              <w:right w:val="single" w:sz="4" w:space="0" w:color="auto"/>
            </w:tcBorders>
            <w:shd w:val="clear" w:color="auto" w:fill="auto"/>
            <w:noWrap/>
            <w:hideMark/>
          </w:tcPr>
          <w:p w:rsidR="00172E8B" w:rsidRPr="00C6329D" w:rsidRDefault="00F43B2D" w:rsidP="00C6329D">
            <w:pPr>
              <w:jc w:val="center"/>
              <w:rPr>
                <w:b/>
                <w:bCs/>
                <w:color w:val="000000"/>
                <w:sz w:val="20"/>
                <w:lang w:val="lv-LV"/>
              </w:rPr>
            </w:pPr>
            <w:r w:rsidRPr="00C6329D">
              <w:rPr>
                <w:b/>
                <w:bCs/>
                <w:color w:val="000000"/>
                <w:sz w:val="20"/>
                <w:lang w:val="lv-LV"/>
              </w:rPr>
              <w:t>Papildus IRR no ieguldījumiem RK, kas pārsniedz vidējo ienesīgumu no ieguldījumiem akciju tirgos, ietekme uz visu pensiju plāna portfeli</w:t>
            </w:r>
          </w:p>
        </w:tc>
      </w:tr>
      <w:tr w:rsidR="008D5487" w:rsidTr="00C6329D">
        <w:trPr>
          <w:trHeight w:val="633"/>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B2B37" w:rsidRPr="00D631EA" w:rsidRDefault="00F43B2D" w:rsidP="00C6329D">
            <w:pPr>
              <w:jc w:val="center"/>
              <w:rPr>
                <w:b/>
                <w:bCs/>
                <w:iCs/>
                <w:color w:val="000000"/>
                <w:sz w:val="20"/>
                <w:lang w:val="lv-LV"/>
              </w:rPr>
            </w:pPr>
            <w:r w:rsidRPr="00D631EA">
              <w:rPr>
                <w:b/>
                <w:bCs/>
                <w:iCs/>
                <w:color w:val="000000"/>
                <w:sz w:val="20"/>
                <w:lang w:val="lv-LV"/>
              </w:rPr>
              <w:t>IRR no RK pārsniegums pār akciju tirgiem</w:t>
            </w:r>
          </w:p>
        </w:tc>
        <w:tc>
          <w:tcPr>
            <w:tcW w:w="1418" w:type="dxa"/>
            <w:tcBorders>
              <w:top w:val="nil"/>
              <w:left w:val="nil"/>
              <w:bottom w:val="single" w:sz="4" w:space="0" w:color="auto"/>
              <w:right w:val="single" w:sz="4" w:space="0" w:color="auto"/>
            </w:tcBorders>
            <w:shd w:val="clear" w:color="auto" w:fill="auto"/>
            <w:noWrap/>
            <w:vAlign w:val="center"/>
            <w:hideMark/>
          </w:tcPr>
          <w:p w:rsidR="00172E8B" w:rsidRPr="00D631EA" w:rsidRDefault="00172E8B" w:rsidP="00C6329D">
            <w:pPr>
              <w:jc w:val="center"/>
              <w:rPr>
                <w:b/>
                <w:bCs/>
                <w:i/>
                <w:iCs/>
                <w:color w:val="000000"/>
                <w:sz w:val="20"/>
                <w:lang w:val="lv-LV"/>
              </w:rPr>
            </w:pPr>
          </w:p>
        </w:tc>
        <w:tc>
          <w:tcPr>
            <w:tcW w:w="1417" w:type="dxa"/>
            <w:tcBorders>
              <w:top w:val="nil"/>
              <w:left w:val="nil"/>
              <w:bottom w:val="single" w:sz="4" w:space="0" w:color="auto"/>
              <w:right w:val="single" w:sz="4" w:space="0" w:color="auto"/>
            </w:tcBorders>
            <w:shd w:val="clear" w:color="auto" w:fill="auto"/>
            <w:noWrap/>
            <w:vAlign w:val="center"/>
            <w:hideMark/>
          </w:tcPr>
          <w:p w:rsidR="008B2B37" w:rsidRPr="00D631EA" w:rsidRDefault="008B2B37" w:rsidP="00C6329D">
            <w:pPr>
              <w:jc w:val="center"/>
              <w:rPr>
                <w:b/>
                <w:bCs/>
                <w:i/>
                <w:iCs/>
                <w:color w:val="000000"/>
                <w:sz w:val="20"/>
                <w:lang w:val="lv-LV"/>
              </w:rPr>
            </w:pPr>
          </w:p>
        </w:tc>
        <w:tc>
          <w:tcPr>
            <w:tcW w:w="1843" w:type="dxa"/>
            <w:tcBorders>
              <w:top w:val="nil"/>
              <w:left w:val="nil"/>
              <w:bottom w:val="single" w:sz="4" w:space="0" w:color="auto"/>
              <w:right w:val="single" w:sz="4" w:space="0" w:color="auto"/>
            </w:tcBorders>
            <w:shd w:val="clear" w:color="auto" w:fill="auto"/>
            <w:noWrap/>
            <w:vAlign w:val="center"/>
            <w:hideMark/>
          </w:tcPr>
          <w:p w:rsidR="008B2B37" w:rsidRPr="00D631EA" w:rsidRDefault="00F43B2D" w:rsidP="00C6329D">
            <w:pPr>
              <w:jc w:val="center"/>
              <w:rPr>
                <w:b/>
                <w:bCs/>
                <w:i/>
                <w:iCs/>
                <w:color w:val="000000"/>
                <w:sz w:val="20"/>
                <w:lang w:val="lv-LV"/>
              </w:rPr>
            </w:pPr>
            <w:r w:rsidRPr="00D631EA">
              <w:rPr>
                <w:b/>
                <w:bCs/>
                <w:i/>
                <w:iCs/>
                <w:color w:val="000000"/>
                <w:sz w:val="20"/>
                <w:lang w:val="lv-LV"/>
              </w:rPr>
              <w:t>3%</w:t>
            </w:r>
          </w:p>
        </w:tc>
        <w:tc>
          <w:tcPr>
            <w:tcW w:w="1843" w:type="dxa"/>
            <w:tcBorders>
              <w:top w:val="nil"/>
              <w:left w:val="nil"/>
              <w:bottom w:val="single" w:sz="4" w:space="0" w:color="auto"/>
              <w:right w:val="single" w:sz="4" w:space="0" w:color="auto"/>
            </w:tcBorders>
            <w:shd w:val="clear" w:color="auto" w:fill="auto"/>
            <w:noWrap/>
            <w:vAlign w:val="center"/>
            <w:hideMark/>
          </w:tcPr>
          <w:p w:rsidR="008B2B37" w:rsidRPr="00D631EA" w:rsidRDefault="00F43B2D" w:rsidP="00C6329D">
            <w:pPr>
              <w:jc w:val="center"/>
              <w:rPr>
                <w:b/>
                <w:bCs/>
                <w:i/>
                <w:iCs/>
                <w:color w:val="000000"/>
                <w:sz w:val="20"/>
                <w:lang w:val="lv-LV"/>
              </w:rPr>
            </w:pPr>
            <w:r w:rsidRPr="00D631EA">
              <w:rPr>
                <w:b/>
                <w:bCs/>
                <w:i/>
                <w:iCs/>
                <w:color w:val="000000"/>
                <w:sz w:val="20"/>
                <w:lang w:val="lv-LV"/>
              </w:rPr>
              <w:t>4,5%</w:t>
            </w:r>
          </w:p>
        </w:tc>
        <w:tc>
          <w:tcPr>
            <w:tcW w:w="1701" w:type="dxa"/>
            <w:tcBorders>
              <w:top w:val="nil"/>
              <w:left w:val="nil"/>
              <w:bottom w:val="single" w:sz="4" w:space="0" w:color="auto"/>
              <w:right w:val="single" w:sz="4" w:space="0" w:color="auto"/>
            </w:tcBorders>
            <w:shd w:val="clear" w:color="auto" w:fill="auto"/>
            <w:noWrap/>
            <w:vAlign w:val="center"/>
            <w:hideMark/>
          </w:tcPr>
          <w:p w:rsidR="00172E8B" w:rsidRPr="00D631EA" w:rsidRDefault="00F43B2D" w:rsidP="00C6329D">
            <w:pPr>
              <w:jc w:val="center"/>
              <w:rPr>
                <w:b/>
                <w:bCs/>
                <w:i/>
                <w:iCs/>
                <w:color w:val="000000"/>
                <w:sz w:val="20"/>
                <w:lang w:val="lv-LV"/>
              </w:rPr>
            </w:pPr>
            <w:r w:rsidRPr="00D631EA">
              <w:rPr>
                <w:b/>
                <w:bCs/>
                <w:i/>
                <w:iCs/>
                <w:color w:val="000000"/>
                <w:sz w:val="20"/>
                <w:lang w:val="lv-LV"/>
              </w:rPr>
              <w:t>6%</w:t>
            </w:r>
          </w:p>
        </w:tc>
      </w:tr>
      <w:tr w:rsidR="008D5487" w:rsidTr="00C6329D">
        <w:trPr>
          <w:trHeight w:val="320"/>
        </w:trPr>
        <w:tc>
          <w:tcPr>
            <w:tcW w:w="1526" w:type="dxa"/>
            <w:tcBorders>
              <w:top w:val="nil"/>
              <w:left w:val="single" w:sz="4" w:space="0" w:color="auto"/>
              <w:bottom w:val="single" w:sz="4" w:space="0" w:color="auto"/>
              <w:right w:val="single" w:sz="4" w:space="0" w:color="auto"/>
            </w:tcBorders>
            <w:shd w:val="clear" w:color="auto" w:fill="auto"/>
            <w:noWrap/>
            <w:hideMark/>
          </w:tcPr>
          <w:p w:rsidR="00172E8B" w:rsidRPr="00D631EA" w:rsidRDefault="00F43B2D" w:rsidP="00172E8B">
            <w:pPr>
              <w:rPr>
                <w:b/>
                <w:bCs/>
                <w:color w:val="000000"/>
                <w:sz w:val="20"/>
                <w:lang w:val="lv-LV"/>
              </w:rPr>
            </w:pPr>
            <w:r w:rsidRPr="00D631EA">
              <w:rPr>
                <w:b/>
                <w:bCs/>
                <w:color w:val="000000"/>
                <w:sz w:val="20"/>
                <w:lang w:val="lv-LV"/>
              </w:rPr>
              <w:t>Swedbank</w:t>
            </w:r>
          </w:p>
        </w:tc>
        <w:tc>
          <w:tcPr>
            <w:tcW w:w="1418" w:type="dxa"/>
            <w:tcBorders>
              <w:top w:val="nil"/>
              <w:left w:val="nil"/>
              <w:bottom w:val="single" w:sz="4" w:space="0" w:color="auto"/>
              <w:right w:val="single" w:sz="4" w:space="0" w:color="auto"/>
            </w:tcBorders>
            <w:shd w:val="clear" w:color="auto" w:fill="auto"/>
            <w:noWrap/>
            <w:hideMark/>
          </w:tcPr>
          <w:p w:rsidR="008B2B37" w:rsidRPr="00D631EA" w:rsidRDefault="00F43B2D" w:rsidP="00C6329D">
            <w:pPr>
              <w:jc w:val="center"/>
              <w:rPr>
                <w:color w:val="000000"/>
                <w:sz w:val="20"/>
                <w:lang w:val="lv-LV"/>
              </w:rPr>
            </w:pPr>
            <w:r w:rsidRPr="00D631EA">
              <w:rPr>
                <w:color w:val="000000"/>
                <w:sz w:val="20"/>
                <w:lang w:val="lv-LV"/>
              </w:rPr>
              <w:t>€998,00</w:t>
            </w:r>
          </w:p>
        </w:tc>
        <w:tc>
          <w:tcPr>
            <w:tcW w:w="1417" w:type="dxa"/>
            <w:tcBorders>
              <w:top w:val="nil"/>
              <w:left w:val="nil"/>
              <w:bottom w:val="single" w:sz="4" w:space="0" w:color="auto"/>
              <w:right w:val="single" w:sz="4" w:space="0" w:color="auto"/>
            </w:tcBorders>
            <w:shd w:val="clear" w:color="auto" w:fill="auto"/>
            <w:noWrap/>
            <w:hideMark/>
          </w:tcPr>
          <w:p w:rsidR="008B2B37" w:rsidRPr="00D631EA" w:rsidRDefault="00F43B2D" w:rsidP="00C6329D">
            <w:pPr>
              <w:jc w:val="center"/>
              <w:rPr>
                <w:color w:val="000000"/>
                <w:sz w:val="20"/>
                <w:lang w:val="lv-LV"/>
              </w:rPr>
            </w:pPr>
            <w:r w:rsidRPr="00D631EA">
              <w:rPr>
                <w:color w:val="000000"/>
                <w:sz w:val="20"/>
                <w:lang w:val="lv-LV"/>
              </w:rPr>
              <w:t>€49,90</w:t>
            </w:r>
          </w:p>
        </w:tc>
        <w:tc>
          <w:tcPr>
            <w:tcW w:w="1843" w:type="dxa"/>
            <w:tcBorders>
              <w:top w:val="nil"/>
              <w:left w:val="nil"/>
              <w:bottom w:val="single" w:sz="4" w:space="0" w:color="auto"/>
              <w:right w:val="single" w:sz="4" w:space="0" w:color="auto"/>
            </w:tcBorders>
            <w:shd w:val="clear" w:color="auto" w:fill="auto"/>
            <w:noWrap/>
            <w:hideMark/>
          </w:tcPr>
          <w:p w:rsidR="008B2B37" w:rsidRPr="00D631EA" w:rsidRDefault="00F43B2D" w:rsidP="00C6329D">
            <w:pPr>
              <w:jc w:val="center"/>
              <w:rPr>
                <w:color w:val="000000"/>
                <w:sz w:val="20"/>
                <w:lang w:val="lv-LV"/>
              </w:rPr>
            </w:pPr>
            <w:r w:rsidRPr="00D631EA">
              <w:rPr>
                <w:color w:val="000000"/>
                <w:sz w:val="20"/>
                <w:lang w:val="lv-LV"/>
              </w:rPr>
              <w:t>0,15%</w:t>
            </w:r>
          </w:p>
        </w:tc>
        <w:tc>
          <w:tcPr>
            <w:tcW w:w="1843" w:type="dxa"/>
            <w:tcBorders>
              <w:top w:val="nil"/>
              <w:left w:val="nil"/>
              <w:bottom w:val="single" w:sz="4" w:space="0" w:color="auto"/>
              <w:right w:val="single" w:sz="4" w:space="0" w:color="auto"/>
            </w:tcBorders>
            <w:shd w:val="clear" w:color="auto" w:fill="auto"/>
            <w:noWrap/>
            <w:hideMark/>
          </w:tcPr>
          <w:p w:rsidR="008B2B37" w:rsidRPr="00D631EA" w:rsidRDefault="00F43B2D" w:rsidP="00C6329D">
            <w:pPr>
              <w:jc w:val="center"/>
              <w:rPr>
                <w:color w:val="000000"/>
                <w:sz w:val="20"/>
                <w:lang w:val="lv-LV"/>
              </w:rPr>
            </w:pPr>
            <w:r w:rsidRPr="00D631EA">
              <w:rPr>
                <w:color w:val="000000"/>
                <w:sz w:val="20"/>
                <w:lang w:val="lv-LV"/>
              </w:rPr>
              <w:t>0,23%</w:t>
            </w:r>
          </w:p>
        </w:tc>
        <w:tc>
          <w:tcPr>
            <w:tcW w:w="1701" w:type="dxa"/>
            <w:tcBorders>
              <w:top w:val="nil"/>
              <w:left w:val="nil"/>
              <w:bottom w:val="single" w:sz="4" w:space="0" w:color="auto"/>
              <w:right w:val="single" w:sz="4" w:space="0" w:color="auto"/>
            </w:tcBorders>
            <w:shd w:val="clear" w:color="auto" w:fill="auto"/>
            <w:noWrap/>
            <w:vAlign w:val="bottom"/>
            <w:hideMark/>
          </w:tcPr>
          <w:p w:rsidR="00172E8B" w:rsidRPr="00D631EA" w:rsidRDefault="00F43B2D" w:rsidP="00C6329D">
            <w:pPr>
              <w:jc w:val="center"/>
              <w:rPr>
                <w:color w:val="000000"/>
                <w:sz w:val="20"/>
                <w:lang w:val="lv-LV"/>
              </w:rPr>
            </w:pPr>
            <w:r w:rsidRPr="00D631EA">
              <w:rPr>
                <w:color w:val="000000"/>
                <w:sz w:val="20"/>
                <w:lang w:val="lv-LV"/>
              </w:rPr>
              <w:t>0,3%</w:t>
            </w:r>
          </w:p>
        </w:tc>
      </w:tr>
      <w:tr w:rsidR="008D5487" w:rsidTr="00C6329D">
        <w:trPr>
          <w:trHeight w:val="320"/>
        </w:trPr>
        <w:tc>
          <w:tcPr>
            <w:tcW w:w="1526" w:type="dxa"/>
            <w:tcBorders>
              <w:top w:val="nil"/>
              <w:left w:val="single" w:sz="4" w:space="0" w:color="auto"/>
              <w:bottom w:val="single" w:sz="4" w:space="0" w:color="auto"/>
              <w:right w:val="single" w:sz="4" w:space="0" w:color="auto"/>
            </w:tcBorders>
            <w:shd w:val="clear" w:color="auto" w:fill="auto"/>
            <w:noWrap/>
            <w:hideMark/>
          </w:tcPr>
          <w:p w:rsidR="00172E8B" w:rsidRPr="00D631EA" w:rsidRDefault="00F43B2D" w:rsidP="00172E8B">
            <w:pPr>
              <w:rPr>
                <w:b/>
                <w:bCs/>
                <w:color w:val="000000"/>
                <w:sz w:val="20"/>
                <w:lang w:val="lv-LV"/>
              </w:rPr>
            </w:pPr>
            <w:r w:rsidRPr="00D631EA">
              <w:rPr>
                <w:b/>
                <w:bCs/>
                <w:color w:val="000000"/>
                <w:sz w:val="20"/>
                <w:lang w:val="lv-LV"/>
              </w:rPr>
              <w:t>SEB</w:t>
            </w:r>
          </w:p>
        </w:tc>
        <w:tc>
          <w:tcPr>
            <w:tcW w:w="1418" w:type="dxa"/>
            <w:tcBorders>
              <w:top w:val="nil"/>
              <w:left w:val="nil"/>
              <w:bottom w:val="single" w:sz="4" w:space="0" w:color="auto"/>
              <w:right w:val="single" w:sz="4" w:space="0" w:color="auto"/>
            </w:tcBorders>
            <w:shd w:val="clear" w:color="auto" w:fill="auto"/>
            <w:noWrap/>
            <w:hideMark/>
          </w:tcPr>
          <w:p w:rsidR="008B2B37" w:rsidRPr="00D631EA" w:rsidRDefault="00F43B2D" w:rsidP="00C6329D">
            <w:pPr>
              <w:jc w:val="center"/>
              <w:rPr>
                <w:color w:val="000000"/>
                <w:sz w:val="20"/>
                <w:lang w:val="lv-LV"/>
              </w:rPr>
            </w:pPr>
            <w:r w:rsidRPr="00D631EA">
              <w:rPr>
                <w:color w:val="000000"/>
                <w:sz w:val="20"/>
                <w:lang w:val="lv-LV"/>
              </w:rPr>
              <w:t>€366,80</w:t>
            </w:r>
          </w:p>
        </w:tc>
        <w:tc>
          <w:tcPr>
            <w:tcW w:w="1417" w:type="dxa"/>
            <w:tcBorders>
              <w:top w:val="nil"/>
              <w:left w:val="nil"/>
              <w:bottom w:val="single" w:sz="4" w:space="0" w:color="auto"/>
              <w:right w:val="single" w:sz="4" w:space="0" w:color="auto"/>
            </w:tcBorders>
            <w:shd w:val="clear" w:color="auto" w:fill="auto"/>
            <w:noWrap/>
            <w:hideMark/>
          </w:tcPr>
          <w:p w:rsidR="008B2B37" w:rsidRPr="00D631EA" w:rsidRDefault="00F43B2D" w:rsidP="00C6329D">
            <w:pPr>
              <w:jc w:val="center"/>
              <w:rPr>
                <w:color w:val="000000"/>
                <w:sz w:val="20"/>
                <w:lang w:val="lv-LV"/>
              </w:rPr>
            </w:pPr>
            <w:r w:rsidRPr="00D631EA">
              <w:rPr>
                <w:color w:val="000000"/>
                <w:sz w:val="20"/>
                <w:lang w:val="lv-LV"/>
              </w:rPr>
              <w:t>€18,34</w:t>
            </w:r>
          </w:p>
        </w:tc>
        <w:tc>
          <w:tcPr>
            <w:tcW w:w="1843" w:type="dxa"/>
            <w:tcBorders>
              <w:top w:val="nil"/>
              <w:left w:val="nil"/>
              <w:bottom w:val="single" w:sz="4" w:space="0" w:color="auto"/>
              <w:right w:val="single" w:sz="4" w:space="0" w:color="auto"/>
            </w:tcBorders>
            <w:shd w:val="clear" w:color="auto" w:fill="auto"/>
            <w:noWrap/>
            <w:hideMark/>
          </w:tcPr>
          <w:p w:rsidR="008B2B37" w:rsidRPr="00D631EA" w:rsidRDefault="00F43B2D" w:rsidP="00C6329D">
            <w:pPr>
              <w:jc w:val="center"/>
              <w:rPr>
                <w:color w:val="000000"/>
                <w:sz w:val="20"/>
                <w:lang w:val="lv-LV"/>
              </w:rPr>
            </w:pPr>
            <w:r w:rsidRPr="00D631EA">
              <w:rPr>
                <w:color w:val="000000"/>
                <w:sz w:val="20"/>
                <w:lang w:val="lv-LV"/>
              </w:rPr>
              <w:t>0,15%</w:t>
            </w:r>
          </w:p>
        </w:tc>
        <w:tc>
          <w:tcPr>
            <w:tcW w:w="1843" w:type="dxa"/>
            <w:tcBorders>
              <w:top w:val="nil"/>
              <w:left w:val="nil"/>
              <w:bottom w:val="single" w:sz="4" w:space="0" w:color="auto"/>
              <w:right w:val="single" w:sz="4" w:space="0" w:color="auto"/>
            </w:tcBorders>
            <w:shd w:val="clear" w:color="auto" w:fill="auto"/>
            <w:noWrap/>
            <w:hideMark/>
          </w:tcPr>
          <w:p w:rsidR="008B2B37" w:rsidRPr="00D631EA" w:rsidRDefault="00F43B2D" w:rsidP="00C6329D">
            <w:pPr>
              <w:jc w:val="center"/>
              <w:rPr>
                <w:color w:val="000000"/>
                <w:sz w:val="20"/>
                <w:lang w:val="lv-LV"/>
              </w:rPr>
            </w:pPr>
            <w:r w:rsidRPr="00D631EA">
              <w:rPr>
                <w:color w:val="000000"/>
                <w:sz w:val="20"/>
                <w:lang w:val="lv-LV"/>
              </w:rPr>
              <w:t>0,23%</w:t>
            </w:r>
          </w:p>
        </w:tc>
        <w:tc>
          <w:tcPr>
            <w:tcW w:w="1701" w:type="dxa"/>
            <w:tcBorders>
              <w:top w:val="nil"/>
              <w:left w:val="nil"/>
              <w:bottom w:val="single" w:sz="4" w:space="0" w:color="auto"/>
              <w:right w:val="single" w:sz="4" w:space="0" w:color="auto"/>
            </w:tcBorders>
            <w:shd w:val="clear" w:color="auto" w:fill="auto"/>
            <w:noWrap/>
            <w:vAlign w:val="bottom"/>
            <w:hideMark/>
          </w:tcPr>
          <w:p w:rsidR="00172E8B" w:rsidRPr="00D631EA" w:rsidRDefault="00F43B2D" w:rsidP="00C6329D">
            <w:pPr>
              <w:jc w:val="center"/>
              <w:rPr>
                <w:color w:val="000000"/>
                <w:sz w:val="20"/>
                <w:lang w:val="lv-LV"/>
              </w:rPr>
            </w:pPr>
            <w:r w:rsidRPr="00D631EA">
              <w:rPr>
                <w:color w:val="000000"/>
                <w:sz w:val="20"/>
                <w:lang w:val="lv-LV"/>
              </w:rPr>
              <w:t>0,3%</w:t>
            </w:r>
          </w:p>
        </w:tc>
      </w:tr>
      <w:tr w:rsidR="008D5487" w:rsidTr="00C6329D">
        <w:trPr>
          <w:trHeight w:val="320"/>
        </w:trPr>
        <w:tc>
          <w:tcPr>
            <w:tcW w:w="1526" w:type="dxa"/>
            <w:tcBorders>
              <w:top w:val="nil"/>
              <w:left w:val="single" w:sz="4" w:space="0" w:color="auto"/>
              <w:bottom w:val="single" w:sz="4" w:space="0" w:color="auto"/>
              <w:right w:val="single" w:sz="4" w:space="0" w:color="auto"/>
            </w:tcBorders>
            <w:shd w:val="clear" w:color="auto" w:fill="auto"/>
            <w:noWrap/>
            <w:hideMark/>
          </w:tcPr>
          <w:p w:rsidR="00172E8B" w:rsidRPr="00D631EA" w:rsidRDefault="00F43B2D" w:rsidP="00172E8B">
            <w:pPr>
              <w:rPr>
                <w:b/>
                <w:bCs/>
                <w:color w:val="000000"/>
                <w:sz w:val="20"/>
                <w:lang w:val="lv-LV"/>
              </w:rPr>
            </w:pPr>
            <w:r w:rsidRPr="00D631EA">
              <w:rPr>
                <w:b/>
                <w:bCs/>
                <w:color w:val="000000"/>
                <w:sz w:val="20"/>
                <w:lang w:val="lv-LV"/>
              </w:rPr>
              <w:t>CBL</w:t>
            </w:r>
          </w:p>
        </w:tc>
        <w:tc>
          <w:tcPr>
            <w:tcW w:w="1418" w:type="dxa"/>
            <w:tcBorders>
              <w:top w:val="nil"/>
              <w:left w:val="nil"/>
              <w:bottom w:val="single" w:sz="4" w:space="0" w:color="auto"/>
              <w:right w:val="single" w:sz="4" w:space="0" w:color="auto"/>
            </w:tcBorders>
            <w:shd w:val="clear" w:color="auto" w:fill="auto"/>
            <w:noWrap/>
            <w:hideMark/>
          </w:tcPr>
          <w:p w:rsidR="008B2B37" w:rsidRPr="00D631EA" w:rsidRDefault="00F43B2D" w:rsidP="00C6329D">
            <w:pPr>
              <w:jc w:val="center"/>
              <w:rPr>
                <w:color w:val="000000"/>
                <w:sz w:val="20"/>
                <w:lang w:val="lv-LV"/>
              </w:rPr>
            </w:pPr>
            <w:r w:rsidRPr="00D631EA">
              <w:rPr>
                <w:color w:val="000000"/>
                <w:sz w:val="20"/>
                <w:lang w:val="lv-LV"/>
              </w:rPr>
              <w:t>€313,40</w:t>
            </w:r>
          </w:p>
        </w:tc>
        <w:tc>
          <w:tcPr>
            <w:tcW w:w="1417" w:type="dxa"/>
            <w:tcBorders>
              <w:top w:val="nil"/>
              <w:left w:val="nil"/>
              <w:bottom w:val="single" w:sz="4" w:space="0" w:color="auto"/>
              <w:right w:val="single" w:sz="4" w:space="0" w:color="auto"/>
            </w:tcBorders>
            <w:shd w:val="clear" w:color="auto" w:fill="auto"/>
            <w:noWrap/>
            <w:hideMark/>
          </w:tcPr>
          <w:p w:rsidR="008B2B37" w:rsidRPr="00D631EA" w:rsidRDefault="00F43B2D" w:rsidP="00C6329D">
            <w:pPr>
              <w:jc w:val="center"/>
              <w:rPr>
                <w:color w:val="000000"/>
                <w:sz w:val="20"/>
                <w:lang w:val="lv-LV"/>
              </w:rPr>
            </w:pPr>
            <w:r w:rsidRPr="00D631EA">
              <w:rPr>
                <w:color w:val="000000"/>
                <w:sz w:val="20"/>
                <w:lang w:val="lv-LV"/>
              </w:rPr>
              <w:t>€15,67</w:t>
            </w:r>
          </w:p>
        </w:tc>
        <w:tc>
          <w:tcPr>
            <w:tcW w:w="1843" w:type="dxa"/>
            <w:tcBorders>
              <w:top w:val="nil"/>
              <w:left w:val="nil"/>
              <w:bottom w:val="single" w:sz="4" w:space="0" w:color="auto"/>
              <w:right w:val="single" w:sz="4" w:space="0" w:color="auto"/>
            </w:tcBorders>
            <w:shd w:val="clear" w:color="auto" w:fill="auto"/>
            <w:noWrap/>
            <w:hideMark/>
          </w:tcPr>
          <w:p w:rsidR="008B2B37" w:rsidRPr="00D631EA" w:rsidRDefault="00F43B2D" w:rsidP="00C6329D">
            <w:pPr>
              <w:jc w:val="center"/>
              <w:rPr>
                <w:color w:val="000000"/>
                <w:sz w:val="20"/>
                <w:lang w:val="lv-LV"/>
              </w:rPr>
            </w:pPr>
            <w:r w:rsidRPr="00D631EA">
              <w:rPr>
                <w:color w:val="000000"/>
                <w:sz w:val="20"/>
                <w:lang w:val="lv-LV"/>
              </w:rPr>
              <w:t>0,15%</w:t>
            </w:r>
          </w:p>
        </w:tc>
        <w:tc>
          <w:tcPr>
            <w:tcW w:w="1843" w:type="dxa"/>
            <w:tcBorders>
              <w:top w:val="nil"/>
              <w:left w:val="nil"/>
              <w:bottom w:val="single" w:sz="4" w:space="0" w:color="auto"/>
              <w:right w:val="single" w:sz="4" w:space="0" w:color="auto"/>
            </w:tcBorders>
            <w:shd w:val="clear" w:color="auto" w:fill="auto"/>
            <w:noWrap/>
            <w:hideMark/>
          </w:tcPr>
          <w:p w:rsidR="008B2B37" w:rsidRPr="00D631EA" w:rsidRDefault="00F43B2D" w:rsidP="00C6329D">
            <w:pPr>
              <w:jc w:val="center"/>
              <w:rPr>
                <w:color w:val="000000"/>
                <w:sz w:val="20"/>
                <w:lang w:val="lv-LV"/>
              </w:rPr>
            </w:pPr>
            <w:r w:rsidRPr="00D631EA">
              <w:rPr>
                <w:color w:val="000000"/>
                <w:sz w:val="20"/>
                <w:lang w:val="lv-LV"/>
              </w:rPr>
              <w:t>0,23%</w:t>
            </w:r>
          </w:p>
        </w:tc>
        <w:tc>
          <w:tcPr>
            <w:tcW w:w="1701" w:type="dxa"/>
            <w:tcBorders>
              <w:top w:val="nil"/>
              <w:left w:val="nil"/>
              <w:bottom w:val="single" w:sz="4" w:space="0" w:color="auto"/>
              <w:right w:val="single" w:sz="4" w:space="0" w:color="auto"/>
            </w:tcBorders>
            <w:shd w:val="clear" w:color="auto" w:fill="auto"/>
            <w:noWrap/>
            <w:vAlign w:val="bottom"/>
            <w:hideMark/>
          </w:tcPr>
          <w:p w:rsidR="00172E8B" w:rsidRPr="00D631EA" w:rsidRDefault="00F43B2D" w:rsidP="00C6329D">
            <w:pPr>
              <w:jc w:val="center"/>
              <w:rPr>
                <w:color w:val="000000"/>
                <w:sz w:val="20"/>
                <w:lang w:val="lv-LV"/>
              </w:rPr>
            </w:pPr>
            <w:r w:rsidRPr="00D631EA">
              <w:rPr>
                <w:color w:val="000000"/>
                <w:sz w:val="20"/>
                <w:lang w:val="lv-LV"/>
              </w:rPr>
              <w:t>0,3%</w:t>
            </w:r>
          </w:p>
        </w:tc>
      </w:tr>
      <w:tr w:rsidR="008D5487" w:rsidTr="00C6329D">
        <w:trPr>
          <w:trHeight w:val="320"/>
        </w:trPr>
        <w:tc>
          <w:tcPr>
            <w:tcW w:w="1526" w:type="dxa"/>
            <w:tcBorders>
              <w:top w:val="nil"/>
              <w:left w:val="single" w:sz="4" w:space="0" w:color="auto"/>
              <w:bottom w:val="single" w:sz="4" w:space="0" w:color="auto"/>
              <w:right w:val="single" w:sz="4" w:space="0" w:color="auto"/>
            </w:tcBorders>
            <w:shd w:val="clear" w:color="auto" w:fill="auto"/>
            <w:noWrap/>
            <w:hideMark/>
          </w:tcPr>
          <w:p w:rsidR="00172E8B" w:rsidRPr="00D631EA" w:rsidRDefault="00F43B2D" w:rsidP="00172E8B">
            <w:pPr>
              <w:rPr>
                <w:b/>
                <w:bCs/>
                <w:color w:val="000000"/>
                <w:sz w:val="20"/>
                <w:lang w:val="lv-LV"/>
              </w:rPr>
            </w:pPr>
            <w:proofErr w:type="spellStart"/>
            <w:r w:rsidRPr="00D631EA">
              <w:rPr>
                <w:b/>
                <w:bCs/>
                <w:color w:val="000000"/>
                <w:sz w:val="20"/>
                <w:lang w:val="lv-LV"/>
              </w:rPr>
              <w:t>Luminor</w:t>
            </w:r>
            <w:proofErr w:type="spellEnd"/>
          </w:p>
        </w:tc>
        <w:tc>
          <w:tcPr>
            <w:tcW w:w="1418" w:type="dxa"/>
            <w:tcBorders>
              <w:top w:val="nil"/>
              <w:left w:val="nil"/>
              <w:bottom w:val="single" w:sz="4" w:space="0" w:color="auto"/>
              <w:right w:val="single" w:sz="4" w:space="0" w:color="auto"/>
            </w:tcBorders>
            <w:shd w:val="clear" w:color="auto" w:fill="auto"/>
            <w:noWrap/>
            <w:hideMark/>
          </w:tcPr>
          <w:p w:rsidR="008B2B37" w:rsidRPr="00D631EA" w:rsidRDefault="00F43B2D" w:rsidP="00C6329D">
            <w:pPr>
              <w:jc w:val="center"/>
              <w:rPr>
                <w:color w:val="000000"/>
                <w:sz w:val="20"/>
                <w:lang w:val="lv-LV"/>
              </w:rPr>
            </w:pPr>
            <w:r w:rsidRPr="00D631EA">
              <w:rPr>
                <w:color w:val="000000"/>
                <w:sz w:val="20"/>
                <w:lang w:val="lv-LV"/>
              </w:rPr>
              <w:t>€130,10</w:t>
            </w:r>
          </w:p>
        </w:tc>
        <w:tc>
          <w:tcPr>
            <w:tcW w:w="1417" w:type="dxa"/>
            <w:tcBorders>
              <w:top w:val="nil"/>
              <w:left w:val="nil"/>
              <w:bottom w:val="single" w:sz="4" w:space="0" w:color="auto"/>
              <w:right w:val="single" w:sz="4" w:space="0" w:color="auto"/>
            </w:tcBorders>
            <w:shd w:val="clear" w:color="auto" w:fill="auto"/>
            <w:noWrap/>
            <w:hideMark/>
          </w:tcPr>
          <w:p w:rsidR="008B2B37" w:rsidRPr="00D631EA" w:rsidRDefault="00F43B2D" w:rsidP="00C6329D">
            <w:pPr>
              <w:jc w:val="center"/>
              <w:rPr>
                <w:color w:val="000000"/>
                <w:sz w:val="20"/>
                <w:lang w:val="lv-LV"/>
              </w:rPr>
            </w:pPr>
            <w:r w:rsidRPr="00D631EA">
              <w:rPr>
                <w:color w:val="000000"/>
                <w:sz w:val="20"/>
                <w:lang w:val="lv-LV"/>
              </w:rPr>
              <w:t>€6,51</w:t>
            </w:r>
          </w:p>
        </w:tc>
        <w:tc>
          <w:tcPr>
            <w:tcW w:w="1843" w:type="dxa"/>
            <w:tcBorders>
              <w:top w:val="nil"/>
              <w:left w:val="nil"/>
              <w:bottom w:val="single" w:sz="4" w:space="0" w:color="auto"/>
              <w:right w:val="single" w:sz="4" w:space="0" w:color="auto"/>
            </w:tcBorders>
            <w:shd w:val="clear" w:color="auto" w:fill="auto"/>
            <w:noWrap/>
            <w:hideMark/>
          </w:tcPr>
          <w:p w:rsidR="008B2B37" w:rsidRPr="00D631EA" w:rsidRDefault="00F43B2D" w:rsidP="00C6329D">
            <w:pPr>
              <w:jc w:val="center"/>
              <w:rPr>
                <w:color w:val="000000"/>
                <w:sz w:val="20"/>
                <w:lang w:val="lv-LV"/>
              </w:rPr>
            </w:pPr>
            <w:r w:rsidRPr="00D631EA">
              <w:rPr>
                <w:color w:val="000000"/>
                <w:sz w:val="20"/>
                <w:lang w:val="lv-LV"/>
              </w:rPr>
              <w:t>0,15%</w:t>
            </w:r>
          </w:p>
        </w:tc>
        <w:tc>
          <w:tcPr>
            <w:tcW w:w="1843" w:type="dxa"/>
            <w:tcBorders>
              <w:top w:val="nil"/>
              <w:left w:val="nil"/>
              <w:bottom w:val="single" w:sz="4" w:space="0" w:color="auto"/>
              <w:right w:val="single" w:sz="4" w:space="0" w:color="auto"/>
            </w:tcBorders>
            <w:shd w:val="clear" w:color="auto" w:fill="auto"/>
            <w:noWrap/>
            <w:hideMark/>
          </w:tcPr>
          <w:p w:rsidR="008B2B37" w:rsidRPr="00D631EA" w:rsidRDefault="00F43B2D" w:rsidP="00C6329D">
            <w:pPr>
              <w:jc w:val="center"/>
              <w:rPr>
                <w:color w:val="000000"/>
                <w:sz w:val="20"/>
                <w:lang w:val="lv-LV"/>
              </w:rPr>
            </w:pPr>
            <w:r w:rsidRPr="00D631EA">
              <w:rPr>
                <w:color w:val="000000"/>
                <w:sz w:val="20"/>
                <w:lang w:val="lv-LV"/>
              </w:rPr>
              <w:t>0,23%</w:t>
            </w:r>
          </w:p>
        </w:tc>
        <w:tc>
          <w:tcPr>
            <w:tcW w:w="1701" w:type="dxa"/>
            <w:tcBorders>
              <w:top w:val="nil"/>
              <w:left w:val="nil"/>
              <w:bottom w:val="single" w:sz="4" w:space="0" w:color="auto"/>
              <w:right w:val="single" w:sz="4" w:space="0" w:color="auto"/>
            </w:tcBorders>
            <w:shd w:val="clear" w:color="auto" w:fill="auto"/>
            <w:noWrap/>
            <w:vAlign w:val="bottom"/>
            <w:hideMark/>
          </w:tcPr>
          <w:p w:rsidR="00172E8B" w:rsidRPr="00D631EA" w:rsidRDefault="00F43B2D" w:rsidP="00C6329D">
            <w:pPr>
              <w:jc w:val="center"/>
              <w:rPr>
                <w:color w:val="000000"/>
                <w:sz w:val="20"/>
                <w:lang w:val="lv-LV"/>
              </w:rPr>
            </w:pPr>
            <w:r w:rsidRPr="00D631EA">
              <w:rPr>
                <w:color w:val="000000"/>
                <w:sz w:val="20"/>
                <w:lang w:val="lv-LV"/>
              </w:rPr>
              <w:t>0,3%</w:t>
            </w:r>
          </w:p>
        </w:tc>
      </w:tr>
    </w:tbl>
    <w:p w:rsidR="00172E8B" w:rsidRPr="00E76E46" w:rsidRDefault="00172E8B" w:rsidP="00F24716">
      <w:pPr>
        <w:spacing w:after="120" w:line="276" w:lineRule="auto"/>
        <w:jc w:val="both"/>
        <w:rPr>
          <w:rFonts w:eastAsia="Calibri"/>
          <w:sz w:val="26"/>
          <w:szCs w:val="26"/>
          <w:lang w:val="lv-LV"/>
        </w:rPr>
      </w:pPr>
    </w:p>
    <w:p w:rsidR="00944051" w:rsidRPr="00E76E46" w:rsidRDefault="00F43B2D" w:rsidP="00F24716">
      <w:pPr>
        <w:spacing w:after="120" w:line="276" w:lineRule="auto"/>
        <w:jc w:val="both"/>
        <w:rPr>
          <w:rFonts w:eastAsia="Calibri"/>
          <w:sz w:val="26"/>
          <w:szCs w:val="26"/>
          <w:lang w:val="lv-LV"/>
        </w:rPr>
      </w:pPr>
      <w:r w:rsidRPr="00E76E46">
        <w:rPr>
          <w:rFonts w:eastAsia="Calibri"/>
          <w:sz w:val="26"/>
          <w:szCs w:val="26"/>
          <w:lang w:val="lv-LV"/>
        </w:rPr>
        <w:t xml:space="preserve">Ieguldījumi RK arī dod iespēju ļoti veiksmīgi diversificēt riskus, jo RK fondu pārvaldnieki veic ieguldījumus dažādos uzņēmumos. Savukārt šie uzņēmumi </w:t>
      </w:r>
      <w:r w:rsidR="00C6329D" w:rsidRPr="00E76E46">
        <w:rPr>
          <w:rFonts w:eastAsia="Calibri"/>
          <w:sz w:val="26"/>
          <w:szCs w:val="26"/>
          <w:lang w:val="lv-LV"/>
        </w:rPr>
        <w:t>orientējas</w:t>
      </w:r>
      <w:r w:rsidRPr="00E76E46">
        <w:rPr>
          <w:rFonts w:eastAsia="Calibri"/>
          <w:sz w:val="26"/>
          <w:szCs w:val="26"/>
          <w:lang w:val="lv-LV"/>
        </w:rPr>
        <w:t xml:space="preserve"> uz dažādiem eksporta tirgiem. Līdz ar to, kaut pensiju pārvaldnieki veiktu investīcijas Latvijas AIF pā</w:t>
      </w:r>
      <w:r w:rsidR="00C6329D">
        <w:rPr>
          <w:rFonts w:eastAsia="Calibri"/>
          <w:sz w:val="26"/>
          <w:szCs w:val="26"/>
          <w:lang w:val="lv-LV"/>
        </w:rPr>
        <w:t>r</w:t>
      </w:r>
      <w:r w:rsidRPr="00E76E46">
        <w:rPr>
          <w:rFonts w:eastAsia="Calibri"/>
          <w:sz w:val="26"/>
          <w:szCs w:val="26"/>
          <w:lang w:val="lv-LV"/>
        </w:rPr>
        <w:t>valdniekos, tās tālāk tiktu izvietotas uzņēmumos, kuru darbība tikai daļēji būtu atkarīga no ekonomiskās situācijas Latvijā.</w:t>
      </w:r>
    </w:p>
    <w:p w:rsidR="00F12B94" w:rsidRPr="00C6329D" w:rsidRDefault="00F43B2D" w:rsidP="00F24716">
      <w:pPr>
        <w:spacing w:after="120" w:line="276" w:lineRule="auto"/>
        <w:jc w:val="both"/>
        <w:rPr>
          <w:rFonts w:eastAsia="Calibri"/>
          <w:sz w:val="26"/>
          <w:szCs w:val="26"/>
          <w:lang w:val="lv-LV"/>
        </w:rPr>
      </w:pPr>
      <w:r w:rsidRPr="00E76E46">
        <w:rPr>
          <w:rFonts w:eastAsia="Calibri"/>
          <w:sz w:val="26"/>
          <w:szCs w:val="26"/>
          <w:lang w:val="lv-LV"/>
        </w:rPr>
        <w:t xml:space="preserve">Jānorāda, ka </w:t>
      </w:r>
      <w:r w:rsidR="00C974C6" w:rsidRPr="00E76E46">
        <w:rPr>
          <w:rFonts w:eastAsia="Calibri"/>
          <w:sz w:val="26"/>
          <w:szCs w:val="26"/>
          <w:lang w:val="lv-LV"/>
        </w:rPr>
        <w:t xml:space="preserve">papildus labumu </w:t>
      </w:r>
      <w:r w:rsidR="00A507CF" w:rsidRPr="00A507CF">
        <w:rPr>
          <w:rFonts w:eastAsia="Verdana"/>
          <w:sz w:val="26"/>
          <w:szCs w:val="26"/>
          <w:lang w:val="lv-LV"/>
        </w:rPr>
        <w:t>VFPS līdzekļu pārvaldītāji</w:t>
      </w:r>
      <w:r w:rsidR="00A507CF" w:rsidRPr="00E76E46">
        <w:rPr>
          <w:rFonts w:eastAsia="Calibri"/>
          <w:sz w:val="26"/>
          <w:szCs w:val="26"/>
          <w:lang w:val="lv-LV"/>
        </w:rPr>
        <w:t xml:space="preserve"> </w:t>
      </w:r>
      <w:r w:rsidR="00C974C6" w:rsidRPr="00E76E46">
        <w:rPr>
          <w:rFonts w:eastAsia="Calibri"/>
          <w:sz w:val="26"/>
          <w:szCs w:val="26"/>
          <w:lang w:val="lv-LV"/>
        </w:rPr>
        <w:t xml:space="preserve">gūs, ņemot vērā </w:t>
      </w:r>
      <w:r w:rsidR="00922BCE" w:rsidRPr="00E76E46">
        <w:rPr>
          <w:rFonts w:eastAsia="Calibri"/>
          <w:sz w:val="26"/>
          <w:szCs w:val="26"/>
          <w:lang w:val="lv-LV"/>
        </w:rPr>
        <w:t xml:space="preserve">valsts atbalsta programmu ietvaros dibināto fondu </w:t>
      </w:r>
      <w:r w:rsidR="00C974C6" w:rsidRPr="00E76E46">
        <w:rPr>
          <w:rFonts w:eastAsia="Calibri"/>
          <w:sz w:val="26"/>
          <w:szCs w:val="26"/>
          <w:lang w:val="lv-LV"/>
        </w:rPr>
        <w:t xml:space="preserve">privātajiem investoriem (tai skaitā </w:t>
      </w:r>
      <w:r w:rsidR="00A507CF">
        <w:rPr>
          <w:rFonts w:eastAsia="Calibri"/>
          <w:sz w:val="26"/>
          <w:szCs w:val="26"/>
          <w:lang w:val="lv-LV"/>
        </w:rPr>
        <w:t>ieguldījumu</w:t>
      </w:r>
      <w:r w:rsidR="00C974C6" w:rsidRPr="00E76E46">
        <w:rPr>
          <w:rFonts w:eastAsia="Calibri"/>
          <w:sz w:val="26"/>
          <w:szCs w:val="26"/>
          <w:lang w:val="lv-LV"/>
        </w:rPr>
        <w:t xml:space="preserve"> plāniem) labvēlīgo </w:t>
      </w:r>
      <w:r w:rsidR="00922BCE" w:rsidRPr="00E76E46">
        <w:rPr>
          <w:rFonts w:eastAsia="Calibri"/>
          <w:sz w:val="26"/>
          <w:szCs w:val="26"/>
          <w:lang w:val="lv-LV"/>
        </w:rPr>
        <w:t>ieņēmumu sadales mehānism</w:t>
      </w:r>
      <w:r w:rsidR="00C974C6" w:rsidRPr="00E76E46">
        <w:rPr>
          <w:rFonts w:eastAsia="Calibri"/>
          <w:sz w:val="26"/>
          <w:szCs w:val="26"/>
          <w:lang w:val="lv-LV"/>
        </w:rPr>
        <w:t>u</w:t>
      </w:r>
      <w:r w:rsidR="00922BCE" w:rsidRPr="00E76E46">
        <w:rPr>
          <w:rFonts w:eastAsia="Calibri"/>
          <w:sz w:val="26"/>
          <w:szCs w:val="26"/>
          <w:lang w:val="lv-LV"/>
        </w:rPr>
        <w:t>. Attiecīgie MK noteikumi</w:t>
      </w:r>
      <w:r>
        <w:rPr>
          <w:rStyle w:val="FootnoteReference"/>
          <w:rFonts w:eastAsia="Calibri"/>
          <w:sz w:val="26"/>
          <w:szCs w:val="26"/>
          <w:lang w:val="lv-LV"/>
        </w:rPr>
        <w:footnoteReference w:id="8"/>
      </w:r>
      <w:r w:rsidR="00922BCE" w:rsidRPr="00C6329D">
        <w:rPr>
          <w:rFonts w:eastAsia="Calibri"/>
          <w:sz w:val="26"/>
          <w:szCs w:val="26"/>
          <w:lang w:val="lv-LV"/>
        </w:rPr>
        <w:t xml:space="preserve"> nosaka, ka ienākumi</w:t>
      </w:r>
      <w:r w:rsidR="002774BD" w:rsidRPr="00C6329D">
        <w:rPr>
          <w:rFonts w:eastAsia="Calibri"/>
          <w:sz w:val="26"/>
          <w:szCs w:val="26"/>
          <w:lang w:val="lv-LV"/>
        </w:rPr>
        <w:t xml:space="preserve"> līdz</w:t>
      </w:r>
      <w:r w:rsidR="00922BCE" w:rsidRPr="00C6329D">
        <w:rPr>
          <w:rFonts w:eastAsia="Calibri"/>
          <w:sz w:val="26"/>
          <w:szCs w:val="26"/>
          <w:lang w:val="lv-LV"/>
        </w:rPr>
        <w:t xml:space="preserve"> 6% gadā, tiek sadalīti starp </w:t>
      </w:r>
      <w:r w:rsidR="002774BD" w:rsidRPr="00C6329D">
        <w:rPr>
          <w:rFonts w:eastAsia="Calibri"/>
          <w:sz w:val="26"/>
          <w:szCs w:val="26"/>
          <w:lang w:val="lv-LV"/>
        </w:rPr>
        <w:t xml:space="preserve"> visiem investoriem, bet tā ienākumu daļa, kas pārsniedz 6%, -</w:t>
      </w:r>
      <w:r w:rsidR="00141768" w:rsidRPr="00C6329D">
        <w:rPr>
          <w:rFonts w:eastAsia="Calibri"/>
          <w:sz w:val="26"/>
          <w:szCs w:val="26"/>
          <w:lang w:val="lv-LV"/>
        </w:rPr>
        <w:t xml:space="preserve"> </w:t>
      </w:r>
      <w:r w:rsidR="002774BD" w:rsidRPr="00C6329D">
        <w:rPr>
          <w:rFonts w:eastAsia="Calibri"/>
          <w:sz w:val="26"/>
          <w:szCs w:val="26"/>
          <w:lang w:val="lv-LV"/>
        </w:rPr>
        <w:t>tikai starp privātajiem investoriem</w:t>
      </w:r>
      <w:r w:rsidR="00922BCE" w:rsidRPr="00C6329D">
        <w:rPr>
          <w:rFonts w:eastAsia="Calibri"/>
          <w:sz w:val="26"/>
          <w:szCs w:val="26"/>
          <w:lang w:val="lv-LV"/>
        </w:rPr>
        <w:t>.</w:t>
      </w:r>
    </w:p>
    <w:p w:rsidR="00E470C1" w:rsidRPr="00C6329D" w:rsidRDefault="00F43B2D" w:rsidP="00F24716">
      <w:pPr>
        <w:spacing w:after="120" w:line="276" w:lineRule="auto"/>
        <w:jc w:val="both"/>
        <w:rPr>
          <w:rFonts w:eastAsia="Calibri"/>
          <w:sz w:val="26"/>
          <w:szCs w:val="26"/>
          <w:lang w:val="lv-LV"/>
        </w:rPr>
      </w:pPr>
      <w:r>
        <w:rPr>
          <w:noProof/>
          <w:lang w:val="lv-LV" w:eastAsia="lv-LV"/>
        </w:rPr>
        <w:lastRenderedPageBreak/>
        <mc:AlternateContent>
          <mc:Choice Requires="wps">
            <w:drawing>
              <wp:anchor distT="45720" distB="45720" distL="114300" distR="114300" simplePos="0" relativeHeight="251660288" behindDoc="0" locked="0" layoutInCell="1" allowOverlap="1">
                <wp:simplePos x="0" y="0"/>
                <wp:positionH relativeFrom="column">
                  <wp:posOffset>381000</wp:posOffset>
                </wp:positionH>
                <wp:positionV relativeFrom="paragraph">
                  <wp:posOffset>1834515</wp:posOffset>
                </wp:positionV>
                <wp:extent cx="1721485" cy="441960"/>
                <wp:effectExtent l="3810" t="1270" r="0" b="44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1EA" w:rsidRPr="006F349E" w:rsidRDefault="00F43B2D" w:rsidP="00D631EA">
                            <w:pPr>
                              <w:spacing w:line="276" w:lineRule="auto"/>
                              <w:jc w:val="both"/>
                              <w:rPr>
                                <w:rFonts w:eastAsia="Calibri"/>
                                <w:i/>
                                <w:sz w:val="22"/>
                                <w:szCs w:val="22"/>
                                <w:lang w:val="lv-LV"/>
                              </w:rPr>
                            </w:pPr>
                            <w:r>
                              <w:rPr>
                                <w:rFonts w:eastAsia="Calibri"/>
                                <w:i/>
                                <w:sz w:val="22"/>
                                <w:szCs w:val="22"/>
                                <w:lang w:val="lv-LV"/>
                              </w:rPr>
                              <w:t>7</w:t>
                            </w:r>
                            <w:r w:rsidRPr="006F349E">
                              <w:rPr>
                                <w:rFonts w:eastAsia="Calibri"/>
                                <w:i/>
                                <w:sz w:val="22"/>
                                <w:szCs w:val="22"/>
                                <w:lang w:val="lv-LV"/>
                              </w:rPr>
                              <w:t>.attēls</w:t>
                            </w:r>
                          </w:p>
                          <w:p w:rsidR="00D631EA" w:rsidRDefault="00F43B2D">
                            <w:r>
                              <w:t xml:space="preserve">J- </w:t>
                            </w:r>
                            <w:proofErr w:type="spellStart"/>
                            <w:r>
                              <w:t>līkne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144.45pt;width:135.55pt;height:3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" stroked="f">
                <v:textbox>
                  <w:txbxContent>
                    <w:p w:rsidR="00D631EA" w:rsidRPr="006F349E" w:rsidRDefault="00F43B2D" w:rsidP="00D631EA">
                      <w:pPr>
                        <w:spacing w:line="276" w:lineRule="auto"/>
                        <w:jc w:val="both"/>
                        <w:rPr>
                          <w:rFonts w:eastAsia="Calibri"/>
                          <w:i/>
                          <w:sz w:val="22"/>
                          <w:szCs w:val="22"/>
                          <w:lang w:val="lv-LV"/>
                        </w:rPr>
                      </w:pPr>
                      <w:r>
                        <w:rPr>
                          <w:rFonts w:eastAsia="Calibri"/>
                          <w:i/>
                          <w:sz w:val="22"/>
                          <w:szCs w:val="22"/>
                          <w:lang w:val="lv-LV"/>
                        </w:rPr>
                        <w:t>7</w:t>
                      </w:r>
                      <w:r w:rsidRPr="006F349E">
                        <w:rPr>
                          <w:rFonts w:eastAsia="Calibri"/>
                          <w:i/>
                          <w:sz w:val="22"/>
                          <w:szCs w:val="22"/>
                          <w:lang w:val="lv-LV"/>
                        </w:rPr>
                        <w:t>.attēls</w:t>
                      </w:r>
                    </w:p>
                    <w:p w:rsidR="00D631EA" w:rsidRDefault="00F43B2D">
                      <w:r>
                        <w:t xml:space="preserve">J- </w:t>
                      </w:r>
                      <w:proofErr w:type="spellStart"/>
                      <w:r>
                        <w:t>līkne</w:t>
                      </w:r>
                      <w:proofErr w:type="spellEnd"/>
                    </w:p>
                  </w:txbxContent>
                </v:textbox>
                <w10:wrap type="square"/>
              </v:shape>
            </w:pict>
          </mc:Fallback>
        </mc:AlternateContent>
      </w:r>
      <w:r w:rsidR="00864B43" w:rsidRPr="00C6329D">
        <w:rPr>
          <w:rFonts w:eastAsia="Calibri"/>
          <w:noProof/>
          <w:sz w:val="26"/>
          <w:szCs w:val="26"/>
          <w:lang w:val="lv-LV" w:eastAsia="lv-LV"/>
        </w:rPr>
        <w:drawing>
          <wp:anchor distT="0" distB="0" distL="114300" distR="114300" simplePos="0" relativeHeight="251659264" behindDoc="0" locked="0" layoutInCell="1" allowOverlap="1">
            <wp:simplePos x="0" y="0"/>
            <wp:positionH relativeFrom="column">
              <wp:posOffset>0</wp:posOffset>
            </wp:positionH>
            <wp:positionV relativeFrom="paragraph">
              <wp:posOffset>87630</wp:posOffset>
            </wp:positionV>
            <wp:extent cx="3685966" cy="1924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632967" name="Screen Shot 2018-10-12 at 09.53.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5966" cy="1924050"/>
                    </a:xfrm>
                    <a:prstGeom prst="rect">
                      <a:avLst/>
                    </a:prstGeom>
                  </pic:spPr>
                </pic:pic>
              </a:graphicData>
            </a:graphic>
          </wp:anchor>
        </w:drawing>
      </w:r>
      <w:r w:rsidR="00E470C1" w:rsidRPr="00C6329D">
        <w:rPr>
          <w:rFonts w:eastAsia="Calibri"/>
          <w:sz w:val="26"/>
          <w:szCs w:val="26"/>
          <w:lang w:val="lv-LV"/>
        </w:rPr>
        <w:t xml:space="preserve">Pensiju fondu pārvaldnieku stimulēšanu ieguldīt riska kapitālā nav iespējams sasniegt ar mainīgo komisijas daļu, jo riska kapitāla gadījumā investīciju </w:t>
      </w:r>
      <w:proofErr w:type="spellStart"/>
      <w:r w:rsidR="00E470C1" w:rsidRPr="00C6329D">
        <w:rPr>
          <w:rFonts w:eastAsia="Calibri"/>
          <w:sz w:val="26"/>
          <w:szCs w:val="26"/>
          <w:lang w:val="lv-LV"/>
        </w:rPr>
        <w:t>atdeve</w:t>
      </w:r>
      <w:proofErr w:type="spellEnd"/>
      <w:r w:rsidR="00E470C1" w:rsidRPr="00C6329D">
        <w:rPr>
          <w:rFonts w:eastAsia="Calibri"/>
          <w:sz w:val="26"/>
          <w:szCs w:val="26"/>
          <w:lang w:val="lv-LV"/>
        </w:rPr>
        <w:t xml:space="preserve"> tiek sasniegta aptuveni pēc 4.ieguldīšanas gada. </w:t>
      </w:r>
      <w:r w:rsidR="00D22063" w:rsidRPr="00C6329D">
        <w:rPr>
          <w:rFonts w:eastAsia="Calibri"/>
          <w:sz w:val="26"/>
          <w:szCs w:val="26"/>
          <w:lang w:val="lv-LV"/>
        </w:rPr>
        <w:t xml:space="preserve">Ienākumi riska kapitāla gadījumā parasti notiek pēc J-līknes principa, kā tas </w:t>
      </w:r>
      <w:r w:rsidR="00D22063" w:rsidRPr="00D631EA">
        <w:rPr>
          <w:rFonts w:eastAsia="Calibri"/>
          <w:sz w:val="26"/>
          <w:szCs w:val="26"/>
          <w:lang w:val="lv-LV"/>
        </w:rPr>
        <w:t xml:space="preserve">attēlots </w:t>
      </w:r>
      <w:r w:rsidR="006F349E" w:rsidRPr="00D631EA">
        <w:rPr>
          <w:rFonts w:eastAsia="Calibri"/>
          <w:sz w:val="26"/>
          <w:szCs w:val="26"/>
          <w:lang w:val="lv-LV"/>
        </w:rPr>
        <w:t xml:space="preserve">7. </w:t>
      </w:r>
      <w:r w:rsidR="00D22063" w:rsidRPr="00D631EA">
        <w:rPr>
          <w:rFonts w:eastAsia="Calibri"/>
          <w:sz w:val="26"/>
          <w:szCs w:val="26"/>
          <w:lang w:val="lv-LV"/>
        </w:rPr>
        <w:t>attēlā</w:t>
      </w:r>
      <w:r w:rsidR="00D22063" w:rsidRPr="006F349E">
        <w:rPr>
          <w:rFonts w:eastAsia="Calibri"/>
          <w:sz w:val="26"/>
          <w:szCs w:val="26"/>
          <w:lang w:val="lv-LV"/>
        </w:rPr>
        <w:t>.</w:t>
      </w:r>
      <w:r w:rsidR="00D22063" w:rsidRPr="00C6329D">
        <w:rPr>
          <w:rFonts w:eastAsia="Calibri"/>
          <w:sz w:val="26"/>
          <w:szCs w:val="26"/>
          <w:lang w:val="lv-LV"/>
        </w:rPr>
        <w:t xml:space="preserve"> </w:t>
      </w:r>
      <w:r w:rsidR="00E470C1" w:rsidRPr="00C6329D">
        <w:rPr>
          <w:rFonts w:eastAsia="Calibri"/>
          <w:sz w:val="26"/>
          <w:szCs w:val="26"/>
          <w:lang w:val="lv-LV"/>
        </w:rPr>
        <w:t>Tādejādi papildus izdevumi, kas rodas šāda ieguldījuma gadījumā, netiek savlaicīgi kompensēt</w:t>
      </w:r>
      <w:r w:rsidR="00D22063" w:rsidRPr="00C6329D">
        <w:rPr>
          <w:rFonts w:eastAsia="Calibri"/>
          <w:sz w:val="26"/>
          <w:szCs w:val="26"/>
          <w:lang w:val="lv-LV"/>
        </w:rPr>
        <w:t>i</w:t>
      </w:r>
      <w:r w:rsidR="00E470C1" w:rsidRPr="00C6329D">
        <w:rPr>
          <w:rFonts w:eastAsia="Calibri"/>
          <w:sz w:val="26"/>
          <w:szCs w:val="26"/>
          <w:lang w:val="lv-LV"/>
        </w:rPr>
        <w:t xml:space="preserve"> ar atbilstošiem ieņēmumiem no pārvaldīšanas komisijām.</w:t>
      </w:r>
    </w:p>
    <w:p w:rsidR="00F24716" w:rsidRPr="00C6329D" w:rsidRDefault="00F43B2D" w:rsidP="00930CD9">
      <w:pPr>
        <w:spacing w:before="240" w:after="240" w:line="276" w:lineRule="auto"/>
        <w:ind w:left="-142"/>
        <w:jc w:val="both"/>
        <w:rPr>
          <w:rFonts w:eastAsia="Calibri"/>
          <w:b/>
          <w:sz w:val="26"/>
          <w:szCs w:val="26"/>
          <w:lang w:val="lv-LV"/>
        </w:rPr>
      </w:pPr>
      <w:r w:rsidRPr="00C6329D">
        <w:rPr>
          <w:rFonts w:eastAsia="Calibri"/>
          <w:b/>
          <w:sz w:val="26"/>
          <w:szCs w:val="26"/>
          <w:lang w:val="lv-LV"/>
        </w:rPr>
        <w:t xml:space="preserve">2) </w:t>
      </w:r>
      <w:r w:rsidR="00CD15C1" w:rsidRPr="00C6329D">
        <w:rPr>
          <w:rFonts w:eastAsia="Calibri"/>
          <w:b/>
          <w:sz w:val="26"/>
          <w:szCs w:val="26"/>
          <w:lang w:val="lv-LV"/>
        </w:rPr>
        <w:t>palielināt pieļauto ieguldīšanas apjomu alternatīvajos ieguldījumu fondos</w:t>
      </w:r>
    </w:p>
    <w:p w:rsidR="00CD15C1" w:rsidRPr="00C6329D" w:rsidRDefault="00F43B2D" w:rsidP="00930CD9">
      <w:pPr>
        <w:spacing w:before="240" w:after="240" w:line="276" w:lineRule="auto"/>
        <w:ind w:left="-142"/>
        <w:jc w:val="both"/>
        <w:rPr>
          <w:rFonts w:eastAsia="Calibri"/>
          <w:sz w:val="26"/>
          <w:szCs w:val="26"/>
          <w:lang w:val="lv-LV"/>
        </w:rPr>
      </w:pPr>
      <w:r w:rsidRPr="00C6329D">
        <w:rPr>
          <w:rFonts w:eastAsia="Calibri"/>
          <w:sz w:val="26"/>
          <w:szCs w:val="26"/>
          <w:lang w:val="lv-LV"/>
        </w:rPr>
        <w:t>Atbilstoši esošajai Va</w:t>
      </w:r>
      <w:r w:rsidR="00EB636A" w:rsidRPr="00C6329D">
        <w:rPr>
          <w:rFonts w:eastAsia="Calibri"/>
          <w:sz w:val="26"/>
          <w:szCs w:val="26"/>
          <w:lang w:val="lv-LV"/>
        </w:rPr>
        <w:t xml:space="preserve">lsts </w:t>
      </w:r>
      <w:proofErr w:type="spellStart"/>
      <w:r w:rsidR="00EB636A" w:rsidRPr="00C6329D">
        <w:rPr>
          <w:rFonts w:eastAsia="Calibri"/>
          <w:sz w:val="26"/>
          <w:szCs w:val="26"/>
          <w:lang w:val="lv-LV"/>
        </w:rPr>
        <w:t>fondēto</w:t>
      </w:r>
      <w:proofErr w:type="spellEnd"/>
      <w:r w:rsidR="00EB636A" w:rsidRPr="00C6329D">
        <w:rPr>
          <w:rFonts w:eastAsia="Calibri"/>
          <w:sz w:val="26"/>
          <w:szCs w:val="26"/>
          <w:lang w:val="lv-LV"/>
        </w:rPr>
        <w:t xml:space="preserve"> pensiju likuma</w:t>
      </w:r>
      <w:r w:rsidRPr="00C6329D">
        <w:rPr>
          <w:rFonts w:eastAsia="Calibri"/>
          <w:sz w:val="26"/>
          <w:szCs w:val="26"/>
          <w:lang w:val="lv-LV"/>
        </w:rPr>
        <w:t xml:space="preserve"> </w:t>
      </w:r>
      <w:r w:rsidR="00204221" w:rsidRPr="00C6329D">
        <w:rPr>
          <w:rFonts w:eastAsia="Calibri"/>
          <w:sz w:val="26"/>
          <w:szCs w:val="26"/>
          <w:lang w:val="lv-LV"/>
        </w:rPr>
        <w:t>redakcijai</w:t>
      </w:r>
      <w:r w:rsidR="00EB636A" w:rsidRPr="00C6329D">
        <w:rPr>
          <w:rFonts w:eastAsia="Calibri"/>
          <w:sz w:val="26"/>
          <w:szCs w:val="26"/>
          <w:lang w:val="lv-LV"/>
        </w:rPr>
        <w:t>,</w:t>
      </w:r>
      <w:r w:rsidRPr="00C6329D">
        <w:rPr>
          <w:rFonts w:eastAsia="Calibri"/>
          <w:sz w:val="26"/>
          <w:szCs w:val="26"/>
          <w:lang w:val="lv-LV"/>
        </w:rPr>
        <w:t xml:space="preserve"> kopējais ieguldījumu limits alternatīvajos ieguldījuma fondos nedrīkst pārsniegt 15% un praksē ieguldīšana vienā ieguldījumu veidā var teorētiski būt līdz 7.5%, bet, ievērojot piesardzības principu, ieguldījumi viena veidā nepārsniegs 5.5% - 6.5%. </w:t>
      </w:r>
    </w:p>
    <w:p w:rsidR="0070584D" w:rsidRPr="00C6329D" w:rsidRDefault="00F43B2D" w:rsidP="00930CD9">
      <w:pPr>
        <w:spacing w:before="240" w:after="240" w:line="276" w:lineRule="auto"/>
        <w:ind w:left="-142"/>
        <w:jc w:val="both"/>
        <w:rPr>
          <w:rFonts w:eastAsia="Calibri"/>
          <w:sz w:val="26"/>
          <w:szCs w:val="26"/>
          <w:lang w:val="lv-LV"/>
        </w:rPr>
      </w:pPr>
      <w:r w:rsidRPr="00C6329D">
        <w:rPr>
          <w:rFonts w:eastAsia="Calibri"/>
          <w:sz w:val="26"/>
          <w:szCs w:val="26"/>
          <w:lang w:val="lv-LV"/>
        </w:rPr>
        <w:t>Ekonomikas ministrija piedāvā minēto slieksni paaugstināt līdz</w:t>
      </w:r>
      <w:r w:rsidR="00A50217" w:rsidRPr="00C6329D">
        <w:rPr>
          <w:rFonts w:eastAsia="Calibri"/>
          <w:sz w:val="26"/>
          <w:szCs w:val="26"/>
          <w:lang w:val="lv-LV"/>
        </w:rPr>
        <w:t xml:space="preserve"> 20%,</w:t>
      </w:r>
      <w:r w:rsidRPr="00C6329D">
        <w:rPr>
          <w:rFonts w:eastAsia="Calibri"/>
          <w:sz w:val="26"/>
          <w:szCs w:val="26"/>
          <w:lang w:val="lv-LV"/>
        </w:rPr>
        <w:t xml:space="preserve"> ņemot vērā, ka</w:t>
      </w:r>
      <w:r w:rsidR="00A50217" w:rsidRPr="00C6329D">
        <w:rPr>
          <w:rFonts w:eastAsia="Calibri"/>
          <w:sz w:val="26"/>
          <w:szCs w:val="26"/>
          <w:lang w:val="lv-LV"/>
        </w:rPr>
        <w:t xml:space="preserve"> reāl</w:t>
      </w:r>
      <w:r w:rsidRPr="00C6329D">
        <w:rPr>
          <w:rFonts w:eastAsia="Calibri"/>
          <w:sz w:val="26"/>
          <w:szCs w:val="26"/>
          <w:lang w:val="lv-LV"/>
        </w:rPr>
        <w:t>ai</w:t>
      </w:r>
      <w:r w:rsidR="00A50217" w:rsidRPr="00C6329D">
        <w:rPr>
          <w:rFonts w:eastAsia="Calibri"/>
          <w:sz w:val="26"/>
          <w:szCs w:val="26"/>
          <w:lang w:val="lv-LV"/>
        </w:rPr>
        <w:t xml:space="preserve"> ieguldījumu apjoms vienā alternatīvo ieguldījumu fondu veidā varētu sasniegt pat 8% - 8.5%. Tas nozīmē, ka, nosakot augstāku ieguldīšanas limitu, riska kapitālam atvēlētie līdzekļi var būt par 2-3 procentpunktiem vairāk nekā līdzšinēji noteiktā 15% limita gadījumā. Vērtējot pašreizējos aktīvo pensiju plānu kopējos aktīvus, kas būtu avots ieguldījumiem riska kapitālā un kuru kopējais aktīvu apjoms ir pārsniedzis </w:t>
      </w:r>
      <w:r w:rsidR="004A521A" w:rsidRPr="00C6329D">
        <w:rPr>
          <w:rFonts w:eastAsia="Calibri"/>
          <w:sz w:val="26"/>
          <w:szCs w:val="26"/>
          <w:lang w:val="lv-LV"/>
        </w:rPr>
        <w:t>3</w:t>
      </w:r>
      <w:r w:rsidR="00A50217" w:rsidRPr="00C6329D">
        <w:rPr>
          <w:rFonts w:eastAsia="Calibri"/>
          <w:sz w:val="26"/>
          <w:szCs w:val="26"/>
          <w:lang w:val="lv-LV"/>
        </w:rPr>
        <w:t xml:space="preserve"> miljardus eiro, tad 2-3% būtu papildus 40-60 miljoni eiro riska kapitāla ieguldījumiem, kas ir nozīmīgs apjoms riska kapitāla nozares attīstībai</w:t>
      </w:r>
      <w:r w:rsidR="00FF7CDB" w:rsidRPr="00C6329D">
        <w:rPr>
          <w:rFonts w:eastAsia="Calibri"/>
          <w:sz w:val="26"/>
          <w:szCs w:val="26"/>
          <w:lang w:val="lv-LV"/>
        </w:rPr>
        <w:t xml:space="preserve"> Latvijā</w:t>
      </w:r>
      <w:r w:rsidR="00A50217" w:rsidRPr="00C6329D">
        <w:rPr>
          <w:rFonts w:eastAsia="Calibri"/>
          <w:sz w:val="26"/>
          <w:szCs w:val="26"/>
          <w:lang w:val="lv-LV"/>
        </w:rPr>
        <w:t>.</w:t>
      </w:r>
      <w:r w:rsidR="004A521A" w:rsidRPr="00C6329D">
        <w:rPr>
          <w:rFonts w:eastAsia="Calibri"/>
          <w:sz w:val="26"/>
          <w:szCs w:val="26"/>
          <w:lang w:val="lv-LV"/>
        </w:rPr>
        <w:t xml:space="preserve"> </w:t>
      </w:r>
    </w:p>
    <w:p w:rsidR="00A50217" w:rsidRPr="00C6329D" w:rsidRDefault="00F43B2D" w:rsidP="00930CD9">
      <w:pPr>
        <w:spacing w:after="120" w:line="276" w:lineRule="auto"/>
        <w:ind w:left="-142"/>
        <w:jc w:val="both"/>
        <w:rPr>
          <w:rFonts w:eastAsia="Calibri"/>
          <w:sz w:val="26"/>
          <w:szCs w:val="26"/>
          <w:lang w:val="lv-LV"/>
        </w:rPr>
      </w:pPr>
      <w:r w:rsidRPr="00C6329D">
        <w:rPr>
          <w:rFonts w:eastAsia="Calibri"/>
          <w:sz w:val="26"/>
          <w:szCs w:val="26"/>
          <w:lang w:val="lv-LV"/>
        </w:rPr>
        <w:t>Palielinot ieguldīšanas apjomus riska kapitālā ilgtermiņā, iegūtu arī pensiju plānu dalībnieki, jo palielinātos kopējais ieguldījumu apjoms uzņēmumos ar augstu izaugsmes potenciālu, kas attiecīgi nozīmētu arī lielāku iespējamo peļņu. Tai pat laikā kopējais pensiju ieguldījumu portfelis nekļūtu riskantāks, jo lielāks ieguldīšanas limits ļautu palielināt ieguldījumu diversifikāciju, ieguldot lielākā skaitā riska kapitāla fondu. Savukārt</w:t>
      </w:r>
      <w:r w:rsidR="001C207A" w:rsidRPr="00C6329D">
        <w:rPr>
          <w:rFonts w:eastAsia="Calibri"/>
          <w:sz w:val="26"/>
          <w:szCs w:val="26"/>
          <w:lang w:val="lv-LV"/>
        </w:rPr>
        <w:t>,</w:t>
      </w:r>
      <w:r w:rsidRPr="00C6329D">
        <w:rPr>
          <w:rFonts w:eastAsia="Calibri"/>
          <w:sz w:val="26"/>
          <w:szCs w:val="26"/>
          <w:lang w:val="lv-LV"/>
        </w:rPr>
        <w:t xml:space="preserve"> vairāk līdzekļu ieguldīšana riska kapitālā samazinātu ieguldījumu apjomus akcijās vai tām riska ziņā pielīdzināmos vērtspapīros, kuru kopējais riska līmenis ir vien nedaudz zemāks par labi diversificētu un pārdomāti veidotu riska kapitāla fondu ieguldījumu portfeli, kas sevī iekļautu gan dažādus pārvaldniekus, gan arī fondus ar dažādiem darbības uzsākšanas termiņiem un ieguldīšanas stratēģijām. </w:t>
      </w:r>
    </w:p>
    <w:p w:rsidR="00F43B2D" w:rsidRPr="00F43B2D" w:rsidRDefault="00F43B2D" w:rsidP="00F43B2D">
      <w:pPr>
        <w:spacing w:line="276" w:lineRule="auto"/>
        <w:ind w:left="-142"/>
        <w:jc w:val="both"/>
        <w:rPr>
          <w:rFonts w:eastAsia="Calibri"/>
          <w:sz w:val="26"/>
          <w:szCs w:val="26"/>
          <w:lang w:val="lv-LV"/>
        </w:rPr>
      </w:pPr>
      <w:r w:rsidRPr="00C6329D">
        <w:rPr>
          <w:rFonts w:eastAsia="Calibri"/>
          <w:sz w:val="26"/>
          <w:szCs w:val="26"/>
          <w:lang w:val="lv-LV"/>
        </w:rPr>
        <w:lastRenderedPageBreak/>
        <w:t xml:space="preserve">Ņemot vērā minēto, un, lai neierobežotu </w:t>
      </w:r>
      <w:proofErr w:type="spellStart"/>
      <w:r w:rsidRPr="00C6329D">
        <w:rPr>
          <w:rFonts w:eastAsia="Calibri"/>
          <w:sz w:val="26"/>
          <w:szCs w:val="26"/>
          <w:lang w:val="lv-LV"/>
        </w:rPr>
        <w:t>fondēto</w:t>
      </w:r>
      <w:proofErr w:type="spellEnd"/>
      <w:r w:rsidRPr="00C6329D">
        <w:rPr>
          <w:rFonts w:eastAsia="Calibri"/>
          <w:sz w:val="26"/>
          <w:szCs w:val="26"/>
          <w:lang w:val="lv-LV"/>
        </w:rPr>
        <w:t xml:space="preserve"> pensiju fondu līdzekļu piesaistes iespējas jaun</w:t>
      </w:r>
      <w:r w:rsidR="004A521A" w:rsidRPr="00C6329D">
        <w:rPr>
          <w:rFonts w:eastAsia="Calibri"/>
          <w:sz w:val="26"/>
          <w:szCs w:val="26"/>
          <w:lang w:val="lv-LV"/>
        </w:rPr>
        <w:t xml:space="preserve">u riska kapitāla fondu ieviešanai </w:t>
      </w:r>
      <w:r w:rsidR="004A521A" w:rsidRPr="00F43B2D">
        <w:rPr>
          <w:rFonts w:eastAsia="Calibri"/>
          <w:sz w:val="26"/>
          <w:szCs w:val="26"/>
          <w:lang w:val="lv-LV"/>
        </w:rPr>
        <w:t xml:space="preserve">Latvijā, </w:t>
      </w:r>
      <w:r w:rsidRPr="00F43B2D">
        <w:rPr>
          <w:rFonts w:eastAsia="Calibri"/>
          <w:sz w:val="26"/>
          <w:szCs w:val="26"/>
          <w:lang w:val="lv-LV"/>
        </w:rPr>
        <w:t xml:space="preserve">Ekonomikas ministrija rosina izteikt Valsts </w:t>
      </w:r>
      <w:proofErr w:type="spellStart"/>
      <w:r w:rsidRPr="00F43B2D">
        <w:rPr>
          <w:rFonts w:eastAsia="Calibri"/>
          <w:sz w:val="26"/>
          <w:szCs w:val="26"/>
          <w:lang w:val="lv-LV"/>
        </w:rPr>
        <w:t>fondēto</w:t>
      </w:r>
      <w:proofErr w:type="spellEnd"/>
      <w:r w:rsidRPr="00F43B2D">
        <w:rPr>
          <w:rFonts w:eastAsia="Calibri"/>
          <w:sz w:val="26"/>
          <w:szCs w:val="26"/>
          <w:lang w:val="lv-LV"/>
        </w:rPr>
        <w:t xml:space="preserve"> pensiju likumā 12.panta otrās daļas 7.</w:t>
      </w:r>
      <w:r w:rsidRPr="00F43B2D">
        <w:rPr>
          <w:rFonts w:eastAsia="Calibri"/>
          <w:sz w:val="26"/>
          <w:szCs w:val="26"/>
          <w:vertAlign w:val="superscript"/>
          <w:lang w:val="lv-LV"/>
        </w:rPr>
        <w:t>1</w:t>
      </w:r>
      <w:r w:rsidRPr="00F43B2D">
        <w:rPr>
          <w:rFonts w:eastAsia="Calibri"/>
          <w:sz w:val="26"/>
          <w:szCs w:val="26"/>
          <w:lang w:val="lv-LV"/>
        </w:rPr>
        <w:t xml:space="preserve"> punktu šādā redakcijā:</w:t>
      </w:r>
    </w:p>
    <w:p w:rsidR="00F43B2D" w:rsidRPr="00F43B2D" w:rsidRDefault="00F43B2D" w:rsidP="00F43B2D">
      <w:pPr>
        <w:spacing w:line="276" w:lineRule="auto"/>
        <w:ind w:left="-142"/>
        <w:jc w:val="both"/>
        <w:rPr>
          <w:rFonts w:eastAsia="Calibri"/>
          <w:sz w:val="26"/>
          <w:szCs w:val="26"/>
          <w:lang w:val="lv-LV"/>
        </w:rPr>
      </w:pPr>
      <w:r w:rsidRPr="00F43B2D">
        <w:rPr>
          <w:rFonts w:eastAsia="Calibri"/>
          <w:sz w:val="26"/>
          <w:szCs w:val="26"/>
          <w:lang w:val="lv-LV"/>
        </w:rPr>
        <w:t>“7</w:t>
      </w:r>
      <w:r w:rsidRPr="00F43B2D">
        <w:rPr>
          <w:rFonts w:eastAsia="Calibri"/>
          <w:sz w:val="26"/>
          <w:szCs w:val="26"/>
          <w:vertAlign w:val="superscript"/>
          <w:lang w:val="lv-LV"/>
        </w:rPr>
        <w:t>1</w:t>
      </w:r>
      <w:r w:rsidRPr="00F43B2D">
        <w:rPr>
          <w:rFonts w:eastAsia="Calibri"/>
          <w:sz w:val="26"/>
          <w:szCs w:val="26"/>
          <w:lang w:val="lv-LV"/>
        </w:rPr>
        <w:t xml:space="preserve">) ieguldījumi vienā alternatīvo ieguldījumu fondā nedrīkst pārsniegt 10 procentus no ieguldījumu plāna aktīviem un 30 procentus no šā alternatīvo ieguldījumu fonda neto aktīviem. </w:t>
      </w:r>
      <w:r w:rsidRPr="00F43B2D">
        <w:rPr>
          <w:rFonts w:eastAsia="Calibri"/>
          <w:b/>
          <w:sz w:val="26"/>
          <w:szCs w:val="26"/>
          <w:lang w:val="lv-LV"/>
        </w:rPr>
        <w:t>Visu ieguldījumu kopsumma alternatīvo ieguldījumu fondos nedrīkst pārsniegt 15 procentus no ieguldījumu plāna aktīviem. Visu ieguldījumu kopsummu alternatīvo ieguldījumu fondos drīkst palielināt līdz 20 procentiem no ieguldījumu plāna aktīviem, ņemot vērā visas turpmāk minētās prasības:</w:t>
      </w:r>
      <w:r w:rsidRPr="00F43B2D">
        <w:rPr>
          <w:rFonts w:eastAsia="Calibri"/>
          <w:sz w:val="26"/>
          <w:szCs w:val="26"/>
          <w:lang w:val="lv-LV"/>
        </w:rPr>
        <w:t xml:space="preserve"> </w:t>
      </w:r>
    </w:p>
    <w:p w:rsidR="00F43B2D" w:rsidRPr="00F43B2D" w:rsidRDefault="00F43B2D" w:rsidP="00F43B2D">
      <w:pPr>
        <w:spacing w:line="276" w:lineRule="auto"/>
        <w:jc w:val="both"/>
        <w:rPr>
          <w:rFonts w:eastAsia="Calibri"/>
          <w:sz w:val="26"/>
          <w:szCs w:val="26"/>
          <w:lang w:val="lv-LV"/>
        </w:rPr>
      </w:pPr>
      <w:r w:rsidRPr="00F43B2D">
        <w:rPr>
          <w:rFonts w:eastAsia="Calibri"/>
          <w:sz w:val="26"/>
          <w:szCs w:val="26"/>
          <w:lang w:val="lv-LV"/>
        </w:rPr>
        <w:t>a)</w:t>
      </w:r>
      <w:r w:rsidRPr="00F43B2D">
        <w:rPr>
          <w:rFonts w:eastAsia="Calibri"/>
          <w:sz w:val="26"/>
          <w:szCs w:val="26"/>
          <w:lang w:val="lv-LV"/>
        </w:rPr>
        <w:tab/>
      </w:r>
      <w:proofErr w:type="spellStart"/>
      <w:r w:rsidRPr="00F43B2D">
        <w:rPr>
          <w:rFonts w:eastAsia="Calibri"/>
          <w:sz w:val="26"/>
          <w:szCs w:val="26"/>
          <w:lang w:val="lv-LV"/>
        </w:rPr>
        <w:t>fondēto</w:t>
      </w:r>
      <w:proofErr w:type="spellEnd"/>
      <w:r w:rsidRPr="00F43B2D">
        <w:rPr>
          <w:rFonts w:eastAsia="Calibri"/>
          <w:sz w:val="26"/>
          <w:szCs w:val="26"/>
          <w:lang w:val="lv-LV"/>
        </w:rPr>
        <w:t xml:space="preserve"> pensiju shēmas līdzekļu pārvaldītājs ievēro diversifikācijas principu, nodrošinot, ka ieguldījumi tiek veikti dažādos alternatīvo ieguldījumu fondu veidos, kuri norādīti kā dominējošie alternatīvo ieguldījumu fondu veidi Eiropas Komisijas 2012.gada 19. decembra Deleģētajā regulā (ES) Nr. 231/2013, ar ko papildina Eiropas Parlamenta un Padomes Direktīvu 2011/61/ES attiecībā uz atbrīvojumiem, vispārējiem darbības nosacījumiem, depozitārijiem, saistību īpatsvaru, pārskatāmību un uzraudzību (Dokuments attiecas uz EEZ) (turpmāk — Regula Nr. 231/2013);</w:t>
      </w:r>
    </w:p>
    <w:p w:rsidR="00F43B2D" w:rsidRPr="00F43B2D" w:rsidRDefault="00F43B2D" w:rsidP="00F43B2D">
      <w:pPr>
        <w:spacing w:line="276" w:lineRule="auto"/>
        <w:ind w:left="-142" w:firstLine="284"/>
        <w:jc w:val="both"/>
        <w:rPr>
          <w:rFonts w:eastAsia="Calibri"/>
          <w:sz w:val="26"/>
          <w:szCs w:val="26"/>
          <w:lang w:val="lv-LV"/>
        </w:rPr>
      </w:pPr>
      <w:r w:rsidRPr="00F43B2D">
        <w:rPr>
          <w:rFonts w:eastAsia="Calibri"/>
          <w:sz w:val="26"/>
          <w:szCs w:val="26"/>
          <w:lang w:val="lv-LV"/>
        </w:rPr>
        <w:t>b)</w:t>
      </w:r>
      <w:r w:rsidRPr="00F43B2D">
        <w:rPr>
          <w:rFonts w:eastAsia="Calibri"/>
          <w:sz w:val="26"/>
          <w:szCs w:val="26"/>
          <w:lang w:val="lv-LV"/>
        </w:rPr>
        <w:tab/>
      </w:r>
      <w:proofErr w:type="spellStart"/>
      <w:r w:rsidRPr="00F43B2D">
        <w:rPr>
          <w:rFonts w:eastAsia="Calibri"/>
          <w:sz w:val="26"/>
          <w:szCs w:val="26"/>
          <w:lang w:val="lv-LV"/>
        </w:rPr>
        <w:t>fondēto</w:t>
      </w:r>
      <w:proofErr w:type="spellEnd"/>
      <w:r w:rsidRPr="00F43B2D">
        <w:rPr>
          <w:rFonts w:eastAsia="Calibri"/>
          <w:sz w:val="26"/>
          <w:szCs w:val="26"/>
          <w:lang w:val="lv-LV"/>
        </w:rPr>
        <w:t xml:space="preserve"> pensiju shēmas līdzekļu pārvaldītājs ieguldījumu plāna prospektā norāda maksimālo ieguldījuma apmēru katrā no alternatīvo ieguldījumu fondu veidiem, kuri norādīti kā dominējošie alternatīvo ieguldījumu fondu veidi Regulā Nr. 231/2013.”</w:t>
      </w:r>
    </w:p>
    <w:p w:rsidR="00F43B2D" w:rsidRDefault="00F43B2D" w:rsidP="004A521A">
      <w:pPr>
        <w:spacing w:line="276" w:lineRule="auto"/>
        <w:ind w:left="-142"/>
        <w:jc w:val="both"/>
        <w:rPr>
          <w:rFonts w:eastAsia="Calibri"/>
          <w:sz w:val="26"/>
          <w:szCs w:val="26"/>
          <w:lang w:val="lv-LV"/>
        </w:rPr>
      </w:pPr>
    </w:p>
    <w:p w:rsidR="00F43B2D" w:rsidRDefault="00F43B2D" w:rsidP="004A521A">
      <w:pPr>
        <w:spacing w:line="276" w:lineRule="auto"/>
        <w:ind w:left="-142"/>
        <w:jc w:val="both"/>
        <w:rPr>
          <w:rFonts w:eastAsia="Calibri"/>
          <w:sz w:val="26"/>
          <w:szCs w:val="26"/>
          <w:lang w:val="lv-LV"/>
        </w:rPr>
      </w:pPr>
    </w:p>
    <w:p w:rsidR="00502B17" w:rsidRPr="00C6329D" w:rsidRDefault="00F43B2D" w:rsidP="004A521A">
      <w:pPr>
        <w:spacing w:line="276" w:lineRule="auto"/>
        <w:ind w:left="-142"/>
        <w:jc w:val="both"/>
        <w:rPr>
          <w:rFonts w:eastAsia="Calibri"/>
          <w:sz w:val="26"/>
          <w:szCs w:val="26"/>
          <w:lang w:val="lv-LV" w:eastAsia="lv-LV"/>
        </w:rPr>
      </w:pPr>
      <w:r>
        <w:rPr>
          <w:rFonts w:eastAsia="Calibri"/>
          <w:b/>
          <w:sz w:val="26"/>
          <w:szCs w:val="26"/>
          <w:lang w:val="lv-LV"/>
        </w:rPr>
        <w:t>L</w:t>
      </w:r>
      <w:r w:rsidR="004A521A" w:rsidRPr="00C6329D">
        <w:rPr>
          <w:rFonts w:eastAsia="Calibri"/>
          <w:b/>
          <w:sz w:val="26"/>
          <w:szCs w:val="26"/>
          <w:lang w:val="lv-LV"/>
        </w:rPr>
        <w:t xml:space="preserve">ūdzam </w:t>
      </w:r>
      <w:r w:rsidR="00CD15C1" w:rsidRPr="00C6329D">
        <w:rPr>
          <w:rFonts w:eastAsia="Calibri"/>
          <w:b/>
          <w:sz w:val="26"/>
          <w:szCs w:val="26"/>
          <w:lang w:val="lv-LV" w:eastAsia="lv-LV"/>
        </w:rPr>
        <w:t xml:space="preserve">atbalstīt </w:t>
      </w:r>
      <w:r w:rsidR="004A521A" w:rsidRPr="00C6329D">
        <w:rPr>
          <w:rFonts w:eastAsia="Calibri"/>
          <w:b/>
          <w:sz w:val="26"/>
          <w:szCs w:val="26"/>
          <w:lang w:val="lv-LV" w:eastAsia="lv-LV"/>
        </w:rPr>
        <w:t>Ekonomikas</w:t>
      </w:r>
      <w:r w:rsidR="00CD15C1" w:rsidRPr="00C6329D">
        <w:rPr>
          <w:rFonts w:eastAsia="Calibri"/>
          <w:b/>
          <w:sz w:val="26"/>
          <w:szCs w:val="26"/>
          <w:lang w:val="lv-LV" w:eastAsia="lv-LV"/>
        </w:rPr>
        <w:t xml:space="preserve"> ministrijas priekšlikumu veikt grozījumus </w:t>
      </w:r>
      <w:r w:rsidR="004A521A" w:rsidRPr="00C6329D">
        <w:rPr>
          <w:rFonts w:eastAsia="Calibri"/>
          <w:b/>
          <w:sz w:val="26"/>
          <w:szCs w:val="26"/>
          <w:lang w:val="lv-LV" w:eastAsia="lv-LV"/>
        </w:rPr>
        <w:t xml:space="preserve">Valsts </w:t>
      </w:r>
      <w:proofErr w:type="spellStart"/>
      <w:r w:rsidR="004A521A" w:rsidRPr="00C6329D">
        <w:rPr>
          <w:rFonts w:eastAsia="Calibri"/>
          <w:b/>
          <w:sz w:val="26"/>
          <w:szCs w:val="26"/>
          <w:lang w:val="lv-LV" w:eastAsia="lv-LV"/>
        </w:rPr>
        <w:t>fondēto</w:t>
      </w:r>
      <w:proofErr w:type="spellEnd"/>
      <w:r w:rsidR="004A521A" w:rsidRPr="00C6329D">
        <w:rPr>
          <w:rFonts w:eastAsia="Calibri"/>
          <w:b/>
          <w:sz w:val="26"/>
          <w:szCs w:val="26"/>
          <w:lang w:val="lv-LV" w:eastAsia="lv-LV"/>
        </w:rPr>
        <w:t xml:space="preserve"> pensiju likumā</w:t>
      </w:r>
      <w:r w:rsidR="00CD15C1" w:rsidRPr="00C6329D">
        <w:rPr>
          <w:rFonts w:eastAsia="Calibri"/>
          <w:b/>
          <w:sz w:val="26"/>
          <w:szCs w:val="26"/>
          <w:lang w:val="lv-LV" w:eastAsia="lv-LV"/>
        </w:rPr>
        <w:t>, nosakot termiņu likumprojekta iesniegšanai Ministru kabinetā līdz 201</w:t>
      </w:r>
      <w:r w:rsidR="00A10C0A">
        <w:rPr>
          <w:rFonts w:eastAsia="Calibri"/>
          <w:b/>
          <w:sz w:val="26"/>
          <w:szCs w:val="26"/>
          <w:lang w:val="lv-LV" w:eastAsia="lv-LV"/>
        </w:rPr>
        <w:t>9</w:t>
      </w:r>
      <w:r w:rsidR="00CD15C1" w:rsidRPr="00C6329D">
        <w:rPr>
          <w:rFonts w:eastAsia="Calibri"/>
          <w:b/>
          <w:sz w:val="26"/>
          <w:szCs w:val="26"/>
          <w:lang w:val="lv-LV" w:eastAsia="lv-LV"/>
        </w:rPr>
        <w:t>.gada 1.</w:t>
      </w:r>
      <w:r w:rsidR="00A10C0A">
        <w:rPr>
          <w:rFonts w:eastAsia="Calibri"/>
          <w:b/>
          <w:sz w:val="26"/>
          <w:szCs w:val="26"/>
          <w:lang w:val="lv-LV" w:eastAsia="lv-LV"/>
        </w:rPr>
        <w:t>jūnijam</w:t>
      </w:r>
      <w:r w:rsidR="00CD15C1" w:rsidRPr="00C6329D">
        <w:rPr>
          <w:rFonts w:eastAsia="Calibri"/>
          <w:sz w:val="26"/>
          <w:szCs w:val="26"/>
          <w:lang w:val="lv-LV" w:eastAsia="lv-LV"/>
        </w:rPr>
        <w:t>.</w:t>
      </w:r>
    </w:p>
    <w:p w:rsidR="00502B17" w:rsidRPr="00C6329D" w:rsidRDefault="00502B17" w:rsidP="00502B17">
      <w:pPr>
        <w:spacing w:line="276" w:lineRule="auto"/>
        <w:jc w:val="both"/>
        <w:rPr>
          <w:rFonts w:eastAsia="Calibri"/>
          <w:sz w:val="26"/>
          <w:szCs w:val="26"/>
          <w:lang w:val="lv-LV" w:eastAsia="lv-LV"/>
        </w:rPr>
      </w:pPr>
    </w:p>
    <w:p w:rsidR="00502B17" w:rsidRPr="00C6329D" w:rsidRDefault="00F43B2D" w:rsidP="00502B17">
      <w:pPr>
        <w:spacing w:line="276" w:lineRule="auto"/>
        <w:jc w:val="both"/>
        <w:rPr>
          <w:rFonts w:eastAsia="Calibri"/>
          <w:sz w:val="26"/>
          <w:szCs w:val="26"/>
          <w:lang w:val="lv-LV" w:eastAsia="lv-LV"/>
        </w:rPr>
      </w:pPr>
      <w:r w:rsidRPr="00C6329D">
        <w:rPr>
          <w:rFonts w:eastAsia="Calibri"/>
          <w:sz w:val="26"/>
          <w:szCs w:val="26"/>
          <w:lang w:val="lv-LV" w:eastAsia="lv-LV"/>
        </w:rPr>
        <w:t>Ministru prezidenta biedrs,</w:t>
      </w:r>
    </w:p>
    <w:p w:rsidR="00502B17" w:rsidRPr="00C6329D" w:rsidRDefault="00F43B2D" w:rsidP="00502B17">
      <w:pPr>
        <w:spacing w:line="276" w:lineRule="auto"/>
        <w:jc w:val="both"/>
        <w:rPr>
          <w:rFonts w:eastAsia="Calibri"/>
          <w:sz w:val="26"/>
          <w:szCs w:val="26"/>
          <w:highlight w:val="yellow"/>
          <w:lang w:val="lv-LV" w:eastAsia="lv-LV"/>
        </w:rPr>
      </w:pPr>
      <w:r w:rsidRPr="00C6329D">
        <w:rPr>
          <w:rFonts w:eastAsia="Calibri"/>
          <w:sz w:val="26"/>
          <w:szCs w:val="26"/>
          <w:lang w:val="lv-LV" w:eastAsia="lv-LV"/>
        </w:rPr>
        <w:t>ekonomikas ministrs</w:t>
      </w:r>
      <w:r w:rsidRPr="00C6329D">
        <w:rPr>
          <w:rFonts w:eastAsia="Calibri"/>
          <w:sz w:val="26"/>
          <w:szCs w:val="26"/>
          <w:lang w:val="lv-LV" w:eastAsia="lv-LV"/>
        </w:rPr>
        <w:tab/>
      </w:r>
      <w:r w:rsidRPr="00C6329D">
        <w:rPr>
          <w:rFonts w:eastAsia="Calibri"/>
          <w:sz w:val="26"/>
          <w:szCs w:val="26"/>
          <w:lang w:val="lv-LV" w:eastAsia="lv-LV"/>
        </w:rPr>
        <w:tab/>
      </w:r>
      <w:r w:rsidRPr="00C6329D">
        <w:rPr>
          <w:rFonts w:eastAsia="Calibri"/>
          <w:sz w:val="26"/>
          <w:szCs w:val="26"/>
          <w:lang w:val="lv-LV" w:eastAsia="lv-LV"/>
        </w:rPr>
        <w:tab/>
      </w:r>
      <w:r w:rsidRPr="00C6329D">
        <w:rPr>
          <w:rFonts w:eastAsia="Calibri"/>
          <w:sz w:val="26"/>
          <w:szCs w:val="26"/>
          <w:lang w:val="lv-LV" w:eastAsia="lv-LV"/>
        </w:rPr>
        <w:tab/>
      </w:r>
      <w:r w:rsidRPr="00C6329D">
        <w:rPr>
          <w:rFonts w:eastAsia="Calibri"/>
          <w:sz w:val="26"/>
          <w:szCs w:val="26"/>
          <w:lang w:val="lv-LV" w:eastAsia="lv-LV"/>
        </w:rPr>
        <w:tab/>
      </w:r>
      <w:r w:rsidRPr="00C6329D">
        <w:rPr>
          <w:rFonts w:eastAsia="Calibri"/>
          <w:sz w:val="26"/>
          <w:szCs w:val="26"/>
          <w:lang w:val="lv-LV" w:eastAsia="lv-LV"/>
        </w:rPr>
        <w:tab/>
      </w:r>
      <w:r w:rsidRPr="00C6329D">
        <w:rPr>
          <w:rFonts w:eastAsia="Calibri"/>
          <w:sz w:val="26"/>
          <w:szCs w:val="26"/>
          <w:lang w:val="lv-LV" w:eastAsia="lv-LV"/>
        </w:rPr>
        <w:tab/>
        <w:t xml:space="preserve">       </w:t>
      </w:r>
      <w:r w:rsidR="001C207A" w:rsidRPr="00C6329D">
        <w:rPr>
          <w:rFonts w:eastAsia="Calibri"/>
          <w:sz w:val="26"/>
          <w:szCs w:val="26"/>
          <w:lang w:val="lv-LV" w:eastAsia="lv-LV"/>
        </w:rPr>
        <w:t xml:space="preserve">            </w:t>
      </w:r>
      <w:proofErr w:type="spellStart"/>
      <w:r w:rsidRPr="00C6329D">
        <w:rPr>
          <w:rFonts w:eastAsia="Calibri"/>
          <w:sz w:val="26"/>
          <w:szCs w:val="26"/>
          <w:lang w:val="lv-LV" w:eastAsia="lv-LV"/>
        </w:rPr>
        <w:t>A.Ašeradens</w:t>
      </w:r>
      <w:proofErr w:type="spellEnd"/>
    </w:p>
    <w:p w:rsidR="00502B17" w:rsidRPr="00C6329D" w:rsidRDefault="00F43B2D" w:rsidP="00502B17">
      <w:pPr>
        <w:spacing w:line="276" w:lineRule="auto"/>
        <w:jc w:val="both"/>
        <w:rPr>
          <w:rFonts w:eastAsia="Calibri"/>
          <w:sz w:val="26"/>
          <w:szCs w:val="26"/>
          <w:lang w:val="lv-LV" w:eastAsia="lv-LV"/>
        </w:rPr>
      </w:pPr>
      <w:r w:rsidRPr="00C6329D">
        <w:rPr>
          <w:rFonts w:eastAsia="Calibri"/>
          <w:sz w:val="26"/>
          <w:szCs w:val="26"/>
          <w:lang w:val="lv-LV" w:eastAsia="lv-LV"/>
        </w:rPr>
        <w:t>Vīza:</w:t>
      </w:r>
    </w:p>
    <w:p w:rsidR="00502B17" w:rsidRPr="00C6329D" w:rsidRDefault="00F43B2D" w:rsidP="00502B17">
      <w:pPr>
        <w:spacing w:line="276" w:lineRule="auto"/>
        <w:jc w:val="both"/>
        <w:rPr>
          <w:rFonts w:eastAsia="Calibri"/>
          <w:sz w:val="26"/>
          <w:szCs w:val="26"/>
          <w:lang w:val="lv-LV" w:eastAsia="lv-LV"/>
        </w:rPr>
      </w:pPr>
      <w:r w:rsidRPr="00C6329D">
        <w:rPr>
          <w:rFonts w:eastAsia="Calibri"/>
          <w:sz w:val="26"/>
          <w:szCs w:val="26"/>
          <w:lang w:val="lv-LV" w:eastAsia="lv-LV"/>
        </w:rPr>
        <w:t>Valsts sekretārs</w:t>
      </w:r>
      <w:r w:rsidRPr="00C6329D">
        <w:rPr>
          <w:rFonts w:eastAsia="Calibri"/>
          <w:sz w:val="26"/>
          <w:szCs w:val="26"/>
          <w:lang w:val="lv-LV" w:eastAsia="lv-LV"/>
        </w:rPr>
        <w:tab/>
      </w:r>
      <w:r w:rsidRPr="00C6329D">
        <w:rPr>
          <w:rFonts w:eastAsia="Calibri"/>
          <w:sz w:val="26"/>
          <w:szCs w:val="26"/>
          <w:lang w:val="lv-LV" w:eastAsia="lv-LV"/>
        </w:rPr>
        <w:tab/>
      </w:r>
      <w:r w:rsidRPr="00C6329D">
        <w:rPr>
          <w:rFonts w:eastAsia="Calibri"/>
          <w:sz w:val="26"/>
          <w:szCs w:val="26"/>
          <w:lang w:val="lv-LV" w:eastAsia="lv-LV"/>
        </w:rPr>
        <w:tab/>
      </w:r>
      <w:r w:rsidRPr="00C6329D">
        <w:rPr>
          <w:rFonts w:eastAsia="Calibri"/>
          <w:sz w:val="26"/>
          <w:szCs w:val="26"/>
          <w:lang w:val="lv-LV" w:eastAsia="lv-LV"/>
        </w:rPr>
        <w:tab/>
      </w:r>
      <w:r w:rsidRPr="00C6329D">
        <w:rPr>
          <w:rFonts w:eastAsia="Calibri"/>
          <w:sz w:val="26"/>
          <w:szCs w:val="26"/>
          <w:lang w:val="lv-LV" w:eastAsia="lv-LV"/>
        </w:rPr>
        <w:tab/>
      </w:r>
      <w:r w:rsidRPr="00C6329D">
        <w:rPr>
          <w:rFonts w:eastAsia="Calibri"/>
          <w:sz w:val="26"/>
          <w:szCs w:val="26"/>
          <w:lang w:val="lv-LV" w:eastAsia="lv-LV"/>
        </w:rPr>
        <w:tab/>
        <w:t xml:space="preserve">    </w:t>
      </w:r>
      <w:r w:rsidR="001C207A" w:rsidRPr="00C6329D">
        <w:rPr>
          <w:rFonts w:eastAsia="Calibri"/>
          <w:sz w:val="26"/>
          <w:szCs w:val="26"/>
          <w:lang w:val="lv-LV" w:eastAsia="lv-LV"/>
        </w:rPr>
        <w:t xml:space="preserve">           </w:t>
      </w:r>
      <w:r w:rsidR="004A4683" w:rsidRPr="00C6329D">
        <w:rPr>
          <w:rFonts w:eastAsia="Calibri"/>
          <w:sz w:val="26"/>
          <w:szCs w:val="26"/>
          <w:lang w:val="lv-LV" w:eastAsia="lv-LV"/>
        </w:rPr>
        <w:tab/>
      </w:r>
      <w:r w:rsidR="004A4683" w:rsidRPr="00C6329D">
        <w:rPr>
          <w:rFonts w:eastAsia="Calibri"/>
          <w:sz w:val="26"/>
          <w:szCs w:val="26"/>
          <w:lang w:val="lv-LV" w:eastAsia="lv-LV"/>
        </w:rPr>
        <w:tab/>
      </w:r>
      <w:r w:rsidR="001C207A" w:rsidRPr="00C6329D">
        <w:rPr>
          <w:rFonts w:eastAsia="Calibri"/>
          <w:sz w:val="26"/>
          <w:szCs w:val="26"/>
          <w:lang w:val="lv-LV" w:eastAsia="lv-LV"/>
        </w:rPr>
        <w:t xml:space="preserve"> </w:t>
      </w:r>
      <w:proofErr w:type="spellStart"/>
      <w:r w:rsidR="004A4683" w:rsidRPr="00C6329D">
        <w:rPr>
          <w:rFonts w:eastAsia="Calibri"/>
          <w:sz w:val="26"/>
          <w:szCs w:val="26"/>
          <w:lang w:val="lv-LV" w:eastAsia="lv-LV"/>
        </w:rPr>
        <w:t>Ē.Eglītis</w:t>
      </w:r>
      <w:proofErr w:type="spellEnd"/>
    </w:p>
    <w:p w:rsidR="0029654C" w:rsidRDefault="0029654C" w:rsidP="00502B17">
      <w:pPr>
        <w:jc w:val="both"/>
        <w:rPr>
          <w:rFonts w:eastAsia="Calibri"/>
          <w:sz w:val="16"/>
          <w:szCs w:val="16"/>
          <w:lang w:val="lv-LV" w:eastAsia="lv-LV"/>
        </w:rPr>
      </w:pPr>
    </w:p>
    <w:p w:rsidR="00502B17" w:rsidRPr="0029654C" w:rsidRDefault="00F43B2D" w:rsidP="00502B17">
      <w:pPr>
        <w:jc w:val="both"/>
        <w:rPr>
          <w:rFonts w:eastAsia="Calibri"/>
          <w:sz w:val="16"/>
          <w:szCs w:val="16"/>
          <w:lang w:val="lv-LV" w:eastAsia="lv-LV"/>
        </w:rPr>
      </w:pPr>
      <w:proofErr w:type="spellStart"/>
      <w:r>
        <w:rPr>
          <w:rFonts w:eastAsia="Calibri"/>
          <w:sz w:val="16"/>
          <w:szCs w:val="16"/>
          <w:lang w:val="lv-LV" w:eastAsia="lv-LV"/>
        </w:rPr>
        <w:t>M</w:t>
      </w:r>
      <w:r w:rsidR="001D7786" w:rsidRPr="0029654C">
        <w:rPr>
          <w:rFonts w:eastAsia="Calibri"/>
          <w:sz w:val="16"/>
          <w:szCs w:val="16"/>
          <w:lang w:val="lv-LV" w:eastAsia="lv-LV"/>
        </w:rPr>
        <w:t>.Ambrēna</w:t>
      </w:r>
      <w:proofErr w:type="spellEnd"/>
      <w:r w:rsidR="004A521A" w:rsidRPr="0029654C">
        <w:rPr>
          <w:rFonts w:eastAsia="Calibri"/>
          <w:sz w:val="16"/>
          <w:szCs w:val="16"/>
          <w:lang w:val="lv-LV" w:eastAsia="lv-LV"/>
        </w:rPr>
        <w:t xml:space="preserve">, </w:t>
      </w:r>
      <w:r w:rsidR="001D7786" w:rsidRPr="0029654C">
        <w:rPr>
          <w:rFonts w:eastAsia="Calibri"/>
          <w:sz w:val="16"/>
          <w:szCs w:val="16"/>
          <w:lang w:val="lv-LV" w:eastAsia="lv-LV"/>
        </w:rPr>
        <w:t>67013061</w:t>
      </w:r>
    </w:p>
    <w:p w:rsidR="000506FE" w:rsidRPr="0029654C" w:rsidRDefault="00F43B2D" w:rsidP="00D631EA">
      <w:pPr>
        <w:jc w:val="both"/>
        <w:rPr>
          <w:sz w:val="16"/>
          <w:szCs w:val="16"/>
          <w:lang w:val="lv-LV"/>
        </w:rPr>
      </w:pPr>
      <w:r w:rsidRPr="0029654C">
        <w:rPr>
          <w:rFonts w:eastAsia="Calibri"/>
          <w:sz w:val="16"/>
          <w:szCs w:val="16"/>
          <w:lang w:val="lv-LV" w:eastAsia="lv-LV"/>
        </w:rPr>
        <w:t xml:space="preserve">e-pasts: </w:t>
      </w:r>
      <w:hyperlink r:id="rId15" w:history="1">
        <w:r w:rsidR="001D7786" w:rsidRPr="0029654C">
          <w:rPr>
            <w:rStyle w:val="Hyperlink"/>
            <w:rFonts w:eastAsia="Calibri"/>
            <w:sz w:val="16"/>
            <w:szCs w:val="16"/>
            <w:lang w:val="lv-LV" w:eastAsia="lv-LV"/>
          </w:rPr>
          <w:t>madara.ambrena@em.gov.lv</w:t>
        </w:r>
      </w:hyperlink>
    </w:p>
    <w:sectPr w:rsidR="000506FE" w:rsidRPr="0029654C" w:rsidSect="00172E8B">
      <w:headerReference w:type="default" r:id="rId16"/>
      <w:footerReference w:type="default" r:id="rId17"/>
      <w:footerReference w:type="first" r:id="rId1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BA" w:rsidRDefault="00F43B2D">
      <w:r>
        <w:separator/>
      </w:r>
    </w:p>
  </w:endnote>
  <w:endnote w:type="continuationSeparator" w:id="0">
    <w:p w:rsidR="00184BBA" w:rsidRDefault="00F4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TrebuchetMS">
    <w:altName w:val="Arial"/>
    <w:panose1 w:val="00000000000000000000"/>
    <w:charset w:val="00"/>
    <w:family w:val="swiss"/>
    <w:notTrueType/>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17" w:rsidRPr="00D07D12" w:rsidRDefault="00D07D12" w:rsidP="00D07D12">
    <w:pPr>
      <w:pStyle w:val="Footer"/>
    </w:pPr>
    <w:fldSimple w:instr=" FILENAME   \* MERGEFORMAT ">
      <w:r>
        <w:rPr>
          <w:noProof/>
        </w:rPr>
        <w:t>EMZINO_VFPL_231118.docx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17" w:rsidRPr="003E424A" w:rsidRDefault="00D07D12" w:rsidP="003E424A">
    <w:pPr>
      <w:pStyle w:val="Footer"/>
    </w:pPr>
    <w:fldSimple w:instr=" FILENAME   \* MERGEFORMAT ">
      <w:r>
        <w:rPr>
          <w:noProof/>
        </w:rPr>
        <w:t>EMZINO_VFPL_231118.docx</w:t>
      </w:r>
    </w:fldSimple>
    <w:r w:rsidR="0029654C">
      <w:fldChar w:fldCharType="begin"/>
    </w:r>
    <w:r w:rsidR="00F43B2D">
      <w:instrText xml:space="preserve"> FILENAME   \* MERGEFORMAT </w:instrText>
    </w:r>
    <w:r w:rsidR="0029654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BF1" w:rsidRDefault="00F43B2D" w:rsidP="00502B17">
      <w:r>
        <w:separator/>
      </w:r>
    </w:p>
  </w:footnote>
  <w:footnote w:type="continuationSeparator" w:id="0">
    <w:p w:rsidR="00520BF1" w:rsidRDefault="00F43B2D" w:rsidP="00502B17">
      <w:r>
        <w:continuationSeparator/>
      </w:r>
    </w:p>
  </w:footnote>
  <w:footnote w:id="1">
    <w:p w:rsidR="003E424A" w:rsidRPr="003E424A" w:rsidRDefault="00F43B2D" w:rsidP="003E424A">
      <w:pPr>
        <w:pStyle w:val="FootnoteText"/>
        <w:jc w:val="both"/>
        <w:rPr>
          <w:sz w:val="18"/>
        </w:rPr>
      </w:pPr>
      <w:r w:rsidRPr="003E424A">
        <w:rPr>
          <w:rStyle w:val="FootnoteReference"/>
          <w:sz w:val="18"/>
        </w:rPr>
        <w:footnoteRef/>
      </w:r>
      <w:r w:rsidRPr="003E424A">
        <w:rPr>
          <w:sz w:val="18"/>
        </w:rPr>
        <w:t xml:space="preserve"> </w:t>
      </w:r>
      <w:proofErr w:type="spellStart"/>
      <w:r w:rsidRPr="003E424A">
        <w:rPr>
          <w:sz w:val="18"/>
        </w:rPr>
        <w:t>Valsts</w:t>
      </w:r>
      <w:proofErr w:type="spellEnd"/>
      <w:r w:rsidRPr="003E424A">
        <w:rPr>
          <w:sz w:val="18"/>
        </w:rPr>
        <w:t xml:space="preserve"> </w:t>
      </w:r>
      <w:proofErr w:type="spellStart"/>
      <w:r w:rsidRPr="003E424A">
        <w:rPr>
          <w:sz w:val="18"/>
        </w:rPr>
        <w:t>atbalsta</w:t>
      </w:r>
      <w:proofErr w:type="spellEnd"/>
      <w:r w:rsidRPr="003E424A">
        <w:rPr>
          <w:sz w:val="18"/>
        </w:rPr>
        <w:t xml:space="preserve"> </w:t>
      </w:r>
      <w:proofErr w:type="spellStart"/>
      <w:r w:rsidRPr="003E424A">
        <w:rPr>
          <w:sz w:val="18"/>
        </w:rPr>
        <w:t>noteikumus</w:t>
      </w:r>
      <w:proofErr w:type="spellEnd"/>
      <w:r w:rsidRPr="003E424A">
        <w:rPr>
          <w:sz w:val="18"/>
        </w:rPr>
        <w:t xml:space="preserve"> </w:t>
      </w:r>
      <w:proofErr w:type="spellStart"/>
      <w:r w:rsidRPr="003E424A">
        <w:rPr>
          <w:sz w:val="18"/>
        </w:rPr>
        <w:t>nosaka</w:t>
      </w:r>
      <w:proofErr w:type="spellEnd"/>
      <w:r w:rsidRPr="003E424A">
        <w:rPr>
          <w:sz w:val="18"/>
        </w:rPr>
        <w:t xml:space="preserve"> </w:t>
      </w:r>
      <w:proofErr w:type="spellStart"/>
      <w:r w:rsidRPr="003E424A">
        <w:rPr>
          <w:sz w:val="18"/>
        </w:rPr>
        <w:t>Ministru</w:t>
      </w:r>
      <w:proofErr w:type="spellEnd"/>
      <w:r w:rsidRPr="003E424A">
        <w:rPr>
          <w:sz w:val="18"/>
        </w:rPr>
        <w:t xml:space="preserve"> </w:t>
      </w:r>
      <w:proofErr w:type="spellStart"/>
      <w:r w:rsidRPr="003E424A">
        <w:rPr>
          <w:sz w:val="18"/>
        </w:rPr>
        <w:t>kabineta</w:t>
      </w:r>
      <w:proofErr w:type="spellEnd"/>
      <w:r w:rsidRPr="003E424A">
        <w:rPr>
          <w:sz w:val="18"/>
        </w:rPr>
        <w:t xml:space="preserve"> 2016.gada </w:t>
      </w:r>
      <w:proofErr w:type="gramStart"/>
      <w:r w:rsidRPr="003E424A">
        <w:rPr>
          <w:sz w:val="18"/>
        </w:rPr>
        <w:t>12.aprīļa</w:t>
      </w:r>
      <w:proofErr w:type="gramEnd"/>
      <w:r w:rsidRPr="003E424A">
        <w:rPr>
          <w:sz w:val="18"/>
        </w:rPr>
        <w:t xml:space="preserve"> </w:t>
      </w:r>
      <w:proofErr w:type="spellStart"/>
      <w:r w:rsidRPr="003E424A">
        <w:rPr>
          <w:sz w:val="18"/>
        </w:rPr>
        <w:t>noteikumi</w:t>
      </w:r>
      <w:proofErr w:type="spellEnd"/>
      <w:r w:rsidRPr="003E424A">
        <w:rPr>
          <w:sz w:val="18"/>
        </w:rPr>
        <w:t xml:space="preserve"> Nr.226 “</w:t>
      </w:r>
      <w:proofErr w:type="spellStart"/>
      <w:r w:rsidRPr="003E424A">
        <w:rPr>
          <w:sz w:val="18"/>
        </w:rPr>
        <w:t>Noteikumi</w:t>
      </w:r>
      <w:proofErr w:type="spellEnd"/>
      <w:r w:rsidRPr="003E424A">
        <w:rPr>
          <w:sz w:val="18"/>
        </w:rPr>
        <w:t xml:space="preserve"> par </w:t>
      </w:r>
      <w:proofErr w:type="spellStart"/>
      <w:r w:rsidRPr="003E424A">
        <w:rPr>
          <w:sz w:val="18"/>
        </w:rPr>
        <w:t>akcelerācijas</w:t>
      </w:r>
      <w:proofErr w:type="spellEnd"/>
      <w:r w:rsidRPr="003E424A">
        <w:rPr>
          <w:sz w:val="18"/>
        </w:rPr>
        <w:t xml:space="preserve"> </w:t>
      </w:r>
      <w:proofErr w:type="spellStart"/>
      <w:r w:rsidRPr="003E424A">
        <w:rPr>
          <w:sz w:val="18"/>
        </w:rPr>
        <w:t>fondiem</w:t>
      </w:r>
      <w:proofErr w:type="spellEnd"/>
      <w:r w:rsidRPr="003E424A">
        <w:rPr>
          <w:sz w:val="18"/>
        </w:rPr>
        <w:t xml:space="preserve"> </w:t>
      </w:r>
      <w:proofErr w:type="spellStart"/>
      <w:r w:rsidRPr="003E424A">
        <w:rPr>
          <w:sz w:val="18"/>
        </w:rPr>
        <w:t>saimnieciskās</w:t>
      </w:r>
      <w:proofErr w:type="spellEnd"/>
      <w:r w:rsidRPr="003E424A">
        <w:rPr>
          <w:sz w:val="18"/>
        </w:rPr>
        <w:t xml:space="preserve"> </w:t>
      </w:r>
      <w:proofErr w:type="spellStart"/>
      <w:r w:rsidRPr="003E424A">
        <w:rPr>
          <w:sz w:val="18"/>
        </w:rPr>
        <w:t>darbības</w:t>
      </w:r>
      <w:proofErr w:type="spellEnd"/>
      <w:r w:rsidRPr="003E424A">
        <w:rPr>
          <w:sz w:val="18"/>
        </w:rPr>
        <w:t xml:space="preserve"> </w:t>
      </w:r>
      <w:proofErr w:type="spellStart"/>
      <w:r w:rsidRPr="003E424A">
        <w:rPr>
          <w:sz w:val="18"/>
        </w:rPr>
        <w:t>veicēju</w:t>
      </w:r>
      <w:proofErr w:type="spellEnd"/>
      <w:r w:rsidRPr="003E424A">
        <w:rPr>
          <w:sz w:val="18"/>
        </w:rPr>
        <w:t xml:space="preserve"> </w:t>
      </w:r>
      <w:proofErr w:type="spellStart"/>
      <w:r w:rsidRPr="003E424A">
        <w:rPr>
          <w:sz w:val="18"/>
        </w:rPr>
        <w:t>izveides</w:t>
      </w:r>
      <w:proofErr w:type="spellEnd"/>
      <w:r w:rsidRPr="003E424A">
        <w:rPr>
          <w:sz w:val="18"/>
        </w:rPr>
        <w:t xml:space="preserve">, </w:t>
      </w:r>
      <w:proofErr w:type="spellStart"/>
      <w:r w:rsidRPr="003E424A">
        <w:rPr>
          <w:sz w:val="18"/>
        </w:rPr>
        <w:t>attīstības</w:t>
      </w:r>
      <w:proofErr w:type="spellEnd"/>
      <w:r w:rsidRPr="003E424A">
        <w:rPr>
          <w:sz w:val="18"/>
        </w:rPr>
        <w:t xml:space="preserve"> un konkurētspējas </w:t>
      </w:r>
      <w:proofErr w:type="spellStart"/>
      <w:r w:rsidRPr="003E424A">
        <w:rPr>
          <w:sz w:val="18"/>
        </w:rPr>
        <w:t>veicināšanai</w:t>
      </w:r>
      <w:proofErr w:type="spellEnd"/>
      <w:r w:rsidRPr="003E424A">
        <w:rPr>
          <w:sz w:val="18"/>
        </w:rPr>
        <w:t>”</w:t>
      </w:r>
    </w:p>
  </w:footnote>
  <w:footnote w:id="2">
    <w:p w:rsidR="003E424A" w:rsidRPr="003E424A" w:rsidRDefault="00F43B2D" w:rsidP="003E424A">
      <w:pPr>
        <w:pStyle w:val="FootnoteText"/>
        <w:jc w:val="both"/>
        <w:rPr>
          <w:sz w:val="18"/>
        </w:rPr>
      </w:pPr>
      <w:r w:rsidRPr="003E424A">
        <w:rPr>
          <w:rStyle w:val="FootnoteReference"/>
          <w:sz w:val="18"/>
        </w:rPr>
        <w:footnoteRef/>
      </w:r>
      <w:r w:rsidRPr="003E424A">
        <w:rPr>
          <w:sz w:val="18"/>
        </w:rPr>
        <w:t xml:space="preserve"> </w:t>
      </w:r>
      <w:proofErr w:type="spellStart"/>
      <w:r w:rsidRPr="003E424A">
        <w:rPr>
          <w:sz w:val="18"/>
        </w:rPr>
        <w:t>Valsts</w:t>
      </w:r>
      <w:proofErr w:type="spellEnd"/>
      <w:r w:rsidRPr="003E424A">
        <w:rPr>
          <w:sz w:val="18"/>
        </w:rPr>
        <w:t xml:space="preserve"> </w:t>
      </w:r>
      <w:proofErr w:type="spellStart"/>
      <w:r w:rsidRPr="003E424A">
        <w:rPr>
          <w:sz w:val="18"/>
        </w:rPr>
        <w:t>atbalsta</w:t>
      </w:r>
      <w:proofErr w:type="spellEnd"/>
      <w:r w:rsidRPr="003E424A">
        <w:rPr>
          <w:sz w:val="18"/>
        </w:rPr>
        <w:t xml:space="preserve"> </w:t>
      </w:r>
      <w:proofErr w:type="spellStart"/>
      <w:r w:rsidRPr="003E424A">
        <w:rPr>
          <w:sz w:val="18"/>
        </w:rPr>
        <w:t>noteikumus</w:t>
      </w:r>
      <w:proofErr w:type="spellEnd"/>
      <w:r w:rsidRPr="003E424A">
        <w:rPr>
          <w:sz w:val="18"/>
        </w:rPr>
        <w:t xml:space="preserve"> </w:t>
      </w:r>
      <w:proofErr w:type="spellStart"/>
      <w:r w:rsidRPr="003E424A">
        <w:rPr>
          <w:sz w:val="18"/>
        </w:rPr>
        <w:t>nosaka</w:t>
      </w:r>
      <w:proofErr w:type="spellEnd"/>
      <w:r w:rsidRPr="003E424A">
        <w:rPr>
          <w:sz w:val="18"/>
        </w:rPr>
        <w:t xml:space="preserve"> </w:t>
      </w:r>
      <w:proofErr w:type="spellStart"/>
      <w:r w:rsidRPr="003E424A">
        <w:rPr>
          <w:sz w:val="18"/>
        </w:rPr>
        <w:t>Ministru</w:t>
      </w:r>
      <w:proofErr w:type="spellEnd"/>
      <w:r w:rsidRPr="003E424A">
        <w:rPr>
          <w:sz w:val="18"/>
        </w:rPr>
        <w:t xml:space="preserve"> </w:t>
      </w:r>
      <w:proofErr w:type="spellStart"/>
      <w:r w:rsidRPr="003E424A">
        <w:rPr>
          <w:sz w:val="18"/>
        </w:rPr>
        <w:t>kabineta</w:t>
      </w:r>
      <w:proofErr w:type="spellEnd"/>
      <w:r w:rsidRPr="003E424A">
        <w:rPr>
          <w:sz w:val="18"/>
        </w:rPr>
        <w:t xml:space="preserve"> 2016.gada </w:t>
      </w:r>
      <w:proofErr w:type="gramStart"/>
      <w:r w:rsidRPr="003E424A">
        <w:rPr>
          <w:sz w:val="18"/>
        </w:rPr>
        <w:t>2.augusta</w:t>
      </w:r>
      <w:proofErr w:type="gramEnd"/>
      <w:r w:rsidRPr="003E424A">
        <w:rPr>
          <w:sz w:val="18"/>
        </w:rPr>
        <w:t xml:space="preserve"> </w:t>
      </w:r>
      <w:proofErr w:type="spellStart"/>
      <w:r w:rsidRPr="003E424A">
        <w:rPr>
          <w:sz w:val="18"/>
        </w:rPr>
        <w:t>noteikumi</w:t>
      </w:r>
      <w:proofErr w:type="spellEnd"/>
      <w:r w:rsidRPr="003E424A">
        <w:rPr>
          <w:sz w:val="18"/>
        </w:rPr>
        <w:t xml:space="preserve"> Nr.518 “</w:t>
      </w:r>
      <w:proofErr w:type="spellStart"/>
      <w:r w:rsidRPr="003E424A">
        <w:rPr>
          <w:sz w:val="18"/>
        </w:rPr>
        <w:t>Noteikumi</w:t>
      </w:r>
      <w:proofErr w:type="spellEnd"/>
      <w:r w:rsidRPr="003E424A">
        <w:rPr>
          <w:sz w:val="18"/>
        </w:rPr>
        <w:t xml:space="preserve"> par </w:t>
      </w:r>
      <w:proofErr w:type="spellStart"/>
      <w:r w:rsidRPr="003E424A">
        <w:rPr>
          <w:sz w:val="18"/>
        </w:rPr>
        <w:t>sēklas</w:t>
      </w:r>
      <w:proofErr w:type="spellEnd"/>
      <w:r w:rsidRPr="003E424A">
        <w:rPr>
          <w:sz w:val="18"/>
        </w:rPr>
        <w:t xml:space="preserve"> </w:t>
      </w:r>
      <w:proofErr w:type="spellStart"/>
      <w:r w:rsidRPr="003E424A">
        <w:rPr>
          <w:sz w:val="18"/>
        </w:rPr>
        <w:t>kapitāla</w:t>
      </w:r>
      <w:proofErr w:type="spellEnd"/>
      <w:r w:rsidRPr="003E424A">
        <w:rPr>
          <w:sz w:val="18"/>
        </w:rPr>
        <w:t xml:space="preserve">, </w:t>
      </w:r>
      <w:proofErr w:type="spellStart"/>
      <w:r w:rsidRPr="003E424A">
        <w:rPr>
          <w:sz w:val="18"/>
        </w:rPr>
        <w:t>sākuma</w:t>
      </w:r>
      <w:proofErr w:type="spellEnd"/>
      <w:r w:rsidRPr="003E424A">
        <w:rPr>
          <w:sz w:val="18"/>
        </w:rPr>
        <w:t xml:space="preserve"> </w:t>
      </w:r>
      <w:proofErr w:type="spellStart"/>
      <w:r w:rsidRPr="003E424A">
        <w:rPr>
          <w:sz w:val="18"/>
        </w:rPr>
        <w:t>kapitāla</w:t>
      </w:r>
      <w:proofErr w:type="spellEnd"/>
      <w:r w:rsidRPr="003E424A">
        <w:rPr>
          <w:sz w:val="18"/>
        </w:rPr>
        <w:t xml:space="preserve"> un </w:t>
      </w:r>
      <w:proofErr w:type="spellStart"/>
      <w:r w:rsidRPr="003E424A">
        <w:rPr>
          <w:sz w:val="18"/>
        </w:rPr>
        <w:t>izaugsmes</w:t>
      </w:r>
      <w:proofErr w:type="spellEnd"/>
      <w:r w:rsidRPr="003E424A">
        <w:rPr>
          <w:sz w:val="18"/>
        </w:rPr>
        <w:t xml:space="preserve"> </w:t>
      </w:r>
      <w:proofErr w:type="spellStart"/>
      <w:r w:rsidRPr="003E424A">
        <w:rPr>
          <w:sz w:val="18"/>
        </w:rPr>
        <w:t>kapitāla</w:t>
      </w:r>
      <w:proofErr w:type="spellEnd"/>
      <w:r w:rsidRPr="003E424A">
        <w:rPr>
          <w:sz w:val="18"/>
        </w:rPr>
        <w:t xml:space="preserve"> </w:t>
      </w:r>
      <w:proofErr w:type="spellStart"/>
      <w:r w:rsidRPr="003E424A">
        <w:rPr>
          <w:sz w:val="18"/>
        </w:rPr>
        <w:t>fondiem</w:t>
      </w:r>
      <w:proofErr w:type="spellEnd"/>
      <w:r w:rsidRPr="003E424A">
        <w:rPr>
          <w:sz w:val="18"/>
        </w:rPr>
        <w:t xml:space="preserve"> </w:t>
      </w:r>
      <w:proofErr w:type="spellStart"/>
      <w:r w:rsidRPr="003E424A">
        <w:rPr>
          <w:sz w:val="18"/>
        </w:rPr>
        <w:t>saimnieciskās</w:t>
      </w:r>
      <w:proofErr w:type="spellEnd"/>
      <w:r w:rsidRPr="003E424A">
        <w:rPr>
          <w:sz w:val="18"/>
        </w:rPr>
        <w:t xml:space="preserve"> </w:t>
      </w:r>
      <w:proofErr w:type="spellStart"/>
      <w:r w:rsidRPr="003E424A">
        <w:rPr>
          <w:sz w:val="18"/>
        </w:rPr>
        <w:t>darbības</w:t>
      </w:r>
      <w:proofErr w:type="spellEnd"/>
      <w:r w:rsidRPr="003E424A">
        <w:rPr>
          <w:sz w:val="18"/>
        </w:rPr>
        <w:t xml:space="preserve"> </w:t>
      </w:r>
      <w:proofErr w:type="spellStart"/>
      <w:r w:rsidRPr="003E424A">
        <w:rPr>
          <w:sz w:val="18"/>
        </w:rPr>
        <w:t>veicēju</w:t>
      </w:r>
      <w:proofErr w:type="spellEnd"/>
      <w:r w:rsidRPr="003E424A">
        <w:rPr>
          <w:sz w:val="18"/>
        </w:rPr>
        <w:t xml:space="preserve"> </w:t>
      </w:r>
      <w:proofErr w:type="spellStart"/>
      <w:r w:rsidRPr="003E424A">
        <w:rPr>
          <w:sz w:val="18"/>
        </w:rPr>
        <w:t>izveides</w:t>
      </w:r>
      <w:proofErr w:type="spellEnd"/>
      <w:r w:rsidRPr="003E424A">
        <w:rPr>
          <w:sz w:val="18"/>
        </w:rPr>
        <w:t xml:space="preserve">, </w:t>
      </w:r>
      <w:proofErr w:type="spellStart"/>
      <w:r w:rsidRPr="003E424A">
        <w:rPr>
          <w:sz w:val="18"/>
        </w:rPr>
        <w:t>attīstības</w:t>
      </w:r>
      <w:proofErr w:type="spellEnd"/>
      <w:r w:rsidRPr="003E424A">
        <w:rPr>
          <w:sz w:val="18"/>
        </w:rPr>
        <w:t xml:space="preserve"> un konkurētspējas </w:t>
      </w:r>
      <w:proofErr w:type="spellStart"/>
      <w:r w:rsidRPr="003E424A">
        <w:rPr>
          <w:sz w:val="18"/>
        </w:rPr>
        <w:t>veicināšanai</w:t>
      </w:r>
      <w:proofErr w:type="spellEnd"/>
      <w:r w:rsidRPr="003E424A">
        <w:rPr>
          <w:sz w:val="18"/>
        </w:rPr>
        <w:t>”</w:t>
      </w:r>
    </w:p>
  </w:footnote>
  <w:footnote w:id="3">
    <w:p w:rsidR="00246F2D" w:rsidRDefault="00F43B2D" w:rsidP="00381550">
      <w:pPr>
        <w:pStyle w:val="FootnoteText"/>
        <w:jc w:val="both"/>
      </w:pPr>
      <w:r w:rsidRPr="003E424A">
        <w:rPr>
          <w:rStyle w:val="FootnoteReference"/>
          <w:sz w:val="18"/>
        </w:rPr>
        <w:footnoteRef/>
      </w:r>
      <w:r w:rsidRPr="003E424A">
        <w:rPr>
          <w:sz w:val="18"/>
        </w:rPr>
        <w:t xml:space="preserve"> </w:t>
      </w:r>
      <w:r w:rsidR="0042081D" w:rsidRPr="003E424A">
        <w:rPr>
          <w:sz w:val="18"/>
        </w:rPr>
        <w:t>Invest Europe: Central and Eastern European Private Equity Statistics 2017.</w:t>
      </w:r>
      <w:r w:rsidRPr="003E424A">
        <w:rPr>
          <w:sz w:val="18"/>
        </w:rPr>
        <w:t xml:space="preserve"> </w:t>
      </w:r>
    </w:p>
  </w:footnote>
  <w:footnote w:id="4">
    <w:p w:rsidR="00C4748C" w:rsidRDefault="00F43B2D" w:rsidP="00C4748C">
      <w:pPr>
        <w:pStyle w:val="FootnoteText"/>
        <w:jc w:val="both"/>
      </w:pPr>
      <w:r>
        <w:rPr>
          <w:rStyle w:val="FootnoteReference"/>
        </w:rPr>
        <w:footnoteRef/>
      </w:r>
      <w:r>
        <w:t xml:space="preserve"> Invest Europe: Central and Eastern European Private Equity Statistics 2017. </w:t>
      </w:r>
    </w:p>
    <w:p w:rsidR="00C4748C" w:rsidRDefault="00C4748C" w:rsidP="00C4748C">
      <w:pPr>
        <w:pStyle w:val="FootnoteText"/>
        <w:jc w:val="both"/>
      </w:pPr>
    </w:p>
  </w:footnote>
  <w:footnote w:id="5">
    <w:p w:rsidR="00B26AB2" w:rsidRPr="00B26AB2" w:rsidRDefault="00F43B2D">
      <w:pPr>
        <w:pStyle w:val="FootnoteText"/>
      </w:pPr>
      <w:r>
        <w:rPr>
          <w:rStyle w:val="FootnoteReference"/>
        </w:rPr>
        <w:footnoteRef/>
      </w:r>
      <w:r>
        <w:t xml:space="preserve"> FKTK. “</w:t>
      </w:r>
      <w:proofErr w:type="spellStart"/>
      <w:r w:rsidRPr="00B26AB2">
        <w:t>Pārskats</w:t>
      </w:r>
      <w:proofErr w:type="spellEnd"/>
      <w:r w:rsidRPr="00B26AB2">
        <w:t xml:space="preserve"> par </w:t>
      </w:r>
      <w:proofErr w:type="spellStart"/>
      <w:r w:rsidRPr="00B26AB2">
        <w:t>finanšu</w:t>
      </w:r>
      <w:proofErr w:type="spellEnd"/>
      <w:r w:rsidRPr="00B26AB2">
        <w:t xml:space="preserve"> un </w:t>
      </w:r>
      <w:proofErr w:type="spellStart"/>
      <w:r w:rsidRPr="00B26AB2">
        <w:t>kapitāla</w:t>
      </w:r>
      <w:proofErr w:type="spellEnd"/>
      <w:r w:rsidRPr="00B26AB2">
        <w:t xml:space="preserve"> </w:t>
      </w:r>
      <w:proofErr w:type="spellStart"/>
      <w:r w:rsidRPr="00B26AB2">
        <w:t>tirgu</w:t>
      </w:r>
      <w:proofErr w:type="spellEnd"/>
      <w:r w:rsidRPr="00B26AB2">
        <w:t xml:space="preserve"> 2017. </w:t>
      </w:r>
      <w:proofErr w:type="spellStart"/>
      <w:r w:rsidRPr="00B26AB2">
        <w:t>gada</w:t>
      </w:r>
      <w:proofErr w:type="spellEnd"/>
      <w:r w:rsidRPr="00B26AB2">
        <w:t xml:space="preserve"> 2. </w:t>
      </w:r>
      <w:proofErr w:type="spellStart"/>
      <w:r w:rsidRPr="00B26AB2">
        <w:t>ceturksnī</w:t>
      </w:r>
      <w:proofErr w:type="spellEnd"/>
      <w:r>
        <w:t xml:space="preserve">” 6.lpp. </w:t>
      </w:r>
      <w:proofErr w:type="spellStart"/>
      <w:r>
        <w:t>Pieejams</w:t>
      </w:r>
      <w:proofErr w:type="spellEnd"/>
      <w:r>
        <w:t xml:space="preserve">: </w:t>
      </w:r>
      <w:hyperlink r:id="rId1" w:history="1">
        <w:r w:rsidRPr="009A4476">
          <w:rPr>
            <w:rStyle w:val="Hyperlink"/>
          </w:rPr>
          <w:t>http://www.fktk.lv/attachments/article/6556/Q2_2017_L_p%C4%81rskats.pdf</w:t>
        </w:r>
      </w:hyperlink>
      <w:r>
        <w:t xml:space="preserve"> </w:t>
      </w:r>
    </w:p>
  </w:footnote>
  <w:footnote w:id="6">
    <w:p w:rsidR="00156DE3" w:rsidRPr="005911E0" w:rsidRDefault="00F43B2D" w:rsidP="00156DE3">
      <w:pPr>
        <w:rPr>
          <w:sz w:val="20"/>
          <w:szCs w:val="20"/>
        </w:rPr>
      </w:pPr>
      <w:r w:rsidRPr="005911E0">
        <w:rPr>
          <w:rStyle w:val="FootnoteReference"/>
          <w:sz w:val="20"/>
          <w:szCs w:val="20"/>
        </w:rPr>
        <w:footnoteRef/>
      </w:r>
      <w:r w:rsidRPr="005911E0">
        <w:rPr>
          <w:sz w:val="20"/>
          <w:szCs w:val="20"/>
        </w:rPr>
        <w:t xml:space="preserve"> </w:t>
      </w:r>
      <w:r w:rsidRPr="005911E0">
        <w:rPr>
          <w:color w:val="222222"/>
          <w:sz w:val="20"/>
          <w:szCs w:val="20"/>
          <w:shd w:val="clear" w:color="auto" w:fill="FFFFFF"/>
        </w:rPr>
        <w:t xml:space="preserve">Harris, Robert S., Tim Jenkinson, and Steven N. Kaplan. "How do private equity investments perform compared to public </w:t>
      </w:r>
      <w:proofErr w:type="gramStart"/>
      <w:r w:rsidRPr="005911E0">
        <w:rPr>
          <w:color w:val="222222"/>
          <w:sz w:val="20"/>
          <w:szCs w:val="20"/>
          <w:shd w:val="clear" w:color="auto" w:fill="FFFFFF"/>
        </w:rPr>
        <w:t>equity?.</w:t>
      </w:r>
      <w:proofErr w:type="gramEnd"/>
      <w:r w:rsidRPr="005911E0">
        <w:rPr>
          <w:color w:val="222222"/>
          <w:sz w:val="20"/>
          <w:szCs w:val="20"/>
          <w:shd w:val="clear" w:color="auto" w:fill="FFFFFF"/>
        </w:rPr>
        <w:t>" (2015).</w:t>
      </w:r>
    </w:p>
  </w:footnote>
  <w:footnote w:id="7">
    <w:p w:rsidR="00C974C6" w:rsidRPr="00C6329D" w:rsidRDefault="00F43B2D" w:rsidP="00C6329D">
      <w:pPr>
        <w:pStyle w:val="FootnoteText"/>
        <w:jc w:val="both"/>
        <w:rPr>
          <w:color w:val="000000" w:themeColor="text1"/>
          <w:lang w:val="lv-LV"/>
        </w:rPr>
      </w:pPr>
      <w:r w:rsidRPr="00C6329D">
        <w:rPr>
          <w:rStyle w:val="FootnoteReference"/>
          <w:color w:val="000000" w:themeColor="text1"/>
          <w:lang w:val="lv-LV"/>
        </w:rPr>
        <w:footnoteRef/>
      </w:r>
      <w:r w:rsidRPr="00C6329D">
        <w:rPr>
          <w:color w:val="000000" w:themeColor="text1"/>
          <w:lang w:val="lv-LV"/>
        </w:rPr>
        <w:t xml:space="preserve"> </w:t>
      </w:r>
      <w:r w:rsidR="008752B1" w:rsidRPr="00C6329D">
        <w:rPr>
          <w:color w:val="000000" w:themeColor="text1"/>
          <w:lang w:val="lv-LV"/>
        </w:rPr>
        <w:t xml:space="preserve">2014 </w:t>
      </w:r>
      <w:proofErr w:type="spellStart"/>
      <w:r w:rsidR="008752B1" w:rsidRPr="00C6329D">
        <w:rPr>
          <w:color w:val="000000" w:themeColor="text1"/>
          <w:lang w:val="lv-LV"/>
        </w:rPr>
        <w:t>Greenwich</w:t>
      </w:r>
      <w:proofErr w:type="spellEnd"/>
      <w:r w:rsidR="008752B1" w:rsidRPr="00C6329D">
        <w:rPr>
          <w:color w:val="000000" w:themeColor="text1"/>
          <w:lang w:val="lv-LV"/>
        </w:rPr>
        <w:t xml:space="preserve"> </w:t>
      </w:r>
      <w:proofErr w:type="spellStart"/>
      <w:r w:rsidR="008752B1" w:rsidRPr="00C6329D">
        <w:rPr>
          <w:color w:val="000000" w:themeColor="text1"/>
          <w:lang w:val="lv-LV"/>
        </w:rPr>
        <w:t>Associates</w:t>
      </w:r>
      <w:proofErr w:type="spellEnd"/>
      <w:r w:rsidR="008752B1" w:rsidRPr="00C6329D">
        <w:rPr>
          <w:color w:val="000000" w:themeColor="text1"/>
          <w:lang w:val="lv-LV"/>
        </w:rPr>
        <w:t xml:space="preserve"> </w:t>
      </w:r>
      <w:proofErr w:type="spellStart"/>
      <w:r w:rsidR="008752B1" w:rsidRPr="00C6329D">
        <w:rPr>
          <w:color w:val="000000" w:themeColor="text1"/>
          <w:lang w:val="lv-LV"/>
        </w:rPr>
        <w:t>report</w:t>
      </w:r>
      <w:proofErr w:type="spellEnd"/>
      <w:r w:rsidR="008752B1" w:rsidRPr="00C6329D">
        <w:rPr>
          <w:color w:val="000000" w:themeColor="text1"/>
          <w:lang w:val="lv-LV"/>
        </w:rPr>
        <w:t xml:space="preserve"> </w:t>
      </w:r>
      <w:proofErr w:type="spellStart"/>
      <w:r w:rsidR="008752B1" w:rsidRPr="00C6329D">
        <w:rPr>
          <w:color w:val="000000" w:themeColor="text1"/>
          <w:lang w:val="lv-LV"/>
        </w:rPr>
        <w:t>on</w:t>
      </w:r>
      <w:proofErr w:type="spellEnd"/>
      <w:r w:rsidR="008752B1" w:rsidRPr="00C6329D">
        <w:rPr>
          <w:color w:val="000000" w:themeColor="text1"/>
          <w:lang w:val="lv-LV"/>
        </w:rPr>
        <w:t xml:space="preserve"> </w:t>
      </w:r>
      <w:proofErr w:type="spellStart"/>
      <w:r w:rsidR="008752B1" w:rsidRPr="00C6329D">
        <w:rPr>
          <w:color w:val="000000" w:themeColor="text1"/>
          <w:lang w:val="lv-LV"/>
        </w:rPr>
        <w:t>European</w:t>
      </w:r>
      <w:proofErr w:type="spellEnd"/>
      <w:r w:rsidR="008752B1" w:rsidRPr="00C6329D">
        <w:rPr>
          <w:color w:val="000000" w:themeColor="text1"/>
          <w:lang w:val="lv-LV"/>
        </w:rPr>
        <w:t xml:space="preserve"> </w:t>
      </w:r>
      <w:proofErr w:type="spellStart"/>
      <w:r w:rsidR="008752B1" w:rsidRPr="00C6329D">
        <w:rPr>
          <w:color w:val="000000" w:themeColor="text1"/>
          <w:lang w:val="lv-LV"/>
        </w:rPr>
        <w:t>pension</w:t>
      </w:r>
      <w:proofErr w:type="spellEnd"/>
      <w:r w:rsidR="008752B1" w:rsidRPr="00C6329D">
        <w:rPr>
          <w:color w:val="000000" w:themeColor="text1"/>
          <w:lang w:val="lv-LV"/>
        </w:rPr>
        <w:t xml:space="preserve"> </w:t>
      </w:r>
      <w:proofErr w:type="spellStart"/>
      <w:r w:rsidR="008752B1" w:rsidRPr="00C6329D">
        <w:rPr>
          <w:color w:val="000000" w:themeColor="text1"/>
          <w:lang w:val="lv-LV"/>
        </w:rPr>
        <w:t>fund</w:t>
      </w:r>
      <w:proofErr w:type="spellEnd"/>
      <w:r w:rsidR="008752B1" w:rsidRPr="00C6329D">
        <w:rPr>
          <w:color w:val="000000" w:themeColor="text1"/>
          <w:lang w:val="lv-LV"/>
        </w:rPr>
        <w:t xml:space="preserve"> </w:t>
      </w:r>
      <w:proofErr w:type="spellStart"/>
      <w:r w:rsidR="008752B1" w:rsidRPr="00C6329D">
        <w:rPr>
          <w:color w:val="000000" w:themeColor="text1"/>
          <w:lang w:val="lv-LV"/>
        </w:rPr>
        <w:t>investment</w:t>
      </w:r>
      <w:proofErr w:type="spellEnd"/>
      <w:r w:rsidR="008752B1" w:rsidRPr="00C6329D">
        <w:rPr>
          <w:color w:val="000000" w:themeColor="text1"/>
          <w:lang w:val="lv-LV"/>
        </w:rPr>
        <w:t xml:space="preserve"> </w:t>
      </w:r>
      <w:proofErr w:type="spellStart"/>
      <w:r w:rsidR="008752B1" w:rsidRPr="00C6329D">
        <w:rPr>
          <w:color w:val="000000" w:themeColor="text1"/>
          <w:lang w:val="lv-LV"/>
        </w:rPr>
        <w:t>programmes</w:t>
      </w:r>
      <w:proofErr w:type="spellEnd"/>
    </w:p>
  </w:footnote>
  <w:footnote w:id="8">
    <w:p w:rsidR="008B2B37" w:rsidRDefault="00F43B2D" w:rsidP="00C6329D">
      <w:pPr>
        <w:jc w:val="both"/>
      </w:pPr>
      <w:r w:rsidRPr="00C6329D">
        <w:rPr>
          <w:rStyle w:val="FootnoteReference"/>
          <w:color w:val="000000" w:themeColor="text1"/>
          <w:sz w:val="20"/>
          <w:szCs w:val="20"/>
          <w:lang w:val="lv-LV"/>
        </w:rPr>
        <w:footnoteRef/>
      </w:r>
      <w:r w:rsidRPr="00C6329D">
        <w:rPr>
          <w:color w:val="000000" w:themeColor="text1"/>
          <w:sz w:val="20"/>
          <w:szCs w:val="20"/>
          <w:lang w:val="lv-LV"/>
        </w:rPr>
        <w:t xml:space="preserve"> Piemēram</w:t>
      </w:r>
      <w:r w:rsidR="00C6329D" w:rsidRPr="00C6329D">
        <w:rPr>
          <w:color w:val="000000" w:themeColor="text1"/>
          <w:sz w:val="20"/>
          <w:szCs w:val="20"/>
          <w:lang w:val="lv-LV"/>
        </w:rPr>
        <w:t>,</w:t>
      </w:r>
      <w:r w:rsidRPr="00C6329D">
        <w:rPr>
          <w:color w:val="000000" w:themeColor="text1"/>
          <w:sz w:val="20"/>
          <w:szCs w:val="20"/>
          <w:lang w:val="lv-LV"/>
        </w:rPr>
        <w:t xml:space="preserve"> </w:t>
      </w:r>
      <w:r w:rsidR="00922BCE" w:rsidRPr="00C6329D">
        <w:rPr>
          <w:bCs/>
          <w:color w:val="000000" w:themeColor="text1"/>
          <w:sz w:val="20"/>
          <w:szCs w:val="20"/>
          <w:shd w:val="clear" w:color="auto" w:fill="FFFFFF"/>
          <w:lang w:val="lv-LV"/>
        </w:rPr>
        <w:t xml:space="preserve">MK </w:t>
      </w:r>
      <w:r w:rsidRPr="00C6329D">
        <w:rPr>
          <w:bCs/>
          <w:color w:val="000000" w:themeColor="text1"/>
          <w:sz w:val="20"/>
          <w:szCs w:val="20"/>
          <w:shd w:val="clear" w:color="auto" w:fill="FFFFFF"/>
          <w:lang w:val="lv-LV"/>
        </w:rPr>
        <w:t>2016.gada 02.augusta</w:t>
      </w:r>
      <w:r w:rsidRPr="00C6329D">
        <w:rPr>
          <w:color w:val="000000" w:themeColor="text1"/>
          <w:sz w:val="20"/>
          <w:szCs w:val="20"/>
          <w:lang w:val="lv-LV"/>
        </w:rPr>
        <w:t xml:space="preserve"> </w:t>
      </w:r>
      <w:r w:rsidRPr="00C6329D">
        <w:rPr>
          <w:bCs/>
          <w:color w:val="000000" w:themeColor="text1"/>
          <w:sz w:val="20"/>
          <w:szCs w:val="20"/>
          <w:shd w:val="clear" w:color="auto" w:fill="FFFFFF"/>
          <w:lang w:val="lv-LV"/>
        </w:rPr>
        <w:t>noteikum</w:t>
      </w:r>
      <w:r w:rsidR="00922BCE" w:rsidRPr="00C6329D">
        <w:rPr>
          <w:bCs/>
          <w:color w:val="000000" w:themeColor="text1"/>
          <w:sz w:val="20"/>
          <w:szCs w:val="20"/>
          <w:shd w:val="clear" w:color="auto" w:fill="FFFFFF"/>
          <w:lang w:val="lv-LV"/>
        </w:rPr>
        <w:t>u</w:t>
      </w:r>
      <w:r w:rsidRPr="00C6329D">
        <w:rPr>
          <w:bCs/>
          <w:color w:val="000000" w:themeColor="text1"/>
          <w:sz w:val="20"/>
          <w:szCs w:val="20"/>
          <w:shd w:val="clear" w:color="auto" w:fill="FFFFFF"/>
          <w:lang w:val="lv-LV"/>
        </w:rPr>
        <w:t xml:space="preserve"> </w:t>
      </w:r>
      <w:r w:rsidR="00922BCE" w:rsidRPr="00C6329D">
        <w:rPr>
          <w:bCs/>
          <w:color w:val="000000" w:themeColor="text1"/>
          <w:sz w:val="20"/>
          <w:szCs w:val="20"/>
          <w:shd w:val="clear" w:color="auto" w:fill="FFFFFF"/>
          <w:lang w:val="lv-LV"/>
        </w:rPr>
        <w:t xml:space="preserve">Nr.518 </w:t>
      </w:r>
      <w:r w:rsidRPr="00C6329D">
        <w:rPr>
          <w:bCs/>
          <w:color w:val="000000" w:themeColor="text1"/>
          <w:sz w:val="20"/>
          <w:szCs w:val="20"/>
          <w:shd w:val="clear" w:color="auto" w:fill="FFFFFF"/>
          <w:lang w:val="lv-LV"/>
        </w:rPr>
        <w:t>par sēklas kapitāla, sākuma kapitāla un izaugsmes kapitāla fondiem saimnieciskās darbības veicēju izveides, attīstības un konkurētspējas veicināšanai</w:t>
      </w:r>
      <w:r w:rsidR="00922BCE" w:rsidRPr="00C6329D">
        <w:rPr>
          <w:bCs/>
          <w:color w:val="000000" w:themeColor="text1"/>
          <w:sz w:val="20"/>
          <w:szCs w:val="20"/>
          <w:shd w:val="clear" w:color="auto" w:fill="FFFFFF"/>
          <w:lang w:val="lv-LV"/>
        </w:rPr>
        <w:t xml:space="preserve"> </w:t>
      </w:r>
      <w:r w:rsidRPr="00C6329D">
        <w:rPr>
          <w:bCs/>
          <w:color w:val="000000" w:themeColor="text1"/>
          <w:sz w:val="20"/>
          <w:szCs w:val="20"/>
          <w:shd w:val="clear" w:color="auto" w:fill="FFFFFF"/>
          <w:lang w:val="lv-LV"/>
        </w:rPr>
        <w:t>15.pants.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787243"/>
      <w:docPartObj>
        <w:docPartGallery w:val="Page Numbers (Top of Page)"/>
        <w:docPartUnique/>
      </w:docPartObj>
    </w:sdtPr>
    <w:sdtEndPr>
      <w:rPr>
        <w:noProof/>
      </w:rPr>
    </w:sdtEndPr>
    <w:sdtContent>
      <w:p w:rsidR="00502B17" w:rsidRPr="00502B17" w:rsidRDefault="00F43B2D">
        <w:pPr>
          <w:pStyle w:val="Header"/>
          <w:jc w:val="center"/>
        </w:pPr>
        <w:r w:rsidRPr="00502B17">
          <w:fldChar w:fldCharType="begin"/>
        </w:r>
        <w:r w:rsidRPr="00502B17">
          <w:instrText xml:space="preserve"> PAGE   \* MERGEFORMAT </w:instrText>
        </w:r>
        <w:r w:rsidRPr="00502B17">
          <w:fldChar w:fldCharType="separate"/>
        </w:r>
        <w:r w:rsidR="00D07D12">
          <w:rPr>
            <w:noProof/>
          </w:rPr>
          <w:t>12</w:t>
        </w:r>
        <w:r w:rsidRPr="00502B17">
          <w:rPr>
            <w:noProof/>
          </w:rPr>
          <w:fldChar w:fldCharType="end"/>
        </w:r>
      </w:p>
    </w:sdtContent>
  </w:sdt>
  <w:p w:rsidR="00502B17" w:rsidRDefault="00502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F380E8A"/>
    <w:multiLevelType w:val="hybridMultilevel"/>
    <w:tmpl w:val="A2541F4A"/>
    <w:lvl w:ilvl="0" w:tplc="36024110">
      <w:start w:val="1"/>
      <w:numFmt w:val="decimal"/>
      <w:lvlText w:val="%1)"/>
      <w:lvlJc w:val="left"/>
      <w:pPr>
        <w:ind w:left="720" w:hanging="360"/>
      </w:pPr>
      <w:rPr>
        <w:rFonts w:hint="default"/>
      </w:rPr>
    </w:lvl>
    <w:lvl w:ilvl="1" w:tplc="8FAC38CE" w:tentative="1">
      <w:start w:val="1"/>
      <w:numFmt w:val="lowerLetter"/>
      <w:lvlText w:val="%2."/>
      <w:lvlJc w:val="left"/>
      <w:pPr>
        <w:ind w:left="1440" w:hanging="360"/>
      </w:pPr>
    </w:lvl>
    <w:lvl w:ilvl="2" w:tplc="C6228F2A" w:tentative="1">
      <w:start w:val="1"/>
      <w:numFmt w:val="lowerRoman"/>
      <w:lvlText w:val="%3."/>
      <w:lvlJc w:val="right"/>
      <w:pPr>
        <w:ind w:left="2160" w:hanging="180"/>
      </w:pPr>
    </w:lvl>
    <w:lvl w:ilvl="3" w:tplc="CF8A9996" w:tentative="1">
      <w:start w:val="1"/>
      <w:numFmt w:val="decimal"/>
      <w:lvlText w:val="%4."/>
      <w:lvlJc w:val="left"/>
      <w:pPr>
        <w:ind w:left="2880" w:hanging="360"/>
      </w:pPr>
    </w:lvl>
    <w:lvl w:ilvl="4" w:tplc="B5EA49A4" w:tentative="1">
      <w:start w:val="1"/>
      <w:numFmt w:val="lowerLetter"/>
      <w:lvlText w:val="%5."/>
      <w:lvlJc w:val="left"/>
      <w:pPr>
        <w:ind w:left="3600" w:hanging="360"/>
      </w:pPr>
    </w:lvl>
    <w:lvl w:ilvl="5" w:tplc="A54A78BA" w:tentative="1">
      <w:start w:val="1"/>
      <w:numFmt w:val="lowerRoman"/>
      <w:lvlText w:val="%6."/>
      <w:lvlJc w:val="right"/>
      <w:pPr>
        <w:ind w:left="4320" w:hanging="180"/>
      </w:pPr>
    </w:lvl>
    <w:lvl w:ilvl="6" w:tplc="100CDD46" w:tentative="1">
      <w:start w:val="1"/>
      <w:numFmt w:val="decimal"/>
      <w:lvlText w:val="%7."/>
      <w:lvlJc w:val="left"/>
      <w:pPr>
        <w:ind w:left="5040" w:hanging="360"/>
      </w:pPr>
    </w:lvl>
    <w:lvl w:ilvl="7" w:tplc="83AA970E" w:tentative="1">
      <w:start w:val="1"/>
      <w:numFmt w:val="lowerLetter"/>
      <w:lvlText w:val="%8."/>
      <w:lvlJc w:val="left"/>
      <w:pPr>
        <w:ind w:left="5760" w:hanging="360"/>
      </w:pPr>
    </w:lvl>
    <w:lvl w:ilvl="8" w:tplc="81DA21F0" w:tentative="1">
      <w:start w:val="1"/>
      <w:numFmt w:val="lowerRoman"/>
      <w:lvlText w:val="%9."/>
      <w:lvlJc w:val="right"/>
      <w:pPr>
        <w:ind w:left="6480" w:hanging="180"/>
      </w:pPr>
    </w:lvl>
  </w:abstractNum>
  <w:abstractNum w:abstractNumId="1" w15:restartNumberingAfterBreak="1">
    <w:nsid w:val="237921D6"/>
    <w:multiLevelType w:val="hybridMultilevel"/>
    <w:tmpl w:val="542230B6"/>
    <w:lvl w:ilvl="0" w:tplc="FDCAC26E">
      <w:start w:val="1"/>
      <w:numFmt w:val="decimal"/>
      <w:lvlText w:val="%1)"/>
      <w:lvlJc w:val="left"/>
      <w:pPr>
        <w:ind w:left="720" w:hanging="360"/>
      </w:pPr>
      <w:rPr>
        <w:rFonts w:hint="default"/>
      </w:rPr>
    </w:lvl>
    <w:lvl w:ilvl="1" w:tplc="726C2A5E" w:tentative="1">
      <w:start w:val="1"/>
      <w:numFmt w:val="lowerLetter"/>
      <w:lvlText w:val="%2."/>
      <w:lvlJc w:val="left"/>
      <w:pPr>
        <w:ind w:left="1440" w:hanging="360"/>
      </w:pPr>
    </w:lvl>
    <w:lvl w:ilvl="2" w:tplc="DB0E280A" w:tentative="1">
      <w:start w:val="1"/>
      <w:numFmt w:val="lowerRoman"/>
      <w:lvlText w:val="%3."/>
      <w:lvlJc w:val="right"/>
      <w:pPr>
        <w:ind w:left="2160" w:hanging="180"/>
      </w:pPr>
    </w:lvl>
    <w:lvl w:ilvl="3" w:tplc="4C6E7A1A" w:tentative="1">
      <w:start w:val="1"/>
      <w:numFmt w:val="decimal"/>
      <w:lvlText w:val="%4."/>
      <w:lvlJc w:val="left"/>
      <w:pPr>
        <w:ind w:left="2880" w:hanging="360"/>
      </w:pPr>
    </w:lvl>
    <w:lvl w:ilvl="4" w:tplc="BC2C695E" w:tentative="1">
      <w:start w:val="1"/>
      <w:numFmt w:val="lowerLetter"/>
      <w:lvlText w:val="%5."/>
      <w:lvlJc w:val="left"/>
      <w:pPr>
        <w:ind w:left="3600" w:hanging="360"/>
      </w:pPr>
    </w:lvl>
    <w:lvl w:ilvl="5" w:tplc="CA6C40A6" w:tentative="1">
      <w:start w:val="1"/>
      <w:numFmt w:val="lowerRoman"/>
      <w:lvlText w:val="%6."/>
      <w:lvlJc w:val="right"/>
      <w:pPr>
        <w:ind w:left="4320" w:hanging="180"/>
      </w:pPr>
    </w:lvl>
    <w:lvl w:ilvl="6" w:tplc="99665EFE" w:tentative="1">
      <w:start w:val="1"/>
      <w:numFmt w:val="decimal"/>
      <w:lvlText w:val="%7."/>
      <w:lvlJc w:val="left"/>
      <w:pPr>
        <w:ind w:left="5040" w:hanging="360"/>
      </w:pPr>
    </w:lvl>
    <w:lvl w:ilvl="7" w:tplc="A768B824" w:tentative="1">
      <w:start w:val="1"/>
      <w:numFmt w:val="lowerLetter"/>
      <w:lvlText w:val="%8."/>
      <w:lvlJc w:val="left"/>
      <w:pPr>
        <w:ind w:left="5760" w:hanging="360"/>
      </w:pPr>
    </w:lvl>
    <w:lvl w:ilvl="8" w:tplc="E81ACC8A" w:tentative="1">
      <w:start w:val="1"/>
      <w:numFmt w:val="lowerRoman"/>
      <w:lvlText w:val="%9."/>
      <w:lvlJc w:val="right"/>
      <w:pPr>
        <w:ind w:left="6480" w:hanging="180"/>
      </w:pPr>
    </w:lvl>
  </w:abstractNum>
  <w:abstractNum w:abstractNumId="2" w15:restartNumberingAfterBreak="1">
    <w:nsid w:val="320348E1"/>
    <w:multiLevelType w:val="hybridMultilevel"/>
    <w:tmpl w:val="6746686C"/>
    <w:lvl w:ilvl="0" w:tplc="903CCF7A">
      <w:start w:val="1"/>
      <w:numFmt w:val="bullet"/>
      <w:lvlText w:val=""/>
      <w:lvlJc w:val="left"/>
      <w:pPr>
        <w:ind w:left="720" w:hanging="360"/>
      </w:pPr>
      <w:rPr>
        <w:rFonts w:ascii="Symbol" w:hAnsi="Symbol" w:hint="default"/>
      </w:rPr>
    </w:lvl>
    <w:lvl w:ilvl="1" w:tplc="28FA5CCA">
      <w:start w:val="1"/>
      <w:numFmt w:val="bullet"/>
      <w:lvlText w:val="o"/>
      <w:lvlJc w:val="left"/>
      <w:pPr>
        <w:ind w:left="1440" w:hanging="360"/>
      </w:pPr>
      <w:rPr>
        <w:rFonts w:ascii="Courier New" w:hAnsi="Courier New" w:cs="Courier New" w:hint="default"/>
      </w:rPr>
    </w:lvl>
    <w:lvl w:ilvl="2" w:tplc="2598C1AC">
      <w:start w:val="1"/>
      <w:numFmt w:val="bullet"/>
      <w:lvlText w:val=""/>
      <w:lvlJc w:val="left"/>
      <w:pPr>
        <w:ind w:left="2160" w:hanging="360"/>
      </w:pPr>
      <w:rPr>
        <w:rFonts w:ascii="Wingdings" w:hAnsi="Wingdings" w:hint="default"/>
      </w:rPr>
    </w:lvl>
    <w:lvl w:ilvl="3" w:tplc="58E00610">
      <w:start w:val="1"/>
      <w:numFmt w:val="bullet"/>
      <w:lvlText w:val=""/>
      <w:lvlJc w:val="left"/>
      <w:pPr>
        <w:ind w:left="2880" w:hanging="360"/>
      </w:pPr>
      <w:rPr>
        <w:rFonts w:ascii="Symbol" w:hAnsi="Symbol" w:hint="default"/>
      </w:rPr>
    </w:lvl>
    <w:lvl w:ilvl="4" w:tplc="DC16B7D6">
      <w:start w:val="1"/>
      <w:numFmt w:val="bullet"/>
      <w:lvlText w:val="o"/>
      <w:lvlJc w:val="left"/>
      <w:pPr>
        <w:ind w:left="3600" w:hanging="360"/>
      </w:pPr>
      <w:rPr>
        <w:rFonts w:ascii="Courier New" w:hAnsi="Courier New" w:cs="Courier New" w:hint="default"/>
      </w:rPr>
    </w:lvl>
    <w:lvl w:ilvl="5" w:tplc="38E61908">
      <w:start w:val="1"/>
      <w:numFmt w:val="bullet"/>
      <w:lvlText w:val=""/>
      <w:lvlJc w:val="left"/>
      <w:pPr>
        <w:ind w:left="4320" w:hanging="360"/>
      </w:pPr>
      <w:rPr>
        <w:rFonts w:ascii="Wingdings" w:hAnsi="Wingdings" w:hint="default"/>
      </w:rPr>
    </w:lvl>
    <w:lvl w:ilvl="6" w:tplc="8A6A8694">
      <w:start w:val="1"/>
      <w:numFmt w:val="bullet"/>
      <w:lvlText w:val=""/>
      <w:lvlJc w:val="left"/>
      <w:pPr>
        <w:ind w:left="5040" w:hanging="360"/>
      </w:pPr>
      <w:rPr>
        <w:rFonts w:ascii="Symbol" w:hAnsi="Symbol" w:hint="default"/>
      </w:rPr>
    </w:lvl>
    <w:lvl w:ilvl="7" w:tplc="738C2E96">
      <w:start w:val="1"/>
      <w:numFmt w:val="bullet"/>
      <w:lvlText w:val="o"/>
      <w:lvlJc w:val="left"/>
      <w:pPr>
        <w:ind w:left="5760" w:hanging="360"/>
      </w:pPr>
      <w:rPr>
        <w:rFonts w:ascii="Courier New" w:hAnsi="Courier New" w:cs="Courier New" w:hint="default"/>
      </w:rPr>
    </w:lvl>
    <w:lvl w:ilvl="8" w:tplc="7AE4E2A4">
      <w:start w:val="1"/>
      <w:numFmt w:val="bullet"/>
      <w:lvlText w:val=""/>
      <w:lvlJc w:val="left"/>
      <w:pPr>
        <w:ind w:left="6480" w:hanging="360"/>
      </w:pPr>
      <w:rPr>
        <w:rFonts w:ascii="Wingdings" w:hAnsi="Wingdings" w:hint="default"/>
      </w:rPr>
    </w:lvl>
  </w:abstractNum>
  <w:abstractNum w:abstractNumId="3" w15:restartNumberingAfterBreak="1">
    <w:nsid w:val="53330DC7"/>
    <w:multiLevelType w:val="hybridMultilevel"/>
    <w:tmpl w:val="5B3CA048"/>
    <w:lvl w:ilvl="0" w:tplc="44689808">
      <w:start w:val="1"/>
      <w:numFmt w:val="bullet"/>
      <w:lvlText w:val=""/>
      <w:lvlJc w:val="left"/>
      <w:pPr>
        <w:ind w:left="720" w:hanging="360"/>
      </w:pPr>
      <w:rPr>
        <w:rFonts w:ascii="Symbol" w:hAnsi="Symbol" w:hint="default"/>
      </w:rPr>
    </w:lvl>
    <w:lvl w:ilvl="1" w:tplc="DF46FC62" w:tentative="1">
      <w:start w:val="1"/>
      <w:numFmt w:val="bullet"/>
      <w:lvlText w:val="o"/>
      <w:lvlJc w:val="left"/>
      <w:pPr>
        <w:ind w:left="1440" w:hanging="360"/>
      </w:pPr>
      <w:rPr>
        <w:rFonts w:ascii="Courier New" w:hAnsi="Courier New" w:cs="Courier New" w:hint="default"/>
      </w:rPr>
    </w:lvl>
    <w:lvl w:ilvl="2" w:tplc="D05A84C2" w:tentative="1">
      <w:start w:val="1"/>
      <w:numFmt w:val="bullet"/>
      <w:lvlText w:val=""/>
      <w:lvlJc w:val="left"/>
      <w:pPr>
        <w:ind w:left="2160" w:hanging="360"/>
      </w:pPr>
      <w:rPr>
        <w:rFonts w:ascii="Wingdings" w:hAnsi="Wingdings" w:hint="default"/>
      </w:rPr>
    </w:lvl>
    <w:lvl w:ilvl="3" w:tplc="71F8D37A" w:tentative="1">
      <w:start w:val="1"/>
      <w:numFmt w:val="bullet"/>
      <w:lvlText w:val=""/>
      <w:lvlJc w:val="left"/>
      <w:pPr>
        <w:ind w:left="2880" w:hanging="360"/>
      </w:pPr>
      <w:rPr>
        <w:rFonts w:ascii="Symbol" w:hAnsi="Symbol" w:hint="default"/>
      </w:rPr>
    </w:lvl>
    <w:lvl w:ilvl="4" w:tplc="70FACAD0" w:tentative="1">
      <w:start w:val="1"/>
      <w:numFmt w:val="bullet"/>
      <w:lvlText w:val="o"/>
      <w:lvlJc w:val="left"/>
      <w:pPr>
        <w:ind w:left="3600" w:hanging="360"/>
      </w:pPr>
      <w:rPr>
        <w:rFonts w:ascii="Courier New" w:hAnsi="Courier New" w:cs="Courier New" w:hint="default"/>
      </w:rPr>
    </w:lvl>
    <w:lvl w:ilvl="5" w:tplc="09DECDD2" w:tentative="1">
      <w:start w:val="1"/>
      <w:numFmt w:val="bullet"/>
      <w:lvlText w:val=""/>
      <w:lvlJc w:val="left"/>
      <w:pPr>
        <w:ind w:left="4320" w:hanging="360"/>
      </w:pPr>
      <w:rPr>
        <w:rFonts w:ascii="Wingdings" w:hAnsi="Wingdings" w:hint="default"/>
      </w:rPr>
    </w:lvl>
    <w:lvl w:ilvl="6" w:tplc="7DE07580" w:tentative="1">
      <w:start w:val="1"/>
      <w:numFmt w:val="bullet"/>
      <w:lvlText w:val=""/>
      <w:lvlJc w:val="left"/>
      <w:pPr>
        <w:ind w:left="5040" w:hanging="360"/>
      </w:pPr>
      <w:rPr>
        <w:rFonts w:ascii="Symbol" w:hAnsi="Symbol" w:hint="default"/>
      </w:rPr>
    </w:lvl>
    <w:lvl w:ilvl="7" w:tplc="18C48A28" w:tentative="1">
      <w:start w:val="1"/>
      <w:numFmt w:val="bullet"/>
      <w:lvlText w:val="o"/>
      <w:lvlJc w:val="left"/>
      <w:pPr>
        <w:ind w:left="5760" w:hanging="360"/>
      </w:pPr>
      <w:rPr>
        <w:rFonts w:ascii="Courier New" w:hAnsi="Courier New" w:cs="Courier New" w:hint="default"/>
      </w:rPr>
    </w:lvl>
    <w:lvl w:ilvl="8" w:tplc="95F8B3DE" w:tentative="1">
      <w:start w:val="1"/>
      <w:numFmt w:val="bullet"/>
      <w:lvlText w:val=""/>
      <w:lvlJc w:val="left"/>
      <w:pPr>
        <w:ind w:left="6480" w:hanging="360"/>
      </w:pPr>
      <w:rPr>
        <w:rFonts w:ascii="Wingdings" w:hAnsi="Wingdings" w:hint="default"/>
      </w:rPr>
    </w:lvl>
  </w:abstractNum>
  <w:abstractNum w:abstractNumId="4" w15:restartNumberingAfterBreak="1">
    <w:nsid w:val="61ED10C0"/>
    <w:multiLevelType w:val="hybridMultilevel"/>
    <w:tmpl w:val="CCB8475E"/>
    <w:lvl w:ilvl="0" w:tplc="84D8EB5E">
      <w:start w:val="1"/>
      <w:numFmt w:val="lowerLetter"/>
      <w:lvlText w:val="%1)"/>
      <w:lvlJc w:val="left"/>
      <w:pPr>
        <w:ind w:left="927" w:hanging="360"/>
      </w:pPr>
      <w:rPr>
        <w:rFonts w:hint="default"/>
        <w:b w:val="0"/>
      </w:rPr>
    </w:lvl>
    <w:lvl w:ilvl="1" w:tplc="30B2ACD6" w:tentative="1">
      <w:start w:val="1"/>
      <w:numFmt w:val="lowerLetter"/>
      <w:lvlText w:val="%2."/>
      <w:lvlJc w:val="left"/>
      <w:pPr>
        <w:ind w:left="1647" w:hanging="360"/>
      </w:pPr>
    </w:lvl>
    <w:lvl w:ilvl="2" w:tplc="0F801D7C" w:tentative="1">
      <w:start w:val="1"/>
      <w:numFmt w:val="lowerRoman"/>
      <w:lvlText w:val="%3."/>
      <w:lvlJc w:val="right"/>
      <w:pPr>
        <w:ind w:left="2367" w:hanging="180"/>
      </w:pPr>
    </w:lvl>
    <w:lvl w:ilvl="3" w:tplc="5DE6CC38" w:tentative="1">
      <w:start w:val="1"/>
      <w:numFmt w:val="decimal"/>
      <w:lvlText w:val="%4."/>
      <w:lvlJc w:val="left"/>
      <w:pPr>
        <w:ind w:left="3087" w:hanging="360"/>
      </w:pPr>
    </w:lvl>
    <w:lvl w:ilvl="4" w:tplc="04C41C82" w:tentative="1">
      <w:start w:val="1"/>
      <w:numFmt w:val="lowerLetter"/>
      <w:lvlText w:val="%5."/>
      <w:lvlJc w:val="left"/>
      <w:pPr>
        <w:ind w:left="3807" w:hanging="360"/>
      </w:pPr>
    </w:lvl>
    <w:lvl w:ilvl="5" w:tplc="ECE21E2E" w:tentative="1">
      <w:start w:val="1"/>
      <w:numFmt w:val="lowerRoman"/>
      <w:lvlText w:val="%6."/>
      <w:lvlJc w:val="right"/>
      <w:pPr>
        <w:ind w:left="4527" w:hanging="180"/>
      </w:pPr>
    </w:lvl>
    <w:lvl w:ilvl="6" w:tplc="1CF661AE" w:tentative="1">
      <w:start w:val="1"/>
      <w:numFmt w:val="decimal"/>
      <w:lvlText w:val="%7."/>
      <w:lvlJc w:val="left"/>
      <w:pPr>
        <w:ind w:left="5247" w:hanging="360"/>
      </w:pPr>
    </w:lvl>
    <w:lvl w:ilvl="7" w:tplc="B2F63834" w:tentative="1">
      <w:start w:val="1"/>
      <w:numFmt w:val="lowerLetter"/>
      <w:lvlText w:val="%8."/>
      <w:lvlJc w:val="left"/>
      <w:pPr>
        <w:ind w:left="5967" w:hanging="360"/>
      </w:pPr>
    </w:lvl>
    <w:lvl w:ilvl="8" w:tplc="A8AA1C4A"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17"/>
    <w:rsid w:val="000506FE"/>
    <w:rsid w:val="00076033"/>
    <w:rsid w:val="000A19D5"/>
    <w:rsid w:val="000B012D"/>
    <w:rsid w:val="000D1858"/>
    <w:rsid w:val="000D5A44"/>
    <w:rsid w:val="000F3C36"/>
    <w:rsid w:val="00141768"/>
    <w:rsid w:val="00156DE3"/>
    <w:rsid w:val="0016223F"/>
    <w:rsid w:val="00162C68"/>
    <w:rsid w:val="00172E8B"/>
    <w:rsid w:val="00184BBA"/>
    <w:rsid w:val="001B0E8C"/>
    <w:rsid w:val="001B75AD"/>
    <w:rsid w:val="001C207A"/>
    <w:rsid w:val="001D7786"/>
    <w:rsid w:val="00204221"/>
    <w:rsid w:val="00210969"/>
    <w:rsid w:val="00214B82"/>
    <w:rsid w:val="00224D25"/>
    <w:rsid w:val="00235047"/>
    <w:rsid w:val="00236918"/>
    <w:rsid w:val="00246F2D"/>
    <w:rsid w:val="002570DD"/>
    <w:rsid w:val="00257DF4"/>
    <w:rsid w:val="002774BD"/>
    <w:rsid w:val="0029654C"/>
    <w:rsid w:val="002A176A"/>
    <w:rsid w:val="002D6456"/>
    <w:rsid w:val="0036180E"/>
    <w:rsid w:val="00380BC2"/>
    <w:rsid w:val="00381550"/>
    <w:rsid w:val="0038562E"/>
    <w:rsid w:val="00392F85"/>
    <w:rsid w:val="003C127E"/>
    <w:rsid w:val="003C4415"/>
    <w:rsid w:val="003E424A"/>
    <w:rsid w:val="003E798D"/>
    <w:rsid w:val="003F2ECA"/>
    <w:rsid w:val="0042081D"/>
    <w:rsid w:val="004544E2"/>
    <w:rsid w:val="00475B2A"/>
    <w:rsid w:val="004A4683"/>
    <w:rsid w:val="004A521A"/>
    <w:rsid w:val="004B712D"/>
    <w:rsid w:val="004C2756"/>
    <w:rsid w:val="004F2BF0"/>
    <w:rsid w:val="004F33BD"/>
    <w:rsid w:val="004F5376"/>
    <w:rsid w:val="004F57D3"/>
    <w:rsid w:val="00502B17"/>
    <w:rsid w:val="00520BF1"/>
    <w:rsid w:val="005419BD"/>
    <w:rsid w:val="00556A6C"/>
    <w:rsid w:val="005617DD"/>
    <w:rsid w:val="00576114"/>
    <w:rsid w:val="00584139"/>
    <w:rsid w:val="005911E0"/>
    <w:rsid w:val="005A227A"/>
    <w:rsid w:val="005B0665"/>
    <w:rsid w:val="005C0FC1"/>
    <w:rsid w:val="005E6FF6"/>
    <w:rsid w:val="005F51A0"/>
    <w:rsid w:val="00606C94"/>
    <w:rsid w:val="00626D45"/>
    <w:rsid w:val="00655433"/>
    <w:rsid w:val="00677560"/>
    <w:rsid w:val="00683C42"/>
    <w:rsid w:val="00696046"/>
    <w:rsid w:val="006A5A7A"/>
    <w:rsid w:val="006E56E6"/>
    <w:rsid w:val="006F349E"/>
    <w:rsid w:val="00701E89"/>
    <w:rsid w:val="0070584D"/>
    <w:rsid w:val="00713B56"/>
    <w:rsid w:val="00721E81"/>
    <w:rsid w:val="00731338"/>
    <w:rsid w:val="00734F0F"/>
    <w:rsid w:val="00744100"/>
    <w:rsid w:val="00746762"/>
    <w:rsid w:val="00761737"/>
    <w:rsid w:val="00784B9C"/>
    <w:rsid w:val="007A735D"/>
    <w:rsid w:val="007F3A1C"/>
    <w:rsid w:val="00814247"/>
    <w:rsid w:val="008225F3"/>
    <w:rsid w:val="008513FD"/>
    <w:rsid w:val="00864B43"/>
    <w:rsid w:val="00870831"/>
    <w:rsid w:val="008752B1"/>
    <w:rsid w:val="00882AB5"/>
    <w:rsid w:val="008938E4"/>
    <w:rsid w:val="008B2B37"/>
    <w:rsid w:val="008D4DEA"/>
    <w:rsid w:val="008D5487"/>
    <w:rsid w:val="008E235F"/>
    <w:rsid w:val="008F6239"/>
    <w:rsid w:val="00900F9F"/>
    <w:rsid w:val="00922BCE"/>
    <w:rsid w:val="0092656E"/>
    <w:rsid w:val="00930CD9"/>
    <w:rsid w:val="00944051"/>
    <w:rsid w:val="009A4476"/>
    <w:rsid w:val="009A6B21"/>
    <w:rsid w:val="009B1D80"/>
    <w:rsid w:val="009B44E7"/>
    <w:rsid w:val="009E44F0"/>
    <w:rsid w:val="009E6795"/>
    <w:rsid w:val="009F7E8A"/>
    <w:rsid w:val="00A10C0A"/>
    <w:rsid w:val="00A10C49"/>
    <w:rsid w:val="00A40839"/>
    <w:rsid w:val="00A424A5"/>
    <w:rsid w:val="00A50217"/>
    <w:rsid w:val="00A507CF"/>
    <w:rsid w:val="00A52086"/>
    <w:rsid w:val="00A61D88"/>
    <w:rsid w:val="00A73159"/>
    <w:rsid w:val="00A87FC1"/>
    <w:rsid w:val="00A97E75"/>
    <w:rsid w:val="00AB111B"/>
    <w:rsid w:val="00AF6E54"/>
    <w:rsid w:val="00B0145D"/>
    <w:rsid w:val="00B26AB2"/>
    <w:rsid w:val="00B4412C"/>
    <w:rsid w:val="00B67454"/>
    <w:rsid w:val="00B772A7"/>
    <w:rsid w:val="00B81521"/>
    <w:rsid w:val="00B86E6D"/>
    <w:rsid w:val="00BA69DE"/>
    <w:rsid w:val="00C2144F"/>
    <w:rsid w:val="00C41982"/>
    <w:rsid w:val="00C4748C"/>
    <w:rsid w:val="00C52518"/>
    <w:rsid w:val="00C6329D"/>
    <w:rsid w:val="00C66D5F"/>
    <w:rsid w:val="00C722B0"/>
    <w:rsid w:val="00C72CFA"/>
    <w:rsid w:val="00C77A08"/>
    <w:rsid w:val="00C974C6"/>
    <w:rsid w:val="00CB25BA"/>
    <w:rsid w:val="00CD15C1"/>
    <w:rsid w:val="00D07D12"/>
    <w:rsid w:val="00D22063"/>
    <w:rsid w:val="00D50EEF"/>
    <w:rsid w:val="00D537CA"/>
    <w:rsid w:val="00D568DF"/>
    <w:rsid w:val="00D63123"/>
    <w:rsid w:val="00D631EA"/>
    <w:rsid w:val="00D91D3D"/>
    <w:rsid w:val="00DA4D01"/>
    <w:rsid w:val="00DC5505"/>
    <w:rsid w:val="00DD2B33"/>
    <w:rsid w:val="00DD36C7"/>
    <w:rsid w:val="00DD5590"/>
    <w:rsid w:val="00DD78C5"/>
    <w:rsid w:val="00DE15FD"/>
    <w:rsid w:val="00DF5EA0"/>
    <w:rsid w:val="00E21691"/>
    <w:rsid w:val="00E33D95"/>
    <w:rsid w:val="00E4671F"/>
    <w:rsid w:val="00E470C1"/>
    <w:rsid w:val="00E64B1B"/>
    <w:rsid w:val="00E72329"/>
    <w:rsid w:val="00E76E46"/>
    <w:rsid w:val="00E818B4"/>
    <w:rsid w:val="00EB328F"/>
    <w:rsid w:val="00EB636A"/>
    <w:rsid w:val="00EC62C0"/>
    <w:rsid w:val="00EF787E"/>
    <w:rsid w:val="00F12B94"/>
    <w:rsid w:val="00F24716"/>
    <w:rsid w:val="00F263AB"/>
    <w:rsid w:val="00F41176"/>
    <w:rsid w:val="00F41E8A"/>
    <w:rsid w:val="00F43B2D"/>
    <w:rsid w:val="00F93340"/>
    <w:rsid w:val="00FB305A"/>
    <w:rsid w:val="00FE07A3"/>
    <w:rsid w:val="00FF298C"/>
    <w:rsid w:val="00FF7A37"/>
    <w:rsid w:val="00FF7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D7397-ABD1-4F70-8052-CEB46AF5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CE"/>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B17"/>
    <w:pPr>
      <w:tabs>
        <w:tab w:val="center" w:pos="4153"/>
        <w:tab w:val="right" w:pos="8306"/>
      </w:tabs>
    </w:pPr>
  </w:style>
  <w:style w:type="character" w:customStyle="1" w:styleId="HeaderChar">
    <w:name w:val="Header Char"/>
    <w:basedOn w:val="DefaultParagraphFont"/>
    <w:link w:val="Header"/>
    <w:uiPriority w:val="99"/>
    <w:rsid w:val="00502B17"/>
  </w:style>
  <w:style w:type="paragraph" w:styleId="Footer">
    <w:name w:val="footer"/>
    <w:basedOn w:val="Normal"/>
    <w:link w:val="FooterChar"/>
    <w:uiPriority w:val="99"/>
    <w:unhideWhenUsed/>
    <w:rsid w:val="00502B17"/>
    <w:pPr>
      <w:tabs>
        <w:tab w:val="center" w:pos="4153"/>
        <w:tab w:val="right" w:pos="8306"/>
      </w:tabs>
    </w:pPr>
  </w:style>
  <w:style w:type="character" w:customStyle="1" w:styleId="FooterChar">
    <w:name w:val="Footer Char"/>
    <w:basedOn w:val="DefaultParagraphFont"/>
    <w:link w:val="Footer"/>
    <w:uiPriority w:val="99"/>
    <w:rsid w:val="00502B17"/>
  </w:style>
  <w:style w:type="paragraph" w:styleId="FootnoteText">
    <w:name w:val="footnote text"/>
    <w:basedOn w:val="Normal"/>
    <w:link w:val="FootnoteTextChar"/>
    <w:uiPriority w:val="99"/>
    <w:semiHidden/>
    <w:unhideWhenUsed/>
    <w:rsid w:val="00C52518"/>
    <w:rPr>
      <w:sz w:val="20"/>
      <w:szCs w:val="20"/>
    </w:rPr>
  </w:style>
  <w:style w:type="character" w:customStyle="1" w:styleId="FootnoteTextChar">
    <w:name w:val="Footnote Text Char"/>
    <w:basedOn w:val="DefaultParagraphFont"/>
    <w:link w:val="FootnoteText"/>
    <w:uiPriority w:val="99"/>
    <w:semiHidden/>
    <w:rsid w:val="00C52518"/>
    <w:rPr>
      <w:sz w:val="20"/>
      <w:szCs w:val="20"/>
    </w:rPr>
  </w:style>
  <w:style w:type="character" w:styleId="FootnoteReference">
    <w:name w:val="footnote reference"/>
    <w:basedOn w:val="DefaultParagraphFont"/>
    <w:uiPriority w:val="99"/>
    <w:semiHidden/>
    <w:unhideWhenUsed/>
    <w:rsid w:val="00C52518"/>
    <w:rPr>
      <w:vertAlign w:val="superscript"/>
    </w:rPr>
  </w:style>
  <w:style w:type="paragraph" w:styleId="ListParagraph">
    <w:name w:val="List Paragraph"/>
    <w:aliases w:val="2"/>
    <w:basedOn w:val="Normal"/>
    <w:link w:val="ListParagraphChar"/>
    <w:uiPriority w:val="34"/>
    <w:qFormat/>
    <w:rsid w:val="005A227A"/>
    <w:pPr>
      <w:ind w:left="720"/>
      <w:contextualSpacing/>
    </w:pPr>
    <w:rPr>
      <w:lang w:eastAsia="lv-LV"/>
    </w:rPr>
  </w:style>
  <w:style w:type="character" w:customStyle="1" w:styleId="ListParagraphChar">
    <w:name w:val="List Paragraph Char"/>
    <w:aliases w:val="2 Char"/>
    <w:link w:val="ListParagraph"/>
    <w:uiPriority w:val="34"/>
    <w:locked/>
    <w:rsid w:val="005A227A"/>
    <w:rPr>
      <w:rFonts w:eastAsia="Times New Roman" w:cs="Times New Roman"/>
      <w:sz w:val="24"/>
      <w:szCs w:val="24"/>
      <w:lang w:eastAsia="lv-LV"/>
    </w:rPr>
  </w:style>
  <w:style w:type="character" w:styleId="Hyperlink">
    <w:name w:val="Hyperlink"/>
    <w:basedOn w:val="DefaultParagraphFont"/>
    <w:uiPriority w:val="99"/>
    <w:unhideWhenUsed/>
    <w:rsid w:val="00FF7CDB"/>
    <w:rPr>
      <w:color w:val="0563C1" w:themeColor="hyperlink"/>
      <w:u w:val="single"/>
    </w:rPr>
  </w:style>
  <w:style w:type="paragraph" w:styleId="BalloonText">
    <w:name w:val="Balloon Text"/>
    <w:basedOn w:val="Normal"/>
    <w:link w:val="BalloonTextChar"/>
    <w:uiPriority w:val="99"/>
    <w:semiHidden/>
    <w:unhideWhenUsed/>
    <w:rsid w:val="00701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89"/>
    <w:rPr>
      <w:rFonts w:ascii="Segoe UI" w:hAnsi="Segoe UI" w:cs="Segoe UI"/>
      <w:sz w:val="18"/>
      <w:szCs w:val="18"/>
    </w:rPr>
  </w:style>
  <w:style w:type="character" w:styleId="CommentReference">
    <w:name w:val="annotation reference"/>
    <w:basedOn w:val="DefaultParagraphFont"/>
    <w:uiPriority w:val="99"/>
    <w:semiHidden/>
    <w:unhideWhenUsed/>
    <w:rsid w:val="00CB25BA"/>
    <w:rPr>
      <w:sz w:val="16"/>
      <w:szCs w:val="16"/>
    </w:rPr>
  </w:style>
  <w:style w:type="paragraph" w:styleId="CommentText">
    <w:name w:val="annotation text"/>
    <w:basedOn w:val="Normal"/>
    <w:link w:val="CommentTextChar"/>
    <w:uiPriority w:val="99"/>
    <w:semiHidden/>
    <w:unhideWhenUsed/>
    <w:rsid w:val="00CB25BA"/>
    <w:rPr>
      <w:sz w:val="20"/>
      <w:szCs w:val="20"/>
    </w:rPr>
  </w:style>
  <w:style w:type="character" w:customStyle="1" w:styleId="CommentTextChar">
    <w:name w:val="Comment Text Char"/>
    <w:basedOn w:val="DefaultParagraphFont"/>
    <w:link w:val="CommentText"/>
    <w:uiPriority w:val="99"/>
    <w:semiHidden/>
    <w:rsid w:val="00CB25BA"/>
    <w:rPr>
      <w:sz w:val="20"/>
      <w:szCs w:val="20"/>
    </w:rPr>
  </w:style>
  <w:style w:type="paragraph" w:styleId="CommentSubject">
    <w:name w:val="annotation subject"/>
    <w:basedOn w:val="CommentText"/>
    <w:next w:val="CommentText"/>
    <w:link w:val="CommentSubjectChar"/>
    <w:uiPriority w:val="99"/>
    <w:semiHidden/>
    <w:unhideWhenUsed/>
    <w:rsid w:val="00CB25BA"/>
    <w:rPr>
      <w:b/>
      <w:bCs/>
    </w:rPr>
  </w:style>
  <w:style w:type="character" w:customStyle="1" w:styleId="CommentSubjectChar">
    <w:name w:val="Comment Subject Char"/>
    <w:basedOn w:val="CommentTextChar"/>
    <w:link w:val="CommentSubject"/>
    <w:uiPriority w:val="99"/>
    <w:semiHidden/>
    <w:rsid w:val="00CB25BA"/>
    <w:rPr>
      <w:b/>
      <w:bCs/>
      <w:sz w:val="20"/>
      <w:szCs w:val="20"/>
    </w:rPr>
  </w:style>
  <w:style w:type="paragraph" w:styleId="Revision">
    <w:name w:val="Revision"/>
    <w:hidden/>
    <w:uiPriority w:val="99"/>
    <w:semiHidden/>
    <w:rsid w:val="002570DD"/>
  </w:style>
  <w:style w:type="table" w:styleId="TableGrid">
    <w:name w:val="Table Grid"/>
    <w:basedOn w:val="TableNormal"/>
    <w:uiPriority w:val="39"/>
    <w:rsid w:val="00C47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0B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madara.ambrena@em.gov.lv"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fktk.lv/attachments/article/6556/Q2_2017_L_p%C4%81rskat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brenaM\AppData\Local\Microsoft\Windows\Temporary%20Internet%20Files\Content.Outlook\GI73VK90\FonduInvestori2012_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[FonduInvestori2012_2016.xlsx]Sheet1!$B$2</c:f>
              <c:strCache>
                <c:ptCount val="1"/>
                <c:pt idx="0">
                  <c:v>Baltics,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[FonduInvestori2012_2016.xlsx]Sheet1!$A$3:$A$9</c:f>
              <c:strCache>
                <c:ptCount val="7"/>
                <c:pt idx="0">
                  <c:v>Public funds</c:v>
                </c:pt>
                <c:pt idx="1">
                  <c:v>Pension funds</c:v>
                </c:pt>
                <c:pt idx="2">
                  <c:v>Funds of funds</c:v>
                </c:pt>
                <c:pt idx="3">
                  <c:v>Nonclasified</c:v>
                </c:pt>
                <c:pt idx="4">
                  <c:v>Family officies</c:v>
                </c:pt>
                <c:pt idx="5">
                  <c:v>Corporate investors</c:v>
                </c:pt>
                <c:pt idx="6">
                  <c:v>Foundations</c:v>
                </c:pt>
              </c:strCache>
            </c:strRef>
          </c:cat>
          <c:val>
            <c:numRef>
              <c:f>[FonduInvestori2012_2016.xlsx]Sheet1!$B$3:$B$9</c:f>
              <c:numCache>
                <c:formatCode>General</c:formatCode>
                <c:ptCount val="7"/>
                <c:pt idx="0">
                  <c:v>48</c:v>
                </c:pt>
                <c:pt idx="1">
                  <c:v>20</c:v>
                </c:pt>
                <c:pt idx="2">
                  <c:v>15</c:v>
                </c:pt>
                <c:pt idx="3">
                  <c:v>8</c:v>
                </c:pt>
                <c:pt idx="4">
                  <c:v>7</c:v>
                </c:pt>
                <c:pt idx="5">
                  <c:v>2</c:v>
                </c:pt>
                <c:pt idx="6">
                  <c:v>0</c:v>
                </c:pt>
              </c:numCache>
            </c:numRef>
          </c:val>
          <c:extLst>
            <c:ext xmlns:c16="http://schemas.microsoft.com/office/drawing/2014/chart" uri="{C3380CC4-5D6E-409C-BE32-E72D297353CC}">
              <c16:uniqueId val="{00000000-30ED-4F23-AACD-73964D2401BA}"/>
            </c:ext>
          </c:extLst>
        </c:ser>
        <c:ser>
          <c:idx val="1"/>
          <c:order val="1"/>
          <c:tx>
            <c:strRef>
              <c:f>[FonduInvestori2012_2016.xlsx]Sheet1!$C$2</c:f>
              <c:strCache>
                <c:ptCount val="1"/>
                <c:pt idx="0">
                  <c:v>Europe,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[FonduInvestori2012_2016.xlsx]Sheet1!$A$3:$A$9</c:f>
              <c:strCache>
                <c:ptCount val="7"/>
                <c:pt idx="0">
                  <c:v>Public funds</c:v>
                </c:pt>
                <c:pt idx="1">
                  <c:v>Pension funds</c:v>
                </c:pt>
                <c:pt idx="2">
                  <c:v>Funds of funds</c:v>
                </c:pt>
                <c:pt idx="3">
                  <c:v>Nonclasified</c:v>
                </c:pt>
                <c:pt idx="4">
                  <c:v>Family officies</c:v>
                </c:pt>
                <c:pt idx="5">
                  <c:v>Corporate investors</c:v>
                </c:pt>
                <c:pt idx="6">
                  <c:v>Foundations</c:v>
                </c:pt>
              </c:strCache>
            </c:strRef>
          </c:cat>
          <c:val>
            <c:numRef>
              <c:f>[FonduInvestori2012_2016.xlsx]Sheet1!$C$3:$C$9</c:f>
              <c:numCache>
                <c:formatCode>General</c:formatCode>
                <c:ptCount val="7"/>
                <c:pt idx="0">
                  <c:v>6.9</c:v>
                </c:pt>
                <c:pt idx="1">
                  <c:v>23.3</c:v>
                </c:pt>
                <c:pt idx="2">
                  <c:v>10.7</c:v>
                </c:pt>
                <c:pt idx="3">
                  <c:v>17.3</c:v>
                </c:pt>
                <c:pt idx="4">
                  <c:v>10.7</c:v>
                </c:pt>
                <c:pt idx="5">
                  <c:v>28.5</c:v>
                </c:pt>
                <c:pt idx="6">
                  <c:v>4.8</c:v>
                </c:pt>
              </c:numCache>
            </c:numRef>
          </c:val>
          <c:extLst>
            <c:ext xmlns:c16="http://schemas.microsoft.com/office/drawing/2014/chart" uri="{C3380CC4-5D6E-409C-BE32-E72D297353CC}">
              <c16:uniqueId val="{00000001-30ED-4F23-AACD-73964D2401BA}"/>
            </c:ext>
          </c:extLst>
        </c:ser>
        <c:dLbls>
          <c:showLegendKey val="0"/>
          <c:showVal val="1"/>
          <c:showCatName val="0"/>
          <c:showSerName val="0"/>
          <c:showPercent val="0"/>
          <c:showBubbleSize val="0"/>
        </c:dLbls>
        <c:gapWidth val="219"/>
        <c:overlap val="-27"/>
        <c:axId val="165560320"/>
        <c:axId val="165561856"/>
      </c:barChart>
      <c:catAx>
        <c:axId val="165560320"/>
        <c:scaling>
          <c:orientation val="minMax"/>
        </c:scaling>
        <c:delete val="0"/>
        <c:axPos val="b"/>
        <c:numFmt formatCode="General" sourceLinked="0"/>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5561856"/>
        <c:crosses val="autoZero"/>
        <c:auto val="1"/>
        <c:lblAlgn val="ctr"/>
        <c:lblOffset val="100"/>
        <c:noMultiLvlLbl val="0"/>
      </c:catAx>
      <c:valAx>
        <c:axId val="165561856"/>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556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5C6D-1A31-4541-A2B9-FA2D48F8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17235</Words>
  <Characters>9824</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Informatīvais ziņojums “Par priekšlikumiem grozījumiem Valsts fondēto pensiju likumā”</vt:lpstr>
    </vt:vector>
  </TitlesOfParts>
  <Company>Ekonomikas ministrija</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grozījumiem Valsts fondēto pensiju likumā”</dc:title>
  <dc:creator>Agita Fernāte</dc:creator>
  <cp:lastModifiedBy>Madara Ambrēna</cp:lastModifiedBy>
  <cp:revision>6</cp:revision>
  <dcterms:created xsi:type="dcterms:W3CDTF">2018-11-09T09:18:00Z</dcterms:created>
  <dcterms:modified xsi:type="dcterms:W3CDTF">2018-11-23T14:10:00Z</dcterms:modified>
</cp:coreProperties>
</file>