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2616115"/>
        <w:docPartObj>
          <w:docPartGallery w:val="Cover Pages"/>
          <w:docPartUnique/>
        </w:docPartObj>
      </w:sdtPr>
      <w:sdtEndPr>
        <w:rPr>
          <w:rFonts w:ascii="Times New Roman" w:hAnsi="Times New Roman" w:cs="Times New Roman"/>
          <w:b/>
          <w:bCs/>
          <w:smallCaps/>
        </w:rPr>
      </w:sdtEndPr>
      <w:sdtContent>
        <w:p w:rsidR="0043197A" w:rsidRDefault="0043197A" w:rsidP="00165BF6">
          <w:pPr>
            <w:ind w:left="1701" w:right="1134"/>
          </w:pPr>
        </w:p>
        <w:p w:rsidR="0043197A" w:rsidRDefault="00A118B2">
          <w:pPr>
            <w:rPr>
              <w:rFonts w:ascii="Times New Roman" w:hAnsi="Times New Roman" w:cs="Times New Roman"/>
            </w:rPr>
          </w:pPr>
          <w:r w:rsidRPr="00AC1747">
            <w:rPr>
              <w:rFonts w:ascii="Times New Roman" w:hAnsi="Times New Roman" w:cs="Times New Roman"/>
              <w:b/>
              <w:bCs/>
              <w:smallCaps/>
              <w:noProof/>
              <w:lang w:eastAsia="lv-LV"/>
            </w:rPr>
            <w:drawing>
              <wp:anchor distT="0" distB="0" distL="114300" distR="114300" simplePos="0" relativeHeight="251672576" behindDoc="0" locked="0" layoutInCell="1" allowOverlap="1" wp14:anchorId="1E8943F5" wp14:editId="1300C5FA">
                <wp:simplePos x="0" y="0"/>
                <wp:positionH relativeFrom="column">
                  <wp:posOffset>4351020</wp:posOffset>
                </wp:positionH>
                <wp:positionV relativeFrom="paragraph">
                  <wp:posOffset>7890510</wp:posOffset>
                </wp:positionV>
                <wp:extent cx="1751330" cy="548640"/>
                <wp:effectExtent l="0" t="0" r="1270" b="381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548640"/>
                        </a:xfrm>
                        <a:prstGeom prst="rect">
                          <a:avLst/>
                        </a:prstGeom>
                        <a:noFill/>
                        <a:ln>
                          <a:noFill/>
                        </a:ln>
                      </pic:spPr>
                    </pic:pic>
                  </a:graphicData>
                </a:graphic>
              </wp:anchor>
            </w:drawing>
          </w:r>
          <w:r w:rsidR="00560614">
            <w:rPr>
              <w:noProof/>
              <w:lang w:eastAsia="lv-LV"/>
            </w:rPr>
            <mc:AlternateContent>
              <mc:Choice Requires="wps">
                <w:drawing>
                  <wp:anchor distT="0" distB="0" distL="114300" distR="114300" simplePos="0" relativeHeight="251667456" behindDoc="0" locked="0" layoutInCell="1" allowOverlap="1" wp14:anchorId="1FB7D599" wp14:editId="603DE7D4">
                    <wp:simplePos x="0" y="0"/>
                    <wp:positionH relativeFrom="page">
                      <wp:posOffset>456565</wp:posOffset>
                    </wp:positionH>
                    <wp:positionV relativeFrom="page">
                      <wp:posOffset>9075420</wp:posOffset>
                    </wp:positionV>
                    <wp:extent cx="6646545" cy="497840"/>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Content>
                                  <w:p w:rsidR="00BE281B" w:rsidRDefault="00BE281B">
                                    <w:pPr>
                                      <w:pStyle w:val="NoSpacing"/>
                                      <w:spacing w:before="40" w:after="40"/>
                                      <w:rPr>
                                        <w:caps/>
                                        <w:color w:val="5B9BD5" w:themeColor="accent1"/>
                                        <w:sz w:val="28"/>
                                        <w:szCs w:val="28"/>
                                      </w:rPr>
                                    </w:pPr>
                                    <w:r>
                                      <w:rPr>
                                        <w:caps/>
                                        <w:color w:val="5B9BD5" w:themeColor="accent1"/>
                                        <w:sz w:val="28"/>
                                        <w:szCs w:val="28"/>
                                      </w:rPr>
                                      <w:t xml:space="preserve">     </w:t>
                                    </w:r>
                                  </w:p>
                                </w:sdtContent>
                              </w:sdt>
                              <w:p w:rsidR="00BE281B" w:rsidRPr="0043197A" w:rsidRDefault="00BE281B">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2019</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FB7D599" id="_x0000_t202" coordsize="21600,21600" o:spt="202" path="m,l,21600r21600,l21600,xe">
                    <v:stroke joinstyle="miter"/>
                    <v:path gradientshapeok="t" o:connecttype="rect"/>
                  </v:shapetype>
                  <v:shape id="Text Box 129" o:spid="_x0000_s1026" type="#_x0000_t202" style="position:absolute;margin-left:35.95pt;margin-top:714.6pt;width:523.35pt;height:39.2pt;z-index:25166745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" filled="f" stroked="f" strokeweight=".5pt">
                    <v:path arrowok="t"/>
                    <v:textbox style="mso-fit-shape-to-text:t" inset="1in,0,86.4pt,0">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Content>
                            <w:p w:rsidR="00BE281B" w:rsidRDefault="00BE281B">
                              <w:pPr>
                                <w:pStyle w:val="NoSpacing"/>
                                <w:spacing w:before="40" w:after="40"/>
                                <w:rPr>
                                  <w:caps/>
                                  <w:color w:val="5B9BD5" w:themeColor="accent1"/>
                                  <w:sz w:val="28"/>
                                  <w:szCs w:val="28"/>
                                </w:rPr>
                              </w:pPr>
                              <w:r>
                                <w:rPr>
                                  <w:caps/>
                                  <w:color w:val="5B9BD5" w:themeColor="accent1"/>
                                  <w:sz w:val="28"/>
                                  <w:szCs w:val="28"/>
                                </w:rPr>
                                <w:t xml:space="preserve">     </w:t>
                              </w:r>
                            </w:p>
                          </w:sdtContent>
                        </w:sdt>
                        <w:p w:rsidR="00BE281B" w:rsidRPr="0043197A" w:rsidRDefault="00BE281B">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2019</w:t>
                          </w:r>
                        </w:p>
                      </w:txbxContent>
                    </v:textbox>
                    <w10:wrap type="square" anchorx="page" anchory="page"/>
                  </v:shape>
                </w:pict>
              </mc:Fallback>
            </mc:AlternateContent>
          </w:r>
          <w:r w:rsidR="00560614">
            <w:rPr>
              <w:noProof/>
              <w:lang w:eastAsia="lv-LV"/>
            </w:rPr>
            <mc:AlternateContent>
              <mc:Choice Requires="wpg">
                <w:drawing>
                  <wp:anchor distT="0" distB="0" distL="114300" distR="114300" simplePos="0" relativeHeight="251665408" behindDoc="1" locked="0" layoutInCell="1" allowOverlap="1" wp14:anchorId="6A8A16E3" wp14:editId="7A8A330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47180" cy="715454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47180" cy="715454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BE281B" w:rsidRPr="000B207A" w:rsidRDefault="00BE281B" w:rsidP="0043197A">
                                  <w:pPr>
                                    <w:rPr>
                                      <w:rFonts w:ascii="Times New Roman" w:hAnsi="Times New Roman" w:cs="Times New Roman"/>
                                      <w:color w:val="FFFFFF" w:themeColor="background1"/>
                                      <w:sz w:val="56"/>
                                      <w:szCs w:val="56"/>
                                    </w:rPr>
                                  </w:pPr>
                                  <w:sdt>
                                    <w:sdtPr>
                                      <w:rPr>
                                        <w:rFonts w:ascii="Times New Roman" w:hAnsi="Times New Roman" w:cs="Times New Roman"/>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Content>
                                      <w:r w:rsidRPr="000B207A">
                                        <w:rPr>
                                          <w:rFonts w:ascii="Times New Roman" w:hAnsi="Times New Roman" w:cs="Times New Roman"/>
                                          <w:sz w:val="56"/>
                                          <w:szCs w:val="56"/>
                                        </w:rPr>
                                        <w:t>Latvijas Stabilitātes programma 201</w:t>
                                      </w:r>
                                      <w:r>
                                        <w:rPr>
                                          <w:rFonts w:ascii="Times New Roman" w:hAnsi="Times New Roman" w:cs="Times New Roman"/>
                                          <w:sz w:val="56"/>
                                          <w:szCs w:val="56"/>
                                        </w:rPr>
                                        <w:t>9</w:t>
                                      </w:r>
                                      <w:r w:rsidRPr="000B207A">
                                        <w:rPr>
                                          <w:rFonts w:ascii="Times New Roman" w:hAnsi="Times New Roman" w:cs="Times New Roman"/>
                                          <w:sz w:val="56"/>
                                          <w:szCs w:val="56"/>
                                        </w:rPr>
                                        <w:t>. – 202</w:t>
                                      </w:r>
                                      <w:r>
                                        <w:rPr>
                                          <w:rFonts w:ascii="Times New Roman" w:hAnsi="Times New Roman" w:cs="Times New Roman"/>
                                          <w:sz w:val="56"/>
                                          <w:szCs w:val="56"/>
                                        </w:rPr>
                                        <w:t>2</w:t>
                                      </w:r>
                                      <w:r w:rsidRPr="000B207A">
                                        <w:rPr>
                                          <w:rFonts w:ascii="Times New Roman" w:hAnsi="Times New Roman" w:cs="Times New Roman"/>
                                          <w:sz w:val="56"/>
                                          <w:szCs w:val="56"/>
                                        </w:rPr>
                                        <w:t>.gadam</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A8A16E3" id="Group 125" o:spid="_x0000_s1027" style="position:absolute;margin-left:0;margin-top:0;width:523.4pt;height:563.35pt;z-index:-2516510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BE281B" w:rsidRPr="000B207A" w:rsidRDefault="00BE281B" w:rsidP="0043197A">
                            <w:pPr>
                              <w:rPr>
                                <w:rFonts w:ascii="Times New Roman" w:hAnsi="Times New Roman" w:cs="Times New Roman"/>
                                <w:color w:val="FFFFFF" w:themeColor="background1"/>
                                <w:sz w:val="56"/>
                                <w:szCs w:val="56"/>
                              </w:rPr>
                            </w:pPr>
                            <w:sdt>
                              <w:sdtPr>
                                <w:rPr>
                                  <w:rFonts w:ascii="Times New Roman" w:hAnsi="Times New Roman" w:cs="Times New Roman"/>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Content>
                                <w:r w:rsidRPr="000B207A">
                                  <w:rPr>
                                    <w:rFonts w:ascii="Times New Roman" w:hAnsi="Times New Roman" w:cs="Times New Roman"/>
                                    <w:sz w:val="56"/>
                                    <w:szCs w:val="56"/>
                                  </w:rPr>
                                  <w:t>Latvijas Stabilitātes programma 201</w:t>
                                </w:r>
                                <w:r>
                                  <w:rPr>
                                    <w:rFonts w:ascii="Times New Roman" w:hAnsi="Times New Roman" w:cs="Times New Roman"/>
                                    <w:sz w:val="56"/>
                                    <w:szCs w:val="56"/>
                                  </w:rPr>
                                  <w:t>9</w:t>
                                </w:r>
                                <w:r w:rsidRPr="000B207A">
                                  <w:rPr>
                                    <w:rFonts w:ascii="Times New Roman" w:hAnsi="Times New Roman" w:cs="Times New Roman"/>
                                    <w:sz w:val="56"/>
                                    <w:szCs w:val="56"/>
                                  </w:rPr>
                                  <w:t>. – 202</w:t>
                                </w:r>
                                <w:r>
                                  <w:rPr>
                                    <w:rFonts w:ascii="Times New Roman" w:hAnsi="Times New Roman" w:cs="Times New Roman"/>
                                    <w:sz w:val="56"/>
                                    <w:szCs w:val="56"/>
                                  </w:rPr>
                                  <w:t>2</w:t>
                                </w:r>
                                <w:r w:rsidRPr="000B207A">
                                  <w:rPr>
                                    <w:rFonts w:ascii="Times New Roman" w:hAnsi="Times New Roman" w:cs="Times New Roman"/>
                                    <w:sz w:val="56"/>
                                    <w:szCs w:val="56"/>
                                  </w:rPr>
                                  <w:t>.gadam</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560614">
            <w:rPr>
              <w:noProof/>
              <w:lang w:eastAsia="lv-LV"/>
            </w:rPr>
            <mc:AlternateContent>
              <mc:Choice Requires="wps">
                <w:drawing>
                  <wp:anchor distT="0" distB="0" distL="114300" distR="114300" simplePos="0" relativeHeight="251666432" behindDoc="0" locked="0" layoutInCell="1" allowOverlap="1" wp14:anchorId="4E9CE72B" wp14:editId="5E2A987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960" cy="104457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960"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rsidR="00BE281B" w:rsidRDefault="00BE281B">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201</w:t>
                                    </w:r>
                                    <w:r>
                                      <w:rPr>
                                        <w:rFonts w:ascii="Times New Roman" w:hAnsi="Times New Roman" w:cs="Times New Roman"/>
                                        <w:color w:val="FFFFFF" w:themeColor="background1"/>
                                        <w:sz w:val="24"/>
                                        <w:szCs w:val="24"/>
                                        <w:lang w:val="en-US"/>
                                      </w:rPr>
                                      <w:t>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E9CE72B" id="Rectangle 130" o:spid="_x0000_s1030" style="position:absolute;margin-left:-6.4pt;margin-top:0;width:44.8pt;height:82.2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" fillcolor="#5b9bd5 [3204]" stroked="f" strokeweight="1pt">
                    <v:path arrowok="t"/>
                    <o:lock v:ext="edit" aspectratio="t"/>
                    <v:textbox inset="3.6pt,,3.6pt">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rsidR="00BE281B" w:rsidRDefault="00BE281B">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201</w:t>
                              </w:r>
                              <w:r>
                                <w:rPr>
                                  <w:rFonts w:ascii="Times New Roman" w:hAnsi="Times New Roman" w:cs="Times New Roman"/>
                                  <w:color w:val="FFFFFF" w:themeColor="background1"/>
                                  <w:sz w:val="24"/>
                                  <w:szCs w:val="24"/>
                                  <w:lang w:val="en-US"/>
                                </w:rPr>
                                <w:t>9</w:t>
                              </w:r>
                            </w:p>
                          </w:sdtContent>
                        </w:sdt>
                      </w:txbxContent>
                    </v:textbox>
                    <w10:wrap anchorx="margin" anchory="page"/>
                  </v:rect>
                </w:pict>
              </mc:Fallback>
            </mc:AlternateContent>
          </w:r>
          <w:r w:rsidR="0043197A">
            <w:rPr>
              <w:rFonts w:ascii="Times New Roman" w:hAnsi="Times New Roman" w:cs="Times New Roman"/>
              <w:b/>
              <w:bCs/>
              <w:smallCaps/>
            </w:rPr>
            <w:br w:type="page"/>
          </w:r>
        </w:p>
      </w:sdtContent>
    </w:sdt>
    <w:sdt>
      <w:sdtPr>
        <w:rPr>
          <w:rFonts w:asciiTheme="minorHAnsi" w:eastAsiaTheme="minorEastAsia" w:hAnsiTheme="minorHAnsi" w:cstheme="minorBidi"/>
          <w:b w:val="0"/>
          <w:bCs w:val="0"/>
          <w:smallCaps w:val="0"/>
          <w:color w:val="auto"/>
          <w:sz w:val="22"/>
          <w:szCs w:val="22"/>
        </w:rPr>
        <w:id w:val="423391642"/>
        <w:docPartObj>
          <w:docPartGallery w:val="Table of Contents"/>
          <w:docPartUnique/>
        </w:docPartObj>
      </w:sdtPr>
      <w:sdtEndPr>
        <w:rPr>
          <w:noProof/>
        </w:rPr>
      </w:sdtEndPr>
      <w:sdtContent>
        <w:p w:rsidR="00551458" w:rsidRDefault="00551458" w:rsidP="00551458">
          <w:pPr>
            <w:pStyle w:val="TOCHeading"/>
            <w:numPr>
              <w:ilvl w:val="0"/>
              <w:numId w:val="0"/>
            </w:numPr>
            <w:ind w:left="432"/>
            <w:jc w:val="center"/>
            <w:rPr>
              <w:rFonts w:ascii="Times New Roman" w:hAnsi="Times New Roman" w:cs="Times New Roman"/>
            </w:rPr>
          </w:pPr>
          <w:r w:rsidRPr="00551458">
            <w:rPr>
              <w:rFonts w:ascii="Times New Roman" w:hAnsi="Times New Roman" w:cs="Times New Roman"/>
            </w:rPr>
            <w:t>SATURS</w:t>
          </w:r>
        </w:p>
        <w:p w:rsidR="00C728B1" w:rsidRDefault="006C007F">
          <w:pPr>
            <w:pStyle w:val="TOC1"/>
            <w:rPr>
              <w:rFonts w:asciiTheme="minorHAnsi" w:eastAsiaTheme="minorEastAsia" w:hAnsiTheme="minorHAnsi" w:cstheme="minorBidi"/>
              <w:noProof/>
              <w:sz w:val="22"/>
              <w:szCs w:val="22"/>
              <w:lang w:eastAsia="lv-LV"/>
            </w:rPr>
          </w:pPr>
          <w:r>
            <w:fldChar w:fldCharType="begin"/>
          </w:r>
          <w:r w:rsidR="00551458">
            <w:instrText xml:space="preserve"> TOC \o "1-3" \h \z \u </w:instrText>
          </w:r>
          <w:r>
            <w:fldChar w:fldCharType="separate"/>
          </w:r>
          <w:hyperlink w:anchor="_Toc5798615" w:history="1">
            <w:r w:rsidR="00C728B1" w:rsidRPr="009B184C">
              <w:rPr>
                <w:rStyle w:val="Hyperlink"/>
                <w:rFonts w:eastAsiaTheme="majorEastAsia"/>
                <w:noProof/>
              </w:rPr>
              <w:t>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Vispārējās ekonomiskās politikas vadlīnijas un mērķi</w:t>
            </w:r>
            <w:r w:rsidR="00C728B1">
              <w:rPr>
                <w:noProof/>
                <w:webHidden/>
              </w:rPr>
              <w:tab/>
            </w:r>
            <w:r w:rsidR="00C728B1">
              <w:rPr>
                <w:noProof/>
                <w:webHidden/>
              </w:rPr>
              <w:fldChar w:fldCharType="begin"/>
            </w:r>
            <w:r w:rsidR="00C728B1">
              <w:rPr>
                <w:noProof/>
                <w:webHidden/>
              </w:rPr>
              <w:instrText xml:space="preserve"> PAGEREF _Toc5798615 \h </w:instrText>
            </w:r>
            <w:r w:rsidR="00C728B1">
              <w:rPr>
                <w:noProof/>
                <w:webHidden/>
              </w:rPr>
            </w:r>
            <w:r w:rsidR="00C728B1">
              <w:rPr>
                <w:noProof/>
                <w:webHidden/>
              </w:rPr>
              <w:fldChar w:fldCharType="separate"/>
            </w:r>
            <w:r w:rsidR="00072903">
              <w:rPr>
                <w:noProof/>
                <w:webHidden/>
              </w:rPr>
              <w:t>4</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16" w:history="1">
            <w:r w:rsidR="00C728B1" w:rsidRPr="009B184C">
              <w:rPr>
                <w:rStyle w:val="Hyperlink"/>
                <w:rFonts w:eastAsiaTheme="majorEastAsia"/>
                <w:noProof/>
              </w:rPr>
              <w:t>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Ekonomiskā situācija</w:t>
            </w:r>
            <w:r w:rsidR="00C728B1">
              <w:rPr>
                <w:noProof/>
                <w:webHidden/>
              </w:rPr>
              <w:tab/>
            </w:r>
            <w:r w:rsidR="00C728B1">
              <w:rPr>
                <w:noProof/>
                <w:webHidden/>
              </w:rPr>
              <w:fldChar w:fldCharType="begin"/>
            </w:r>
            <w:r w:rsidR="00C728B1">
              <w:rPr>
                <w:noProof/>
                <w:webHidden/>
              </w:rPr>
              <w:instrText xml:space="preserve"> PAGEREF _Toc5798616 \h </w:instrText>
            </w:r>
            <w:r w:rsidR="00C728B1">
              <w:rPr>
                <w:noProof/>
                <w:webHidden/>
              </w:rPr>
            </w:r>
            <w:r w:rsidR="00C728B1">
              <w:rPr>
                <w:noProof/>
                <w:webHidden/>
              </w:rPr>
              <w:fldChar w:fldCharType="separate"/>
            </w:r>
            <w:r w:rsidR="00072903">
              <w:rPr>
                <w:noProof/>
                <w:webHidden/>
              </w:rPr>
              <w:t>5</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17" w:history="1">
            <w:r w:rsidR="00C728B1" w:rsidRPr="009B184C">
              <w:rPr>
                <w:rStyle w:val="Hyperlink"/>
                <w:rFonts w:eastAsiaTheme="majorEastAsia"/>
                <w:noProof/>
              </w:rPr>
              <w:t>2.1.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Ārējā ekonomiskā vide</w:t>
            </w:r>
            <w:r w:rsidR="00C728B1">
              <w:rPr>
                <w:noProof/>
                <w:webHidden/>
              </w:rPr>
              <w:tab/>
            </w:r>
            <w:r w:rsidR="00C728B1">
              <w:rPr>
                <w:noProof/>
                <w:webHidden/>
              </w:rPr>
              <w:fldChar w:fldCharType="begin"/>
            </w:r>
            <w:r w:rsidR="00C728B1">
              <w:rPr>
                <w:noProof/>
                <w:webHidden/>
              </w:rPr>
              <w:instrText xml:space="preserve"> PAGEREF _Toc5798617 \h </w:instrText>
            </w:r>
            <w:r w:rsidR="00C728B1">
              <w:rPr>
                <w:noProof/>
                <w:webHidden/>
              </w:rPr>
            </w:r>
            <w:r w:rsidR="00C728B1">
              <w:rPr>
                <w:noProof/>
                <w:webHidden/>
              </w:rPr>
              <w:fldChar w:fldCharType="separate"/>
            </w:r>
            <w:r w:rsidR="00072903">
              <w:rPr>
                <w:noProof/>
                <w:webHidden/>
              </w:rPr>
              <w:t>5</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18" w:history="1">
            <w:r w:rsidR="00C728B1" w:rsidRPr="009B184C">
              <w:rPr>
                <w:rStyle w:val="Hyperlink"/>
                <w:rFonts w:eastAsiaTheme="majorEastAsia"/>
                <w:noProof/>
              </w:rPr>
              <w:t>2.2.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Pašreizējā ekonomiskā situācija</w:t>
            </w:r>
            <w:r w:rsidR="00C728B1">
              <w:rPr>
                <w:noProof/>
                <w:webHidden/>
              </w:rPr>
              <w:tab/>
            </w:r>
            <w:r w:rsidR="00C728B1">
              <w:rPr>
                <w:noProof/>
                <w:webHidden/>
              </w:rPr>
              <w:fldChar w:fldCharType="begin"/>
            </w:r>
            <w:r w:rsidR="00C728B1">
              <w:rPr>
                <w:noProof/>
                <w:webHidden/>
              </w:rPr>
              <w:instrText xml:space="preserve"> PAGEREF _Toc5798618 \h </w:instrText>
            </w:r>
            <w:r w:rsidR="00C728B1">
              <w:rPr>
                <w:noProof/>
                <w:webHidden/>
              </w:rPr>
            </w:r>
            <w:r w:rsidR="00C728B1">
              <w:rPr>
                <w:noProof/>
                <w:webHidden/>
              </w:rPr>
              <w:fldChar w:fldCharType="separate"/>
            </w:r>
            <w:r w:rsidR="00072903">
              <w:rPr>
                <w:noProof/>
                <w:webHidden/>
              </w:rPr>
              <w:t>6</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19" w:history="1">
            <w:r w:rsidR="00C728B1" w:rsidRPr="009B184C">
              <w:rPr>
                <w:rStyle w:val="Hyperlink"/>
                <w:rFonts w:eastAsiaTheme="majorEastAsia"/>
                <w:noProof/>
              </w:rPr>
              <w:t>2.3.</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Makroekonomiskās attīstības scenārijs</w:t>
            </w:r>
            <w:r w:rsidR="00C728B1">
              <w:rPr>
                <w:noProof/>
                <w:webHidden/>
              </w:rPr>
              <w:tab/>
            </w:r>
            <w:r w:rsidR="00C728B1">
              <w:rPr>
                <w:noProof/>
                <w:webHidden/>
              </w:rPr>
              <w:fldChar w:fldCharType="begin"/>
            </w:r>
            <w:r w:rsidR="00C728B1">
              <w:rPr>
                <w:noProof/>
                <w:webHidden/>
              </w:rPr>
              <w:instrText xml:space="preserve"> PAGEREF _Toc5798619 \h </w:instrText>
            </w:r>
            <w:r w:rsidR="00C728B1">
              <w:rPr>
                <w:noProof/>
                <w:webHidden/>
              </w:rPr>
            </w:r>
            <w:r w:rsidR="00C728B1">
              <w:rPr>
                <w:noProof/>
                <w:webHidden/>
              </w:rPr>
              <w:fldChar w:fldCharType="separate"/>
            </w:r>
            <w:r w:rsidR="00072903">
              <w:rPr>
                <w:noProof/>
                <w:webHidden/>
              </w:rPr>
              <w:t>15</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20" w:history="1">
            <w:r w:rsidR="00C728B1" w:rsidRPr="009B184C">
              <w:rPr>
                <w:rStyle w:val="Hyperlink"/>
                <w:rFonts w:eastAsiaTheme="majorEastAsia"/>
                <w:noProof/>
              </w:rPr>
              <w:t>3.</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Vispārējās valdības budžeta bilance un parāds</w:t>
            </w:r>
            <w:r w:rsidR="00C728B1">
              <w:rPr>
                <w:noProof/>
                <w:webHidden/>
              </w:rPr>
              <w:tab/>
            </w:r>
            <w:r w:rsidR="00C728B1">
              <w:rPr>
                <w:noProof/>
                <w:webHidden/>
              </w:rPr>
              <w:fldChar w:fldCharType="begin"/>
            </w:r>
            <w:r w:rsidR="00C728B1">
              <w:rPr>
                <w:noProof/>
                <w:webHidden/>
              </w:rPr>
              <w:instrText xml:space="preserve"> PAGEREF _Toc5798620 \h </w:instrText>
            </w:r>
            <w:r w:rsidR="00C728B1">
              <w:rPr>
                <w:noProof/>
                <w:webHidden/>
              </w:rPr>
            </w:r>
            <w:r w:rsidR="00C728B1">
              <w:rPr>
                <w:noProof/>
                <w:webHidden/>
              </w:rPr>
              <w:fldChar w:fldCharType="separate"/>
            </w:r>
            <w:r w:rsidR="00072903">
              <w:rPr>
                <w:noProof/>
                <w:webHidden/>
              </w:rPr>
              <w:t>21</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21" w:history="1">
            <w:r w:rsidR="00C728B1" w:rsidRPr="009B184C">
              <w:rPr>
                <w:rStyle w:val="Hyperlink"/>
                <w:rFonts w:eastAsiaTheme="majorEastAsia"/>
                <w:noProof/>
              </w:rPr>
              <w:t>3.1.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Fiskālās politikas stratēģija un vidēja termiņa mērķis</w:t>
            </w:r>
            <w:r w:rsidR="00C728B1">
              <w:rPr>
                <w:noProof/>
                <w:webHidden/>
              </w:rPr>
              <w:tab/>
            </w:r>
            <w:r w:rsidR="00C728B1">
              <w:rPr>
                <w:noProof/>
                <w:webHidden/>
              </w:rPr>
              <w:fldChar w:fldCharType="begin"/>
            </w:r>
            <w:r w:rsidR="00C728B1">
              <w:rPr>
                <w:noProof/>
                <w:webHidden/>
              </w:rPr>
              <w:instrText xml:space="preserve"> PAGEREF _Toc5798621 \h </w:instrText>
            </w:r>
            <w:r w:rsidR="00C728B1">
              <w:rPr>
                <w:noProof/>
                <w:webHidden/>
              </w:rPr>
            </w:r>
            <w:r w:rsidR="00C728B1">
              <w:rPr>
                <w:noProof/>
                <w:webHidden/>
              </w:rPr>
              <w:fldChar w:fldCharType="separate"/>
            </w:r>
            <w:r w:rsidR="00072903">
              <w:rPr>
                <w:noProof/>
                <w:webHidden/>
              </w:rPr>
              <w:t>21</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22" w:history="1">
            <w:r w:rsidR="00C728B1" w:rsidRPr="009B184C">
              <w:rPr>
                <w:rStyle w:val="Hyperlink"/>
                <w:rFonts w:eastAsiaTheme="majorEastAsia"/>
                <w:noProof/>
              </w:rPr>
              <w:t>3.1.1.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Strukturālās bilances mērķi 2020., 2021. un 2022.gadam</w:t>
            </w:r>
            <w:r w:rsidR="00C728B1">
              <w:rPr>
                <w:noProof/>
                <w:webHidden/>
              </w:rPr>
              <w:tab/>
            </w:r>
            <w:r w:rsidR="00C728B1">
              <w:rPr>
                <w:noProof/>
                <w:webHidden/>
              </w:rPr>
              <w:fldChar w:fldCharType="begin"/>
            </w:r>
            <w:r w:rsidR="00C728B1">
              <w:rPr>
                <w:noProof/>
                <w:webHidden/>
              </w:rPr>
              <w:instrText xml:space="preserve"> PAGEREF _Toc5798622 \h </w:instrText>
            </w:r>
            <w:r w:rsidR="00C728B1">
              <w:rPr>
                <w:noProof/>
                <w:webHidden/>
              </w:rPr>
            </w:r>
            <w:r w:rsidR="00C728B1">
              <w:rPr>
                <w:noProof/>
                <w:webHidden/>
              </w:rPr>
              <w:fldChar w:fldCharType="separate"/>
            </w:r>
            <w:r w:rsidR="00072903">
              <w:rPr>
                <w:noProof/>
                <w:webHidden/>
              </w:rPr>
              <w:t>21</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23" w:history="1">
            <w:r w:rsidR="00C728B1" w:rsidRPr="009B184C">
              <w:rPr>
                <w:rStyle w:val="Hyperlink"/>
                <w:rFonts w:eastAsiaTheme="majorEastAsia"/>
                <w:noProof/>
              </w:rPr>
              <w:t>3.1.2.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Diskrecionārie pasākumi</w:t>
            </w:r>
            <w:r w:rsidR="00C728B1">
              <w:rPr>
                <w:noProof/>
                <w:webHidden/>
              </w:rPr>
              <w:tab/>
            </w:r>
            <w:r w:rsidR="00C728B1">
              <w:rPr>
                <w:noProof/>
                <w:webHidden/>
              </w:rPr>
              <w:fldChar w:fldCharType="begin"/>
            </w:r>
            <w:r w:rsidR="00C728B1">
              <w:rPr>
                <w:noProof/>
                <w:webHidden/>
              </w:rPr>
              <w:instrText xml:space="preserve"> PAGEREF _Toc5798623 \h </w:instrText>
            </w:r>
            <w:r w:rsidR="00C728B1">
              <w:rPr>
                <w:noProof/>
                <w:webHidden/>
              </w:rPr>
            </w:r>
            <w:r w:rsidR="00C728B1">
              <w:rPr>
                <w:noProof/>
                <w:webHidden/>
              </w:rPr>
              <w:fldChar w:fldCharType="separate"/>
            </w:r>
            <w:r w:rsidR="00072903">
              <w:rPr>
                <w:noProof/>
                <w:webHidden/>
              </w:rPr>
              <w:t>25</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24" w:history="1">
            <w:r w:rsidR="00C728B1" w:rsidRPr="009B184C">
              <w:rPr>
                <w:rStyle w:val="Hyperlink"/>
                <w:rFonts w:eastAsiaTheme="majorEastAsia"/>
                <w:noProof/>
              </w:rPr>
              <w:t>3.1.3.</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Fiskāli nozīmīga strukturālā reforma Regulas Nr. 1175/2011 izpratnē</w:t>
            </w:r>
            <w:r w:rsidR="00C728B1">
              <w:rPr>
                <w:noProof/>
                <w:webHidden/>
              </w:rPr>
              <w:tab/>
            </w:r>
            <w:r w:rsidR="00C728B1">
              <w:rPr>
                <w:noProof/>
                <w:webHidden/>
              </w:rPr>
              <w:fldChar w:fldCharType="begin"/>
            </w:r>
            <w:r w:rsidR="00C728B1">
              <w:rPr>
                <w:noProof/>
                <w:webHidden/>
              </w:rPr>
              <w:instrText xml:space="preserve"> PAGEREF _Toc5798624 \h </w:instrText>
            </w:r>
            <w:r w:rsidR="00C728B1">
              <w:rPr>
                <w:noProof/>
                <w:webHidden/>
              </w:rPr>
            </w:r>
            <w:r w:rsidR="00C728B1">
              <w:rPr>
                <w:noProof/>
                <w:webHidden/>
              </w:rPr>
              <w:fldChar w:fldCharType="separate"/>
            </w:r>
            <w:r w:rsidR="00072903">
              <w:rPr>
                <w:noProof/>
                <w:webHidden/>
              </w:rPr>
              <w:t>28</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25" w:history="1">
            <w:r w:rsidR="00C728B1" w:rsidRPr="009B184C">
              <w:rPr>
                <w:rStyle w:val="Hyperlink"/>
                <w:rFonts w:eastAsiaTheme="majorEastAsia"/>
                <w:noProof/>
              </w:rPr>
              <w:t>3.2.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Pašreizējā fiskālā situācija</w:t>
            </w:r>
            <w:r w:rsidR="00C728B1">
              <w:rPr>
                <w:noProof/>
                <w:webHidden/>
              </w:rPr>
              <w:tab/>
            </w:r>
            <w:r w:rsidR="00C728B1">
              <w:rPr>
                <w:noProof/>
                <w:webHidden/>
              </w:rPr>
              <w:fldChar w:fldCharType="begin"/>
            </w:r>
            <w:r w:rsidR="00C728B1">
              <w:rPr>
                <w:noProof/>
                <w:webHidden/>
              </w:rPr>
              <w:instrText xml:space="preserve"> PAGEREF _Toc5798625 \h </w:instrText>
            </w:r>
            <w:r w:rsidR="00C728B1">
              <w:rPr>
                <w:noProof/>
                <w:webHidden/>
              </w:rPr>
            </w:r>
            <w:r w:rsidR="00C728B1">
              <w:rPr>
                <w:noProof/>
                <w:webHidden/>
              </w:rPr>
              <w:fldChar w:fldCharType="separate"/>
            </w:r>
            <w:r w:rsidR="00072903">
              <w:rPr>
                <w:noProof/>
                <w:webHidden/>
              </w:rPr>
              <w:t>35</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26" w:history="1">
            <w:r w:rsidR="00C728B1" w:rsidRPr="009B184C">
              <w:rPr>
                <w:rStyle w:val="Hyperlink"/>
                <w:rFonts w:eastAsiaTheme="majorEastAsia"/>
                <w:noProof/>
              </w:rPr>
              <w:t>3.3.</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Fiskālās attīstības scenārijs</w:t>
            </w:r>
            <w:r w:rsidR="00C728B1">
              <w:rPr>
                <w:noProof/>
                <w:webHidden/>
              </w:rPr>
              <w:tab/>
            </w:r>
            <w:r w:rsidR="00C728B1">
              <w:rPr>
                <w:noProof/>
                <w:webHidden/>
              </w:rPr>
              <w:fldChar w:fldCharType="begin"/>
            </w:r>
            <w:r w:rsidR="00C728B1">
              <w:rPr>
                <w:noProof/>
                <w:webHidden/>
              </w:rPr>
              <w:instrText xml:space="preserve"> PAGEREF _Toc5798626 \h </w:instrText>
            </w:r>
            <w:r w:rsidR="00C728B1">
              <w:rPr>
                <w:noProof/>
                <w:webHidden/>
              </w:rPr>
            </w:r>
            <w:r w:rsidR="00C728B1">
              <w:rPr>
                <w:noProof/>
                <w:webHidden/>
              </w:rPr>
              <w:fldChar w:fldCharType="separate"/>
            </w:r>
            <w:r w:rsidR="00072903">
              <w:rPr>
                <w:noProof/>
                <w:webHidden/>
              </w:rPr>
              <w:t>38</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27" w:history="1">
            <w:r w:rsidR="00C728B1" w:rsidRPr="009B184C">
              <w:rPr>
                <w:rStyle w:val="Hyperlink"/>
                <w:rFonts w:eastAsia="Calibri"/>
                <w:noProof/>
              </w:rPr>
              <w:t>3.4.</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Valdības parāda vidēja termiņa attīstības tendences</w:t>
            </w:r>
            <w:r w:rsidR="00C728B1">
              <w:rPr>
                <w:noProof/>
                <w:webHidden/>
              </w:rPr>
              <w:tab/>
            </w:r>
            <w:r w:rsidR="00C728B1">
              <w:rPr>
                <w:noProof/>
                <w:webHidden/>
              </w:rPr>
              <w:fldChar w:fldCharType="begin"/>
            </w:r>
            <w:r w:rsidR="00C728B1">
              <w:rPr>
                <w:noProof/>
                <w:webHidden/>
              </w:rPr>
              <w:instrText xml:space="preserve"> PAGEREF _Toc5798627 \h </w:instrText>
            </w:r>
            <w:r w:rsidR="00C728B1">
              <w:rPr>
                <w:noProof/>
                <w:webHidden/>
              </w:rPr>
            </w:r>
            <w:r w:rsidR="00C728B1">
              <w:rPr>
                <w:noProof/>
                <w:webHidden/>
              </w:rPr>
              <w:fldChar w:fldCharType="separate"/>
            </w:r>
            <w:r w:rsidR="00072903">
              <w:rPr>
                <w:noProof/>
                <w:webHidden/>
              </w:rPr>
              <w:t>44</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28" w:history="1">
            <w:r w:rsidR="00C728B1" w:rsidRPr="009B184C">
              <w:rPr>
                <w:rStyle w:val="Hyperlink"/>
                <w:rFonts w:eastAsia="Calibri"/>
                <w:noProof/>
              </w:rPr>
              <w:t>4.</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Jutīguma analīze un salīdzinājums</w:t>
            </w:r>
            <w:r w:rsidR="00C728B1">
              <w:rPr>
                <w:noProof/>
                <w:webHidden/>
              </w:rPr>
              <w:tab/>
            </w:r>
            <w:r w:rsidR="00C728B1">
              <w:rPr>
                <w:noProof/>
                <w:webHidden/>
              </w:rPr>
              <w:fldChar w:fldCharType="begin"/>
            </w:r>
            <w:r w:rsidR="00C728B1">
              <w:rPr>
                <w:noProof/>
                <w:webHidden/>
              </w:rPr>
              <w:instrText xml:space="preserve"> PAGEREF _Toc5798628 \h </w:instrText>
            </w:r>
            <w:r w:rsidR="00C728B1">
              <w:rPr>
                <w:noProof/>
                <w:webHidden/>
              </w:rPr>
            </w:r>
            <w:r w:rsidR="00C728B1">
              <w:rPr>
                <w:noProof/>
                <w:webHidden/>
              </w:rPr>
              <w:fldChar w:fldCharType="separate"/>
            </w:r>
            <w:r w:rsidR="00072903">
              <w:rPr>
                <w:noProof/>
                <w:webHidden/>
              </w:rPr>
              <w:t>47</w:t>
            </w:r>
            <w:r w:rsidR="00C728B1">
              <w:rPr>
                <w:noProof/>
                <w:webHidden/>
              </w:rPr>
              <w:fldChar w:fldCharType="end"/>
            </w:r>
          </w:hyperlink>
        </w:p>
        <w:p w:rsidR="00C728B1" w:rsidRDefault="00BE281B">
          <w:pPr>
            <w:pStyle w:val="TOC2"/>
            <w:rPr>
              <w:rFonts w:asciiTheme="minorHAnsi" w:eastAsiaTheme="minorEastAsia" w:hAnsiTheme="minorHAnsi" w:cstheme="minorBidi"/>
              <w:noProof/>
              <w:sz w:val="22"/>
              <w:szCs w:val="22"/>
              <w:lang w:eastAsia="lv-LV"/>
            </w:rPr>
          </w:pPr>
          <w:hyperlink w:anchor="_Toc5798629" w:history="1">
            <w:r w:rsidR="00C728B1" w:rsidRPr="009B184C">
              <w:rPr>
                <w:rStyle w:val="Hyperlink"/>
                <w:rFonts w:eastAsiaTheme="majorEastAsia"/>
                <w:noProof/>
              </w:rPr>
              <w:t>4.1. Makroekonomiskā scenārija riski</w:t>
            </w:r>
            <w:r w:rsidR="00C728B1">
              <w:rPr>
                <w:noProof/>
                <w:webHidden/>
              </w:rPr>
              <w:tab/>
            </w:r>
            <w:r w:rsidR="00C728B1">
              <w:rPr>
                <w:noProof/>
                <w:webHidden/>
              </w:rPr>
              <w:fldChar w:fldCharType="begin"/>
            </w:r>
            <w:r w:rsidR="00C728B1">
              <w:rPr>
                <w:noProof/>
                <w:webHidden/>
              </w:rPr>
              <w:instrText xml:space="preserve"> PAGEREF _Toc5798629 \h </w:instrText>
            </w:r>
            <w:r w:rsidR="00C728B1">
              <w:rPr>
                <w:noProof/>
                <w:webHidden/>
              </w:rPr>
            </w:r>
            <w:r w:rsidR="00C728B1">
              <w:rPr>
                <w:noProof/>
                <w:webHidden/>
              </w:rPr>
              <w:fldChar w:fldCharType="separate"/>
            </w:r>
            <w:r w:rsidR="00072903">
              <w:rPr>
                <w:noProof/>
                <w:webHidden/>
              </w:rPr>
              <w:t>47</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30" w:history="1">
            <w:r w:rsidR="00C728B1" w:rsidRPr="009B184C">
              <w:rPr>
                <w:rStyle w:val="Hyperlink"/>
                <w:rFonts w:eastAsiaTheme="majorEastAsia"/>
                <w:noProof/>
              </w:rPr>
              <w:t>4.2.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Jutīguma analīze</w:t>
            </w:r>
            <w:r w:rsidR="00C728B1">
              <w:rPr>
                <w:noProof/>
                <w:webHidden/>
              </w:rPr>
              <w:tab/>
            </w:r>
            <w:r w:rsidR="00C728B1">
              <w:rPr>
                <w:noProof/>
                <w:webHidden/>
              </w:rPr>
              <w:fldChar w:fldCharType="begin"/>
            </w:r>
            <w:r w:rsidR="00C728B1">
              <w:rPr>
                <w:noProof/>
                <w:webHidden/>
              </w:rPr>
              <w:instrText xml:space="preserve"> PAGEREF _Toc5798630 \h </w:instrText>
            </w:r>
            <w:r w:rsidR="00C728B1">
              <w:rPr>
                <w:noProof/>
                <w:webHidden/>
              </w:rPr>
            </w:r>
            <w:r w:rsidR="00C728B1">
              <w:rPr>
                <w:noProof/>
                <w:webHidden/>
              </w:rPr>
              <w:fldChar w:fldCharType="separate"/>
            </w:r>
            <w:r w:rsidR="00072903">
              <w:rPr>
                <w:noProof/>
                <w:webHidden/>
              </w:rPr>
              <w:t>47</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31" w:history="1">
            <w:r w:rsidR="00C728B1" w:rsidRPr="009B184C">
              <w:rPr>
                <w:rStyle w:val="Hyperlink"/>
                <w:rFonts w:eastAsiaTheme="majorEastAsia"/>
                <w:noProof/>
              </w:rPr>
              <w:t>4.2.1.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Optimistiskais scenārijs</w:t>
            </w:r>
            <w:r w:rsidR="00C728B1">
              <w:rPr>
                <w:noProof/>
                <w:webHidden/>
              </w:rPr>
              <w:tab/>
            </w:r>
            <w:r w:rsidR="00C728B1">
              <w:rPr>
                <w:noProof/>
                <w:webHidden/>
              </w:rPr>
              <w:fldChar w:fldCharType="begin"/>
            </w:r>
            <w:r w:rsidR="00C728B1">
              <w:rPr>
                <w:noProof/>
                <w:webHidden/>
              </w:rPr>
              <w:instrText xml:space="preserve"> PAGEREF _Toc5798631 \h </w:instrText>
            </w:r>
            <w:r w:rsidR="00C728B1">
              <w:rPr>
                <w:noProof/>
                <w:webHidden/>
              </w:rPr>
            </w:r>
            <w:r w:rsidR="00C728B1">
              <w:rPr>
                <w:noProof/>
                <w:webHidden/>
              </w:rPr>
              <w:fldChar w:fldCharType="separate"/>
            </w:r>
            <w:r w:rsidR="00072903">
              <w:rPr>
                <w:noProof/>
                <w:webHidden/>
              </w:rPr>
              <w:t>47</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32" w:history="1">
            <w:r w:rsidR="00C728B1" w:rsidRPr="009B184C">
              <w:rPr>
                <w:rStyle w:val="Hyperlink"/>
                <w:rFonts w:eastAsiaTheme="majorEastAsia"/>
                <w:noProof/>
              </w:rPr>
              <w:t>4.2.2.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Pesimistiskais scenārijs</w:t>
            </w:r>
            <w:r w:rsidR="00C728B1">
              <w:rPr>
                <w:noProof/>
                <w:webHidden/>
              </w:rPr>
              <w:tab/>
            </w:r>
            <w:r w:rsidR="00C728B1">
              <w:rPr>
                <w:noProof/>
                <w:webHidden/>
              </w:rPr>
              <w:fldChar w:fldCharType="begin"/>
            </w:r>
            <w:r w:rsidR="00C728B1">
              <w:rPr>
                <w:noProof/>
                <w:webHidden/>
              </w:rPr>
              <w:instrText xml:space="preserve"> PAGEREF _Toc5798632 \h </w:instrText>
            </w:r>
            <w:r w:rsidR="00C728B1">
              <w:rPr>
                <w:noProof/>
                <w:webHidden/>
              </w:rPr>
            </w:r>
            <w:r w:rsidR="00C728B1">
              <w:rPr>
                <w:noProof/>
                <w:webHidden/>
              </w:rPr>
              <w:fldChar w:fldCharType="separate"/>
            </w:r>
            <w:r w:rsidR="00072903">
              <w:rPr>
                <w:noProof/>
                <w:webHidden/>
              </w:rPr>
              <w:t>49</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33" w:history="1">
            <w:r w:rsidR="00C728B1" w:rsidRPr="009B184C">
              <w:rPr>
                <w:rStyle w:val="Hyperlink"/>
                <w:rFonts w:eastAsiaTheme="majorEastAsia"/>
                <w:noProof/>
              </w:rPr>
              <w:t>4.3.</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Vispārējās valdības budžeta bilances un parāda prognožu salīdzinājums ar Latvijas Stabilitātes programmu 2018. – 2021.gadam</w:t>
            </w:r>
            <w:r w:rsidR="00C728B1">
              <w:rPr>
                <w:noProof/>
                <w:webHidden/>
              </w:rPr>
              <w:tab/>
            </w:r>
            <w:r w:rsidR="00C728B1">
              <w:rPr>
                <w:noProof/>
                <w:webHidden/>
              </w:rPr>
              <w:fldChar w:fldCharType="begin"/>
            </w:r>
            <w:r w:rsidR="00C728B1">
              <w:rPr>
                <w:noProof/>
                <w:webHidden/>
              </w:rPr>
              <w:instrText xml:space="preserve"> PAGEREF _Toc5798633 \h </w:instrText>
            </w:r>
            <w:r w:rsidR="00C728B1">
              <w:rPr>
                <w:noProof/>
                <w:webHidden/>
              </w:rPr>
            </w:r>
            <w:r w:rsidR="00C728B1">
              <w:rPr>
                <w:noProof/>
                <w:webHidden/>
              </w:rPr>
              <w:fldChar w:fldCharType="separate"/>
            </w:r>
            <w:r w:rsidR="00072903">
              <w:rPr>
                <w:noProof/>
                <w:webHidden/>
              </w:rPr>
              <w:t>51</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34" w:history="1">
            <w:r w:rsidR="00C728B1" w:rsidRPr="009B184C">
              <w:rPr>
                <w:rStyle w:val="Hyperlink"/>
                <w:rFonts w:eastAsiaTheme="majorEastAsia"/>
                <w:noProof/>
              </w:rPr>
              <w:t>5.</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Valsts finanšu kvalitāte</w:t>
            </w:r>
            <w:r w:rsidR="00C728B1">
              <w:rPr>
                <w:noProof/>
                <w:webHidden/>
              </w:rPr>
              <w:tab/>
            </w:r>
            <w:r w:rsidR="00C728B1">
              <w:rPr>
                <w:noProof/>
                <w:webHidden/>
              </w:rPr>
              <w:fldChar w:fldCharType="begin"/>
            </w:r>
            <w:r w:rsidR="00C728B1">
              <w:rPr>
                <w:noProof/>
                <w:webHidden/>
              </w:rPr>
              <w:instrText xml:space="preserve"> PAGEREF _Toc5798634 \h </w:instrText>
            </w:r>
            <w:r w:rsidR="00C728B1">
              <w:rPr>
                <w:noProof/>
                <w:webHidden/>
              </w:rPr>
            </w:r>
            <w:r w:rsidR="00C728B1">
              <w:rPr>
                <w:noProof/>
                <w:webHidden/>
              </w:rPr>
              <w:fldChar w:fldCharType="separate"/>
            </w:r>
            <w:r w:rsidR="00072903">
              <w:rPr>
                <w:noProof/>
                <w:webHidden/>
              </w:rPr>
              <w:t>53</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35" w:history="1">
            <w:r w:rsidR="00C728B1" w:rsidRPr="009B184C">
              <w:rPr>
                <w:rStyle w:val="Hyperlink"/>
                <w:rFonts w:eastAsiaTheme="majorEastAsia"/>
                <w:noProof/>
              </w:rPr>
              <w:t>5.1.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Valsts budžeta līdzekļu efektivitāte un izlietojuma kontrole</w:t>
            </w:r>
            <w:r w:rsidR="00C728B1">
              <w:rPr>
                <w:noProof/>
                <w:webHidden/>
              </w:rPr>
              <w:tab/>
            </w:r>
            <w:r w:rsidR="00C728B1">
              <w:rPr>
                <w:noProof/>
                <w:webHidden/>
              </w:rPr>
              <w:fldChar w:fldCharType="begin"/>
            </w:r>
            <w:r w:rsidR="00C728B1">
              <w:rPr>
                <w:noProof/>
                <w:webHidden/>
              </w:rPr>
              <w:instrText xml:space="preserve"> PAGEREF _Toc5798635 \h </w:instrText>
            </w:r>
            <w:r w:rsidR="00C728B1">
              <w:rPr>
                <w:noProof/>
                <w:webHidden/>
              </w:rPr>
            </w:r>
            <w:r w:rsidR="00C728B1">
              <w:rPr>
                <w:noProof/>
                <w:webHidden/>
              </w:rPr>
              <w:fldChar w:fldCharType="separate"/>
            </w:r>
            <w:r w:rsidR="00072903">
              <w:rPr>
                <w:noProof/>
                <w:webHidden/>
              </w:rPr>
              <w:t>53</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36" w:history="1">
            <w:r w:rsidR="00C728B1" w:rsidRPr="009B184C">
              <w:rPr>
                <w:rStyle w:val="Hyperlink"/>
                <w:rFonts w:eastAsiaTheme="majorEastAsia"/>
                <w:noProof/>
              </w:rPr>
              <w:t>5.2.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Ieņēmumu struktūras un sistēmas efektivitāte</w:t>
            </w:r>
            <w:r w:rsidR="00C728B1">
              <w:rPr>
                <w:noProof/>
                <w:webHidden/>
              </w:rPr>
              <w:tab/>
            </w:r>
            <w:r w:rsidR="00C728B1">
              <w:rPr>
                <w:noProof/>
                <w:webHidden/>
              </w:rPr>
              <w:fldChar w:fldCharType="begin"/>
            </w:r>
            <w:r w:rsidR="00C728B1">
              <w:rPr>
                <w:noProof/>
                <w:webHidden/>
              </w:rPr>
              <w:instrText xml:space="preserve"> PAGEREF _Toc5798636 \h </w:instrText>
            </w:r>
            <w:r w:rsidR="00C728B1">
              <w:rPr>
                <w:noProof/>
                <w:webHidden/>
              </w:rPr>
            </w:r>
            <w:r w:rsidR="00C728B1">
              <w:rPr>
                <w:noProof/>
                <w:webHidden/>
              </w:rPr>
              <w:fldChar w:fldCharType="separate"/>
            </w:r>
            <w:r w:rsidR="00072903">
              <w:rPr>
                <w:noProof/>
                <w:webHidden/>
              </w:rPr>
              <w:t>57</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37" w:history="1">
            <w:r w:rsidR="00C728B1" w:rsidRPr="009B184C">
              <w:rPr>
                <w:rStyle w:val="Hyperlink"/>
                <w:noProof/>
              </w:rPr>
              <w:t>5.2.1.</w:t>
            </w:r>
            <w:r w:rsidR="00C728B1">
              <w:rPr>
                <w:rFonts w:asciiTheme="minorHAnsi" w:eastAsiaTheme="minorEastAsia" w:hAnsiTheme="minorHAnsi" w:cstheme="minorBidi"/>
                <w:noProof/>
                <w:sz w:val="22"/>
                <w:szCs w:val="22"/>
                <w:lang w:eastAsia="lv-LV"/>
              </w:rPr>
              <w:tab/>
            </w:r>
            <w:r w:rsidR="00C728B1" w:rsidRPr="009B184C">
              <w:rPr>
                <w:rStyle w:val="Hyperlink"/>
                <w:noProof/>
              </w:rPr>
              <w:t>Nodokļu reformas pasākumi</w:t>
            </w:r>
            <w:r w:rsidR="00C728B1">
              <w:rPr>
                <w:noProof/>
                <w:webHidden/>
              </w:rPr>
              <w:tab/>
            </w:r>
            <w:r w:rsidR="00C728B1">
              <w:rPr>
                <w:noProof/>
                <w:webHidden/>
              </w:rPr>
              <w:fldChar w:fldCharType="begin"/>
            </w:r>
            <w:r w:rsidR="00C728B1">
              <w:rPr>
                <w:noProof/>
                <w:webHidden/>
              </w:rPr>
              <w:instrText xml:space="preserve"> PAGEREF _Toc5798637 \h </w:instrText>
            </w:r>
            <w:r w:rsidR="00C728B1">
              <w:rPr>
                <w:noProof/>
                <w:webHidden/>
              </w:rPr>
            </w:r>
            <w:r w:rsidR="00C728B1">
              <w:rPr>
                <w:noProof/>
                <w:webHidden/>
              </w:rPr>
              <w:fldChar w:fldCharType="separate"/>
            </w:r>
            <w:r w:rsidR="00072903">
              <w:rPr>
                <w:noProof/>
                <w:webHidden/>
              </w:rPr>
              <w:t>58</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38" w:history="1">
            <w:r w:rsidR="00C728B1" w:rsidRPr="009B184C">
              <w:rPr>
                <w:rStyle w:val="Hyperlink"/>
                <w:noProof/>
              </w:rPr>
              <w:t>5.2.2. Starpposmā starp nodokļu reformu un 2019.gada budžetu pielemtie pasākumi</w:t>
            </w:r>
            <w:r w:rsidR="00C728B1">
              <w:rPr>
                <w:noProof/>
                <w:webHidden/>
              </w:rPr>
              <w:tab/>
            </w:r>
            <w:r w:rsidR="00C728B1">
              <w:rPr>
                <w:noProof/>
                <w:webHidden/>
              </w:rPr>
              <w:fldChar w:fldCharType="begin"/>
            </w:r>
            <w:r w:rsidR="00C728B1">
              <w:rPr>
                <w:noProof/>
                <w:webHidden/>
              </w:rPr>
              <w:instrText xml:space="preserve"> PAGEREF _Toc5798638 \h </w:instrText>
            </w:r>
            <w:r w:rsidR="00C728B1">
              <w:rPr>
                <w:noProof/>
                <w:webHidden/>
              </w:rPr>
            </w:r>
            <w:r w:rsidR="00C728B1">
              <w:rPr>
                <w:noProof/>
                <w:webHidden/>
              </w:rPr>
              <w:fldChar w:fldCharType="separate"/>
            </w:r>
            <w:r w:rsidR="00072903">
              <w:rPr>
                <w:noProof/>
                <w:webHidden/>
              </w:rPr>
              <w:t>64</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39" w:history="1">
            <w:r w:rsidR="00C728B1" w:rsidRPr="009B184C">
              <w:rPr>
                <w:rStyle w:val="Hyperlink"/>
                <w:noProof/>
              </w:rPr>
              <w:t>5.2.3.</w:t>
            </w:r>
            <w:r w:rsidR="00C728B1">
              <w:rPr>
                <w:rFonts w:asciiTheme="minorHAnsi" w:eastAsiaTheme="minorEastAsia" w:hAnsiTheme="minorHAnsi" w:cstheme="minorBidi"/>
                <w:noProof/>
                <w:sz w:val="22"/>
                <w:szCs w:val="22"/>
                <w:lang w:eastAsia="lv-LV"/>
              </w:rPr>
              <w:tab/>
            </w:r>
            <w:r w:rsidR="00C728B1" w:rsidRPr="009B184C">
              <w:rPr>
                <w:rStyle w:val="Hyperlink"/>
                <w:noProof/>
              </w:rPr>
              <w:t>2019.gada budžeta pakā virzītie pasākumi</w:t>
            </w:r>
            <w:r w:rsidR="00C728B1">
              <w:rPr>
                <w:noProof/>
                <w:webHidden/>
              </w:rPr>
              <w:tab/>
            </w:r>
            <w:r w:rsidR="00C728B1">
              <w:rPr>
                <w:noProof/>
                <w:webHidden/>
              </w:rPr>
              <w:fldChar w:fldCharType="begin"/>
            </w:r>
            <w:r w:rsidR="00C728B1">
              <w:rPr>
                <w:noProof/>
                <w:webHidden/>
              </w:rPr>
              <w:instrText xml:space="preserve"> PAGEREF _Toc5798639 \h </w:instrText>
            </w:r>
            <w:r w:rsidR="00C728B1">
              <w:rPr>
                <w:noProof/>
                <w:webHidden/>
              </w:rPr>
            </w:r>
            <w:r w:rsidR="00C728B1">
              <w:rPr>
                <w:noProof/>
                <w:webHidden/>
              </w:rPr>
              <w:fldChar w:fldCharType="separate"/>
            </w:r>
            <w:r w:rsidR="00072903">
              <w:rPr>
                <w:noProof/>
                <w:webHidden/>
              </w:rPr>
              <w:t>66</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40" w:history="1">
            <w:r w:rsidR="00C728B1" w:rsidRPr="009B184C">
              <w:rPr>
                <w:rStyle w:val="Hyperlink"/>
                <w:rFonts w:eastAsiaTheme="majorEastAsia"/>
                <w:noProof/>
              </w:rPr>
              <w:t>6.</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Publisko finanšu ilgtspēja</w:t>
            </w:r>
            <w:r w:rsidR="00C728B1">
              <w:rPr>
                <w:noProof/>
                <w:webHidden/>
              </w:rPr>
              <w:tab/>
            </w:r>
            <w:r w:rsidR="00C728B1">
              <w:rPr>
                <w:noProof/>
                <w:webHidden/>
              </w:rPr>
              <w:fldChar w:fldCharType="begin"/>
            </w:r>
            <w:r w:rsidR="00C728B1">
              <w:rPr>
                <w:noProof/>
                <w:webHidden/>
              </w:rPr>
              <w:instrText xml:space="preserve"> PAGEREF _Toc5798640 \h </w:instrText>
            </w:r>
            <w:r w:rsidR="00C728B1">
              <w:rPr>
                <w:noProof/>
                <w:webHidden/>
              </w:rPr>
            </w:r>
            <w:r w:rsidR="00C728B1">
              <w:rPr>
                <w:noProof/>
                <w:webHidden/>
              </w:rPr>
              <w:fldChar w:fldCharType="separate"/>
            </w:r>
            <w:r w:rsidR="00072903">
              <w:rPr>
                <w:noProof/>
                <w:webHidden/>
              </w:rPr>
              <w:t>67</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41" w:history="1">
            <w:r w:rsidR="00C728B1" w:rsidRPr="009B184C">
              <w:rPr>
                <w:rStyle w:val="Hyperlink"/>
                <w:rFonts w:eastAsiaTheme="majorEastAsia"/>
                <w:noProof/>
              </w:rPr>
              <w:t>6.1.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Publisko finanšu ilgtermiņa attīstības scenārijs</w:t>
            </w:r>
            <w:r w:rsidR="00C728B1">
              <w:rPr>
                <w:noProof/>
                <w:webHidden/>
              </w:rPr>
              <w:tab/>
            </w:r>
            <w:r w:rsidR="00C728B1">
              <w:rPr>
                <w:noProof/>
                <w:webHidden/>
              </w:rPr>
              <w:fldChar w:fldCharType="begin"/>
            </w:r>
            <w:r w:rsidR="00C728B1">
              <w:rPr>
                <w:noProof/>
                <w:webHidden/>
              </w:rPr>
              <w:instrText xml:space="preserve"> PAGEREF _Toc5798641 \h </w:instrText>
            </w:r>
            <w:r w:rsidR="00C728B1">
              <w:rPr>
                <w:noProof/>
                <w:webHidden/>
              </w:rPr>
            </w:r>
            <w:r w:rsidR="00C728B1">
              <w:rPr>
                <w:noProof/>
                <w:webHidden/>
              </w:rPr>
              <w:fldChar w:fldCharType="separate"/>
            </w:r>
            <w:r w:rsidR="00072903">
              <w:rPr>
                <w:noProof/>
                <w:webHidden/>
              </w:rPr>
              <w:t>67</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42" w:history="1">
            <w:r w:rsidR="00C728B1" w:rsidRPr="009B184C">
              <w:rPr>
                <w:rStyle w:val="Hyperlink"/>
                <w:rFonts w:eastAsiaTheme="majorEastAsia"/>
                <w:noProof/>
              </w:rPr>
              <w:t>6.2.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Valsts sniegtie galvojumi</w:t>
            </w:r>
            <w:r w:rsidR="00C728B1">
              <w:rPr>
                <w:noProof/>
                <w:webHidden/>
              </w:rPr>
              <w:tab/>
            </w:r>
            <w:r w:rsidR="00C728B1">
              <w:rPr>
                <w:noProof/>
                <w:webHidden/>
              </w:rPr>
              <w:fldChar w:fldCharType="begin"/>
            </w:r>
            <w:r w:rsidR="00C728B1">
              <w:rPr>
                <w:noProof/>
                <w:webHidden/>
              </w:rPr>
              <w:instrText xml:space="preserve"> PAGEREF _Toc5798642 \h </w:instrText>
            </w:r>
            <w:r w:rsidR="00C728B1">
              <w:rPr>
                <w:noProof/>
                <w:webHidden/>
              </w:rPr>
            </w:r>
            <w:r w:rsidR="00C728B1">
              <w:rPr>
                <w:noProof/>
                <w:webHidden/>
              </w:rPr>
              <w:fldChar w:fldCharType="separate"/>
            </w:r>
            <w:r w:rsidR="00072903">
              <w:rPr>
                <w:noProof/>
                <w:webHidden/>
              </w:rPr>
              <w:t>72</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43" w:history="1">
            <w:r w:rsidR="00C728B1" w:rsidRPr="009B184C">
              <w:rPr>
                <w:rStyle w:val="Hyperlink"/>
                <w:rFonts w:eastAsiaTheme="majorEastAsia"/>
                <w:noProof/>
              </w:rPr>
              <w:t>7.</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Valsts finanšu institucionālās iezīmes</w:t>
            </w:r>
            <w:r w:rsidR="00C728B1">
              <w:rPr>
                <w:noProof/>
                <w:webHidden/>
              </w:rPr>
              <w:tab/>
            </w:r>
            <w:r w:rsidR="00C728B1">
              <w:rPr>
                <w:noProof/>
                <w:webHidden/>
              </w:rPr>
              <w:fldChar w:fldCharType="begin"/>
            </w:r>
            <w:r w:rsidR="00C728B1">
              <w:rPr>
                <w:noProof/>
                <w:webHidden/>
              </w:rPr>
              <w:instrText xml:space="preserve"> PAGEREF _Toc5798643 \h </w:instrText>
            </w:r>
            <w:r w:rsidR="00C728B1">
              <w:rPr>
                <w:noProof/>
                <w:webHidden/>
              </w:rPr>
            </w:r>
            <w:r w:rsidR="00C728B1">
              <w:rPr>
                <w:noProof/>
                <w:webHidden/>
              </w:rPr>
              <w:fldChar w:fldCharType="separate"/>
            </w:r>
            <w:r w:rsidR="00072903">
              <w:rPr>
                <w:noProof/>
                <w:webHidden/>
              </w:rPr>
              <w:t>74</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44" w:history="1">
            <w:r w:rsidR="00C728B1" w:rsidRPr="009B184C">
              <w:rPr>
                <w:rStyle w:val="Hyperlink"/>
                <w:rFonts w:eastAsiaTheme="majorEastAsia"/>
                <w:noProof/>
              </w:rPr>
              <w:t>7.1.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Valsts budžeta noteikumu ieviešana un citas institucionālās attīstības attiecībā uz valsts finansēm</w:t>
            </w:r>
            <w:r w:rsidR="00C728B1">
              <w:rPr>
                <w:noProof/>
                <w:webHidden/>
              </w:rPr>
              <w:tab/>
            </w:r>
            <w:r w:rsidR="00C728B1">
              <w:rPr>
                <w:noProof/>
                <w:webHidden/>
              </w:rPr>
              <w:fldChar w:fldCharType="begin"/>
            </w:r>
            <w:r w:rsidR="00C728B1">
              <w:rPr>
                <w:noProof/>
                <w:webHidden/>
              </w:rPr>
              <w:instrText xml:space="preserve"> PAGEREF _Toc5798644 \h </w:instrText>
            </w:r>
            <w:r w:rsidR="00C728B1">
              <w:rPr>
                <w:noProof/>
                <w:webHidden/>
              </w:rPr>
            </w:r>
            <w:r w:rsidR="00C728B1">
              <w:rPr>
                <w:noProof/>
                <w:webHidden/>
              </w:rPr>
              <w:fldChar w:fldCharType="separate"/>
            </w:r>
            <w:r w:rsidR="00072903">
              <w:rPr>
                <w:noProof/>
                <w:webHidden/>
              </w:rPr>
              <w:t>74</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45" w:history="1">
            <w:r w:rsidR="00C728B1" w:rsidRPr="009B184C">
              <w:rPr>
                <w:rStyle w:val="Hyperlink"/>
                <w:rFonts w:eastAsiaTheme="majorEastAsia"/>
                <w:noProof/>
              </w:rPr>
              <w:t>7.2.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Vidēja termiņa budžeta plānošana</w:t>
            </w:r>
            <w:r w:rsidR="00C728B1">
              <w:rPr>
                <w:noProof/>
                <w:webHidden/>
              </w:rPr>
              <w:tab/>
            </w:r>
            <w:r w:rsidR="00C728B1">
              <w:rPr>
                <w:noProof/>
                <w:webHidden/>
              </w:rPr>
              <w:fldChar w:fldCharType="begin"/>
            </w:r>
            <w:r w:rsidR="00C728B1">
              <w:rPr>
                <w:noProof/>
                <w:webHidden/>
              </w:rPr>
              <w:instrText xml:space="preserve"> PAGEREF _Toc5798645 \h </w:instrText>
            </w:r>
            <w:r w:rsidR="00C728B1">
              <w:rPr>
                <w:noProof/>
                <w:webHidden/>
              </w:rPr>
            </w:r>
            <w:r w:rsidR="00C728B1">
              <w:rPr>
                <w:noProof/>
                <w:webHidden/>
              </w:rPr>
              <w:fldChar w:fldCharType="separate"/>
            </w:r>
            <w:r w:rsidR="00072903">
              <w:rPr>
                <w:noProof/>
                <w:webHidden/>
              </w:rPr>
              <w:t>74</w:t>
            </w:r>
            <w:r w:rsidR="00C728B1">
              <w:rPr>
                <w:noProof/>
                <w:webHidden/>
              </w:rPr>
              <w:fldChar w:fldCharType="end"/>
            </w:r>
          </w:hyperlink>
        </w:p>
        <w:p w:rsidR="00C728B1" w:rsidRDefault="00BE281B">
          <w:pPr>
            <w:pStyle w:val="TOC2"/>
            <w:tabs>
              <w:tab w:val="left" w:pos="880"/>
            </w:tabs>
            <w:rPr>
              <w:rFonts w:asciiTheme="minorHAnsi" w:eastAsiaTheme="minorEastAsia" w:hAnsiTheme="minorHAnsi" w:cstheme="minorBidi"/>
              <w:noProof/>
              <w:sz w:val="22"/>
              <w:szCs w:val="22"/>
              <w:lang w:eastAsia="lv-LV"/>
            </w:rPr>
          </w:pPr>
          <w:hyperlink w:anchor="_Toc5798646" w:history="1">
            <w:r w:rsidR="00C728B1" w:rsidRPr="009B184C">
              <w:rPr>
                <w:rStyle w:val="Hyperlink"/>
                <w:rFonts w:eastAsiaTheme="majorEastAsia"/>
                <w:noProof/>
              </w:rPr>
              <w:t>7.3.</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Budžeta procedūras, t.sk. valsts finanšu statistikas pārvalde</w:t>
            </w:r>
            <w:r w:rsidR="00C728B1">
              <w:rPr>
                <w:noProof/>
                <w:webHidden/>
              </w:rPr>
              <w:tab/>
            </w:r>
            <w:r w:rsidR="00C728B1">
              <w:rPr>
                <w:noProof/>
                <w:webHidden/>
              </w:rPr>
              <w:fldChar w:fldCharType="begin"/>
            </w:r>
            <w:r w:rsidR="00C728B1">
              <w:rPr>
                <w:noProof/>
                <w:webHidden/>
              </w:rPr>
              <w:instrText xml:space="preserve"> PAGEREF _Toc5798646 \h </w:instrText>
            </w:r>
            <w:r w:rsidR="00C728B1">
              <w:rPr>
                <w:noProof/>
                <w:webHidden/>
              </w:rPr>
            </w:r>
            <w:r w:rsidR="00C728B1">
              <w:rPr>
                <w:noProof/>
                <w:webHidden/>
              </w:rPr>
              <w:fldChar w:fldCharType="separate"/>
            </w:r>
            <w:r w:rsidR="00072903">
              <w:rPr>
                <w:noProof/>
                <w:webHidden/>
              </w:rPr>
              <w:t>75</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47" w:history="1">
            <w:r w:rsidR="00C728B1" w:rsidRPr="009B184C">
              <w:rPr>
                <w:rStyle w:val="Hyperlink"/>
                <w:rFonts w:eastAsiaTheme="majorEastAsia"/>
                <w:noProof/>
              </w:rPr>
              <w:t>7.3.1.</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Budžeta procedūras</w:t>
            </w:r>
            <w:r w:rsidR="00C728B1">
              <w:rPr>
                <w:noProof/>
                <w:webHidden/>
              </w:rPr>
              <w:tab/>
            </w:r>
            <w:r w:rsidR="00C728B1">
              <w:rPr>
                <w:noProof/>
                <w:webHidden/>
              </w:rPr>
              <w:fldChar w:fldCharType="begin"/>
            </w:r>
            <w:r w:rsidR="00C728B1">
              <w:rPr>
                <w:noProof/>
                <w:webHidden/>
              </w:rPr>
              <w:instrText xml:space="preserve"> PAGEREF _Toc5798647 \h </w:instrText>
            </w:r>
            <w:r w:rsidR="00C728B1">
              <w:rPr>
                <w:noProof/>
                <w:webHidden/>
              </w:rPr>
            </w:r>
            <w:r w:rsidR="00C728B1">
              <w:rPr>
                <w:noProof/>
                <w:webHidden/>
              </w:rPr>
              <w:fldChar w:fldCharType="separate"/>
            </w:r>
            <w:r w:rsidR="00072903">
              <w:rPr>
                <w:noProof/>
                <w:webHidden/>
              </w:rPr>
              <w:t>75</w:t>
            </w:r>
            <w:r w:rsidR="00C728B1">
              <w:rPr>
                <w:noProof/>
                <w:webHidden/>
              </w:rPr>
              <w:fldChar w:fldCharType="end"/>
            </w:r>
          </w:hyperlink>
        </w:p>
        <w:p w:rsidR="00C728B1" w:rsidRDefault="00BE281B">
          <w:pPr>
            <w:pStyle w:val="TOC3"/>
            <w:rPr>
              <w:rFonts w:asciiTheme="minorHAnsi" w:eastAsiaTheme="minorEastAsia" w:hAnsiTheme="minorHAnsi" w:cstheme="minorBidi"/>
              <w:noProof/>
              <w:sz w:val="22"/>
              <w:szCs w:val="22"/>
              <w:lang w:eastAsia="lv-LV"/>
            </w:rPr>
          </w:pPr>
          <w:hyperlink w:anchor="_Toc5798648" w:history="1">
            <w:r w:rsidR="00C728B1" w:rsidRPr="009B184C">
              <w:rPr>
                <w:rStyle w:val="Hyperlink"/>
                <w:rFonts w:eastAsiaTheme="majorEastAsia"/>
                <w:noProof/>
              </w:rPr>
              <w:t>7.3.2.</w:t>
            </w:r>
            <w:r w:rsidR="00C728B1">
              <w:rPr>
                <w:rFonts w:asciiTheme="minorHAnsi" w:eastAsiaTheme="minorEastAsia" w:hAnsiTheme="minorHAnsi" w:cstheme="minorBidi"/>
                <w:noProof/>
                <w:sz w:val="22"/>
                <w:szCs w:val="22"/>
                <w:lang w:eastAsia="lv-LV"/>
              </w:rPr>
              <w:tab/>
            </w:r>
            <w:r w:rsidR="00C728B1" w:rsidRPr="009B184C">
              <w:rPr>
                <w:rStyle w:val="Hyperlink"/>
                <w:rFonts w:eastAsiaTheme="majorEastAsia"/>
                <w:noProof/>
              </w:rPr>
              <w:t>Valsts finanšu statistikas pārvaldība</w:t>
            </w:r>
            <w:r w:rsidR="00C728B1">
              <w:rPr>
                <w:noProof/>
                <w:webHidden/>
              </w:rPr>
              <w:tab/>
            </w:r>
            <w:r w:rsidR="00C728B1">
              <w:rPr>
                <w:noProof/>
                <w:webHidden/>
              </w:rPr>
              <w:fldChar w:fldCharType="begin"/>
            </w:r>
            <w:r w:rsidR="00C728B1">
              <w:rPr>
                <w:noProof/>
                <w:webHidden/>
              </w:rPr>
              <w:instrText xml:space="preserve"> PAGEREF _Toc5798648 \h </w:instrText>
            </w:r>
            <w:r w:rsidR="00C728B1">
              <w:rPr>
                <w:noProof/>
                <w:webHidden/>
              </w:rPr>
            </w:r>
            <w:r w:rsidR="00C728B1">
              <w:rPr>
                <w:noProof/>
                <w:webHidden/>
              </w:rPr>
              <w:fldChar w:fldCharType="separate"/>
            </w:r>
            <w:r w:rsidR="00072903">
              <w:rPr>
                <w:noProof/>
                <w:webHidden/>
              </w:rPr>
              <w:t>77</w:t>
            </w:r>
            <w:r w:rsidR="00C728B1">
              <w:rPr>
                <w:noProof/>
                <w:webHidden/>
              </w:rPr>
              <w:fldChar w:fldCharType="end"/>
            </w:r>
          </w:hyperlink>
        </w:p>
        <w:p w:rsidR="00C728B1" w:rsidRDefault="00BE281B">
          <w:pPr>
            <w:pStyle w:val="TOC1"/>
            <w:rPr>
              <w:rFonts w:asciiTheme="minorHAnsi" w:eastAsiaTheme="minorEastAsia" w:hAnsiTheme="minorHAnsi" w:cstheme="minorBidi"/>
              <w:noProof/>
              <w:sz w:val="22"/>
              <w:szCs w:val="22"/>
              <w:lang w:eastAsia="lv-LV"/>
            </w:rPr>
          </w:pPr>
          <w:hyperlink w:anchor="_Toc5798649" w:history="1">
            <w:r w:rsidR="00C728B1" w:rsidRPr="009B184C">
              <w:rPr>
                <w:rStyle w:val="Hyperlink"/>
                <w:rFonts w:eastAsiaTheme="majorEastAsia"/>
                <w:noProof/>
              </w:rPr>
              <w:t>Pielikumi</w:t>
            </w:r>
            <w:r w:rsidR="00C728B1">
              <w:rPr>
                <w:noProof/>
                <w:webHidden/>
              </w:rPr>
              <w:tab/>
            </w:r>
            <w:r w:rsidR="00C728B1">
              <w:rPr>
                <w:noProof/>
                <w:webHidden/>
              </w:rPr>
              <w:fldChar w:fldCharType="begin"/>
            </w:r>
            <w:r w:rsidR="00C728B1">
              <w:rPr>
                <w:noProof/>
                <w:webHidden/>
              </w:rPr>
              <w:instrText xml:space="preserve"> PAGEREF _Toc5798649 \h </w:instrText>
            </w:r>
            <w:r w:rsidR="00C728B1">
              <w:rPr>
                <w:noProof/>
                <w:webHidden/>
              </w:rPr>
            </w:r>
            <w:r w:rsidR="00C728B1">
              <w:rPr>
                <w:noProof/>
                <w:webHidden/>
              </w:rPr>
              <w:fldChar w:fldCharType="separate"/>
            </w:r>
            <w:r w:rsidR="00072903">
              <w:rPr>
                <w:noProof/>
                <w:webHidden/>
              </w:rPr>
              <w:t>79</w:t>
            </w:r>
            <w:r w:rsidR="00C728B1">
              <w:rPr>
                <w:noProof/>
                <w:webHidden/>
              </w:rPr>
              <w:fldChar w:fldCharType="end"/>
            </w:r>
          </w:hyperlink>
        </w:p>
        <w:p w:rsidR="00AE4A09" w:rsidRDefault="006C007F" w:rsidP="00AE4A09">
          <w:pPr>
            <w:spacing w:after="0" w:line="240" w:lineRule="auto"/>
            <w:rPr>
              <w:noProof/>
            </w:rPr>
          </w:pPr>
          <w:r>
            <w:rPr>
              <w:b/>
              <w:bCs/>
              <w:noProof/>
            </w:rPr>
            <w:fldChar w:fldCharType="end"/>
          </w:r>
        </w:p>
      </w:sdtContent>
    </w:sdt>
    <w:p w:rsidR="00551458" w:rsidRPr="00AE4A09" w:rsidRDefault="00551458" w:rsidP="00AE4A09">
      <w:pPr>
        <w:spacing w:after="60"/>
      </w:pPr>
      <w:r>
        <w:rPr>
          <w:rFonts w:ascii="Times New Roman" w:hAnsi="Times New Roman" w:cs="Times New Roman"/>
          <w:b/>
          <w:color w:val="000000"/>
          <w:sz w:val="28"/>
          <w:szCs w:val="24"/>
          <w:lang w:eastAsia="lv-LV"/>
        </w:rPr>
        <w:br w:type="page"/>
      </w:r>
    </w:p>
    <w:p w:rsidR="003F78CC" w:rsidRPr="00F51615" w:rsidRDefault="003F78CC" w:rsidP="003F78CC">
      <w:pPr>
        <w:tabs>
          <w:tab w:val="left" w:pos="3544"/>
        </w:tabs>
        <w:jc w:val="center"/>
        <w:rPr>
          <w:rFonts w:ascii="Times New Roman" w:hAnsi="Times New Roman" w:cs="Times New Roman"/>
          <w:b/>
          <w:color w:val="000000"/>
          <w:sz w:val="28"/>
          <w:szCs w:val="24"/>
          <w:lang w:eastAsia="lv-LV"/>
        </w:rPr>
      </w:pPr>
      <w:r w:rsidRPr="00F51615">
        <w:rPr>
          <w:rFonts w:ascii="Times New Roman" w:hAnsi="Times New Roman" w:cs="Times New Roman"/>
          <w:b/>
          <w:color w:val="000000"/>
          <w:sz w:val="28"/>
          <w:szCs w:val="24"/>
          <w:lang w:eastAsia="lv-LV"/>
        </w:rPr>
        <w:lastRenderedPageBreak/>
        <w:t>Saīsinājumu apzīmējumi</w:t>
      </w:r>
    </w:p>
    <w:p w:rsidR="0051767F" w:rsidRDefault="0051767F" w:rsidP="005F72E5">
      <w:pPr>
        <w:tabs>
          <w:tab w:val="left" w:pos="3544"/>
        </w:tabs>
        <w:spacing w:after="40" w:line="240" w:lineRule="auto"/>
        <w:jc w:val="both"/>
        <w:rPr>
          <w:rFonts w:ascii="Times New Roman" w:hAnsi="Times New Roman" w:cs="Times New Roman"/>
          <w:color w:val="000000"/>
          <w:sz w:val="24"/>
          <w:szCs w:val="24"/>
          <w:lang w:eastAsia="lv-LV"/>
        </w:rPr>
      </w:pPr>
      <w:r>
        <w:rPr>
          <w:rFonts w:ascii="Times New Roman" w:hAnsi="Times New Roman" w:cs="Times New Roman"/>
          <w:sz w:val="24"/>
          <w:szCs w:val="24"/>
        </w:rPr>
        <w:t>ALTUM</w:t>
      </w:r>
      <w:r>
        <w:rPr>
          <w:rFonts w:ascii="Times New Roman" w:hAnsi="Times New Roman" w:cs="Times New Roman"/>
          <w:color w:val="000000"/>
          <w:sz w:val="24"/>
          <w:szCs w:val="24"/>
          <w:lang w:eastAsia="lv-LV"/>
        </w:rPr>
        <w:tab/>
      </w:r>
      <w:r w:rsidRPr="00DC25E6">
        <w:rPr>
          <w:rFonts w:ascii="Times New Roman" w:hAnsi="Times New Roman" w:cs="Times New Roman"/>
          <w:sz w:val="24"/>
          <w:szCs w:val="24"/>
        </w:rPr>
        <w:t>AS „Attīstības finanšu institūcija „A</w:t>
      </w:r>
      <w:r>
        <w:rPr>
          <w:rFonts w:ascii="Times New Roman" w:hAnsi="Times New Roman" w:cs="Times New Roman"/>
          <w:sz w:val="24"/>
          <w:szCs w:val="24"/>
        </w:rPr>
        <w:t>LTUM</w:t>
      </w:r>
      <w:r w:rsidRPr="00DC25E6">
        <w:rPr>
          <w:rFonts w:ascii="Times New Roman" w:hAnsi="Times New Roman" w:cs="Times New Roman"/>
          <w:sz w:val="24"/>
          <w:szCs w:val="24"/>
        </w:rPr>
        <w:t>””</w:t>
      </w:r>
    </w:p>
    <w:p w:rsidR="0051767F" w:rsidRPr="00AF71D1"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AF71D1">
        <w:rPr>
          <w:rFonts w:ascii="Times New Roman" w:hAnsi="Times New Roman" w:cs="Times New Roman"/>
          <w:color w:val="000000"/>
          <w:sz w:val="24"/>
          <w:szCs w:val="24"/>
          <w:lang w:eastAsia="lv-LV"/>
        </w:rPr>
        <w:t>ASV</w:t>
      </w:r>
      <w:r w:rsidRPr="00AF71D1">
        <w:rPr>
          <w:rFonts w:ascii="Times New Roman" w:hAnsi="Times New Roman" w:cs="Times New Roman"/>
          <w:color w:val="000000"/>
          <w:sz w:val="24"/>
          <w:szCs w:val="24"/>
          <w:lang w:eastAsia="lv-LV"/>
        </w:rPr>
        <w:tab/>
        <w:t>Amerikas Savienotās valstis</w:t>
      </w:r>
    </w:p>
    <w:p w:rsidR="0051767F" w:rsidRPr="00AF71D1" w:rsidRDefault="0051767F" w:rsidP="004E0A34">
      <w:pPr>
        <w:tabs>
          <w:tab w:val="left" w:pos="1276"/>
          <w:tab w:val="left" w:pos="3544"/>
        </w:tabs>
        <w:spacing w:after="40" w:line="240" w:lineRule="auto"/>
        <w:ind w:left="3544" w:hanging="3544"/>
        <w:jc w:val="both"/>
        <w:rPr>
          <w:rFonts w:ascii="Times New Roman" w:hAnsi="Times New Roman"/>
          <w:sz w:val="24"/>
        </w:rPr>
      </w:pPr>
      <w:r w:rsidRPr="00AF71D1">
        <w:rPr>
          <w:rFonts w:ascii="Times New Roman" w:hAnsi="Times New Roman"/>
          <w:sz w:val="24"/>
        </w:rPr>
        <w:t xml:space="preserve">AWG </w:t>
      </w:r>
      <w:r w:rsidRPr="00AF71D1">
        <w:rPr>
          <w:rFonts w:ascii="Times New Roman" w:hAnsi="Times New Roman"/>
          <w:sz w:val="24"/>
        </w:rPr>
        <w:tab/>
      </w:r>
      <w:r w:rsidRPr="00AF71D1">
        <w:rPr>
          <w:rFonts w:ascii="Times New Roman" w:hAnsi="Times New Roman"/>
          <w:sz w:val="24"/>
        </w:rPr>
        <w:tab/>
        <w:t>Ekonomikas politikas komitejas Sabiedrības novecošanās un valsts finanšu ilgtspējas darba grupa</w:t>
      </w:r>
    </w:p>
    <w:p w:rsidR="0051767F" w:rsidRPr="00AF71D1" w:rsidRDefault="0051767F" w:rsidP="004E0A34">
      <w:pPr>
        <w:tabs>
          <w:tab w:val="left" w:pos="1276"/>
          <w:tab w:val="left" w:pos="3544"/>
        </w:tabs>
        <w:spacing w:after="40" w:line="240" w:lineRule="auto"/>
        <w:ind w:left="3544" w:hanging="3544"/>
        <w:jc w:val="both"/>
        <w:rPr>
          <w:rFonts w:ascii="Times New Roman" w:hAnsi="Times New Roman" w:cs="Times New Roman"/>
          <w:sz w:val="24"/>
        </w:rPr>
      </w:pPr>
      <w:r w:rsidRPr="00AF71D1">
        <w:rPr>
          <w:rFonts w:ascii="Times New Roman" w:hAnsi="Times New Roman" w:cs="Times New Roman"/>
          <w:sz w:val="24"/>
        </w:rPr>
        <w:t>ĀTI</w:t>
      </w:r>
      <w:r w:rsidRPr="00AF71D1">
        <w:rPr>
          <w:rFonts w:ascii="Times New Roman" w:hAnsi="Times New Roman" w:cs="Times New Roman"/>
          <w:sz w:val="24"/>
        </w:rPr>
        <w:tab/>
      </w:r>
      <w:r w:rsidRPr="00AF71D1">
        <w:rPr>
          <w:rFonts w:ascii="Times New Roman" w:hAnsi="Times New Roman" w:cs="Times New Roman"/>
          <w:sz w:val="24"/>
        </w:rPr>
        <w:tab/>
        <w:t>Ārvalstu tiešās investīcijas</w:t>
      </w:r>
    </w:p>
    <w:p w:rsidR="0051767F" w:rsidRPr="003538A2" w:rsidRDefault="0051767F" w:rsidP="004E0A34">
      <w:pPr>
        <w:tabs>
          <w:tab w:val="left" w:pos="3544"/>
        </w:tabs>
        <w:spacing w:after="40" w:line="240" w:lineRule="auto"/>
        <w:jc w:val="both"/>
        <w:rPr>
          <w:rFonts w:ascii="Times New Roman" w:hAnsi="Times New Roman" w:cs="Times New Roman"/>
          <w:color w:val="000000"/>
          <w:sz w:val="24"/>
        </w:rPr>
      </w:pPr>
      <w:r w:rsidRPr="003538A2">
        <w:rPr>
          <w:rFonts w:ascii="Times New Roman" w:hAnsi="Times New Roman" w:cs="Times New Roman"/>
          <w:color w:val="000000"/>
          <w:sz w:val="24"/>
          <w:szCs w:val="24"/>
          <w:lang w:eastAsia="lv-LV"/>
        </w:rPr>
        <w:t xml:space="preserve">CSP </w:t>
      </w:r>
      <w:r w:rsidRPr="003538A2">
        <w:rPr>
          <w:rFonts w:ascii="Times New Roman" w:hAnsi="Times New Roman" w:cs="Times New Roman"/>
          <w:color w:val="000000"/>
          <w:sz w:val="24"/>
          <w:szCs w:val="24"/>
          <w:lang w:eastAsia="lv-LV"/>
        </w:rPr>
        <w:tab/>
      </w:r>
      <w:r w:rsidRPr="003538A2">
        <w:rPr>
          <w:rFonts w:ascii="Times New Roman" w:hAnsi="Times New Roman" w:cs="Times New Roman"/>
          <w:color w:val="000000"/>
          <w:sz w:val="24"/>
        </w:rPr>
        <w:t>Centrālā statistikas pārvalde</w:t>
      </w:r>
    </w:p>
    <w:p w:rsidR="0051767F" w:rsidRPr="00AF71D1"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AF71D1">
        <w:rPr>
          <w:rFonts w:ascii="Times New Roman" w:hAnsi="Times New Roman" w:cs="Times New Roman"/>
          <w:color w:val="000000"/>
          <w:sz w:val="24"/>
          <w:szCs w:val="24"/>
          <w:lang w:eastAsia="lv-LV"/>
        </w:rPr>
        <w:t xml:space="preserve">EK </w:t>
      </w:r>
      <w:r w:rsidRPr="00AF71D1">
        <w:rPr>
          <w:rFonts w:ascii="Times New Roman" w:hAnsi="Times New Roman" w:cs="Times New Roman"/>
          <w:color w:val="000000"/>
          <w:sz w:val="24"/>
          <w:szCs w:val="24"/>
          <w:lang w:eastAsia="lv-LV"/>
        </w:rPr>
        <w:tab/>
        <w:t>Eiropas Komisija</w:t>
      </w:r>
    </w:p>
    <w:p w:rsidR="0051767F" w:rsidRPr="00AF71D1"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AF71D1">
        <w:rPr>
          <w:rFonts w:ascii="Times New Roman" w:hAnsi="Times New Roman" w:cs="Times New Roman"/>
          <w:color w:val="000000"/>
          <w:sz w:val="24"/>
          <w:szCs w:val="24"/>
          <w:lang w:eastAsia="lv-LV"/>
        </w:rPr>
        <w:t>EKS 2010</w:t>
      </w:r>
      <w:r w:rsidRPr="00AF71D1">
        <w:rPr>
          <w:rFonts w:ascii="Times New Roman" w:hAnsi="Times New Roman" w:cs="Times New Roman"/>
          <w:color w:val="000000"/>
          <w:sz w:val="24"/>
          <w:szCs w:val="24"/>
          <w:lang w:eastAsia="lv-LV"/>
        </w:rPr>
        <w:tab/>
        <w:t>Eiropas Kontu sistēma</w:t>
      </w:r>
    </w:p>
    <w:p w:rsidR="0051767F"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AF71D1">
        <w:rPr>
          <w:rFonts w:ascii="Times New Roman" w:hAnsi="Times New Roman" w:cs="Times New Roman"/>
          <w:color w:val="000000"/>
          <w:sz w:val="24"/>
          <w:szCs w:val="24"/>
          <w:lang w:eastAsia="lv-LV"/>
        </w:rPr>
        <w:t xml:space="preserve">ES </w:t>
      </w:r>
      <w:r w:rsidRPr="00AF71D1">
        <w:rPr>
          <w:rFonts w:ascii="Times New Roman" w:hAnsi="Times New Roman" w:cs="Times New Roman"/>
          <w:color w:val="000000"/>
          <w:sz w:val="24"/>
          <w:szCs w:val="24"/>
          <w:lang w:eastAsia="lv-LV"/>
        </w:rPr>
        <w:tab/>
        <w:t>Eiropas Savienība</w:t>
      </w:r>
    </w:p>
    <w:p w:rsidR="0051767F" w:rsidRPr="00AF71D1" w:rsidRDefault="0051767F" w:rsidP="00917436">
      <w:pPr>
        <w:tabs>
          <w:tab w:val="left" w:pos="3544"/>
        </w:tabs>
        <w:spacing w:after="40" w:line="240" w:lineRule="auto"/>
        <w:jc w:val="both"/>
        <w:rPr>
          <w:rFonts w:ascii="Times New Roman" w:hAnsi="Times New Roman" w:cs="Times New Roman"/>
          <w:color w:val="000000"/>
          <w:sz w:val="24"/>
          <w:szCs w:val="24"/>
          <w:lang w:eastAsia="lv-LV"/>
        </w:rPr>
      </w:pPr>
      <w:proofErr w:type="spellStart"/>
      <w:r w:rsidRPr="00917436">
        <w:rPr>
          <w:rFonts w:ascii="Times New Roman" w:hAnsi="Times New Roman"/>
          <w:color w:val="000000" w:themeColor="text1"/>
          <w:sz w:val="24"/>
        </w:rPr>
        <w:t>Eurostat</w:t>
      </w:r>
      <w:proofErr w:type="spellEnd"/>
      <w:r>
        <w:rPr>
          <w:i/>
          <w:szCs w:val="24"/>
        </w:rPr>
        <w:tab/>
      </w:r>
      <w:r w:rsidRPr="00AF71D1">
        <w:rPr>
          <w:rFonts w:ascii="Times New Roman" w:hAnsi="Times New Roman" w:cs="Times New Roman"/>
          <w:color w:val="000000"/>
          <w:sz w:val="24"/>
          <w:szCs w:val="24"/>
          <w:lang w:eastAsia="lv-LV"/>
        </w:rPr>
        <w:t>Eiropas Savienība</w:t>
      </w:r>
      <w:r>
        <w:rPr>
          <w:rFonts w:ascii="Times New Roman" w:hAnsi="Times New Roman" w:cs="Times New Roman"/>
          <w:color w:val="000000"/>
          <w:sz w:val="24"/>
          <w:szCs w:val="24"/>
          <w:lang w:eastAsia="lv-LV"/>
        </w:rPr>
        <w:t>s</w:t>
      </w:r>
      <w:r w:rsidRPr="00917436">
        <w:rPr>
          <w:rFonts w:ascii="Times New Roman" w:hAnsi="Times New Roman"/>
          <w:color w:val="000000" w:themeColor="text1"/>
          <w:sz w:val="24"/>
        </w:rPr>
        <w:t xml:space="preserve"> Statistikas biroj</w:t>
      </w:r>
      <w:r>
        <w:rPr>
          <w:rFonts w:ascii="Times New Roman" w:hAnsi="Times New Roman"/>
          <w:color w:val="000000" w:themeColor="text1"/>
          <w:sz w:val="24"/>
        </w:rPr>
        <w:t>s</w:t>
      </w:r>
      <w:r w:rsidRPr="00917436">
        <w:rPr>
          <w:rFonts w:ascii="Times New Roman" w:hAnsi="Times New Roman"/>
          <w:color w:val="000000" w:themeColor="text1"/>
          <w:sz w:val="24"/>
        </w:rPr>
        <w:t xml:space="preserve"> </w:t>
      </w:r>
      <w:proofErr w:type="spellStart"/>
      <w:r w:rsidRPr="00917436">
        <w:rPr>
          <w:rFonts w:ascii="Times New Roman" w:hAnsi="Times New Roman"/>
          <w:color w:val="000000" w:themeColor="text1"/>
          <w:sz w:val="24"/>
        </w:rPr>
        <w:t>Eurostat</w:t>
      </w:r>
      <w:proofErr w:type="spellEnd"/>
    </w:p>
    <w:p w:rsidR="0051767F" w:rsidRPr="00AF71D1"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AF71D1">
        <w:rPr>
          <w:rFonts w:ascii="Times New Roman" w:hAnsi="Times New Roman" w:cs="Times New Roman"/>
          <w:color w:val="000000"/>
          <w:sz w:val="24"/>
          <w:szCs w:val="24"/>
          <w:lang w:eastAsia="lv-LV"/>
        </w:rPr>
        <w:t xml:space="preserve">FDL </w:t>
      </w:r>
      <w:r w:rsidRPr="00AF71D1">
        <w:rPr>
          <w:rFonts w:ascii="Times New Roman" w:hAnsi="Times New Roman" w:cs="Times New Roman"/>
          <w:color w:val="000000"/>
          <w:sz w:val="24"/>
          <w:szCs w:val="24"/>
          <w:lang w:eastAsia="lv-LV"/>
        </w:rPr>
        <w:tab/>
        <w:t>Fiskālās disciplīnas likums</w:t>
      </w:r>
    </w:p>
    <w:p w:rsidR="0051767F" w:rsidRPr="00AF71D1"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AF71D1">
        <w:rPr>
          <w:rFonts w:ascii="Times New Roman" w:hAnsi="Times New Roman" w:cs="Times New Roman"/>
          <w:color w:val="000000"/>
          <w:sz w:val="24"/>
          <w:szCs w:val="24"/>
          <w:lang w:eastAsia="lv-LV"/>
        </w:rPr>
        <w:t xml:space="preserve">FM </w:t>
      </w:r>
      <w:r w:rsidRPr="00AF71D1">
        <w:rPr>
          <w:rFonts w:ascii="Times New Roman" w:hAnsi="Times New Roman" w:cs="Times New Roman"/>
          <w:color w:val="000000"/>
          <w:sz w:val="24"/>
          <w:szCs w:val="24"/>
          <w:lang w:eastAsia="lv-LV"/>
        </w:rPr>
        <w:tab/>
      </w:r>
      <w:r w:rsidRPr="00AF71D1">
        <w:rPr>
          <w:rFonts w:ascii="Times New Roman" w:hAnsi="Times New Roman" w:cs="Times New Roman"/>
          <w:sz w:val="24"/>
        </w:rPr>
        <w:t>Finanšu ministrija</w:t>
      </w:r>
    </w:p>
    <w:p w:rsidR="0051767F" w:rsidRPr="00782778" w:rsidRDefault="0051767F" w:rsidP="004E0A34">
      <w:pPr>
        <w:tabs>
          <w:tab w:val="left" w:pos="3544"/>
        </w:tabs>
        <w:spacing w:after="40" w:line="240" w:lineRule="auto"/>
        <w:ind w:left="3544" w:hanging="3544"/>
        <w:jc w:val="both"/>
        <w:rPr>
          <w:rFonts w:ascii="Times New Roman" w:hAnsi="Times New Roman"/>
          <w:color w:val="000000" w:themeColor="text1"/>
          <w:sz w:val="24"/>
          <w:highlight w:val="yellow"/>
        </w:rPr>
      </w:pPr>
      <w:r w:rsidRPr="003C7327">
        <w:rPr>
          <w:rFonts w:ascii="Times New Roman" w:hAnsi="Times New Roman"/>
          <w:color w:val="000000" w:themeColor="text1"/>
          <w:sz w:val="24"/>
        </w:rPr>
        <w:t xml:space="preserve">Ietvara likums </w:t>
      </w:r>
      <w:r w:rsidRPr="003C7327">
        <w:rPr>
          <w:rFonts w:ascii="Times New Roman" w:hAnsi="Times New Roman"/>
          <w:color w:val="000000" w:themeColor="text1"/>
          <w:sz w:val="24"/>
        </w:rPr>
        <w:tab/>
        <w:t>Vidēja termiņa budžeta ietvara likums</w:t>
      </w:r>
    </w:p>
    <w:p w:rsidR="0051767F" w:rsidRPr="003C7327"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3C7327">
        <w:rPr>
          <w:rFonts w:ascii="Times New Roman" w:hAnsi="Times New Roman" w:cs="Times New Roman"/>
          <w:color w:val="000000"/>
          <w:sz w:val="24"/>
          <w:szCs w:val="24"/>
          <w:lang w:eastAsia="lv-LV"/>
        </w:rPr>
        <w:t>IIN</w:t>
      </w:r>
      <w:r w:rsidRPr="003C7327">
        <w:rPr>
          <w:rFonts w:ascii="Times New Roman" w:hAnsi="Times New Roman" w:cs="Times New Roman"/>
          <w:color w:val="000000"/>
          <w:sz w:val="24"/>
          <w:szCs w:val="24"/>
          <w:lang w:eastAsia="lv-LV"/>
        </w:rPr>
        <w:tab/>
        <w:t>Iedzīvotāju ienākumu nodoklis</w:t>
      </w:r>
    </w:p>
    <w:p w:rsidR="0051767F" w:rsidRPr="003C7327"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3C7327">
        <w:rPr>
          <w:rFonts w:ascii="Times New Roman" w:hAnsi="Times New Roman" w:cs="Times New Roman"/>
          <w:color w:val="000000"/>
          <w:sz w:val="24"/>
          <w:szCs w:val="24"/>
          <w:lang w:eastAsia="lv-LV"/>
        </w:rPr>
        <w:t xml:space="preserve">IKP </w:t>
      </w:r>
      <w:r w:rsidRPr="003C7327">
        <w:rPr>
          <w:rFonts w:ascii="Times New Roman" w:hAnsi="Times New Roman" w:cs="Times New Roman"/>
          <w:color w:val="000000"/>
          <w:sz w:val="24"/>
          <w:szCs w:val="24"/>
          <w:lang w:eastAsia="lv-LV"/>
        </w:rPr>
        <w:tab/>
        <w:t>Iekšzemes kopprodukts</w:t>
      </w:r>
    </w:p>
    <w:p w:rsidR="0051767F" w:rsidRPr="003C7327"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3C7327">
        <w:rPr>
          <w:rFonts w:ascii="Times New Roman" w:hAnsi="Times New Roman" w:cs="Times New Roman"/>
          <w:sz w:val="24"/>
          <w:szCs w:val="24"/>
        </w:rPr>
        <w:t xml:space="preserve">LBFV </w:t>
      </w:r>
      <w:r w:rsidRPr="003C7327">
        <w:rPr>
          <w:rFonts w:ascii="Times New Roman" w:hAnsi="Times New Roman" w:cs="Times New Roman"/>
          <w:sz w:val="24"/>
          <w:szCs w:val="24"/>
        </w:rPr>
        <w:tab/>
        <w:t>Likums par budžetu un finanšu vadību</w:t>
      </w:r>
    </w:p>
    <w:p w:rsidR="0051767F" w:rsidRPr="003C7327"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3C7327">
        <w:rPr>
          <w:rFonts w:ascii="Times New Roman" w:hAnsi="Times New Roman" w:cs="Times New Roman"/>
          <w:color w:val="000000"/>
          <w:sz w:val="24"/>
          <w:szCs w:val="24"/>
          <w:lang w:eastAsia="lv-LV"/>
        </w:rPr>
        <w:t xml:space="preserve">LPS </w:t>
      </w:r>
      <w:r w:rsidRPr="003C7327">
        <w:rPr>
          <w:rFonts w:ascii="Times New Roman" w:hAnsi="Times New Roman" w:cs="Times New Roman"/>
          <w:color w:val="000000"/>
          <w:sz w:val="24"/>
          <w:szCs w:val="24"/>
          <w:lang w:eastAsia="lv-LV"/>
        </w:rPr>
        <w:tab/>
        <w:t>Latvijas Pašvaldību savienība</w:t>
      </w:r>
    </w:p>
    <w:p w:rsidR="0051767F" w:rsidRPr="003C7327"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3C7327">
        <w:rPr>
          <w:rFonts w:ascii="Times New Roman" w:hAnsi="Times New Roman" w:cs="Times New Roman"/>
          <w:color w:val="000000"/>
          <w:sz w:val="24"/>
          <w:szCs w:val="24"/>
          <w:lang w:eastAsia="lv-LV"/>
        </w:rPr>
        <w:t xml:space="preserve">MK </w:t>
      </w:r>
      <w:r w:rsidRPr="003C7327">
        <w:rPr>
          <w:rFonts w:ascii="Times New Roman" w:hAnsi="Times New Roman" w:cs="Times New Roman"/>
          <w:color w:val="000000"/>
          <w:sz w:val="24"/>
          <w:szCs w:val="24"/>
          <w:lang w:eastAsia="lv-LV"/>
        </w:rPr>
        <w:tab/>
        <w:t>Ministru kabinets</w:t>
      </w:r>
    </w:p>
    <w:p w:rsidR="0051767F" w:rsidRPr="00457767" w:rsidRDefault="0051767F" w:rsidP="004E0A34">
      <w:pPr>
        <w:tabs>
          <w:tab w:val="left" w:pos="3544"/>
          <w:tab w:val="left" w:pos="3585"/>
        </w:tabs>
        <w:spacing w:after="40" w:line="240" w:lineRule="auto"/>
        <w:ind w:left="3537" w:hanging="3537"/>
        <w:jc w:val="both"/>
        <w:rPr>
          <w:rFonts w:ascii="Times New Roman" w:hAnsi="Times New Roman" w:cs="Times New Roman"/>
          <w:color w:val="000000"/>
          <w:sz w:val="24"/>
          <w:szCs w:val="24"/>
          <w:lang w:eastAsia="lv-LV"/>
        </w:rPr>
      </w:pPr>
      <w:r w:rsidRPr="00457767">
        <w:rPr>
          <w:rFonts w:ascii="Times New Roman" w:hAnsi="Times New Roman" w:cs="Times New Roman"/>
          <w:sz w:val="24"/>
          <w:szCs w:val="24"/>
        </w:rPr>
        <w:t>OECD</w:t>
      </w:r>
      <w:r w:rsidRPr="00457767">
        <w:rPr>
          <w:rFonts w:ascii="Times New Roman" w:hAnsi="Times New Roman" w:cs="Times New Roman"/>
          <w:sz w:val="24"/>
          <w:szCs w:val="24"/>
        </w:rPr>
        <w:tab/>
      </w:r>
      <w:r w:rsidRPr="00457767">
        <w:rPr>
          <w:rFonts w:ascii="Times New Roman" w:hAnsi="Times New Roman" w:cs="Times New Roman"/>
          <w:color w:val="000000"/>
          <w:sz w:val="24"/>
          <w:szCs w:val="24"/>
          <w:lang w:eastAsia="lv-LV"/>
        </w:rPr>
        <w:t xml:space="preserve">Ekonomiskās sadarbības un attīstības organizācija </w:t>
      </w:r>
    </w:p>
    <w:p w:rsidR="0051767F" w:rsidRPr="00457767" w:rsidRDefault="0051767F" w:rsidP="004E0A34">
      <w:pPr>
        <w:tabs>
          <w:tab w:val="left" w:pos="3544"/>
          <w:tab w:val="left" w:pos="3585"/>
        </w:tabs>
        <w:spacing w:after="40" w:line="240" w:lineRule="auto"/>
        <w:ind w:left="3537" w:hanging="3537"/>
        <w:jc w:val="both"/>
        <w:rPr>
          <w:rFonts w:ascii="Times New Roman" w:hAnsi="Times New Roman" w:cs="Times New Roman"/>
          <w:color w:val="000000"/>
          <w:sz w:val="24"/>
          <w:szCs w:val="24"/>
          <w:lang w:eastAsia="lv-LV"/>
        </w:rPr>
      </w:pPr>
      <w:r w:rsidRPr="00457767">
        <w:rPr>
          <w:rFonts w:ascii="Times New Roman" w:hAnsi="Times New Roman" w:cs="Times New Roman"/>
          <w:sz w:val="24"/>
          <w:szCs w:val="24"/>
        </w:rPr>
        <w:t>OIK</w:t>
      </w:r>
      <w:r w:rsidRPr="00457767">
        <w:rPr>
          <w:rFonts w:ascii="Times New Roman" w:hAnsi="Times New Roman" w:cs="Times New Roman"/>
          <w:sz w:val="24"/>
          <w:szCs w:val="24"/>
        </w:rPr>
        <w:tab/>
        <w:t xml:space="preserve">Obligātās iepirkumu </w:t>
      </w:r>
      <w:proofErr w:type="spellStart"/>
      <w:r w:rsidRPr="00457767">
        <w:rPr>
          <w:rFonts w:ascii="Times New Roman" w:hAnsi="Times New Roman" w:cs="Times New Roman"/>
          <w:sz w:val="24"/>
          <w:szCs w:val="24"/>
        </w:rPr>
        <w:t>kompenentes</w:t>
      </w:r>
      <w:proofErr w:type="spellEnd"/>
    </w:p>
    <w:p w:rsidR="0051767F" w:rsidRPr="00457767" w:rsidRDefault="0051767F" w:rsidP="004E0A34">
      <w:pPr>
        <w:tabs>
          <w:tab w:val="left" w:pos="3544"/>
          <w:tab w:val="left" w:pos="3585"/>
        </w:tabs>
        <w:spacing w:after="40" w:line="240" w:lineRule="auto"/>
        <w:jc w:val="both"/>
        <w:rPr>
          <w:rFonts w:ascii="Times New Roman" w:hAnsi="Times New Roman"/>
          <w:sz w:val="24"/>
        </w:rPr>
      </w:pPr>
      <w:r w:rsidRPr="00457767">
        <w:rPr>
          <w:rFonts w:ascii="Times New Roman" w:hAnsi="Times New Roman"/>
          <w:sz w:val="24"/>
        </w:rPr>
        <w:t>PCI</w:t>
      </w:r>
      <w:r w:rsidRPr="00457767">
        <w:rPr>
          <w:rFonts w:ascii="Times New Roman" w:hAnsi="Times New Roman"/>
          <w:sz w:val="24"/>
        </w:rPr>
        <w:tab/>
        <w:t>Patēriņa cenu indekss</w:t>
      </w:r>
    </w:p>
    <w:p w:rsidR="0051767F" w:rsidRPr="00457767" w:rsidRDefault="0051767F" w:rsidP="004E0A34">
      <w:pPr>
        <w:tabs>
          <w:tab w:val="left" w:pos="3544"/>
          <w:tab w:val="left" w:pos="3585"/>
        </w:tabs>
        <w:spacing w:after="40" w:line="240" w:lineRule="auto"/>
        <w:jc w:val="both"/>
        <w:rPr>
          <w:rFonts w:ascii="Times New Roman" w:hAnsi="Times New Roman" w:cs="Times New Roman"/>
          <w:sz w:val="24"/>
          <w:szCs w:val="24"/>
        </w:rPr>
      </w:pPr>
      <w:r w:rsidRPr="00457767">
        <w:rPr>
          <w:rFonts w:ascii="Times New Roman" w:hAnsi="Times New Roman" w:cs="Times New Roman"/>
          <w:sz w:val="24"/>
          <w:szCs w:val="24"/>
        </w:rPr>
        <w:t>PVN</w:t>
      </w:r>
      <w:r w:rsidRPr="00457767">
        <w:rPr>
          <w:rFonts w:ascii="Times New Roman" w:hAnsi="Times New Roman" w:cs="Times New Roman"/>
          <w:sz w:val="24"/>
          <w:szCs w:val="24"/>
        </w:rPr>
        <w:tab/>
        <w:t>Pievienotās vērtības nodoklis</w:t>
      </w:r>
    </w:p>
    <w:p w:rsidR="0051767F" w:rsidRPr="00457767" w:rsidRDefault="0051767F" w:rsidP="004E0A34">
      <w:pPr>
        <w:tabs>
          <w:tab w:val="left" w:pos="3544"/>
        </w:tabs>
        <w:spacing w:after="40" w:line="240" w:lineRule="auto"/>
        <w:ind w:left="3544" w:hanging="3544"/>
        <w:jc w:val="both"/>
        <w:rPr>
          <w:rFonts w:ascii="Times New Roman" w:hAnsi="Times New Roman"/>
          <w:color w:val="000000"/>
          <w:sz w:val="24"/>
        </w:rPr>
      </w:pPr>
      <w:r w:rsidRPr="00457767">
        <w:rPr>
          <w:rFonts w:ascii="Times New Roman" w:hAnsi="Times New Roman"/>
          <w:sz w:val="24"/>
        </w:rPr>
        <w:t>PZDG</w:t>
      </w:r>
      <w:r w:rsidRPr="00457767">
        <w:rPr>
          <w:rFonts w:ascii="Times New Roman" w:hAnsi="Times New Roman"/>
          <w:sz w:val="24"/>
        </w:rPr>
        <w:tab/>
        <w:t>Potenciāli zaudētie dzīves gadi</w:t>
      </w:r>
    </w:p>
    <w:p w:rsidR="0051767F" w:rsidRDefault="0051767F" w:rsidP="004E0A34">
      <w:pPr>
        <w:tabs>
          <w:tab w:val="left" w:pos="3544"/>
        </w:tabs>
        <w:spacing w:after="40" w:line="240" w:lineRule="auto"/>
        <w:jc w:val="both"/>
        <w:rPr>
          <w:rFonts w:ascii="Times New Roman" w:hAnsi="Times New Roman"/>
          <w:sz w:val="24"/>
        </w:rPr>
      </w:pPr>
      <w:r w:rsidRPr="00457767">
        <w:rPr>
          <w:rFonts w:ascii="Times New Roman" w:hAnsi="Times New Roman"/>
          <w:sz w:val="24"/>
        </w:rPr>
        <w:t>SIP</w:t>
      </w:r>
      <w:r w:rsidRPr="00457767">
        <w:rPr>
          <w:rFonts w:ascii="Times New Roman" w:hAnsi="Times New Roman"/>
          <w:sz w:val="24"/>
        </w:rPr>
        <w:tab/>
        <w:t>Stabilitātes un izaugsmes pakts</w:t>
      </w:r>
    </w:p>
    <w:p w:rsidR="00DF7114" w:rsidRPr="00DF7114" w:rsidRDefault="00DF7114" w:rsidP="00DF7114">
      <w:pPr>
        <w:tabs>
          <w:tab w:val="left" w:pos="3544"/>
        </w:tabs>
        <w:spacing w:after="40" w:line="240" w:lineRule="auto"/>
        <w:jc w:val="both"/>
        <w:rPr>
          <w:rFonts w:ascii="Times New Roman" w:hAnsi="Times New Roman"/>
          <w:sz w:val="24"/>
        </w:rPr>
      </w:pPr>
      <w:r w:rsidRPr="00DF7114">
        <w:rPr>
          <w:rFonts w:ascii="Times New Roman" w:hAnsi="Times New Roman"/>
          <w:sz w:val="24"/>
        </w:rPr>
        <w:t xml:space="preserve">SOC </w:t>
      </w:r>
      <w:r>
        <w:rPr>
          <w:rFonts w:ascii="Times New Roman" w:hAnsi="Times New Roman"/>
          <w:sz w:val="24"/>
        </w:rPr>
        <w:tab/>
      </w:r>
      <w:r w:rsidRPr="00DF7114">
        <w:rPr>
          <w:rFonts w:ascii="Times New Roman" w:hAnsi="Times New Roman"/>
          <w:sz w:val="24"/>
        </w:rPr>
        <w:t>Sociālas apdrošināšanas iemaksas</w:t>
      </w:r>
    </w:p>
    <w:p w:rsidR="0051767F" w:rsidRPr="00457767"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457767">
        <w:rPr>
          <w:rFonts w:ascii="Times New Roman" w:hAnsi="Times New Roman" w:cs="Times New Roman"/>
          <w:color w:val="000000"/>
          <w:sz w:val="24"/>
          <w:szCs w:val="24"/>
          <w:lang w:eastAsia="lv-LV"/>
        </w:rPr>
        <w:t xml:space="preserve">SVF </w:t>
      </w:r>
      <w:r w:rsidRPr="00457767">
        <w:rPr>
          <w:rFonts w:ascii="Times New Roman" w:hAnsi="Times New Roman" w:cs="Times New Roman"/>
          <w:color w:val="000000"/>
          <w:sz w:val="24"/>
          <w:szCs w:val="24"/>
          <w:lang w:eastAsia="lv-LV"/>
        </w:rPr>
        <w:tab/>
        <w:t>Starptautiskais valūtas fonds</w:t>
      </w:r>
    </w:p>
    <w:p w:rsidR="0051767F" w:rsidRPr="00457767" w:rsidRDefault="0051767F" w:rsidP="004E0A34">
      <w:pPr>
        <w:tabs>
          <w:tab w:val="left" w:pos="3544"/>
        </w:tabs>
        <w:spacing w:after="40" w:line="240" w:lineRule="auto"/>
        <w:jc w:val="both"/>
        <w:rPr>
          <w:rFonts w:ascii="Times New Roman" w:hAnsi="Times New Roman" w:cs="Times New Roman"/>
          <w:sz w:val="24"/>
          <w:szCs w:val="24"/>
        </w:rPr>
      </w:pPr>
      <w:r w:rsidRPr="00457767">
        <w:rPr>
          <w:rFonts w:ascii="Times New Roman" w:hAnsi="Times New Roman" w:cs="Times New Roman"/>
          <w:sz w:val="24"/>
          <w:szCs w:val="24"/>
        </w:rPr>
        <w:t>UIN</w:t>
      </w:r>
      <w:r w:rsidRPr="00457767">
        <w:rPr>
          <w:rFonts w:ascii="Times New Roman" w:hAnsi="Times New Roman" w:cs="Times New Roman"/>
          <w:sz w:val="24"/>
          <w:szCs w:val="24"/>
        </w:rPr>
        <w:tab/>
        <w:t>Uzņēmumu ieņēmumu nodoklis</w:t>
      </w:r>
    </w:p>
    <w:p w:rsidR="0051767F" w:rsidRPr="00457767" w:rsidRDefault="0051767F" w:rsidP="004E0A34">
      <w:pPr>
        <w:tabs>
          <w:tab w:val="left" w:pos="3544"/>
        </w:tabs>
        <w:spacing w:after="40" w:line="240" w:lineRule="auto"/>
        <w:ind w:left="3544" w:hanging="3544"/>
        <w:jc w:val="both"/>
        <w:rPr>
          <w:rFonts w:ascii="Times New Roman" w:hAnsi="Times New Roman"/>
          <w:color w:val="000000"/>
          <w:sz w:val="24"/>
        </w:rPr>
      </w:pPr>
      <w:r w:rsidRPr="00457767">
        <w:rPr>
          <w:rFonts w:ascii="Times New Roman" w:hAnsi="Times New Roman"/>
          <w:color w:val="000000"/>
          <w:sz w:val="24"/>
        </w:rPr>
        <w:t>VHC</w:t>
      </w:r>
      <w:r w:rsidRPr="00457767">
        <w:rPr>
          <w:rFonts w:ascii="Times New Roman" w:hAnsi="Times New Roman"/>
          <w:color w:val="000000"/>
          <w:sz w:val="24"/>
        </w:rPr>
        <w:tab/>
        <w:t>Vīruss hepatīts C</w:t>
      </w:r>
    </w:p>
    <w:p w:rsidR="0051767F" w:rsidRPr="00457767" w:rsidRDefault="0051767F" w:rsidP="004E0A34">
      <w:pPr>
        <w:tabs>
          <w:tab w:val="left" w:pos="3544"/>
        </w:tabs>
        <w:spacing w:after="40" w:line="240" w:lineRule="auto"/>
        <w:jc w:val="both"/>
        <w:rPr>
          <w:rFonts w:ascii="Times New Roman" w:hAnsi="Times New Roman" w:cs="Times New Roman"/>
          <w:sz w:val="24"/>
          <w:szCs w:val="24"/>
        </w:rPr>
      </w:pPr>
      <w:r w:rsidRPr="00457767">
        <w:rPr>
          <w:rFonts w:ascii="Times New Roman" w:hAnsi="Times New Roman" w:cs="Times New Roman"/>
          <w:sz w:val="24"/>
          <w:szCs w:val="24"/>
        </w:rPr>
        <w:t xml:space="preserve">VK </w:t>
      </w:r>
      <w:r w:rsidRPr="00457767">
        <w:rPr>
          <w:rFonts w:ascii="Times New Roman" w:hAnsi="Times New Roman" w:cs="Times New Roman"/>
          <w:sz w:val="24"/>
          <w:szCs w:val="24"/>
        </w:rPr>
        <w:tab/>
        <w:t>Valsts kase</w:t>
      </w:r>
    </w:p>
    <w:p w:rsidR="0051767F" w:rsidRPr="007752B0" w:rsidRDefault="0051767F" w:rsidP="004E0A34">
      <w:pPr>
        <w:tabs>
          <w:tab w:val="left" w:pos="3544"/>
        </w:tabs>
        <w:spacing w:after="40" w:line="240" w:lineRule="auto"/>
        <w:ind w:left="3544" w:hanging="3544"/>
        <w:jc w:val="both"/>
        <w:rPr>
          <w:rFonts w:ascii="Times New Roman" w:hAnsi="Times New Roman" w:cs="Times New Roman"/>
          <w:color w:val="000000"/>
          <w:sz w:val="24"/>
        </w:rPr>
      </w:pPr>
      <w:r w:rsidRPr="00457767">
        <w:rPr>
          <w:rFonts w:ascii="Times New Roman" w:hAnsi="Times New Roman" w:cs="Times New Roman"/>
          <w:color w:val="000000"/>
          <w:sz w:val="24"/>
        </w:rPr>
        <w:t>VSAOI</w:t>
      </w:r>
      <w:r w:rsidRPr="00457767">
        <w:rPr>
          <w:rFonts w:ascii="Times New Roman" w:hAnsi="Times New Roman" w:cs="Times New Roman"/>
          <w:color w:val="000000"/>
          <w:sz w:val="24"/>
        </w:rPr>
        <w:tab/>
        <w:t>Valsts sociālās apdrošināšanas obligātās iemaksas</w:t>
      </w:r>
    </w:p>
    <w:p w:rsidR="0051767F" w:rsidRPr="00457767" w:rsidRDefault="0051767F" w:rsidP="004E0A34">
      <w:pPr>
        <w:tabs>
          <w:tab w:val="left" w:pos="3544"/>
        </w:tabs>
        <w:spacing w:after="40" w:line="240" w:lineRule="auto"/>
        <w:ind w:left="3544" w:hanging="3544"/>
        <w:jc w:val="both"/>
        <w:rPr>
          <w:rFonts w:ascii="Times New Roman" w:hAnsi="Times New Roman" w:cs="Times New Roman"/>
          <w:color w:val="000000"/>
          <w:sz w:val="24"/>
        </w:rPr>
      </w:pPr>
      <w:r w:rsidRPr="00457767">
        <w:rPr>
          <w:rFonts w:ascii="Times New Roman" w:hAnsi="Times New Roman"/>
          <w:color w:val="000000"/>
          <w:sz w:val="24"/>
        </w:rPr>
        <w:t xml:space="preserve">VTM </w:t>
      </w:r>
      <w:r w:rsidRPr="00457767">
        <w:rPr>
          <w:rFonts w:ascii="Times New Roman" w:hAnsi="Times New Roman"/>
          <w:color w:val="000000"/>
          <w:sz w:val="24"/>
        </w:rPr>
        <w:tab/>
        <w:t>Vidēja termiņa budžeta bilances mērķis strukturālā izteiksmē</w:t>
      </w:r>
    </w:p>
    <w:p w:rsidR="0051767F" w:rsidRPr="00457767" w:rsidRDefault="0051767F" w:rsidP="004E0A34">
      <w:pPr>
        <w:tabs>
          <w:tab w:val="left" w:pos="3544"/>
        </w:tabs>
        <w:spacing w:after="40" w:line="240" w:lineRule="auto"/>
        <w:ind w:left="3544" w:hanging="3544"/>
        <w:jc w:val="both"/>
        <w:rPr>
          <w:rFonts w:ascii="Times New Roman" w:hAnsi="Times New Roman" w:cs="Times New Roman"/>
          <w:color w:val="000000"/>
          <w:sz w:val="24"/>
        </w:rPr>
      </w:pPr>
      <w:r w:rsidRPr="00457767">
        <w:rPr>
          <w:rFonts w:ascii="Times New Roman" w:hAnsi="Times New Roman" w:cs="Times New Roman"/>
          <w:color w:val="000000"/>
          <w:sz w:val="24"/>
        </w:rPr>
        <w:t>VTM SIP</w:t>
      </w:r>
      <w:r w:rsidRPr="00457767">
        <w:rPr>
          <w:rFonts w:ascii="Times New Roman" w:hAnsi="Times New Roman" w:cs="Times New Roman"/>
          <w:color w:val="000000"/>
          <w:sz w:val="24"/>
        </w:rPr>
        <w:tab/>
        <w:t>Vidēja termiņa budžeta bilances mērķis SIP izpratnē</w:t>
      </w:r>
    </w:p>
    <w:p w:rsidR="003F78CC" w:rsidRPr="00F51615" w:rsidRDefault="003F78CC" w:rsidP="00D51057">
      <w:pPr>
        <w:spacing w:after="0" w:line="240" w:lineRule="auto"/>
        <w:ind w:left="3544" w:hanging="3544"/>
        <w:jc w:val="both"/>
        <w:rPr>
          <w:rFonts w:ascii="Times New Roman" w:hAnsi="Times New Roman" w:cs="Times New Roman"/>
          <w:color w:val="000000"/>
        </w:rPr>
      </w:pPr>
      <w:r w:rsidRPr="00F51615">
        <w:rPr>
          <w:rFonts w:ascii="Times New Roman" w:hAnsi="Times New Roman" w:cs="Times New Roman"/>
          <w:color w:val="000000"/>
        </w:rPr>
        <w:br w:type="page"/>
      </w:r>
    </w:p>
    <w:p w:rsidR="003F78CC" w:rsidRPr="00230CFF" w:rsidRDefault="003F78CC" w:rsidP="00F74C66">
      <w:pPr>
        <w:pStyle w:val="Heading1"/>
        <w:numPr>
          <w:ilvl w:val="0"/>
          <w:numId w:val="1"/>
        </w:numPr>
        <w:spacing w:before="0" w:after="0" w:line="240" w:lineRule="auto"/>
        <w:ind w:left="284" w:hanging="283"/>
        <w:jc w:val="center"/>
        <w:rPr>
          <w:rFonts w:ascii="Times New Roman" w:hAnsi="Times New Roman" w:cs="Times New Roman"/>
          <w:sz w:val="32"/>
        </w:rPr>
      </w:pPr>
      <w:bookmarkStart w:id="0" w:name="_Toc510790650"/>
      <w:bookmarkStart w:id="1" w:name="_Toc5627360"/>
      <w:bookmarkStart w:id="2" w:name="_Toc5798615"/>
      <w:r w:rsidRPr="00230CFF">
        <w:rPr>
          <w:rFonts w:ascii="Times New Roman" w:hAnsi="Times New Roman" w:cs="Times New Roman"/>
          <w:sz w:val="32"/>
        </w:rPr>
        <w:lastRenderedPageBreak/>
        <w:t>Vispārējās ekonomiskās politikas vadlīnijas un mērķi</w:t>
      </w:r>
      <w:bookmarkEnd w:id="0"/>
      <w:bookmarkEnd w:id="1"/>
      <w:bookmarkEnd w:id="2"/>
    </w:p>
    <w:p w:rsidR="00C11D88" w:rsidRDefault="00C11D88" w:rsidP="00403201">
      <w:pPr>
        <w:spacing w:after="0" w:line="240" w:lineRule="auto"/>
        <w:ind w:firstLine="720"/>
        <w:jc w:val="both"/>
        <w:rPr>
          <w:rFonts w:ascii="Times New Roman" w:eastAsia="Times New Roman" w:hAnsi="Times New Roman" w:cs="Times New Roman"/>
          <w:color w:val="000000"/>
          <w:sz w:val="24"/>
          <w:szCs w:val="23"/>
          <w:lang w:eastAsia="lv-LV"/>
        </w:rPr>
      </w:pPr>
    </w:p>
    <w:p w:rsidR="006F0EBF" w:rsidRPr="00403201" w:rsidRDefault="006F0EBF" w:rsidP="006F0EBF">
      <w:pPr>
        <w:spacing w:after="0" w:line="240" w:lineRule="auto"/>
        <w:ind w:firstLine="720"/>
        <w:jc w:val="both"/>
        <w:rPr>
          <w:rFonts w:ascii="Times New Roman" w:eastAsia="Times New Roman" w:hAnsi="Times New Roman" w:cs="Times New Roman"/>
          <w:color w:val="000000"/>
          <w:sz w:val="24"/>
          <w:szCs w:val="23"/>
          <w:lang w:eastAsia="lv-LV"/>
        </w:rPr>
      </w:pPr>
      <w:r w:rsidRPr="00403201">
        <w:rPr>
          <w:rFonts w:ascii="Times New Roman" w:eastAsia="Times New Roman" w:hAnsi="Times New Roman" w:cs="Times New Roman"/>
          <w:color w:val="000000"/>
          <w:sz w:val="24"/>
          <w:szCs w:val="23"/>
          <w:lang w:eastAsia="lv-LV"/>
        </w:rPr>
        <w:t xml:space="preserve">Latvijā publisko finanšu plānošana nākamajam budžeta gadam un vidējam termiņam notiek rudenī, pieņemot gadskārtējo valsts budžeta likumu un Ietvara likumu. Līdz ar to Latvijas gadījumā Stabilitātes programma nav politikas plānošanas dokuments, bet gan prognozēšanas instruments, kurā vidējam termiņam, atbilstoši atjaunotajām makroekonomiskajām prognozēm, tiek precizētas fiskālās prognozes spēkā esošā Ietvara likuma gadiem kā arī izstrādātas fiskālās prognozes </w:t>
      </w:r>
      <w:r>
        <w:rPr>
          <w:rFonts w:ascii="Times New Roman" w:eastAsia="Times New Roman" w:hAnsi="Times New Roman" w:cs="Times New Roman"/>
          <w:color w:val="000000"/>
          <w:sz w:val="24"/>
          <w:szCs w:val="23"/>
          <w:lang w:eastAsia="lv-LV"/>
        </w:rPr>
        <w:t>turpmākajiem gadiem</w:t>
      </w:r>
      <w:r w:rsidRPr="00403201">
        <w:rPr>
          <w:rFonts w:ascii="Times New Roman" w:eastAsia="Times New Roman" w:hAnsi="Times New Roman" w:cs="Times New Roman"/>
          <w:color w:val="000000"/>
          <w:sz w:val="24"/>
          <w:szCs w:val="23"/>
          <w:lang w:eastAsia="lv-LV"/>
        </w:rPr>
        <w:t xml:space="preserve">. </w:t>
      </w:r>
    </w:p>
    <w:p w:rsidR="006F0EBF" w:rsidRPr="00403201" w:rsidRDefault="006F0EBF" w:rsidP="006F0EBF">
      <w:pPr>
        <w:spacing w:after="0" w:line="240" w:lineRule="auto"/>
        <w:ind w:firstLine="720"/>
        <w:jc w:val="both"/>
        <w:rPr>
          <w:rFonts w:ascii="Times New Roman" w:eastAsia="Times New Roman" w:hAnsi="Times New Roman" w:cs="Times New Roman"/>
          <w:color w:val="000000"/>
          <w:sz w:val="24"/>
          <w:szCs w:val="23"/>
          <w:lang w:eastAsia="lv-LV"/>
        </w:rPr>
      </w:pPr>
      <w:r w:rsidRPr="00403201">
        <w:rPr>
          <w:rFonts w:ascii="Times New Roman" w:eastAsia="Times New Roman" w:hAnsi="Times New Roman" w:cs="Times New Roman"/>
          <w:color w:val="000000"/>
          <w:sz w:val="24"/>
          <w:szCs w:val="23"/>
          <w:lang w:eastAsia="lv-LV"/>
        </w:rPr>
        <w:t xml:space="preserve">Latvijas Stabilitātes programma ir izstrādāta vadoties pēc SIP ieviešanas nosacījumiem un vadlīnijām, un tiek sagatavota saskaņā ar Padomes 1997.gada 7.jūlija Regulas (EK) Nr. </w:t>
      </w:r>
      <w:hyperlink r:id="rId10" w:tgtFrame="_blank" w:history="1">
        <w:r w:rsidRPr="00403201">
          <w:rPr>
            <w:rFonts w:ascii="Times New Roman" w:eastAsia="Times New Roman" w:hAnsi="Times New Roman" w:cs="Times New Roman"/>
            <w:color w:val="000000"/>
            <w:sz w:val="24"/>
            <w:szCs w:val="23"/>
            <w:lang w:eastAsia="lv-LV"/>
          </w:rPr>
          <w:t>1466/97</w:t>
        </w:r>
      </w:hyperlink>
      <w:r w:rsidRPr="00403201">
        <w:rPr>
          <w:rFonts w:ascii="Times New Roman" w:eastAsia="Times New Roman" w:hAnsi="Times New Roman" w:cs="Times New Roman"/>
          <w:color w:val="000000"/>
          <w:sz w:val="24"/>
          <w:szCs w:val="23"/>
          <w:lang w:eastAsia="lv-LV"/>
        </w:rPr>
        <w:t xml:space="preserve"> par budžeta stāvokļa uzraudzības un ekonomikas politikas uzraudzības un koordinācijas stiprināšanu prasībām. LBFV 28.pants nosaka, ka MK līdz kārtējā gada 15.aprīlim iesniedz Saeimai Latvijas Stabilitātes programmu.</w:t>
      </w:r>
    </w:p>
    <w:p w:rsidR="006F0EBF" w:rsidRPr="00556C73" w:rsidRDefault="006F0EBF" w:rsidP="006F0EBF">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Pēc ekonomiskās izaugsmes tempu sabremzēšanās 2016.gadā līdz 2,1%, nākamajos divos gados bija vērojama būtiska Latvijas IKP pieauguma</w:t>
      </w:r>
      <w:r>
        <w:rPr>
          <w:rFonts w:ascii="Times New Roman" w:eastAsia="Times New Roman" w:hAnsi="Times New Roman" w:cs="Times New Roman"/>
          <w:color w:val="000000"/>
          <w:sz w:val="24"/>
          <w:szCs w:val="23"/>
          <w:lang w:eastAsia="lv-LV"/>
        </w:rPr>
        <w:t xml:space="preserve"> tempa</w:t>
      </w:r>
      <w:r w:rsidRPr="00556C73">
        <w:rPr>
          <w:rFonts w:ascii="Times New Roman" w:eastAsia="Times New Roman" w:hAnsi="Times New Roman" w:cs="Times New Roman"/>
          <w:color w:val="000000"/>
          <w:sz w:val="24"/>
          <w:szCs w:val="23"/>
          <w:lang w:eastAsia="lv-LV"/>
        </w:rPr>
        <w:t xml:space="preserve"> paātrināšanās. Latvijas ekonomiskā izaugsme 2017.gadā sasniedza 4,6%, ko veicināja augošais ārējais pieprasījums un investīciju plūsmas atjaunošanās, un līdzīga strauja ekonomikas izaugsme saglabājās 2018.gadā, kad IKP palielinājās par 4,8% salīdzināmās cenās.</w:t>
      </w:r>
    </w:p>
    <w:p w:rsidR="006F0EBF" w:rsidRDefault="006F0EBF" w:rsidP="006F0EBF">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556C73">
        <w:rPr>
          <w:rFonts w:ascii="Times New Roman" w:eastAsia="Times New Roman" w:hAnsi="Times New Roman" w:cs="Times New Roman"/>
          <w:color w:val="000000"/>
          <w:sz w:val="24"/>
          <w:szCs w:val="23"/>
          <w:lang w:eastAsia="lv-LV"/>
        </w:rPr>
        <w:t xml:space="preserve">Straujo ekonomikas izaugsmi 2018.gadā nodrošināja gan spēcīgi pieaugošie investīciju apjomi, gan joprojām strauji augošais privātais patēriņš, kamēr eksporta pieauguma temps mazinājās, gan palēninoties ekonomikas izaugsmei pasaulē, gan vairāku vienreizēju faktoru </w:t>
      </w:r>
      <w:r w:rsidRPr="00556C73">
        <w:rPr>
          <w:rFonts w:ascii="Times New Roman" w:eastAsia="Calibri" w:hAnsi="Times New Roman" w:cs="Times New Roman"/>
          <w:sz w:val="24"/>
        </w:rPr>
        <w:t>kā</w:t>
      </w:r>
      <w:r>
        <w:rPr>
          <w:rFonts w:ascii="Times New Roman" w:eastAsia="Calibri" w:hAnsi="Times New Roman" w:cs="Times New Roman"/>
          <w:sz w:val="24"/>
        </w:rPr>
        <w:t>, piemēram,</w:t>
      </w:r>
      <w:r w:rsidRPr="00556C73">
        <w:rPr>
          <w:rFonts w:ascii="Times New Roman" w:eastAsia="Calibri" w:hAnsi="Times New Roman" w:cs="Times New Roman"/>
          <w:sz w:val="24"/>
        </w:rPr>
        <w:t xml:space="preserve"> zemās graudu ražas ietekmē. Lielākais devums ekonomikas izaugsmē pērn bija investīcijām, kas salīdzinājumā ar 2017.gadu palielinājās par 16,4%, uzrādot vēl straujāku kāpumu nekā 2017.gadā</w:t>
      </w:r>
    </w:p>
    <w:p w:rsidR="006F0EBF" w:rsidRDefault="006F0EBF" w:rsidP="006F0EBF">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D1B24">
        <w:rPr>
          <w:rFonts w:ascii="Times New Roman" w:eastAsia="Times New Roman" w:hAnsi="Times New Roman" w:cs="Times New Roman"/>
          <w:sz w:val="24"/>
          <w:szCs w:val="24"/>
          <w:lang w:eastAsia="lv-LV"/>
        </w:rPr>
        <w:t>Pēc FM aprēķiniem</w:t>
      </w:r>
      <w:r>
        <w:rPr>
          <w:rFonts w:ascii="Times New Roman" w:eastAsia="Times New Roman" w:hAnsi="Times New Roman" w:cs="Times New Roman"/>
          <w:sz w:val="24"/>
          <w:szCs w:val="24"/>
          <w:lang w:eastAsia="lv-LV"/>
        </w:rPr>
        <w:t>,</w:t>
      </w:r>
      <w:r w:rsidRPr="00CD1B24">
        <w:rPr>
          <w:rFonts w:ascii="Times New Roman" w:eastAsia="Times New Roman" w:hAnsi="Times New Roman" w:cs="Times New Roman"/>
          <w:sz w:val="24"/>
          <w:szCs w:val="24"/>
          <w:lang w:eastAsia="lv-LV"/>
        </w:rPr>
        <w:t xml:space="preserve"> Latvijas tautsaimniecības cikliskā attīstība ir sasniegusi maksimumu. Izlaižu starpība 2018.gadā būs sasnieg</w:t>
      </w:r>
      <w:r>
        <w:rPr>
          <w:rFonts w:ascii="Times New Roman" w:eastAsia="Times New Roman" w:hAnsi="Times New Roman" w:cs="Times New Roman"/>
          <w:sz w:val="24"/>
          <w:szCs w:val="24"/>
          <w:lang w:eastAsia="lv-LV"/>
        </w:rPr>
        <w:t>usi maksimālo vērtību, proti, 1,</w:t>
      </w:r>
      <w:r w:rsidRPr="00CD1B24">
        <w:rPr>
          <w:rFonts w:ascii="Times New Roman" w:eastAsia="Times New Roman" w:hAnsi="Times New Roman" w:cs="Times New Roman"/>
          <w:sz w:val="24"/>
          <w:szCs w:val="24"/>
          <w:lang w:eastAsia="lv-LV"/>
        </w:rPr>
        <w:t xml:space="preserve">7% no IKP un tālākajos gados, ņemot vērā ekonomikas izaugsmes tempu bremzēšanos, tā samazināsies. 2018.gada 4.ceturksnī jau parādījās ekonomikas bremzēšanās pazīmes, </w:t>
      </w:r>
      <w:r>
        <w:rPr>
          <w:rFonts w:ascii="Times New Roman" w:eastAsia="Times New Roman" w:hAnsi="Times New Roman" w:cs="Times New Roman"/>
          <w:sz w:val="24"/>
          <w:szCs w:val="24"/>
          <w:lang w:eastAsia="lv-LV"/>
        </w:rPr>
        <w:t>kas izpaudās, piemēram, lēnākos eksporta pieauguma tempos,</w:t>
      </w:r>
      <w:r w:rsidRPr="00CD1B24">
        <w:rPr>
          <w:rFonts w:ascii="Times New Roman" w:eastAsia="Times New Roman" w:hAnsi="Times New Roman" w:cs="Times New Roman"/>
          <w:sz w:val="24"/>
          <w:szCs w:val="24"/>
          <w:lang w:eastAsia="lv-LV"/>
        </w:rPr>
        <w:t xml:space="preserve"> tādējādi līdzīgi kā ES arī 2019.gads jau iezīmējas ar ekonomiskās attīstības bremzēšanos.</w:t>
      </w:r>
    </w:p>
    <w:p w:rsidR="006F0EBF" w:rsidRPr="006F0EBF" w:rsidRDefault="006F0EBF" w:rsidP="006F0EBF">
      <w:pPr>
        <w:spacing w:after="0" w:line="240" w:lineRule="auto"/>
        <w:ind w:firstLine="720"/>
        <w:jc w:val="both"/>
        <w:rPr>
          <w:rFonts w:ascii="Times New Roman" w:eastAsia="Calibri" w:hAnsi="Times New Roman" w:cs="Times New Roman"/>
          <w:color w:val="000000"/>
          <w:sz w:val="24"/>
          <w:szCs w:val="24"/>
        </w:rPr>
      </w:pPr>
      <w:r w:rsidRPr="006C5ABE">
        <w:rPr>
          <w:rFonts w:ascii="Times New Roman" w:eastAsia="Calibri" w:hAnsi="Times New Roman" w:cs="Times New Roman"/>
          <w:color w:val="000000"/>
          <w:sz w:val="24"/>
          <w:szCs w:val="24"/>
        </w:rPr>
        <w:t>Atšķirībā no citiem gadiem šogad periodā no iepriekšējas</w:t>
      </w:r>
      <w:r>
        <w:rPr>
          <w:rFonts w:ascii="Times New Roman" w:eastAsia="Calibri" w:hAnsi="Times New Roman" w:cs="Times New Roman"/>
          <w:color w:val="000000"/>
          <w:sz w:val="24"/>
          <w:szCs w:val="24"/>
        </w:rPr>
        <w:t xml:space="preserve"> S</w:t>
      </w:r>
      <w:r w:rsidRPr="006C5ABE">
        <w:rPr>
          <w:rFonts w:ascii="Times New Roman" w:eastAsia="Calibri" w:hAnsi="Times New Roman" w:cs="Times New Roman"/>
          <w:color w:val="000000"/>
          <w:sz w:val="24"/>
          <w:szCs w:val="24"/>
        </w:rPr>
        <w:t xml:space="preserve">tabilitātes programmas </w:t>
      </w:r>
      <w:r>
        <w:rPr>
          <w:rFonts w:ascii="Times New Roman" w:eastAsia="Calibri" w:hAnsi="Times New Roman" w:cs="Times New Roman"/>
          <w:color w:val="000000"/>
          <w:sz w:val="24"/>
          <w:szCs w:val="24"/>
        </w:rPr>
        <w:t>2018.</w:t>
      </w:r>
      <w:r w:rsidRPr="00382EED">
        <w:rPr>
          <w:rFonts w:ascii="Times New Roman" w:eastAsia="Calibri" w:hAnsi="Times New Roman"/>
          <w:color w:val="000000"/>
          <w:szCs w:val="24"/>
        </w:rPr>
        <w:t xml:space="preserve"> </w:t>
      </w:r>
      <w:r>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2021.gadam sagatavošanas līdz šīs S</w:t>
      </w:r>
      <w:r w:rsidRPr="006C5ABE">
        <w:rPr>
          <w:rFonts w:ascii="Times New Roman" w:eastAsia="Calibri" w:hAnsi="Times New Roman" w:cs="Times New Roman"/>
          <w:color w:val="000000"/>
          <w:sz w:val="24"/>
          <w:szCs w:val="24"/>
        </w:rPr>
        <w:t>tabilitātes programmas sagatavošana</w:t>
      </w:r>
      <w:r>
        <w:rPr>
          <w:rFonts w:ascii="Times New Roman" w:eastAsia="Calibri" w:hAnsi="Times New Roman" w:cs="Times New Roman"/>
          <w:color w:val="000000"/>
          <w:sz w:val="24"/>
          <w:szCs w:val="24"/>
        </w:rPr>
        <w:t>i</w:t>
      </w:r>
      <w:r w:rsidRPr="006C5ABE">
        <w:rPr>
          <w:rFonts w:ascii="Times New Roman" w:eastAsia="Calibri" w:hAnsi="Times New Roman" w:cs="Times New Roman"/>
          <w:color w:val="000000"/>
          <w:sz w:val="24"/>
          <w:szCs w:val="24"/>
        </w:rPr>
        <w:t xml:space="preserve"> netika izstrādāts </w:t>
      </w:r>
      <w:r w:rsidRPr="009F516D">
        <w:rPr>
          <w:rFonts w:ascii="Times New Roman" w:hAnsi="Times New Roman"/>
          <w:color w:val="000000" w:themeColor="text1"/>
          <w:sz w:val="24"/>
        </w:rPr>
        <w:t>Ietvara likums</w:t>
      </w:r>
      <w:r w:rsidRPr="006C5ABE">
        <w:rPr>
          <w:rFonts w:ascii="Times New Roman" w:eastAsia="Calibri" w:hAnsi="Times New Roman" w:cs="Times New Roman"/>
          <w:color w:val="000000"/>
          <w:sz w:val="24"/>
          <w:szCs w:val="24"/>
        </w:rPr>
        <w:t xml:space="preserve">. </w:t>
      </w:r>
      <w:r w:rsidRPr="00E4427F">
        <w:rPr>
          <w:rFonts w:ascii="Times New Roman" w:eastAsia="Calibri" w:hAnsi="Times New Roman" w:cs="Times New Roman"/>
          <w:color w:val="000000"/>
          <w:sz w:val="24"/>
          <w:szCs w:val="24"/>
        </w:rPr>
        <w:t>Savukārt, 2019.gada</w:t>
      </w:r>
      <w:r>
        <w:rPr>
          <w:rFonts w:ascii="Times New Roman" w:eastAsia="Calibri" w:hAnsi="Times New Roman" w:cs="Times New Roman"/>
          <w:color w:val="000000"/>
          <w:sz w:val="24"/>
          <w:szCs w:val="24"/>
        </w:rPr>
        <w:t xml:space="preserve"> valsts</w:t>
      </w:r>
      <w:r w:rsidRPr="00E4427F">
        <w:rPr>
          <w:rFonts w:ascii="Times New Roman" w:eastAsia="Calibri" w:hAnsi="Times New Roman" w:cs="Times New Roman"/>
          <w:color w:val="000000"/>
          <w:sz w:val="24"/>
          <w:szCs w:val="24"/>
        </w:rPr>
        <w:t xml:space="preserve"> budžets tika pieņemts tikai š.g. aprīli</w:t>
      </w:r>
      <w:r>
        <w:rPr>
          <w:rFonts w:ascii="Times New Roman" w:eastAsia="Calibri" w:hAnsi="Times New Roman" w:cs="Times New Roman"/>
          <w:color w:val="000000"/>
          <w:sz w:val="24"/>
          <w:szCs w:val="24"/>
        </w:rPr>
        <w:t xml:space="preserve">. </w:t>
      </w:r>
      <w:r w:rsidRPr="006C5ABE">
        <w:rPr>
          <w:rFonts w:ascii="Times New Roman" w:eastAsia="Calibri" w:hAnsi="Times New Roman" w:cs="Times New Roman"/>
          <w:color w:val="000000"/>
          <w:sz w:val="24"/>
          <w:szCs w:val="24"/>
        </w:rPr>
        <w:t>Ņemot vērā laika ierobe</w:t>
      </w:r>
      <w:r>
        <w:rPr>
          <w:rFonts w:ascii="Times New Roman" w:eastAsia="Calibri" w:hAnsi="Times New Roman" w:cs="Times New Roman"/>
          <w:color w:val="000000"/>
          <w:sz w:val="24"/>
          <w:szCs w:val="24"/>
        </w:rPr>
        <w:t>žojumus, 2019.g</w:t>
      </w:r>
      <w:r w:rsidRPr="006C5ABE">
        <w:rPr>
          <w:rFonts w:ascii="Times New Roman" w:eastAsia="Calibri" w:hAnsi="Times New Roman" w:cs="Times New Roman"/>
          <w:color w:val="000000"/>
          <w:sz w:val="24"/>
          <w:szCs w:val="24"/>
        </w:rPr>
        <w:t>ada</w:t>
      </w:r>
      <w:r>
        <w:rPr>
          <w:rFonts w:ascii="Times New Roman" w:eastAsia="Calibri" w:hAnsi="Times New Roman" w:cs="Times New Roman"/>
          <w:color w:val="000000"/>
          <w:sz w:val="24"/>
          <w:szCs w:val="24"/>
        </w:rPr>
        <w:t xml:space="preserve"> valsts budžets tiks izstrādāts kā “t</w:t>
      </w:r>
      <w:r w:rsidRPr="006C5ABE">
        <w:rPr>
          <w:rFonts w:ascii="Times New Roman" w:eastAsia="Calibri" w:hAnsi="Times New Roman" w:cs="Times New Roman"/>
          <w:color w:val="000000"/>
          <w:sz w:val="24"/>
          <w:szCs w:val="24"/>
        </w:rPr>
        <w:t>ehniskais budžets”, resp</w:t>
      </w:r>
      <w:r>
        <w:rPr>
          <w:rFonts w:ascii="Times New Roman" w:eastAsia="Calibri" w:hAnsi="Times New Roman" w:cs="Times New Roman"/>
          <w:color w:val="000000"/>
          <w:sz w:val="24"/>
          <w:szCs w:val="24"/>
        </w:rPr>
        <w:t>ektīvi – tas ietvēra iepriekšējā</w:t>
      </w:r>
      <w:r w:rsidRPr="006C5ABE">
        <w:rPr>
          <w:rFonts w:ascii="Times New Roman" w:eastAsia="Calibri" w:hAnsi="Times New Roman" w:cs="Times New Roman"/>
          <w:color w:val="000000"/>
          <w:sz w:val="24"/>
          <w:szCs w:val="24"/>
        </w:rPr>
        <w:t xml:space="preserve">s valdības un Saeimas pieņemtos lēmumus, kā arī </w:t>
      </w:r>
      <w:r>
        <w:rPr>
          <w:rFonts w:ascii="Times New Roman" w:eastAsia="Calibri" w:hAnsi="Times New Roman" w:cs="Times New Roman"/>
          <w:color w:val="000000"/>
          <w:sz w:val="24"/>
          <w:szCs w:val="24"/>
        </w:rPr>
        <w:t xml:space="preserve">atsevišķus </w:t>
      </w:r>
      <w:r w:rsidRPr="006C5ABE">
        <w:rPr>
          <w:rFonts w:ascii="Times New Roman" w:eastAsia="Calibri" w:hAnsi="Times New Roman" w:cs="Times New Roman"/>
          <w:color w:val="000000"/>
          <w:sz w:val="24"/>
          <w:szCs w:val="24"/>
        </w:rPr>
        <w:t>jaunās Saeima</w:t>
      </w:r>
      <w:r>
        <w:rPr>
          <w:rFonts w:ascii="Times New Roman" w:eastAsia="Calibri" w:hAnsi="Times New Roman" w:cs="Times New Roman"/>
          <w:color w:val="000000"/>
          <w:sz w:val="24"/>
          <w:szCs w:val="24"/>
        </w:rPr>
        <w:t>s</w:t>
      </w:r>
      <w:r w:rsidRPr="006C5ABE">
        <w:rPr>
          <w:rFonts w:ascii="Times New Roman" w:eastAsia="Calibri" w:hAnsi="Times New Roman" w:cs="Times New Roman"/>
          <w:color w:val="000000"/>
          <w:sz w:val="24"/>
          <w:szCs w:val="24"/>
        </w:rPr>
        <w:t xml:space="preserve"> pieņemto</w:t>
      </w:r>
      <w:r>
        <w:rPr>
          <w:rFonts w:ascii="Times New Roman" w:eastAsia="Calibri" w:hAnsi="Times New Roman" w:cs="Times New Roman"/>
          <w:color w:val="000000"/>
          <w:sz w:val="24"/>
          <w:szCs w:val="24"/>
        </w:rPr>
        <w:t>s</w:t>
      </w:r>
      <w:r w:rsidRPr="006C5ABE">
        <w:rPr>
          <w:rFonts w:ascii="Times New Roman" w:eastAsia="Calibri" w:hAnsi="Times New Roman" w:cs="Times New Roman"/>
          <w:color w:val="000000"/>
          <w:sz w:val="24"/>
          <w:szCs w:val="24"/>
        </w:rPr>
        <w:t xml:space="preserve"> lēmum</w:t>
      </w:r>
      <w:r>
        <w:rPr>
          <w:rFonts w:ascii="Times New Roman" w:eastAsia="Calibri" w:hAnsi="Times New Roman" w:cs="Times New Roman"/>
          <w:color w:val="000000"/>
          <w:sz w:val="24"/>
          <w:szCs w:val="24"/>
        </w:rPr>
        <w:t>us.</w:t>
      </w:r>
      <w:r w:rsidRPr="006C5ABE">
        <w:rPr>
          <w:rFonts w:ascii="Times New Roman" w:eastAsia="Calibri" w:hAnsi="Times New Roman" w:cs="Times New Roman"/>
          <w:color w:val="000000"/>
          <w:sz w:val="24"/>
          <w:szCs w:val="24"/>
        </w:rPr>
        <w:t xml:space="preserve"> Jaunās Saeimas un jaunā </w:t>
      </w:r>
      <w:r w:rsidR="007D06BB">
        <w:rPr>
          <w:rFonts w:ascii="Times New Roman" w:eastAsia="Calibri" w:hAnsi="Times New Roman" w:cs="Times New Roman"/>
          <w:color w:val="000000"/>
          <w:sz w:val="24"/>
          <w:szCs w:val="24"/>
        </w:rPr>
        <w:t xml:space="preserve">MK </w:t>
      </w:r>
      <w:r w:rsidRPr="006C5ABE">
        <w:rPr>
          <w:rFonts w:ascii="Times New Roman" w:eastAsia="Calibri" w:hAnsi="Times New Roman" w:cs="Times New Roman"/>
          <w:color w:val="000000"/>
          <w:sz w:val="24"/>
          <w:szCs w:val="24"/>
        </w:rPr>
        <w:t>politikas prior</w:t>
      </w:r>
      <w:r>
        <w:rPr>
          <w:rFonts w:ascii="Times New Roman" w:eastAsia="Calibri" w:hAnsi="Times New Roman" w:cs="Times New Roman"/>
          <w:color w:val="000000"/>
          <w:sz w:val="24"/>
          <w:szCs w:val="24"/>
        </w:rPr>
        <w:t>itātes tiks finansētas ar 2020.</w:t>
      </w:r>
      <w:r w:rsidRPr="006C5ABE">
        <w:rPr>
          <w:rFonts w:ascii="Times New Roman" w:eastAsia="Calibri" w:hAnsi="Times New Roman" w:cs="Times New Roman"/>
          <w:color w:val="000000"/>
          <w:sz w:val="24"/>
          <w:szCs w:val="24"/>
        </w:rPr>
        <w:t>gada valsts bud</w:t>
      </w:r>
      <w:r>
        <w:rPr>
          <w:rFonts w:ascii="Times New Roman" w:eastAsia="Calibri" w:hAnsi="Times New Roman" w:cs="Times New Roman"/>
          <w:color w:val="000000"/>
          <w:sz w:val="24"/>
          <w:szCs w:val="24"/>
        </w:rPr>
        <w:t>žeta likumu un 2020.</w:t>
      </w:r>
      <w:r w:rsidRPr="00382EED">
        <w:rPr>
          <w:rFonts w:ascii="Times New Roman" w:eastAsia="Calibri" w:hAnsi="Times New Roman"/>
          <w:color w:val="000000"/>
          <w:szCs w:val="24"/>
        </w:rPr>
        <w:t xml:space="preserve"> </w:t>
      </w:r>
      <w:r>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2022.</w:t>
      </w:r>
      <w:r w:rsidRPr="006C5ABE">
        <w:rPr>
          <w:rFonts w:ascii="Times New Roman" w:eastAsia="Calibri" w:hAnsi="Times New Roman" w:cs="Times New Roman"/>
          <w:color w:val="000000"/>
          <w:sz w:val="24"/>
          <w:szCs w:val="24"/>
        </w:rPr>
        <w:t xml:space="preserve">gada </w:t>
      </w:r>
      <w:r>
        <w:rPr>
          <w:rFonts w:ascii="Times New Roman" w:eastAsia="Calibri" w:hAnsi="Times New Roman" w:cs="Times New Roman"/>
          <w:color w:val="000000"/>
          <w:sz w:val="24"/>
          <w:szCs w:val="24"/>
        </w:rPr>
        <w:t>I</w:t>
      </w:r>
      <w:r w:rsidRPr="006C5ABE">
        <w:rPr>
          <w:rFonts w:ascii="Times New Roman" w:eastAsia="Calibri" w:hAnsi="Times New Roman" w:cs="Times New Roman"/>
          <w:color w:val="000000"/>
          <w:sz w:val="24"/>
          <w:szCs w:val="24"/>
        </w:rPr>
        <w:t>etvara likumu. Ņemot vērā augstāk minēto, šajā Stabilitātes programmā netiek sni</w:t>
      </w:r>
      <w:r>
        <w:rPr>
          <w:rFonts w:ascii="Times New Roman" w:eastAsia="Calibri" w:hAnsi="Times New Roman" w:cs="Times New Roman"/>
          <w:color w:val="000000"/>
          <w:sz w:val="24"/>
          <w:szCs w:val="24"/>
        </w:rPr>
        <w:t>egta informācija par 2020.</w:t>
      </w:r>
      <w:r w:rsidRPr="00382EED">
        <w:rPr>
          <w:rFonts w:ascii="Times New Roman" w:eastAsia="Calibri" w:hAnsi="Times New Roman"/>
          <w:color w:val="000000"/>
          <w:szCs w:val="24"/>
        </w:rPr>
        <w:t xml:space="preserve"> </w:t>
      </w:r>
      <w:r>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2022.</w:t>
      </w:r>
      <w:r w:rsidRPr="006C5ABE">
        <w:rPr>
          <w:rFonts w:ascii="Times New Roman" w:eastAsia="Calibri" w:hAnsi="Times New Roman" w:cs="Times New Roman"/>
          <w:color w:val="000000"/>
          <w:sz w:val="24"/>
          <w:szCs w:val="24"/>
        </w:rPr>
        <w:t>gada fiskālās politikas stratēģiju un vidēja termiņa politikas prioritārajiem attīstības virzieniem.</w:t>
      </w:r>
    </w:p>
    <w:p w:rsidR="006F0EBF" w:rsidRPr="00B402C3" w:rsidRDefault="006F0EBF" w:rsidP="006F0EBF">
      <w:pPr>
        <w:spacing w:after="0" w:line="240" w:lineRule="auto"/>
        <w:ind w:firstLine="720"/>
        <w:jc w:val="both"/>
        <w:rPr>
          <w:rFonts w:ascii="Times New Roman" w:eastAsia="Times New Roman" w:hAnsi="Times New Roman" w:cs="Times New Roman"/>
          <w:sz w:val="24"/>
          <w:szCs w:val="24"/>
          <w:highlight w:val="yellow"/>
        </w:rPr>
      </w:pPr>
      <w:r>
        <w:rPr>
          <w:rFonts w:ascii="Times New Roman" w:hAnsi="Times New Roman"/>
          <w:sz w:val="24"/>
          <w:szCs w:val="20"/>
        </w:rPr>
        <w:t>Uz atjaunotā makroekonomiskā scenārija bāzes izstrādātās f</w:t>
      </w:r>
      <w:r w:rsidRPr="00E41726">
        <w:rPr>
          <w:rFonts w:ascii="Times New Roman" w:hAnsi="Times New Roman"/>
          <w:sz w:val="24"/>
          <w:szCs w:val="20"/>
        </w:rPr>
        <w:t xml:space="preserve">iskālās prognozes rāda, </w:t>
      </w:r>
      <w:r w:rsidRPr="00E41726">
        <w:rPr>
          <w:rFonts w:ascii="Times New Roman" w:eastAsia="Times New Roman" w:hAnsi="Times New Roman" w:cs="Times New Roman"/>
          <w:color w:val="000000"/>
          <w:sz w:val="24"/>
          <w:szCs w:val="20"/>
        </w:rPr>
        <w:t>ka vispārējās valdības budžeta deficīts</w:t>
      </w:r>
      <w:r w:rsidRPr="00E41726">
        <w:rPr>
          <w:rFonts w:ascii="Times New Roman" w:hAnsi="Times New Roman"/>
          <w:sz w:val="24"/>
          <w:szCs w:val="20"/>
        </w:rPr>
        <w:t>, neietverot fiskālos riskus,</w:t>
      </w:r>
      <w:r w:rsidRPr="00E41726">
        <w:rPr>
          <w:rFonts w:ascii="Times New Roman" w:eastAsia="Times New Roman" w:hAnsi="Times New Roman" w:cs="Times New Roman"/>
          <w:color w:val="000000"/>
          <w:sz w:val="24"/>
          <w:szCs w:val="20"/>
        </w:rPr>
        <w:t xml:space="preserve"> 2019.gadā būs 0,5% no IKP un tas ir tādā pašā līmenī kā tika prognozēts, sagatavojot valsts budžetu 2019.gadam. Vidējā termiņā vispārējās valdības budžetā scenārijā 2020.gadā tiek </w:t>
      </w:r>
      <w:r>
        <w:rPr>
          <w:rFonts w:ascii="Times New Roman" w:eastAsia="Times New Roman" w:hAnsi="Times New Roman" w:cs="Times New Roman"/>
          <w:color w:val="000000"/>
          <w:sz w:val="24"/>
          <w:szCs w:val="20"/>
        </w:rPr>
        <w:t>plānots</w:t>
      </w:r>
      <w:r w:rsidRPr="00E41726">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deficīts 0,4% no IKP, 2021.gadā deficīts 0,2</w:t>
      </w:r>
      <w:r w:rsidRPr="00E41726">
        <w:rPr>
          <w:rFonts w:ascii="Times New Roman" w:eastAsia="Times New Roman" w:hAnsi="Times New Roman" w:cs="Times New Roman"/>
          <w:color w:val="000000"/>
          <w:sz w:val="24"/>
          <w:szCs w:val="20"/>
        </w:rPr>
        <w:t xml:space="preserve">% apmērā no </w:t>
      </w:r>
      <w:r>
        <w:rPr>
          <w:rFonts w:ascii="Times New Roman" w:eastAsia="Times New Roman" w:hAnsi="Times New Roman" w:cs="Times New Roman"/>
          <w:color w:val="000000"/>
          <w:sz w:val="24"/>
          <w:szCs w:val="20"/>
        </w:rPr>
        <w:t>IKP un 2022.gadā deficīts 0,3</w:t>
      </w:r>
      <w:r w:rsidRPr="00E41726">
        <w:rPr>
          <w:rFonts w:ascii="Times New Roman" w:eastAsia="Times New Roman" w:hAnsi="Times New Roman" w:cs="Times New Roman"/>
          <w:color w:val="000000"/>
          <w:sz w:val="24"/>
          <w:szCs w:val="20"/>
        </w:rPr>
        <w:t>% apmērā no IKP.</w:t>
      </w:r>
      <w:r w:rsidRPr="00E41726">
        <w:rPr>
          <w:rFonts w:ascii="Times New Roman" w:eastAsia="Times New Roman" w:hAnsi="Times New Roman" w:cs="Times New Roman"/>
          <w:sz w:val="24"/>
          <w:szCs w:val="24"/>
        </w:rPr>
        <w:t xml:space="preserve"> </w:t>
      </w:r>
    </w:p>
    <w:p w:rsidR="00E1587C" w:rsidRDefault="00E1587C" w:rsidP="00E1587C">
      <w:pPr>
        <w:ind w:firstLine="720"/>
        <w:jc w:val="both"/>
      </w:pPr>
    </w:p>
    <w:p w:rsidR="00B51617" w:rsidRDefault="00B51617" w:rsidP="00CF7805">
      <w:pPr>
        <w:jc w:val="both"/>
      </w:pPr>
      <w:r>
        <w:br w:type="page"/>
      </w:r>
    </w:p>
    <w:p w:rsidR="005536A9" w:rsidRPr="00E53D87" w:rsidRDefault="00F512CA" w:rsidP="00F512CA">
      <w:pPr>
        <w:pStyle w:val="Heading1"/>
        <w:numPr>
          <w:ilvl w:val="0"/>
          <w:numId w:val="1"/>
        </w:numPr>
        <w:ind w:left="284" w:hanging="283"/>
        <w:jc w:val="center"/>
        <w:rPr>
          <w:rFonts w:ascii="Times New Roman" w:hAnsi="Times New Roman" w:cs="Times New Roman"/>
          <w:sz w:val="32"/>
        </w:rPr>
      </w:pPr>
      <w:bookmarkStart w:id="3" w:name="_Toc510790651"/>
      <w:bookmarkStart w:id="4" w:name="_Toc5627361"/>
      <w:bookmarkStart w:id="5" w:name="_Toc5798616"/>
      <w:r w:rsidRPr="00E53D87">
        <w:rPr>
          <w:rFonts w:ascii="Times New Roman" w:hAnsi="Times New Roman" w:cs="Times New Roman"/>
          <w:sz w:val="32"/>
        </w:rPr>
        <w:lastRenderedPageBreak/>
        <w:t>Ekonomiskā situācija</w:t>
      </w:r>
      <w:bookmarkEnd w:id="3"/>
      <w:bookmarkEnd w:id="4"/>
      <w:bookmarkEnd w:id="5"/>
    </w:p>
    <w:p w:rsidR="00B45C68" w:rsidRPr="005E344C" w:rsidRDefault="00B45C68" w:rsidP="00DA42C2">
      <w:pPr>
        <w:pStyle w:val="Heading2"/>
        <w:numPr>
          <w:ilvl w:val="1"/>
          <w:numId w:val="12"/>
        </w:numPr>
        <w:spacing w:before="120" w:after="60"/>
        <w:ind w:left="1134" w:hanging="425"/>
        <w:rPr>
          <w:rFonts w:ascii="Times New Roman" w:hAnsi="Times New Roman" w:cs="Times New Roman"/>
          <w:sz w:val="24"/>
          <w:szCs w:val="24"/>
        </w:rPr>
      </w:pPr>
      <w:bookmarkStart w:id="6" w:name="_Toc479331082"/>
      <w:bookmarkStart w:id="7" w:name="_Toc510790652"/>
      <w:bookmarkStart w:id="8" w:name="_Toc5627362"/>
      <w:bookmarkStart w:id="9" w:name="_Toc5798617"/>
      <w:r w:rsidRPr="005E344C">
        <w:rPr>
          <w:rFonts w:ascii="Times New Roman" w:hAnsi="Times New Roman" w:cs="Times New Roman"/>
          <w:sz w:val="24"/>
          <w:szCs w:val="24"/>
        </w:rPr>
        <w:t>Ārējā ekonomiskā vide</w:t>
      </w:r>
      <w:bookmarkEnd w:id="6"/>
      <w:bookmarkEnd w:id="7"/>
      <w:bookmarkEnd w:id="8"/>
      <w:bookmarkEnd w:id="9"/>
    </w:p>
    <w:p w:rsidR="00E53D87" w:rsidRPr="00E53D87" w:rsidRDefault="00E53D87" w:rsidP="00E53D87">
      <w:pPr>
        <w:spacing w:after="0" w:line="240" w:lineRule="auto"/>
        <w:ind w:firstLine="709"/>
        <w:jc w:val="both"/>
        <w:rPr>
          <w:rFonts w:ascii="Times New Roman" w:eastAsia="Calibri" w:hAnsi="Times New Roman" w:cs="Times New Roman"/>
          <w:sz w:val="24"/>
        </w:rPr>
      </w:pPr>
      <w:bookmarkStart w:id="10" w:name="_Toc479331083"/>
      <w:bookmarkStart w:id="11" w:name="_Toc510790653"/>
      <w:r w:rsidRPr="00E53D87">
        <w:rPr>
          <w:rFonts w:ascii="Times New Roman" w:eastAsia="Calibri" w:hAnsi="Times New Roman" w:cs="Times New Roman"/>
          <w:sz w:val="24"/>
        </w:rPr>
        <w:t>Pērn globālā ekonomikas izaugsme ir vājinājusies, īpaši gada otrajā pusē, kad pieauguma tempu sabremzēšanās bija spēcīgāka nekā to paredzēja jau tā samazinātās izaugsmes prognozes. Izaugsmes tempu sabremzēšanos noteica vājāka ekonomiskā izaugsme Eiropā un atsevišķās Āzijas valstīs, ko izraisīja dažādu faktoru kopums: vājāks finanšu tirgu sentiments, zemāki tirdzniecības apjomi, samazinoties pasaules rūpniecības izlaidei, un globālās tirdzniecības politikas nenoteiktība, kā arī Ķīnas ekonomiskās izaugsmes nepārliecinošās perspektīvas. Tajā pašā laikā izaugsmes tempi AS</w:t>
      </w:r>
      <w:r w:rsidR="00004DDA">
        <w:rPr>
          <w:rFonts w:ascii="Times New Roman" w:eastAsia="Calibri" w:hAnsi="Times New Roman" w:cs="Times New Roman"/>
          <w:sz w:val="24"/>
        </w:rPr>
        <w:t>V</w:t>
      </w:r>
      <w:r w:rsidRPr="00E53D87">
        <w:rPr>
          <w:rFonts w:ascii="Times New Roman" w:eastAsia="Calibri" w:hAnsi="Times New Roman" w:cs="Times New Roman"/>
          <w:sz w:val="24"/>
        </w:rPr>
        <w:t>, Indijā un Āzijas jaunattīstības valstīs saglabājās stabili.</w:t>
      </w:r>
    </w:p>
    <w:p w:rsidR="00E53D87" w:rsidRPr="00E53D87" w:rsidRDefault="00E53D87" w:rsidP="00E53D87">
      <w:pPr>
        <w:spacing w:after="0" w:line="240" w:lineRule="auto"/>
        <w:ind w:firstLine="709"/>
        <w:jc w:val="both"/>
        <w:rPr>
          <w:rFonts w:ascii="Times New Roman" w:eastAsia="Calibri" w:hAnsi="Times New Roman" w:cs="Times New Roman"/>
          <w:sz w:val="24"/>
        </w:rPr>
      </w:pPr>
      <w:r w:rsidRPr="00E53D87">
        <w:rPr>
          <w:rFonts w:ascii="Times New Roman" w:eastAsia="Calibri" w:hAnsi="Times New Roman" w:cs="Times New Roman"/>
          <w:sz w:val="24"/>
        </w:rPr>
        <w:t>Latvijas lielākā eksporta tirgus, ES (ES</w:t>
      </w:r>
      <w:r w:rsidR="00DA41CA" w:rsidRPr="00E53D87">
        <w:rPr>
          <w:rFonts w:ascii="Times New Roman" w:eastAsia="Calibri" w:hAnsi="Times New Roman" w:cs="Times New Roman"/>
          <w:sz w:val="24"/>
        </w:rPr>
        <w:t xml:space="preserve"> – </w:t>
      </w:r>
      <w:r w:rsidRPr="00E53D87">
        <w:rPr>
          <w:rFonts w:ascii="Times New Roman" w:eastAsia="Calibri" w:hAnsi="Times New Roman" w:cs="Times New Roman"/>
          <w:sz w:val="24"/>
        </w:rPr>
        <w:t>28), ekonomiskā izaugsme 2018.gadā noslīdēja līdz 1,9%. Tā ir būtiska sabremzēšanās, salīdzinot ar 2017.gadā sasniegto 2,5% IKP pieaugumu, un ir pēdējo četru gadu vājākā izaugsme. Papildus ārējās vides faktoriem, kas negatīvi ietekmēja ES ekonomisko sniegumu pērn, arī atsevišķi iekšējie apstākļi reģiona izaugsmei nebija labvēlīgi. ES ekonomiskās konfidences rādītājs samazinās jau kopš 2018.gada jūnija un šobrīd atrodas zemākajā līmenī kopš 2016.gada septembra.</w:t>
      </w:r>
    </w:p>
    <w:p w:rsidR="00E53D87" w:rsidRPr="00E53D87" w:rsidRDefault="00E53D87" w:rsidP="00E53D87">
      <w:pPr>
        <w:spacing w:after="0" w:line="240" w:lineRule="auto"/>
        <w:ind w:firstLine="709"/>
        <w:jc w:val="both"/>
        <w:rPr>
          <w:rFonts w:ascii="Times New Roman" w:eastAsia="Calibri" w:hAnsi="Times New Roman" w:cs="Times New Roman"/>
          <w:sz w:val="24"/>
        </w:rPr>
      </w:pPr>
      <w:r w:rsidRPr="00E53D87">
        <w:rPr>
          <w:rFonts w:ascii="Times New Roman" w:eastAsia="Calibri" w:hAnsi="Times New Roman" w:cs="Times New Roman"/>
          <w:sz w:val="24"/>
        </w:rPr>
        <w:t>Arī Latvijas galveno tirdzniecības partnervalstu ekonomiskās izaugsmes tempi pērn bija vājāki nekā iepriekšējā gadā, lai gan kopumā joprojām būtiski pārsniedza ES k</w:t>
      </w:r>
      <w:r w:rsidR="00DA41CA">
        <w:rPr>
          <w:rFonts w:ascii="Times New Roman" w:eastAsia="Calibri" w:hAnsi="Times New Roman" w:cs="Times New Roman"/>
          <w:sz w:val="24"/>
        </w:rPr>
        <w:t>opējo IKP pieaugumu (skat. 2.1.</w:t>
      </w:r>
      <w:r w:rsidRPr="00E53D87">
        <w:rPr>
          <w:rFonts w:ascii="Times New Roman" w:eastAsia="Calibri" w:hAnsi="Times New Roman" w:cs="Times New Roman"/>
          <w:sz w:val="24"/>
        </w:rPr>
        <w:t>att</w:t>
      </w:r>
      <w:r w:rsidR="00DA41CA">
        <w:rPr>
          <w:rFonts w:ascii="Times New Roman" w:eastAsia="Calibri" w:hAnsi="Times New Roman" w:cs="Times New Roman"/>
          <w:sz w:val="24"/>
        </w:rPr>
        <w:t>ēls</w:t>
      </w:r>
      <w:r w:rsidRPr="00E53D87">
        <w:rPr>
          <w:rFonts w:ascii="Times New Roman" w:eastAsia="Calibri" w:hAnsi="Times New Roman" w:cs="Times New Roman"/>
          <w:sz w:val="24"/>
        </w:rPr>
        <w:t>). Tā, piemēram, Igaunijas ekonomikas kāpums sabremzējās no 4,9% 2017.gadā līdz 3,8% 2018.gadā, Lietuvas – no 4,1% līdz 3,4%, Vācijas</w:t>
      </w:r>
      <w:r w:rsidR="00DA41CA" w:rsidRPr="00E53D87">
        <w:rPr>
          <w:rFonts w:ascii="Times New Roman" w:eastAsia="Calibri" w:hAnsi="Times New Roman" w:cs="Times New Roman"/>
          <w:sz w:val="24"/>
        </w:rPr>
        <w:t xml:space="preserve"> – </w:t>
      </w:r>
      <w:r w:rsidRPr="00E53D87">
        <w:rPr>
          <w:rFonts w:ascii="Times New Roman" w:eastAsia="Calibri" w:hAnsi="Times New Roman" w:cs="Times New Roman"/>
          <w:sz w:val="24"/>
        </w:rPr>
        <w:t xml:space="preserve">no 2,2% līdz 1,4%, Dānijas – no 2,2% līdz 1,3% un Apvienotās Karalistes izaugsme noslīdēja līdz 1,4% salīdzinājumā ar 1,8% pieaugumu iepriekšējā gadā. Tajā pašā laikā Zviedrijas IKP pieauguma temps kļuva spēcīgāks, 2018.gadā sasniedzot 2,3%. Saskaņā ar SVF novērtējumu, pērn salīdzinājumā ar 2017.gadu par 0,2 procentpunktiem palielinājās arī Krievijas ekonomiskā izaugsme, līdz 1,7%. </w:t>
      </w:r>
    </w:p>
    <w:p w:rsidR="00E53D87" w:rsidRPr="00E53D87" w:rsidRDefault="00E53D87" w:rsidP="00E53D87">
      <w:pPr>
        <w:spacing w:after="0" w:line="240" w:lineRule="auto"/>
        <w:jc w:val="both"/>
        <w:rPr>
          <w:rFonts w:ascii="Times New Roman" w:eastAsia="Calibri" w:hAnsi="Times New Roman" w:cs="Times New Roman"/>
          <w:sz w:val="24"/>
        </w:rPr>
      </w:pPr>
    </w:p>
    <w:p w:rsidR="00E53D87" w:rsidRPr="00E53D87" w:rsidRDefault="00E53D87" w:rsidP="00E53D87">
      <w:pPr>
        <w:spacing w:after="0" w:line="240" w:lineRule="auto"/>
        <w:jc w:val="center"/>
        <w:rPr>
          <w:rFonts w:ascii="Times New Roman" w:eastAsia="Calibri" w:hAnsi="Times New Roman" w:cs="Times New Roman"/>
          <w:sz w:val="24"/>
        </w:rPr>
      </w:pPr>
      <w:r w:rsidRPr="00E0787A">
        <w:rPr>
          <w:rFonts w:eastAsia="Calibri"/>
          <w:noProof/>
          <w:lang w:eastAsia="lv-LV"/>
        </w:rPr>
        <w:drawing>
          <wp:inline distT="0" distB="0" distL="0" distR="0" wp14:anchorId="65FB6655" wp14:editId="7891B80C">
            <wp:extent cx="5943600" cy="252285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3D87" w:rsidRPr="00E53D87" w:rsidRDefault="00E53D87" w:rsidP="00E53D87">
      <w:pPr>
        <w:pStyle w:val="ListParagraph"/>
        <w:autoSpaceDE w:val="0"/>
        <w:autoSpaceDN w:val="0"/>
        <w:adjustRightInd w:val="0"/>
        <w:spacing w:after="120" w:line="240" w:lineRule="auto"/>
        <w:ind w:left="360"/>
        <w:jc w:val="both"/>
        <w:rPr>
          <w:rFonts w:ascii="Times New Roman" w:eastAsia="Calibri" w:hAnsi="Times New Roman" w:cs="Times New Roman"/>
          <w:i/>
          <w:sz w:val="18"/>
          <w:szCs w:val="18"/>
        </w:rPr>
      </w:pPr>
      <w:r w:rsidRPr="00E53D87">
        <w:rPr>
          <w:rFonts w:ascii="Times New Roman" w:eastAsia="Calibri" w:hAnsi="Times New Roman" w:cs="Times New Roman"/>
          <w:i/>
          <w:sz w:val="18"/>
          <w:szCs w:val="18"/>
        </w:rPr>
        <w:t xml:space="preserve">Datu avots: </w:t>
      </w:r>
      <w:proofErr w:type="spellStart"/>
      <w:r w:rsidRPr="00E53D87">
        <w:rPr>
          <w:rFonts w:ascii="Times New Roman" w:eastAsia="Calibri" w:hAnsi="Times New Roman" w:cs="Times New Roman"/>
          <w:i/>
          <w:sz w:val="18"/>
          <w:szCs w:val="18"/>
        </w:rPr>
        <w:t>Eurostat</w:t>
      </w:r>
      <w:proofErr w:type="spellEnd"/>
      <w:r w:rsidRPr="00E53D87">
        <w:rPr>
          <w:rFonts w:ascii="Times New Roman" w:eastAsia="Calibri" w:hAnsi="Times New Roman" w:cs="Times New Roman"/>
          <w:i/>
          <w:sz w:val="18"/>
          <w:szCs w:val="18"/>
        </w:rPr>
        <w:t xml:space="preserve">; </w:t>
      </w:r>
      <w:proofErr w:type="spellStart"/>
      <w:r w:rsidRPr="00E53D87">
        <w:rPr>
          <w:rFonts w:ascii="Times New Roman" w:eastAsia="Calibri" w:hAnsi="Times New Roman" w:cs="Times New Roman"/>
          <w:i/>
          <w:sz w:val="18"/>
          <w:szCs w:val="18"/>
        </w:rPr>
        <w:t>European</w:t>
      </w:r>
      <w:proofErr w:type="spellEnd"/>
      <w:r w:rsidRPr="00E53D87">
        <w:rPr>
          <w:rFonts w:ascii="Times New Roman" w:eastAsia="Calibri" w:hAnsi="Times New Roman" w:cs="Times New Roman"/>
          <w:i/>
          <w:sz w:val="18"/>
          <w:szCs w:val="18"/>
        </w:rPr>
        <w:t xml:space="preserve"> </w:t>
      </w:r>
      <w:proofErr w:type="spellStart"/>
      <w:r w:rsidRPr="00E53D87">
        <w:rPr>
          <w:rFonts w:ascii="Times New Roman" w:eastAsia="Calibri" w:hAnsi="Times New Roman" w:cs="Times New Roman"/>
          <w:i/>
          <w:sz w:val="18"/>
          <w:szCs w:val="18"/>
        </w:rPr>
        <w:t>Economic</w:t>
      </w:r>
      <w:proofErr w:type="spellEnd"/>
      <w:r w:rsidRPr="00E53D87">
        <w:rPr>
          <w:rFonts w:ascii="Times New Roman" w:eastAsia="Calibri" w:hAnsi="Times New Roman" w:cs="Times New Roman"/>
          <w:i/>
          <w:sz w:val="18"/>
          <w:szCs w:val="18"/>
        </w:rPr>
        <w:t xml:space="preserve"> </w:t>
      </w:r>
      <w:proofErr w:type="spellStart"/>
      <w:r w:rsidRPr="00E53D87">
        <w:rPr>
          <w:rFonts w:ascii="Times New Roman" w:eastAsia="Calibri" w:hAnsi="Times New Roman" w:cs="Times New Roman"/>
          <w:i/>
          <w:sz w:val="18"/>
          <w:szCs w:val="18"/>
        </w:rPr>
        <w:t>Forecast</w:t>
      </w:r>
      <w:proofErr w:type="spellEnd"/>
      <w:r w:rsidR="009023BA" w:rsidRPr="00E53D87">
        <w:rPr>
          <w:rFonts w:ascii="Times New Roman" w:eastAsia="Calibri" w:hAnsi="Times New Roman" w:cs="Times New Roman"/>
          <w:sz w:val="24"/>
        </w:rPr>
        <w:t xml:space="preserve"> – </w:t>
      </w:r>
      <w:proofErr w:type="spellStart"/>
      <w:r w:rsidRPr="00E53D87">
        <w:rPr>
          <w:rFonts w:ascii="Times New Roman" w:eastAsia="Calibri" w:hAnsi="Times New Roman" w:cs="Times New Roman"/>
          <w:i/>
          <w:sz w:val="18"/>
          <w:szCs w:val="18"/>
        </w:rPr>
        <w:t>Winter</w:t>
      </w:r>
      <w:proofErr w:type="spellEnd"/>
      <w:r w:rsidRPr="00E53D87">
        <w:rPr>
          <w:rFonts w:ascii="Times New Roman" w:eastAsia="Calibri" w:hAnsi="Times New Roman" w:cs="Times New Roman"/>
          <w:i/>
          <w:sz w:val="18"/>
          <w:szCs w:val="18"/>
        </w:rPr>
        <w:t xml:space="preserve"> 2019 (</w:t>
      </w:r>
      <w:proofErr w:type="spellStart"/>
      <w:r w:rsidRPr="00E53D87">
        <w:rPr>
          <w:rFonts w:ascii="Times New Roman" w:eastAsia="Calibri" w:hAnsi="Times New Roman" w:cs="Times New Roman"/>
          <w:i/>
          <w:sz w:val="18"/>
          <w:szCs w:val="18"/>
        </w:rPr>
        <w:t>Interim</w:t>
      </w:r>
      <w:proofErr w:type="spellEnd"/>
      <w:r w:rsidRPr="00E53D87">
        <w:rPr>
          <w:rFonts w:ascii="Times New Roman" w:eastAsia="Calibri" w:hAnsi="Times New Roman" w:cs="Times New Roman"/>
          <w:i/>
          <w:sz w:val="18"/>
          <w:szCs w:val="18"/>
        </w:rPr>
        <w:t xml:space="preserve">), </w:t>
      </w:r>
      <w:proofErr w:type="spellStart"/>
      <w:r w:rsidRPr="00E53D87">
        <w:rPr>
          <w:rFonts w:ascii="Times New Roman" w:eastAsia="Calibri" w:hAnsi="Times New Roman" w:cs="Times New Roman"/>
          <w:i/>
          <w:sz w:val="18"/>
          <w:szCs w:val="18"/>
        </w:rPr>
        <w:t>European</w:t>
      </w:r>
      <w:proofErr w:type="spellEnd"/>
      <w:r w:rsidRPr="00E53D87">
        <w:rPr>
          <w:rFonts w:ascii="Times New Roman" w:eastAsia="Calibri" w:hAnsi="Times New Roman" w:cs="Times New Roman"/>
          <w:i/>
          <w:sz w:val="18"/>
          <w:szCs w:val="18"/>
        </w:rPr>
        <w:t xml:space="preserve"> </w:t>
      </w:r>
      <w:proofErr w:type="spellStart"/>
      <w:r w:rsidRPr="00E53D87">
        <w:rPr>
          <w:rFonts w:ascii="Times New Roman" w:eastAsia="Calibri" w:hAnsi="Times New Roman" w:cs="Times New Roman"/>
          <w:i/>
          <w:sz w:val="18"/>
          <w:szCs w:val="18"/>
        </w:rPr>
        <w:t>Commission</w:t>
      </w:r>
      <w:proofErr w:type="spellEnd"/>
      <w:r w:rsidRPr="00E53D87">
        <w:rPr>
          <w:rFonts w:ascii="Times New Roman" w:eastAsia="Calibri" w:hAnsi="Times New Roman" w:cs="Times New Roman"/>
          <w:i/>
          <w:sz w:val="18"/>
          <w:szCs w:val="18"/>
        </w:rPr>
        <w:t>; FM aprēķini</w:t>
      </w:r>
    </w:p>
    <w:p w:rsidR="00E53D87" w:rsidRPr="00E53D87" w:rsidRDefault="00E53D87" w:rsidP="002B1A2C">
      <w:pPr>
        <w:pStyle w:val="ListParagraph"/>
        <w:spacing w:after="120" w:line="240" w:lineRule="auto"/>
        <w:ind w:left="360"/>
        <w:jc w:val="center"/>
        <w:rPr>
          <w:rFonts w:ascii="Times New Roman" w:eastAsia="Times New Roman" w:hAnsi="Times New Roman" w:cs="Times New Roman"/>
          <w:b/>
          <w:color w:val="000000"/>
          <w:sz w:val="24"/>
          <w:szCs w:val="24"/>
          <w:lang w:eastAsia="lv-LV"/>
        </w:rPr>
      </w:pPr>
      <w:r w:rsidRPr="00E53D87">
        <w:rPr>
          <w:rFonts w:ascii="Times New Roman" w:eastAsia="Times New Roman" w:hAnsi="Times New Roman" w:cs="Times New Roman"/>
          <w:b/>
          <w:color w:val="000000"/>
          <w:sz w:val="24"/>
          <w:szCs w:val="24"/>
          <w:lang w:eastAsia="lv-LV"/>
        </w:rPr>
        <w:t>2.1. attēls. Latvijas partnervalstu</w:t>
      </w:r>
      <w:r w:rsidRPr="00E0787A">
        <w:rPr>
          <w:rFonts w:eastAsia="Times New Roman"/>
          <w:sz w:val="20"/>
          <w:vertAlign w:val="superscript"/>
          <w:lang w:eastAsia="lv-LV"/>
        </w:rPr>
        <w:footnoteReference w:id="2"/>
      </w:r>
      <w:r w:rsidRPr="00E53D87">
        <w:rPr>
          <w:rFonts w:ascii="Times New Roman" w:eastAsia="Times New Roman" w:hAnsi="Times New Roman" w:cs="Times New Roman"/>
          <w:b/>
          <w:color w:val="000000"/>
          <w:sz w:val="24"/>
          <w:szCs w:val="24"/>
          <w:lang w:eastAsia="lv-LV"/>
        </w:rPr>
        <w:t xml:space="preserve"> un ES IKP pieauguma tempi, %</w:t>
      </w:r>
    </w:p>
    <w:p w:rsidR="00E53D87" w:rsidRPr="00E53D87" w:rsidRDefault="00E53D87" w:rsidP="00E53D87">
      <w:pPr>
        <w:spacing w:after="0" w:line="240" w:lineRule="auto"/>
        <w:ind w:firstLine="720"/>
        <w:jc w:val="both"/>
        <w:rPr>
          <w:rFonts w:ascii="Times New Roman" w:eastAsia="Calibri" w:hAnsi="Times New Roman" w:cs="Times New Roman"/>
          <w:sz w:val="24"/>
        </w:rPr>
      </w:pPr>
      <w:r w:rsidRPr="00E53D87">
        <w:rPr>
          <w:rFonts w:ascii="Times New Roman" w:eastAsia="Calibri" w:hAnsi="Times New Roman" w:cs="Times New Roman"/>
          <w:sz w:val="24"/>
        </w:rPr>
        <w:t xml:space="preserve">Arī šim un nākamajam gadam vadošās starptautiskās organizācijas ir samazinājušas pasaules ekonomiskās izaugsmes prognozes. Saskaņā ar SVF jaunākajām prognozēm, kuras </w:t>
      </w:r>
      <w:r w:rsidRPr="00E53D87">
        <w:rPr>
          <w:rFonts w:ascii="Times New Roman" w:eastAsia="Calibri" w:hAnsi="Times New Roman" w:cs="Times New Roman"/>
          <w:sz w:val="24"/>
        </w:rPr>
        <w:lastRenderedPageBreak/>
        <w:t>tika izstrādātas šā gada janvārī, pasaules ekonomika šogad pieaugs par 3,5%</w:t>
      </w:r>
      <w:r w:rsidR="003538A2" w:rsidRPr="00E53D87">
        <w:rPr>
          <w:rFonts w:ascii="Times New Roman" w:eastAsia="Calibri" w:hAnsi="Times New Roman" w:cs="Times New Roman"/>
          <w:sz w:val="24"/>
        </w:rPr>
        <w:t xml:space="preserve"> – </w:t>
      </w:r>
      <w:r w:rsidRPr="00E53D87">
        <w:rPr>
          <w:rFonts w:ascii="Times New Roman" w:eastAsia="Calibri" w:hAnsi="Times New Roman" w:cs="Times New Roman"/>
          <w:sz w:val="24"/>
        </w:rPr>
        <w:t xml:space="preserve">par 0,2 procentpunktiem lēnāk nekā paredzēja iepriekšējā prognoze, un nākamajā gadā izaugsme sasniegs 3,6%. Savukārt </w:t>
      </w:r>
      <w:r w:rsidR="003538A2">
        <w:rPr>
          <w:rFonts w:ascii="Times New Roman" w:eastAsia="Calibri" w:hAnsi="Times New Roman" w:cs="Times New Roman"/>
          <w:sz w:val="24"/>
        </w:rPr>
        <w:t>OECD</w:t>
      </w:r>
      <w:r w:rsidRPr="00E53D87">
        <w:rPr>
          <w:rFonts w:ascii="Times New Roman" w:eastAsia="Calibri" w:hAnsi="Times New Roman" w:cs="Times New Roman"/>
          <w:sz w:val="24"/>
        </w:rPr>
        <w:t xml:space="preserve"> šā gada marta prognozes paredz vēl vājāku pasaules ekonomiskas izaugsmi</w:t>
      </w:r>
      <w:r w:rsidR="003538A2" w:rsidRPr="00E53D87">
        <w:rPr>
          <w:rFonts w:ascii="Times New Roman" w:eastAsia="Calibri" w:hAnsi="Times New Roman" w:cs="Times New Roman"/>
          <w:sz w:val="24"/>
        </w:rPr>
        <w:t xml:space="preserve"> – </w:t>
      </w:r>
      <w:r w:rsidRPr="00E53D87">
        <w:rPr>
          <w:rFonts w:ascii="Times New Roman" w:eastAsia="Calibri" w:hAnsi="Times New Roman" w:cs="Times New Roman"/>
          <w:sz w:val="24"/>
        </w:rPr>
        <w:t>2019.gadā 3,3% un 2020.gadā 3,4%.</w:t>
      </w:r>
    </w:p>
    <w:p w:rsidR="00E53D87" w:rsidRPr="00E53D87" w:rsidRDefault="00E53D87" w:rsidP="00E53D87">
      <w:pPr>
        <w:spacing w:after="0" w:line="240" w:lineRule="auto"/>
        <w:ind w:firstLine="720"/>
        <w:jc w:val="both"/>
        <w:rPr>
          <w:rFonts w:ascii="Times New Roman" w:eastAsia="Calibri" w:hAnsi="Times New Roman" w:cs="Times New Roman"/>
          <w:sz w:val="24"/>
        </w:rPr>
      </w:pPr>
      <w:r w:rsidRPr="00E53D87">
        <w:rPr>
          <w:rFonts w:ascii="Times New Roman" w:eastAsia="Calibri" w:hAnsi="Times New Roman" w:cs="Times New Roman"/>
          <w:sz w:val="24"/>
        </w:rPr>
        <w:t xml:space="preserve">Izaugsmes palēnināšanos vidējā termiņā noteiks atsevišķu attīstīto valstu, tajā skaitā </w:t>
      </w:r>
      <w:proofErr w:type="spellStart"/>
      <w:r w:rsidRPr="00E53D87">
        <w:rPr>
          <w:rFonts w:ascii="Times New Roman" w:eastAsia="Calibri" w:hAnsi="Times New Roman" w:cs="Times New Roman"/>
          <w:sz w:val="24"/>
        </w:rPr>
        <w:t>eirozonas</w:t>
      </w:r>
      <w:proofErr w:type="spellEnd"/>
      <w:r w:rsidRPr="00E53D87">
        <w:rPr>
          <w:rFonts w:ascii="Times New Roman" w:eastAsia="Calibri" w:hAnsi="Times New Roman" w:cs="Times New Roman"/>
          <w:sz w:val="24"/>
        </w:rPr>
        <w:t xml:space="preserve">, izaugsmes tempu ātrāka sabremzēšanās. To ietekmēs nepietiekamās investīcijas uzņēmējdarbībā un neskaidrās tirdzniecības perspektīvas saistībā ar politisko nenoteiktību un krītošo patērētāju un uzņēmēju konfidenci. Kopumā Latvijas septiņu galveno ārējās tirdzniecības partnervalstu vidējā svērtā ekonomikas izaugsme, saskaņā ar </w:t>
      </w:r>
      <w:r w:rsidR="003538A2">
        <w:rPr>
          <w:rFonts w:ascii="Times New Roman" w:eastAsia="Calibri" w:hAnsi="Times New Roman" w:cs="Times New Roman"/>
          <w:sz w:val="24"/>
        </w:rPr>
        <w:t>EK</w:t>
      </w:r>
      <w:r w:rsidRPr="00E53D87">
        <w:rPr>
          <w:rFonts w:ascii="Times New Roman" w:eastAsia="Calibri" w:hAnsi="Times New Roman" w:cs="Times New Roman"/>
          <w:sz w:val="24"/>
        </w:rPr>
        <w:t xml:space="preserve"> prognozēm, šogad un nākamgad tiek prognozēta attiecīgi 2,0% un 1,9% līmenī. Šāds IKP pieaugums ir zemāks nekā iepriekšējā gada izaugsme, tomēr tas joprojām pārsniedz ES kopējo izaugsmes prognozi gan šim, gan nākamajam gadam, kas tiek prognozēts attiecīgi 1,5% un 1,7% līmenī. Starp Latvijas tirdzniecības partnervalstīm lielākais samazinājums ir Vācijas un Zviedrijas 2019.gada izaugsmes prognozē, kā arī neliels prognozes samazinājums ir veikts Igaunijas, Lietuvas un Dānijas ekonomikām.</w:t>
      </w:r>
    </w:p>
    <w:p w:rsidR="00E53D87" w:rsidRPr="00E53D87" w:rsidRDefault="00E53D87" w:rsidP="00E53D87">
      <w:pPr>
        <w:spacing w:after="0" w:line="240" w:lineRule="auto"/>
        <w:ind w:firstLine="578"/>
        <w:jc w:val="both"/>
        <w:rPr>
          <w:rFonts w:ascii="Times New Roman" w:eastAsia="Calibri" w:hAnsi="Times New Roman" w:cs="Times New Roman"/>
          <w:sz w:val="24"/>
        </w:rPr>
      </w:pPr>
      <w:r w:rsidRPr="00E53D87">
        <w:rPr>
          <w:rFonts w:ascii="Times New Roman" w:eastAsia="Calibri" w:hAnsi="Times New Roman" w:cs="Times New Roman"/>
          <w:sz w:val="24"/>
        </w:rPr>
        <w:t xml:space="preserve">Tāpat kā 2017.gadā, arī pērn naftas cenas pasaules biržās uzrādīja būtisku pieaugumu, jēlnaftas </w:t>
      </w:r>
      <w:proofErr w:type="spellStart"/>
      <w:r w:rsidRPr="00E53D87">
        <w:rPr>
          <w:rFonts w:ascii="Times New Roman" w:eastAsia="Calibri" w:hAnsi="Times New Roman" w:cs="Times New Roman"/>
          <w:i/>
          <w:iCs/>
          <w:sz w:val="24"/>
        </w:rPr>
        <w:t>Brent</w:t>
      </w:r>
      <w:proofErr w:type="spellEnd"/>
      <w:r w:rsidRPr="00E53D87">
        <w:rPr>
          <w:rFonts w:ascii="Times New Roman" w:eastAsia="Calibri" w:hAnsi="Times New Roman" w:cs="Times New Roman"/>
          <w:i/>
          <w:iCs/>
          <w:sz w:val="24"/>
        </w:rPr>
        <w:t xml:space="preserve"> </w:t>
      </w:r>
      <w:r w:rsidRPr="00E53D87">
        <w:rPr>
          <w:rFonts w:ascii="Times New Roman" w:eastAsia="Calibri" w:hAnsi="Times New Roman" w:cs="Times New Roman"/>
          <w:sz w:val="24"/>
        </w:rPr>
        <w:t xml:space="preserve">markas vidējai cenai 2018.gadā sasniedzot 71,9 ASV dolārus par vienu barelu, kas ir par 31,2% augstāk nekā 2017.gadā. Tādējādi arī inflācijas līmenis pasaulē turpināja kāpt. </w:t>
      </w:r>
      <w:proofErr w:type="spellStart"/>
      <w:r w:rsidRPr="00E53D87">
        <w:rPr>
          <w:rFonts w:ascii="Times New Roman" w:eastAsia="Calibri" w:hAnsi="Times New Roman" w:cs="Times New Roman"/>
          <w:sz w:val="24"/>
        </w:rPr>
        <w:t>Eirozonas</w:t>
      </w:r>
      <w:proofErr w:type="spellEnd"/>
      <w:r w:rsidRPr="00E53D87">
        <w:rPr>
          <w:rFonts w:ascii="Times New Roman" w:eastAsia="Calibri" w:hAnsi="Times New Roman" w:cs="Times New Roman"/>
          <w:sz w:val="24"/>
        </w:rPr>
        <w:t xml:space="preserve"> inflācija 2018.gadā paaugstinājās līdz 1,7%, salīdzinot ar 1,5% gadu iepriekš. Tomēr pērnā gada nogalē naftas cenu pieaugums būtiski saruka, tādējādi mazinot inflācijas līmeni pasaulē, tajā skaitā arī </w:t>
      </w:r>
      <w:proofErr w:type="spellStart"/>
      <w:r w:rsidRPr="00E53D87">
        <w:rPr>
          <w:rFonts w:ascii="Times New Roman" w:eastAsia="Calibri" w:hAnsi="Times New Roman" w:cs="Times New Roman"/>
          <w:sz w:val="24"/>
        </w:rPr>
        <w:t>eirozonā</w:t>
      </w:r>
      <w:proofErr w:type="spellEnd"/>
      <w:r w:rsidRPr="00E53D87">
        <w:rPr>
          <w:rFonts w:ascii="Times New Roman" w:eastAsia="Calibri" w:hAnsi="Times New Roman" w:cs="Times New Roman"/>
          <w:sz w:val="24"/>
        </w:rPr>
        <w:t xml:space="preserve">. Tiek sagaidīts, ka naftas cenas šogad turpinās sarukt, noslīdot līdz aptuveni 60 ASV dolāriem par barelu. Arī metālu cenas pasaules tirgos šogad būs zemākas nekā pirms gada, kā arī neliels cenu samazinājums sagaidāms lielākajai daļai neapstrādātās pārtikas produktu. Līdz ar to </w:t>
      </w:r>
      <w:proofErr w:type="spellStart"/>
      <w:r w:rsidRPr="00E53D87">
        <w:rPr>
          <w:rFonts w:ascii="Times New Roman" w:eastAsia="Calibri" w:hAnsi="Times New Roman" w:cs="Times New Roman"/>
          <w:sz w:val="24"/>
        </w:rPr>
        <w:t>eirozonas</w:t>
      </w:r>
      <w:proofErr w:type="spellEnd"/>
      <w:r w:rsidRPr="00E53D87">
        <w:rPr>
          <w:rFonts w:ascii="Times New Roman" w:eastAsia="Calibri" w:hAnsi="Times New Roman" w:cs="Times New Roman"/>
          <w:sz w:val="24"/>
        </w:rPr>
        <w:t xml:space="preserve"> inflācija šogad noslīdēs līdz 1,4% (EK prognoze), tādējādi attālinoties no </w:t>
      </w:r>
      <w:r w:rsidRPr="00E53D87">
        <w:rPr>
          <w:rFonts w:ascii="Times New Roman" w:eastAsia="Times New Roman" w:hAnsi="Times New Roman" w:cs="Times New Roman"/>
          <w:color w:val="000000"/>
          <w:sz w:val="24"/>
          <w:szCs w:val="24"/>
          <w:lang w:eastAsia="lv-LV"/>
        </w:rPr>
        <w:t>Eiropas Centrālās bankas noteiktā mērķa par vēlamo inflācijas līmeni, kas ir tuvu, bet nedaudz zem diviem procentiem.</w:t>
      </w:r>
    </w:p>
    <w:p w:rsidR="00E53D87" w:rsidRPr="00E53D87" w:rsidRDefault="00E53D87" w:rsidP="00E53D87">
      <w:pPr>
        <w:pStyle w:val="ListParagraph"/>
        <w:spacing w:after="0" w:line="240" w:lineRule="auto"/>
        <w:ind w:left="360"/>
        <w:jc w:val="both"/>
        <w:rPr>
          <w:rFonts w:ascii="Times New Roman" w:eastAsia="Calibri" w:hAnsi="Times New Roman" w:cs="Times New Roman"/>
          <w:sz w:val="24"/>
        </w:rPr>
      </w:pPr>
    </w:p>
    <w:p w:rsidR="00B45C68" w:rsidRPr="00E53D87" w:rsidRDefault="00B45C68" w:rsidP="00C11D88">
      <w:pPr>
        <w:pStyle w:val="Heading2"/>
        <w:numPr>
          <w:ilvl w:val="1"/>
          <w:numId w:val="12"/>
        </w:numPr>
        <w:spacing w:before="0" w:after="120" w:line="240" w:lineRule="auto"/>
        <w:ind w:left="1134" w:hanging="357"/>
        <w:jc w:val="both"/>
        <w:rPr>
          <w:rFonts w:ascii="Times New Roman" w:hAnsi="Times New Roman" w:cs="Times New Roman"/>
          <w:sz w:val="24"/>
        </w:rPr>
      </w:pPr>
      <w:bookmarkStart w:id="12" w:name="_Toc5627363"/>
      <w:bookmarkStart w:id="13" w:name="_Toc5798618"/>
      <w:r w:rsidRPr="00E53D87">
        <w:rPr>
          <w:rFonts w:ascii="Times New Roman" w:hAnsi="Times New Roman" w:cs="Times New Roman"/>
          <w:sz w:val="24"/>
        </w:rPr>
        <w:t>Pašreizējā ekonomiskā situācija</w:t>
      </w:r>
      <w:bookmarkEnd w:id="10"/>
      <w:bookmarkEnd w:id="11"/>
      <w:bookmarkEnd w:id="12"/>
      <w:bookmarkEnd w:id="13"/>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bookmarkStart w:id="14" w:name="_Toc479331084"/>
      <w:bookmarkStart w:id="15" w:name="_Toc510790654"/>
      <w:r w:rsidRPr="00556C73">
        <w:rPr>
          <w:rFonts w:ascii="Times New Roman" w:eastAsia="Times New Roman" w:hAnsi="Times New Roman" w:cs="Times New Roman"/>
          <w:color w:val="000000"/>
          <w:sz w:val="24"/>
          <w:szCs w:val="23"/>
          <w:lang w:eastAsia="lv-LV"/>
        </w:rPr>
        <w:t>Pēc ekonomiskās izaugsmes tempu sabremzēšanās 2016.gadā līdz 2,1%, nākamajos divos gados bija vērojama būtiska Latvijas IKP pieauguma paātrināšanās. Latvijas ekonomiskā izaugsme 2017.gadā sasniedza 4,6%, ko veicināja augošais ārējais pieprasījums un investīciju plūsmas atjaunošanās, un līdzīga strauja ekonomikas izaugsme saglabājās 2018.gadā, kad IKP palielinājās par 4,8% salīdzināmās cenās.</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Times New Roman" w:hAnsi="Times New Roman" w:cs="Times New Roman"/>
          <w:color w:val="000000"/>
          <w:sz w:val="24"/>
          <w:szCs w:val="23"/>
          <w:lang w:eastAsia="lv-LV"/>
        </w:rPr>
        <w:t xml:space="preserve">Straujo ekonomikas izaugsmi 2018.gadā nodrošināja gan spēcīgi pieaugošie investīciju apjomi, gan joprojām strauji augošais privātais patēriņš, kamēr eksporta pieauguma temps mazinājās, gan palēninoties ekonomikas izaugsmei pasaulē, gan vairāku vienreizēju faktoru </w:t>
      </w:r>
      <w:r w:rsidRPr="00556C73">
        <w:rPr>
          <w:rFonts w:ascii="Times New Roman" w:eastAsia="Calibri" w:hAnsi="Times New Roman" w:cs="Times New Roman"/>
          <w:sz w:val="24"/>
        </w:rPr>
        <w:t>kā</w:t>
      </w:r>
      <w:r>
        <w:rPr>
          <w:rFonts w:ascii="Times New Roman" w:eastAsia="Calibri" w:hAnsi="Times New Roman" w:cs="Times New Roman"/>
          <w:sz w:val="24"/>
        </w:rPr>
        <w:t>, piemēram,</w:t>
      </w:r>
      <w:r w:rsidRPr="00556C73">
        <w:rPr>
          <w:rFonts w:ascii="Times New Roman" w:eastAsia="Calibri" w:hAnsi="Times New Roman" w:cs="Times New Roman"/>
          <w:sz w:val="24"/>
        </w:rPr>
        <w:t xml:space="preserve"> zemās graudu ražas ietekmē. Lielākais devums ekonomikas izaugsmē pērn bija investīcijām, kas salīdzinājumā ar 2017.gadu palielinājās par 16,4%, uzrādot vēl straujāku kāpumu nekā 2017.gadā, kad bruto pamatkapitāla veidošana bija palielinājusies par 13,1%. Straujāk 2018.gadā auga arī privātais patēriņš,</w:t>
      </w:r>
      <w:r w:rsidR="003538A2" w:rsidRPr="00E53D87">
        <w:rPr>
          <w:rFonts w:ascii="Times New Roman" w:eastAsia="Calibri" w:hAnsi="Times New Roman" w:cs="Times New Roman"/>
          <w:sz w:val="24"/>
        </w:rPr>
        <w:t xml:space="preserve"> – </w:t>
      </w:r>
      <w:r w:rsidRPr="00556C73">
        <w:rPr>
          <w:rFonts w:ascii="Times New Roman" w:eastAsia="Calibri" w:hAnsi="Times New Roman" w:cs="Times New Roman"/>
          <w:sz w:val="24"/>
        </w:rPr>
        <w:t>par 4,5% salīdzinājumā ar 2017.gadu, ko veicināja būtiskais darba samaksas kāpums, nodarbinātības pieaugums un bezdarba līmeņa tālāka mazināšanās. Sabiedriskais patēriņš pērn palielinājās par 4,0%, bet eksporta kāpums bija salīdzinoši lēns, tam palielinoties tikai par 1,8%.</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Lielāko devumu </w:t>
      </w:r>
      <w:r w:rsidR="00A4120C" w:rsidRPr="003C7327">
        <w:rPr>
          <w:rFonts w:ascii="Times New Roman" w:hAnsi="Times New Roman" w:cs="Times New Roman"/>
          <w:color w:val="000000"/>
          <w:sz w:val="24"/>
          <w:szCs w:val="24"/>
          <w:lang w:eastAsia="lv-LV"/>
        </w:rPr>
        <w:t>IKP</w:t>
      </w:r>
      <w:r w:rsidR="00A4120C" w:rsidRPr="00556C73">
        <w:rPr>
          <w:rFonts w:ascii="Times New Roman" w:eastAsia="Times New Roman" w:hAnsi="Times New Roman" w:cs="Times New Roman"/>
          <w:color w:val="000000"/>
          <w:sz w:val="24"/>
          <w:szCs w:val="23"/>
          <w:lang w:eastAsia="lv-LV"/>
        </w:rPr>
        <w:t xml:space="preserve"> </w:t>
      </w:r>
      <w:r w:rsidRPr="00556C73">
        <w:rPr>
          <w:rFonts w:ascii="Times New Roman" w:eastAsia="Times New Roman" w:hAnsi="Times New Roman" w:cs="Times New Roman"/>
          <w:color w:val="000000"/>
          <w:sz w:val="24"/>
          <w:szCs w:val="23"/>
          <w:lang w:eastAsia="lv-LV"/>
        </w:rPr>
        <w:t xml:space="preserve">pieaugumā 2018.gadā nodrošināja būtiskais </w:t>
      </w:r>
      <w:r w:rsidRPr="00556C73">
        <w:rPr>
          <w:rFonts w:ascii="Times New Roman" w:eastAsia="Times New Roman" w:hAnsi="Times New Roman" w:cs="Times New Roman"/>
          <w:b/>
          <w:color w:val="000000"/>
          <w:sz w:val="24"/>
          <w:szCs w:val="23"/>
          <w:lang w:eastAsia="lv-LV"/>
        </w:rPr>
        <w:t xml:space="preserve">bruto pamatkapitāla veidošanas jeb investīciju kāpums. </w:t>
      </w:r>
      <w:r w:rsidRPr="00556C73">
        <w:rPr>
          <w:rFonts w:ascii="Times New Roman" w:eastAsia="Times New Roman" w:hAnsi="Times New Roman" w:cs="Times New Roman"/>
          <w:color w:val="000000"/>
          <w:sz w:val="24"/>
          <w:szCs w:val="23"/>
          <w:lang w:eastAsia="lv-LV"/>
        </w:rPr>
        <w:t>Neskatoties uz to, ka jau 2017.gadā bija spēcīgs investīciju kāpums, 2018.gadā investīciju kāpums vēl paātrinājās un investīciju devums reālā IKP pieaugumā sasniedza 3,4 procentpunktus. Kopējais investīciju apjoms absolūtā izteiksmē 2018.gadā salīdzināmajās cenās bija 5</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570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Tādējādi investīciju īpatsvars reālajā IKP </w:t>
      </w:r>
      <w:r w:rsidRPr="00556C73">
        <w:rPr>
          <w:rFonts w:ascii="Times New Roman" w:eastAsia="Times New Roman" w:hAnsi="Times New Roman" w:cs="Times New Roman"/>
          <w:color w:val="000000"/>
          <w:sz w:val="24"/>
          <w:szCs w:val="23"/>
          <w:lang w:eastAsia="lv-LV"/>
        </w:rPr>
        <w:lastRenderedPageBreak/>
        <w:t xml:space="preserve">palielinājies līdz 23,3%, kas ir augstākais līmenis kopš 2013.gada un tikai par 1 procentpunktu atpaliek no vidējā līmeņa pēdējos 15 gados jeb kopš Latvijas iestāšanās ES.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Zīmīgi, ka investīciju aktivitāte pieauga gan no valdības puses, gan no privātā sektora puses. Kopējais investīciju apjoms faktiskajās cenās jeb ņemot vērā cenu izmaiņu ietekmi bija 6</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732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kas ir par 19,1% vairāk nekā 2017.gadā. Svarīgs investīciju katalizators gan valdības, gan privātā sektora īstenotajiem investīciju projektiem bija būtiski augstāka ES fondu investīciju plū</w:t>
      </w:r>
      <w:r w:rsidR="00004DDA">
        <w:rPr>
          <w:rFonts w:ascii="Times New Roman" w:eastAsia="Times New Roman" w:hAnsi="Times New Roman" w:cs="Times New Roman"/>
          <w:color w:val="000000"/>
          <w:sz w:val="24"/>
          <w:szCs w:val="23"/>
          <w:lang w:eastAsia="lv-LV"/>
        </w:rPr>
        <w:t>sma. Pērnajā gadā 2014. – 2020.</w:t>
      </w:r>
      <w:r w:rsidRPr="00556C73">
        <w:rPr>
          <w:rFonts w:ascii="Times New Roman" w:eastAsia="Times New Roman" w:hAnsi="Times New Roman" w:cs="Times New Roman"/>
          <w:color w:val="000000"/>
          <w:sz w:val="24"/>
          <w:szCs w:val="23"/>
          <w:lang w:eastAsia="lv-LV"/>
        </w:rPr>
        <w:t xml:space="preserve">gada ES fondu plānošanas perioda ietvaros valsts budžeta izdevumi ES fondu investīciju projektiem veidoja 719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pretstatā 404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2017.gadā.</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Lielāko daļu jeb 44,1% no kopējiem ieguldījumiem bruto pamatkapitālā faktiskajās cenās 2018.gadā veidoja </w:t>
      </w:r>
      <w:proofErr w:type="spellStart"/>
      <w:r w:rsidRPr="00556C73">
        <w:rPr>
          <w:rFonts w:ascii="Times New Roman" w:eastAsia="Times New Roman" w:hAnsi="Times New Roman" w:cs="Times New Roman"/>
          <w:color w:val="000000"/>
          <w:sz w:val="24"/>
          <w:szCs w:val="23"/>
          <w:lang w:eastAsia="lv-LV"/>
        </w:rPr>
        <w:t>nefinanšu</w:t>
      </w:r>
      <w:proofErr w:type="spellEnd"/>
      <w:r w:rsidRPr="00556C73">
        <w:rPr>
          <w:rFonts w:ascii="Times New Roman" w:eastAsia="Times New Roman" w:hAnsi="Times New Roman" w:cs="Times New Roman"/>
          <w:color w:val="000000"/>
          <w:sz w:val="24"/>
          <w:szCs w:val="23"/>
          <w:lang w:eastAsia="lv-LV"/>
        </w:rPr>
        <w:t xml:space="preserve"> investīcijas jeb uzņēmumu veiktās investīcijas, un to apjoms, salīdzinot ar 2017.gadu, palielinājās par 496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jeb 20,1%, veidojot 2</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971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Straujo </w:t>
      </w:r>
      <w:proofErr w:type="spellStart"/>
      <w:r w:rsidRPr="00556C73">
        <w:rPr>
          <w:rFonts w:ascii="Times New Roman" w:eastAsia="Times New Roman" w:hAnsi="Times New Roman" w:cs="Times New Roman"/>
          <w:color w:val="000000"/>
          <w:sz w:val="24"/>
          <w:szCs w:val="23"/>
          <w:lang w:eastAsia="lv-LV"/>
        </w:rPr>
        <w:t>nefinanšu</w:t>
      </w:r>
      <w:proofErr w:type="spellEnd"/>
      <w:r w:rsidRPr="00556C73">
        <w:rPr>
          <w:rFonts w:ascii="Times New Roman" w:eastAsia="Times New Roman" w:hAnsi="Times New Roman" w:cs="Times New Roman"/>
          <w:color w:val="000000"/>
          <w:sz w:val="24"/>
          <w:szCs w:val="23"/>
          <w:lang w:eastAsia="lv-LV"/>
        </w:rPr>
        <w:t xml:space="preserve"> investīciju kāpumu pērnajā gadā galvenokārt noteica būvniecības aktivitātes pieaugums. To apliecina gan būvniecības produkcijas apjomu pieaugums par 26,0%, gan arī tas, ka lielākā daļa no veiktajām investīcijām bija ēkas, būves un citas celtnes. Puse no </w:t>
      </w:r>
      <w:proofErr w:type="spellStart"/>
      <w:r w:rsidRPr="00556C73">
        <w:rPr>
          <w:rFonts w:ascii="Times New Roman" w:eastAsia="Times New Roman" w:hAnsi="Times New Roman" w:cs="Times New Roman"/>
          <w:color w:val="000000"/>
          <w:sz w:val="24"/>
          <w:szCs w:val="23"/>
          <w:lang w:eastAsia="lv-LV"/>
        </w:rPr>
        <w:t>nefinanšu</w:t>
      </w:r>
      <w:proofErr w:type="spellEnd"/>
      <w:r w:rsidRPr="00556C73">
        <w:rPr>
          <w:rFonts w:ascii="Times New Roman" w:eastAsia="Times New Roman" w:hAnsi="Times New Roman" w:cs="Times New Roman"/>
          <w:color w:val="000000"/>
          <w:sz w:val="24"/>
          <w:szCs w:val="23"/>
          <w:lang w:eastAsia="lv-LV"/>
        </w:rPr>
        <w:t xml:space="preserve"> investīcijām 2018.gadā bija ieguldītas tieši ēkās un būvēs, un to apjoms, salīdzinot ar iepriekšējo gadu, pieauga par 37,9% jeb 403,8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Investīciju kāpums fiksēts arī citos aktīvos, taču būtiski zemāks nekā ēkās un būvēs. Tā, </w:t>
      </w:r>
      <w:proofErr w:type="spellStart"/>
      <w:r w:rsidRPr="00556C73">
        <w:rPr>
          <w:rFonts w:ascii="Times New Roman" w:eastAsia="Times New Roman" w:hAnsi="Times New Roman" w:cs="Times New Roman"/>
          <w:color w:val="000000"/>
          <w:sz w:val="24"/>
          <w:szCs w:val="23"/>
          <w:lang w:eastAsia="lv-LV"/>
        </w:rPr>
        <w:t>nefinanšu</w:t>
      </w:r>
      <w:proofErr w:type="spellEnd"/>
      <w:r w:rsidRPr="00556C73">
        <w:rPr>
          <w:rFonts w:ascii="Times New Roman" w:eastAsia="Times New Roman" w:hAnsi="Times New Roman" w:cs="Times New Roman"/>
          <w:color w:val="000000"/>
          <w:sz w:val="24"/>
          <w:szCs w:val="23"/>
          <w:lang w:eastAsia="lv-LV"/>
        </w:rPr>
        <w:t xml:space="preserve"> investīciju apjoms tehnoloģiskajās iekārtas pieauga par 17,7% jeb 88,0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bet nemateriālajos ieguldījumos par 12,8% jeb 12,2 milj. </w:t>
      </w:r>
      <w:proofErr w:type="spellStart"/>
      <w:r w:rsidRPr="00556C73">
        <w:rPr>
          <w:rFonts w:ascii="Times New Roman" w:eastAsia="Times New Roman" w:hAnsi="Times New Roman" w:cs="Times New Roman"/>
          <w:i/>
          <w:color w:val="000000"/>
          <w:sz w:val="24"/>
          <w:szCs w:val="23"/>
          <w:lang w:eastAsia="lv-LV"/>
        </w:rPr>
        <w:t>euro</w:t>
      </w:r>
      <w:proofErr w:type="spellEnd"/>
      <w:r w:rsidR="003538A2">
        <w:rPr>
          <w:rFonts w:ascii="Times New Roman" w:eastAsia="Times New Roman" w:hAnsi="Times New Roman" w:cs="Times New Roman"/>
          <w:color w:val="000000"/>
          <w:sz w:val="24"/>
          <w:szCs w:val="23"/>
          <w:lang w:eastAsia="lv-LV"/>
        </w:rPr>
        <w:t>.</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Analizējot </w:t>
      </w:r>
      <w:proofErr w:type="spellStart"/>
      <w:r w:rsidRPr="00556C73">
        <w:rPr>
          <w:rFonts w:ascii="Times New Roman" w:eastAsia="Times New Roman" w:hAnsi="Times New Roman" w:cs="Times New Roman"/>
          <w:color w:val="000000"/>
          <w:sz w:val="24"/>
          <w:szCs w:val="23"/>
          <w:lang w:eastAsia="lv-LV"/>
        </w:rPr>
        <w:t>nefinanšu</w:t>
      </w:r>
      <w:proofErr w:type="spellEnd"/>
      <w:r w:rsidRPr="00556C73">
        <w:rPr>
          <w:rFonts w:ascii="Times New Roman" w:eastAsia="Times New Roman" w:hAnsi="Times New Roman" w:cs="Times New Roman"/>
          <w:color w:val="000000"/>
          <w:sz w:val="24"/>
          <w:szCs w:val="23"/>
          <w:lang w:eastAsia="lv-LV"/>
        </w:rPr>
        <w:t xml:space="preserve"> investīcijas no nozaru puses, arī šie dati norāda, ka investīciju pieaugums pamatā ir saistīts ar pieaugošo būvniecības aktivitāti, jo straujākie pieaugumi ir fiksēti tieši būvniecības nozarē un operācijās nekustamo īpašumu. Investīcijas šajās nozarēs pieauga attiecīgi trīs un pusotras reizes. Būtisks investīciju kāpums (+25,2%) fiksēts arī valsts pārvaldes un aizsardzības nozarē, ko nodrošināja būtiski lielāka ES fondu investīciju plūsma, realizējot infrastruktūras projektus. Tajā pašā laikā apstrādes rūpniecība ir vienīgā no lielajām tautsaimniecības nozarēm, kur investīciju apjoms pērnajā gadā samazinājies, kopumā par 6,2%. Neskatoties uz augošo iekšējo privāto pieprasījumu un noturīgo eksporta attīstību pēdējos gados, investīciju apjoms apstrādes rūpniecībā pēdējos gados ir zems un svārstās ap 280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gadā. Šāds investīciju apjoms ir būtiski zemāks pat nekā ekonomikas krīzes periodā un vairāk nekā uz pusi zemāks salīdzinājumā ar 2008.gadu. Apstrādes rūpniecības nozarē pēdējos gados veiktās investīcijas pamatā ir vērstas uz veco iekārtu aizvietošanu un r</w:t>
      </w:r>
      <w:r w:rsidR="00884A92">
        <w:rPr>
          <w:rFonts w:ascii="Times New Roman" w:eastAsia="Times New Roman" w:hAnsi="Times New Roman" w:cs="Times New Roman"/>
          <w:color w:val="000000"/>
          <w:sz w:val="24"/>
          <w:szCs w:val="23"/>
          <w:lang w:eastAsia="lv-LV"/>
        </w:rPr>
        <w:t>ažošanas procesu optimizēšanu.</w:t>
      </w:r>
    </w:p>
    <w:p w:rsidR="00E53D87" w:rsidRPr="00556C73" w:rsidRDefault="003538A2" w:rsidP="00E53D87">
      <w:pPr>
        <w:spacing w:after="0" w:line="240" w:lineRule="auto"/>
        <w:ind w:firstLine="720"/>
        <w:jc w:val="both"/>
        <w:rPr>
          <w:rFonts w:ascii="Times New Roman" w:eastAsia="Times New Roman" w:hAnsi="Times New Roman" w:cs="Times New Roman"/>
          <w:color w:val="000000"/>
          <w:sz w:val="24"/>
          <w:szCs w:val="23"/>
          <w:lang w:eastAsia="lv-LV"/>
        </w:rPr>
      </w:pPr>
      <w:r>
        <w:rPr>
          <w:rFonts w:ascii="Times New Roman" w:eastAsia="Times New Roman" w:hAnsi="Times New Roman" w:cs="Times New Roman"/>
          <w:color w:val="000000"/>
          <w:sz w:val="24"/>
          <w:szCs w:val="23"/>
          <w:lang w:eastAsia="lv-LV"/>
        </w:rPr>
        <w:t>ĀTI</w:t>
      </w:r>
      <w:r w:rsidR="00E53D87" w:rsidRPr="00556C73">
        <w:rPr>
          <w:rFonts w:ascii="Times New Roman" w:eastAsia="Times New Roman" w:hAnsi="Times New Roman" w:cs="Times New Roman"/>
          <w:color w:val="000000"/>
          <w:sz w:val="24"/>
          <w:szCs w:val="23"/>
          <w:lang w:eastAsia="lv-LV"/>
        </w:rPr>
        <w:t xml:space="preserve"> darījumi jeb neto ienākošā plūsma Latvijā 2018.gadā bija 744 milj. </w:t>
      </w:r>
      <w:proofErr w:type="spellStart"/>
      <w:r w:rsidR="00E53D87" w:rsidRPr="00556C73">
        <w:rPr>
          <w:rFonts w:ascii="Times New Roman" w:eastAsia="Times New Roman" w:hAnsi="Times New Roman" w:cs="Times New Roman"/>
          <w:i/>
          <w:color w:val="000000"/>
          <w:sz w:val="24"/>
          <w:szCs w:val="23"/>
          <w:lang w:eastAsia="lv-LV"/>
        </w:rPr>
        <w:t>euro</w:t>
      </w:r>
      <w:proofErr w:type="spellEnd"/>
      <w:r w:rsidR="00E53D87" w:rsidRPr="00556C73">
        <w:rPr>
          <w:rFonts w:ascii="Times New Roman" w:eastAsia="Times New Roman" w:hAnsi="Times New Roman" w:cs="Times New Roman"/>
          <w:color w:val="000000"/>
          <w:sz w:val="24"/>
          <w:szCs w:val="23"/>
          <w:lang w:eastAsia="lv-LV"/>
        </w:rPr>
        <w:t xml:space="preserve"> pretstatā 650 milj. </w:t>
      </w:r>
      <w:proofErr w:type="spellStart"/>
      <w:r w:rsidR="00E53D87" w:rsidRPr="00556C73">
        <w:rPr>
          <w:rFonts w:ascii="Times New Roman" w:eastAsia="Times New Roman" w:hAnsi="Times New Roman" w:cs="Times New Roman"/>
          <w:i/>
          <w:color w:val="000000"/>
          <w:sz w:val="24"/>
          <w:szCs w:val="23"/>
          <w:lang w:eastAsia="lv-LV"/>
        </w:rPr>
        <w:t>euro</w:t>
      </w:r>
      <w:proofErr w:type="spellEnd"/>
      <w:r w:rsidR="00E53D87" w:rsidRPr="00556C73">
        <w:rPr>
          <w:rFonts w:ascii="Times New Roman" w:eastAsia="Times New Roman" w:hAnsi="Times New Roman" w:cs="Times New Roman"/>
          <w:color w:val="000000"/>
          <w:sz w:val="24"/>
          <w:szCs w:val="23"/>
          <w:lang w:eastAsia="lv-LV"/>
        </w:rPr>
        <w:t xml:space="preserve"> 2017.gadā. Lielāko daļu no ienākošajām ĀTI veidoja parāda instrumenti 770 milj. </w:t>
      </w:r>
      <w:proofErr w:type="spellStart"/>
      <w:r w:rsidR="00E53D87" w:rsidRPr="00556C73">
        <w:rPr>
          <w:rFonts w:ascii="Times New Roman" w:eastAsia="Times New Roman" w:hAnsi="Times New Roman" w:cs="Times New Roman"/>
          <w:i/>
          <w:color w:val="000000"/>
          <w:sz w:val="24"/>
          <w:szCs w:val="23"/>
          <w:lang w:eastAsia="lv-LV"/>
        </w:rPr>
        <w:t>euro</w:t>
      </w:r>
      <w:proofErr w:type="spellEnd"/>
      <w:r w:rsidR="00E53D87" w:rsidRPr="00556C73">
        <w:rPr>
          <w:rFonts w:ascii="Times New Roman" w:eastAsia="Times New Roman" w:hAnsi="Times New Roman" w:cs="Times New Roman"/>
          <w:color w:val="000000"/>
          <w:sz w:val="24"/>
          <w:szCs w:val="23"/>
          <w:lang w:eastAsia="lv-LV"/>
        </w:rPr>
        <w:t xml:space="preserve"> apmērā. Iegūtās peļņas apjoms no veiktās uzņēmējdarbības Latvijā, ko ārvalstu investori </w:t>
      </w:r>
      <w:proofErr w:type="spellStart"/>
      <w:r w:rsidR="00E53D87" w:rsidRPr="00556C73">
        <w:rPr>
          <w:rFonts w:ascii="Times New Roman" w:eastAsia="Times New Roman" w:hAnsi="Times New Roman" w:cs="Times New Roman"/>
          <w:color w:val="000000"/>
          <w:sz w:val="24"/>
          <w:szCs w:val="23"/>
          <w:lang w:eastAsia="lv-LV"/>
        </w:rPr>
        <w:t>reinvestēja</w:t>
      </w:r>
      <w:proofErr w:type="spellEnd"/>
      <w:r w:rsidR="00E53D87" w:rsidRPr="00556C73">
        <w:rPr>
          <w:rFonts w:ascii="Times New Roman" w:eastAsia="Times New Roman" w:hAnsi="Times New Roman" w:cs="Times New Roman"/>
          <w:color w:val="000000"/>
          <w:sz w:val="24"/>
          <w:szCs w:val="23"/>
          <w:lang w:eastAsia="lv-LV"/>
        </w:rPr>
        <w:t xml:space="preserve"> uzņēmumā, pērnajā gadā nedaudz pieauga un kopumā veidoja 227 milj. </w:t>
      </w:r>
      <w:proofErr w:type="spellStart"/>
      <w:r w:rsidR="00E53D87" w:rsidRPr="00556C73">
        <w:rPr>
          <w:rFonts w:ascii="Times New Roman" w:eastAsia="Times New Roman" w:hAnsi="Times New Roman" w:cs="Times New Roman"/>
          <w:i/>
          <w:color w:val="000000"/>
          <w:sz w:val="24"/>
          <w:szCs w:val="23"/>
          <w:lang w:eastAsia="lv-LV"/>
        </w:rPr>
        <w:t>euro</w:t>
      </w:r>
      <w:proofErr w:type="spellEnd"/>
      <w:r w:rsidR="00E53D87" w:rsidRPr="00556C73">
        <w:rPr>
          <w:rFonts w:ascii="Times New Roman" w:eastAsia="Times New Roman" w:hAnsi="Times New Roman" w:cs="Times New Roman"/>
          <w:color w:val="000000"/>
          <w:sz w:val="24"/>
          <w:szCs w:val="23"/>
          <w:lang w:eastAsia="lv-LV"/>
        </w:rPr>
        <w:t xml:space="preserve">. Neto ĀTI investīcijas pašu kapitālā bija negatīvas jeb -252 milj. </w:t>
      </w:r>
      <w:proofErr w:type="spellStart"/>
      <w:r w:rsidR="00E53D87" w:rsidRPr="00556C73">
        <w:rPr>
          <w:rFonts w:ascii="Times New Roman" w:eastAsia="Times New Roman" w:hAnsi="Times New Roman" w:cs="Times New Roman"/>
          <w:i/>
          <w:color w:val="000000"/>
          <w:sz w:val="24"/>
          <w:szCs w:val="23"/>
          <w:lang w:eastAsia="lv-LV"/>
        </w:rPr>
        <w:t>euro</w:t>
      </w:r>
      <w:proofErr w:type="spellEnd"/>
      <w:r w:rsidR="00E53D87" w:rsidRPr="00556C73">
        <w:rPr>
          <w:rFonts w:ascii="Times New Roman" w:eastAsia="Times New Roman" w:hAnsi="Times New Roman" w:cs="Times New Roman"/>
          <w:color w:val="000000"/>
          <w:sz w:val="24"/>
          <w:szCs w:val="23"/>
          <w:lang w:eastAsia="lv-LV"/>
        </w:rPr>
        <w:t xml:space="preserve">, kas nozīmē, ka ārvalstu investoru pašu kapitāla samazinājums meitas uzņēmumos Latvijā bijis lielāks par ieguldījumiem pašu kapitālā.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2018.gadā </w:t>
      </w:r>
      <w:r w:rsidRPr="00556C73">
        <w:rPr>
          <w:rFonts w:ascii="Times New Roman" w:eastAsia="Times New Roman" w:hAnsi="Times New Roman" w:cs="Times New Roman"/>
          <w:b/>
          <w:color w:val="000000"/>
          <w:sz w:val="24"/>
          <w:szCs w:val="23"/>
          <w:lang w:eastAsia="lv-LV"/>
        </w:rPr>
        <w:t xml:space="preserve">preču un pakalpojumu eksports </w:t>
      </w:r>
      <w:r w:rsidRPr="00556C73">
        <w:rPr>
          <w:rFonts w:ascii="Times New Roman" w:eastAsia="Times New Roman" w:hAnsi="Times New Roman" w:cs="Times New Roman"/>
          <w:color w:val="000000"/>
          <w:sz w:val="24"/>
          <w:szCs w:val="23"/>
          <w:lang w:eastAsia="lv-LV"/>
        </w:rPr>
        <w:t xml:space="preserve">salīdzināmajās cenās uzrādīja pieaugumu par 1,8%, kas ir ievērojami zemāks kāpums nekā iepriekšējā gadā, kad eksports palielinājās par 6,2%. Pērnais, 2018.gads bija zīmīgs ar protekcionisma pieaugumu pasaules tirdzniecībā. Ja vēl gada vidū ASV ieviestie importa muitas tarifi tēraudam, alumīnijam un citām atsevišķām precēm no ES, Ķīnas un pārējām pasaules valstīm un šo valstu atbildes reakcija nebija būtiski ietekmējusi pasaules tirdzniecību, tad 2018.gada nogalē šo faktoru negatīvā ietekme jau bija acīmredzama. Tā, ES reālā IKP kāpums gada griezumā 2018.gadā pirmajā pusē saglabājās noturīgs un veidoja 2,3%. Taču 2018.gada otrajā pusē IKP pieaugums noslīdēja līdz 1,6%. Savukārt ES preču un pakalpojumu imports salīdzināmajās cenās palielinājies vien par 3,0% </w:t>
      </w:r>
      <w:r w:rsidRPr="00556C73">
        <w:rPr>
          <w:rFonts w:ascii="Times New Roman" w:eastAsia="Times New Roman" w:hAnsi="Times New Roman" w:cs="Times New Roman"/>
          <w:color w:val="000000"/>
          <w:sz w:val="24"/>
          <w:szCs w:val="23"/>
          <w:lang w:eastAsia="lv-LV"/>
        </w:rPr>
        <w:lastRenderedPageBreak/>
        <w:t>pērnajā gadā kopumā, kas ir zemākais pieaugums kopš 2014.gada. ES ir lielākais Latvijas tirdzniecības partneris, kas 2018.gadā nodrošināja 71,3% no Latvijas kopējā preču eksporta un 66,0% no kopējā pakalpojumu eksporta. Tādējādi, piebremzējoties ekonomiskai izaugsmei un iekšējam patēriņam ES, Latvijas preču un pakalpojumu eksporta pieauguma tempi arī sāka mazināties, ir īpaši pērnā gada otrajā pusē.</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Tajā pašā laikā, izejvielu cenu kāpums pasaules biržās, gan energoresursiem, gan koksnei, gan metāliem, veicināja eksporta pieaugumu. Latvijas preču eksporta vērtība faktiskajās cenās 2018.gadā sasniedza 12,4 miljardus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kas ir par 7,4% vairāk salīdzinājumā ar 2017.gadu. Zīmīgi, ka eksporta kāpums ir fiksēts visās lielākajās preču grupās (koksne, metāli, mehāniskās ierīces), izņemot pārtikas produktus.</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Lielāko devumu preču eksporta kāpumā 2018.gadā starp visām preču grupām nodrošināja koks un koka izstrādājumi, to eksporta vērtībai palielinoties par 17,7%, salīdzinot ar iepriekšējo gadu, tādējādi nodrošinot 2,9 procentpunktus no kopējā eksporta pieauguma pērnajā gadā. Koksnes un koka materiālu eksports nepārtraukti palielinās jau devīto gadu pēc kārtas un 2018.gadā pirmo reizi šo preču eksporta vērtība pārsniedza 2 miljardus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Būtisku devumu preču eksporta pieaugumā noteica mehānismu un mehānisko ierīču eksporta palielinājums par 26,4%, salīdzinot ar 2017.gadu. Taču šo iespaidīgo pieaugumu nodrošināja turboreaktīvo dzinēju un </w:t>
      </w:r>
      <w:proofErr w:type="spellStart"/>
      <w:r w:rsidRPr="00556C73">
        <w:rPr>
          <w:rFonts w:ascii="Times New Roman" w:eastAsia="Times New Roman" w:hAnsi="Times New Roman" w:cs="Times New Roman"/>
          <w:color w:val="000000"/>
          <w:sz w:val="24"/>
          <w:szCs w:val="23"/>
          <w:lang w:eastAsia="lv-LV"/>
        </w:rPr>
        <w:t>turbopropelleru</w:t>
      </w:r>
      <w:proofErr w:type="spellEnd"/>
      <w:r w:rsidRPr="00556C73">
        <w:rPr>
          <w:rFonts w:ascii="Times New Roman" w:eastAsia="Times New Roman" w:hAnsi="Times New Roman" w:cs="Times New Roman"/>
          <w:color w:val="000000"/>
          <w:sz w:val="24"/>
          <w:szCs w:val="23"/>
          <w:lang w:eastAsia="lv-LV"/>
        </w:rPr>
        <w:t xml:space="preserve"> reeksporta pieaugums. Tādējādi, šo preču eksporta pieaugumam kopumā ir neitrāla ietekme uz ārējo tirdzniecības bilanci vidējā termiņā, jo turboreaktīvo dzinēju un </w:t>
      </w:r>
      <w:proofErr w:type="spellStart"/>
      <w:r w:rsidRPr="00556C73">
        <w:rPr>
          <w:rFonts w:ascii="Times New Roman" w:eastAsia="Times New Roman" w:hAnsi="Times New Roman" w:cs="Times New Roman"/>
          <w:color w:val="000000"/>
          <w:sz w:val="24"/>
          <w:szCs w:val="23"/>
          <w:lang w:eastAsia="lv-LV"/>
        </w:rPr>
        <w:t>turbopropelleru</w:t>
      </w:r>
      <w:proofErr w:type="spellEnd"/>
      <w:r w:rsidRPr="00556C73">
        <w:rPr>
          <w:rFonts w:ascii="Times New Roman" w:eastAsia="Times New Roman" w:hAnsi="Times New Roman" w:cs="Times New Roman"/>
          <w:color w:val="000000"/>
          <w:sz w:val="24"/>
          <w:szCs w:val="23"/>
          <w:lang w:eastAsia="lv-LV"/>
        </w:rPr>
        <w:t xml:space="preserve"> eksports ir saistīts ar šo preču remontu ASV un tajā brīdī, kad remonts pabeigts, šīs preces tiek atgrieztas atpakaļ Latvijā, kas atspoguļojas importa datos. Palielinājies arī metālu, ķīmiskās rūpniecības un satiksmes līdzekļu eksports, attiecīgi par 14,1%, 6,7% un 8,8%.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Pakalpojumu eksporta pieauguma temps 2018.gadā nedaudz piebremzējās, līdz 6,4%, salīdzinot ar 7,9% pieaugumu 2017.gadā, ko galvenokārt noteica ārvalstīs sniegto transporta pakalpojumu pieauguma tempa palēninājums. Taču reģistrētais pakalpojumu eksporta pieaugums pērnajā gada kopumā atbilst pēdējo piecu gadu vidējam pieaugumam un vērtējams kā stabils. Zīmīgi arī tas, ka eksporta kāpums fiksēts visās lielākajās pakalpojumu grupās, izņemot finanšu pakalpojumus. Transporta pakalpojumu eksports, kas 2018.gadā veidoja 40,2% no kopējā pakalpojumu eksporta, palielinājās par 2,7%.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Ārvalstu viesu tēriņu pieaugumu par 7,0% pērnajā gadā veicināja ārvalstu viesu skaita un viņu uzturēšanās ilguma kāpums. Visvairāk ārvalstu viesu Latvijā ierodas no Vācijas, Krievijas, Apvienotās Karalistes Lietuvas, Igaunijas. Straujākie eksporta pieaugumi 2018.gadā ir fiksēti telesakaru pakalpojumiem, kā arī informācijas un </w:t>
      </w:r>
      <w:proofErr w:type="spellStart"/>
      <w:r w:rsidRPr="00556C73">
        <w:rPr>
          <w:rFonts w:ascii="Times New Roman" w:eastAsia="Times New Roman" w:hAnsi="Times New Roman" w:cs="Times New Roman"/>
          <w:color w:val="000000"/>
          <w:sz w:val="24"/>
          <w:szCs w:val="23"/>
          <w:lang w:eastAsia="lv-LV"/>
        </w:rPr>
        <w:t>datorpakalpojumiem</w:t>
      </w:r>
      <w:proofErr w:type="spellEnd"/>
      <w:r w:rsidRPr="00556C73">
        <w:rPr>
          <w:rFonts w:ascii="Times New Roman" w:eastAsia="Times New Roman" w:hAnsi="Times New Roman" w:cs="Times New Roman"/>
          <w:color w:val="000000"/>
          <w:sz w:val="24"/>
          <w:szCs w:val="23"/>
          <w:lang w:eastAsia="lv-LV"/>
        </w:rPr>
        <w:t>, attiecīgi par 48,7% un 13,7%. Kopēj</w:t>
      </w:r>
      <w:r>
        <w:rPr>
          <w:rFonts w:ascii="Times New Roman" w:eastAsia="Times New Roman" w:hAnsi="Times New Roman" w:cs="Times New Roman"/>
          <w:color w:val="000000"/>
          <w:sz w:val="24"/>
          <w:szCs w:val="23"/>
          <w:lang w:eastAsia="lv-LV"/>
        </w:rPr>
        <w:t>o</w:t>
      </w:r>
      <w:r w:rsidRPr="00556C73">
        <w:rPr>
          <w:rFonts w:ascii="Times New Roman" w:eastAsia="Times New Roman" w:hAnsi="Times New Roman" w:cs="Times New Roman"/>
          <w:color w:val="000000"/>
          <w:sz w:val="24"/>
          <w:szCs w:val="23"/>
          <w:lang w:eastAsia="lv-LV"/>
        </w:rPr>
        <w:t xml:space="preserve"> pakalpojumu eksporta kāpumu mazināja jau iepriekš paredzētais finanšu pakalpojumu eksporta kritums, kopumā par 15,1% salīdzinājumā ar 2017.gadu.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2018.gadā </w:t>
      </w:r>
      <w:r w:rsidRPr="00B66C14">
        <w:rPr>
          <w:rFonts w:ascii="Times New Roman" w:eastAsia="Times New Roman" w:hAnsi="Times New Roman" w:cs="Times New Roman"/>
          <w:b/>
          <w:color w:val="000000"/>
          <w:sz w:val="24"/>
          <w:szCs w:val="23"/>
          <w:lang w:eastAsia="lv-LV"/>
        </w:rPr>
        <w:t>preču un pakalpojumu importa</w:t>
      </w:r>
      <w:r w:rsidRPr="00556C73">
        <w:rPr>
          <w:rFonts w:ascii="Times New Roman" w:eastAsia="Times New Roman" w:hAnsi="Times New Roman" w:cs="Times New Roman"/>
          <w:b/>
          <w:color w:val="000000"/>
          <w:sz w:val="24"/>
          <w:szCs w:val="23"/>
          <w:lang w:eastAsia="lv-LV"/>
        </w:rPr>
        <w:t xml:space="preserve"> </w:t>
      </w:r>
      <w:r w:rsidRPr="00B66C14">
        <w:rPr>
          <w:rFonts w:ascii="Times New Roman" w:eastAsia="Times New Roman" w:hAnsi="Times New Roman" w:cs="Times New Roman"/>
          <w:color w:val="000000"/>
          <w:sz w:val="24"/>
          <w:szCs w:val="23"/>
          <w:lang w:eastAsia="lv-LV"/>
        </w:rPr>
        <w:t>izaugsme</w:t>
      </w:r>
      <w:r w:rsidRPr="00556C73">
        <w:rPr>
          <w:rFonts w:ascii="Times New Roman" w:eastAsia="Times New Roman" w:hAnsi="Times New Roman" w:cs="Times New Roman"/>
          <w:b/>
          <w:color w:val="000000"/>
          <w:sz w:val="24"/>
          <w:szCs w:val="23"/>
          <w:lang w:eastAsia="lv-LV"/>
        </w:rPr>
        <w:t xml:space="preserve"> </w:t>
      </w:r>
      <w:r w:rsidRPr="00556C73">
        <w:rPr>
          <w:rFonts w:ascii="Times New Roman" w:eastAsia="Times New Roman" w:hAnsi="Times New Roman" w:cs="Times New Roman"/>
          <w:color w:val="000000"/>
          <w:sz w:val="24"/>
          <w:szCs w:val="23"/>
          <w:lang w:eastAsia="lv-LV"/>
        </w:rPr>
        <w:t xml:space="preserve">arī piebremzējās, salīdzinot ar iepriekšējo gadu, taču bija straujāka nekā eksporta attīstība. Importa kopējā vērtība salīdzināmajās cenās </w:t>
      </w:r>
      <w:r w:rsidRPr="00B30FF4">
        <w:rPr>
          <w:rFonts w:ascii="Times New Roman" w:eastAsia="Times New Roman" w:hAnsi="Times New Roman" w:cs="Times New Roman"/>
          <w:color w:val="000000"/>
          <w:sz w:val="24"/>
          <w:szCs w:val="23"/>
          <w:lang w:eastAsia="lv-LV"/>
        </w:rPr>
        <w:t>pieauga par 5,1%, tādējādi neto eksporta devums reālā IKP pieaugumā pērnajā gadā bija negatīvs, proti -2,9 procentpunkti</w:t>
      </w:r>
      <w:r w:rsidRPr="00556C73">
        <w:rPr>
          <w:rFonts w:ascii="Times New Roman" w:eastAsia="Times New Roman" w:hAnsi="Times New Roman" w:cs="Times New Roman"/>
          <w:color w:val="000000"/>
          <w:sz w:val="24"/>
          <w:szCs w:val="23"/>
          <w:lang w:eastAsia="lv-LV"/>
        </w:rPr>
        <w:t xml:space="preserve">.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Pr>
          <w:rFonts w:ascii="Times New Roman" w:eastAsia="Times New Roman" w:hAnsi="Times New Roman" w:cs="Times New Roman"/>
          <w:color w:val="000000"/>
          <w:sz w:val="24"/>
          <w:szCs w:val="23"/>
          <w:lang w:eastAsia="lv-LV"/>
        </w:rPr>
        <w:t xml:space="preserve">Arī faktiskajās cenās </w:t>
      </w:r>
      <w:r w:rsidRPr="00556C73">
        <w:rPr>
          <w:rFonts w:ascii="Times New Roman" w:eastAsia="Times New Roman" w:hAnsi="Times New Roman" w:cs="Times New Roman"/>
          <w:color w:val="000000"/>
          <w:sz w:val="24"/>
          <w:szCs w:val="23"/>
          <w:lang w:eastAsia="lv-LV"/>
        </w:rPr>
        <w:t xml:space="preserve">importa izaugsme bija straujāka par eksporta pieaugumu. Preču imports pērnajā gadā pieauga par 10,3% salīdzinājumā ar 2017.gadu. Ceturto daļu no kopējā preču importa kāpuma nodrošināja mehānismu un mehānisko ierīču importa pieaugums par 24,9% jeb 360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i/>
          <w:color w:val="000000"/>
          <w:sz w:val="24"/>
          <w:szCs w:val="23"/>
          <w:lang w:eastAsia="lv-LV"/>
        </w:rPr>
        <w:t>,</w:t>
      </w:r>
      <w:r w:rsidRPr="00556C73">
        <w:rPr>
          <w:rFonts w:ascii="Times New Roman" w:eastAsia="Times New Roman" w:hAnsi="Times New Roman" w:cs="Times New Roman"/>
          <w:color w:val="000000"/>
          <w:sz w:val="24"/>
          <w:szCs w:val="23"/>
          <w:lang w:eastAsia="lv-LV"/>
        </w:rPr>
        <w:t xml:space="preserve"> ko galvenokārt noteica turboreaktīvo dzinēju un </w:t>
      </w:r>
      <w:proofErr w:type="spellStart"/>
      <w:r w:rsidRPr="00556C73">
        <w:rPr>
          <w:rFonts w:ascii="Times New Roman" w:eastAsia="Times New Roman" w:hAnsi="Times New Roman" w:cs="Times New Roman"/>
          <w:color w:val="000000"/>
          <w:sz w:val="24"/>
          <w:szCs w:val="23"/>
          <w:lang w:eastAsia="lv-LV"/>
        </w:rPr>
        <w:t>turbopropelleru</w:t>
      </w:r>
      <w:proofErr w:type="spellEnd"/>
      <w:r w:rsidRPr="00556C73">
        <w:rPr>
          <w:rFonts w:ascii="Times New Roman" w:eastAsia="Times New Roman" w:hAnsi="Times New Roman" w:cs="Times New Roman"/>
          <w:color w:val="000000"/>
          <w:sz w:val="24"/>
          <w:szCs w:val="23"/>
          <w:lang w:eastAsia="lv-LV"/>
        </w:rPr>
        <w:t xml:space="preserve"> imports. Kopš 2016.gada beigām Latvijas lidsabiedrība </w:t>
      </w:r>
      <w:proofErr w:type="spellStart"/>
      <w:r w:rsidRPr="00556C73">
        <w:rPr>
          <w:rFonts w:ascii="Times New Roman" w:eastAsia="Times New Roman" w:hAnsi="Times New Roman" w:cs="Times New Roman"/>
          <w:i/>
          <w:color w:val="000000"/>
          <w:sz w:val="24"/>
          <w:szCs w:val="23"/>
          <w:lang w:eastAsia="lv-LV"/>
        </w:rPr>
        <w:t>Air</w:t>
      </w:r>
      <w:proofErr w:type="spellEnd"/>
      <w:r w:rsidRPr="00556C73">
        <w:rPr>
          <w:rFonts w:ascii="Times New Roman" w:eastAsia="Times New Roman" w:hAnsi="Times New Roman" w:cs="Times New Roman"/>
          <w:i/>
          <w:color w:val="000000"/>
          <w:sz w:val="24"/>
          <w:szCs w:val="23"/>
          <w:lang w:eastAsia="lv-LV"/>
        </w:rPr>
        <w:t xml:space="preserve"> </w:t>
      </w:r>
      <w:proofErr w:type="spellStart"/>
      <w:r w:rsidRPr="00556C73">
        <w:rPr>
          <w:rFonts w:ascii="Times New Roman" w:eastAsia="Times New Roman" w:hAnsi="Times New Roman" w:cs="Times New Roman"/>
          <w:i/>
          <w:color w:val="000000"/>
          <w:sz w:val="24"/>
          <w:szCs w:val="23"/>
          <w:lang w:eastAsia="lv-LV"/>
        </w:rPr>
        <w:t>Baltic</w:t>
      </w:r>
      <w:proofErr w:type="spellEnd"/>
      <w:r w:rsidRPr="00556C73">
        <w:rPr>
          <w:rFonts w:ascii="Times New Roman" w:eastAsia="Times New Roman" w:hAnsi="Times New Roman" w:cs="Times New Roman"/>
          <w:i/>
          <w:color w:val="000000"/>
          <w:sz w:val="24"/>
          <w:szCs w:val="23"/>
          <w:lang w:eastAsia="lv-LV"/>
        </w:rPr>
        <w:t xml:space="preserve"> </w:t>
      </w:r>
      <w:proofErr w:type="spellStart"/>
      <w:r w:rsidRPr="00556C73">
        <w:rPr>
          <w:rFonts w:ascii="Times New Roman" w:eastAsia="Times New Roman" w:hAnsi="Times New Roman" w:cs="Times New Roman"/>
          <w:i/>
          <w:color w:val="000000"/>
          <w:sz w:val="24"/>
          <w:szCs w:val="23"/>
          <w:lang w:eastAsia="lv-LV"/>
        </w:rPr>
        <w:t>Corporation</w:t>
      </w:r>
      <w:proofErr w:type="spellEnd"/>
      <w:r w:rsidRPr="00556C73">
        <w:rPr>
          <w:rFonts w:ascii="Times New Roman" w:eastAsia="Times New Roman" w:hAnsi="Times New Roman" w:cs="Times New Roman"/>
          <w:i/>
          <w:color w:val="000000"/>
          <w:sz w:val="24"/>
          <w:szCs w:val="23"/>
          <w:lang w:eastAsia="lv-LV"/>
        </w:rPr>
        <w:t xml:space="preserve"> AS</w:t>
      </w:r>
      <w:r w:rsidRPr="00556C73">
        <w:rPr>
          <w:rFonts w:ascii="Times New Roman" w:eastAsia="Times New Roman" w:hAnsi="Times New Roman" w:cs="Times New Roman"/>
          <w:color w:val="000000"/>
          <w:sz w:val="24"/>
          <w:szCs w:val="23"/>
          <w:lang w:eastAsia="lv-LV"/>
        </w:rPr>
        <w:t xml:space="preserve"> uzsāka lidaparātu flotes modernizāciju, iegādājoties jaunas lidmašīnas. 2017.gadā bija iegādātas sešas jaunas lidmašīnas, bet pērnajā gadā vēl septiņas. Veicot lidmašīnu testēšanu un apkopi, to dzinēji tika aizsūtīti atpakaļ uz rūpnīcu, kas ietekmēja ārējās tirdzniecības datus. Būtiski palielinājies arī pārtikas un lauksaimniecības preču imports, ko ietekmēja alkoholisko dzērienu </w:t>
      </w:r>
      <w:r w:rsidRPr="00556C73">
        <w:rPr>
          <w:rFonts w:ascii="Times New Roman" w:eastAsia="Times New Roman" w:hAnsi="Times New Roman" w:cs="Times New Roman"/>
          <w:color w:val="000000"/>
          <w:sz w:val="24"/>
          <w:szCs w:val="23"/>
          <w:lang w:eastAsia="lv-LV"/>
        </w:rPr>
        <w:lastRenderedPageBreak/>
        <w:t>importa kāpums no Lielbritānijas un Itālijas, kā arī graudaugu imports no Krievijas un Lietuvas. Kopējais pārtikas un lauksaimniecības preču imports pērnajā gadā pieauga par 8,6%. Analizējot citas preču importa grupas, jāatzīmē metāla un to izstrādājumu importa kāpums par 19,0%, koksnes importa pieaugums par 30,5% un minerālā kurināmā, naftas un tās pārstrādes produktu importa kāpums par 11,1%.</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Pr>
          <w:rFonts w:ascii="Times New Roman" w:eastAsia="Times New Roman" w:hAnsi="Times New Roman" w:cs="Times New Roman"/>
          <w:color w:val="000000"/>
          <w:sz w:val="24"/>
          <w:szCs w:val="23"/>
          <w:lang w:eastAsia="lv-LV"/>
        </w:rPr>
        <w:t xml:space="preserve">Pieaugums 2018.gadā bija vērojams arī </w:t>
      </w:r>
      <w:r w:rsidRPr="00556C73">
        <w:rPr>
          <w:rFonts w:ascii="Times New Roman" w:eastAsia="Times New Roman" w:hAnsi="Times New Roman" w:cs="Times New Roman"/>
          <w:color w:val="000000"/>
          <w:sz w:val="24"/>
          <w:szCs w:val="23"/>
          <w:lang w:eastAsia="lv-LV"/>
        </w:rPr>
        <w:t xml:space="preserve">pakalpojumu importā, </w:t>
      </w:r>
      <w:r w:rsidR="003538A2" w:rsidRPr="00E53D87">
        <w:rPr>
          <w:rFonts w:ascii="Times New Roman" w:eastAsia="Calibri" w:hAnsi="Times New Roman" w:cs="Times New Roman"/>
          <w:sz w:val="24"/>
        </w:rPr>
        <w:t xml:space="preserve">– </w:t>
      </w:r>
      <w:r w:rsidRPr="00556C73">
        <w:rPr>
          <w:rFonts w:ascii="Times New Roman" w:eastAsia="Times New Roman" w:hAnsi="Times New Roman" w:cs="Times New Roman"/>
          <w:color w:val="000000"/>
          <w:sz w:val="24"/>
          <w:szCs w:val="23"/>
          <w:lang w:eastAsia="lv-LV"/>
        </w:rPr>
        <w:t xml:space="preserve">par 9,8%, salīdzinot ar iepriekšējo gadu. Importa pieaugumu galvenokārt noteica transporta pakalpojumu importa kāpums par 10,6%. Zīmīgi, ka imports strauji pieaudzis gandrīz visos transporta veidos (gaisa, dzelzceļa un autotransportā), izņemot jūras transportu, kur tas saglabājies 2017.gada līmenī. Vērā ņemams importa palielinājums fiksēts arī informācijas un komunikācijas tehnoloģiju pakalpojumiem. Tā, telesakaru pakalpojumu imports 2018.gadā palielinājās par 46,2%, bet informācijas un </w:t>
      </w:r>
      <w:proofErr w:type="spellStart"/>
      <w:r w:rsidRPr="00556C73">
        <w:rPr>
          <w:rFonts w:ascii="Times New Roman" w:eastAsia="Times New Roman" w:hAnsi="Times New Roman" w:cs="Times New Roman"/>
          <w:color w:val="000000"/>
          <w:sz w:val="24"/>
          <w:szCs w:val="23"/>
          <w:lang w:eastAsia="lv-LV"/>
        </w:rPr>
        <w:t>datorpakalpojumu</w:t>
      </w:r>
      <w:proofErr w:type="spellEnd"/>
      <w:r w:rsidRPr="00556C73">
        <w:rPr>
          <w:rFonts w:ascii="Times New Roman" w:eastAsia="Times New Roman" w:hAnsi="Times New Roman" w:cs="Times New Roman"/>
          <w:color w:val="000000"/>
          <w:sz w:val="24"/>
          <w:szCs w:val="23"/>
          <w:lang w:eastAsia="lv-LV"/>
        </w:rPr>
        <w:t xml:space="preserve"> imports par 20,0%. Finanšu pakalpojumu imports samazinājās par 18,2%. </w:t>
      </w:r>
    </w:p>
    <w:p w:rsidR="00E53D87" w:rsidRPr="005A443D" w:rsidRDefault="00E53D87" w:rsidP="005E344C">
      <w:pPr>
        <w:spacing w:before="120" w:after="0" w:line="240" w:lineRule="auto"/>
        <w:ind w:firstLine="720"/>
        <w:jc w:val="both"/>
        <w:rPr>
          <w:rFonts w:ascii="Times New Roman" w:eastAsia="Times New Roman" w:hAnsi="Times New Roman" w:cs="Times New Roman"/>
          <w:b/>
          <w:i/>
          <w:color w:val="000000"/>
          <w:sz w:val="24"/>
          <w:szCs w:val="23"/>
          <w:lang w:eastAsia="lv-LV"/>
        </w:rPr>
      </w:pPr>
      <w:r w:rsidRPr="005A443D">
        <w:rPr>
          <w:rFonts w:ascii="Times New Roman" w:eastAsia="Times New Roman" w:hAnsi="Times New Roman" w:cs="Times New Roman"/>
          <w:b/>
          <w:i/>
          <w:color w:val="000000"/>
          <w:sz w:val="24"/>
          <w:szCs w:val="23"/>
          <w:lang w:eastAsia="lv-LV"/>
        </w:rPr>
        <w:t>Tekošais konts</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Pr>
          <w:rFonts w:ascii="Times New Roman" w:eastAsia="Times New Roman" w:hAnsi="Times New Roman" w:cs="Times New Roman"/>
          <w:color w:val="000000"/>
          <w:sz w:val="24"/>
          <w:szCs w:val="23"/>
          <w:lang w:eastAsia="lv-LV"/>
        </w:rPr>
        <w:t>Ņemot vērā straujāku</w:t>
      </w:r>
      <w:r w:rsidRPr="00556C73">
        <w:rPr>
          <w:rFonts w:ascii="Times New Roman" w:eastAsia="Times New Roman" w:hAnsi="Times New Roman" w:cs="Times New Roman"/>
          <w:color w:val="000000"/>
          <w:sz w:val="24"/>
          <w:szCs w:val="23"/>
          <w:lang w:eastAsia="lv-LV"/>
        </w:rPr>
        <w:t xml:space="preserve"> preču importa kāpumu salīdzinājumā ar preču eksporta pieaugumu, kā arī ārvalstu investoru gūto ienākumu par iepriekš veiktajām investīcijām Latvijā palielinājumu, maksājumu bilances tekošajā kontā 2018.gadā bija fiksēts 283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deficīts, pretstatā 191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pārpalikumam iepriekšējā gadā. Tādējādi tekošā kontā bilance 2018.gadā veidoja -1,0% no Latvijas nominālā IKP.</w:t>
      </w:r>
    </w:p>
    <w:p w:rsidR="003463F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Neskatoties uz to, ka tekošā konta bilance 2018.gadā bija negatīva, kopumā situācija vērtējama kā ilgtspējīga. Pirmkārt, tekošā konta trīs gadu vidējais līmenis ir praktiski sabalansēts un veido +0,4% no IKP. Tādējādi tas nepārsniedz ES agrās brīdināšanas mehānismā noteikto slieksni (-4/+6% no IKP). Otrkārt, 2018.gadā tekošā konta deficītu pilnā apmērā nosedza kapitāla konta pārpalikums. Latvijas gadījumā kapitāla konta pārpalikumu nodrošina ES fondu investīciju plūsma no Kohēzijas, Eiropas Reģionālās attīstības un Zivsaimniecības fondiem. </w:t>
      </w:r>
    </w:p>
    <w:p w:rsidR="00E53D87" w:rsidRPr="00556C73" w:rsidRDefault="00E53D87" w:rsidP="00C11D88">
      <w:pPr>
        <w:rPr>
          <w:rFonts w:ascii="Times New Roman" w:eastAsia="Times New Roman" w:hAnsi="Times New Roman" w:cs="Times New Roman"/>
          <w:color w:val="000000"/>
          <w:sz w:val="24"/>
          <w:szCs w:val="23"/>
          <w:lang w:eastAsia="lv-LV"/>
        </w:rPr>
      </w:pPr>
      <w:r w:rsidRPr="00556C73">
        <w:rPr>
          <w:rFonts w:ascii="Times New Roman" w:eastAsia="Calibri" w:hAnsi="Times New Roman" w:cs="Times New Roman"/>
          <w:noProof/>
          <w:sz w:val="24"/>
          <w:lang w:eastAsia="lv-LV"/>
        </w:rPr>
        <w:drawing>
          <wp:inline distT="0" distB="0" distL="0" distR="0" wp14:anchorId="13E71C40" wp14:editId="24337587">
            <wp:extent cx="5874385" cy="3359889"/>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3D87" w:rsidRDefault="00E53D87" w:rsidP="00E53D87">
      <w:pPr>
        <w:autoSpaceDE w:val="0"/>
        <w:autoSpaceDN w:val="0"/>
        <w:adjustRightInd w:val="0"/>
        <w:spacing w:after="120" w:line="240" w:lineRule="auto"/>
        <w:ind w:firstLine="720"/>
        <w:jc w:val="both"/>
        <w:rPr>
          <w:rFonts w:ascii="Times New Roman" w:eastAsia="Calibri" w:hAnsi="Times New Roman" w:cs="Times New Roman"/>
          <w:i/>
          <w:sz w:val="18"/>
          <w:szCs w:val="18"/>
        </w:rPr>
      </w:pPr>
      <w:r w:rsidRPr="00451F9F">
        <w:rPr>
          <w:rFonts w:ascii="Times New Roman" w:eastAsia="Calibri" w:hAnsi="Times New Roman" w:cs="Times New Roman"/>
          <w:i/>
          <w:sz w:val="18"/>
          <w:szCs w:val="18"/>
        </w:rPr>
        <w:t>Datu avots: Latvijas Banka</w:t>
      </w:r>
    </w:p>
    <w:p w:rsidR="00E53D87" w:rsidRPr="00556C73" w:rsidRDefault="00E53D87" w:rsidP="002B1A2C">
      <w:pPr>
        <w:spacing w:after="0" w:line="240" w:lineRule="auto"/>
        <w:ind w:firstLine="720"/>
        <w:jc w:val="center"/>
        <w:rPr>
          <w:rFonts w:ascii="Times New Roman" w:eastAsia="Times New Roman" w:hAnsi="Times New Roman" w:cs="Times New Roman"/>
          <w:b/>
          <w:color w:val="000000"/>
          <w:sz w:val="24"/>
          <w:szCs w:val="23"/>
          <w:lang w:eastAsia="lv-LV"/>
        </w:rPr>
      </w:pPr>
      <w:r w:rsidRPr="00556C73">
        <w:rPr>
          <w:rFonts w:ascii="Times New Roman" w:eastAsia="Times New Roman" w:hAnsi="Times New Roman" w:cs="Times New Roman"/>
          <w:b/>
          <w:color w:val="000000"/>
          <w:sz w:val="24"/>
          <w:szCs w:val="23"/>
          <w:lang w:eastAsia="lv-LV"/>
        </w:rPr>
        <w:t xml:space="preserve">2.2. attēls. Latvijas maksājumu bilances tekošā konta komponentes (milj. </w:t>
      </w:r>
      <w:proofErr w:type="spellStart"/>
      <w:r w:rsidRPr="00556C73">
        <w:rPr>
          <w:rFonts w:ascii="Times New Roman" w:eastAsia="Times New Roman" w:hAnsi="Times New Roman" w:cs="Times New Roman"/>
          <w:b/>
          <w:i/>
          <w:color w:val="000000"/>
          <w:sz w:val="24"/>
          <w:szCs w:val="23"/>
          <w:lang w:eastAsia="lv-LV"/>
        </w:rPr>
        <w:t>euro</w:t>
      </w:r>
      <w:proofErr w:type="spellEnd"/>
      <w:r w:rsidRPr="00556C73">
        <w:rPr>
          <w:rFonts w:ascii="Times New Roman" w:eastAsia="Times New Roman" w:hAnsi="Times New Roman" w:cs="Times New Roman"/>
          <w:b/>
          <w:color w:val="000000"/>
          <w:sz w:val="24"/>
          <w:szCs w:val="23"/>
          <w:lang w:eastAsia="lv-LV"/>
        </w:rPr>
        <w:t>) un tekošais un kapitāla konti procentos no IKP</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lastRenderedPageBreak/>
        <w:t>Pēdējos gados galvenās izmaiņas tekošajā kontā nosaka preču un pakalpojumu ārējās tirdzniecības attīstība, izņēmums nebija arī pērnais gads. Preču importa</w:t>
      </w:r>
      <w:r>
        <w:rPr>
          <w:rFonts w:ascii="Times New Roman" w:eastAsia="Times New Roman" w:hAnsi="Times New Roman" w:cs="Times New Roman"/>
          <w:color w:val="000000"/>
          <w:sz w:val="24"/>
          <w:szCs w:val="23"/>
          <w:lang w:eastAsia="lv-LV"/>
        </w:rPr>
        <w:t>m palielinoties</w:t>
      </w:r>
      <w:r w:rsidRPr="00556C73">
        <w:rPr>
          <w:rFonts w:ascii="Times New Roman" w:eastAsia="Times New Roman" w:hAnsi="Times New Roman" w:cs="Times New Roman"/>
          <w:color w:val="000000"/>
          <w:sz w:val="24"/>
          <w:szCs w:val="23"/>
          <w:lang w:eastAsia="lv-LV"/>
        </w:rPr>
        <w:t xml:space="preserve"> būtiski straujāk par preču eksporta vērtības kāpumu, preču konta deficīts pieauga par 268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līdz 2</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576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Tādējādi preču kont</w:t>
      </w:r>
      <w:r>
        <w:rPr>
          <w:rFonts w:ascii="Times New Roman" w:eastAsia="Times New Roman" w:hAnsi="Times New Roman" w:cs="Times New Roman"/>
          <w:color w:val="000000"/>
          <w:sz w:val="24"/>
          <w:szCs w:val="23"/>
          <w:lang w:eastAsia="lv-LV"/>
        </w:rPr>
        <w:t>a</w:t>
      </w:r>
      <w:r w:rsidRPr="00556C73">
        <w:rPr>
          <w:rFonts w:ascii="Times New Roman" w:eastAsia="Times New Roman" w:hAnsi="Times New Roman" w:cs="Times New Roman"/>
          <w:color w:val="000000"/>
          <w:sz w:val="24"/>
          <w:szCs w:val="23"/>
          <w:lang w:eastAsia="lv-LV"/>
        </w:rPr>
        <w:t xml:space="preserve"> deficīts 2018.gadā veidoja 8,7% no nominālā IKP. Ir svarīgi atzīmēt, ka straujāks preču importa kāpums pērnajā gadā kopumā ir saistīts ar spēcīgo ekonomisko izaugsmi, kas atspoguļojusies arī būtiski augstākā investīciju un būvniecības aktivitātē. Tādējādi ir likumsakarīgi, ka pieprasījums pēc tehnikas, metāliem un būvmateriāliem pieaug, tādā veidā stimulējot arī importa pieaugumu. Papildus tam, preču importu palielināja arī Latvijas lidsabiedrības </w:t>
      </w:r>
      <w:proofErr w:type="spellStart"/>
      <w:r w:rsidRPr="00556C73">
        <w:rPr>
          <w:rFonts w:ascii="Times New Roman" w:eastAsia="Times New Roman" w:hAnsi="Times New Roman" w:cs="Times New Roman"/>
          <w:i/>
          <w:color w:val="000000"/>
          <w:sz w:val="24"/>
          <w:szCs w:val="23"/>
          <w:lang w:eastAsia="lv-LV"/>
        </w:rPr>
        <w:t>Air</w:t>
      </w:r>
      <w:proofErr w:type="spellEnd"/>
      <w:r w:rsidRPr="00556C73">
        <w:rPr>
          <w:rFonts w:ascii="Times New Roman" w:eastAsia="Times New Roman" w:hAnsi="Times New Roman" w:cs="Times New Roman"/>
          <w:i/>
          <w:color w:val="000000"/>
          <w:sz w:val="24"/>
          <w:szCs w:val="23"/>
          <w:lang w:eastAsia="lv-LV"/>
        </w:rPr>
        <w:t xml:space="preserve"> </w:t>
      </w:r>
      <w:proofErr w:type="spellStart"/>
      <w:r w:rsidRPr="00556C73">
        <w:rPr>
          <w:rFonts w:ascii="Times New Roman" w:eastAsia="Times New Roman" w:hAnsi="Times New Roman" w:cs="Times New Roman"/>
          <w:i/>
          <w:color w:val="000000"/>
          <w:sz w:val="24"/>
          <w:szCs w:val="23"/>
          <w:lang w:eastAsia="lv-LV"/>
        </w:rPr>
        <w:t>Baltic</w:t>
      </w:r>
      <w:proofErr w:type="spellEnd"/>
      <w:r w:rsidRPr="00556C73">
        <w:rPr>
          <w:rFonts w:ascii="Times New Roman" w:eastAsia="Times New Roman" w:hAnsi="Times New Roman" w:cs="Times New Roman"/>
          <w:i/>
          <w:color w:val="000000"/>
          <w:sz w:val="24"/>
          <w:szCs w:val="23"/>
          <w:lang w:eastAsia="lv-LV"/>
        </w:rPr>
        <w:t xml:space="preserve"> </w:t>
      </w:r>
      <w:proofErr w:type="spellStart"/>
      <w:r w:rsidRPr="00556C73">
        <w:rPr>
          <w:rFonts w:ascii="Times New Roman" w:eastAsia="Times New Roman" w:hAnsi="Times New Roman" w:cs="Times New Roman"/>
          <w:i/>
          <w:color w:val="000000"/>
          <w:sz w:val="24"/>
          <w:szCs w:val="23"/>
          <w:lang w:eastAsia="lv-LV"/>
        </w:rPr>
        <w:t>Corporation</w:t>
      </w:r>
      <w:proofErr w:type="spellEnd"/>
      <w:r w:rsidRPr="00556C73">
        <w:rPr>
          <w:rFonts w:ascii="Times New Roman" w:eastAsia="Times New Roman" w:hAnsi="Times New Roman" w:cs="Times New Roman"/>
          <w:i/>
          <w:color w:val="000000"/>
          <w:sz w:val="24"/>
          <w:szCs w:val="23"/>
          <w:lang w:eastAsia="lv-LV"/>
        </w:rPr>
        <w:t xml:space="preserve"> AS</w:t>
      </w:r>
      <w:r w:rsidRPr="00556C73">
        <w:rPr>
          <w:rFonts w:ascii="Times New Roman" w:eastAsia="Times New Roman" w:hAnsi="Times New Roman" w:cs="Times New Roman"/>
          <w:color w:val="000000"/>
          <w:sz w:val="24"/>
          <w:szCs w:val="23"/>
          <w:lang w:eastAsia="lv-LV"/>
        </w:rPr>
        <w:t xml:space="preserve"> lidaparātu flotes modernizācija, iegādājoties jaunas lidmašīnas.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Kopš 2011.gada pakalpojumu konta pārpalikums nepārtraukti palielinās un pērnajā gadā sasniedza 2</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394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kas ir par 62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vairāk nekā iepriekšējā gadā. Tādējādi pakalpojumu konta bilance sastāda 8,1% no IKP faktiskajās cenās. Lai arī pakalpojumu importa kāpums 9,8% apmērā bija straujāks par pakalpojumu eksporta pieaugumu (6,4%), konta pārpalikums ir palielinājies. Tas ir saistīts ar pakalpojumu eksporta un importa dažādiem līmeņiem un pieaugumu nominālā izteiksmē. Tā, pakalpojumu eksports 2018.gadā bija 5</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292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un tas pieauga par 320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Savukārt pakalpojumu importa vērtība bija 2</w:t>
      </w:r>
      <w:r w:rsidR="003538A2">
        <w:rPr>
          <w:rFonts w:ascii="Times New Roman" w:eastAsia="Times New Roman" w:hAnsi="Times New Roman" w:cs="Times New Roman"/>
          <w:color w:val="000000"/>
          <w:sz w:val="24"/>
          <w:szCs w:val="23"/>
          <w:lang w:eastAsia="lv-LV"/>
        </w:rPr>
        <w:t> </w:t>
      </w:r>
      <w:r w:rsidRPr="00556C73">
        <w:rPr>
          <w:rFonts w:ascii="Times New Roman" w:eastAsia="Times New Roman" w:hAnsi="Times New Roman" w:cs="Times New Roman"/>
          <w:color w:val="000000"/>
          <w:sz w:val="24"/>
          <w:szCs w:val="23"/>
          <w:lang w:eastAsia="lv-LV"/>
        </w:rPr>
        <w:t xml:space="preserve">899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un pieaugums 259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Sākotnējo ienākumu kontā deficīts pieauga no 190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2017.gadā līdz 386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2018.gadā, tādējādi veidojot 1,3% no nominālā IKP. Deficīta pieaugumu par 196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 xml:space="preserve"> galvenokārt noteica ārvalstu investoru gūto ienākumu par iepriekš veiktajām investīcijām Latvijā palielinājums un tajā pašā laikā Latvijas investoru ienākumu kritums par iepriekš veiktajām investīcijām ārvalstīs. Taču otrreizējo ienākumu konta pārpalikums 286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i/>
          <w:color w:val="000000"/>
          <w:sz w:val="24"/>
          <w:szCs w:val="23"/>
          <w:lang w:eastAsia="lv-LV"/>
        </w:rPr>
        <w:t xml:space="preserve"> </w:t>
      </w:r>
      <w:r w:rsidRPr="00556C73">
        <w:rPr>
          <w:rFonts w:ascii="Times New Roman" w:eastAsia="Times New Roman" w:hAnsi="Times New Roman" w:cs="Times New Roman"/>
          <w:color w:val="000000"/>
          <w:sz w:val="24"/>
          <w:szCs w:val="23"/>
          <w:lang w:eastAsia="lv-LV"/>
        </w:rPr>
        <w:t xml:space="preserve">apmērā daļēji kompensēja sākotnējo ienākumu konta deficītu. Pārpalikuma veidošanos otrreizējo ienākumu kontā nodrošināja ES fondu investīciju plūsma. Tomēr augstākas iemaksas ES budžetā samazināja šī konta pārpalikumu salīdzinājumā ar 2017.gadu, kad pārpalikuma apmērs veidoja 357 milj. </w:t>
      </w:r>
      <w:proofErr w:type="spellStart"/>
      <w:r w:rsidRPr="00556C73">
        <w:rPr>
          <w:rFonts w:ascii="Times New Roman" w:eastAsia="Times New Roman" w:hAnsi="Times New Roman" w:cs="Times New Roman"/>
          <w:i/>
          <w:color w:val="000000"/>
          <w:sz w:val="24"/>
          <w:szCs w:val="23"/>
          <w:lang w:eastAsia="lv-LV"/>
        </w:rPr>
        <w:t>euro</w:t>
      </w:r>
      <w:proofErr w:type="spellEnd"/>
      <w:r w:rsidRPr="00556C73">
        <w:rPr>
          <w:rFonts w:ascii="Times New Roman" w:eastAsia="Times New Roman" w:hAnsi="Times New Roman" w:cs="Times New Roman"/>
          <w:color w:val="000000"/>
          <w:sz w:val="24"/>
          <w:szCs w:val="23"/>
          <w:lang w:eastAsia="lv-LV"/>
        </w:rPr>
        <w:t>.</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Times New Roman" w:hAnsi="Times New Roman" w:cs="Times New Roman"/>
          <w:color w:val="000000"/>
          <w:sz w:val="24"/>
          <w:szCs w:val="23"/>
          <w:lang w:eastAsia="lv-LV"/>
        </w:rPr>
        <w:t xml:space="preserve">Nozaru griezumā lielāko devumu ekonomikas izaugsmē 2018.gadā nodrošināja </w:t>
      </w:r>
      <w:r w:rsidRPr="00556C73">
        <w:rPr>
          <w:rFonts w:ascii="Times New Roman" w:eastAsia="Times New Roman" w:hAnsi="Times New Roman" w:cs="Times New Roman"/>
          <w:b/>
          <w:color w:val="000000"/>
          <w:sz w:val="24"/>
          <w:szCs w:val="23"/>
          <w:lang w:eastAsia="lv-LV"/>
        </w:rPr>
        <w:t>būvniecības nozare</w:t>
      </w:r>
      <w:r w:rsidRPr="00556C73">
        <w:rPr>
          <w:rFonts w:ascii="Times New Roman" w:eastAsia="Times New Roman" w:hAnsi="Times New Roman" w:cs="Times New Roman"/>
          <w:color w:val="000000"/>
          <w:sz w:val="24"/>
          <w:szCs w:val="23"/>
          <w:lang w:eastAsia="lv-LV"/>
        </w:rPr>
        <w:t xml:space="preserve">, </w:t>
      </w:r>
      <w:r>
        <w:rPr>
          <w:rFonts w:ascii="Times New Roman" w:eastAsia="Times New Roman" w:hAnsi="Times New Roman" w:cs="Times New Roman"/>
          <w:color w:val="000000"/>
          <w:sz w:val="24"/>
          <w:szCs w:val="23"/>
          <w:lang w:eastAsia="lv-LV"/>
        </w:rPr>
        <w:t xml:space="preserve">salīdzināmās cenās </w:t>
      </w:r>
      <w:r w:rsidRPr="00556C73">
        <w:rPr>
          <w:rFonts w:ascii="Times New Roman" w:eastAsia="Times New Roman" w:hAnsi="Times New Roman" w:cs="Times New Roman"/>
          <w:color w:val="000000"/>
          <w:sz w:val="24"/>
          <w:szCs w:val="23"/>
          <w:lang w:eastAsia="lv-LV"/>
        </w:rPr>
        <w:t xml:space="preserve">palielinoties par 21,9%, ko nodrošināja straujāka ES fondu investīciju ieplūde, kā arī privāto investīciju aktivitātes pieaugums. </w:t>
      </w:r>
      <w:r>
        <w:rPr>
          <w:rFonts w:ascii="Times New Roman" w:eastAsia="Times New Roman" w:hAnsi="Times New Roman" w:cs="Times New Roman"/>
          <w:color w:val="000000"/>
          <w:sz w:val="24"/>
          <w:szCs w:val="23"/>
          <w:lang w:eastAsia="lv-LV"/>
        </w:rPr>
        <w:t xml:space="preserve">Būvniecības produkcijas apjoms faktiskajās cenās 2018.gadā palielinājās par 25,5%. </w:t>
      </w:r>
      <w:r w:rsidRPr="00556C73">
        <w:rPr>
          <w:rFonts w:ascii="Times New Roman" w:eastAsia="Times New Roman" w:hAnsi="Times New Roman" w:cs="Times New Roman"/>
          <w:color w:val="000000"/>
          <w:sz w:val="24"/>
          <w:szCs w:val="23"/>
          <w:lang w:eastAsia="lv-LV"/>
        </w:rPr>
        <w:t xml:space="preserve">ES fondu investīcijas </w:t>
      </w:r>
      <w:r w:rsidRPr="00556C73">
        <w:rPr>
          <w:rFonts w:ascii="Times New Roman" w:eastAsia="Calibri" w:hAnsi="Times New Roman" w:cs="Times New Roman"/>
          <w:sz w:val="24"/>
        </w:rPr>
        <w:t>veicināja publisko būvniecības projektu īstenošanu, kā rezultātā inženierbūvju celtniecības apjomi faktiskajās cenās bija par 25,5% augstāki nekā 2017.gadā. Gandrīz tikpat lielu devumu būvniecības sektora kopējā izaugsmē nodrošināja nedzīvojamo ēku celtniecības kāpums par 21,8%, ko veicināja gan sabiedriskās, gan privātās investīcijas un strauji pieaugumi pērn bija reģistrēti muzeju un bibliotēku, tirdzniecības, veselības aizsardzības un sociālās nodrošināšanas, kā arī administratīvo ēku būvniecībā. Spēcīgu izaugsmi uzrādīja arī dzīvojamo ēku būvniecība, to celtniecības apjomiem 2018.gadā palielinoties par 38,7%.</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No nozarēm otrs lielākais devums ekonomikas izaugsmē 2018.gadā bija </w:t>
      </w:r>
      <w:r w:rsidRPr="00556C73">
        <w:rPr>
          <w:rFonts w:ascii="Times New Roman" w:eastAsia="Times New Roman" w:hAnsi="Times New Roman" w:cs="Times New Roman"/>
          <w:b/>
          <w:color w:val="000000"/>
          <w:sz w:val="24"/>
          <w:szCs w:val="23"/>
          <w:lang w:eastAsia="lv-LV"/>
        </w:rPr>
        <w:t>informācijas un komunikācijas pakalpojumiem</w:t>
      </w:r>
      <w:r w:rsidRPr="00556C73">
        <w:rPr>
          <w:rFonts w:ascii="Times New Roman" w:eastAsia="Times New Roman" w:hAnsi="Times New Roman" w:cs="Times New Roman"/>
          <w:color w:val="000000"/>
          <w:sz w:val="24"/>
          <w:szCs w:val="23"/>
          <w:lang w:eastAsia="lv-LV"/>
        </w:rPr>
        <w:t xml:space="preserve">, kas gadā kopumā sasnieguši 13,0% pieaugumu. Veiksmīgāk nekā sākotnēji sagaidīts 2018.gadā attīstījās </w:t>
      </w:r>
      <w:r w:rsidRPr="00556C73">
        <w:rPr>
          <w:rFonts w:ascii="Times New Roman" w:eastAsia="Times New Roman" w:hAnsi="Times New Roman" w:cs="Times New Roman"/>
          <w:b/>
          <w:color w:val="000000"/>
          <w:sz w:val="24"/>
          <w:szCs w:val="23"/>
          <w:lang w:eastAsia="lv-LV"/>
        </w:rPr>
        <w:t>transporta nozare</w:t>
      </w:r>
      <w:r w:rsidRPr="00556C73">
        <w:rPr>
          <w:rFonts w:ascii="Times New Roman" w:eastAsia="Times New Roman" w:hAnsi="Times New Roman" w:cs="Times New Roman"/>
          <w:color w:val="000000"/>
          <w:sz w:val="24"/>
          <w:szCs w:val="23"/>
          <w:lang w:eastAsia="lv-LV"/>
        </w:rPr>
        <w:t xml:space="preserve">, kas ar 5,3% pieaugumu bija trešā lielākā ekonomiskās izaugsmes nodrošinātāja. Pēc neveiksmīgā gada sākuma jau no gada vidus sāka būtiski palielināties Krievijas kravu, pirmām kārtām ogļu tranzīts caur Latvijas ostām, un veiksmīgi darbojās arī lidosta Rīga, strauji </w:t>
      </w:r>
      <w:r>
        <w:rPr>
          <w:rFonts w:ascii="Times New Roman" w:eastAsia="Times New Roman" w:hAnsi="Times New Roman" w:cs="Times New Roman"/>
          <w:color w:val="000000"/>
          <w:sz w:val="24"/>
          <w:szCs w:val="23"/>
          <w:lang w:eastAsia="lv-LV"/>
        </w:rPr>
        <w:t>palielinot</w:t>
      </w:r>
      <w:r w:rsidRPr="00556C73">
        <w:rPr>
          <w:rFonts w:ascii="Times New Roman" w:eastAsia="Times New Roman" w:hAnsi="Times New Roman" w:cs="Times New Roman"/>
          <w:color w:val="000000"/>
          <w:sz w:val="24"/>
          <w:szCs w:val="23"/>
          <w:lang w:eastAsia="lv-LV"/>
        </w:rPr>
        <w:t xml:space="preserve"> pasažieru skaitu. Kopumā kravu apgrozījums Latvijas ostās 2018.gadā pieauga par 7,0%, kravu apjomi dzelzceļā palielinājās par 11,8%, bet pasažieru skaits </w:t>
      </w:r>
      <w:r w:rsidRPr="00556C73">
        <w:rPr>
          <w:rFonts w:ascii="Times New Roman" w:eastAsia="Calibri" w:hAnsi="Times New Roman" w:cs="Times New Roman"/>
          <w:sz w:val="24"/>
        </w:rPr>
        <w:t xml:space="preserve">lidostā “Rīga” auga par 15,7%. Neskatoties uz salīdzinoši labajiem 2018.gada rezultātiem, nozares tālākas perspektīvas jāvērtē piesardzīgi, ņemot vērā, ka Krievija nav atteikusies no savas stratēģijas pārorientēt naftas un ogļu kravas uz savām Baltijas jūras ostām. Tajā pašā laikā labākas perspektīvas līdz ar straujāku </w:t>
      </w:r>
      <w:r w:rsidRPr="00556C73">
        <w:rPr>
          <w:rFonts w:ascii="Times New Roman" w:eastAsia="Calibri" w:hAnsi="Times New Roman" w:cs="Times New Roman"/>
          <w:sz w:val="24"/>
        </w:rPr>
        <w:lastRenderedPageBreak/>
        <w:t>tirdzniecības attīstību ir konteineru pārvadājumiem, kā arī kravu autopārvadājumiem kopumā, un līdz ar tūrisma attīstību turpinās palielināties arī pasažieru satiksme lidostā un ostās.</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Times New Roman" w:hAnsi="Times New Roman" w:cs="Times New Roman"/>
          <w:color w:val="000000"/>
          <w:sz w:val="24"/>
          <w:szCs w:val="23"/>
          <w:lang w:eastAsia="lv-LV"/>
        </w:rPr>
        <w:t xml:space="preserve">Atšķirībā no 2017.gada pērn mazāka loma ekonomikas izaugsmē bija apstrādes rūpniecības un tirdzniecības nozarēm. </w:t>
      </w:r>
      <w:r w:rsidRPr="00556C73">
        <w:rPr>
          <w:rFonts w:ascii="Times New Roman" w:eastAsia="Times New Roman" w:hAnsi="Times New Roman" w:cs="Times New Roman"/>
          <w:b/>
          <w:color w:val="000000"/>
          <w:sz w:val="24"/>
          <w:szCs w:val="23"/>
          <w:lang w:eastAsia="lv-LV"/>
        </w:rPr>
        <w:t>Apstrādes rūpniecībā</w:t>
      </w:r>
      <w:r w:rsidRPr="00556C73">
        <w:rPr>
          <w:rFonts w:ascii="Times New Roman" w:eastAsia="Times New Roman" w:hAnsi="Times New Roman" w:cs="Times New Roman"/>
          <w:color w:val="000000"/>
          <w:sz w:val="24"/>
          <w:szCs w:val="23"/>
          <w:lang w:eastAsia="lv-LV"/>
        </w:rPr>
        <w:t xml:space="preserve"> pēc 2017.gadā sasniegtā 8,0% kāpuma 2018.gadā pievienotā vērtība palielinājās vien par 2,7%. </w:t>
      </w:r>
      <w:r w:rsidRPr="00556C73">
        <w:rPr>
          <w:rFonts w:ascii="Times New Roman" w:eastAsia="Calibri" w:hAnsi="Times New Roman" w:cs="Times New Roman"/>
          <w:sz w:val="24"/>
        </w:rPr>
        <w:t xml:space="preserve">Par apstrādes rūpniecības izaugsmes galveno dzinējspēku 2018.gadā izvirzījās lielākā tās </w:t>
      </w:r>
      <w:proofErr w:type="spellStart"/>
      <w:r w:rsidRPr="00556C73">
        <w:rPr>
          <w:rFonts w:ascii="Times New Roman" w:eastAsia="Calibri" w:hAnsi="Times New Roman" w:cs="Times New Roman"/>
          <w:sz w:val="24"/>
        </w:rPr>
        <w:t>apakšnozare</w:t>
      </w:r>
      <w:proofErr w:type="spellEnd"/>
      <w:r w:rsidR="009023BA" w:rsidRPr="00E53D87">
        <w:rPr>
          <w:rFonts w:ascii="Times New Roman" w:eastAsia="Calibri" w:hAnsi="Times New Roman" w:cs="Times New Roman"/>
          <w:sz w:val="24"/>
        </w:rPr>
        <w:t xml:space="preserve"> – </w:t>
      </w:r>
      <w:r w:rsidRPr="00556C73">
        <w:rPr>
          <w:rFonts w:ascii="Times New Roman" w:eastAsia="Calibri" w:hAnsi="Times New Roman" w:cs="Times New Roman"/>
          <w:sz w:val="24"/>
        </w:rPr>
        <w:t xml:space="preserve">kokrūpniecība, kuras izlaides apjomi gada laikā pieauga par 5,3%. Būtisku devumu apstrādes rūpniecības izaugsmē nodrošinājušas arī metālapstrāde un mašīnbūvi apvienojošās </w:t>
      </w:r>
      <w:proofErr w:type="spellStart"/>
      <w:r w:rsidRPr="00556C73">
        <w:rPr>
          <w:rFonts w:ascii="Times New Roman" w:eastAsia="Calibri" w:hAnsi="Times New Roman" w:cs="Times New Roman"/>
          <w:sz w:val="24"/>
        </w:rPr>
        <w:t>apakšnozares</w:t>
      </w:r>
      <w:proofErr w:type="spellEnd"/>
      <w:r w:rsidRPr="00556C73">
        <w:rPr>
          <w:rFonts w:ascii="Times New Roman" w:eastAsia="Calibri" w:hAnsi="Times New Roman" w:cs="Times New Roman"/>
          <w:sz w:val="24"/>
        </w:rPr>
        <w:t>, kas spēcīgu izaugsmi uzrāda jau trešo gadu pēc kārta</w:t>
      </w:r>
      <w:r>
        <w:rPr>
          <w:rFonts w:ascii="Times New Roman" w:eastAsia="Calibri" w:hAnsi="Times New Roman" w:cs="Times New Roman"/>
          <w:sz w:val="24"/>
        </w:rPr>
        <w:t>s</w:t>
      </w:r>
      <w:r w:rsidRPr="00556C73">
        <w:rPr>
          <w:rFonts w:ascii="Times New Roman" w:eastAsia="Calibri" w:hAnsi="Times New Roman" w:cs="Times New Roman"/>
          <w:sz w:val="24"/>
        </w:rPr>
        <w:t xml:space="preserve"> 2018.gadā izlaides apjomi gatavo metālizstrādājumu ražošanā bija par 5,1% augstāki nekā pirms gada, iekārtu, mehānismu un darba mašīnu ražošanā – par 7,9%, elektrisko iekārtu ražošanā – par 24,4%. Būvniecības sektora augstā aktivitāte pērn bija veicinājusi strauju būvmateriālu ražošanas pieaugumu gada pirmajā pusē, taču, sākot ar jūliju, nemetālisko minerālu izstrādājumu ražošanas apjomi mazinājās, tādējādi 2018.gadā kopā salīdzinājumā ar 2017.gadu </w:t>
      </w:r>
      <w:proofErr w:type="spellStart"/>
      <w:r w:rsidRPr="00556C73">
        <w:rPr>
          <w:rFonts w:ascii="Times New Roman" w:eastAsia="Calibri" w:hAnsi="Times New Roman" w:cs="Times New Roman"/>
          <w:sz w:val="24"/>
        </w:rPr>
        <w:t>apakšnozares</w:t>
      </w:r>
      <w:proofErr w:type="spellEnd"/>
      <w:r w:rsidRPr="00556C73">
        <w:rPr>
          <w:rFonts w:ascii="Times New Roman" w:eastAsia="Calibri" w:hAnsi="Times New Roman" w:cs="Times New Roman"/>
          <w:sz w:val="24"/>
        </w:rPr>
        <w:t xml:space="preserve"> izlaide palielinājās tikai par 1,9%. Labu izaugsmi 2018.gadā uzrādīja ķīmisko vielu un produktu ražošana, kā arī gumijas un plastmasas izstrādājumu ražošana. Iepriekšējos astoņus gadus ļoti strauji augusī datoru, elektronisko un optisko iekārtu ražošana pērn pieauga mērenāk, tās izlaidei palielinoties par 5,5%. Savukārt otr</w:t>
      </w:r>
      <w:r>
        <w:rPr>
          <w:rFonts w:ascii="Times New Roman" w:eastAsia="Calibri" w:hAnsi="Times New Roman" w:cs="Times New Roman"/>
          <w:sz w:val="24"/>
        </w:rPr>
        <w:t>aj</w:t>
      </w:r>
      <w:r w:rsidRPr="00556C73">
        <w:rPr>
          <w:rFonts w:ascii="Times New Roman" w:eastAsia="Calibri" w:hAnsi="Times New Roman" w:cs="Times New Roman"/>
          <w:sz w:val="24"/>
        </w:rPr>
        <w:t xml:space="preserve">ā lielākajā apstrādes rūpniecības </w:t>
      </w:r>
      <w:proofErr w:type="spellStart"/>
      <w:r w:rsidRPr="00556C73">
        <w:rPr>
          <w:rFonts w:ascii="Times New Roman" w:eastAsia="Calibri" w:hAnsi="Times New Roman" w:cs="Times New Roman"/>
          <w:sz w:val="24"/>
        </w:rPr>
        <w:t>apakšnozarē</w:t>
      </w:r>
      <w:proofErr w:type="spellEnd"/>
      <w:r w:rsidR="009023BA" w:rsidRPr="00E53D87">
        <w:rPr>
          <w:rFonts w:ascii="Times New Roman" w:eastAsia="Calibri" w:hAnsi="Times New Roman" w:cs="Times New Roman"/>
          <w:sz w:val="24"/>
        </w:rPr>
        <w:t xml:space="preserve"> – </w:t>
      </w:r>
      <w:r w:rsidRPr="00556C73">
        <w:rPr>
          <w:rFonts w:ascii="Times New Roman" w:eastAsia="Calibri" w:hAnsi="Times New Roman" w:cs="Times New Roman"/>
          <w:sz w:val="24"/>
        </w:rPr>
        <w:t>pārtikas produktu ražošanā – izlaides apjomi pērn samazinājās par 2,0%,ko lielā mērā noteica piena produktu ražošanas kritums. Ražošanas apjomi 2018.gadā samazinājušies arī dzērienu ražošanā, iekārtu un ierīču remontā un uzstādīšanā, poligrāfijā un ierakstu reproducēšanā.</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Calibri" w:hAnsi="Times New Roman" w:cs="Times New Roman"/>
          <w:b/>
          <w:sz w:val="24"/>
        </w:rPr>
        <w:t xml:space="preserve">Tirdzniecības nozarē </w:t>
      </w:r>
      <w:r w:rsidRPr="00556C73">
        <w:rPr>
          <w:rFonts w:ascii="Times New Roman" w:eastAsia="Calibri" w:hAnsi="Times New Roman" w:cs="Times New Roman"/>
          <w:sz w:val="24"/>
        </w:rPr>
        <w:t xml:space="preserve">2018.gadā fiksēts tikai 2,1% pievienotās vērtības pieaugums. Mazumtirdzniecības attīstība 2018.gadā bija nedaudz vājāka nekā 2017.gadā, mazumtirdzniecības apgrozījumam palielinoties par 4,0%, kamēr 2017.gadā bija fiksēts 4,4% pieaugums. </w:t>
      </w:r>
      <w:r w:rsidRPr="00556C73">
        <w:rPr>
          <w:rFonts w:ascii="Times New Roman" w:eastAsia="Times New Roman" w:hAnsi="Times New Roman" w:cs="Times New Roman"/>
          <w:color w:val="000000"/>
          <w:sz w:val="24"/>
          <w:szCs w:val="23"/>
          <w:lang w:eastAsia="lv-LV"/>
        </w:rPr>
        <w:t>Mazumtirdzniecības pieaugumu 2018.gadā nodrošināja gan pārtikas preču apgrozījuma kāpums, gan augošie nepārtikas pārdošanas apjomi. Tirdzniecība pārtikas produktu veikalos 2018.gadā bija par 4,2% augstāka nekā pirms gada, savukārt kopējie nepārtikas preču pārdošanas apjomi bija palielinājušies par 3,8%. Straujāku nepārtikas preču mazumtirdzniecības pieaugumu pērn ierobežoja vājais degvielas tirdzniecības pieaugums,  tikai par 2,9%, salīdzinot ar 2017.gadu. Līdzīgi kā iepriekšējos gados, arī 2018.gadā mazumtirdzniecības pieaugumu noteica strādājošo reālās darba samaksas kāpums, kas pozitīvi ietekmēja iedzīvotāju pirktspēju un turpinās veicināt tirdzniecības pieaugumu arī šogad.</w:t>
      </w:r>
    </w:p>
    <w:p w:rsidR="00E53D87" w:rsidRPr="00556C73" w:rsidRDefault="00E53D87" w:rsidP="00E53D87">
      <w:pPr>
        <w:spacing w:after="0" w:line="240" w:lineRule="auto"/>
        <w:ind w:firstLine="720"/>
        <w:jc w:val="both"/>
        <w:rPr>
          <w:rFonts w:ascii="Times New Roman" w:eastAsia="Calibri" w:hAnsi="Times New Roman" w:cs="Times New Roman"/>
          <w:sz w:val="24"/>
          <w:szCs w:val="24"/>
        </w:rPr>
      </w:pPr>
      <w:r w:rsidRPr="00556C73">
        <w:rPr>
          <w:rFonts w:ascii="Times New Roman" w:eastAsia="Times New Roman" w:hAnsi="Times New Roman" w:cs="Times New Roman"/>
          <w:color w:val="000000"/>
          <w:sz w:val="24"/>
          <w:szCs w:val="23"/>
          <w:lang w:eastAsia="lv-LV"/>
        </w:rPr>
        <w:t xml:space="preserve">Turpinot samazināties nerezidentu apkalpošanai banku sektorā, </w:t>
      </w:r>
      <w:r w:rsidRPr="00556C73">
        <w:rPr>
          <w:rFonts w:ascii="Times New Roman" w:eastAsia="Times New Roman" w:hAnsi="Times New Roman" w:cs="Times New Roman"/>
          <w:b/>
          <w:color w:val="000000"/>
          <w:sz w:val="24"/>
          <w:szCs w:val="23"/>
          <w:lang w:eastAsia="lv-LV"/>
        </w:rPr>
        <w:t>finanšu un apdrošināšanas nozare</w:t>
      </w:r>
      <w:r w:rsidRPr="00556C73">
        <w:rPr>
          <w:rFonts w:ascii="Times New Roman" w:eastAsia="Times New Roman" w:hAnsi="Times New Roman" w:cs="Times New Roman"/>
          <w:color w:val="000000"/>
          <w:sz w:val="24"/>
          <w:szCs w:val="23"/>
          <w:lang w:eastAsia="lv-LV"/>
        </w:rPr>
        <w:t xml:space="preserve"> 2018.gadā samazinājās par 7,3%. Aplūkojot </w:t>
      </w:r>
      <w:r w:rsidRPr="00556C73">
        <w:rPr>
          <w:rFonts w:ascii="Times New Roman" w:eastAsia="Calibri" w:hAnsi="Times New Roman" w:cs="Times New Roman"/>
          <w:sz w:val="24"/>
        </w:rPr>
        <w:t xml:space="preserve">nozares attīstību, jānorāda, ka 2018.gadā tā piedzīvoja būtiskas pārmaiņas banku darbībā. Daļēji šīs pārmaiņas aizsākās jau 2016. un 2017.gadā un saistās ar riskantu nerezidentu čaulu kompāniju darbības ierobežošanu Latvijas banku tirgū. Absolūtos skaitļos Latvijas banku </w:t>
      </w:r>
      <w:r>
        <w:rPr>
          <w:rFonts w:ascii="Times New Roman" w:eastAsia="Calibri" w:hAnsi="Times New Roman" w:cs="Times New Roman"/>
          <w:sz w:val="24"/>
        </w:rPr>
        <w:t>kopējais aktīvu apjoms 2018.gada laikā</w:t>
      </w:r>
      <w:r w:rsidRPr="00556C73">
        <w:rPr>
          <w:rFonts w:ascii="Times New Roman" w:eastAsia="Calibri" w:hAnsi="Times New Roman" w:cs="Times New Roman"/>
          <w:sz w:val="24"/>
        </w:rPr>
        <w:t xml:space="preserve"> samazinājās par </w:t>
      </w:r>
      <w:r w:rsidRPr="00556C73">
        <w:rPr>
          <w:rFonts w:ascii="Times New Roman" w:eastAsia="Calibri" w:hAnsi="Times New Roman" w:cs="Times New Roman"/>
          <w:sz w:val="24"/>
          <w:szCs w:val="24"/>
        </w:rPr>
        <w:t xml:space="preserve">5,5 mljrd. </w:t>
      </w:r>
      <w:proofErr w:type="spellStart"/>
      <w:r w:rsidRPr="00556C73">
        <w:rPr>
          <w:rFonts w:ascii="Times New Roman" w:eastAsia="Calibri" w:hAnsi="Times New Roman" w:cs="Times New Roman"/>
          <w:i/>
          <w:sz w:val="24"/>
          <w:szCs w:val="24"/>
        </w:rPr>
        <w:t>euro</w:t>
      </w:r>
      <w:proofErr w:type="spellEnd"/>
      <w:r>
        <w:rPr>
          <w:rFonts w:ascii="Times New Roman" w:eastAsia="Calibri" w:hAnsi="Times New Roman" w:cs="Times New Roman"/>
          <w:sz w:val="24"/>
          <w:szCs w:val="24"/>
        </w:rPr>
        <w:t xml:space="preserve"> jeb 19,5% un </w:t>
      </w:r>
      <w:r w:rsidRPr="00556C73">
        <w:rPr>
          <w:rFonts w:ascii="Times New Roman" w:eastAsia="Calibri" w:hAnsi="Times New Roman" w:cs="Times New Roman"/>
          <w:sz w:val="24"/>
          <w:szCs w:val="24"/>
        </w:rPr>
        <w:t xml:space="preserve">nerezidentu noguldījumu apjoms saruka par 4,7 mljrd. </w:t>
      </w:r>
      <w:proofErr w:type="spellStart"/>
      <w:r w:rsidRPr="00556C73">
        <w:rPr>
          <w:rFonts w:ascii="Times New Roman" w:eastAsia="Calibri" w:hAnsi="Times New Roman" w:cs="Times New Roman"/>
          <w:i/>
          <w:sz w:val="24"/>
          <w:szCs w:val="24"/>
        </w:rPr>
        <w:t>euro</w:t>
      </w:r>
      <w:proofErr w:type="spellEnd"/>
      <w:r w:rsidRPr="00556C73">
        <w:rPr>
          <w:rFonts w:ascii="Times New Roman" w:eastAsia="Calibri" w:hAnsi="Times New Roman" w:cs="Times New Roman"/>
          <w:i/>
          <w:sz w:val="24"/>
          <w:szCs w:val="24"/>
        </w:rPr>
        <w:t xml:space="preserve">. </w:t>
      </w:r>
      <w:r w:rsidRPr="00556C73">
        <w:rPr>
          <w:rFonts w:ascii="Times New Roman" w:eastAsia="Calibri" w:hAnsi="Times New Roman" w:cs="Times New Roman"/>
          <w:sz w:val="24"/>
          <w:szCs w:val="24"/>
        </w:rPr>
        <w:t xml:space="preserve">Šāds būtisks kritums bija saistīts arī ar trešās lielākās Latvijas komercbankas </w:t>
      </w:r>
      <w:r w:rsidRPr="00556C73">
        <w:rPr>
          <w:rFonts w:ascii="Times New Roman" w:eastAsia="Calibri" w:hAnsi="Times New Roman" w:cs="Times New Roman"/>
          <w:i/>
          <w:sz w:val="24"/>
          <w:szCs w:val="24"/>
        </w:rPr>
        <w:t xml:space="preserve">ABLV </w:t>
      </w:r>
      <w:proofErr w:type="spellStart"/>
      <w:r w:rsidRPr="00556C73">
        <w:rPr>
          <w:rFonts w:ascii="Times New Roman" w:eastAsia="Calibri" w:hAnsi="Times New Roman" w:cs="Times New Roman"/>
          <w:i/>
          <w:sz w:val="24"/>
          <w:szCs w:val="24"/>
        </w:rPr>
        <w:t>bank</w:t>
      </w:r>
      <w:proofErr w:type="spellEnd"/>
      <w:r w:rsidRPr="00556C73">
        <w:rPr>
          <w:rFonts w:ascii="Times New Roman" w:eastAsia="Calibri" w:hAnsi="Times New Roman" w:cs="Times New Roman"/>
          <w:sz w:val="24"/>
          <w:szCs w:val="24"/>
        </w:rPr>
        <w:t xml:space="preserve"> licences anulēšanu un pašlikvidācijas sākšanu, kam par iemeslu kalpoja </w:t>
      </w:r>
      <w:r w:rsidRPr="00556C73">
        <w:rPr>
          <w:rFonts w:ascii="Times New Roman" w:eastAsia="Calibri" w:hAnsi="Times New Roman" w:cs="Times New Roman"/>
          <w:color w:val="000000"/>
          <w:sz w:val="24"/>
          <w:szCs w:val="24"/>
          <w:shd w:val="clear" w:color="auto" w:fill="FFFFFF"/>
        </w:rPr>
        <w:t>2018.gada 13.</w:t>
      </w:r>
      <w:r w:rsidR="009F516D">
        <w:rPr>
          <w:rFonts w:ascii="Times New Roman" w:eastAsia="Calibri" w:hAnsi="Times New Roman" w:cs="Times New Roman"/>
          <w:sz w:val="24"/>
          <w:szCs w:val="24"/>
          <w:shd w:val="clear" w:color="auto" w:fill="FFFFFF"/>
        </w:rPr>
        <w:t xml:space="preserve">februārī </w:t>
      </w:r>
      <w:r w:rsidRPr="00556C73">
        <w:rPr>
          <w:rFonts w:ascii="Times New Roman" w:eastAsia="Calibri" w:hAnsi="Times New Roman" w:cs="Times New Roman"/>
          <w:sz w:val="24"/>
          <w:szCs w:val="24"/>
          <w:shd w:val="clear" w:color="auto" w:fill="FFFFFF"/>
        </w:rPr>
        <w:t>ASV F</w:t>
      </w:r>
      <w:r w:rsidR="009F516D">
        <w:rPr>
          <w:rFonts w:ascii="Times New Roman" w:eastAsia="Calibri" w:hAnsi="Times New Roman" w:cs="Times New Roman"/>
          <w:sz w:val="24"/>
          <w:szCs w:val="24"/>
          <w:shd w:val="clear" w:color="auto" w:fill="FFFFFF"/>
        </w:rPr>
        <w:t xml:space="preserve">M </w:t>
      </w:r>
      <w:r w:rsidRPr="00556C73">
        <w:rPr>
          <w:rFonts w:ascii="Times New Roman" w:eastAsia="Calibri" w:hAnsi="Times New Roman" w:cs="Times New Roman"/>
          <w:sz w:val="24"/>
          <w:szCs w:val="24"/>
          <w:shd w:val="clear" w:color="auto" w:fill="FFFFFF"/>
        </w:rPr>
        <w:t>Finanšu noziegumu apkarošanas institūcijas ierosinājums noteikt sankcijas</w:t>
      </w:r>
      <w:r w:rsidR="009F516D">
        <w:rPr>
          <w:rFonts w:ascii="Times New Roman" w:eastAsia="Calibri" w:hAnsi="Times New Roman" w:cs="Times New Roman"/>
          <w:sz w:val="24"/>
          <w:szCs w:val="24"/>
          <w:shd w:val="clear" w:color="auto" w:fill="FFFFFF"/>
        </w:rPr>
        <w:t xml:space="preserve"> </w:t>
      </w:r>
      <w:r w:rsidRPr="00556C73">
        <w:rPr>
          <w:rFonts w:ascii="Times New Roman" w:eastAsia="Calibri" w:hAnsi="Times New Roman" w:cs="Times New Roman"/>
          <w:i/>
          <w:iCs/>
          <w:sz w:val="24"/>
          <w:szCs w:val="24"/>
          <w:shd w:val="clear" w:color="auto" w:fill="FFFFFF"/>
        </w:rPr>
        <w:t xml:space="preserve">ABLV </w:t>
      </w:r>
      <w:proofErr w:type="spellStart"/>
      <w:r w:rsidRPr="00556C73">
        <w:rPr>
          <w:rFonts w:ascii="Times New Roman" w:eastAsia="Calibri" w:hAnsi="Times New Roman" w:cs="Times New Roman"/>
          <w:i/>
          <w:iCs/>
          <w:sz w:val="24"/>
          <w:szCs w:val="24"/>
          <w:shd w:val="clear" w:color="auto" w:fill="FFFFFF"/>
        </w:rPr>
        <w:t>Bank</w:t>
      </w:r>
      <w:proofErr w:type="spellEnd"/>
      <w:r w:rsidRPr="00556C73">
        <w:rPr>
          <w:rFonts w:ascii="Times New Roman" w:eastAsia="Calibri" w:hAnsi="Times New Roman" w:cs="Times New Roman"/>
          <w:sz w:val="24"/>
          <w:szCs w:val="24"/>
          <w:shd w:val="clear" w:color="auto" w:fill="FFFFFF"/>
        </w:rPr>
        <w:t>.</w:t>
      </w:r>
      <w:r w:rsidRPr="00556C73">
        <w:rPr>
          <w:rFonts w:ascii="Times New Roman" w:eastAsia="Calibri" w:hAnsi="Times New Roman" w:cs="Times New Roman"/>
          <w:i/>
          <w:sz w:val="24"/>
          <w:szCs w:val="24"/>
        </w:rPr>
        <w:t xml:space="preserve"> </w:t>
      </w:r>
      <w:r w:rsidRPr="00556C73">
        <w:rPr>
          <w:rFonts w:ascii="Times New Roman" w:eastAsia="Calibri" w:hAnsi="Times New Roman" w:cs="Times New Roman"/>
          <w:sz w:val="24"/>
          <w:szCs w:val="24"/>
        </w:rPr>
        <w:t xml:space="preserve">Vienlaicīgi jāatzīmē, ka rezidentu noguldījumu apjoms 2018.gadā turpināja pieaugt un gada griezumā pieauga par 805,5 milj. </w:t>
      </w:r>
      <w:proofErr w:type="spellStart"/>
      <w:r w:rsidRPr="00556C73">
        <w:rPr>
          <w:rFonts w:ascii="Times New Roman" w:eastAsia="Calibri" w:hAnsi="Times New Roman" w:cs="Times New Roman"/>
          <w:i/>
          <w:sz w:val="24"/>
          <w:szCs w:val="24"/>
        </w:rPr>
        <w:t>euro</w:t>
      </w:r>
      <w:proofErr w:type="spellEnd"/>
      <w:r w:rsidRPr="00556C73">
        <w:rPr>
          <w:rFonts w:ascii="Times New Roman" w:eastAsia="Calibri" w:hAnsi="Times New Roman" w:cs="Times New Roman"/>
          <w:i/>
          <w:sz w:val="24"/>
          <w:szCs w:val="24"/>
        </w:rPr>
        <w:t xml:space="preserve"> </w:t>
      </w:r>
      <w:r w:rsidRPr="00556C73">
        <w:rPr>
          <w:rFonts w:ascii="Times New Roman" w:eastAsia="Calibri" w:hAnsi="Times New Roman" w:cs="Times New Roman"/>
          <w:sz w:val="24"/>
          <w:szCs w:val="24"/>
        </w:rPr>
        <w:t>jeb 6,6%.</w:t>
      </w:r>
    </w:p>
    <w:p w:rsidR="00E53D87" w:rsidRPr="00556C73" w:rsidRDefault="00E53D87" w:rsidP="00E53D87">
      <w:pPr>
        <w:autoSpaceDE w:val="0"/>
        <w:autoSpaceDN w:val="0"/>
        <w:adjustRightInd w:val="0"/>
        <w:spacing w:after="0" w:line="240" w:lineRule="auto"/>
        <w:ind w:firstLine="720"/>
        <w:jc w:val="both"/>
        <w:rPr>
          <w:rFonts w:ascii="Times New Roman" w:eastAsia="Calibri" w:hAnsi="Times New Roman" w:cs="Times New Roman"/>
          <w:sz w:val="24"/>
          <w:szCs w:val="24"/>
        </w:rPr>
      </w:pPr>
      <w:r w:rsidRPr="00556C73">
        <w:rPr>
          <w:rFonts w:ascii="Times New Roman" w:eastAsia="Calibri" w:hAnsi="Times New Roman" w:cs="Times New Roman"/>
          <w:sz w:val="24"/>
          <w:szCs w:val="24"/>
        </w:rPr>
        <w:t xml:space="preserve">Latvijas privāto </w:t>
      </w:r>
      <w:proofErr w:type="spellStart"/>
      <w:r w:rsidRPr="00556C73">
        <w:rPr>
          <w:rFonts w:ascii="Times New Roman" w:eastAsia="Calibri" w:hAnsi="Times New Roman" w:cs="Times New Roman"/>
          <w:sz w:val="24"/>
          <w:szCs w:val="24"/>
        </w:rPr>
        <w:t>nefinanšu</w:t>
      </w:r>
      <w:proofErr w:type="spellEnd"/>
      <w:r w:rsidRPr="00556C73">
        <w:rPr>
          <w:rFonts w:ascii="Times New Roman" w:eastAsia="Calibri" w:hAnsi="Times New Roman" w:cs="Times New Roman"/>
          <w:sz w:val="24"/>
          <w:szCs w:val="24"/>
        </w:rPr>
        <w:t xml:space="preserve"> sabiedrību un mājsaimniecību kreditēšana pēdējos gados ir bijusi diezgan gausa. Lai gan kopējais </w:t>
      </w:r>
      <w:proofErr w:type="spellStart"/>
      <w:r w:rsidRPr="00556C73">
        <w:rPr>
          <w:rFonts w:ascii="Times New Roman" w:eastAsia="Calibri" w:hAnsi="Times New Roman" w:cs="Times New Roman"/>
          <w:sz w:val="24"/>
          <w:szCs w:val="24"/>
        </w:rPr>
        <w:t>jaunizsniegto</w:t>
      </w:r>
      <w:proofErr w:type="spellEnd"/>
      <w:r w:rsidRPr="00556C73">
        <w:rPr>
          <w:rFonts w:ascii="Times New Roman" w:eastAsia="Calibri" w:hAnsi="Times New Roman" w:cs="Times New Roman"/>
          <w:sz w:val="24"/>
          <w:szCs w:val="24"/>
        </w:rPr>
        <w:t xml:space="preserve"> kredītu apjoms pēdējos 4 gados Latvijas mājsaimniecībām mājokļa iegādei nedaudz palielinās, tomēr agrāk izsniegto, bet dzēsto kredītu apjoms bija straujāks par </w:t>
      </w:r>
      <w:proofErr w:type="spellStart"/>
      <w:r w:rsidRPr="00556C73">
        <w:rPr>
          <w:rFonts w:ascii="Times New Roman" w:eastAsia="Calibri" w:hAnsi="Times New Roman" w:cs="Times New Roman"/>
          <w:sz w:val="24"/>
          <w:szCs w:val="24"/>
        </w:rPr>
        <w:t>jaunizsniegto</w:t>
      </w:r>
      <w:proofErr w:type="spellEnd"/>
      <w:r w:rsidRPr="00556C73">
        <w:rPr>
          <w:rFonts w:ascii="Times New Roman" w:eastAsia="Calibri" w:hAnsi="Times New Roman" w:cs="Times New Roman"/>
          <w:sz w:val="24"/>
          <w:szCs w:val="24"/>
        </w:rPr>
        <w:t xml:space="preserve"> kredītu apjomu. Šāda tendence mājokļu kreditēšanas segmentā saglabājās aptuveni 10 gadus līdz 2018.gada vidum, kad no izsniegto kredītu absolūtā maksimuma 7,2 mljrd. </w:t>
      </w:r>
      <w:proofErr w:type="spellStart"/>
      <w:r w:rsidRPr="00556C73">
        <w:rPr>
          <w:rFonts w:ascii="Times New Roman" w:eastAsia="Calibri" w:hAnsi="Times New Roman" w:cs="Times New Roman"/>
          <w:i/>
          <w:sz w:val="24"/>
          <w:szCs w:val="24"/>
        </w:rPr>
        <w:t>euro</w:t>
      </w:r>
      <w:proofErr w:type="spellEnd"/>
      <w:r>
        <w:rPr>
          <w:rFonts w:ascii="Times New Roman" w:eastAsia="Calibri" w:hAnsi="Times New Roman" w:cs="Times New Roman"/>
          <w:sz w:val="24"/>
          <w:szCs w:val="24"/>
        </w:rPr>
        <w:t xml:space="preserve"> apmērā 2008.</w:t>
      </w:r>
      <w:r w:rsidRPr="00556C73">
        <w:rPr>
          <w:rFonts w:ascii="Times New Roman" w:eastAsia="Calibri" w:hAnsi="Times New Roman" w:cs="Times New Roman"/>
          <w:sz w:val="24"/>
          <w:szCs w:val="24"/>
        </w:rPr>
        <w:t xml:space="preserve">gadā, pārvarot finanšu krīzi kopējais rezidentu </w:t>
      </w:r>
      <w:r w:rsidRPr="00556C73">
        <w:rPr>
          <w:rFonts w:ascii="Times New Roman" w:eastAsia="Calibri" w:hAnsi="Times New Roman" w:cs="Times New Roman"/>
          <w:sz w:val="24"/>
          <w:szCs w:val="24"/>
        </w:rPr>
        <w:lastRenderedPageBreak/>
        <w:t xml:space="preserve">mājokļu kredītu apjoms samazinājās līdz 4,1 mljrd. </w:t>
      </w:r>
      <w:proofErr w:type="spellStart"/>
      <w:r w:rsidRPr="00556C73">
        <w:rPr>
          <w:rFonts w:ascii="Times New Roman" w:eastAsia="Calibri" w:hAnsi="Times New Roman" w:cs="Times New Roman"/>
          <w:i/>
          <w:sz w:val="24"/>
          <w:szCs w:val="24"/>
        </w:rPr>
        <w:t>euro</w:t>
      </w:r>
      <w:proofErr w:type="spellEnd"/>
      <w:r w:rsidRPr="00556C73">
        <w:rPr>
          <w:rFonts w:ascii="Times New Roman" w:eastAsia="Calibri" w:hAnsi="Times New Roman" w:cs="Times New Roman"/>
          <w:sz w:val="24"/>
          <w:szCs w:val="24"/>
        </w:rPr>
        <w:t xml:space="preserve"> 2018.gada vidū, kad no rādītājiem tika izslēgta </w:t>
      </w:r>
      <w:r w:rsidRPr="00556C73">
        <w:rPr>
          <w:rFonts w:ascii="Times New Roman" w:eastAsia="Calibri" w:hAnsi="Times New Roman" w:cs="Times New Roman"/>
          <w:i/>
          <w:sz w:val="24"/>
          <w:szCs w:val="24"/>
        </w:rPr>
        <w:t xml:space="preserve">ABLV </w:t>
      </w:r>
      <w:proofErr w:type="spellStart"/>
      <w:r w:rsidRPr="00556C73">
        <w:rPr>
          <w:rFonts w:ascii="Times New Roman" w:eastAsia="Calibri" w:hAnsi="Times New Roman" w:cs="Times New Roman"/>
          <w:i/>
          <w:sz w:val="24"/>
          <w:szCs w:val="24"/>
        </w:rPr>
        <w:t>Bank</w:t>
      </w:r>
      <w:proofErr w:type="spellEnd"/>
      <w:r w:rsidRPr="00556C73">
        <w:rPr>
          <w:rFonts w:ascii="Times New Roman" w:eastAsia="Calibri" w:hAnsi="Times New Roman" w:cs="Times New Roman"/>
          <w:sz w:val="24"/>
          <w:szCs w:val="24"/>
        </w:rPr>
        <w:t xml:space="preserve">. 2018.gada </w:t>
      </w:r>
      <w:r>
        <w:rPr>
          <w:rFonts w:ascii="Times New Roman" w:eastAsia="Calibri" w:hAnsi="Times New Roman" w:cs="Times New Roman"/>
          <w:sz w:val="24"/>
          <w:szCs w:val="24"/>
        </w:rPr>
        <w:t>otrās puses</w:t>
      </w:r>
      <w:r w:rsidRPr="00556C73">
        <w:rPr>
          <w:rFonts w:ascii="Times New Roman" w:eastAsia="Calibri" w:hAnsi="Times New Roman" w:cs="Times New Roman"/>
          <w:sz w:val="24"/>
          <w:szCs w:val="24"/>
        </w:rPr>
        <w:t xml:space="preserve"> dati liecina, ka kopš 2018.gada a</w:t>
      </w:r>
      <w:r>
        <w:rPr>
          <w:rFonts w:ascii="Times New Roman" w:eastAsia="Calibri" w:hAnsi="Times New Roman" w:cs="Times New Roman"/>
          <w:sz w:val="24"/>
          <w:szCs w:val="24"/>
        </w:rPr>
        <w:t xml:space="preserve">ugusta ir sākusies ļoti neliela šī sektora </w:t>
      </w:r>
      <w:r w:rsidRPr="00556C73">
        <w:rPr>
          <w:rFonts w:ascii="Times New Roman" w:eastAsia="Calibri" w:hAnsi="Times New Roman" w:cs="Times New Roman"/>
          <w:sz w:val="24"/>
          <w:szCs w:val="24"/>
        </w:rPr>
        <w:t xml:space="preserve">augšupeja. Vienlaicīgi jāatzīmē, ka Latvijas finanšu institūcijas ALTUM garantēto kredītu daļa kopējo </w:t>
      </w:r>
      <w:proofErr w:type="spellStart"/>
      <w:r w:rsidRPr="00556C73">
        <w:rPr>
          <w:rFonts w:ascii="Times New Roman" w:eastAsia="Calibri" w:hAnsi="Times New Roman" w:cs="Times New Roman"/>
          <w:sz w:val="24"/>
          <w:szCs w:val="24"/>
        </w:rPr>
        <w:t>jaunizsniegto</w:t>
      </w:r>
      <w:proofErr w:type="spellEnd"/>
      <w:r w:rsidRPr="00556C73">
        <w:rPr>
          <w:rFonts w:ascii="Times New Roman" w:eastAsia="Calibri" w:hAnsi="Times New Roman" w:cs="Times New Roman"/>
          <w:sz w:val="24"/>
          <w:szCs w:val="24"/>
        </w:rPr>
        <w:t xml:space="preserve"> mājokļu kredītu segmentā ir palielinājusies no 19,1% 2015.gadā līdz 44,6% 2018.gadā, kas daļēji saistīts ar 2018.gadā uzsākto jauno spe</w:t>
      </w:r>
      <w:r>
        <w:rPr>
          <w:rFonts w:ascii="Times New Roman" w:eastAsia="Calibri" w:hAnsi="Times New Roman" w:cs="Times New Roman"/>
          <w:sz w:val="24"/>
          <w:szCs w:val="24"/>
        </w:rPr>
        <w:t>ciālistu kreditēšanas programmu, kas papildināja jau pirms tam uzsākto kreditēšanas programmu ģimenēm ar bērniem.</w:t>
      </w:r>
    </w:p>
    <w:p w:rsidR="00E53D87" w:rsidRPr="00556C73" w:rsidRDefault="00E53D87" w:rsidP="00E53D87">
      <w:pPr>
        <w:autoSpaceDE w:val="0"/>
        <w:autoSpaceDN w:val="0"/>
        <w:adjustRightInd w:val="0"/>
        <w:spacing w:after="0" w:line="240" w:lineRule="auto"/>
        <w:ind w:firstLine="720"/>
        <w:jc w:val="both"/>
        <w:rPr>
          <w:rFonts w:ascii="Times New Roman" w:eastAsia="Calibri" w:hAnsi="Times New Roman" w:cs="Times New Roman"/>
          <w:sz w:val="24"/>
          <w:szCs w:val="24"/>
        </w:rPr>
      </w:pPr>
      <w:r w:rsidRPr="00556C73">
        <w:rPr>
          <w:rFonts w:ascii="Times New Roman" w:eastAsia="Calibri" w:hAnsi="Times New Roman" w:cs="Times New Roman"/>
          <w:sz w:val="24"/>
          <w:szCs w:val="24"/>
        </w:rPr>
        <w:t xml:space="preserve">Attiecībā uz privāto </w:t>
      </w:r>
      <w:proofErr w:type="spellStart"/>
      <w:r w:rsidRPr="00556C73">
        <w:rPr>
          <w:rFonts w:ascii="Times New Roman" w:eastAsia="Calibri" w:hAnsi="Times New Roman" w:cs="Times New Roman"/>
          <w:sz w:val="24"/>
          <w:szCs w:val="24"/>
        </w:rPr>
        <w:t>nefinanšu</w:t>
      </w:r>
      <w:proofErr w:type="spellEnd"/>
      <w:r w:rsidRPr="00556C73">
        <w:rPr>
          <w:rFonts w:ascii="Times New Roman" w:eastAsia="Calibri" w:hAnsi="Times New Roman" w:cs="Times New Roman"/>
          <w:sz w:val="24"/>
          <w:szCs w:val="24"/>
        </w:rPr>
        <w:t xml:space="preserve"> sabiedrību kreditēšanu tendence saglabājas lejupvērsta arī 2018.gadā un 2019.gada sākumā.</w:t>
      </w:r>
    </w:p>
    <w:p w:rsidR="00E53D87" w:rsidRPr="00556C73" w:rsidRDefault="00E53D87" w:rsidP="00E53D87">
      <w:pPr>
        <w:autoSpaceDE w:val="0"/>
        <w:autoSpaceDN w:val="0"/>
        <w:adjustRightInd w:val="0"/>
        <w:spacing w:after="0" w:line="240" w:lineRule="auto"/>
        <w:ind w:firstLine="720"/>
        <w:jc w:val="both"/>
        <w:rPr>
          <w:rFonts w:ascii="Times New Roman" w:eastAsia="Calibri" w:hAnsi="Times New Roman" w:cs="Times New Roman"/>
          <w:sz w:val="24"/>
          <w:szCs w:val="24"/>
        </w:rPr>
      </w:pPr>
    </w:p>
    <w:p w:rsidR="00E53D87" w:rsidRDefault="00E53D87" w:rsidP="00E53D87">
      <w:pPr>
        <w:autoSpaceDE w:val="0"/>
        <w:autoSpaceDN w:val="0"/>
        <w:adjustRightInd w:val="0"/>
        <w:spacing w:after="0" w:line="240" w:lineRule="auto"/>
        <w:jc w:val="center"/>
        <w:rPr>
          <w:rFonts w:ascii="Times New Roman" w:eastAsia="Times New Roman" w:hAnsi="Times New Roman" w:cs="Times New Roman"/>
          <w:b/>
          <w:color w:val="000000"/>
          <w:sz w:val="24"/>
          <w:szCs w:val="23"/>
          <w:lang w:eastAsia="lv-LV"/>
        </w:rPr>
      </w:pPr>
      <w:r w:rsidRPr="00556C73">
        <w:rPr>
          <w:rFonts w:ascii="Times New Roman" w:eastAsia="Calibri" w:hAnsi="Times New Roman" w:cs="Times New Roman"/>
          <w:noProof/>
          <w:sz w:val="24"/>
          <w:lang w:eastAsia="lv-LV"/>
        </w:rPr>
        <w:drawing>
          <wp:inline distT="0" distB="0" distL="0" distR="0" wp14:anchorId="6530914F" wp14:editId="134378AA">
            <wp:extent cx="6010275" cy="3004185"/>
            <wp:effectExtent l="0" t="0" r="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3D87" w:rsidRDefault="00E53D87" w:rsidP="00E53D87">
      <w:pPr>
        <w:autoSpaceDE w:val="0"/>
        <w:autoSpaceDN w:val="0"/>
        <w:adjustRightInd w:val="0"/>
        <w:spacing w:after="120" w:line="240" w:lineRule="auto"/>
        <w:ind w:firstLine="720"/>
        <w:jc w:val="both"/>
        <w:rPr>
          <w:rFonts w:ascii="Times New Roman" w:eastAsia="Calibri" w:hAnsi="Times New Roman" w:cs="Times New Roman"/>
          <w:i/>
          <w:sz w:val="18"/>
          <w:szCs w:val="18"/>
        </w:rPr>
      </w:pPr>
      <w:r w:rsidRPr="00451F9F">
        <w:rPr>
          <w:rFonts w:ascii="Times New Roman" w:eastAsia="Calibri" w:hAnsi="Times New Roman" w:cs="Times New Roman"/>
          <w:i/>
          <w:sz w:val="18"/>
          <w:szCs w:val="18"/>
        </w:rPr>
        <w:t>Datu avots: Latvijas Banka</w:t>
      </w:r>
    </w:p>
    <w:p w:rsidR="00E53D87" w:rsidRPr="00556C73" w:rsidRDefault="00E53D87" w:rsidP="00E53D87">
      <w:pPr>
        <w:autoSpaceDE w:val="0"/>
        <w:autoSpaceDN w:val="0"/>
        <w:adjustRightInd w:val="0"/>
        <w:spacing w:after="0" w:line="240" w:lineRule="auto"/>
        <w:jc w:val="center"/>
        <w:rPr>
          <w:rFonts w:ascii="Times New Roman" w:eastAsia="Calibri" w:hAnsi="Times New Roman" w:cs="Times New Roman"/>
          <w:b/>
          <w:color w:val="000000"/>
          <w:sz w:val="24"/>
          <w:szCs w:val="23"/>
        </w:rPr>
      </w:pPr>
      <w:r>
        <w:rPr>
          <w:rFonts w:ascii="Times New Roman" w:eastAsia="Times New Roman" w:hAnsi="Times New Roman" w:cs="Times New Roman"/>
          <w:b/>
          <w:color w:val="000000"/>
          <w:sz w:val="24"/>
          <w:szCs w:val="23"/>
          <w:lang w:eastAsia="lv-LV"/>
        </w:rPr>
        <w:t>2.3.</w:t>
      </w:r>
      <w:r w:rsidRPr="00556C73">
        <w:rPr>
          <w:rFonts w:ascii="Times New Roman" w:eastAsia="Times New Roman" w:hAnsi="Times New Roman" w:cs="Times New Roman"/>
          <w:b/>
          <w:color w:val="000000"/>
          <w:sz w:val="24"/>
          <w:szCs w:val="23"/>
          <w:lang w:eastAsia="lv-LV"/>
        </w:rPr>
        <w:t xml:space="preserve"> attēls. </w:t>
      </w:r>
      <w:r w:rsidRPr="00556C73">
        <w:rPr>
          <w:rFonts w:ascii="Times New Roman" w:eastAsia="Times New Roman" w:hAnsi="Times New Roman" w:cs="Times New Roman"/>
          <w:b/>
          <w:color w:val="000000"/>
          <w:sz w:val="24"/>
          <w:szCs w:val="23"/>
        </w:rPr>
        <w:t>Kredīti rezidentiem 1997.</w:t>
      </w:r>
      <w:r w:rsidR="002B1A2C" w:rsidRPr="009B0F5F">
        <w:rPr>
          <w:rFonts w:ascii="Times New Roman" w:eastAsia="Times New Roman" w:hAnsi="Times New Roman" w:cs="Times New Roman"/>
          <w:noProof/>
          <w:color w:val="000000"/>
          <w:sz w:val="24"/>
          <w:szCs w:val="24"/>
        </w:rPr>
        <w:t xml:space="preserve"> – </w:t>
      </w:r>
      <w:r w:rsidRPr="00556C73">
        <w:rPr>
          <w:rFonts w:ascii="Times New Roman" w:eastAsia="Times New Roman" w:hAnsi="Times New Roman" w:cs="Times New Roman"/>
          <w:b/>
          <w:color w:val="000000"/>
          <w:sz w:val="24"/>
          <w:szCs w:val="23"/>
        </w:rPr>
        <w:t xml:space="preserve">2018.gadā, milj. </w:t>
      </w:r>
      <w:proofErr w:type="spellStart"/>
      <w:r w:rsidRPr="00556C73">
        <w:rPr>
          <w:rFonts w:ascii="Times New Roman" w:eastAsia="Times New Roman" w:hAnsi="Times New Roman" w:cs="Times New Roman"/>
          <w:b/>
          <w:i/>
          <w:iCs/>
          <w:color w:val="000000"/>
          <w:sz w:val="24"/>
          <w:szCs w:val="23"/>
        </w:rPr>
        <w:t>euro</w:t>
      </w:r>
      <w:proofErr w:type="spellEnd"/>
    </w:p>
    <w:p w:rsidR="00E53D87" w:rsidRPr="00451F9F" w:rsidRDefault="00E53D87" w:rsidP="00E53D87">
      <w:pPr>
        <w:autoSpaceDE w:val="0"/>
        <w:autoSpaceDN w:val="0"/>
        <w:adjustRightInd w:val="0"/>
        <w:spacing w:after="0" w:line="240" w:lineRule="auto"/>
        <w:ind w:firstLine="720"/>
        <w:jc w:val="both"/>
        <w:rPr>
          <w:rFonts w:ascii="Times New Roman" w:eastAsia="Calibri" w:hAnsi="Times New Roman" w:cs="Times New Roman"/>
          <w:i/>
          <w:sz w:val="18"/>
          <w:szCs w:val="18"/>
        </w:rPr>
      </w:pPr>
    </w:p>
    <w:p w:rsidR="00E53D87" w:rsidRPr="00556C73" w:rsidRDefault="00E53D87" w:rsidP="00E53D87">
      <w:pPr>
        <w:autoSpaceDE w:val="0"/>
        <w:autoSpaceDN w:val="0"/>
        <w:adjustRightInd w:val="0"/>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Jāatzīmē, ka kopš 2019.</w:t>
      </w:r>
      <w:r w:rsidRPr="00556C73">
        <w:rPr>
          <w:rFonts w:ascii="Times New Roman" w:eastAsia="Calibri" w:hAnsi="Times New Roman" w:cs="Times New Roman"/>
          <w:sz w:val="24"/>
          <w:szCs w:val="24"/>
        </w:rPr>
        <w:t>gada sākuma vairums banku Latvijā strādā saskaņā ar jaunajiem biznesa modeļiem, kurus uzrauga Finanšu un kapitāla tirgus komisija.</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Calibri" w:hAnsi="Times New Roman" w:cs="Times New Roman"/>
          <w:b/>
          <w:sz w:val="24"/>
        </w:rPr>
        <w:t>Lauksaimniecības nozare</w:t>
      </w:r>
      <w:r w:rsidRPr="00556C73">
        <w:rPr>
          <w:rFonts w:ascii="Times New Roman" w:eastAsia="Calibri" w:hAnsi="Times New Roman" w:cs="Times New Roman"/>
          <w:sz w:val="24"/>
        </w:rPr>
        <w:t xml:space="preserve"> (ieskaitot lauksaimniecību, mežsaimniecību un zivsaimniecību), 2018.gadā pieauga par 3,4%, ko noteica mežsaimniecības un mežizstrādes spēcīgā izaugsme par 21%. Tajā pašā laikā lauksaimniecības nozarē atsevišķi bijis kritums par 12%, tajā skaitā augkopības nozarē par 21%, ko būtiski ietekmēja laika apstākļi un </w:t>
      </w:r>
      <w:r>
        <w:rPr>
          <w:rFonts w:ascii="Times New Roman" w:eastAsia="Calibri" w:hAnsi="Times New Roman" w:cs="Times New Roman"/>
          <w:sz w:val="24"/>
        </w:rPr>
        <w:t>sliktā</w:t>
      </w:r>
      <w:r w:rsidRPr="00556C73">
        <w:rPr>
          <w:rFonts w:ascii="Times New Roman" w:eastAsia="Calibri" w:hAnsi="Times New Roman" w:cs="Times New Roman"/>
          <w:sz w:val="24"/>
        </w:rPr>
        <w:t xml:space="preserve"> graudu raža, kas bija par 24% </w:t>
      </w:r>
      <w:r>
        <w:rPr>
          <w:rFonts w:ascii="Times New Roman" w:eastAsia="Calibri" w:hAnsi="Times New Roman" w:cs="Times New Roman"/>
          <w:sz w:val="24"/>
        </w:rPr>
        <w:t>zemāka</w:t>
      </w:r>
      <w:r w:rsidRPr="00556C73">
        <w:rPr>
          <w:rFonts w:ascii="Times New Roman" w:eastAsia="Calibri" w:hAnsi="Times New Roman" w:cs="Times New Roman"/>
          <w:sz w:val="24"/>
        </w:rPr>
        <w:t xml:space="preserve"> nekā 2017.gadā. Lopkopības nozare savukārt saglabājās 2017.gada līmenī, samazinoties tikai par 0,3%. </w:t>
      </w:r>
      <w:r w:rsidRPr="00556C73">
        <w:rPr>
          <w:rFonts w:ascii="Open Sans" w:eastAsia="Calibri" w:hAnsi="Open Sans" w:cs="Arial"/>
          <w:sz w:val="23"/>
          <w:szCs w:val="23"/>
        </w:rPr>
        <w:t>Zivsaimniecības nozares pievienotā vērtī</w:t>
      </w:r>
      <w:r>
        <w:rPr>
          <w:rFonts w:ascii="Open Sans" w:eastAsia="Calibri" w:hAnsi="Open Sans" w:cs="Arial"/>
          <w:sz w:val="23"/>
          <w:szCs w:val="23"/>
        </w:rPr>
        <w:t>ba 2018.gadā palielinājās par 5</w:t>
      </w:r>
      <w:r w:rsidRPr="00556C73">
        <w:rPr>
          <w:rFonts w:ascii="Open Sans" w:eastAsia="Calibri" w:hAnsi="Open Sans" w:cs="Arial"/>
          <w:sz w:val="23"/>
          <w:szCs w:val="23"/>
        </w:rPr>
        <w:t>%.</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b/>
          <w:color w:val="000000"/>
          <w:sz w:val="24"/>
          <w:szCs w:val="23"/>
          <w:lang w:eastAsia="lv-LV"/>
        </w:rPr>
        <w:t>Patēriņa cenu kāpums</w:t>
      </w:r>
      <w:r w:rsidRPr="00556C73">
        <w:rPr>
          <w:rFonts w:ascii="Times New Roman" w:eastAsia="Times New Roman" w:hAnsi="Times New Roman" w:cs="Times New Roman"/>
          <w:color w:val="000000"/>
          <w:sz w:val="24"/>
          <w:szCs w:val="23"/>
          <w:lang w:eastAsia="lv-LV"/>
        </w:rPr>
        <w:t xml:space="preserve"> 2017. un 2018.gadā Latvijā būtiski palielinājies salīdzinājumā ar iepriekšējiem gadiem, kad inflācija bija tuvu nullei. Patēriņa cenu kāpumu noteica gan ārējie faktori jeb energoresursu un pārtikas cenu pieaugums pasaules biržās, gan Latvijas tautsaimniecībā notiekošie makroekonomiskie procesi. Tā Latvijas ekonomiskās izaugsmes paātrināšanās pēdējos divos gados labvēlīgi ietekmēja nodarbinātību un darba samaksas kāpumu, tādējādi pakāpeniski pieauga arī privātā pieprasījuma ietekme uz inflāciju.</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2018.gadā patēriņa cenas pieauga par 2,5% salīdzinājumā ar iepriekšējo gadu. Zīmīgi, ka atšķirībā no 2017.gada tendencēm, kad patēriņa cenu pieaugumu noteica galvenokārt pārtikas cenu kāpums, </w:t>
      </w:r>
      <w:r w:rsidRPr="009F5535">
        <w:rPr>
          <w:rFonts w:ascii="Times New Roman" w:eastAsia="Times New Roman" w:hAnsi="Times New Roman" w:cs="Times New Roman"/>
          <w:color w:val="000000"/>
          <w:sz w:val="24"/>
          <w:szCs w:val="23"/>
          <w:lang w:eastAsia="lv-LV"/>
        </w:rPr>
        <w:t xml:space="preserve">2018.gadā cenu izmaiņas ietekmēja vairākas preču un pakalpojumu </w:t>
      </w:r>
      <w:r w:rsidRPr="009F5535">
        <w:rPr>
          <w:rFonts w:ascii="Times New Roman" w:eastAsia="Times New Roman" w:hAnsi="Times New Roman" w:cs="Times New Roman"/>
          <w:color w:val="000000"/>
          <w:sz w:val="24"/>
          <w:szCs w:val="23"/>
          <w:lang w:eastAsia="lv-LV"/>
        </w:rPr>
        <w:lastRenderedPageBreak/>
        <w:t>grupas, tajā skaitā pārtikas, alkoholisko dzērienu, energoresursu un atsevišķu komer</w:t>
      </w:r>
      <w:r>
        <w:rPr>
          <w:rFonts w:ascii="Times New Roman" w:eastAsia="Times New Roman" w:hAnsi="Times New Roman" w:cs="Times New Roman"/>
          <w:color w:val="000000"/>
          <w:sz w:val="24"/>
          <w:szCs w:val="23"/>
          <w:lang w:eastAsia="lv-LV"/>
        </w:rPr>
        <w:t>ciālo pakalpojumu cenu pieaugums</w:t>
      </w:r>
      <w:r w:rsidRPr="00556C73">
        <w:rPr>
          <w:rFonts w:ascii="Times New Roman" w:eastAsia="Times New Roman" w:hAnsi="Times New Roman" w:cs="Times New Roman"/>
          <w:color w:val="000000"/>
          <w:sz w:val="24"/>
          <w:szCs w:val="23"/>
          <w:lang w:eastAsia="lv-LV"/>
        </w:rPr>
        <w:t>.</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Lielāko devumu patēriņa cenu izmaiņās 2018.gadā noteica degvielas cenu kāpums par 12,3%, salīdzinot ar iepriekšējo gadu, tādējādi palielinot inflāciju par 0,7 procentpunktiem. Degvielas cenu īstermiņa svārstības galvenokārt nosaka jēlnaftas cenas pasaules biržās. Pērnajā gadā tika sasniegta augst</w:t>
      </w:r>
      <w:r>
        <w:rPr>
          <w:rFonts w:ascii="Times New Roman" w:eastAsia="Times New Roman" w:hAnsi="Times New Roman" w:cs="Times New Roman"/>
          <w:color w:val="000000"/>
          <w:sz w:val="24"/>
          <w:szCs w:val="23"/>
          <w:lang w:eastAsia="lv-LV"/>
        </w:rPr>
        <w:t>ākā naftas cena kopš 2015.gada</w:t>
      </w:r>
      <w:r w:rsidR="00DA0E9F" w:rsidRPr="00E53D87">
        <w:rPr>
          <w:rFonts w:ascii="Times New Roman" w:eastAsia="Calibri" w:hAnsi="Times New Roman" w:cs="Times New Roman"/>
          <w:sz w:val="24"/>
        </w:rPr>
        <w:t xml:space="preserve"> – </w:t>
      </w:r>
      <w:r w:rsidRPr="00556C73">
        <w:rPr>
          <w:rFonts w:ascii="Times New Roman" w:eastAsia="Times New Roman" w:hAnsi="Times New Roman" w:cs="Times New Roman"/>
          <w:color w:val="000000"/>
          <w:sz w:val="24"/>
          <w:szCs w:val="23"/>
          <w:lang w:eastAsia="lv-LV"/>
        </w:rPr>
        <w:t xml:space="preserve">vidējā </w:t>
      </w:r>
      <w:proofErr w:type="spellStart"/>
      <w:r w:rsidRPr="00556C73">
        <w:rPr>
          <w:rFonts w:ascii="Times New Roman" w:eastAsia="Times New Roman" w:hAnsi="Times New Roman" w:cs="Times New Roman"/>
          <w:i/>
          <w:color w:val="000000"/>
          <w:sz w:val="24"/>
          <w:szCs w:val="23"/>
          <w:lang w:eastAsia="lv-LV"/>
        </w:rPr>
        <w:t>Brent</w:t>
      </w:r>
      <w:proofErr w:type="spellEnd"/>
      <w:r w:rsidRPr="00556C73">
        <w:rPr>
          <w:rFonts w:ascii="Times New Roman" w:eastAsia="Times New Roman" w:hAnsi="Times New Roman" w:cs="Times New Roman"/>
          <w:i/>
          <w:color w:val="000000"/>
          <w:sz w:val="24"/>
          <w:szCs w:val="23"/>
          <w:lang w:eastAsia="lv-LV"/>
        </w:rPr>
        <w:t xml:space="preserve"> </w:t>
      </w:r>
      <w:r w:rsidRPr="00556C73">
        <w:rPr>
          <w:rFonts w:ascii="Times New Roman" w:eastAsia="Times New Roman" w:hAnsi="Times New Roman" w:cs="Times New Roman"/>
          <w:color w:val="000000"/>
          <w:sz w:val="24"/>
          <w:szCs w:val="23"/>
          <w:lang w:eastAsia="lv-LV"/>
        </w:rPr>
        <w:t xml:space="preserve">markas jēlnaftas cena 2018.gadā </w:t>
      </w:r>
      <w:r>
        <w:rPr>
          <w:rFonts w:ascii="Times New Roman" w:eastAsia="Times New Roman" w:hAnsi="Times New Roman" w:cs="Times New Roman"/>
          <w:color w:val="000000"/>
          <w:sz w:val="24"/>
          <w:szCs w:val="23"/>
          <w:lang w:eastAsia="lv-LV"/>
        </w:rPr>
        <w:t xml:space="preserve">sasniedza </w:t>
      </w:r>
      <w:r w:rsidRPr="00556C73">
        <w:rPr>
          <w:rFonts w:ascii="Times New Roman" w:eastAsia="Times New Roman" w:hAnsi="Times New Roman" w:cs="Times New Roman"/>
          <w:color w:val="000000"/>
          <w:sz w:val="24"/>
          <w:szCs w:val="23"/>
          <w:lang w:eastAsia="lv-LV"/>
        </w:rPr>
        <w:t>71,9 ASV</w:t>
      </w:r>
      <w:r>
        <w:rPr>
          <w:rFonts w:ascii="Times New Roman" w:eastAsia="Times New Roman" w:hAnsi="Times New Roman" w:cs="Times New Roman"/>
          <w:color w:val="000000"/>
          <w:sz w:val="24"/>
          <w:szCs w:val="23"/>
          <w:lang w:eastAsia="lv-LV"/>
        </w:rPr>
        <w:t xml:space="preserve"> dolārus</w:t>
      </w:r>
      <w:r w:rsidRPr="00556C73">
        <w:rPr>
          <w:rFonts w:ascii="Times New Roman" w:eastAsia="Times New Roman" w:hAnsi="Times New Roman" w:cs="Times New Roman"/>
          <w:color w:val="000000"/>
          <w:sz w:val="24"/>
          <w:szCs w:val="23"/>
          <w:lang w:eastAsia="lv-LV"/>
        </w:rPr>
        <w:t xml:space="preserve"> par vienu barelu. Salīdzinot ar 2017.gadu, kad vidējā jēlnaftas cena par barelu bija 54 ASV </w:t>
      </w:r>
      <w:r w:rsidR="002B1A2C">
        <w:rPr>
          <w:rFonts w:ascii="Times New Roman" w:eastAsia="Times New Roman" w:hAnsi="Times New Roman" w:cs="Times New Roman"/>
          <w:color w:val="000000"/>
          <w:sz w:val="24"/>
          <w:szCs w:val="23"/>
          <w:lang w:eastAsia="lv-LV"/>
        </w:rPr>
        <w:t xml:space="preserve">dolāri, pieaugums ir būtisks </w:t>
      </w:r>
      <w:r w:rsidR="002B1A2C" w:rsidRPr="009B0F5F">
        <w:rPr>
          <w:rFonts w:ascii="Times New Roman" w:eastAsia="Times New Roman" w:hAnsi="Times New Roman" w:cs="Times New Roman"/>
          <w:noProof/>
          <w:color w:val="000000"/>
          <w:sz w:val="24"/>
          <w:szCs w:val="24"/>
        </w:rPr>
        <w:t xml:space="preserve">– </w:t>
      </w:r>
      <w:r w:rsidRPr="00556C73">
        <w:rPr>
          <w:rFonts w:ascii="Times New Roman" w:eastAsia="Times New Roman" w:hAnsi="Times New Roman" w:cs="Times New Roman"/>
          <w:color w:val="000000"/>
          <w:sz w:val="24"/>
          <w:szCs w:val="23"/>
          <w:lang w:eastAsia="lv-LV"/>
        </w:rPr>
        <w:t>31,2%, tādējādi būtiski ietekmējot arī degvielas cenas Latvijā.</w:t>
      </w:r>
    </w:p>
    <w:p w:rsidR="00E53D87"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 xml:space="preserve">Būtisku devumu patēriņa cenu kāpumā 2018.gadā noteica arī ar mājokli saistīto preču un pakalpojumu cenas. Piemēram, tādu komunālo pakalpojumu kā gāzes un siltumenerģijas piegādes cenas palielinājās attiecīgi par 5,4% un 2,3%, ko lielā mērā arī noteica energoresursu cenu pieaugums pasaulē. Taču, ņemot vērā, ka šo pakalpojumu tarifu aprēķināšanas metodoloģija atšķiras no degvielas cenu veidošanās mehānisma, šo preču cenu pieaugumi ir atšķirīgi. No komunālajiem pakalpojumiem vēl jāatzīmē visai straujais ūdensapgādes pakalpojumu cenu kāpums – par 5,3%, ko ietekmēja jaunie SIA </w:t>
      </w:r>
      <w:r w:rsidRPr="00556C73">
        <w:rPr>
          <w:rFonts w:ascii="Times New Roman" w:eastAsia="Times New Roman" w:hAnsi="Times New Roman" w:cs="Times New Roman"/>
          <w:i/>
          <w:color w:val="000000"/>
          <w:sz w:val="24"/>
          <w:szCs w:val="23"/>
          <w:lang w:eastAsia="lv-LV"/>
        </w:rPr>
        <w:t>Rīgas ūdens</w:t>
      </w:r>
      <w:r w:rsidRPr="00556C73">
        <w:rPr>
          <w:rFonts w:ascii="Times New Roman" w:eastAsia="Times New Roman" w:hAnsi="Times New Roman" w:cs="Times New Roman"/>
          <w:color w:val="000000"/>
          <w:sz w:val="24"/>
          <w:szCs w:val="23"/>
          <w:lang w:eastAsia="lv-LV"/>
        </w:rPr>
        <w:t xml:space="preserve"> ūdenssaimniecības pakalpojumu tarifi, kuri stājās spēkā no 2018.gada 1.jūnija. Tāpat mājsaimniecību tēriņus ietekmēja būtisks cietā kurināmā cenu pieaugums (+16,9%), salīdzinot ar 2017.gadu, ko ietekmēja koksnes cenu palielinājums.</w:t>
      </w:r>
    </w:p>
    <w:p w:rsidR="004F3E72" w:rsidRDefault="004F3E72" w:rsidP="00E53D87">
      <w:pPr>
        <w:spacing w:after="0" w:line="240" w:lineRule="auto"/>
        <w:ind w:firstLine="720"/>
        <w:jc w:val="both"/>
        <w:rPr>
          <w:rFonts w:ascii="Times New Roman" w:eastAsia="Times New Roman" w:hAnsi="Times New Roman" w:cs="Times New Roman"/>
          <w:color w:val="000000"/>
          <w:sz w:val="24"/>
          <w:szCs w:val="23"/>
          <w:lang w:eastAsia="lv-LV"/>
        </w:rPr>
      </w:pPr>
    </w:p>
    <w:p w:rsidR="00E53D87" w:rsidRDefault="00E53D87" w:rsidP="00E53D87">
      <w:pPr>
        <w:spacing w:after="0" w:line="240" w:lineRule="auto"/>
        <w:jc w:val="both"/>
        <w:rPr>
          <w:rFonts w:ascii="Times New Roman" w:eastAsia="Times New Roman" w:hAnsi="Times New Roman" w:cs="Times New Roman"/>
          <w:color w:val="000000"/>
          <w:sz w:val="24"/>
          <w:szCs w:val="23"/>
          <w:lang w:eastAsia="lv-LV"/>
        </w:rPr>
      </w:pPr>
      <w:r w:rsidRPr="00556C73">
        <w:rPr>
          <w:rFonts w:ascii="Times New Roman" w:eastAsia="Calibri" w:hAnsi="Times New Roman" w:cs="Times New Roman"/>
          <w:noProof/>
          <w:sz w:val="24"/>
          <w:lang w:eastAsia="lv-LV"/>
        </w:rPr>
        <w:drawing>
          <wp:inline distT="0" distB="0" distL="0" distR="0" wp14:anchorId="1E78D9FE" wp14:editId="1D4F9CA6">
            <wp:extent cx="5760085" cy="32236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3D87" w:rsidRDefault="00E53D87" w:rsidP="00E53D87">
      <w:pPr>
        <w:spacing w:after="120" w:line="240" w:lineRule="auto"/>
        <w:ind w:firstLine="720"/>
        <w:jc w:val="both"/>
        <w:rPr>
          <w:rFonts w:ascii="Times New Roman" w:eastAsia="Times New Roman" w:hAnsi="Times New Roman" w:cs="Times New Roman"/>
          <w:b/>
          <w:color w:val="000000"/>
          <w:sz w:val="24"/>
          <w:szCs w:val="23"/>
          <w:lang w:eastAsia="lv-LV"/>
        </w:rPr>
      </w:pPr>
      <w:r w:rsidRPr="00451F9F">
        <w:rPr>
          <w:rFonts w:ascii="Times New Roman" w:eastAsia="Calibri" w:hAnsi="Times New Roman" w:cs="Times New Roman"/>
          <w:i/>
          <w:sz w:val="18"/>
          <w:szCs w:val="18"/>
        </w:rPr>
        <w:t xml:space="preserve">Datu avots: </w:t>
      </w:r>
      <w:r>
        <w:rPr>
          <w:rFonts w:ascii="Times New Roman" w:eastAsia="Calibri" w:hAnsi="Times New Roman" w:cs="Times New Roman"/>
          <w:i/>
          <w:sz w:val="18"/>
          <w:szCs w:val="18"/>
        </w:rPr>
        <w:t>CSP</w:t>
      </w:r>
      <w:r w:rsidRPr="00556C73">
        <w:rPr>
          <w:rFonts w:ascii="Times New Roman" w:eastAsia="Times New Roman" w:hAnsi="Times New Roman" w:cs="Times New Roman"/>
          <w:b/>
          <w:color w:val="000000"/>
          <w:sz w:val="24"/>
          <w:szCs w:val="23"/>
          <w:lang w:eastAsia="lv-LV"/>
        </w:rPr>
        <w:t xml:space="preserve"> </w:t>
      </w:r>
    </w:p>
    <w:p w:rsidR="00E53D87" w:rsidRDefault="00E53D87" w:rsidP="00C11D88">
      <w:pPr>
        <w:spacing w:after="0" w:line="240" w:lineRule="auto"/>
        <w:ind w:firstLine="720"/>
        <w:jc w:val="center"/>
        <w:rPr>
          <w:rFonts w:ascii="Times New Roman" w:eastAsia="Times New Roman" w:hAnsi="Times New Roman" w:cs="Times New Roman"/>
          <w:b/>
          <w:color w:val="000000"/>
          <w:sz w:val="24"/>
          <w:szCs w:val="23"/>
          <w:lang w:eastAsia="lv-LV"/>
        </w:rPr>
      </w:pPr>
      <w:r w:rsidRPr="00556C73">
        <w:rPr>
          <w:rFonts w:ascii="Times New Roman" w:eastAsia="Times New Roman" w:hAnsi="Times New Roman" w:cs="Times New Roman"/>
          <w:b/>
          <w:color w:val="000000"/>
          <w:sz w:val="24"/>
          <w:szCs w:val="23"/>
          <w:lang w:eastAsia="lv-LV"/>
        </w:rPr>
        <w:t>2.4. attēls. Gada inflācija pēc izcelsmes avota</w:t>
      </w:r>
      <w:r w:rsidR="002B1A2C">
        <w:rPr>
          <w:rFonts w:ascii="Times New Roman" w:eastAsia="Times New Roman" w:hAnsi="Times New Roman" w:cs="Times New Roman"/>
          <w:b/>
          <w:color w:val="000000"/>
          <w:sz w:val="24"/>
          <w:szCs w:val="23"/>
          <w:lang w:eastAsia="lv-LV"/>
        </w:rPr>
        <w:t>.</w:t>
      </w:r>
    </w:p>
    <w:p w:rsidR="00884A92" w:rsidRPr="00556C73" w:rsidRDefault="00884A92" w:rsidP="00C11D88">
      <w:pPr>
        <w:spacing w:after="0" w:line="240" w:lineRule="auto"/>
        <w:ind w:firstLine="720"/>
        <w:jc w:val="center"/>
        <w:rPr>
          <w:rFonts w:ascii="Times New Roman" w:eastAsia="Times New Roman" w:hAnsi="Times New Roman" w:cs="Times New Roman"/>
          <w:color w:val="000000"/>
          <w:sz w:val="24"/>
          <w:szCs w:val="23"/>
          <w:lang w:eastAsia="lv-LV"/>
        </w:rPr>
      </w:pP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No citiem pakalpojumiem vēl jāatzīmē apdrošināšanas pakalpojumu sadārdzinājums par 24,8%, ko pamatā noteica transportlīdzekļu īpašnieku civiltiesiskās atbildības obligātās apdrošināšanas cenu pieaugums. Veselības ap</w:t>
      </w:r>
      <w:r w:rsidR="005865B9">
        <w:rPr>
          <w:rFonts w:ascii="Times New Roman" w:eastAsia="Times New Roman" w:hAnsi="Times New Roman" w:cs="Times New Roman"/>
          <w:color w:val="000000"/>
          <w:sz w:val="24"/>
          <w:szCs w:val="23"/>
          <w:lang w:eastAsia="lv-LV"/>
        </w:rPr>
        <w:t>rūpes pakalpojumu cenas pieauga</w:t>
      </w:r>
      <w:r w:rsidRPr="00556C73">
        <w:rPr>
          <w:rFonts w:ascii="Times New Roman" w:eastAsia="Times New Roman" w:hAnsi="Times New Roman" w:cs="Times New Roman"/>
          <w:color w:val="000000"/>
          <w:sz w:val="24"/>
          <w:szCs w:val="23"/>
          <w:lang w:eastAsia="lv-LV"/>
        </w:rPr>
        <w:t xml:space="preserve"> par 3,3%, kas galvenokārt ir saistīts ar ambulatoro pakalpojumu cenu pieaugumu. Savukārt ēdināšanas un kultūras pakalpojumu cenas palielinājās attiecīgi par 3,2% un 3,4%. Kopumā, visu pakalpojumu cenas 2018.gadā pieauga par 3,2%. Izņemot komunālo pakalpojumu cenu pieaugumu, pārējo </w:t>
      </w:r>
      <w:r w:rsidRPr="00556C73">
        <w:rPr>
          <w:rFonts w:ascii="Times New Roman" w:eastAsia="Times New Roman" w:hAnsi="Times New Roman" w:cs="Times New Roman"/>
          <w:color w:val="000000"/>
          <w:sz w:val="24"/>
          <w:szCs w:val="23"/>
          <w:lang w:eastAsia="lv-LV"/>
        </w:rPr>
        <w:lastRenderedPageBreak/>
        <w:t>pakalpojumu cenu kāpums galvenokārt ir saistīts ar noturīgu privātā patēriņa pieaugumu un</w:t>
      </w:r>
      <w:r>
        <w:rPr>
          <w:rFonts w:ascii="Times New Roman" w:eastAsia="Times New Roman" w:hAnsi="Times New Roman" w:cs="Times New Roman"/>
          <w:color w:val="000000"/>
          <w:sz w:val="24"/>
          <w:szCs w:val="23"/>
          <w:lang w:eastAsia="lv-LV"/>
        </w:rPr>
        <w:t xml:space="preserve"> pozitīvajām</w:t>
      </w:r>
      <w:r w:rsidRPr="00556C73">
        <w:rPr>
          <w:rFonts w:ascii="Times New Roman" w:eastAsia="Times New Roman" w:hAnsi="Times New Roman" w:cs="Times New Roman"/>
          <w:color w:val="000000"/>
          <w:sz w:val="24"/>
          <w:szCs w:val="23"/>
          <w:lang w:eastAsia="lv-LV"/>
        </w:rPr>
        <w:t xml:space="preserve"> norisēm darba tirg</w:t>
      </w:r>
      <w:r>
        <w:rPr>
          <w:rFonts w:ascii="Times New Roman" w:eastAsia="Times New Roman" w:hAnsi="Times New Roman" w:cs="Times New Roman"/>
          <w:color w:val="000000"/>
          <w:sz w:val="24"/>
          <w:szCs w:val="23"/>
          <w:lang w:eastAsia="lv-LV"/>
        </w:rPr>
        <w:t>ū</w:t>
      </w:r>
      <w:r w:rsidRPr="00556C73">
        <w:rPr>
          <w:rFonts w:ascii="Times New Roman" w:eastAsia="Times New Roman" w:hAnsi="Times New Roman" w:cs="Times New Roman"/>
          <w:color w:val="000000"/>
          <w:sz w:val="24"/>
          <w:szCs w:val="23"/>
          <w:lang w:eastAsia="lv-LV"/>
        </w:rPr>
        <w:t xml:space="preserve">, kas atspoguļojas straujā darba samaksas pieaugumā. </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Times New Roman" w:hAnsi="Times New Roman" w:cs="Times New Roman"/>
          <w:color w:val="000000"/>
          <w:sz w:val="24"/>
          <w:szCs w:val="23"/>
          <w:lang w:eastAsia="lv-LV"/>
        </w:rPr>
        <w:t>2018.gadā inflāciju ietekmēja arī nodokļu likmju izmaiņas. Tā, akcīzes nodokļa likmes palielināšanas naftas produktiem, alkoholiskajiem dzērieniem un tabakas izstrādājumiem ietekmēja patēriņa cenas</w:t>
      </w:r>
      <w:r w:rsidR="005865B9">
        <w:rPr>
          <w:rFonts w:ascii="Times New Roman" w:eastAsia="Times New Roman" w:hAnsi="Times New Roman" w:cs="Times New Roman"/>
          <w:color w:val="000000"/>
          <w:sz w:val="24"/>
          <w:szCs w:val="23"/>
          <w:lang w:eastAsia="lv-LV"/>
        </w:rPr>
        <w:t xml:space="preserve"> palielinošā virzienā. Savukārt</w:t>
      </w:r>
      <w:r w:rsidRPr="00556C73">
        <w:rPr>
          <w:rFonts w:ascii="Times New Roman" w:eastAsia="Times New Roman" w:hAnsi="Times New Roman" w:cs="Times New Roman"/>
          <w:color w:val="000000"/>
          <w:sz w:val="24"/>
          <w:szCs w:val="23"/>
          <w:lang w:eastAsia="lv-LV"/>
        </w:rPr>
        <w:t xml:space="preserve"> PVN likmes samazināšana Latvijai raksturīgiem augļiem un dārzeņiem līdz 5% nedaudz mīkstināja akcīzes nodokļu likmju pieaugumu, tādējādi nodokļu likmju izmaiņas 2018.gadā palielināja patēriņa cenas kopumā par 0,4 procentpunktiem.</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Times New Roman" w:hAnsi="Times New Roman" w:cs="Times New Roman"/>
          <w:color w:val="000000"/>
          <w:sz w:val="24"/>
          <w:szCs w:val="23"/>
          <w:lang w:eastAsia="lv-LV"/>
        </w:rPr>
        <w:t xml:space="preserve">Līdz ar ekonomiskās izaugsmes paātrināšanos turpināja uzlaboties situācija </w:t>
      </w:r>
      <w:r w:rsidRPr="00556C73">
        <w:rPr>
          <w:rFonts w:ascii="Times New Roman" w:eastAsia="Times New Roman" w:hAnsi="Times New Roman" w:cs="Times New Roman"/>
          <w:b/>
          <w:color w:val="000000"/>
          <w:sz w:val="24"/>
          <w:szCs w:val="23"/>
          <w:lang w:eastAsia="lv-LV"/>
        </w:rPr>
        <w:t>darba tirgū</w:t>
      </w:r>
      <w:r w:rsidRPr="00556C73">
        <w:rPr>
          <w:rFonts w:ascii="Times New Roman" w:eastAsia="Times New Roman" w:hAnsi="Times New Roman" w:cs="Times New Roman"/>
          <w:color w:val="000000"/>
          <w:sz w:val="24"/>
          <w:szCs w:val="23"/>
          <w:lang w:eastAsia="lv-LV"/>
        </w:rPr>
        <w:t xml:space="preserve"> un 2018.gadā būtiski straujāka kļuva bezdarba līmeņa samazināšanās un spēcīgāk auga tautsaimniecībā nodarbināto iedzīvotāju skaits. Bezdarba līmenis pēc darbaspēka </w:t>
      </w:r>
      <w:proofErr w:type="spellStart"/>
      <w:r w:rsidRPr="00556C73">
        <w:rPr>
          <w:rFonts w:ascii="Times New Roman" w:eastAsia="Times New Roman" w:hAnsi="Times New Roman" w:cs="Times New Roman"/>
          <w:color w:val="000000"/>
          <w:sz w:val="24"/>
          <w:szCs w:val="23"/>
          <w:lang w:eastAsia="lv-LV"/>
        </w:rPr>
        <w:t>apsekojuma</w:t>
      </w:r>
      <w:proofErr w:type="spellEnd"/>
      <w:r w:rsidRPr="00556C73">
        <w:rPr>
          <w:rFonts w:ascii="Times New Roman" w:eastAsia="Times New Roman" w:hAnsi="Times New Roman" w:cs="Times New Roman"/>
          <w:color w:val="000000"/>
          <w:sz w:val="24"/>
          <w:szCs w:val="23"/>
          <w:lang w:eastAsia="lv-LV"/>
        </w:rPr>
        <w:t xml:space="preserve"> 2018.gadā samazinājās par 1,3 procentpunktiem līdz 7,4% no ekonomiski aktīvajiem iedzīvotājiem. Tas bija straujākais bezdarba līmeņa kritums kopš 2013.gada. </w:t>
      </w:r>
      <w:r w:rsidRPr="00556C73">
        <w:rPr>
          <w:rFonts w:ascii="Times New Roman" w:eastAsia="Calibri" w:hAnsi="Times New Roman" w:cs="Times New Roman"/>
          <w:sz w:val="24"/>
        </w:rPr>
        <w:t>Reģistrētā bezdarba līmenis 2018.gada decembra beigās bija samazinājies līdz 6,4%, kas ir par 0,4 procentpunktiem zemāks nekā 2017.gada decembra beigās. Kopējais reģistrēto bezdarbnieku skaits pēdējā gada laikā bija samazinājies par 5,6% un decembra beigās bija 59,6 tūkstoši.</w:t>
      </w:r>
    </w:p>
    <w:p w:rsidR="00E53D87" w:rsidRPr="00556C73" w:rsidRDefault="00E53D87" w:rsidP="00E53D87">
      <w:pPr>
        <w:spacing w:after="0" w:line="240" w:lineRule="auto"/>
        <w:ind w:firstLine="720"/>
        <w:jc w:val="both"/>
        <w:rPr>
          <w:rFonts w:ascii="Times New Roman" w:eastAsia="Times New Roman" w:hAnsi="Times New Roman" w:cs="Times New Roman"/>
          <w:color w:val="000000"/>
          <w:sz w:val="24"/>
          <w:szCs w:val="23"/>
          <w:lang w:eastAsia="lv-LV"/>
        </w:rPr>
      </w:pPr>
      <w:r w:rsidRPr="00556C73">
        <w:rPr>
          <w:rFonts w:ascii="Times New Roman" w:eastAsia="Calibri" w:hAnsi="Times New Roman" w:cs="Times New Roman"/>
          <w:sz w:val="24"/>
        </w:rPr>
        <w:t xml:space="preserve">Tautsaimniecībā nodarbināto iedzīvotāju skaits 2018.gadā palielinājās par 1,6% līdz 909,4 tūkstošiem, kas bija būtiski straujāk nekā iepriekšējos gados. </w:t>
      </w:r>
      <w:r w:rsidRPr="00556C73">
        <w:rPr>
          <w:rFonts w:ascii="Times New Roman" w:eastAsia="Times New Roman" w:hAnsi="Times New Roman" w:cs="Times New Roman"/>
          <w:color w:val="000000"/>
          <w:sz w:val="24"/>
          <w:szCs w:val="23"/>
          <w:lang w:eastAsia="lv-LV"/>
        </w:rPr>
        <w:t>Darbspējas vecuma iedzīvotāju skaitam turpinot samazināties, strādājošo skaita pieaugumu līdzās zemākam bezdarba līmenim nodrošināja arī iedzīvotāju ekonomiskās aktivitātes pieaugums, kad nodarbināto un darba meklētāju īpatsvars starp visiem darbspējas vecuma iedzīvotājiem 2018.gadā sasniedza vēsturiski augstāko līmeni</w:t>
      </w:r>
      <w:r w:rsidR="004F3E72" w:rsidRPr="00E53D87">
        <w:rPr>
          <w:rFonts w:ascii="Times New Roman" w:eastAsia="Calibri" w:hAnsi="Times New Roman" w:cs="Times New Roman"/>
          <w:sz w:val="24"/>
        </w:rPr>
        <w:t xml:space="preserve"> – </w:t>
      </w:r>
      <w:r w:rsidRPr="00556C73">
        <w:rPr>
          <w:rFonts w:ascii="Times New Roman" w:eastAsia="Times New Roman" w:hAnsi="Times New Roman" w:cs="Times New Roman"/>
          <w:color w:val="000000"/>
          <w:sz w:val="24"/>
          <w:szCs w:val="23"/>
          <w:lang w:eastAsia="lv-LV"/>
        </w:rPr>
        <w:t>69,7%.</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Calibri" w:hAnsi="Times New Roman" w:cs="Times New Roman"/>
          <w:sz w:val="24"/>
        </w:rPr>
        <w:t>Kā liecina dati par aizņemtajām darba vietām, visstraujāk jaunas darba vietas 2018.gadā veidojušās būvniecībā, informācijas un komunikācijas pakalpojumu nozarē, kā arī izmitināšanas un ēdināšanas pakalpojumu nozarē, kur aizņemto darba vietu skaits 2018.gadā bijis vidēji par 7,4%, 7,1% un 5,4% lielāks nekā pirms gada. Savukārt neliels darba vietu skaita samazinājums 2018.gadā bijis finanšu pakalpojumu, transporta, tirdzniecības un energoapgādes nozarēs.</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Calibri" w:hAnsi="Times New Roman" w:cs="Times New Roman"/>
          <w:sz w:val="24"/>
        </w:rPr>
        <w:t>Mēneša vidējā bruto darba samaksa 2018.gadā palielinājusies par 8,4%, sasniedzot 1</w:t>
      </w:r>
      <w:r w:rsidR="004F3E72">
        <w:rPr>
          <w:rFonts w:ascii="Times New Roman" w:eastAsia="Calibri" w:hAnsi="Times New Roman" w:cs="Times New Roman"/>
          <w:sz w:val="24"/>
        </w:rPr>
        <w:t> </w:t>
      </w:r>
      <w:r w:rsidRPr="00556C73">
        <w:rPr>
          <w:rFonts w:ascii="Times New Roman" w:eastAsia="Calibri" w:hAnsi="Times New Roman" w:cs="Times New Roman"/>
          <w:sz w:val="24"/>
        </w:rPr>
        <w:t xml:space="preserve">004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 xml:space="preserve">. Tas ir bijis vēl nedaudz straujāks pieaugums nekā 2017.gadā, kad vidējā alga bija augusi par 7,9%. Straujāku algas kāpumu 2018.gadā noteica spēcīgā ekonomikas izaugsme, minimālās algas paaugstinājums par 50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 xml:space="preserve"> līdz 430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 xml:space="preserve">, kā arī finansējuma palielinājums darba samaksai atsevišķām sabiedriskā sektora strādājošo kategorijām aizsardzības un veselības resoros, kā arī Valsts ieņēmumu dienestā. </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Calibri" w:hAnsi="Times New Roman" w:cs="Times New Roman"/>
          <w:sz w:val="24"/>
        </w:rPr>
        <w:t xml:space="preserve">2018.gadā aptuveni vienāds algu pieaugums bija gan sabiedriskajā, gan privātajā sektorā </w:t>
      </w:r>
      <w:r w:rsidR="002B1A2C" w:rsidRPr="009B0F5F">
        <w:rPr>
          <w:rFonts w:ascii="Times New Roman" w:eastAsia="Times New Roman" w:hAnsi="Times New Roman" w:cs="Times New Roman"/>
          <w:noProof/>
          <w:color w:val="000000"/>
          <w:sz w:val="24"/>
          <w:szCs w:val="24"/>
        </w:rPr>
        <w:t xml:space="preserve">– </w:t>
      </w:r>
      <w:r w:rsidRPr="00556C73">
        <w:rPr>
          <w:rFonts w:ascii="Times New Roman" w:eastAsia="Calibri" w:hAnsi="Times New Roman" w:cs="Times New Roman"/>
          <w:sz w:val="24"/>
        </w:rPr>
        <w:t>attiecīgi par 8,5% un 8,4% salīdzinājumā ar 2017.gadu. Sabiedriskajā sektorā vidējā alga 2018.gadā bija 1</w:t>
      </w:r>
      <w:r w:rsidR="004F3E72">
        <w:rPr>
          <w:rFonts w:ascii="Times New Roman" w:eastAsia="Calibri" w:hAnsi="Times New Roman" w:cs="Times New Roman"/>
          <w:sz w:val="24"/>
        </w:rPr>
        <w:t> </w:t>
      </w:r>
      <w:r w:rsidRPr="00556C73">
        <w:rPr>
          <w:rFonts w:ascii="Times New Roman" w:eastAsia="Calibri" w:hAnsi="Times New Roman" w:cs="Times New Roman"/>
          <w:sz w:val="24"/>
        </w:rPr>
        <w:t xml:space="preserve">032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 bet privātajā sektorā</w:t>
      </w:r>
      <w:r w:rsidR="004F3E72" w:rsidRPr="00E53D87">
        <w:rPr>
          <w:rFonts w:ascii="Times New Roman" w:eastAsia="Calibri" w:hAnsi="Times New Roman" w:cs="Times New Roman"/>
          <w:sz w:val="24"/>
        </w:rPr>
        <w:t xml:space="preserve"> – </w:t>
      </w:r>
      <w:r w:rsidRPr="00556C73">
        <w:rPr>
          <w:rFonts w:ascii="Times New Roman" w:eastAsia="Calibri" w:hAnsi="Times New Roman" w:cs="Times New Roman"/>
          <w:sz w:val="24"/>
        </w:rPr>
        <w:t xml:space="preserve">991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 Reālā neto darba samaksa 2018.gadā palielinājās par 7,2%, uzrādot būtiski straujāku pieaugumu nekā iepriekšējos divos gados, un to noteica bruto algu kāpums, darbaspēka nodokļu pazeminājums un salīdzinoši mērenā inflācija.</w:t>
      </w:r>
    </w:p>
    <w:p w:rsidR="00E53D87" w:rsidRPr="00556C73"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Calibri" w:hAnsi="Times New Roman" w:cs="Times New Roman"/>
          <w:sz w:val="24"/>
        </w:rPr>
        <w:t xml:space="preserve">Pagājušajā gadā straujākie bruto darba samaksas pieaugumi reģistrēti veselības un sociālās aprūpes nozarē, kā arī izmitināšanas un ēdināšanas nozarē – attiecīgi par 15,9% un 11,8%. Darba algas samazinājums netika fiksēts nevienā nozarē, savukārt vismazāk darba samaksa palielinājās  finanšu pakalpojumu nozarē – par 3,6%, tomēr joprojām bija augstākā starp visām nozarēm </w:t>
      </w:r>
      <w:r>
        <w:rPr>
          <w:rFonts w:ascii="Times New Roman" w:eastAsia="Calibri" w:hAnsi="Times New Roman" w:cs="Times New Roman"/>
          <w:sz w:val="24"/>
        </w:rPr>
        <w:t>–</w:t>
      </w:r>
      <w:r w:rsidRPr="00556C73">
        <w:rPr>
          <w:rFonts w:ascii="Times New Roman" w:eastAsia="Calibri" w:hAnsi="Times New Roman" w:cs="Times New Roman"/>
          <w:sz w:val="24"/>
        </w:rPr>
        <w:t xml:space="preserve"> 1 991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 xml:space="preserve"> apmērā. Savukārt zemākā darba samaksa saglabājās bija izmitināšanas un ēdināšanas pakalpojumu nozarē – 709 </w:t>
      </w:r>
      <w:proofErr w:type="spellStart"/>
      <w:r w:rsidRPr="00556C73">
        <w:rPr>
          <w:rFonts w:ascii="Times New Roman" w:eastAsia="Calibri" w:hAnsi="Times New Roman" w:cs="Times New Roman"/>
          <w:i/>
          <w:sz w:val="24"/>
        </w:rPr>
        <w:t>euro</w:t>
      </w:r>
      <w:proofErr w:type="spellEnd"/>
      <w:r w:rsidRPr="00556C73">
        <w:rPr>
          <w:rFonts w:ascii="Times New Roman" w:eastAsia="Calibri" w:hAnsi="Times New Roman" w:cs="Times New Roman"/>
          <w:sz w:val="24"/>
        </w:rPr>
        <w:t>.</w:t>
      </w:r>
    </w:p>
    <w:p w:rsidR="00E53D87" w:rsidRDefault="00E53D87" w:rsidP="00E53D87">
      <w:pPr>
        <w:spacing w:after="0" w:line="240" w:lineRule="auto"/>
        <w:ind w:firstLine="720"/>
        <w:jc w:val="both"/>
        <w:rPr>
          <w:rFonts w:ascii="Times New Roman" w:eastAsia="Calibri" w:hAnsi="Times New Roman" w:cs="Times New Roman"/>
          <w:sz w:val="24"/>
        </w:rPr>
      </w:pPr>
      <w:r w:rsidRPr="00556C73">
        <w:rPr>
          <w:rFonts w:ascii="Times New Roman" w:eastAsia="Times New Roman" w:hAnsi="Times New Roman" w:cs="Times New Roman"/>
          <w:color w:val="000000"/>
          <w:sz w:val="24"/>
          <w:szCs w:val="23"/>
          <w:lang w:eastAsia="lv-LV"/>
        </w:rPr>
        <w:t xml:space="preserve">Kopumā Latvijas ekonomikas izaugsme pērn jāvērtē kā ļoti laba, kad, neskatoties uz problēmām atsevišķās nozarēs, ekonomikas izaugsmes temps bija viens no straujākajiem ES. </w:t>
      </w:r>
      <w:r w:rsidRPr="00556C73">
        <w:rPr>
          <w:rFonts w:ascii="Times New Roman" w:eastAsia="Times New Roman" w:hAnsi="Times New Roman" w:cs="Times New Roman"/>
          <w:color w:val="000000"/>
          <w:sz w:val="24"/>
          <w:szCs w:val="23"/>
          <w:lang w:eastAsia="lv-LV"/>
        </w:rPr>
        <w:lastRenderedPageBreak/>
        <w:t>Spēcīga, taču mērenāka izaugsme turpināsies arī 2</w:t>
      </w:r>
      <w:r w:rsidRPr="00556C73">
        <w:rPr>
          <w:rFonts w:ascii="Times New Roman" w:eastAsia="Calibri" w:hAnsi="Times New Roman" w:cs="Times New Roman"/>
          <w:sz w:val="24"/>
        </w:rPr>
        <w:t>019.gadā, ko noteiks ES fondu investīciju plūsmas stabilizēšanās un lēnāka ekonomikas izaug</w:t>
      </w:r>
      <w:r>
        <w:rPr>
          <w:rFonts w:ascii="Times New Roman" w:eastAsia="Calibri" w:hAnsi="Times New Roman" w:cs="Times New Roman"/>
          <w:sz w:val="24"/>
        </w:rPr>
        <w:t>sme pasaulē un ES.</w:t>
      </w:r>
    </w:p>
    <w:p w:rsidR="00E53D87" w:rsidRPr="00556C73" w:rsidRDefault="00E53D87" w:rsidP="00E53D87">
      <w:pPr>
        <w:spacing w:after="0" w:line="240" w:lineRule="auto"/>
        <w:ind w:firstLine="720"/>
        <w:jc w:val="both"/>
        <w:rPr>
          <w:rFonts w:ascii="Times New Roman" w:eastAsia="Calibri" w:hAnsi="Times New Roman" w:cs="Times New Roman"/>
          <w:sz w:val="24"/>
        </w:rPr>
      </w:pPr>
    </w:p>
    <w:p w:rsidR="00B45C68" w:rsidRPr="00832C2A" w:rsidRDefault="00B45C68" w:rsidP="00884A92">
      <w:pPr>
        <w:pStyle w:val="Heading2"/>
        <w:numPr>
          <w:ilvl w:val="1"/>
          <w:numId w:val="12"/>
        </w:numPr>
        <w:spacing w:before="0" w:after="240" w:line="240" w:lineRule="auto"/>
        <w:ind w:left="1134" w:hanging="357"/>
        <w:rPr>
          <w:rFonts w:ascii="Times New Roman" w:hAnsi="Times New Roman" w:cs="Times New Roman"/>
          <w:sz w:val="24"/>
        </w:rPr>
      </w:pPr>
      <w:bookmarkStart w:id="16" w:name="_Toc5627364"/>
      <w:bookmarkStart w:id="17" w:name="_Toc5798619"/>
      <w:r w:rsidRPr="00832C2A">
        <w:rPr>
          <w:rFonts w:ascii="Times New Roman" w:hAnsi="Times New Roman" w:cs="Times New Roman"/>
          <w:sz w:val="24"/>
        </w:rPr>
        <w:t>Makroekonomiskās attīstības scenārijs</w:t>
      </w:r>
      <w:bookmarkEnd w:id="14"/>
      <w:bookmarkEnd w:id="15"/>
      <w:bookmarkEnd w:id="16"/>
      <w:bookmarkEnd w:id="17"/>
    </w:p>
    <w:p w:rsidR="00832C2A" w:rsidRDefault="00832C2A" w:rsidP="00832C2A">
      <w:pPr>
        <w:spacing w:after="0" w:line="240" w:lineRule="auto"/>
        <w:ind w:firstLine="720"/>
        <w:jc w:val="both"/>
        <w:rPr>
          <w:rFonts w:ascii="Times New Roman" w:eastAsia="Times New Roman" w:hAnsi="Times New Roman" w:cs="Times New Roman"/>
          <w:color w:val="000000"/>
          <w:sz w:val="24"/>
          <w:szCs w:val="23"/>
          <w:lang w:eastAsia="lv-LV"/>
        </w:rPr>
      </w:pPr>
      <w:r w:rsidRPr="00770854">
        <w:rPr>
          <w:rFonts w:ascii="Times New Roman" w:eastAsia="Times New Roman" w:hAnsi="Times New Roman" w:cs="Times New Roman"/>
          <w:color w:val="000000"/>
          <w:sz w:val="24"/>
          <w:szCs w:val="23"/>
          <w:lang w:eastAsia="lv-LV"/>
        </w:rPr>
        <w:t>Makroekonomiskās attīstības scenārijs vidējam termiņam 2019.</w:t>
      </w:r>
      <w:r w:rsidR="002B1A2C" w:rsidRPr="009B0F5F">
        <w:rPr>
          <w:rFonts w:ascii="Times New Roman" w:eastAsia="Times New Roman" w:hAnsi="Times New Roman" w:cs="Times New Roman"/>
          <w:noProof/>
          <w:color w:val="000000"/>
          <w:sz w:val="24"/>
          <w:szCs w:val="24"/>
        </w:rPr>
        <w:t xml:space="preserve"> – </w:t>
      </w:r>
      <w:r w:rsidRPr="00770854">
        <w:rPr>
          <w:rFonts w:ascii="Times New Roman" w:eastAsia="Times New Roman" w:hAnsi="Times New Roman" w:cs="Times New Roman"/>
          <w:color w:val="000000"/>
          <w:sz w:val="24"/>
          <w:szCs w:val="23"/>
          <w:lang w:eastAsia="lv-LV"/>
        </w:rPr>
        <w:t>2022.gadam izstrādāts 201</w:t>
      </w:r>
      <w:r>
        <w:rPr>
          <w:rFonts w:ascii="Times New Roman" w:eastAsia="Times New Roman" w:hAnsi="Times New Roman" w:cs="Times New Roman"/>
          <w:color w:val="000000"/>
          <w:sz w:val="24"/>
          <w:szCs w:val="23"/>
          <w:lang w:eastAsia="lv-LV"/>
        </w:rPr>
        <w:t>9</w:t>
      </w:r>
      <w:r w:rsidRPr="00770854">
        <w:rPr>
          <w:rFonts w:ascii="Times New Roman" w:eastAsia="Times New Roman" w:hAnsi="Times New Roman" w:cs="Times New Roman"/>
          <w:color w:val="000000"/>
          <w:sz w:val="24"/>
          <w:szCs w:val="23"/>
          <w:lang w:eastAsia="lv-LV"/>
        </w:rPr>
        <w:t>.gada februārī. Izstrādājot makroekonomisko rādītāju prognozes, F</w:t>
      </w:r>
      <w:r w:rsidR="00636713">
        <w:rPr>
          <w:rFonts w:ascii="Times New Roman" w:eastAsia="Times New Roman" w:hAnsi="Times New Roman" w:cs="Times New Roman"/>
          <w:color w:val="000000"/>
          <w:sz w:val="24"/>
          <w:szCs w:val="23"/>
          <w:lang w:eastAsia="lv-LV"/>
        </w:rPr>
        <w:t>M</w:t>
      </w:r>
      <w:r w:rsidRPr="00770854">
        <w:rPr>
          <w:rFonts w:ascii="Times New Roman" w:eastAsia="Times New Roman" w:hAnsi="Times New Roman" w:cs="Times New Roman"/>
          <w:color w:val="000000"/>
          <w:sz w:val="24"/>
          <w:szCs w:val="23"/>
          <w:lang w:eastAsia="lv-LV"/>
        </w:rPr>
        <w:t xml:space="preserve"> ir konsultējusies ar Latvijas Bankas un Ekonomikas ministrijas, kā arī EK un Starptautiskā Valūtas fonda ekspertiem. Makroekonomisko rādītāju prognozes ir apstiprinājusi Fiskālās disciplīnas padome, 2019.gada 15.februārī publicējot savu atzinumu.</w:t>
      </w:r>
      <w:r>
        <w:rPr>
          <w:rFonts w:ascii="Times New Roman" w:eastAsia="Times New Roman" w:hAnsi="Times New Roman" w:cs="Times New Roman"/>
          <w:color w:val="000000"/>
          <w:sz w:val="24"/>
          <w:szCs w:val="23"/>
          <w:lang w:eastAsia="lv-LV"/>
        </w:rPr>
        <w:t xml:space="preserve"> Kā bāze</w:t>
      </w:r>
      <w:r w:rsidRPr="00770854">
        <w:rPr>
          <w:rFonts w:ascii="Times New Roman" w:eastAsia="Times New Roman" w:hAnsi="Times New Roman" w:cs="Times New Roman"/>
          <w:color w:val="000000"/>
          <w:sz w:val="24"/>
          <w:szCs w:val="23"/>
          <w:lang w:eastAsia="lv-LV"/>
        </w:rPr>
        <w:t xml:space="preserve"> ārējai ekonomiskajai videi, kas ir pamatā Latvijas eksporta prognozēm, </w:t>
      </w:r>
      <w:r>
        <w:rPr>
          <w:rFonts w:ascii="Times New Roman" w:eastAsia="Times New Roman" w:hAnsi="Times New Roman" w:cs="Times New Roman"/>
          <w:color w:val="000000"/>
          <w:sz w:val="24"/>
          <w:szCs w:val="23"/>
          <w:lang w:eastAsia="lv-LV"/>
        </w:rPr>
        <w:t>izmantotas EK un SVF jaunākās 2019</w:t>
      </w:r>
      <w:r w:rsidRPr="00770854">
        <w:rPr>
          <w:rFonts w:ascii="Times New Roman" w:eastAsia="Times New Roman" w:hAnsi="Times New Roman" w:cs="Times New Roman"/>
          <w:color w:val="000000"/>
          <w:sz w:val="24"/>
          <w:szCs w:val="23"/>
          <w:lang w:eastAsia="lv-LV"/>
        </w:rPr>
        <w:t>.</w:t>
      </w:r>
      <w:r>
        <w:rPr>
          <w:rFonts w:ascii="Times New Roman" w:eastAsia="Times New Roman" w:hAnsi="Times New Roman" w:cs="Times New Roman"/>
          <w:color w:val="000000"/>
          <w:sz w:val="24"/>
          <w:szCs w:val="23"/>
          <w:lang w:eastAsia="lv-LV"/>
        </w:rPr>
        <w:t>gada ziemas prognozes.</w:t>
      </w:r>
    </w:p>
    <w:p w:rsidR="00832C2A" w:rsidRPr="00D76C0C" w:rsidRDefault="00832C2A" w:rsidP="00C11D88">
      <w:pPr>
        <w:jc w:val="right"/>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2.1</w:t>
      </w:r>
      <w:r w:rsidRPr="00D76C0C">
        <w:rPr>
          <w:rFonts w:ascii="Times New Roman" w:eastAsia="Times New Roman" w:hAnsi="Times New Roman" w:cs="Times New Roman"/>
          <w:b/>
          <w:color w:val="000000"/>
          <w:sz w:val="24"/>
          <w:szCs w:val="24"/>
          <w:lang w:eastAsia="lv-LV"/>
        </w:rPr>
        <w:t>.tabula. Izaugsme un ar to saistītie faktori</w:t>
      </w:r>
    </w:p>
    <w:tbl>
      <w:tblPr>
        <w:tblStyle w:val="GridTable6Colorful-Accent1"/>
        <w:tblW w:w="9067" w:type="dxa"/>
        <w:jc w:val="center"/>
        <w:tblLayout w:type="fixed"/>
        <w:tblLook w:val="04A0" w:firstRow="1" w:lastRow="0" w:firstColumn="1" w:lastColumn="0" w:noHBand="0" w:noVBand="1"/>
      </w:tblPr>
      <w:tblGrid>
        <w:gridCol w:w="3681"/>
        <w:gridCol w:w="992"/>
        <w:gridCol w:w="851"/>
        <w:gridCol w:w="708"/>
        <w:gridCol w:w="709"/>
        <w:gridCol w:w="708"/>
        <w:gridCol w:w="709"/>
        <w:gridCol w:w="709"/>
      </w:tblGrid>
      <w:tr w:rsidR="00072903" w:rsidRPr="00D76C0C" w:rsidTr="00CC781A">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681" w:type="dxa"/>
            <w:vMerge w:val="restart"/>
            <w:hideMark/>
          </w:tcPr>
          <w:p w:rsidR="00072903" w:rsidRPr="00D76C0C" w:rsidRDefault="00072903" w:rsidP="00CC781A">
            <w:pPr>
              <w:spacing w:beforeLines="20" w:before="48" w:afterLines="20" w:after="48"/>
              <w:jc w:val="center"/>
              <w:rPr>
                <w:rFonts w:ascii="Times New Roman" w:hAnsi="Times New Roman" w:cs="Times New Roman"/>
                <w:b w:val="0"/>
                <w:bCs w:val="0"/>
                <w:color w:val="auto"/>
                <w:sz w:val="20"/>
                <w:szCs w:val="20"/>
              </w:rPr>
            </w:pPr>
          </w:p>
        </w:tc>
        <w:tc>
          <w:tcPr>
            <w:tcW w:w="992" w:type="dxa"/>
            <w:vMerge w:val="restart"/>
            <w:noWrap/>
            <w:vAlign w:val="center"/>
            <w:hideMark/>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6C0C">
              <w:rPr>
                <w:rFonts w:ascii="Times New Roman" w:hAnsi="Times New Roman" w:cs="Times New Roman"/>
                <w:color w:val="auto"/>
                <w:sz w:val="20"/>
                <w:szCs w:val="20"/>
              </w:rPr>
              <w:t>EKS Kods</w:t>
            </w:r>
          </w:p>
        </w:tc>
        <w:tc>
          <w:tcPr>
            <w:tcW w:w="851" w:type="dxa"/>
            <w:noWrap/>
            <w:vAlign w:val="center"/>
            <w:hideMark/>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6C0C">
              <w:rPr>
                <w:rFonts w:ascii="Times New Roman" w:hAnsi="Times New Roman" w:cs="Times New Roman"/>
                <w:color w:val="auto"/>
                <w:sz w:val="20"/>
                <w:szCs w:val="20"/>
              </w:rPr>
              <w:t>2018</w:t>
            </w:r>
          </w:p>
        </w:tc>
        <w:tc>
          <w:tcPr>
            <w:tcW w:w="708" w:type="dxa"/>
            <w:noWrap/>
            <w:vAlign w:val="center"/>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6C0C">
              <w:rPr>
                <w:rFonts w:ascii="Times New Roman" w:hAnsi="Times New Roman" w:cs="Times New Roman"/>
                <w:color w:val="auto"/>
                <w:sz w:val="20"/>
                <w:szCs w:val="20"/>
              </w:rPr>
              <w:t>2018</w:t>
            </w:r>
          </w:p>
        </w:tc>
        <w:tc>
          <w:tcPr>
            <w:tcW w:w="709" w:type="dxa"/>
            <w:noWrap/>
            <w:vAlign w:val="center"/>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6C0C">
              <w:rPr>
                <w:rFonts w:ascii="Times New Roman" w:hAnsi="Times New Roman" w:cs="Times New Roman"/>
                <w:color w:val="auto"/>
                <w:sz w:val="20"/>
                <w:szCs w:val="20"/>
              </w:rPr>
              <w:t>2019</w:t>
            </w:r>
          </w:p>
        </w:tc>
        <w:tc>
          <w:tcPr>
            <w:tcW w:w="708" w:type="dxa"/>
            <w:noWrap/>
            <w:vAlign w:val="center"/>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6C0C">
              <w:rPr>
                <w:rFonts w:ascii="Times New Roman" w:hAnsi="Times New Roman" w:cs="Times New Roman"/>
                <w:color w:val="auto"/>
                <w:sz w:val="20"/>
                <w:szCs w:val="20"/>
              </w:rPr>
              <w:t>2020</w:t>
            </w:r>
          </w:p>
        </w:tc>
        <w:tc>
          <w:tcPr>
            <w:tcW w:w="709" w:type="dxa"/>
            <w:noWrap/>
            <w:vAlign w:val="center"/>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6C0C">
              <w:rPr>
                <w:rFonts w:ascii="Times New Roman" w:hAnsi="Times New Roman" w:cs="Times New Roman"/>
                <w:color w:val="auto"/>
                <w:sz w:val="20"/>
                <w:szCs w:val="20"/>
              </w:rPr>
              <w:t>2021</w:t>
            </w:r>
          </w:p>
        </w:tc>
        <w:tc>
          <w:tcPr>
            <w:tcW w:w="709" w:type="dxa"/>
            <w:noWrap/>
            <w:vAlign w:val="center"/>
          </w:tcPr>
          <w:p w:rsidR="00072903" w:rsidRPr="00D76C0C" w:rsidRDefault="00072903" w:rsidP="00CC781A">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2022</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681" w:type="dxa"/>
            <w:vMerge/>
            <w:hideMark/>
          </w:tcPr>
          <w:p w:rsidR="00072903" w:rsidRPr="00D76C0C" w:rsidRDefault="00072903" w:rsidP="00CC781A">
            <w:pPr>
              <w:spacing w:beforeLines="20" w:before="48" w:afterLines="20" w:after="48"/>
              <w:rPr>
                <w:rFonts w:ascii="Times New Roman" w:hAnsi="Times New Roman" w:cs="Times New Roman"/>
                <w:b w:val="0"/>
                <w:bCs w:val="0"/>
                <w:color w:val="auto"/>
                <w:sz w:val="20"/>
                <w:szCs w:val="20"/>
              </w:rPr>
            </w:pPr>
          </w:p>
        </w:tc>
        <w:tc>
          <w:tcPr>
            <w:tcW w:w="992" w:type="dxa"/>
            <w:vMerge/>
            <w:hideMark/>
          </w:tcPr>
          <w:p w:rsidR="00072903" w:rsidRPr="00D76C0C" w:rsidRDefault="00072903" w:rsidP="00CC781A">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p>
        </w:tc>
        <w:tc>
          <w:tcPr>
            <w:tcW w:w="851" w:type="dxa"/>
            <w:noWrap/>
            <w:hideMark/>
          </w:tcPr>
          <w:p w:rsidR="00072903" w:rsidRPr="002B1A2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2B1A2C">
              <w:rPr>
                <w:rFonts w:ascii="Times New Roman" w:hAnsi="Times New Roman" w:cs="Times New Roman"/>
                <w:b/>
                <w:color w:val="auto"/>
                <w:sz w:val="20"/>
                <w:szCs w:val="20"/>
              </w:rPr>
              <w:t xml:space="preserve">milj. </w:t>
            </w:r>
            <w:proofErr w:type="spellStart"/>
            <w:r w:rsidRPr="002B1A2C">
              <w:rPr>
                <w:rFonts w:ascii="Times New Roman" w:hAnsi="Times New Roman" w:cs="Times New Roman"/>
                <w:b/>
                <w:i/>
                <w:iCs/>
                <w:color w:val="auto"/>
                <w:sz w:val="20"/>
                <w:szCs w:val="20"/>
              </w:rPr>
              <w:t>euro</w:t>
            </w:r>
            <w:proofErr w:type="spellEnd"/>
          </w:p>
        </w:tc>
        <w:tc>
          <w:tcPr>
            <w:tcW w:w="3543" w:type="dxa"/>
            <w:gridSpan w:val="5"/>
            <w:noWrap/>
            <w:vAlign w:val="center"/>
            <w:hideMark/>
          </w:tcPr>
          <w:p w:rsidR="00072903" w:rsidRPr="002B1A2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2B1A2C">
              <w:rPr>
                <w:rFonts w:ascii="Times New Roman" w:hAnsi="Times New Roman" w:cs="Times New Roman"/>
                <w:b/>
                <w:color w:val="auto"/>
                <w:sz w:val="20"/>
                <w:szCs w:val="20"/>
              </w:rPr>
              <w:t>Pieaugums %</w:t>
            </w:r>
          </w:p>
        </w:tc>
      </w:tr>
      <w:tr w:rsidR="00072903" w:rsidRPr="00D76C0C" w:rsidTr="00CC781A">
        <w:trPr>
          <w:trHeight w:val="168"/>
          <w:jc w:val="cent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1. IKP faktiskajās cenās</w:t>
            </w:r>
          </w:p>
        </w:tc>
        <w:tc>
          <w:tcPr>
            <w:tcW w:w="992" w:type="dxa"/>
            <w:noWrap/>
            <w:vAlign w:val="center"/>
            <w:hideMark/>
          </w:tcPr>
          <w:p w:rsidR="00072903" w:rsidRPr="00D76C0C" w:rsidRDefault="00072903" w:rsidP="00CC781A">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B1*g</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29</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424</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8</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8</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4</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5</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5</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2. IKP 2010.gada cenās</w:t>
            </w:r>
          </w:p>
        </w:tc>
        <w:tc>
          <w:tcPr>
            <w:tcW w:w="992" w:type="dxa"/>
            <w:noWrap/>
            <w:vAlign w:val="center"/>
            <w:hideMark/>
          </w:tcPr>
          <w:p w:rsidR="00072903" w:rsidRPr="00D76C0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B1*g</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23</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860</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8</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r>
      <w:tr w:rsidR="00072903" w:rsidRPr="00D76C0C" w:rsidTr="00CC781A">
        <w:trPr>
          <w:trHeight w:val="118"/>
          <w:jc w:val="center"/>
        </w:trPr>
        <w:tc>
          <w:tcPr>
            <w:cnfStyle w:val="001000000000" w:firstRow="0" w:lastRow="0" w:firstColumn="1" w:lastColumn="0" w:oddVBand="0" w:evenVBand="0" w:oddHBand="0" w:evenHBand="0" w:firstRowFirstColumn="0" w:firstRowLastColumn="0" w:lastRowFirstColumn="0" w:lastRowLastColumn="0"/>
            <w:tcW w:w="9067" w:type="dxa"/>
            <w:gridSpan w:val="8"/>
            <w:noWrap/>
            <w:hideMark/>
          </w:tcPr>
          <w:p w:rsidR="00072903" w:rsidRPr="002B1A2C" w:rsidRDefault="00072903" w:rsidP="00CC781A">
            <w:pPr>
              <w:autoSpaceDE w:val="0"/>
              <w:autoSpaceDN w:val="0"/>
              <w:adjustRightInd w:val="0"/>
              <w:spacing w:beforeLines="20" w:before="48" w:afterLines="20" w:after="48"/>
              <w:jc w:val="center"/>
              <w:rPr>
                <w:rFonts w:ascii="Times New Roman" w:eastAsia="Times New Roman" w:hAnsi="Times New Roman" w:cs="Times New Roman"/>
                <w:color w:val="000000"/>
                <w:sz w:val="20"/>
                <w:szCs w:val="24"/>
                <w:lang w:eastAsia="lv-LV"/>
              </w:rPr>
            </w:pPr>
            <w:r w:rsidRPr="002B1A2C">
              <w:rPr>
                <w:rFonts w:ascii="Times New Roman" w:eastAsia="Times New Roman" w:hAnsi="Times New Roman" w:cs="Times New Roman"/>
                <w:color w:val="000000"/>
                <w:sz w:val="20"/>
                <w:szCs w:val="24"/>
                <w:lang w:eastAsia="lv-LV"/>
              </w:rPr>
              <w:t>IKP pēc izlietojuma 2010.gada cenās</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3. Privātais patēriņš</w:t>
            </w:r>
          </w:p>
        </w:tc>
        <w:tc>
          <w:tcPr>
            <w:tcW w:w="992" w:type="dxa"/>
            <w:noWrap/>
            <w:vAlign w:val="center"/>
            <w:hideMark/>
          </w:tcPr>
          <w:p w:rsidR="00072903" w:rsidRPr="00D76C0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P3</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14</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660</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4,6</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4,3</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3,6</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3,6</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3,6</w:t>
            </w:r>
          </w:p>
        </w:tc>
      </w:tr>
      <w:tr w:rsidR="00072903" w:rsidRPr="00D76C0C" w:rsidTr="00CC781A">
        <w:trPr>
          <w:trHeight w:val="20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4. Sabiedriskais patēriņš</w:t>
            </w:r>
          </w:p>
        </w:tc>
        <w:tc>
          <w:tcPr>
            <w:tcW w:w="992" w:type="dxa"/>
            <w:noWrap/>
            <w:vAlign w:val="center"/>
            <w:hideMark/>
          </w:tcPr>
          <w:p w:rsidR="00072903" w:rsidRPr="00D76C0C" w:rsidRDefault="00072903" w:rsidP="00CC781A">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P3</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039</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4,0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w:t>
            </w:r>
            <w:r w:rsidRPr="00D76C0C">
              <w:rPr>
                <w:rFonts w:ascii="Times New Roman" w:eastAsia="Times New Roman" w:hAnsi="Times New Roman" w:cs="Times New Roman"/>
                <w:color w:val="000000"/>
                <w:sz w:val="20"/>
                <w:szCs w:val="24"/>
                <w:lang w:eastAsia="lv-LV"/>
              </w:rPr>
              <w:t>6</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3,0</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5. Kopējā pamatkapitāla veidošana</w:t>
            </w:r>
          </w:p>
        </w:tc>
        <w:tc>
          <w:tcPr>
            <w:tcW w:w="992" w:type="dxa"/>
            <w:noWrap/>
            <w:vAlign w:val="center"/>
            <w:hideMark/>
          </w:tcPr>
          <w:p w:rsidR="00072903" w:rsidRPr="00D76C0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P51</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559</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16,2</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7,7</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6,0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6,0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6,0</w:t>
            </w:r>
          </w:p>
        </w:tc>
      </w:tr>
      <w:tr w:rsidR="00072903" w:rsidRPr="00D76C0C" w:rsidTr="00CC781A">
        <w:trPr>
          <w:trHeight w:val="24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6. Krājumu pārmaiņas un vērtslietu iegāde</w:t>
            </w:r>
          </w:p>
        </w:tc>
        <w:tc>
          <w:tcPr>
            <w:tcW w:w="992" w:type="dxa"/>
            <w:noWrap/>
            <w:vAlign w:val="center"/>
            <w:hideMark/>
          </w:tcPr>
          <w:p w:rsidR="00072903" w:rsidRPr="00D76C0C" w:rsidRDefault="00072903" w:rsidP="00CC781A">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P52+P53</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758</w:t>
            </w:r>
          </w:p>
        </w:tc>
        <w:tc>
          <w:tcPr>
            <w:tcW w:w="708" w:type="dxa"/>
            <w:noWrap/>
            <w:vAlign w:val="center"/>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w:t>
            </w:r>
          </w:p>
        </w:tc>
        <w:tc>
          <w:tcPr>
            <w:tcW w:w="709" w:type="dxa"/>
            <w:noWrap/>
            <w:vAlign w:val="center"/>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w:t>
            </w:r>
          </w:p>
        </w:tc>
        <w:tc>
          <w:tcPr>
            <w:tcW w:w="708" w:type="dxa"/>
            <w:noWrap/>
            <w:vAlign w:val="center"/>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w:t>
            </w:r>
          </w:p>
        </w:tc>
        <w:tc>
          <w:tcPr>
            <w:tcW w:w="709" w:type="dxa"/>
            <w:noWrap/>
            <w:vAlign w:val="center"/>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w:t>
            </w:r>
          </w:p>
        </w:tc>
        <w:tc>
          <w:tcPr>
            <w:tcW w:w="709" w:type="dxa"/>
            <w:noWrap/>
            <w:vAlign w:val="center"/>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7. Eksports</w:t>
            </w:r>
          </w:p>
        </w:tc>
        <w:tc>
          <w:tcPr>
            <w:tcW w:w="992" w:type="dxa"/>
            <w:noWrap/>
            <w:vAlign w:val="center"/>
            <w:hideMark/>
          </w:tcPr>
          <w:p w:rsidR="00072903" w:rsidRPr="00D76C0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P6</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14</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863</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5</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1</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r>
      <w:tr w:rsidR="00072903" w:rsidRPr="00D76C0C" w:rsidTr="00CC781A">
        <w:trPr>
          <w:trHeight w:val="20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8. Imports</w:t>
            </w:r>
          </w:p>
        </w:tc>
        <w:tc>
          <w:tcPr>
            <w:tcW w:w="992" w:type="dxa"/>
            <w:noWrap/>
            <w:vAlign w:val="center"/>
            <w:hideMark/>
          </w:tcPr>
          <w:p w:rsidR="00072903" w:rsidRPr="00D76C0C" w:rsidRDefault="00072903" w:rsidP="00CC781A">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P7</w:t>
            </w:r>
          </w:p>
        </w:tc>
        <w:tc>
          <w:tcPr>
            <w:tcW w:w="851"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16</w:t>
            </w:r>
            <w:r>
              <w:rPr>
                <w:rFonts w:ascii="Times New Roman" w:eastAsia="Times New Roman" w:hAnsi="Times New Roman" w:cs="Times New Roman"/>
                <w:color w:val="000000"/>
                <w:sz w:val="20"/>
                <w:szCs w:val="24"/>
                <w:lang w:eastAsia="lv-LV"/>
              </w:rPr>
              <w:t> </w:t>
            </w:r>
            <w:r w:rsidRPr="00D76C0C">
              <w:rPr>
                <w:rFonts w:ascii="Times New Roman" w:eastAsia="Times New Roman" w:hAnsi="Times New Roman" w:cs="Times New Roman"/>
                <w:color w:val="000000"/>
                <w:sz w:val="20"/>
                <w:szCs w:val="24"/>
                <w:lang w:eastAsia="lv-LV"/>
              </w:rPr>
              <w:t>019</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8</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7</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67" w:type="dxa"/>
            <w:gridSpan w:val="8"/>
            <w:noWrap/>
            <w:hideMark/>
          </w:tcPr>
          <w:p w:rsidR="00072903" w:rsidRPr="002B1A2C" w:rsidRDefault="00072903" w:rsidP="00CC781A">
            <w:pPr>
              <w:autoSpaceDE w:val="0"/>
              <w:autoSpaceDN w:val="0"/>
              <w:adjustRightInd w:val="0"/>
              <w:spacing w:beforeLines="20" w:before="48" w:afterLines="20" w:after="48"/>
              <w:jc w:val="center"/>
              <w:rPr>
                <w:rFonts w:ascii="Times New Roman" w:eastAsia="Times New Roman" w:hAnsi="Times New Roman" w:cs="Times New Roman"/>
                <w:color w:val="000000"/>
                <w:sz w:val="20"/>
                <w:szCs w:val="24"/>
                <w:lang w:eastAsia="lv-LV"/>
              </w:rPr>
            </w:pPr>
            <w:r w:rsidRPr="002B1A2C">
              <w:rPr>
                <w:rFonts w:ascii="Times New Roman" w:eastAsia="Times New Roman" w:hAnsi="Times New Roman" w:cs="Times New Roman"/>
                <w:color w:val="000000"/>
                <w:sz w:val="20"/>
                <w:szCs w:val="24"/>
                <w:lang w:eastAsia="lv-LV"/>
              </w:rPr>
              <w:t>Ieguldījums IKP izaugsmē</w:t>
            </w:r>
          </w:p>
        </w:tc>
      </w:tr>
      <w:tr w:rsidR="00072903" w:rsidRPr="00D76C0C" w:rsidTr="00CC781A">
        <w:trPr>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9. Kopējais iekšzemes pieprasījums</w:t>
            </w:r>
          </w:p>
        </w:tc>
        <w:tc>
          <w:tcPr>
            <w:tcW w:w="992" w:type="dxa"/>
            <w:noWrap/>
            <w:vAlign w:val="center"/>
            <w:hideMark/>
          </w:tcPr>
          <w:p w:rsidR="00072903" w:rsidRPr="00D76C0C" w:rsidRDefault="00072903" w:rsidP="00CC781A">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1" w:type="dxa"/>
            <w:noWrap/>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 </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1</w:t>
            </w:r>
          </w:p>
        </w:tc>
      </w:tr>
      <w:tr w:rsidR="00072903" w:rsidRPr="00D76C0C" w:rsidTr="00CC781A">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 xml:space="preserve">10. Krājumu pārmaiņas un vērtslietu iegāde </w:t>
            </w:r>
          </w:p>
        </w:tc>
        <w:tc>
          <w:tcPr>
            <w:tcW w:w="992" w:type="dxa"/>
            <w:noWrap/>
            <w:vAlign w:val="center"/>
            <w:hideMark/>
          </w:tcPr>
          <w:p w:rsidR="00072903" w:rsidRPr="00D76C0C" w:rsidRDefault="00072903" w:rsidP="00CC781A">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P52+P53</w:t>
            </w:r>
          </w:p>
        </w:tc>
        <w:tc>
          <w:tcPr>
            <w:tcW w:w="851" w:type="dxa"/>
            <w:noWrap/>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 </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7</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2</w:t>
            </w:r>
          </w:p>
        </w:tc>
      </w:tr>
      <w:tr w:rsidR="00072903" w:rsidRPr="00D76C0C" w:rsidTr="00CC781A">
        <w:trPr>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072903" w:rsidRPr="002B1A2C" w:rsidRDefault="00072903" w:rsidP="00CC781A">
            <w:pPr>
              <w:spacing w:beforeLines="20" w:before="48" w:afterLines="20" w:after="48"/>
              <w:rPr>
                <w:rFonts w:ascii="Times New Roman" w:hAnsi="Times New Roman" w:cs="Times New Roman"/>
                <w:bCs w:val="0"/>
                <w:color w:val="auto"/>
                <w:sz w:val="20"/>
                <w:szCs w:val="20"/>
              </w:rPr>
            </w:pPr>
            <w:r w:rsidRPr="002B1A2C">
              <w:rPr>
                <w:rFonts w:ascii="Times New Roman" w:hAnsi="Times New Roman" w:cs="Times New Roman"/>
                <w:bCs w:val="0"/>
                <w:color w:val="auto"/>
                <w:sz w:val="20"/>
                <w:szCs w:val="20"/>
              </w:rPr>
              <w:t>11. Eksporta-importa bilance</w:t>
            </w:r>
          </w:p>
        </w:tc>
        <w:tc>
          <w:tcPr>
            <w:tcW w:w="992" w:type="dxa"/>
            <w:noWrap/>
            <w:vAlign w:val="center"/>
            <w:hideMark/>
          </w:tcPr>
          <w:p w:rsidR="00072903" w:rsidRPr="00D76C0C" w:rsidRDefault="00072903" w:rsidP="00CC781A">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6C0C">
              <w:rPr>
                <w:rFonts w:ascii="Times New Roman" w:hAnsi="Times New Roman" w:cs="Times New Roman"/>
                <w:color w:val="auto"/>
                <w:sz w:val="20"/>
                <w:szCs w:val="20"/>
              </w:rPr>
              <w:t>B11</w:t>
            </w:r>
          </w:p>
        </w:tc>
        <w:tc>
          <w:tcPr>
            <w:tcW w:w="851" w:type="dxa"/>
            <w:noWrap/>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 </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9</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8</w:t>
            </w:r>
          </w:p>
        </w:tc>
        <w:tc>
          <w:tcPr>
            <w:tcW w:w="708"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c>
          <w:tcPr>
            <w:tcW w:w="709" w:type="dxa"/>
            <w:noWrap/>
            <w:vAlign w:val="center"/>
            <w:hideMark/>
          </w:tcPr>
          <w:p w:rsidR="00072903" w:rsidRPr="00D76C0C" w:rsidRDefault="00072903" w:rsidP="00CC781A">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76C0C">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D76C0C">
              <w:rPr>
                <w:rFonts w:ascii="Times New Roman" w:eastAsia="Times New Roman" w:hAnsi="Times New Roman" w:cs="Times New Roman"/>
                <w:color w:val="000000"/>
                <w:sz w:val="20"/>
                <w:szCs w:val="24"/>
                <w:lang w:eastAsia="lv-LV"/>
              </w:rPr>
              <w:t>0</w:t>
            </w:r>
          </w:p>
        </w:tc>
      </w:tr>
    </w:tbl>
    <w:p w:rsidR="00832C2A" w:rsidRDefault="00832C2A" w:rsidP="00832C2A">
      <w:pPr>
        <w:spacing w:after="0" w:line="240" w:lineRule="auto"/>
        <w:ind w:firstLine="720"/>
        <w:jc w:val="both"/>
        <w:rPr>
          <w:rFonts w:ascii="Times New Roman" w:eastAsia="Times New Roman" w:hAnsi="Times New Roman" w:cs="Times New Roman"/>
          <w:color w:val="000000"/>
          <w:sz w:val="24"/>
          <w:szCs w:val="23"/>
          <w:lang w:eastAsia="lv-LV"/>
        </w:rPr>
      </w:pPr>
    </w:p>
    <w:p w:rsidR="00832C2A" w:rsidRPr="00BE5CD4" w:rsidRDefault="00832C2A" w:rsidP="00832C2A">
      <w:pPr>
        <w:spacing w:after="0" w:line="240" w:lineRule="auto"/>
        <w:ind w:firstLine="720"/>
        <w:jc w:val="both"/>
        <w:rPr>
          <w:rFonts w:ascii="Times New Roman" w:eastAsia="Times New Roman" w:hAnsi="Times New Roman" w:cs="Times New Roman"/>
          <w:color w:val="000000"/>
          <w:sz w:val="24"/>
          <w:szCs w:val="23"/>
          <w:lang w:eastAsia="lv-LV"/>
        </w:rPr>
      </w:pPr>
      <w:r w:rsidRPr="00BE5CD4">
        <w:rPr>
          <w:rFonts w:ascii="Times New Roman" w:eastAsia="Times New Roman" w:hAnsi="Times New Roman" w:cs="Times New Roman"/>
          <w:color w:val="000000"/>
          <w:sz w:val="24"/>
          <w:szCs w:val="23"/>
          <w:lang w:eastAsia="lv-LV"/>
        </w:rPr>
        <w:t xml:space="preserve">Ņemot vērā Latvijas ekonomikas straujo izaugsmi 2018.gadā, </w:t>
      </w:r>
      <w:r w:rsidR="00A4120C" w:rsidRPr="003C7327">
        <w:rPr>
          <w:rFonts w:ascii="Times New Roman" w:hAnsi="Times New Roman" w:cs="Times New Roman"/>
          <w:color w:val="000000"/>
          <w:sz w:val="24"/>
          <w:szCs w:val="24"/>
          <w:lang w:eastAsia="lv-LV"/>
        </w:rPr>
        <w:t>IKP</w:t>
      </w:r>
      <w:r w:rsidR="00A4120C" w:rsidRPr="00BE5CD4">
        <w:rPr>
          <w:rFonts w:ascii="Times New Roman" w:eastAsia="Times New Roman" w:hAnsi="Times New Roman" w:cs="Times New Roman"/>
          <w:color w:val="000000"/>
          <w:sz w:val="24"/>
          <w:szCs w:val="23"/>
          <w:lang w:eastAsia="lv-LV"/>
        </w:rPr>
        <w:t xml:space="preserve"> </w:t>
      </w:r>
      <w:r w:rsidRPr="00BE5CD4">
        <w:rPr>
          <w:rFonts w:ascii="Times New Roman" w:eastAsia="Times New Roman" w:hAnsi="Times New Roman" w:cs="Times New Roman"/>
          <w:color w:val="000000"/>
          <w:sz w:val="24"/>
          <w:szCs w:val="23"/>
          <w:lang w:eastAsia="lv-LV"/>
        </w:rPr>
        <w:t>pieauguma prognoze 2019.gadam ir paaugstināta par 0,2 procentpunktiem, salīdzinot ar iepriekšēj</w:t>
      </w:r>
      <w:r>
        <w:rPr>
          <w:rFonts w:ascii="Times New Roman" w:eastAsia="Times New Roman" w:hAnsi="Times New Roman" w:cs="Times New Roman"/>
          <w:color w:val="000000"/>
          <w:sz w:val="24"/>
          <w:szCs w:val="23"/>
          <w:lang w:eastAsia="lv-LV"/>
        </w:rPr>
        <w:t>o</w:t>
      </w:r>
      <w:r w:rsidRPr="00BE5CD4">
        <w:rPr>
          <w:rFonts w:ascii="Times New Roman" w:eastAsia="Times New Roman" w:hAnsi="Times New Roman" w:cs="Times New Roman"/>
          <w:color w:val="000000"/>
          <w:sz w:val="24"/>
          <w:szCs w:val="23"/>
          <w:lang w:eastAsia="lv-LV"/>
        </w:rPr>
        <w:t>, 2018.gada septembrī izstrādāt</w:t>
      </w:r>
      <w:r>
        <w:rPr>
          <w:rFonts w:ascii="Times New Roman" w:eastAsia="Times New Roman" w:hAnsi="Times New Roman" w:cs="Times New Roman"/>
          <w:color w:val="000000"/>
          <w:sz w:val="24"/>
          <w:szCs w:val="23"/>
          <w:lang w:eastAsia="lv-LV"/>
        </w:rPr>
        <w:t>o</w:t>
      </w:r>
      <w:r w:rsidRPr="00BE5CD4">
        <w:rPr>
          <w:rFonts w:ascii="Times New Roman" w:eastAsia="Times New Roman" w:hAnsi="Times New Roman" w:cs="Times New Roman"/>
          <w:color w:val="000000"/>
          <w:sz w:val="24"/>
          <w:szCs w:val="23"/>
          <w:lang w:eastAsia="lv-LV"/>
        </w:rPr>
        <w:t xml:space="preserve"> prognoz</w:t>
      </w:r>
      <w:r>
        <w:rPr>
          <w:rFonts w:ascii="Times New Roman" w:eastAsia="Times New Roman" w:hAnsi="Times New Roman" w:cs="Times New Roman"/>
          <w:color w:val="000000"/>
          <w:sz w:val="24"/>
          <w:szCs w:val="23"/>
          <w:lang w:eastAsia="lv-LV"/>
        </w:rPr>
        <w:t>i</w:t>
      </w:r>
      <w:r w:rsidRPr="00BE5CD4">
        <w:rPr>
          <w:rFonts w:ascii="Times New Roman" w:eastAsia="Times New Roman" w:hAnsi="Times New Roman" w:cs="Times New Roman"/>
          <w:color w:val="000000"/>
          <w:sz w:val="24"/>
          <w:szCs w:val="23"/>
          <w:lang w:eastAsia="lv-LV"/>
        </w:rPr>
        <w:t xml:space="preserve">, </w:t>
      </w:r>
      <w:r>
        <w:rPr>
          <w:rFonts w:ascii="Times New Roman" w:eastAsia="Times New Roman" w:hAnsi="Times New Roman" w:cs="Times New Roman"/>
          <w:color w:val="000000"/>
          <w:sz w:val="24"/>
          <w:szCs w:val="23"/>
          <w:lang w:eastAsia="lv-LV"/>
        </w:rPr>
        <w:t>–</w:t>
      </w:r>
      <w:r w:rsidRPr="00BE5CD4">
        <w:rPr>
          <w:rFonts w:ascii="Times New Roman" w:eastAsia="Times New Roman" w:hAnsi="Times New Roman" w:cs="Times New Roman"/>
          <w:color w:val="000000"/>
          <w:sz w:val="24"/>
          <w:szCs w:val="23"/>
          <w:lang w:eastAsia="lv-LV"/>
        </w:rPr>
        <w:t xml:space="preserve"> līdz 3,2%, un 2020.gadā tiek prognozēta 3% izaugsme. IKP izaugsmi bremzēs vājāks pieprasījums ārējos tirgos, jo pasaules ekonomikā vērojama biznesa cikla bremzēšanās. Investīciju pieaugums, stabilizējoties ES fondu ieplūdei 2018.gada līmenī, </w:t>
      </w:r>
      <w:r>
        <w:rPr>
          <w:rFonts w:ascii="Times New Roman" w:eastAsia="Times New Roman" w:hAnsi="Times New Roman" w:cs="Times New Roman"/>
          <w:color w:val="000000"/>
          <w:sz w:val="24"/>
          <w:szCs w:val="23"/>
          <w:lang w:eastAsia="lv-LV"/>
        </w:rPr>
        <w:t>nākamajos gados</w:t>
      </w:r>
      <w:r w:rsidRPr="00BE5CD4">
        <w:rPr>
          <w:rFonts w:ascii="Times New Roman" w:eastAsia="Times New Roman" w:hAnsi="Times New Roman" w:cs="Times New Roman"/>
          <w:color w:val="000000"/>
          <w:sz w:val="24"/>
          <w:szCs w:val="23"/>
          <w:lang w:eastAsia="lv-LV"/>
        </w:rPr>
        <w:t xml:space="preserve"> būs mērenāks nekā </w:t>
      </w:r>
      <w:r>
        <w:rPr>
          <w:rFonts w:ascii="Times New Roman" w:eastAsia="Times New Roman" w:hAnsi="Times New Roman" w:cs="Times New Roman"/>
          <w:color w:val="000000"/>
          <w:sz w:val="24"/>
          <w:szCs w:val="23"/>
          <w:lang w:eastAsia="lv-LV"/>
        </w:rPr>
        <w:t xml:space="preserve">2017. un </w:t>
      </w:r>
      <w:r w:rsidRPr="00BE5CD4">
        <w:rPr>
          <w:rFonts w:ascii="Times New Roman" w:eastAsia="Times New Roman" w:hAnsi="Times New Roman" w:cs="Times New Roman"/>
          <w:color w:val="000000"/>
          <w:sz w:val="24"/>
          <w:szCs w:val="23"/>
          <w:lang w:eastAsia="lv-LV"/>
        </w:rPr>
        <w:t>2018.gadā, lai gan joprojām spēcīgs (2019.gadā 7,7% un 2020.gadā 6%). Saglabāsies noturīgs privātā patēriņa pieaugums 4,3% apmērā 2019.gadā un 2020.gadā 3,6%, ko veicinās salīdzinoši straujš vidējās algas kāpums (par 6,5% un 5,5% attiecīgi 2019. un 2020.gadā) un pieaugošā iedzīvotāju pirktspēja.</w:t>
      </w:r>
    </w:p>
    <w:p w:rsidR="00832C2A" w:rsidRPr="00BE5CD4" w:rsidRDefault="00832C2A" w:rsidP="00832C2A">
      <w:pPr>
        <w:spacing w:after="0" w:line="240" w:lineRule="auto"/>
        <w:ind w:firstLine="720"/>
        <w:jc w:val="both"/>
        <w:rPr>
          <w:rFonts w:ascii="Times New Roman" w:eastAsia="Times New Roman" w:hAnsi="Times New Roman" w:cs="Times New Roman"/>
          <w:color w:val="000000"/>
          <w:sz w:val="24"/>
          <w:szCs w:val="23"/>
          <w:lang w:eastAsia="lv-LV"/>
        </w:rPr>
      </w:pPr>
      <w:r w:rsidRPr="00BE5CD4">
        <w:rPr>
          <w:rFonts w:ascii="Times New Roman" w:eastAsia="Times New Roman" w:hAnsi="Times New Roman" w:cs="Times New Roman"/>
          <w:color w:val="000000"/>
          <w:sz w:val="24"/>
          <w:szCs w:val="23"/>
          <w:lang w:eastAsia="lv-LV"/>
        </w:rPr>
        <w:t>Darba tirgu turpinās ietekmēt augošais pieprasījums pēc darbaspēka un demogrāfiskās tendences. Nodarbināto skaits 2019.gadā palielināsies par 0,5%, bet tālākajos gados pieaugumu ierobežos darbspējas vecuma iedzīvotāju skaita samazināšanās. Bezdarba līmenis 2019.gadā pazemināsies lī</w:t>
      </w:r>
      <w:r>
        <w:rPr>
          <w:rFonts w:ascii="Times New Roman" w:eastAsia="Times New Roman" w:hAnsi="Times New Roman" w:cs="Times New Roman"/>
          <w:color w:val="000000"/>
          <w:sz w:val="24"/>
          <w:szCs w:val="23"/>
          <w:lang w:eastAsia="lv-LV"/>
        </w:rPr>
        <w:t>dz 7,0</w:t>
      </w:r>
      <w:r w:rsidRPr="00BE5CD4">
        <w:rPr>
          <w:rFonts w:ascii="Times New Roman" w:eastAsia="Times New Roman" w:hAnsi="Times New Roman" w:cs="Times New Roman"/>
          <w:color w:val="000000"/>
          <w:sz w:val="24"/>
          <w:szCs w:val="23"/>
          <w:lang w:eastAsia="lv-LV"/>
        </w:rPr>
        <w:t>% un 2020.gadā līdz 6,5%.</w:t>
      </w:r>
    </w:p>
    <w:p w:rsidR="00917436" w:rsidRDefault="00832C2A" w:rsidP="00C11D88">
      <w:pPr>
        <w:spacing w:after="0" w:line="240" w:lineRule="auto"/>
        <w:ind w:firstLine="720"/>
        <w:jc w:val="both"/>
        <w:rPr>
          <w:rFonts w:ascii="Times New Roman" w:eastAsia="Times New Roman" w:hAnsi="Times New Roman" w:cs="Times New Roman"/>
          <w:b/>
          <w:sz w:val="24"/>
          <w:szCs w:val="24"/>
        </w:rPr>
      </w:pPr>
      <w:r w:rsidRPr="00BE5CD4">
        <w:rPr>
          <w:rFonts w:ascii="Times New Roman" w:eastAsia="Times New Roman" w:hAnsi="Times New Roman" w:cs="Times New Roman"/>
          <w:color w:val="000000"/>
          <w:sz w:val="24"/>
          <w:szCs w:val="23"/>
          <w:lang w:eastAsia="lv-LV"/>
        </w:rPr>
        <w:lastRenderedPageBreak/>
        <w:t>Patēriņa cenu pieaugums Latvijā 2019.gadā saglabāsies iepriekšējā gada līmenī un būs 2,5%. Cenu dinamiku 201</w:t>
      </w:r>
      <w:r>
        <w:rPr>
          <w:rFonts w:ascii="Times New Roman" w:eastAsia="Times New Roman" w:hAnsi="Times New Roman" w:cs="Times New Roman"/>
          <w:color w:val="000000"/>
          <w:sz w:val="24"/>
          <w:szCs w:val="23"/>
          <w:lang w:eastAsia="lv-LV"/>
        </w:rPr>
        <w:t>9</w:t>
      </w:r>
      <w:r w:rsidRPr="00BE5CD4">
        <w:rPr>
          <w:rFonts w:ascii="Times New Roman" w:eastAsia="Times New Roman" w:hAnsi="Times New Roman" w:cs="Times New Roman"/>
          <w:color w:val="000000"/>
          <w:sz w:val="24"/>
          <w:szCs w:val="23"/>
          <w:lang w:eastAsia="lv-LV"/>
        </w:rPr>
        <w:t>.gadā noteiks augstāks komunālo pakalpojumu un pārtikas cenu pieaugums nekā 2018.gadā, kā arī akcīzes nodokļa paaugstināšana tabakas izstrādājumiem un alkoholiskajiem dzērieniem, savukārt degvielas cenu pieaugums būs lēnāks. 2020.gadā inflācija pazemināsies līdz 2,2%.</w:t>
      </w:r>
    </w:p>
    <w:p w:rsidR="005A443D" w:rsidRDefault="005A443D" w:rsidP="00917436">
      <w:pPr>
        <w:spacing w:after="0" w:line="240" w:lineRule="auto"/>
        <w:ind w:firstLine="720"/>
        <w:jc w:val="both"/>
        <w:outlineLvl w:val="3"/>
        <w:rPr>
          <w:rFonts w:ascii="Times New Roman" w:eastAsia="Times New Roman" w:hAnsi="Times New Roman" w:cs="Times New Roman"/>
          <w:b/>
          <w:i/>
          <w:sz w:val="24"/>
          <w:szCs w:val="24"/>
        </w:rPr>
      </w:pPr>
    </w:p>
    <w:p w:rsidR="00832C2A" w:rsidRPr="005A443D" w:rsidRDefault="00832C2A" w:rsidP="00917436">
      <w:pPr>
        <w:spacing w:after="0" w:line="240" w:lineRule="auto"/>
        <w:ind w:firstLine="720"/>
        <w:jc w:val="both"/>
        <w:outlineLvl w:val="3"/>
        <w:rPr>
          <w:rFonts w:ascii="Times New Roman" w:eastAsia="Times New Roman" w:hAnsi="Times New Roman" w:cs="Times New Roman"/>
          <w:b/>
          <w:i/>
          <w:sz w:val="24"/>
          <w:szCs w:val="24"/>
        </w:rPr>
      </w:pPr>
      <w:r w:rsidRPr="005A443D">
        <w:rPr>
          <w:rFonts w:ascii="Times New Roman" w:eastAsia="Times New Roman" w:hAnsi="Times New Roman" w:cs="Times New Roman"/>
          <w:b/>
          <w:i/>
          <w:sz w:val="24"/>
          <w:szCs w:val="24"/>
        </w:rPr>
        <w:t>Inflācija</w:t>
      </w:r>
    </w:p>
    <w:p w:rsidR="00832C2A" w:rsidRPr="002B715E" w:rsidRDefault="00832C2A" w:rsidP="002B1A2C">
      <w:pPr>
        <w:spacing w:after="0" w:line="240" w:lineRule="auto"/>
        <w:ind w:firstLine="720"/>
        <w:jc w:val="both"/>
        <w:rPr>
          <w:rFonts w:ascii="Times New Roman" w:eastAsia="Calibri" w:hAnsi="Times New Roman" w:cs="Times New Roman"/>
          <w:sz w:val="24"/>
          <w:szCs w:val="24"/>
        </w:rPr>
      </w:pPr>
      <w:r w:rsidRPr="002B715E">
        <w:rPr>
          <w:rFonts w:ascii="Times New Roman" w:eastAsia="Calibri" w:hAnsi="Times New Roman" w:cs="Times New Roman"/>
          <w:sz w:val="24"/>
          <w:szCs w:val="24"/>
        </w:rPr>
        <w:t>Pēc neliela inflācijas palēninājuma 2018.gada nogalē, mājsaimniecību patēriņa cenu pieaugums 2019.gada s</w:t>
      </w:r>
      <w:r>
        <w:rPr>
          <w:rFonts w:ascii="Times New Roman" w:eastAsia="Calibri" w:hAnsi="Times New Roman" w:cs="Times New Roman"/>
          <w:sz w:val="24"/>
          <w:szCs w:val="24"/>
        </w:rPr>
        <w:t>ā</w:t>
      </w:r>
      <w:r w:rsidRPr="002B715E">
        <w:rPr>
          <w:rFonts w:ascii="Times New Roman" w:eastAsia="Calibri" w:hAnsi="Times New Roman" w:cs="Times New Roman"/>
          <w:sz w:val="24"/>
          <w:szCs w:val="24"/>
        </w:rPr>
        <w:t>kumā atkal paātrinājās, sasniedzot 3,0% janvārī un 2,9% februārī</w:t>
      </w:r>
      <w:r>
        <w:rPr>
          <w:rFonts w:ascii="Times New Roman" w:eastAsia="Calibri" w:hAnsi="Times New Roman" w:cs="Times New Roman"/>
          <w:sz w:val="24"/>
          <w:szCs w:val="24"/>
        </w:rPr>
        <w:t>, salīdzinot ar 2018.gada attiecīgo</w:t>
      </w:r>
      <w:r w:rsidRPr="002B715E">
        <w:rPr>
          <w:rFonts w:ascii="Times New Roman" w:eastAsia="Calibri" w:hAnsi="Times New Roman" w:cs="Times New Roman"/>
          <w:sz w:val="24"/>
          <w:szCs w:val="24"/>
        </w:rPr>
        <w:t xml:space="preserve"> mēnesi. Atšķir</w:t>
      </w:r>
      <w:r>
        <w:rPr>
          <w:rFonts w:ascii="Times New Roman" w:eastAsia="Calibri" w:hAnsi="Times New Roman" w:cs="Times New Roman"/>
          <w:sz w:val="24"/>
          <w:szCs w:val="24"/>
        </w:rPr>
        <w:t>ībā no pagājušajā gadā patēriņa cenu dinamiku</w:t>
      </w:r>
      <w:r w:rsidRPr="002B715E">
        <w:rPr>
          <w:rFonts w:ascii="Times New Roman" w:eastAsia="Calibri" w:hAnsi="Times New Roman" w:cs="Times New Roman"/>
          <w:sz w:val="24"/>
          <w:szCs w:val="24"/>
        </w:rPr>
        <w:t xml:space="preserve"> ietekmējoš</w:t>
      </w:r>
      <w:r>
        <w:rPr>
          <w:rFonts w:ascii="Times New Roman" w:eastAsia="Calibri" w:hAnsi="Times New Roman" w:cs="Times New Roman"/>
          <w:sz w:val="24"/>
          <w:szCs w:val="24"/>
        </w:rPr>
        <w:t>aj</w:t>
      </w:r>
      <w:r w:rsidRPr="002B715E">
        <w:rPr>
          <w:rFonts w:ascii="Times New Roman" w:eastAsia="Calibri" w:hAnsi="Times New Roman" w:cs="Times New Roman"/>
          <w:sz w:val="24"/>
          <w:szCs w:val="24"/>
        </w:rPr>
        <w:t xml:space="preserve">iem faktoriem, 2019.gada pirmajos divos mēnešos būtiski paātrinājās ar mājokļa uzturēšanu saistīto preču un pakalpojumu cenu kāpums, īpaši strauji auga komunālo pakalpojumu cenas. Šo preču un pakalpojumu cenu kāpums izskaidro 0,9 procentpunktu no inflācijas </w:t>
      </w:r>
      <w:r>
        <w:rPr>
          <w:rFonts w:ascii="Times New Roman" w:eastAsia="Calibri" w:hAnsi="Times New Roman" w:cs="Times New Roman"/>
          <w:sz w:val="24"/>
          <w:szCs w:val="24"/>
        </w:rPr>
        <w:t xml:space="preserve">2019.gada </w:t>
      </w:r>
      <w:r w:rsidRPr="002B715E">
        <w:rPr>
          <w:rFonts w:ascii="Times New Roman" w:eastAsia="Calibri" w:hAnsi="Times New Roman" w:cs="Times New Roman"/>
          <w:sz w:val="24"/>
          <w:szCs w:val="24"/>
        </w:rPr>
        <w:t xml:space="preserve">pirmajos divos mēnešos. Papildus tam, patēriņa cenu pieaugumu ietekmēja arī alkoholisko dzērienu, tabakas izstrādājumu un pārtikas cenu kāpums. </w:t>
      </w:r>
    </w:p>
    <w:p w:rsidR="00832C2A" w:rsidRPr="002B715E" w:rsidRDefault="00832C2A" w:rsidP="002B1A2C">
      <w:pPr>
        <w:spacing w:after="0" w:line="240" w:lineRule="auto"/>
        <w:ind w:firstLine="720"/>
        <w:jc w:val="both"/>
        <w:rPr>
          <w:rFonts w:ascii="Times New Roman" w:eastAsia="Calibri" w:hAnsi="Times New Roman" w:cs="Times New Roman"/>
          <w:sz w:val="24"/>
          <w:szCs w:val="24"/>
        </w:rPr>
      </w:pPr>
      <w:r w:rsidRPr="002B715E">
        <w:rPr>
          <w:rFonts w:ascii="Times New Roman" w:eastAsia="Calibri" w:hAnsi="Times New Roman" w:cs="Times New Roman"/>
          <w:sz w:val="24"/>
          <w:szCs w:val="24"/>
        </w:rPr>
        <w:t>Būtisk</w:t>
      </w:r>
      <w:r>
        <w:rPr>
          <w:rFonts w:ascii="Times New Roman" w:eastAsia="Calibri" w:hAnsi="Times New Roman" w:cs="Times New Roman"/>
          <w:sz w:val="24"/>
          <w:szCs w:val="24"/>
        </w:rPr>
        <w:t>a</w:t>
      </w:r>
      <w:r w:rsidRPr="002B715E">
        <w:rPr>
          <w:rFonts w:ascii="Times New Roman" w:eastAsia="Calibri" w:hAnsi="Times New Roman" w:cs="Times New Roman"/>
          <w:sz w:val="24"/>
          <w:szCs w:val="24"/>
        </w:rPr>
        <w:t xml:space="preserve"> paaugstinoš</w:t>
      </w:r>
      <w:r>
        <w:rPr>
          <w:rFonts w:ascii="Times New Roman" w:eastAsia="Calibri" w:hAnsi="Times New Roman" w:cs="Times New Roman"/>
          <w:sz w:val="24"/>
          <w:szCs w:val="24"/>
        </w:rPr>
        <w:t>a ietekme</w:t>
      </w:r>
      <w:r w:rsidRPr="002B715E">
        <w:rPr>
          <w:rFonts w:ascii="Times New Roman" w:eastAsia="Calibri" w:hAnsi="Times New Roman" w:cs="Times New Roman"/>
          <w:sz w:val="24"/>
          <w:szCs w:val="24"/>
        </w:rPr>
        <w:t xml:space="preserve"> uz patēr</w:t>
      </w:r>
      <w:r>
        <w:rPr>
          <w:rFonts w:ascii="Times New Roman" w:eastAsia="Calibri" w:hAnsi="Times New Roman" w:cs="Times New Roman"/>
          <w:sz w:val="24"/>
          <w:szCs w:val="24"/>
        </w:rPr>
        <w:t>iņa cenu pieaugumu š.g. sākumā bija gāzes cenu kāpumam</w:t>
      </w:r>
      <w:r w:rsidRPr="002B715E">
        <w:rPr>
          <w:rFonts w:ascii="Times New Roman" w:eastAsia="Calibri" w:hAnsi="Times New Roman" w:cs="Times New Roman"/>
          <w:sz w:val="24"/>
          <w:szCs w:val="24"/>
        </w:rPr>
        <w:t xml:space="preserve"> par 19,9% salīdzinājumā ar pirmajiem diviem mēnešiem 2018.gadā. Tik strauju cenu palielinājumu ietekmēja divi faktori. Pirmkārt, </w:t>
      </w:r>
      <w:r>
        <w:rPr>
          <w:rFonts w:ascii="Times New Roman" w:eastAsia="Calibri" w:hAnsi="Times New Roman" w:cs="Times New Roman"/>
          <w:color w:val="000000"/>
          <w:sz w:val="24"/>
          <w:szCs w:val="24"/>
          <w:shd w:val="clear" w:color="auto" w:fill="FFFFFF"/>
        </w:rPr>
        <w:t>ar 2019.gada 1.</w:t>
      </w:r>
      <w:r w:rsidRPr="002B715E">
        <w:rPr>
          <w:rFonts w:ascii="Times New Roman" w:eastAsia="Calibri" w:hAnsi="Times New Roman" w:cs="Times New Roman"/>
          <w:color w:val="000000"/>
          <w:sz w:val="24"/>
          <w:szCs w:val="24"/>
          <w:shd w:val="clear" w:color="auto" w:fill="FFFFFF"/>
        </w:rPr>
        <w:t xml:space="preserve">janvāri </w:t>
      </w:r>
      <w:r>
        <w:rPr>
          <w:rFonts w:ascii="Times New Roman" w:eastAsia="Calibri" w:hAnsi="Times New Roman" w:cs="Times New Roman"/>
          <w:color w:val="000000"/>
          <w:sz w:val="24"/>
          <w:szCs w:val="24"/>
          <w:shd w:val="clear" w:color="auto" w:fill="FFFFFF"/>
        </w:rPr>
        <w:t>stājās spēkā</w:t>
      </w:r>
      <w:r w:rsidRPr="002B715E">
        <w:rPr>
          <w:rFonts w:ascii="Times New Roman" w:eastAsia="Calibri" w:hAnsi="Times New Roman" w:cs="Times New Roman"/>
          <w:color w:val="000000"/>
          <w:sz w:val="24"/>
          <w:szCs w:val="24"/>
          <w:shd w:val="clear" w:color="auto" w:fill="FFFFFF"/>
        </w:rPr>
        <w:t xml:space="preserve"> jaunie divpakāpju dabasgāzes sadales sistēmas pakalpojuma tarifi, ieviešot fiksētu maksu par </w:t>
      </w:r>
      <w:proofErr w:type="spellStart"/>
      <w:r w:rsidRPr="002B715E">
        <w:rPr>
          <w:rFonts w:ascii="Times New Roman" w:eastAsia="Calibri" w:hAnsi="Times New Roman" w:cs="Times New Roman"/>
          <w:color w:val="000000"/>
          <w:sz w:val="24"/>
          <w:szCs w:val="24"/>
          <w:shd w:val="clear" w:color="auto" w:fill="FFFFFF"/>
        </w:rPr>
        <w:t>pieslēgumu</w:t>
      </w:r>
      <w:proofErr w:type="spellEnd"/>
      <w:r w:rsidRPr="002B715E">
        <w:rPr>
          <w:rFonts w:ascii="Times New Roman" w:eastAsia="Calibri" w:hAnsi="Times New Roman" w:cs="Times New Roman"/>
          <w:color w:val="000000"/>
          <w:sz w:val="24"/>
          <w:szCs w:val="24"/>
          <w:shd w:val="clear" w:color="auto" w:fill="FFFFFF"/>
        </w:rPr>
        <w:t xml:space="preserve"> atbilstoši </w:t>
      </w:r>
      <w:proofErr w:type="spellStart"/>
      <w:r w:rsidRPr="002B715E">
        <w:rPr>
          <w:rFonts w:ascii="Times New Roman" w:eastAsia="Calibri" w:hAnsi="Times New Roman" w:cs="Times New Roman"/>
          <w:color w:val="000000"/>
          <w:sz w:val="24"/>
          <w:szCs w:val="24"/>
          <w:shd w:val="clear" w:color="auto" w:fill="FFFFFF"/>
        </w:rPr>
        <w:t>pieslēguma</w:t>
      </w:r>
      <w:proofErr w:type="spellEnd"/>
      <w:r w:rsidRPr="002B715E">
        <w:rPr>
          <w:rFonts w:ascii="Times New Roman" w:eastAsia="Calibri" w:hAnsi="Times New Roman" w:cs="Times New Roman"/>
          <w:color w:val="000000"/>
          <w:sz w:val="24"/>
          <w:szCs w:val="24"/>
          <w:shd w:val="clear" w:color="auto" w:fill="FFFFFF"/>
        </w:rPr>
        <w:t xml:space="preserve"> atļautajai slodzei neatkarīgi no dabasgāzes patēriņa apjoma.</w:t>
      </w:r>
      <w:r w:rsidRPr="002B715E">
        <w:rPr>
          <w:rFonts w:ascii="Times New Roman" w:eastAsia="Calibri" w:hAnsi="Times New Roman" w:cs="Times New Roman"/>
          <w:sz w:val="24"/>
          <w:szCs w:val="24"/>
        </w:rPr>
        <w:t xml:space="preserve"> Otrkārt, gāzes cenu ietekmēja pērnā gada straujais naftas cenu pieaugums pasaulē. Ņemot vērā gāzes tarifu noteikšanas metodoloģiju mājsaimniecībām, energoresursu cenu kāpuma ietekme pasaules biržās uz gāzes cenām Latvijā atspoguļojas ar novēlojumu. Tādējādi g</w:t>
      </w:r>
      <w:r>
        <w:rPr>
          <w:rFonts w:ascii="Times New Roman" w:eastAsia="Calibri" w:hAnsi="Times New Roman" w:cs="Times New Roman"/>
          <w:sz w:val="24"/>
          <w:szCs w:val="24"/>
        </w:rPr>
        <w:t>āzes cenu pieaugums tuvu 20%, kāds</w:t>
      </w:r>
      <w:r w:rsidRPr="002B715E">
        <w:rPr>
          <w:rFonts w:ascii="Times New Roman" w:eastAsia="Calibri" w:hAnsi="Times New Roman" w:cs="Times New Roman"/>
          <w:sz w:val="24"/>
          <w:szCs w:val="24"/>
        </w:rPr>
        <w:t xml:space="preserve"> t</w:t>
      </w:r>
      <w:r>
        <w:rPr>
          <w:rFonts w:ascii="Times New Roman" w:eastAsia="Calibri" w:hAnsi="Times New Roman" w:cs="Times New Roman"/>
          <w:sz w:val="24"/>
          <w:szCs w:val="24"/>
        </w:rPr>
        <w:t>as bija š.g. janvārī un februārī,</w:t>
      </w:r>
      <w:r w:rsidRPr="002B715E">
        <w:rPr>
          <w:rFonts w:ascii="Times New Roman" w:eastAsia="Calibri" w:hAnsi="Times New Roman" w:cs="Times New Roman"/>
          <w:sz w:val="24"/>
          <w:szCs w:val="24"/>
        </w:rPr>
        <w:t xml:space="preserve"> saglabāsies</w:t>
      </w:r>
      <w:r>
        <w:rPr>
          <w:rFonts w:ascii="Times New Roman" w:eastAsia="Calibri" w:hAnsi="Times New Roman" w:cs="Times New Roman"/>
          <w:sz w:val="24"/>
          <w:szCs w:val="24"/>
        </w:rPr>
        <w:t xml:space="preserve"> visu pusgadu, jo tarifi tiek pār</w:t>
      </w:r>
      <w:r w:rsidRPr="002B715E">
        <w:rPr>
          <w:rFonts w:ascii="Times New Roman" w:eastAsia="Calibri" w:hAnsi="Times New Roman" w:cs="Times New Roman"/>
          <w:sz w:val="24"/>
          <w:szCs w:val="24"/>
        </w:rPr>
        <w:t xml:space="preserve">skatīti tikai divas </w:t>
      </w:r>
      <w:r>
        <w:rPr>
          <w:rFonts w:ascii="Times New Roman" w:eastAsia="Calibri" w:hAnsi="Times New Roman" w:cs="Times New Roman"/>
          <w:sz w:val="24"/>
          <w:szCs w:val="24"/>
        </w:rPr>
        <w:t>reizes gadā</w:t>
      </w:r>
      <w:r w:rsidR="002B1A2C" w:rsidRPr="009B0F5F">
        <w:rPr>
          <w:rFonts w:ascii="Times New Roman" w:eastAsia="Times New Roman" w:hAnsi="Times New Roman" w:cs="Times New Roman"/>
          <w:noProof/>
          <w:color w:val="000000"/>
          <w:sz w:val="24"/>
          <w:szCs w:val="24"/>
        </w:rPr>
        <w:t xml:space="preserve"> – </w:t>
      </w:r>
      <w:r w:rsidR="002C566B">
        <w:rPr>
          <w:rFonts w:ascii="Times New Roman" w:eastAsia="Calibri" w:hAnsi="Times New Roman" w:cs="Times New Roman"/>
          <w:sz w:val="24"/>
          <w:szCs w:val="24"/>
        </w:rPr>
        <w:t>janvārī un jūlijā.</w:t>
      </w:r>
    </w:p>
    <w:p w:rsidR="00832C2A" w:rsidRPr="002B715E" w:rsidRDefault="00832C2A" w:rsidP="002B1A2C">
      <w:pPr>
        <w:spacing w:after="0" w:line="240" w:lineRule="auto"/>
        <w:ind w:firstLine="720"/>
        <w:jc w:val="both"/>
        <w:rPr>
          <w:rFonts w:ascii="Times New Roman" w:eastAsia="Calibri" w:hAnsi="Times New Roman" w:cs="Times New Roman"/>
          <w:sz w:val="24"/>
          <w:szCs w:val="24"/>
        </w:rPr>
      </w:pPr>
      <w:r w:rsidRPr="002B715E">
        <w:rPr>
          <w:rFonts w:ascii="Times New Roman" w:eastAsia="Calibri" w:hAnsi="Times New Roman" w:cs="Times New Roman"/>
          <w:sz w:val="24"/>
          <w:szCs w:val="24"/>
        </w:rPr>
        <w:t>Būtiski sadārdzinājās ar</w:t>
      </w:r>
      <w:r>
        <w:rPr>
          <w:rFonts w:ascii="Times New Roman" w:eastAsia="Calibri" w:hAnsi="Times New Roman" w:cs="Times New Roman"/>
          <w:sz w:val="24"/>
          <w:szCs w:val="24"/>
        </w:rPr>
        <w:t>ī pārējie ar mājokļa uzturēšanu saistītie</w:t>
      </w:r>
      <w:r w:rsidRPr="002B715E">
        <w:rPr>
          <w:rFonts w:ascii="Times New Roman" w:eastAsia="Calibri" w:hAnsi="Times New Roman" w:cs="Times New Roman"/>
          <w:sz w:val="24"/>
          <w:szCs w:val="24"/>
        </w:rPr>
        <w:t xml:space="preserve"> pakalpojumi. Tā, atkritumu savākšana </w:t>
      </w:r>
      <w:r>
        <w:rPr>
          <w:rFonts w:ascii="Times New Roman" w:eastAsia="Calibri" w:hAnsi="Times New Roman" w:cs="Times New Roman"/>
          <w:sz w:val="24"/>
          <w:szCs w:val="24"/>
        </w:rPr>
        <w:t xml:space="preserve">janvārī un februārī </w:t>
      </w:r>
      <w:r w:rsidRPr="002B715E">
        <w:rPr>
          <w:rFonts w:ascii="Times New Roman" w:eastAsia="Calibri" w:hAnsi="Times New Roman" w:cs="Times New Roman"/>
          <w:sz w:val="24"/>
          <w:szCs w:val="24"/>
        </w:rPr>
        <w:t xml:space="preserve">bija </w:t>
      </w:r>
      <w:r>
        <w:rPr>
          <w:rFonts w:ascii="Times New Roman" w:eastAsia="Calibri" w:hAnsi="Times New Roman" w:cs="Times New Roman"/>
          <w:sz w:val="24"/>
          <w:szCs w:val="24"/>
        </w:rPr>
        <w:t xml:space="preserve">vidēji </w:t>
      </w:r>
      <w:r w:rsidRPr="002B715E">
        <w:rPr>
          <w:rFonts w:ascii="Times New Roman" w:eastAsia="Calibri" w:hAnsi="Times New Roman" w:cs="Times New Roman"/>
          <w:sz w:val="24"/>
          <w:szCs w:val="24"/>
        </w:rPr>
        <w:t xml:space="preserve">par 16,2% dārgāka </w:t>
      </w:r>
      <w:r>
        <w:rPr>
          <w:rFonts w:ascii="Times New Roman" w:eastAsia="Calibri" w:hAnsi="Times New Roman" w:cs="Times New Roman"/>
          <w:sz w:val="24"/>
          <w:szCs w:val="24"/>
        </w:rPr>
        <w:t>nekā pirms gada</w:t>
      </w:r>
      <w:r w:rsidRPr="002B715E">
        <w:rPr>
          <w:rFonts w:ascii="Times New Roman" w:eastAsia="Calibri" w:hAnsi="Times New Roman" w:cs="Times New Roman"/>
          <w:sz w:val="24"/>
          <w:szCs w:val="24"/>
        </w:rPr>
        <w:t>, ko ietekmēja palielinātās nodokļa likmes par atkritumu apglabāšanu</w:t>
      </w:r>
      <w:r>
        <w:rPr>
          <w:rFonts w:ascii="Times New Roman" w:eastAsia="Calibri" w:hAnsi="Times New Roman" w:cs="Times New Roman"/>
          <w:sz w:val="24"/>
          <w:szCs w:val="24"/>
        </w:rPr>
        <w:t>, sākot ar</w:t>
      </w:r>
      <w:r w:rsidRPr="002B715E">
        <w:rPr>
          <w:rFonts w:ascii="Times New Roman" w:eastAsia="Calibri" w:hAnsi="Times New Roman" w:cs="Times New Roman"/>
          <w:sz w:val="24"/>
          <w:szCs w:val="24"/>
        </w:rPr>
        <w:t xml:space="preserve"> š.g. 1.janvāri. Savukārt ūdensapgādes pakalpojumu cenu kāpumu par 14,0% ietekmēja jaunie SIA “Rīgas ūdens” ūdenssaimniecības pakalpojumu tar</w:t>
      </w:r>
      <w:r>
        <w:rPr>
          <w:rFonts w:ascii="Times New Roman" w:eastAsia="Calibri" w:hAnsi="Times New Roman" w:cs="Times New Roman"/>
          <w:sz w:val="24"/>
          <w:szCs w:val="24"/>
        </w:rPr>
        <w:t>ifi, kuri stājās spēkā no 2018.</w:t>
      </w:r>
      <w:r w:rsidRPr="002B715E">
        <w:rPr>
          <w:rFonts w:ascii="Times New Roman" w:eastAsia="Calibri" w:hAnsi="Times New Roman" w:cs="Times New Roman"/>
          <w:sz w:val="24"/>
          <w:szCs w:val="24"/>
        </w:rPr>
        <w:t>gada 1.jūnij</w:t>
      </w:r>
      <w:r>
        <w:rPr>
          <w:rFonts w:ascii="Times New Roman" w:eastAsia="Calibri" w:hAnsi="Times New Roman" w:cs="Times New Roman"/>
          <w:sz w:val="24"/>
          <w:szCs w:val="24"/>
        </w:rPr>
        <w:t>a</w:t>
      </w:r>
      <w:r w:rsidRPr="002B715E">
        <w:rPr>
          <w:rFonts w:ascii="Times New Roman" w:eastAsia="Calibri" w:hAnsi="Times New Roman" w:cs="Times New Roman"/>
          <w:sz w:val="24"/>
          <w:szCs w:val="24"/>
        </w:rPr>
        <w:t>. Ņemot vērā bāzes efektu, paaugstinoš</w:t>
      </w:r>
      <w:r>
        <w:rPr>
          <w:rFonts w:ascii="Times New Roman" w:eastAsia="Calibri" w:hAnsi="Times New Roman" w:cs="Times New Roman"/>
          <w:sz w:val="24"/>
          <w:szCs w:val="24"/>
        </w:rPr>
        <w:t>ā</w:t>
      </w:r>
      <w:r w:rsidRPr="002B715E">
        <w:rPr>
          <w:rFonts w:ascii="Times New Roman" w:eastAsia="Calibri" w:hAnsi="Times New Roman" w:cs="Times New Roman"/>
          <w:sz w:val="24"/>
          <w:szCs w:val="24"/>
        </w:rPr>
        <w:t xml:space="preserve"> ietekme uz inflāciju saglabāsies līdz š.g. maijam. </w:t>
      </w:r>
    </w:p>
    <w:p w:rsidR="00832C2A" w:rsidRPr="002B715E" w:rsidRDefault="00832C2A" w:rsidP="002B1A2C">
      <w:pPr>
        <w:spacing w:after="0" w:line="240" w:lineRule="auto"/>
        <w:ind w:firstLine="720"/>
        <w:jc w:val="both"/>
        <w:rPr>
          <w:rFonts w:ascii="Times New Roman" w:eastAsia="Calibri" w:hAnsi="Times New Roman" w:cs="Times New Roman"/>
          <w:sz w:val="24"/>
          <w:szCs w:val="24"/>
        </w:rPr>
      </w:pPr>
      <w:r w:rsidRPr="002B715E">
        <w:rPr>
          <w:rFonts w:ascii="Times New Roman" w:eastAsia="Calibri" w:hAnsi="Times New Roman" w:cs="Times New Roman"/>
          <w:sz w:val="24"/>
          <w:szCs w:val="24"/>
        </w:rPr>
        <w:t xml:space="preserve">Cenu kāpums fiksēts arī elektroenerģijai, kopumā par 7,9%, ko pamatā noteica </w:t>
      </w:r>
      <w:r>
        <w:rPr>
          <w:rFonts w:ascii="Times New Roman" w:eastAsia="Calibri" w:hAnsi="Times New Roman" w:cs="Times New Roman"/>
          <w:sz w:val="24"/>
          <w:szCs w:val="24"/>
        </w:rPr>
        <w:t>būtiskais pērnā gada elektroenerģijas</w:t>
      </w:r>
      <w:r w:rsidRPr="002B715E">
        <w:rPr>
          <w:rFonts w:ascii="Times New Roman" w:eastAsia="Calibri" w:hAnsi="Times New Roman" w:cs="Times New Roman"/>
          <w:sz w:val="24"/>
          <w:szCs w:val="24"/>
        </w:rPr>
        <w:t xml:space="preserve"> cenu pieaugums </w:t>
      </w:r>
      <w:r w:rsidRPr="002B715E">
        <w:rPr>
          <w:rFonts w:ascii="Times New Roman" w:eastAsia="Calibri" w:hAnsi="Times New Roman" w:cs="Times New Roman"/>
          <w:i/>
          <w:sz w:val="24"/>
          <w:szCs w:val="24"/>
        </w:rPr>
        <w:t xml:space="preserve">Nord </w:t>
      </w:r>
      <w:proofErr w:type="spellStart"/>
      <w:r w:rsidRPr="002B715E">
        <w:rPr>
          <w:rFonts w:ascii="Times New Roman" w:eastAsia="Calibri" w:hAnsi="Times New Roman" w:cs="Times New Roman"/>
          <w:i/>
          <w:sz w:val="24"/>
          <w:szCs w:val="24"/>
        </w:rPr>
        <w:t>Pool</w:t>
      </w:r>
      <w:proofErr w:type="spellEnd"/>
      <w:r w:rsidRPr="002B715E">
        <w:rPr>
          <w:rFonts w:ascii="Times New Roman" w:eastAsia="Calibri" w:hAnsi="Times New Roman" w:cs="Times New Roman"/>
          <w:i/>
          <w:sz w:val="24"/>
          <w:szCs w:val="24"/>
        </w:rPr>
        <w:t xml:space="preserve"> </w:t>
      </w:r>
      <w:proofErr w:type="spellStart"/>
      <w:r w:rsidRPr="002B715E">
        <w:rPr>
          <w:rFonts w:ascii="Times New Roman" w:eastAsia="Calibri" w:hAnsi="Times New Roman" w:cs="Times New Roman"/>
          <w:i/>
          <w:sz w:val="24"/>
          <w:szCs w:val="24"/>
        </w:rPr>
        <w:t>Spot</w:t>
      </w:r>
      <w:proofErr w:type="spellEnd"/>
      <w:r w:rsidRPr="002B715E">
        <w:rPr>
          <w:rFonts w:ascii="Times New Roman" w:eastAsia="Calibri" w:hAnsi="Times New Roman" w:cs="Times New Roman"/>
          <w:sz w:val="24"/>
          <w:szCs w:val="24"/>
        </w:rPr>
        <w:t xml:space="preserve"> biržā, kurš </w:t>
      </w:r>
      <w:r>
        <w:rPr>
          <w:rFonts w:ascii="Times New Roman" w:eastAsia="Calibri" w:hAnsi="Times New Roman" w:cs="Times New Roman"/>
          <w:sz w:val="24"/>
          <w:szCs w:val="24"/>
        </w:rPr>
        <w:t>tika</w:t>
      </w:r>
      <w:r w:rsidRPr="002B715E">
        <w:rPr>
          <w:rFonts w:ascii="Times New Roman" w:eastAsia="Calibri" w:hAnsi="Times New Roman" w:cs="Times New Roman"/>
          <w:sz w:val="24"/>
          <w:szCs w:val="24"/>
        </w:rPr>
        <w:t xml:space="preserve"> ņemts vērā</w:t>
      </w:r>
      <w:r>
        <w:rPr>
          <w:rFonts w:ascii="Times New Roman" w:eastAsia="Calibri" w:hAnsi="Times New Roman" w:cs="Times New Roman"/>
          <w:sz w:val="24"/>
          <w:szCs w:val="24"/>
        </w:rPr>
        <w:t>,</w:t>
      </w:r>
      <w:r w:rsidRPr="002B715E">
        <w:rPr>
          <w:rFonts w:ascii="Times New Roman" w:eastAsia="Calibri" w:hAnsi="Times New Roman" w:cs="Times New Roman"/>
          <w:sz w:val="24"/>
          <w:szCs w:val="24"/>
        </w:rPr>
        <w:t xml:space="preserve"> slēdzot jaun</w:t>
      </w:r>
      <w:r>
        <w:rPr>
          <w:rFonts w:ascii="Times New Roman" w:eastAsia="Calibri" w:hAnsi="Times New Roman" w:cs="Times New Roman"/>
          <w:sz w:val="24"/>
          <w:szCs w:val="24"/>
        </w:rPr>
        <w:t>o</w:t>
      </w:r>
      <w:r w:rsidRPr="002B715E">
        <w:rPr>
          <w:rFonts w:ascii="Times New Roman" w:eastAsia="Calibri" w:hAnsi="Times New Roman" w:cs="Times New Roman"/>
          <w:sz w:val="24"/>
          <w:szCs w:val="24"/>
        </w:rPr>
        <w:t>s līgumus par elektroenerģijas piegādi 2019.gadam. Elektroenerģijas cenu pieaugums tuvu 8% sagaidām</w:t>
      </w:r>
      <w:r>
        <w:rPr>
          <w:rFonts w:ascii="Times New Roman" w:eastAsia="Calibri" w:hAnsi="Times New Roman" w:cs="Times New Roman"/>
          <w:sz w:val="24"/>
          <w:szCs w:val="24"/>
        </w:rPr>
        <w:t>s arī turpmākajos š.g. mēnešos.</w:t>
      </w:r>
    </w:p>
    <w:p w:rsidR="00832C2A" w:rsidRPr="002B715E" w:rsidRDefault="00832C2A" w:rsidP="002B1A2C">
      <w:pPr>
        <w:spacing w:after="0" w:line="240" w:lineRule="auto"/>
        <w:ind w:firstLine="720"/>
        <w:jc w:val="both"/>
        <w:rPr>
          <w:rFonts w:ascii="Times New Roman" w:eastAsia="Calibri" w:hAnsi="Times New Roman" w:cs="Times New Roman"/>
          <w:sz w:val="24"/>
          <w:szCs w:val="24"/>
        </w:rPr>
      </w:pPr>
      <w:r w:rsidRPr="002B715E">
        <w:rPr>
          <w:rFonts w:ascii="Times New Roman" w:eastAsia="Calibri" w:hAnsi="Times New Roman" w:cs="Times New Roman"/>
          <w:sz w:val="24"/>
          <w:szCs w:val="24"/>
        </w:rPr>
        <w:t>Pārtikas cenas š.g. pirmajos divos mēnešos pieauga par 1,4% gada griezumā, kas ir divas re</w:t>
      </w:r>
      <w:r>
        <w:rPr>
          <w:rFonts w:ascii="Times New Roman" w:eastAsia="Calibri" w:hAnsi="Times New Roman" w:cs="Times New Roman"/>
          <w:sz w:val="24"/>
          <w:szCs w:val="24"/>
        </w:rPr>
        <w:t>izes straujāks kāpums nekā pērnajā</w:t>
      </w:r>
      <w:r w:rsidRPr="002B715E">
        <w:rPr>
          <w:rFonts w:ascii="Times New Roman" w:eastAsia="Calibri" w:hAnsi="Times New Roman" w:cs="Times New Roman"/>
          <w:sz w:val="24"/>
          <w:szCs w:val="24"/>
        </w:rPr>
        <w:t xml:space="preserve"> gad</w:t>
      </w:r>
      <w:r>
        <w:rPr>
          <w:rFonts w:ascii="Times New Roman" w:eastAsia="Calibri" w:hAnsi="Times New Roman" w:cs="Times New Roman"/>
          <w:sz w:val="24"/>
          <w:szCs w:val="24"/>
        </w:rPr>
        <w:t>ā</w:t>
      </w:r>
      <w:r w:rsidRPr="002B715E">
        <w:rPr>
          <w:rFonts w:ascii="Times New Roman" w:eastAsia="Calibri" w:hAnsi="Times New Roman" w:cs="Times New Roman"/>
          <w:sz w:val="24"/>
          <w:szCs w:val="24"/>
        </w:rPr>
        <w:t xml:space="preserve"> vidēji. Cenu kāpuma paātrinājums galvenokārt ir saistīts ar netipiski sausajiem laika apstākļiem </w:t>
      </w:r>
      <w:r>
        <w:rPr>
          <w:rFonts w:ascii="Times New Roman" w:eastAsia="Calibri" w:hAnsi="Times New Roman" w:cs="Times New Roman"/>
          <w:sz w:val="24"/>
          <w:szCs w:val="24"/>
        </w:rPr>
        <w:t>2018.</w:t>
      </w:r>
      <w:r w:rsidRPr="002B715E">
        <w:rPr>
          <w:rFonts w:ascii="Times New Roman" w:eastAsia="Calibri" w:hAnsi="Times New Roman" w:cs="Times New Roman"/>
          <w:sz w:val="24"/>
          <w:szCs w:val="24"/>
        </w:rPr>
        <w:t>gada vasarā Latvijā un Eiropā kopumā, kas negatīvi ietekmēja graudaugu un atsevišķu dārzeņu raž</w:t>
      </w:r>
      <w:r>
        <w:rPr>
          <w:rFonts w:ascii="Times New Roman" w:eastAsia="Calibri" w:hAnsi="Times New Roman" w:cs="Times New Roman"/>
          <w:sz w:val="24"/>
          <w:szCs w:val="24"/>
        </w:rPr>
        <w:t>as apjomu. Tas</w:t>
      </w:r>
      <w:r w:rsidRPr="002B715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likumsakarīgi </w:t>
      </w:r>
      <w:r w:rsidRPr="002B715E">
        <w:rPr>
          <w:rFonts w:ascii="Times New Roman" w:eastAsia="Calibri" w:hAnsi="Times New Roman" w:cs="Times New Roman"/>
          <w:sz w:val="24"/>
          <w:szCs w:val="24"/>
        </w:rPr>
        <w:t>atstāj paaugstinoš</w:t>
      </w:r>
      <w:r>
        <w:rPr>
          <w:rFonts w:ascii="Times New Roman" w:eastAsia="Calibri" w:hAnsi="Times New Roman" w:cs="Times New Roman"/>
          <w:sz w:val="24"/>
          <w:szCs w:val="24"/>
        </w:rPr>
        <w:t>u</w:t>
      </w:r>
      <w:r w:rsidRPr="002B715E">
        <w:rPr>
          <w:rFonts w:ascii="Times New Roman" w:eastAsia="Calibri" w:hAnsi="Times New Roman" w:cs="Times New Roman"/>
          <w:sz w:val="24"/>
          <w:szCs w:val="24"/>
        </w:rPr>
        <w:t xml:space="preserve"> ietekmi uz cenām, it īpaši uz miltiem, maizi un graudaugiem. Sagaid</w:t>
      </w:r>
      <w:r>
        <w:rPr>
          <w:rFonts w:ascii="Times New Roman" w:eastAsia="Calibri" w:hAnsi="Times New Roman" w:cs="Times New Roman"/>
          <w:sz w:val="24"/>
          <w:szCs w:val="24"/>
        </w:rPr>
        <w:t>āms, ka līdz gada vidum</w:t>
      </w:r>
      <w:r w:rsidRPr="002B715E">
        <w:rPr>
          <w:rFonts w:ascii="Times New Roman" w:eastAsia="Calibri" w:hAnsi="Times New Roman" w:cs="Times New Roman"/>
          <w:sz w:val="24"/>
          <w:szCs w:val="24"/>
        </w:rPr>
        <w:t xml:space="preserve"> pārtikas cenu gada pieaugums varētu pārsniegt 2%, taču vidēji gadā pārtika</w:t>
      </w:r>
      <w:r>
        <w:rPr>
          <w:rFonts w:ascii="Times New Roman" w:eastAsia="Calibri" w:hAnsi="Times New Roman" w:cs="Times New Roman"/>
          <w:sz w:val="24"/>
          <w:szCs w:val="24"/>
        </w:rPr>
        <w:t>s cenu pieaugums būs tuvu 2%.</w:t>
      </w:r>
    </w:p>
    <w:p w:rsidR="00832C2A" w:rsidRDefault="00832C2A" w:rsidP="002B1A2C">
      <w:pPr>
        <w:spacing w:after="0" w:line="240" w:lineRule="auto"/>
        <w:ind w:firstLine="720"/>
        <w:jc w:val="both"/>
        <w:rPr>
          <w:rFonts w:ascii="Times New Roman" w:eastAsia="Calibri" w:hAnsi="Times New Roman" w:cs="Times New Roman"/>
          <w:sz w:val="24"/>
          <w:szCs w:val="28"/>
        </w:rPr>
      </w:pPr>
      <w:r w:rsidRPr="002B715E">
        <w:rPr>
          <w:rFonts w:ascii="Times New Roman" w:eastAsia="Calibri" w:hAnsi="Times New Roman" w:cs="Times New Roman"/>
          <w:sz w:val="24"/>
          <w:szCs w:val="24"/>
        </w:rPr>
        <w:t xml:space="preserve">Atbilstoši FM prognozēm, </w:t>
      </w:r>
      <w:r w:rsidRPr="002B715E">
        <w:rPr>
          <w:rFonts w:ascii="Times New Roman" w:eastAsia="Calibri" w:hAnsi="Times New Roman" w:cs="Times New Roman"/>
          <w:sz w:val="24"/>
          <w:szCs w:val="28"/>
        </w:rPr>
        <w:t>inflācija 2019.gadā saglabāsies iepriekšējā gada līmenī un patēriņa cenas vidēji palielināsies par 2,5%. Cenu kāpums būs sabalansēts starp pārtikas produktu, komunālo pakalpojumu, kā arī citu, ar mājokļa uzturēšanu nesaistīto pakalpojumu cenu pieaugumu. Tiek pieņemts, ka vidējā energoresursu cena pasaules biržās būs 2018.gada līmenī, līdz ar to ietekme uz degvielas cenām būs neitrāla vai minimāli p</w:t>
      </w:r>
      <w:r>
        <w:rPr>
          <w:rFonts w:ascii="Times New Roman" w:eastAsia="Calibri" w:hAnsi="Times New Roman" w:cs="Times New Roman"/>
          <w:sz w:val="24"/>
          <w:szCs w:val="28"/>
        </w:rPr>
        <w:t>aaugstinoša</w:t>
      </w:r>
      <w:r w:rsidRPr="002B715E">
        <w:rPr>
          <w:rFonts w:ascii="Times New Roman" w:eastAsia="Calibri" w:hAnsi="Times New Roman" w:cs="Times New Roman"/>
          <w:sz w:val="24"/>
          <w:szCs w:val="28"/>
        </w:rPr>
        <w:t xml:space="preserve">. Taču, ņemot vērā tarifu aprēķināšanas metodoloģiju, gāzes un siltumenerģijas cenas turpinās palielināties, neskatoties uz to, ka energoresursu cenu kāpums nav sagaidāms. Papildus tam, </w:t>
      </w:r>
      <w:r w:rsidRPr="002B715E">
        <w:rPr>
          <w:rFonts w:ascii="Times New Roman" w:eastAsia="Calibri" w:hAnsi="Times New Roman" w:cs="Times New Roman"/>
          <w:sz w:val="24"/>
          <w:szCs w:val="28"/>
        </w:rPr>
        <w:lastRenderedPageBreak/>
        <w:t>prognozējot inflāciju, ņemta vērā akcīzes nodokļa likmju palielināšana alkoholiskajiem dzērieniem un cigaretēm attiecīgi</w:t>
      </w:r>
      <w:r>
        <w:rPr>
          <w:rFonts w:ascii="Times New Roman" w:eastAsia="Calibri" w:hAnsi="Times New Roman" w:cs="Times New Roman"/>
          <w:sz w:val="24"/>
          <w:szCs w:val="28"/>
        </w:rPr>
        <w:t xml:space="preserve"> no 2019.gada marta</w:t>
      </w:r>
      <w:r w:rsidRPr="002B715E">
        <w:rPr>
          <w:rFonts w:ascii="Times New Roman" w:eastAsia="Calibri" w:hAnsi="Times New Roman" w:cs="Times New Roman"/>
          <w:sz w:val="24"/>
          <w:szCs w:val="28"/>
        </w:rPr>
        <w:t xml:space="preserve"> un jūlij</w:t>
      </w:r>
      <w:r>
        <w:rPr>
          <w:rFonts w:ascii="Times New Roman" w:eastAsia="Calibri" w:hAnsi="Times New Roman" w:cs="Times New Roman"/>
          <w:sz w:val="24"/>
          <w:szCs w:val="28"/>
        </w:rPr>
        <w:t>a</w:t>
      </w:r>
      <w:r w:rsidRPr="002B715E">
        <w:rPr>
          <w:rFonts w:ascii="Times New Roman" w:eastAsia="Calibri" w:hAnsi="Times New Roman" w:cs="Times New Roman"/>
          <w:sz w:val="24"/>
          <w:szCs w:val="28"/>
        </w:rPr>
        <w:t>.</w:t>
      </w:r>
    </w:p>
    <w:p w:rsidR="003463F3" w:rsidRPr="002B715E" w:rsidRDefault="003463F3">
      <w:pPr>
        <w:spacing w:after="0" w:line="240" w:lineRule="auto"/>
        <w:ind w:firstLine="720"/>
        <w:jc w:val="both"/>
        <w:rPr>
          <w:rFonts w:ascii="Times New Roman" w:eastAsia="Calibri" w:hAnsi="Times New Roman" w:cs="Times New Roman"/>
          <w:sz w:val="24"/>
          <w:szCs w:val="24"/>
        </w:rPr>
      </w:pPr>
    </w:p>
    <w:p w:rsidR="00832C2A" w:rsidRPr="005A443D" w:rsidRDefault="00832C2A" w:rsidP="00C11D88">
      <w:pPr>
        <w:spacing w:after="0" w:line="240" w:lineRule="auto"/>
        <w:ind w:left="567" w:firstLine="153"/>
        <w:jc w:val="both"/>
        <w:outlineLvl w:val="3"/>
        <w:rPr>
          <w:rFonts w:ascii="Times New Roman" w:eastAsia="Times New Roman" w:hAnsi="Times New Roman" w:cs="Times New Roman"/>
          <w:b/>
          <w:i/>
          <w:sz w:val="24"/>
          <w:szCs w:val="24"/>
        </w:rPr>
      </w:pPr>
      <w:r w:rsidRPr="005A443D">
        <w:rPr>
          <w:rFonts w:ascii="Times New Roman" w:eastAsia="Times New Roman" w:hAnsi="Times New Roman" w:cs="Times New Roman"/>
          <w:b/>
          <w:i/>
          <w:sz w:val="24"/>
          <w:szCs w:val="24"/>
        </w:rPr>
        <w:t>Darba tirgus</w:t>
      </w:r>
    </w:p>
    <w:p w:rsidR="00832C2A" w:rsidRPr="002B715E" w:rsidRDefault="00832C2A" w:rsidP="00832C2A">
      <w:pPr>
        <w:autoSpaceDE w:val="0"/>
        <w:autoSpaceDN w:val="0"/>
        <w:adjustRightInd w:val="0"/>
        <w:spacing w:after="0" w:line="240" w:lineRule="auto"/>
        <w:ind w:firstLine="720"/>
        <w:jc w:val="both"/>
        <w:rPr>
          <w:rFonts w:ascii="Times New Roman" w:eastAsia="Times New Roman" w:hAnsi="Times New Roman" w:cs="Times New Roman"/>
          <w:color w:val="000000"/>
          <w:sz w:val="24"/>
          <w:szCs w:val="23"/>
          <w:lang w:eastAsia="lv-LV"/>
        </w:rPr>
      </w:pPr>
      <w:r w:rsidRPr="002B715E">
        <w:rPr>
          <w:rFonts w:ascii="Times New Roman" w:eastAsia="Times New Roman" w:hAnsi="Times New Roman" w:cs="Times New Roman"/>
          <w:color w:val="000000"/>
          <w:sz w:val="24"/>
          <w:szCs w:val="23"/>
          <w:lang w:eastAsia="lv-LV"/>
        </w:rPr>
        <w:t xml:space="preserve">Līdz ar straujo ekonomikas izaugsmi 2018.gadā pēc vairāku gadu pārtraukuma atkal būtiski palielinājies tautsaimniecībā nodarbināto iedzīvotāju skaits, un straujāka kļuva arī bezdarba samazināšanās, bezdarba līmenim pēc darbaspēka </w:t>
      </w:r>
      <w:proofErr w:type="spellStart"/>
      <w:r w:rsidRPr="002B715E">
        <w:rPr>
          <w:rFonts w:ascii="Times New Roman" w:eastAsia="Times New Roman" w:hAnsi="Times New Roman" w:cs="Times New Roman"/>
          <w:color w:val="000000"/>
          <w:sz w:val="24"/>
          <w:szCs w:val="23"/>
          <w:lang w:eastAsia="lv-LV"/>
        </w:rPr>
        <w:t>apsekojuma</w:t>
      </w:r>
      <w:proofErr w:type="spellEnd"/>
      <w:r w:rsidRPr="002B715E">
        <w:rPr>
          <w:rFonts w:ascii="Times New Roman" w:eastAsia="Times New Roman" w:hAnsi="Times New Roman" w:cs="Times New Roman"/>
          <w:color w:val="000000"/>
          <w:sz w:val="24"/>
          <w:szCs w:val="23"/>
          <w:lang w:eastAsia="lv-LV"/>
        </w:rPr>
        <w:t xml:space="preserve"> krītoties par 1,3 procentpunktiem līdz 7,4% no ekonomiski aktīvajiem iedzīvotājiem. Līdz ar augošo pieprasījumu pēc darbiniekiem un ierobežoto darbspējas vecuma iedzīvotāju skaitu 2018.gadā līdztekus nodarbināto skaita pieaugumam visai būtiski palielinājies arī brīvo darba vietu skaits, kurām darba devēji meklē darbiniekus.</w:t>
      </w:r>
    </w:p>
    <w:p w:rsidR="00832C2A" w:rsidRPr="002B715E" w:rsidRDefault="00832C2A" w:rsidP="00832C2A">
      <w:pPr>
        <w:spacing w:after="0" w:line="240" w:lineRule="auto"/>
        <w:ind w:firstLine="720"/>
        <w:jc w:val="both"/>
        <w:rPr>
          <w:rFonts w:ascii="Times New Roman" w:eastAsiaTheme="minorHAnsi" w:hAnsi="Times New Roman"/>
          <w:sz w:val="24"/>
        </w:rPr>
      </w:pPr>
      <w:r w:rsidRPr="002B715E">
        <w:rPr>
          <w:rFonts w:ascii="Times New Roman" w:eastAsiaTheme="minorHAnsi" w:hAnsi="Times New Roman"/>
          <w:sz w:val="24"/>
          <w:szCs w:val="23"/>
        </w:rPr>
        <w:t>Arī vidējā termiņā darba tirgus attīstību vienlaikus turpinās ietekmēt gan ekonomikas izaugsme, gan krītošais darbaspējas vecuma iedzīvotāju skaits, kad laikā pēc ekonomiskās krīze 15</w:t>
      </w:r>
      <w:r w:rsidR="002B1A2C" w:rsidRPr="009B0F5F">
        <w:rPr>
          <w:rFonts w:ascii="Times New Roman" w:eastAsia="Times New Roman" w:hAnsi="Times New Roman" w:cs="Times New Roman"/>
          <w:noProof/>
          <w:color w:val="000000"/>
          <w:sz w:val="24"/>
          <w:szCs w:val="24"/>
        </w:rPr>
        <w:t xml:space="preserve"> – </w:t>
      </w:r>
      <w:r w:rsidRPr="002B715E">
        <w:rPr>
          <w:rFonts w:ascii="Times New Roman" w:eastAsiaTheme="minorHAnsi" w:hAnsi="Times New Roman"/>
          <w:sz w:val="24"/>
          <w:szCs w:val="23"/>
        </w:rPr>
        <w:t xml:space="preserve">74 gadu veco iedzīvotāju skaits Latvijā ir samazinājies vidēji par 1,8% gadā. Attiecīgi turpinās palielināties iedzīvotāju ekonomiskā aktivitāte, kas jau 2018.gadā sasniedza vēsturiski augstāko līmeni, kad </w:t>
      </w:r>
      <w:r w:rsidRPr="002B715E">
        <w:rPr>
          <w:rFonts w:ascii="Times New Roman" w:eastAsiaTheme="minorHAnsi" w:hAnsi="Times New Roman"/>
          <w:sz w:val="24"/>
        </w:rPr>
        <w:t>darba tirgū aktīvi iesaistīti kā nodarbinātie vai darba meklētāji bija jau 69,7% no visiem 15</w:t>
      </w:r>
      <w:r w:rsidR="002B1A2C" w:rsidRPr="009B0F5F">
        <w:rPr>
          <w:rFonts w:ascii="Times New Roman" w:eastAsia="Times New Roman" w:hAnsi="Times New Roman" w:cs="Times New Roman"/>
          <w:noProof/>
          <w:color w:val="000000"/>
          <w:sz w:val="24"/>
          <w:szCs w:val="24"/>
        </w:rPr>
        <w:t xml:space="preserve"> – </w:t>
      </w:r>
      <w:r w:rsidRPr="002B715E">
        <w:rPr>
          <w:rFonts w:ascii="Times New Roman" w:eastAsiaTheme="minorHAnsi" w:hAnsi="Times New Roman"/>
          <w:sz w:val="24"/>
        </w:rPr>
        <w:t>74 gadus vecajiem iedzīvotājiem. Salīdzinājumā ar iepriekšējo gadu ekonomiskās aktivitātes līmenis 2018.gadā bija pieaudzis par 0,7 procentpunktiem. Arvien augstāko iedzīvotāju līdzdalību darba tirgū veicina gan augošais pieprasījums pēc darbiniekiem un algu līmenis, kad vidējā darba samaksa pērn pieauga straujākajā tempā kopš 2008.gada, gan pensionēšanās vecuma pakāpeniskā paaugstināšana, gan iedzīvotāju vecuma struktūras izmaiņas, kad samazinās ekonomiski mazāk aktīvo jauniešu īpatsvars starp visiem darbaspējas vecuma iedzīvotājiem.</w:t>
      </w:r>
    </w:p>
    <w:p w:rsidR="003463F3" w:rsidRDefault="00832C2A" w:rsidP="00832C2A">
      <w:pPr>
        <w:spacing w:after="0" w:line="240" w:lineRule="auto"/>
        <w:ind w:firstLine="720"/>
        <w:jc w:val="both"/>
        <w:rPr>
          <w:rFonts w:ascii="Times New Roman" w:eastAsiaTheme="minorHAnsi" w:hAnsi="Times New Roman"/>
          <w:sz w:val="24"/>
        </w:rPr>
      </w:pPr>
      <w:r w:rsidRPr="002B715E">
        <w:rPr>
          <w:rFonts w:ascii="Times New Roman" w:eastAsiaTheme="minorHAnsi" w:hAnsi="Times New Roman"/>
          <w:sz w:val="24"/>
        </w:rPr>
        <w:t>Ņemot vērā ierobežoto darbaspējas vecuma iedzīvotāju skaitu, nodarbināto skaits vidējā termiņā saglabāsies sasniegtajā līmenī, pēc F</w:t>
      </w:r>
      <w:r w:rsidR="009F516D">
        <w:rPr>
          <w:rFonts w:ascii="Times New Roman" w:eastAsiaTheme="minorHAnsi" w:hAnsi="Times New Roman"/>
          <w:sz w:val="24"/>
        </w:rPr>
        <w:t xml:space="preserve">M </w:t>
      </w:r>
      <w:r w:rsidRPr="002B715E">
        <w:rPr>
          <w:rFonts w:ascii="Times New Roman" w:eastAsiaTheme="minorHAnsi" w:hAnsi="Times New Roman"/>
          <w:sz w:val="24"/>
        </w:rPr>
        <w:t xml:space="preserve">prognozēm 2019.gadā vēl palielinoties vēl par 0,5%, bet nākamajos trīs gados vairs nepiedzīvojot vērā ņemamas izmaiņas. </w:t>
      </w:r>
    </w:p>
    <w:p w:rsidR="00C11D88" w:rsidRDefault="00C11D88" w:rsidP="00832C2A">
      <w:pPr>
        <w:spacing w:after="0" w:line="240" w:lineRule="auto"/>
        <w:ind w:firstLine="720"/>
        <w:jc w:val="both"/>
        <w:rPr>
          <w:rFonts w:ascii="Times New Roman" w:eastAsiaTheme="minorHAnsi" w:hAnsi="Times New Roman"/>
          <w:sz w:val="24"/>
        </w:rPr>
      </w:pPr>
    </w:p>
    <w:p w:rsidR="00832C2A" w:rsidRPr="002B715E" w:rsidRDefault="00832C2A" w:rsidP="00C11D88">
      <w:pPr>
        <w:jc w:val="center"/>
        <w:rPr>
          <w:rFonts w:ascii="Times New Roman" w:eastAsia="Times New Roman" w:hAnsi="Times New Roman" w:cs="Times New Roman"/>
          <w:b/>
          <w:noProof/>
          <w:sz w:val="24"/>
          <w:szCs w:val="20"/>
          <w:highlight w:val="yellow"/>
        </w:rPr>
      </w:pPr>
      <w:r w:rsidRPr="002B715E">
        <w:rPr>
          <w:rFonts w:ascii="Calibri" w:eastAsia="Times New Roman" w:hAnsi="Calibri" w:cs="Times New Roman"/>
          <w:i/>
          <w:noProof/>
          <w:sz w:val="20"/>
          <w:szCs w:val="20"/>
          <w:lang w:eastAsia="lv-LV"/>
        </w:rPr>
        <w:drawing>
          <wp:inline distT="0" distB="0" distL="0" distR="0" wp14:anchorId="6A532EF4" wp14:editId="143D3BC2">
            <wp:extent cx="5274310" cy="293370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2C2A" w:rsidRDefault="00832C2A" w:rsidP="00832C2A">
      <w:pPr>
        <w:spacing w:after="120" w:line="240" w:lineRule="auto"/>
        <w:ind w:firstLine="720"/>
        <w:jc w:val="both"/>
        <w:rPr>
          <w:rFonts w:ascii="Times New Roman" w:eastAsia="Times New Roman" w:hAnsi="Times New Roman" w:cs="Times New Roman"/>
          <w:b/>
          <w:color w:val="000000"/>
          <w:sz w:val="24"/>
          <w:szCs w:val="23"/>
          <w:lang w:eastAsia="lv-LV"/>
        </w:rPr>
      </w:pPr>
      <w:r w:rsidRPr="00451F9F">
        <w:rPr>
          <w:rFonts w:ascii="Times New Roman" w:eastAsia="Calibri" w:hAnsi="Times New Roman" w:cs="Times New Roman"/>
          <w:i/>
          <w:sz w:val="18"/>
          <w:szCs w:val="18"/>
        </w:rPr>
        <w:t xml:space="preserve">Datu avots: </w:t>
      </w:r>
      <w:r>
        <w:rPr>
          <w:rFonts w:ascii="Times New Roman" w:eastAsia="Calibri" w:hAnsi="Times New Roman" w:cs="Times New Roman"/>
          <w:i/>
          <w:sz w:val="18"/>
          <w:szCs w:val="18"/>
        </w:rPr>
        <w:t>CSP</w:t>
      </w:r>
      <w:r w:rsidRPr="005C5141">
        <w:rPr>
          <w:rFonts w:ascii="Times New Roman" w:eastAsia="Calibri" w:hAnsi="Times New Roman" w:cs="Times New Roman"/>
          <w:i/>
          <w:sz w:val="18"/>
          <w:szCs w:val="18"/>
        </w:rPr>
        <w:t>, FM prognozes</w:t>
      </w:r>
    </w:p>
    <w:p w:rsidR="00832C2A" w:rsidRPr="002B715E" w:rsidRDefault="00832C2A" w:rsidP="00832C2A">
      <w:pPr>
        <w:keepNext/>
        <w:spacing w:before="120" w:after="120" w:line="240" w:lineRule="auto"/>
        <w:ind w:right="-57"/>
        <w:jc w:val="center"/>
        <w:rPr>
          <w:rFonts w:ascii="Times New Roman" w:eastAsia="Times New Roman" w:hAnsi="Times New Roman" w:cs="Times New Roman"/>
          <w:b/>
          <w:sz w:val="24"/>
          <w:szCs w:val="20"/>
        </w:rPr>
      </w:pPr>
      <w:r w:rsidRPr="002B715E">
        <w:rPr>
          <w:rFonts w:ascii="Times New Roman" w:eastAsia="Times New Roman" w:hAnsi="Times New Roman" w:cs="Times New Roman"/>
          <w:b/>
          <w:noProof/>
          <w:sz w:val="24"/>
          <w:szCs w:val="20"/>
        </w:rPr>
        <w:t>2.5.</w:t>
      </w:r>
      <w:r>
        <w:rPr>
          <w:rFonts w:ascii="Times New Roman" w:eastAsia="Times New Roman" w:hAnsi="Times New Roman" w:cs="Times New Roman"/>
          <w:b/>
          <w:noProof/>
          <w:sz w:val="24"/>
          <w:szCs w:val="20"/>
        </w:rPr>
        <w:t xml:space="preserve"> </w:t>
      </w:r>
      <w:r w:rsidRPr="002B715E">
        <w:rPr>
          <w:rFonts w:ascii="Times New Roman" w:eastAsia="Times New Roman" w:hAnsi="Times New Roman" w:cs="Times New Roman"/>
          <w:b/>
          <w:noProof/>
          <w:sz w:val="24"/>
          <w:szCs w:val="20"/>
        </w:rPr>
        <w:t>attēls.</w:t>
      </w:r>
      <w:r w:rsidRPr="002B715E">
        <w:rPr>
          <w:rFonts w:ascii="Times New Roman" w:eastAsia="Times New Roman" w:hAnsi="Times New Roman" w:cs="Times New Roman"/>
          <w:b/>
          <w:sz w:val="24"/>
          <w:szCs w:val="20"/>
        </w:rPr>
        <w:t xml:space="preserve"> Nodarbinātība un bezdarbs 2008.</w:t>
      </w:r>
      <w:r w:rsidR="002B1A2C">
        <w:rPr>
          <w:rFonts w:ascii="Times New Roman" w:eastAsia="Times New Roman" w:hAnsi="Times New Roman" w:cs="Times New Roman"/>
          <w:b/>
          <w:sz w:val="24"/>
          <w:szCs w:val="20"/>
        </w:rPr>
        <w:t xml:space="preserve"> </w:t>
      </w:r>
      <w:r w:rsidRPr="002B715E">
        <w:rPr>
          <w:rFonts w:ascii="Times New Roman" w:eastAsia="Times New Roman" w:hAnsi="Times New Roman" w:cs="Times New Roman"/>
          <w:b/>
          <w:sz w:val="24"/>
          <w:szCs w:val="20"/>
        </w:rPr>
        <w:t>–</w:t>
      </w:r>
      <w:r w:rsidR="002B1A2C">
        <w:rPr>
          <w:rFonts w:ascii="Times New Roman" w:eastAsia="Times New Roman" w:hAnsi="Times New Roman" w:cs="Times New Roman"/>
          <w:b/>
          <w:sz w:val="24"/>
          <w:szCs w:val="20"/>
        </w:rPr>
        <w:t xml:space="preserve"> </w:t>
      </w:r>
      <w:r w:rsidRPr="002B715E">
        <w:rPr>
          <w:rFonts w:ascii="Times New Roman" w:eastAsia="Times New Roman" w:hAnsi="Times New Roman" w:cs="Times New Roman"/>
          <w:b/>
          <w:sz w:val="24"/>
          <w:szCs w:val="20"/>
        </w:rPr>
        <w:t>2022.gadā</w:t>
      </w:r>
      <w:r w:rsidR="002B1A2C">
        <w:rPr>
          <w:rFonts w:ascii="Times New Roman" w:eastAsia="Times New Roman" w:hAnsi="Times New Roman" w:cs="Times New Roman"/>
          <w:b/>
          <w:sz w:val="24"/>
          <w:szCs w:val="20"/>
        </w:rPr>
        <w:t>.</w:t>
      </w:r>
    </w:p>
    <w:p w:rsidR="00832C2A" w:rsidRPr="002B715E" w:rsidRDefault="00832C2A" w:rsidP="00832C2A">
      <w:pPr>
        <w:autoSpaceDE w:val="0"/>
        <w:autoSpaceDN w:val="0"/>
        <w:adjustRightInd w:val="0"/>
        <w:spacing w:after="0" w:line="240" w:lineRule="auto"/>
        <w:ind w:firstLine="720"/>
        <w:jc w:val="both"/>
        <w:rPr>
          <w:rFonts w:ascii="Times New Roman" w:eastAsia="Times New Roman" w:hAnsi="Times New Roman" w:cs="Times New Roman"/>
          <w:color w:val="000000"/>
          <w:sz w:val="24"/>
          <w:szCs w:val="23"/>
          <w:lang w:eastAsia="lv-LV"/>
        </w:rPr>
      </w:pPr>
      <w:r w:rsidRPr="002B715E">
        <w:rPr>
          <w:rFonts w:ascii="Times New Roman" w:eastAsia="Times New Roman" w:hAnsi="Times New Roman" w:cs="Times New Roman"/>
          <w:color w:val="000000"/>
          <w:sz w:val="24"/>
          <w:szCs w:val="23"/>
          <w:lang w:eastAsia="lv-LV"/>
        </w:rPr>
        <w:t xml:space="preserve">Kopumā laikā kopš ekonomiskās krīzes augstākā punkta 2010.gadā tautsaimniecībā nodarbināto iedzīvotāju skaits ir palielinājies par 58,7 tūkstošiem jeb 6,9%, bet joprojām ir </w:t>
      </w:r>
      <w:r w:rsidRPr="002B715E">
        <w:rPr>
          <w:rFonts w:ascii="Times New Roman" w:eastAsia="Times New Roman" w:hAnsi="Times New Roman" w:cs="Times New Roman"/>
          <w:color w:val="000000"/>
          <w:sz w:val="24"/>
          <w:szCs w:val="23"/>
          <w:lang w:eastAsia="lv-LV"/>
        </w:rPr>
        <w:lastRenderedPageBreak/>
        <w:t>būtiski – par 148,0 tūkstošiem jeb 14,0%</w:t>
      </w:r>
      <w:r w:rsidR="009F516D" w:rsidRPr="002B715E">
        <w:rPr>
          <w:rFonts w:ascii="Times New Roman" w:eastAsia="Times New Roman" w:hAnsi="Times New Roman" w:cs="Times New Roman"/>
          <w:color w:val="000000"/>
          <w:sz w:val="24"/>
          <w:szCs w:val="23"/>
          <w:lang w:eastAsia="lv-LV"/>
        </w:rPr>
        <w:t xml:space="preserve"> – </w:t>
      </w:r>
      <w:r w:rsidRPr="002B715E">
        <w:rPr>
          <w:rFonts w:ascii="Times New Roman" w:eastAsia="Times New Roman" w:hAnsi="Times New Roman" w:cs="Times New Roman"/>
          <w:color w:val="000000"/>
          <w:sz w:val="24"/>
          <w:szCs w:val="23"/>
          <w:lang w:eastAsia="lv-LV"/>
        </w:rPr>
        <w:t xml:space="preserve">zemāks par 2007.gadā sasniegto līmeni, kam par pamatu ir gan negatīvais dabiskais pieaugums, gan augstā emigrācija </w:t>
      </w:r>
      <w:proofErr w:type="spellStart"/>
      <w:r w:rsidRPr="002B715E">
        <w:rPr>
          <w:rFonts w:ascii="Times New Roman" w:eastAsia="Times New Roman" w:hAnsi="Times New Roman" w:cs="Times New Roman"/>
          <w:color w:val="000000"/>
          <w:sz w:val="24"/>
          <w:szCs w:val="23"/>
          <w:lang w:eastAsia="lv-LV"/>
        </w:rPr>
        <w:t>pēckrīzes</w:t>
      </w:r>
      <w:proofErr w:type="spellEnd"/>
      <w:r w:rsidRPr="002B715E">
        <w:rPr>
          <w:rFonts w:ascii="Times New Roman" w:eastAsia="Times New Roman" w:hAnsi="Times New Roman" w:cs="Times New Roman"/>
          <w:color w:val="000000"/>
          <w:sz w:val="24"/>
          <w:szCs w:val="23"/>
          <w:lang w:eastAsia="lv-LV"/>
        </w:rPr>
        <w:t xml:space="preserve"> laikā. No Latvijas laikā pēc krīzes gadā izbrauca ap 20 tūkstošiem cilvēku, bet provizoriskie dati rāda, ka 2018.gadā līdz ar darba tirgus situācijas uzlabošanos un algu līmeņa pieaugumu emigrācija ir būtiski mazinājusies. Arī turpmākajos gados straujāks sagaidāmais iedzīvotāju ienākumu pieaugums var ierobežot emigrācijas procesus, bet nodarbināto iedzīvotāju skaita pieaugumu joprojām turpinās ietekmēt demogrāfiskā situācija, kad no darba tirgus izejošo pensijas vecumu sasniegušo cilvēku skaits pārsniegs darba tirgū ienākošo jauniešu skaitu.</w:t>
      </w:r>
    </w:p>
    <w:p w:rsidR="00832C2A" w:rsidRPr="002B715E" w:rsidRDefault="00832C2A" w:rsidP="00832C2A">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2B715E">
        <w:rPr>
          <w:rFonts w:ascii="Times New Roman" w:eastAsia="Times New Roman" w:hAnsi="Times New Roman" w:cs="Times New Roman"/>
          <w:color w:val="000000"/>
          <w:sz w:val="24"/>
          <w:szCs w:val="24"/>
          <w:lang w:eastAsia="lv-LV"/>
        </w:rPr>
        <w:t>Bezdarba līmenis vidējā termiņā turpinās arvien samazināties, ko tāpat noteiks straujāka ekonomikas izaugsme un ietekmēs iedzīvotāju skaita samazināšanās 15</w:t>
      </w:r>
      <w:r w:rsidR="009F516D" w:rsidRPr="002B715E">
        <w:rPr>
          <w:rFonts w:ascii="Times New Roman" w:eastAsia="Times New Roman" w:hAnsi="Times New Roman" w:cs="Times New Roman"/>
          <w:color w:val="000000"/>
          <w:sz w:val="24"/>
          <w:szCs w:val="23"/>
          <w:lang w:eastAsia="lv-LV"/>
        </w:rPr>
        <w:t xml:space="preserve"> – </w:t>
      </w:r>
      <w:r w:rsidRPr="002B715E">
        <w:rPr>
          <w:rFonts w:ascii="Times New Roman" w:eastAsia="Times New Roman" w:hAnsi="Times New Roman" w:cs="Times New Roman"/>
          <w:color w:val="000000"/>
          <w:sz w:val="24"/>
          <w:szCs w:val="24"/>
          <w:lang w:eastAsia="lv-LV"/>
        </w:rPr>
        <w:t>74 gadu vecuma grupā. Pēc F</w:t>
      </w:r>
      <w:r w:rsidR="009F516D">
        <w:rPr>
          <w:rFonts w:ascii="Times New Roman" w:eastAsia="Times New Roman" w:hAnsi="Times New Roman" w:cs="Times New Roman"/>
          <w:color w:val="000000"/>
          <w:sz w:val="24"/>
          <w:szCs w:val="24"/>
          <w:lang w:eastAsia="lv-LV"/>
        </w:rPr>
        <w:t xml:space="preserve">M </w:t>
      </w:r>
      <w:r w:rsidRPr="002B715E">
        <w:rPr>
          <w:rFonts w:ascii="Times New Roman" w:eastAsia="Times New Roman" w:hAnsi="Times New Roman" w:cs="Times New Roman"/>
          <w:color w:val="000000"/>
          <w:sz w:val="24"/>
          <w:szCs w:val="24"/>
          <w:lang w:eastAsia="lv-LV"/>
        </w:rPr>
        <w:t>prognozēm, 2019.gadā bezdarba līmenis samazināsies līdz 7,0%, bet laikā līdz 2022.gadam pakāpeniski noslīdēs līdz 5,6% no ekonomiski aktīvajiem iedzīvotājiem.</w:t>
      </w:r>
    </w:p>
    <w:p w:rsidR="00832C2A" w:rsidRPr="002B715E" w:rsidRDefault="00832C2A" w:rsidP="00832C2A">
      <w:pPr>
        <w:keepNext/>
        <w:spacing w:before="120" w:after="120" w:line="240" w:lineRule="auto"/>
        <w:ind w:right="-57"/>
        <w:jc w:val="center"/>
        <w:rPr>
          <w:rFonts w:ascii="Times New Roman" w:eastAsia="Times New Roman" w:hAnsi="Times New Roman" w:cs="Times New Roman"/>
          <w:b/>
          <w:sz w:val="24"/>
          <w:szCs w:val="20"/>
        </w:rPr>
      </w:pPr>
      <w:r w:rsidRPr="002B715E">
        <w:rPr>
          <w:rFonts w:ascii="Calibri" w:eastAsia="Times New Roman" w:hAnsi="Calibri" w:cs="Times New Roman"/>
          <w:i/>
          <w:noProof/>
          <w:sz w:val="20"/>
          <w:szCs w:val="20"/>
          <w:lang w:eastAsia="lv-LV"/>
        </w:rPr>
        <w:drawing>
          <wp:inline distT="0" distB="0" distL="0" distR="0" wp14:anchorId="0C2A3149" wp14:editId="49B16CA6">
            <wp:extent cx="5274310" cy="2571750"/>
            <wp:effectExtent l="0" t="0" r="25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2C2A" w:rsidRDefault="00832C2A" w:rsidP="00832C2A">
      <w:pPr>
        <w:spacing w:after="120" w:line="240" w:lineRule="auto"/>
        <w:ind w:firstLine="720"/>
        <w:jc w:val="both"/>
        <w:rPr>
          <w:rFonts w:ascii="Times New Roman" w:eastAsia="Times New Roman" w:hAnsi="Times New Roman" w:cs="Times New Roman"/>
          <w:b/>
          <w:color w:val="000000"/>
          <w:sz w:val="24"/>
          <w:szCs w:val="23"/>
          <w:lang w:eastAsia="lv-LV"/>
        </w:rPr>
      </w:pPr>
      <w:r w:rsidRPr="00451F9F">
        <w:rPr>
          <w:rFonts w:ascii="Times New Roman" w:eastAsia="Calibri" w:hAnsi="Times New Roman" w:cs="Times New Roman"/>
          <w:i/>
          <w:sz w:val="18"/>
          <w:szCs w:val="18"/>
        </w:rPr>
        <w:t xml:space="preserve">Datu avots: </w:t>
      </w:r>
      <w:r>
        <w:rPr>
          <w:rFonts w:ascii="Times New Roman" w:eastAsia="Calibri" w:hAnsi="Times New Roman" w:cs="Times New Roman"/>
          <w:i/>
          <w:sz w:val="18"/>
          <w:szCs w:val="18"/>
        </w:rPr>
        <w:t>CSP</w:t>
      </w:r>
      <w:r w:rsidRPr="005C5141">
        <w:rPr>
          <w:rFonts w:ascii="Times New Roman" w:eastAsia="Calibri" w:hAnsi="Times New Roman" w:cs="Times New Roman"/>
          <w:i/>
          <w:sz w:val="18"/>
          <w:szCs w:val="18"/>
        </w:rPr>
        <w:t>, FM prognozes</w:t>
      </w:r>
    </w:p>
    <w:p w:rsidR="00832C2A" w:rsidRPr="002B715E" w:rsidRDefault="00832C2A" w:rsidP="00832C2A">
      <w:pPr>
        <w:keepNext/>
        <w:spacing w:before="120" w:after="120" w:line="240" w:lineRule="auto"/>
        <w:ind w:right="-57"/>
        <w:jc w:val="center"/>
        <w:rPr>
          <w:rFonts w:ascii="Times New Roman" w:eastAsia="Times New Roman" w:hAnsi="Times New Roman" w:cs="Times New Roman"/>
          <w:b/>
          <w:noProof/>
          <w:sz w:val="24"/>
          <w:szCs w:val="20"/>
        </w:rPr>
      </w:pPr>
      <w:r w:rsidRPr="002B715E">
        <w:rPr>
          <w:rFonts w:ascii="Times New Roman" w:eastAsia="Times New Roman" w:hAnsi="Times New Roman" w:cs="Times New Roman"/>
          <w:b/>
          <w:noProof/>
          <w:sz w:val="24"/>
          <w:szCs w:val="20"/>
        </w:rPr>
        <w:t>2.6.</w:t>
      </w:r>
      <w:r w:rsidR="002B1A2C">
        <w:rPr>
          <w:rFonts w:ascii="Times New Roman" w:eastAsia="Times New Roman" w:hAnsi="Times New Roman" w:cs="Times New Roman"/>
          <w:b/>
          <w:noProof/>
          <w:sz w:val="24"/>
          <w:szCs w:val="20"/>
        </w:rPr>
        <w:t xml:space="preserve"> </w:t>
      </w:r>
      <w:r w:rsidRPr="002B715E">
        <w:rPr>
          <w:rFonts w:ascii="Times New Roman" w:eastAsia="Times New Roman" w:hAnsi="Times New Roman" w:cs="Times New Roman"/>
          <w:b/>
          <w:noProof/>
          <w:sz w:val="24"/>
          <w:szCs w:val="20"/>
        </w:rPr>
        <w:t>attēls. Produktivitātes un reālās darba samaksas izmaiņas, % pret iepriekšējo periodu</w:t>
      </w:r>
      <w:r w:rsidR="002B1A2C">
        <w:rPr>
          <w:rFonts w:ascii="Times New Roman" w:eastAsia="Times New Roman" w:hAnsi="Times New Roman" w:cs="Times New Roman"/>
          <w:b/>
          <w:noProof/>
          <w:sz w:val="24"/>
          <w:szCs w:val="20"/>
        </w:rPr>
        <w:t>.</w:t>
      </w:r>
    </w:p>
    <w:p w:rsidR="00832C2A" w:rsidRPr="002B715E" w:rsidRDefault="00832C2A" w:rsidP="002B1A2C">
      <w:pPr>
        <w:spacing w:after="0" w:line="240" w:lineRule="auto"/>
        <w:ind w:firstLine="720"/>
        <w:jc w:val="both"/>
        <w:rPr>
          <w:rFonts w:ascii="Times New Roman" w:eastAsiaTheme="minorHAnsi" w:hAnsi="Times New Roman"/>
          <w:sz w:val="24"/>
        </w:rPr>
      </w:pPr>
      <w:r w:rsidRPr="002B715E">
        <w:rPr>
          <w:rFonts w:ascii="Times New Roman" w:eastAsiaTheme="minorHAnsi" w:hAnsi="Times New Roman"/>
          <w:sz w:val="24"/>
        </w:rPr>
        <w:t>Sagaidāms, ka mēneša vidējā bruto darba samaksa, kas 2018.gadā bija palielinājusies par 8,4%, 2019.gadā pieaugs mērenākā tempā,</w:t>
      </w:r>
      <w:r w:rsidR="009F516D" w:rsidRPr="002B715E">
        <w:rPr>
          <w:rFonts w:ascii="Times New Roman" w:eastAsia="Times New Roman" w:hAnsi="Times New Roman" w:cs="Times New Roman"/>
          <w:color w:val="000000"/>
          <w:sz w:val="24"/>
          <w:szCs w:val="23"/>
          <w:lang w:eastAsia="lv-LV"/>
        </w:rPr>
        <w:t xml:space="preserve"> – </w:t>
      </w:r>
      <w:r w:rsidRPr="002B715E">
        <w:rPr>
          <w:rFonts w:ascii="Times New Roman" w:eastAsiaTheme="minorHAnsi" w:hAnsi="Times New Roman"/>
          <w:sz w:val="24"/>
        </w:rPr>
        <w:t>par 6,5%, ko noteiks gan zemāka ekonomikas izaugsme, gan minimālās algas nepaaugstināšana, to saglabājot 2018.gada līmenī. Tomēr darba samaksas pieaugums joprojām būs salīdzinoši straujš, ko citu faktoru starpā ietekmēs arī valsts budžetā paredzētais izdevumu palielinājums atalgojumam, pirmām kārtām veselības aprūpes nozares darbiniekiem. 2020.gadā, pēc F</w:t>
      </w:r>
      <w:r w:rsidR="009F516D">
        <w:rPr>
          <w:rFonts w:ascii="Times New Roman" w:eastAsiaTheme="minorHAnsi" w:hAnsi="Times New Roman"/>
          <w:sz w:val="24"/>
        </w:rPr>
        <w:t xml:space="preserve">M </w:t>
      </w:r>
      <w:r w:rsidRPr="002B715E">
        <w:rPr>
          <w:rFonts w:ascii="Times New Roman" w:eastAsiaTheme="minorHAnsi" w:hAnsi="Times New Roman"/>
          <w:sz w:val="24"/>
        </w:rPr>
        <w:t>prognozēm, darba samaksas pieauguma temps pazemināsies, veidojot 5,5%, bet pēc tam noslīdēs līdz 5,0% līdz 2022.gadam.</w:t>
      </w:r>
    </w:p>
    <w:p w:rsidR="00832C2A" w:rsidRPr="002B715E" w:rsidRDefault="00832C2A" w:rsidP="002B1A2C">
      <w:pPr>
        <w:spacing w:after="0" w:line="240" w:lineRule="auto"/>
        <w:ind w:firstLine="720"/>
        <w:jc w:val="both"/>
        <w:rPr>
          <w:rFonts w:ascii="Times New Roman" w:eastAsiaTheme="minorHAnsi" w:hAnsi="Times New Roman"/>
          <w:sz w:val="24"/>
        </w:rPr>
      </w:pPr>
      <w:r w:rsidRPr="002B715E">
        <w:rPr>
          <w:rFonts w:ascii="Times New Roman" w:eastAsiaTheme="minorHAnsi" w:hAnsi="Times New Roman"/>
          <w:sz w:val="24"/>
        </w:rPr>
        <w:t>Ja 2017.gadā darba samaksas pieaugums vairs būtiski nepārsniedza produktivitātes kāpumu, 2018.gadā darba samaksa atkal augusi straujāk par produktivitāti. Šādu dinamiku ietekmējuši arī vairāki vienreizēji faktori, tostarp minimālās algas straujš paaugstinājums, un turpmākajos gados F</w:t>
      </w:r>
      <w:r w:rsidR="009F516D">
        <w:rPr>
          <w:rFonts w:ascii="Times New Roman" w:eastAsiaTheme="minorHAnsi" w:hAnsi="Times New Roman"/>
          <w:sz w:val="24"/>
        </w:rPr>
        <w:t xml:space="preserve">M </w:t>
      </w:r>
      <w:r w:rsidRPr="002B715E">
        <w:rPr>
          <w:rFonts w:ascii="Times New Roman" w:eastAsiaTheme="minorHAnsi" w:hAnsi="Times New Roman"/>
          <w:sz w:val="24"/>
        </w:rPr>
        <w:t>sagaida, ka darba samaksas kāpums pakāpeniski tuvosies produktivitātes pieauguma līmenim un 2021.</w:t>
      </w:r>
      <w:r w:rsidR="009F516D" w:rsidRPr="002B715E">
        <w:rPr>
          <w:rFonts w:ascii="Times New Roman" w:eastAsia="Times New Roman" w:hAnsi="Times New Roman" w:cs="Times New Roman"/>
          <w:color w:val="000000"/>
          <w:sz w:val="24"/>
          <w:szCs w:val="23"/>
          <w:lang w:eastAsia="lv-LV"/>
        </w:rPr>
        <w:t xml:space="preserve"> – </w:t>
      </w:r>
      <w:r w:rsidRPr="002B715E">
        <w:rPr>
          <w:rFonts w:ascii="Times New Roman" w:eastAsiaTheme="minorHAnsi" w:hAnsi="Times New Roman"/>
          <w:sz w:val="24"/>
        </w:rPr>
        <w:t xml:space="preserve">2022.gadā jau būs atbilstošs produktivitātes kāpumam. </w:t>
      </w:r>
    </w:p>
    <w:p w:rsidR="003463F3" w:rsidRDefault="003463F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832C2A" w:rsidRPr="005A443D" w:rsidRDefault="00832C2A" w:rsidP="00BD6A52">
      <w:pPr>
        <w:spacing w:before="240" w:after="0" w:line="240" w:lineRule="auto"/>
        <w:ind w:left="567" w:firstLine="153"/>
        <w:jc w:val="both"/>
        <w:outlineLvl w:val="3"/>
        <w:rPr>
          <w:rFonts w:ascii="Times New Roman" w:eastAsia="Times New Roman" w:hAnsi="Times New Roman" w:cs="Times New Roman"/>
          <w:b/>
          <w:i/>
          <w:sz w:val="24"/>
          <w:szCs w:val="24"/>
        </w:rPr>
      </w:pPr>
      <w:r w:rsidRPr="005A443D">
        <w:rPr>
          <w:rFonts w:ascii="Times New Roman" w:eastAsia="Times New Roman" w:hAnsi="Times New Roman" w:cs="Times New Roman"/>
          <w:b/>
          <w:i/>
          <w:sz w:val="24"/>
          <w:szCs w:val="24"/>
        </w:rPr>
        <w:lastRenderedPageBreak/>
        <w:t>Ekonomikas cikliskā attīstība</w:t>
      </w:r>
    </w:p>
    <w:p w:rsidR="00832C2A" w:rsidRPr="00CD1B24" w:rsidRDefault="00832C2A" w:rsidP="00832C2A">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D1B24">
        <w:rPr>
          <w:rFonts w:ascii="Times New Roman" w:eastAsia="Times New Roman" w:hAnsi="Times New Roman" w:cs="Times New Roman"/>
          <w:sz w:val="24"/>
          <w:szCs w:val="24"/>
          <w:lang w:eastAsia="lv-LV"/>
        </w:rPr>
        <w:t>Lat</w:t>
      </w:r>
      <w:r>
        <w:rPr>
          <w:rFonts w:ascii="Times New Roman" w:eastAsia="Times New Roman" w:hAnsi="Times New Roman" w:cs="Times New Roman"/>
          <w:sz w:val="24"/>
          <w:szCs w:val="24"/>
          <w:lang w:eastAsia="lv-LV"/>
        </w:rPr>
        <w:t>vijas ekonomiskā izaugsme 2017.</w:t>
      </w:r>
      <w:r w:rsidRPr="00CD1B24">
        <w:rPr>
          <w:rFonts w:ascii="Times New Roman" w:eastAsia="Times New Roman" w:hAnsi="Times New Roman" w:cs="Times New Roman"/>
          <w:sz w:val="24"/>
          <w:szCs w:val="24"/>
          <w:lang w:eastAsia="lv-LV"/>
        </w:rPr>
        <w:t>gadā sasniedza 4,6%, ko veicināja augošais ārējais pieprasījums un investīciju plūsmas atjaunošanās, un līdzīga strauja ekonomikas izaugsme saglabājās 2018.gadā, kad IKP palielinājās par 4,8% salīdzināmās cenās. Pēc FM aprēķiniem</w:t>
      </w:r>
      <w:r>
        <w:rPr>
          <w:rFonts w:ascii="Times New Roman" w:eastAsia="Times New Roman" w:hAnsi="Times New Roman" w:cs="Times New Roman"/>
          <w:sz w:val="24"/>
          <w:szCs w:val="24"/>
          <w:lang w:eastAsia="lv-LV"/>
        </w:rPr>
        <w:t>,</w:t>
      </w:r>
      <w:r w:rsidRPr="00CD1B24">
        <w:rPr>
          <w:rFonts w:ascii="Times New Roman" w:eastAsia="Times New Roman" w:hAnsi="Times New Roman" w:cs="Times New Roman"/>
          <w:sz w:val="24"/>
          <w:szCs w:val="24"/>
          <w:lang w:eastAsia="lv-LV"/>
        </w:rPr>
        <w:t xml:space="preserve"> Latvijas tautsaimniecības cikliskā attīstība ir sasniegusi maksimumu. Izlaižu starpība 2018.gadā būs sasnieg</w:t>
      </w:r>
      <w:r>
        <w:rPr>
          <w:rFonts w:ascii="Times New Roman" w:eastAsia="Times New Roman" w:hAnsi="Times New Roman" w:cs="Times New Roman"/>
          <w:sz w:val="24"/>
          <w:szCs w:val="24"/>
          <w:lang w:eastAsia="lv-LV"/>
        </w:rPr>
        <w:t>usi maksimālo vērtību, proti, 1,</w:t>
      </w:r>
      <w:r w:rsidRPr="00CD1B24">
        <w:rPr>
          <w:rFonts w:ascii="Times New Roman" w:eastAsia="Times New Roman" w:hAnsi="Times New Roman" w:cs="Times New Roman"/>
          <w:sz w:val="24"/>
          <w:szCs w:val="24"/>
          <w:lang w:eastAsia="lv-LV"/>
        </w:rPr>
        <w:t xml:space="preserve">7% no IKP un tālākajos gados, ņemot vērā ekonomikas izaugsmes tempu bremzēšanos, tā samazināsies. 2018.gada 4.ceturksnī jau parādījās ekonomikas bremzēšanās pazīmes, </w:t>
      </w:r>
      <w:r>
        <w:rPr>
          <w:rFonts w:ascii="Times New Roman" w:eastAsia="Times New Roman" w:hAnsi="Times New Roman" w:cs="Times New Roman"/>
          <w:sz w:val="24"/>
          <w:szCs w:val="24"/>
          <w:lang w:eastAsia="lv-LV"/>
        </w:rPr>
        <w:t>kas izpaudās, piemēram, lēnākos eksporta pieauguma tempos,</w:t>
      </w:r>
      <w:r w:rsidRPr="00CD1B24">
        <w:rPr>
          <w:rFonts w:ascii="Times New Roman" w:eastAsia="Times New Roman" w:hAnsi="Times New Roman" w:cs="Times New Roman"/>
          <w:sz w:val="24"/>
          <w:szCs w:val="24"/>
          <w:lang w:eastAsia="lv-LV"/>
        </w:rPr>
        <w:t xml:space="preserve"> tādējādi līdzīgi kā ES arī 2019.gads jau iezīmējas ar ekonomiskās attīstības bremzēšanos.</w:t>
      </w:r>
    </w:p>
    <w:p w:rsidR="00832C2A" w:rsidRDefault="00832C2A" w:rsidP="00832C2A">
      <w:pPr>
        <w:spacing w:after="120" w:line="240" w:lineRule="auto"/>
        <w:ind w:left="720"/>
        <w:jc w:val="both"/>
        <w:rPr>
          <w:rFonts w:ascii="Times New Roman" w:eastAsia="Times New Roman" w:hAnsi="Times New Roman" w:cs="Times New Roman"/>
          <w:b/>
          <w:color w:val="000000"/>
          <w:sz w:val="24"/>
          <w:szCs w:val="23"/>
          <w:lang w:eastAsia="lv-LV"/>
        </w:rPr>
      </w:pPr>
      <w:r w:rsidRPr="00CD1B24">
        <w:rPr>
          <w:noProof/>
          <w:lang w:eastAsia="lv-LV"/>
        </w:rPr>
        <w:drawing>
          <wp:inline distT="0" distB="0" distL="0" distR="0" wp14:anchorId="36A1FFCF" wp14:editId="7FDF8A6D">
            <wp:extent cx="4569619" cy="274320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D1B24">
        <w:rPr>
          <w:noProof/>
        </w:rPr>
        <w:br/>
      </w:r>
      <w:r w:rsidRPr="00451F9F">
        <w:rPr>
          <w:rFonts w:ascii="Times New Roman" w:eastAsia="Calibri" w:hAnsi="Times New Roman" w:cs="Times New Roman"/>
          <w:i/>
          <w:sz w:val="18"/>
          <w:szCs w:val="18"/>
        </w:rPr>
        <w:t xml:space="preserve">Datu avots: </w:t>
      </w:r>
      <w:r>
        <w:rPr>
          <w:rFonts w:ascii="Times New Roman" w:eastAsia="Calibri" w:hAnsi="Times New Roman" w:cs="Times New Roman"/>
          <w:i/>
          <w:sz w:val="18"/>
          <w:szCs w:val="18"/>
        </w:rPr>
        <w:t xml:space="preserve">EK, </w:t>
      </w:r>
      <w:r w:rsidRPr="005C5141">
        <w:rPr>
          <w:rFonts w:ascii="Times New Roman" w:eastAsia="Calibri" w:hAnsi="Times New Roman" w:cs="Times New Roman"/>
          <w:i/>
          <w:sz w:val="18"/>
          <w:szCs w:val="18"/>
        </w:rPr>
        <w:t xml:space="preserve">FM </w:t>
      </w:r>
      <w:r>
        <w:rPr>
          <w:rFonts w:ascii="Times New Roman" w:eastAsia="Calibri" w:hAnsi="Times New Roman" w:cs="Times New Roman"/>
          <w:i/>
          <w:sz w:val="18"/>
          <w:szCs w:val="18"/>
        </w:rPr>
        <w:t>aprēķini</w:t>
      </w:r>
    </w:p>
    <w:p w:rsidR="00832C2A" w:rsidRPr="00CD1B24" w:rsidRDefault="00832C2A" w:rsidP="00832C2A">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CD1B24">
        <w:rPr>
          <w:rFonts w:ascii="Times New Roman" w:eastAsia="Times New Roman" w:hAnsi="Times New Roman" w:cs="Times New Roman"/>
          <w:b/>
          <w:sz w:val="24"/>
          <w:szCs w:val="24"/>
          <w:lang w:eastAsia="lv-LV"/>
        </w:rPr>
        <w:t>2.7.</w:t>
      </w:r>
      <w:r>
        <w:rPr>
          <w:rFonts w:ascii="Times New Roman" w:eastAsia="Times New Roman" w:hAnsi="Times New Roman" w:cs="Times New Roman"/>
          <w:b/>
          <w:sz w:val="24"/>
          <w:szCs w:val="24"/>
          <w:lang w:eastAsia="lv-LV"/>
        </w:rPr>
        <w:t xml:space="preserve"> </w:t>
      </w:r>
      <w:r w:rsidRPr="00CD1B24">
        <w:rPr>
          <w:rFonts w:ascii="Times New Roman" w:eastAsia="Times New Roman" w:hAnsi="Times New Roman" w:cs="Times New Roman"/>
          <w:b/>
          <w:sz w:val="24"/>
          <w:szCs w:val="24"/>
          <w:lang w:eastAsia="lv-LV"/>
        </w:rPr>
        <w:t>attēls. Izlaižu starpība, %</w:t>
      </w:r>
    </w:p>
    <w:p w:rsidR="00832C2A" w:rsidRPr="00CD1B24" w:rsidRDefault="00832C2A" w:rsidP="00832C2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CD1B24">
        <w:rPr>
          <w:rFonts w:ascii="Times New Roman" w:eastAsia="Times New Roman" w:hAnsi="Times New Roman" w:cs="Times New Roman"/>
          <w:sz w:val="24"/>
          <w:szCs w:val="24"/>
          <w:lang w:eastAsia="lv-LV"/>
        </w:rPr>
        <w:t xml:space="preserve">Līdzīgs vidēja termiņa izlaižu starpības novērtējums ir arī EK. Pozitīvāku izlaižu starpību kopš 2016.gada </w:t>
      </w:r>
      <w:r>
        <w:rPr>
          <w:rFonts w:ascii="Times New Roman" w:eastAsia="Times New Roman" w:hAnsi="Times New Roman" w:cs="Times New Roman"/>
          <w:sz w:val="24"/>
          <w:szCs w:val="24"/>
          <w:lang w:eastAsia="lv-LV"/>
        </w:rPr>
        <w:t>nosaka tas</w:t>
      </w:r>
      <w:r w:rsidRPr="00CD1B24">
        <w:rPr>
          <w:rFonts w:ascii="Times New Roman" w:eastAsia="Times New Roman" w:hAnsi="Times New Roman" w:cs="Times New Roman"/>
          <w:sz w:val="24"/>
          <w:szCs w:val="24"/>
          <w:lang w:eastAsia="lv-LV"/>
        </w:rPr>
        <w:t xml:space="preserve">, ka EK novērtējumu pamatā iespaido darba algas pieaugums. Tomēr pārējie cikliskie rādītāji, kā piemēram, </w:t>
      </w:r>
      <w:r w:rsidRPr="00CD1B24">
        <w:rPr>
          <w:rFonts w:ascii="Times New Roman" w:eastAsia="Times New Roman" w:hAnsi="Times New Roman" w:cs="Times New Roman"/>
          <w:sz w:val="24"/>
          <w:szCs w:val="23"/>
          <w:lang w:eastAsia="lv-LV"/>
        </w:rPr>
        <w:t>zem</w:t>
      </w:r>
      <w:r>
        <w:rPr>
          <w:rFonts w:ascii="Times New Roman" w:eastAsia="Times New Roman" w:hAnsi="Times New Roman" w:cs="Times New Roman"/>
          <w:sz w:val="24"/>
          <w:szCs w:val="23"/>
          <w:lang w:eastAsia="lv-LV"/>
        </w:rPr>
        <w:t>ā</w:t>
      </w:r>
      <w:r w:rsidRPr="00CD1B24">
        <w:rPr>
          <w:rFonts w:ascii="Times New Roman" w:eastAsia="Times New Roman" w:hAnsi="Times New Roman" w:cs="Times New Roman"/>
          <w:sz w:val="24"/>
          <w:szCs w:val="23"/>
          <w:lang w:eastAsia="lv-LV"/>
        </w:rPr>
        <w:t xml:space="preserve"> inflācija, tekošā un kapitāla konta bilances pārpalikums, kā arī neto parāda samazinājums attiecībā pret IKP un izsniegto kredītu apjoma samazinājum</w:t>
      </w:r>
      <w:r>
        <w:rPr>
          <w:rFonts w:ascii="Times New Roman" w:eastAsia="Times New Roman" w:hAnsi="Times New Roman" w:cs="Times New Roman"/>
          <w:sz w:val="24"/>
          <w:szCs w:val="23"/>
          <w:lang w:eastAsia="lv-LV"/>
        </w:rPr>
        <w:t>s</w:t>
      </w:r>
      <w:r w:rsidRPr="00CD1B24">
        <w:rPr>
          <w:rFonts w:ascii="Times New Roman" w:eastAsia="Times New Roman" w:hAnsi="Times New Roman" w:cs="Times New Roman"/>
          <w:sz w:val="24"/>
          <w:szCs w:val="23"/>
          <w:lang w:eastAsia="lv-LV"/>
        </w:rPr>
        <w:t xml:space="preserve">, </w:t>
      </w:r>
      <w:r w:rsidRPr="00CD1B24">
        <w:rPr>
          <w:rFonts w:ascii="Times New Roman" w:eastAsia="Times New Roman" w:hAnsi="Times New Roman" w:cs="Times New Roman"/>
          <w:sz w:val="24"/>
          <w:szCs w:val="24"/>
          <w:lang w:eastAsia="lv-LV"/>
        </w:rPr>
        <w:t>norāda, ka lī</w:t>
      </w:r>
      <w:r>
        <w:rPr>
          <w:rFonts w:ascii="Times New Roman" w:eastAsia="Times New Roman" w:hAnsi="Times New Roman" w:cs="Times New Roman"/>
          <w:sz w:val="24"/>
          <w:szCs w:val="24"/>
          <w:lang w:eastAsia="lv-LV"/>
        </w:rPr>
        <w:t>dz 2017.</w:t>
      </w:r>
      <w:r w:rsidRPr="00CD1B24">
        <w:rPr>
          <w:rFonts w:ascii="Times New Roman" w:eastAsia="Times New Roman" w:hAnsi="Times New Roman" w:cs="Times New Roman"/>
          <w:sz w:val="24"/>
          <w:szCs w:val="24"/>
          <w:lang w:eastAsia="lv-LV"/>
        </w:rPr>
        <w:t>gadam ekonomikā nebija izveidoj</w:t>
      </w:r>
      <w:r>
        <w:rPr>
          <w:rFonts w:ascii="Times New Roman" w:eastAsia="Times New Roman" w:hAnsi="Times New Roman" w:cs="Times New Roman"/>
          <w:sz w:val="24"/>
          <w:szCs w:val="24"/>
          <w:lang w:eastAsia="lv-LV"/>
        </w:rPr>
        <w:t>us</w:t>
      </w:r>
      <w:r w:rsidRPr="00CD1B24">
        <w:rPr>
          <w:rFonts w:ascii="Times New Roman" w:eastAsia="Times New Roman" w:hAnsi="Times New Roman" w:cs="Times New Roman"/>
          <w:sz w:val="24"/>
          <w:szCs w:val="24"/>
          <w:lang w:eastAsia="lv-LV"/>
        </w:rPr>
        <w:t xml:space="preserve">ies tik liela izlaižu starpība. To arī apstiprina </w:t>
      </w:r>
      <w:r w:rsidRPr="00CD1B24">
        <w:rPr>
          <w:rFonts w:ascii="Times New Roman" w:eastAsia="Times New Roman" w:hAnsi="Times New Roman" w:cs="Times New Roman"/>
          <w:sz w:val="24"/>
          <w:szCs w:val="23"/>
          <w:lang w:eastAsia="lv-LV"/>
        </w:rPr>
        <w:t>EK izstrādātā alternatīvā izlaižu starpības “ticamības rīka</w:t>
      </w:r>
      <w:r w:rsidRPr="00CD1B24">
        <w:rPr>
          <w:rStyle w:val="FootnoteReference"/>
          <w:rFonts w:eastAsia="Times New Roman" w:cs="Times New Roman"/>
          <w:szCs w:val="23"/>
          <w:lang w:eastAsia="lv-LV"/>
        </w:rPr>
        <w:footnoteReference w:id="3"/>
      </w:r>
      <w:r w:rsidRPr="00CD1B24">
        <w:rPr>
          <w:rFonts w:ascii="Times New Roman" w:eastAsia="Times New Roman" w:hAnsi="Times New Roman" w:cs="Times New Roman"/>
          <w:sz w:val="24"/>
          <w:szCs w:val="23"/>
          <w:lang w:eastAsia="lv-LV"/>
        </w:rPr>
        <w:t>” aprēķini. Taču kopumā, sākot no 2020.gada, FM un EK prognozes par izlaižu starpības lielumu ir vienādas, jo netiek prognozēts, ka reālās algas pieaugums vidējā termiņā pārsniegs darbaspēka produktivitātes pieaugumu, t.i.,</w:t>
      </w:r>
      <w:r w:rsidRPr="00CD1B24">
        <w:rPr>
          <w:rFonts w:ascii="Times New Roman" w:eastAsia="Times New Roman" w:hAnsi="Times New Roman" w:cs="Times New Roman"/>
          <w:sz w:val="24"/>
          <w:szCs w:val="24"/>
          <w:lang w:eastAsia="lv-LV"/>
        </w:rPr>
        <w:t xml:space="preserve"> netiek prognozēt</w:t>
      </w:r>
      <w:r>
        <w:rPr>
          <w:rFonts w:ascii="Times New Roman" w:eastAsia="Times New Roman" w:hAnsi="Times New Roman" w:cs="Times New Roman"/>
          <w:sz w:val="24"/>
          <w:szCs w:val="24"/>
          <w:lang w:eastAsia="lv-LV"/>
        </w:rPr>
        <w:t>s</w:t>
      </w:r>
      <w:r w:rsidRPr="00CD1B24">
        <w:rPr>
          <w:rFonts w:ascii="Times New Roman" w:eastAsia="Times New Roman" w:hAnsi="Times New Roman" w:cs="Times New Roman"/>
          <w:sz w:val="24"/>
          <w:szCs w:val="24"/>
          <w:lang w:eastAsia="lv-LV"/>
        </w:rPr>
        <w:t xml:space="preserve"> reālās algas pieaugums virs produktivitātes, kas varētu norādīt uz augstu pozitīvu izlaižu starpību</w:t>
      </w:r>
      <w:r w:rsidRPr="00CD1B24">
        <w:rPr>
          <w:rFonts w:ascii="Times New Roman" w:eastAsia="Times New Roman" w:hAnsi="Times New Roman" w:cs="Times New Roman"/>
          <w:sz w:val="24"/>
          <w:szCs w:val="23"/>
          <w:lang w:eastAsia="lv-LV"/>
        </w:rPr>
        <w:t xml:space="preserve">. Tāpēc </w:t>
      </w:r>
      <w:r w:rsidRPr="00CD1B24">
        <w:rPr>
          <w:rFonts w:ascii="Times New Roman" w:eastAsia="Times New Roman" w:hAnsi="Times New Roman" w:cs="Times New Roman"/>
          <w:sz w:val="24"/>
          <w:szCs w:val="24"/>
          <w:lang w:eastAsia="lv-LV"/>
        </w:rPr>
        <w:t>vidējā termiņā izlaižu starpība samazināsies, jo IKP pieaugums pamazām bremzēsies līdz savam potenciālajam pieaugumam.</w:t>
      </w:r>
    </w:p>
    <w:p w:rsidR="00832C2A" w:rsidRPr="00CD1B24" w:rsidRDefault="00832C2A" w:rsidP="00832C2A">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D1B24">
        <w:rPr>
          <w:rFonts w:ascii="Times New Roman" w:eastAsia="Times New Roman" w:hAnsi="Times New Roman" w:cs="Times New Roman"/>
          <w:sz w:val="24"/>
          <w:szCs w:val="24"/>
          <w:lang w:eastAsia="lv-LV"/>
        </w:rPr>
        <w:t>IKP potenciālo izaugsmi prognožu periodā pamatā noteiks kopējais produktivitātes pieaugums. Kopš pēdējās ekonomiskās recesijas (2008.</w:t>
      </w:r>
      <w:r w:rsidRPr="00CD1B24">
        <w:rPr>
          <w:rFonts w:ascii="Times New Roman" w:eastAsia="Calibri" w:hAnsi="Times New Roman" w:cs="Times New Roman"/>
          <w:sz w:val="24"/>
          <w:szCs w:val="24"/>
        </w:rPr>
        <w:t xml:space="preserve"> – </w:t>
      </w:r>
      <w:r w:rsidRPr="00CD1B24">
        <w:rPr>
          <w:rFonts w:ascii="Times New Roman" w:eastAsia="Times New Roman" w:hAnsi="Times New Roman" w:cs="Times New Roman"/>
          <w:sz w:val="24"/>
          <w:szCs w:val="24"/>
          <w:lang w:eastAsia="lv-LV"/>
        </w:rPr>
        <w:t>2010.gadā) tas ir sasniedzis lielāko devumu potenciālā IKP izaugsmē, dodot aptuveni trešdaļu no potenciālā IKP pieauguma kopš 2016.gada un aptuveni tikpat daudz veidos arī prognožu periodā, t.i., 2 procentpunkt</w:t>
      </w:r>
      <w:r>
        <w:rPr>
          <w:rFonts w:ascii="Times New Roman" w:eastAsia="Times New Roman" w:hAnsi="Times New Roman" w:cs="Times New Roman"/>
          <w:sz w:val="24"/>
          <w:szCs w:val="24"/>
          <w:lang w:eastAsia="lv-LV"/>
        </w:rPr>
        <w:t>us</w:t>
      </w:r>
      <w:r w:rsidRPr="00CD1B24">
        <w:rPr>
          <w:rFonts w:ascii="Times New Roman" w:eastAsia="Times New Roman" w:hAnsi="Times New Roman" w:cs="Times New Roman"/>
          <w:sz w:val="24"/>
          <w:szCs w:val="24"/>
          <w:lang w:eastAsia="lv-LV"/>
        </w:rPr>
        <w:t>. Pozitīvs būs arī kapitāla devums potenciālā IKP pieaugumā. Straujš inves</w:t>
      </w:r>
      <w:r>
        <w:rPr>
          <w:rFonts w:ascii="Times New Roman" w:eastAsia="Times New Roman" w:hAnsi="Times New Roman" w:cs="Times New Roman"/>
          <w:sz w:val="24"/>
          <w:szCs w:val="24"/>
          <w:lang w:eastAsia="lv-LV"/>
        </w:rPr>
        <w:t>tīciju pieaugums 2017. un 2018.gadā</w:t>
      </w:r>
      <w:r w:rsidRPr="00CD1B24">
        <w:rPr>
          <w:rFonts w:ascii="Times New Roman" w:eastAsia="Times New Roman" w:hAnsi="Times New Roman" w:cs="Times New Roman"/>
          <w:sz w:val="24"/>
          <w:szCs w:val="24"/>
          <w:lang w:eastAsia="lv-LV"/>
        </w:rPr>
        <w:t xml:space="preserve"> nedaudz palielināja kapitāla ietekmi uz potenciālo izaugsmi līdz 1,3 procentpunktiem. Savukārt demogrāfiskās situācijas dēļ nodarbinātībai prognožu periodā būs </w:t>
      </w:r>
      <w:r w:rsidRPr="00CD1B24">
        <w:rPr>
          <w:rFonts w:ascii="Times New Roman" w:eastAsia="Times New Roman" w:hAnsi="Times New Roman" w:cs="Times New Roman"/>
          <w:sz w:val="24"/>
          <w:szCs w:val="24"/>
          <w:lang w:eastAsia="lv-LV"/>
        </w:rPr>
        <w:lastRenderedPageBreak/>
        <w:t>neitrāla ietekme. Saskaņā ar FM aprēķiniem</w:t>
      </w:r>
      <w:r>
        <w:rPr>
          <w:rFonts w:ascii="Times New Roman" w:eastAsia="Times New Roman" w:hAnsi="Times New Roman" w:cs="Times New Roman"/>
          <w:sz w:val="24"/>
          <w:szCs w:val="24"/>
          <w:lang w:eastAsia="lv-LV"/>
        </w:rPr>
        <w:t>,</w:t>
      </w:r>
      <w:r w:rsidRPr="00CD1B24">
        <w:rPr>
          <w:rFonts w:ascii="Times New Roman" w:eastAsia="Times New Roman" w:hAnsi="Times New Roman" w:cs="Times New Roman"/>
          <w:sz w:val="24"/>
          <w:szCs w:val="24"/>
          <w:lang w:eastAsia="lv-LV"/>
        </w:rPr>
        <w:t xml:space="preserve"> potenciālā IKP izaugsme vidējā termiņā būs 3,2</w:t>
      </w:r>
      <w:r w:rsidRPr="00CD1B24">
        <w:rPr>
          <w:rFonts w:ascii="Times New Roman" w:eastAsia="Calibri" w:hAnsi="Times New Roman" w:cs="Times New Roman"/>
          <w:sz w:val="24"/>
          <w:szCs w:val="24"/>
        </w:rPr>
        <w:t xml:space="preserve"> – </w:t>
      </w:r>
      <w:r w:rsidRPr="00CD1B24">
        <w:rPr>
          <w:rFonts w:ascii="Times New Roman" w:eastAsia="Times New Roman" w:hAnsi="Times New Roman" w:cs="Times New Roman"/>
          <w:sz w:val="24"/>
          <w:szCs w:val="24"/>
          <w:lang w:eastAsia="lv-LV"/>
        </w:rPr>
        <w:t>3,5% apmērā.</w:t>
      </w:r>
    </w:p>
    <w:p w:rsidR="00832C2A" w:rsidRPr="00CD1B24" w:rsidRDefault="00832C2A" w:rsidP="00832C2A">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p>
    <w:p w:rsidR="00832C2A" w:rsidRDefault="00832C2A" w:rsidP="00832C2A">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CD1B24">
        <w:rPr>
          <w:noProof/>
          <w:lang w:eastAsia="lv-LV"/>
        </w:rPr>
        <w:drawing>
          <wp:inline distT="0" distB="0" distL="0" distR="0" wp14:anchorId="3DCE7CD2" wp14:editId="35975CA1">
            <wp:extent cx="4572931"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2C2A" w:rsidRDefault="00832C2A" w:rsidP="00832C2A">
      <w:pPr>
        <w:spacing w:before="120" w:after="120" w:line="240" w:lineRule="auto"/>
        <w:ind w:left="720" w:firstLine="720"/>
        <w:jc w:val="both"/>
        <w:rPr>
          <w:rFonts w:ascii="Times New Roman" w:eastAsia="Times New Roman" w:hAnsi="Times New Roman" w:cs="Times New Roman"/>
          <w:b/>
          <w:color w:val="000000"/>
          <w:sz w:val="24"/>
          <w:szCs w:val="23"/>
          <w:lang w:eastAsia="lv-LV"/>
        </w:rPr>
      </w:pPr>
      <w:r w:rsidRPr="00451F9F">
        <w:rPr>
          <w:rFonts w:ascii="Times New Roman" w:eastAsia="Calibri" w:hAnsi="Times New Roman" w:cs="Times New Roman"/>
          <w:i/>
          <w:sz w:val="18"/>
          <w:szCs w:val="18"/>
        </w:rPr>
        <w:t xml:space="preserve">Datu avots: </w:t>
      </w:r>
      <w:r w:rsidRPr="005C5141">
        <w:rPr>
          <w:rFonts w:ascii="Times New Roman" w:eastAsia="Calibri" w:hAnsi="Times New Roman" w:cs="Times New Roman"/>
          <w:i/>
          <w:sz w:val="18"/>
          <w:szCs w:val="18"/>
        </w:rPr>
        <w:t xml:space="preserve">FM </w:t>
      </w:r>
      <w:r>
        <w:rPr>
          <w:rFonts w:ascii="Times New Roman" w:eastAsia="Calibri" w:hAnsi="Times New Roman" w:cs="Times New Roman"/>
          <w:i/>
          <w:sz w:val="18"/>
          <w:szCs w:val="18"/>
        </w:rPr>
        <w:t>aprēķini</w:t>
      </w:r>
    </w:p>
    <w:p w:rsidR="00832C2A" w:rsidRPr="008F08E0" w:rsidRDefault="00832C2A" w:rsidP="00832C2A">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2.8</w:t>
      </w:r>
      <w:r w:rsidRPr="00CD1B24">
        <w:rPr>
          <w:rFonts w:ascii="Times New Roman" w:eastAsia="Times New Roman" w:hAnsi="Times New Roman" w:cs="Times New Roman"/>
          <w:b/>
          <w:sz w:val="24"/>
          <w:szCs w:val="24"/>
          <w:lang w:eastAsia="lv-LV"/>
        </w:rPr>
        <w:t>.</w:t>
      </w:r>
      <w:r>
        <w:rPr>
          <w:rFonts w:ascii="Times New Roman" w:eastAsia="Times New Roman" w:hAnsi="Times New Roman" w:cs="Times New Roman"/>
          <w:b/>
          <w:sz w:val="24"/>
          <w:szCs w:val="24"/>
          <w:lang w:eastAsia="lv-LV"/>
        </w:rPr>
        <w:t xml:space="preserve"> </w:t>
      </w:r>
      <w:r w:rsidRPr="00CD1B24">
        <w:rPr>
          <w:rFonts w:ascii="Times New Roman" w:eastAsia="Times New Roman" w:hAnsi="Times New Roman" w:cs="Times New Roman"/>
          <w:b/>
          <w:sz w:val="24"/>
          <w:szCs w:val="24"/>
          <w:lang w:eastAsia="lv-LV"/>
        </w:rPr>
        <w:t>attēls. Potenciālā IKP izaugsme un komponenšu devums, %</w:t>
      </w:r>
    </w:p>
    <w:p w:rsidR="00B51617" w:rsidRPr="00782778" w:rsidRDefault="00B51617">
      <w:pPr>
        <w:rPr>
          <w:rFonts w:ascii="Times New Roman" w:eastAsia="Times New Roman" w:hAnsi="Times New Roman" w:cs="Times New Roman"/>
          <w:b/>
          <w:sz w:val="24"/>
          <w:szCs w:val="24"/>
          <w:highlight w:val="yellow"/>
        </w:rPr>
      </w:pPr>
      <w:r w:rsidRPr="00782778">
        <w:rPr>
          <w:rFonts w:ascii="Times New Roman" w:eastAsia="Times New Roman" w:hAnsi="Times New Roman" w:cs="Times New Roman"/>
          <w:bCs/>
          <w:smallCaps/>
          <w:sz w:val="24"/>
          <w:szCs w:val="24"/>
          <w:highlight w:val="yellow"/>
        </w:rPr>
        <w:br w:type="page"/>
      </w:r>
    </w:p>
    <w:p w:rsidR="005536A9" w:rsidRPr="002B1A2C" w:rsidRDefault="005536A9" w:rsidP="00F512CA">
      <w:pPr>
        <w:pStyle w:val="Heading1"/>
        <w:numPr>
          <w:ilvl w:val="0"/>
          <w:numId w:val="1"/>
        </w:numPr>
        <w:ind w:left="284" w:hanging="283"/>
        <w:jc w:val="center"/>
        <w:rPr>
          <w:rFonts w:ascii="Times New Roman" w:hAnsi="Times New Roman" w:cs="Times New Roman"/>
          <w:sz w:val="32"/>
        </w:rPr>
      </w:pPr>
      <w:bookmarkStart w:id="18" w:name="_Toc510790655"/>
      <w:bookmarkStart w:id="19" w:name="_Toc5627365"/>
      <w:bookmarkStart w:id="20" w:name="_Toc5798620"/>
      <w:r w:rsidRPr="002B1A2C">
        <w:rPr>
          <w:rFonts w:ascii="Times New Roman" w:hAnsi="Times New Roman" w:cs="Times New Roman"/>
          <w:sz w:val="32"/>
        </w:rPr>
        <w:lastRenderedPageBreak/>
        <w:t>Vispārējās valdības budžeta bilance un parāds</w:t>
      </w:r>
      <w:bookmarkEnd w:id="18"/>
      <w:bookmarkEnd w:id="19"/>
      <w:bookmarkEnd w:id="20"/>
    </w:p>
    <w:p w:rsidR="006B6F5A" w:rsidRPr="00966E08" w:rsidRDefault="006B6F5A" w:rsidP="006B6F5A">
      <w:pPr>
        <w:pStyle w:val="Heading2"/>
        <w:numPr>
          <w:ilvl w:val="1"/>
          <w:numId w:val="1"/>
        </w:numPr>
        <w:spacing w:before="240" w:after="120"/>
        <w:ind w:left="0" w:firstLine="709"/>
        <w:rPr>
          <w:rFonts w:ascii="Times New Roman" w:hAnsi="Times New Roman" w:cs="Times New Roman"/>
          <w:sz w:val="24"/>
        </w:rPr>
      </w:pPr>
      <w:bookmarkStart w:id="21" w:name="_Toc510790657"/>
      <w:bookmarkStart w:id="22" w:name="_Toc511027817"/>
      <w:bookmarkStart w:id="23" w:name="_Toc5627366"/>
      <w:bookmarkStart w:id="24" w:name="_Toc5798621"/>
      <w:r w:rsidRPr="00F51615">
        <w:rPr>
          <w:rFonts w:ascii="Times New Roman" w:hAnsi="Times New Roman" w:cs="Times New Roman"/>
          <w:sz w:val="24"/>
        </w:rPr>
        <w:t>Fiskālās politikas stratēģija un vidēja termiņa mērķis</w:t>
      </w:r>
      <w:bookmarkEnd w:id="21"/>
      <w:bookmarkEnd w:id="22"/>
      <w:bookmarkEnd w:id="23"/>
      <w:bookmarkEnd w:id="24"/>
    </w:p>
    <w:p w:rsidR="007366FB" w:rsidRDefault="007366FB" w:rsidP="007366FB">
      <w:pPr>
        <w:spacing w:after="0" w:line="240" w:lineRule="auto"/>
        <w:ind w:firstLine="720"/>
        <w:jc w:val="both"/>
        <w:rPr>
          <w:rFonts w:ascii="Times New Roman" w:eastAsia="Calibri" w:hAnsi="Times New Roman" w:cs="Times New Roman"/>
          <w:color w:val="000000"/>
          <w:sz w:val="24"/>
          <w:szCs w:val="24"/>
        </w:rPr>
      </w:pPr>
      <w:r w:rsidRPr="006C5ABE">
        <w:rPr>
          <w:rFonts w:ascii="Times New Roman" w:eastAsia="Calibri" w:hAnsi="Times New Roman" w:cs="Times New Roman"/>
          <w:color w:val="000000"/>
          <w:sz w:val="24"/>
          <w:szCs w:val="24"/>
        </w:rPr>
        <w:t>Atšķirībā no citiem gadiem šogad periodā no iepriekšējas</w:t>
      </w:r>
      <w:r>
        <w:rPr>
          <w:rFonts w:ascii="Times New Roman" w:eastAsia="Calibri" w:hAnsi="Times New Roman" w:cs="Times New Roman"/>
          <w:color w:val="000000"/>
          <w:sz w:val="24"/>
          <w:szCs w:val="24"/>
        </w:rPr>
        <w:t xml:space="preserve"> S</w:t>
      </w:r>
      <w:r w:rsidRPr="006C5ABE">
        <w:rPr>
          <w:rFonts w:ascii="Times New Roman" w:eastAsia="Calibri" w:hAnsi="Times New Roman" w:cs="Times New Roman"/>
          <w:color w:val="000000"/>
          <w:sz w:val="24"/>
          <w:szCs w:val="24"/>
        </w:rPr>
        <w:t xml:space="preserve">tabilitātes programmas </w:t>
      </w:r>
      <w:r>
        <w:rPr>
          <w:rFonts w:ascii="Times New Roman" w:eastAsia="Calibri" w:hAnsi="Times New Roman" w:cs="Times New Roman"/>
          <w:color w:val="000000"/>
          <w:sz w:val="24"/>
          <w:szCs w:val="24"/>
        </w:rPr>
        <w:t>2018.</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2021.gadam sagatavošanas līdz S</w:t>
      </w:r>
      <w:r w:rsidRPr="006C5ABE">
        <w:rPr>
          <w:rFonts w:ascii="Times New Roman" w:eastAsia="Calibri" w:hAnsi="Times New Roman" w:cs="Times New Roman"/>
          <w:color w:val="000000"/>
          <w:sz w:val="24"/>
          <w:szCs w:val="24"/>
        </w:rPr>
        <w:t xml:space="preserve">tabilitātes programmas </w:t>
      </w:r>
      <w:r>
        <w:rPr>
          <w:rFonts w:ascii="Times New Roman" w:eastAsia="Calibri" w:hAnsi="Times New Roman" w:cs="Times New Roman"/>
          <w:color w:val="000000"/>
          <w:sz w:val="24"/>
          <w:szCs w:val="24"/>
        </w:rPr>
        <w:t>2019.</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 xml:space="preserve">2022.gadam </w:t>
      </w:r>
      <w:r w:rsidRPr="006C5ABE">
        <w:rPr>
          <w:rFonts w:ascii="Times New Roman" w:eastAsia="Calibri" w:hAnsi="Times New Roman" w:cs="Times New Roman"/>
          <w:color w:val="000000"/>
          <w:sz w:val="24"/>
          <w:szCs w:val="24"/>
        </w:rPr>
        <w:t>sagatavošana</w:t>
      </w:r>
      <w:r>
        <w:rPr>
          <w:rFonts w:ascii="Times New Roman" w:eastAsia="Calibri" w:hAnsi="Times New Roman" w:cs="Times New Roman"/>
          <w:color w:val="000000"/>
          <w:sz w:val="24"/>
          <w:szCs w:val="24"/>
        </w:rPr>
        <w:t>i</w:t>
      </w:r>
      <w:r w:rsidRPr="006C5ABE">
        <w:rPr>
          <w:rFonts w:ascii="Times New Roman" w:eastAsia="Calibri" w:hAnsi="Times New Roman" w:cs="Times New Roman"/>
          <w:color w:val="000000"/>
          <w:sz w:val="24"/>
          <w:szCs w:val="24"/>
        </w:rPr>
        <w:t xml:space="preserve"> netika izstrādāts </w:t>
      </w:r>
      <w:r w:rsidR="009F516D" w:rsidRPr="009F516D">
        <w:rPr>
          <w:rFonts w:ascii="Times New Roman" w:hAnsi="Times New Roman"/>
          <w:color w:val="000000" w:themeColor="text1"/>
          <w:sz w:val="24"/>
        </w:rPr>
        <w:t>Ietvara likums</w:t>
      </w:r>
      <w:r w:rsidRPr="006C5AB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Saskaņā ar 2019.gada 7.februāra grozījumiem </w:t>
      </w:r>
      <w:r w:rsidRPr="00E4427F">
        <w:rPr>
          <w:rFonts w:ascii="Times New Roman" w:eastAsia="Calibri" w:hAnsi="Times New Roman" w:cs="Times New Roman"/>
          <w:color w:val="000000"/>
          <w:sz w:val="24"/>
          <w:szCs w:val="24"/>
        </w:rPr>
        <w:t xml:space="preserve">Likumā par budžetu un finanšu vadību tika noteikts, ka 2019.gadā </w:t>
      </w:r>
      <w:r w:rsidR="00DF7C63">
        <w:rPr>
          <w:rFonts w:ascii="Times New Roman" w:eastAsia="Calibri" w:hAnsi="Times New Roman" w:cs="Times New Roman"/>
          <w:color w:val="000000"/>
          <w:sz w:val="24"/>
          <w:szCs w:val="24"/>
        </w:rPr>
        <w:t>Ietvara likuma</w:t>
      </w:r>
      <w:r w:rsidRPr="00E4427F">
        <w:rPr>
          <w:rFonts w:ascii="Times New Roman" w:eastAsia="Calibri" w:hAnsi="Times New Roman" w:cs="Times New Roman"/>
          <w:color w:val="000000"/>
          <w:sz w:val="24"/>
          <w:szCs w:val="24"/>
        </w:rPr>
        <w:t xml:space="preserve"> projekts tiek sagatavots tikai 2020., 2021. un 2022.gadam un tas ir iesniedzams Saeimā kopā ar likumprojektu “Par</w:t>
      </w:r>
      <w:r>
        <w:rPr>
          <w:rFonts w:ascii="Times New Roman" w:eastAsia="Calibri" w:hAnsi="Times New Roman" w:cs="Times New Roman"/>
          <w:color w:val="000000"/>
          <w:sz w:val="24"/>
          <w:szCs w:val="24"/>
        </w:rPr>
        <w:t xml:space="preserve"> valsts budžetu</w:t>
      </w:r>
      <w:r w:rsidRPr="00E4427F">
        <w:rPr>
          <w:rFonts w:ascii="Times New Roman" w:eastAsia="Calibri" w:hAnsi="Times New Roman" w:cs="Times New Roman"/>
          <w:color w:val="000000"/>
          <w:sz w:val="24"/>
          <w:szCs w:val="24"/>
        </w:rPr>
        <w:t xml:space="preserve"> 2020.gada</w:t>
      </w:r>
      <w:r>
        <w:rPr>
          <w:rFonts w:ascii="Times New Roman" w:eastAsia="Calibri" w:hAnsi="Times New Roman" w:cs="Times New Roman"/>
          <w:color w:val="000000"/>
          <w:sz w:val="24"/>
          <w:szCs w:val="24"/>
        </w:rPr>
        <w:t>m</w:t>
      </w:r>
      <w:r w:rsidRPr="00E4427F">
        <w:rPr>
          <w:rFonts w:ascii="Times New Roman" w:eastAsia="Calibri" w:hAnsi="Times New Roman" w:cs="Times New Roman"/>
          <w:color w:val="000000"/>
          <w:sz w:val="24"/>
          <w:szCs w:val="24"/>
        </w:rPr>
        <w:t>”. Savukārt, 2019.gada</w:t>
      </w:r>
      <w:r>
        <w:rPr>
          <w:rFonts w:ascii="Times New Roman" w:eastAsia="Calibri" w:hAnsi="Times New Roman" w:cs="Times New Roman"/>
          <w:color w:val="000000"/>
          <w:sz w:val="24"/>
          <w:szCs w:val="24"/>
        </w:rPr>
        <w:t xml:space="preserve"> valsts</w:t>
      </w:r>
      <w:r w:rsidRPr="00E4427F">
        <w:rPr>
          <w:rFonts w:ascii="Times New Roman" w:eastAsia="Calibri" w:hAnsi="Times New Roman" w:cs="Times New Roman"/>
          <w:color w:val="000000"/>
          <w:sz w:val="24"/>
          <w:szCs w:val="24"/>
        </w:rPr>
        <w:t xml:space="preserve"> budžets tika pieņemts tikai š.g. aprīli, iepriekš darbojoties apstiprinātajam valsts pagaidu budžetam 2019.gadam.</w:t>
      </w:r>
    </w:p>
    <w:p w:rsidR="007366FB" w:rsidRPr="006C5ABE" w:rsidRDefault="007366FB" w:rsidP="007366FB">
      <w:pPr>
        <w:spacing w:after="0" w:line="240" w:lineRule="auto"/>
        <w:ind w:firstLine="720"/>
        <w:jc w:val="both"/>
        <w:rPr>
          <w:rFonts w:ascii="Times New Roman" w:eastAsia="Calibri" w:hAnsi="Times New Roman" w:cs="Times New Roman"/>
          <w:color w:val="000000"/>
          <w:sz w:val="24"/>
          <w:szCs w:val="24"/>
        </w:rPr>
      </w:pPr>
      <w:r w:rsidRPr="006C5ABE">
        <w:rPr>
          <w:rFonts w:ascii="Times New Roman" w:eastAsia="Calibri" w:hAnsi="Times New Roman" w:cs="Times New Roman"/>
          <w:color w:val="000000"/>
          <w:sz w:val="24"/>
          <w:szCs w:val="24"/>
        </w:rPr>
        <w:t>Ņemot vērā laika ierobe</w:t>
      </w:r>
      <w:r>
        <w:rPr>
          <w:rFonts w:ascii="Times New Roman" w:eastAsia="Calibri" w:hAnsi="Times New Roman" w:cs="Times New Roman"/>
          <w:color w:val="000000"/>
          <w:sz w:val="24"/>
          <w:szCs w:val="24"/>
        </w:rPr>
        <w:t>žojumus, 2019.g</w:t>
      </w:r>
      <w:r w:rsidRPr="006C5ABE">
        <w:rPr>
          <w:rFonts w:ascii="Times New Roman" w:eastAsia="Calibri" w:hAnsi="Times New Roman" w:cs="Times New Roman"/>
          <w:color w:val="000000"/>
          <w:sz w:val="24"/>
          <w:szCs w:val="24"/>
        </w:rPr>
        <w:t>ada</w:t>
      </w:r>
      <w:r>
        <w:rPr>
          <w:rFonts w:ascii="Times New Roman" w:eastAsia="Calibri" w:hAnsi="Times New Roman" w:cs="Times New Roman"/>
          <w:color w:val="000000"/>
          <w:sz w:val="24"/>
          <w:szCs w:val="24"/>
        </w:rPr>
        <w:t xml:space="preserve"> valsts</w:t>
      </w:r>
      <w:r w:rsidRPr="006C5ABE">
        <w:rPr>
          <w:rFonts w:ascii="Times New Roman" w:eastAsia="Calibri" w:hAnsi="Times New Roman" w:cs="Times New Roman"/>
          <w:color w:val="000000"/>
          <w:sz w:val="24"/>
          <w:szCs w:val="24"/>
        </w:rPr>
        <w:t xml:space="preserve"> budžets tiks izstrādāts kā “</w:t>
      </w:r>
      <w:r w:rsidR="00092AC2">
        <w:rPr>
          <w:rFonts w:ascii="Times New Roman" w:eastAsia="Calibri" w:hAnsi="Times New Roman" w:cs="Times New Roman"/>
          <w:color w:val="000000"/>
          <w:sz w:val="24"/>
          <w:szCs w:val="24"/>
        </w:rPr>
        <w:t>t</w:t>
      </w:r>
      <w:r w:rsidRPr="006C5ABE">
        <w:rPr>
          <w:rFonts w:ascii="Times New Roman" w:eastAsia="Calibri" w:hAnsi="Times New Roman" w:cs="Times New Roman"/>
          <w:color w:val="000000"/>
          <w:sz w:val="24"/>
          <w:szCs w:val="24"/>
        </w:rPr>
        <w:t>ehniskais budžets”, resp</w:t>
      </w:r>
      <w:r>
        <w:rPr>
          <w:rFonts w:ascii="Times New Roman" w:eastAsia="Calibri" w:hAnsi="Times New Roman" w:cs="Times New Roman"/>
          <w:color w:val="000000"/>
          <w:sz w:val="24"/>
          <w:szCs w:val="24"/>
        </w:rPr>
        <w:t>ektīvi – tas ietvēra iepriekšējā</w:t>
      </w:r>
      <w:r w:rsidRPr="006C5ABE">
        <w:rPr>
          <w:rFonts w:ascii="Times New Roman" w:eastAsia="Calibri" w:hAnsi="Times New Roman" w:cs="Times New Roman"/>
          <w:color w:val="000000"/>
          <w:sz w:val="24"/>
          <w:szCs w:val="24"/>
        </w:rPr>
        <w:t>s valdības un Saeimas pieņemtos lēmumus, kā arī jaunās Saeima</w:t>
      </w:r>
      <w:r>
        <w:rPr>
          <w:rFonts w:ascii="Times New Roman" w:eastAsia="Calibri" w:hAnsi="Times New Roman" w:cs="Times New Roman"/>
          <w:color w:val="000000"/>
          <w:sz w:val="24"/>
          <w:szCs w:val="24"/>
        </w:rPr>
        <w:t>s</w:t>
      </w:r>
      <w:r w:rsidRPr="006C5ABE">
        <w:rPr>
          <w:rFonts w:ascii="Times New Roman" w:eastAsia="Calibri" w:hAnsi="Times New Roman" w:cs="Times New Roman"/>
          <w:color w:val="000000"/>
          <w:sz w:val="24"/>
          <w:szCs w:val="24"/>
        </w:rPr>
        <w:t xml:space="preserve"> pieņemto lēmumu par veselības nozarē strādājošo algu palielinājumu. Jaunās Saeimas un jaunā M</w:t>
      </w:r>
      <w:r w:rsidR="00DF7C63">
        <w:rPr>
          <w:rFonts w:ascii="Times New Roman" w:eastAsia="Calibri" w:hAnsi="Times New Roman" w:cs="Times New Roman"/>
          <w:color w:val="000000"/>
          <w:sz w:val="24"/>
          <w:szCs w:val="24"/>
        </w:rPr>
        <w:t xml:space="preserve">K </w:t>
      </w:r>
      <w:r w:rsidRPr="006C5ABE">
        <w:rPr>
          <w:rFonts w:ascii="Times New Roman" w:eastAsia="Calibri" w:hAnsi="Times New Roman" w:cs="Times New Roman"/>
          <w:color w:val="000000"/>
          <w:sz w:val="24"/>
          <w:szCs w:val="24"/>
        </w:rPr>
        <w:t>politikas prior</w:t>
      </w:r>
      <w:r>
        <w:rPr>
          <w:rFonts w:ascii="Times New Roman" w:eastAsia="Calibri" w:hAnsi="Times New Roman" w:cs="Times New Roman"/>
          <w:color w:val="000000"/>
          <w:sz w:val="24"/>
          <w:szCs w:val="24"/>
        </w:rPr>
        <w:t>itātes tiks finansētas ar 2020.</w:t>
      </w:r>
      <w:r w:rsidRPr="006C5ABE">
        <w:rPr>
          <w:rFonts w:ascii="Times New Roman" w:eastAsia="Calibri" w:hAnsi="Times New Roman" w:cs="Times New Roman"/>
          <w:color w:val="000000"/>
          <w:sz w:val="24"/>
          <w:szCs w:val="24"/>
        </w:rPr>
        <w:t>gada valsts bud</w:t>
      </w:r>
      <w:r>
        <w:rPr>
          <w:rFonts w:ascii="Times New Roman" w:eastAsia="Calibri" w:hAnsi="Times New Roman" w:cs="Times New Roman"/>
          <w:color w:val="000000"/>
          <w:sz w:val="24"/>
          <w:szCs w:val="24"/>
        </w:rPr>
        <w:t>žeta likumu un 2020.</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2022.</w:t>
      </w:r>
      <w:r w:rsidRPr="006C5ABE">
        <w:rPr>
          <w:rFonts w:ascii="Times New Roman" w:eastAsia="Calibri" w:hAnsi="Times New Roman" w:cs="Times New Roman"/>
          <w:color w:val="000000"/>
          <w:sz w:val="24"/>
          <w:szCs w:val="24"/>
        </w:rPr>
        <w:t xml:space="preserve">gada </w:t>
      </w:r>
      <w:r w:rsidR="00DF7C63">
        <w:rPr>
          <w:rFonts w:ascii="Times New Roman" w:eastAsia="Calibri" w:hAnsi="Times New Roman" w:cs="Times New Roman"/>
          <w:color w:val="000000"/>
          <w:sz w:val="24"/>
          <w:szCs w:val="24"/>
        </w:rPr>
        <w:t>Ietvara likumu</w:t>
      </w:r>
      <w:r w:rsidRPr="006C5ABE">
        <w:rPr>
          <w:rFonts w:ascii="Times New Roman" w:eastAsia="Calibri" w:hAnsi="Times New Roman" w:cs="Times New Roman"/>
          <w:color w:val="000000"/>
          <w:sz w:val="24"/>
          <w:szCs w:val="24"/>
        </w:rPr>
        <w:t xml:space="preserve">. </w:t>
      </w:r>
    </w:p>
    <w:p w:rsidR="007366FB" w:rsidRPr="006C5ABE" w:rsidRDefault="00092AC2" w:rsidP="007366F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Līdz ar to</w:t>
      </w:r>
      <w:r w:rsidR="007366FB" w:rsidRPr="006C5ABE">
        <w:rPr>
          <w:rFonts w:ascii="Times New Roman" w:eastAsia="Calibri" w:hAnsi="Times New Roman" w:cs="Times New Roman"/>
          <w:color w:val="000000"/>
          <w:sz w:val="24"/>
          <w:szCs w:val="24"/>
        </w:rPr>
        <w:t xml:space="preserve">, šīs Stabilitātes programmas izstrādes brīdī nav izstrādāta jauna fiskālās politikas stratēģija. Pašlaik spēkā ir </w:t>
      </w:r>
      <w:r w:rsidR="007366FB">
        <w:rPr>
          <w:rFonts w:ascii="Times New Roman" w:eastAsia="Calibri" w:hAnsi="Times New Roman" w:cs="Times New Roman"/>
          <w:color w:val="000000"/>
          <w:sz w:val="24"/>
          <w:szCs w:val="24"/>
        </w:rPr>
        <w:t>iepriekšējā Stabilitātes programmā</w:t>
      </w:r>
      <w:r w:rsidR="007366FB" w:rsidRPr="006C5ABE">
        <w:rPr>
          <w:rFonts w:ascii="Times New Roman" w:eastAsia="Calibri" w:hAnsi="Times New Roman" w:cs="Times New Roman"/>
          <w:color w:val="000000"/>
          <w:sz w:val="24"/>
          <w:szCs w:val="24"/>
        </w:rPr>
        <w:t xml:space="preserve"> aprakstītā fi</w:t>
      </w:r>
      <w:r w:rsidR="00382EED">
        <w:rPr>
          <w:rFonts w:ascii="Times New Roman" w:eastAsia="Calibri" w:hAnsi="Times New Roman" w:cs="Times New Roman"/>
          <w:color w:val="000000"/>
          <w:sz w:val="24"/>
          <w:szCs w:val="24"/>
        </w:rPr>
        <w:t xml:space="preserve">skālās politikas stratēģija un </w:t>
      </w:r>
      <w:r w:rsidR="00DF7C63">
        <w:rPr>
          <w:rFonts w:ascii="Times New Roman" w:eastAsia="Calibri" w:hAnsi="Times New Roman" w:cs="Times New Roman"/>
          <w:color w:val="000000"/>
          <w:sz w:val="24"/>
          <w:szCs w:val="24"/>
        </w:rPr>
        <w:t>Ietvara likumā</w:t>
      </w:r>
      <w:r w:rsidR="007366FB" w:rsidRPr="006C5ABE">
        <w:rPr>
          <w:rFonts w:ascii="Times New Roman" w:eastAsia="Calibri" w:hAnsi="Times New Roman" w:cs="Times New Roman"/>
          <w:color w:val="000000"/>
          <w:sz w:val="24"/>
          <w:szCs w:val="24"/>
        </w:rPr>
        <w:t xml:space="preserve"> 2018</w:t>
      </w:r>
      <w:r w:rsidR="007366FB">
        <w:rPr>
          <w:rFonts w:ascii="Times New Roman" w:eastAsia="Calibri" w:hAnsi="Times New Roman" w:cs="Times New Roman"/>
          <w:color w:val="000000"/>
          <w:sz w:val="24"/>
          <w:szCs w:val="24"/>
        </w:rPr>
        <w:t>.</w:t>
      </w:r>
      <w:r w:rsidR="00382EED">
        <w:rPr>
          <w:rFonts w:ascii="Times New Roman" w:eastAsia="Calibri" w:hAnsi="Times New Roman" w:cs="Times New Roman"/>
          <w:color w:val="000000"/>
          <w:sz w:val="24"/>
          <w:szCs w:val="24"/>
        </w:rPr>
        <w:t>, 2019. un 2020.</w:t>
      </w:r>
      <w:r w:rsidR="007366FB" w:rsidRPr="006C5ABE">
        <w:rPr>
          <w:rFonts w:ascii="Times New Roman" w:eastAsia="Calibri" w:hAnsi="Times New Roman" w:cs="Times New Roman"/>
          <w:color w:val="000000"/>
          <w:sz w:val="24"/>
          <w:szCs w:val="24"/>
        </w:rPr>
        <w:t>gadam noteiktie vidēja termiņa politikas prioritārie attīstības virzieni, k</w:t>
      </w:r>
      <w:r w:rsidR="007366FB">
        <w:rPr>
          <w:rFonts w:ascii="Times New Roman" w:eastAsia="Calibri" w:hAnsi="Times New Roman" w:cs="Times New Roman"/>
          <w:color w:val="000000"/>
          <w:sz w:val="24"/>
          <w:szCs w:val="24"/>
        </w:rPr>
        <w:t xml:space="preserve">as ir aprakstīti </w:t>
      </w:r>
      <w:r w:rsidR="007366FB" w:rsidRPr="006C5ABE">
        <w:rPr>
          <w:rFonts w:ascii="Times New Roman" w:eastAsia="Calibri" w:hAnsi="Times New Roman" w:cs="Times New Roman"/>
          <w:color w:val="000000"/>
          <w:sz w:val="24"/>
          <w:szCs w:val="24"/>
        </w:rPr>
        <w:t>Stabilitātes programmā</w:t>
      </w:r>
      <w:r w:rsidR="007366FB">
        <w:rPr>
          <w:rFonts w:ascii="Times New Roman" w:eastAsia="Calibri" w:hAnsi="Times New Roman" w:cs="Times New Roman"/>
          <w:color w:val="000000"/>
          <w:sz w:val="24"/>
          <w:szCs w:val="24"/>
        </w:rPr>
        <w:t xml:space="preserve"> 2018</w:t>
      </w:r>
      <w:r w:rsidR="007366FB" w:rsidRPr="006C5ABE">
        <w:rPr>
          <w:rFonts w:ascii="Times New Roman" w:eastAsia="Calibri" w:hAnsi="Times New Roman" w:cs="Times New Roman"/>
          <w:color w:val="000000"/>
          <w:sz w:val="24"/>
          <w:szCs w:val="24"/>
        </w:rPr>
        <w:t>.</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sidR="007366FB">
        <w:rPr>
          <w:rFonts w:ascii="Times New Roman" w:eastAsia="Calibri" w:hAnsi="Times New Roman" w:cs="Times New Roman"/>
          <w:color w:val="000000"/>
          <w:sz w:val="24"/>
          <w:szCs w:val="24"/>
        </w:rPr>
        <w:t>2021.gadam.</w:t>
      </w:r>
      <w:r w:rsidR="007366FB" w:rsidRPr="006C5ABE">
        <w:rPr>
          <w:rFonts w:ascii="Times New Roman" w:eastAsia="Calibri" w:hAnsi="Times New Roman" w:cs="Times New Roman"/>
          <w:color w:val="000000"/>
          <w:sz w:val="24"/>
          <w:szCs w:val="24"/>
        </w:rPr>
        <w:t xml:space="preserve"> </w:t>
      </w:r>
    </w:p>
    <w:p w:rsidR="007366FB" w:rsidRPr="006C5ABE" w:rsidRDefault="007366FB" w:rsidP="007366FB">
      <w:pPr>
        <w:spacing w:after="0" w:line="240" w:lineRule="auto"/>
        <w:ind w:firstLine="720"/>
        <w:jc w:val="both"/>
        <w:rPr>
          <w:rFonts w:ascii="Times New Roman" w:eastAsia="Calibri" w:hAnsi="Times New Roman" w:cs="Times New Roman"/>
          <w:color w:val="000000"/>
          <w:sz w:val="24"/>
          <w:szCs w:val="24"/>
        </w:rPr>
      </w:pPr>
      <w:r w:rsidRPr="006C5ABE">
        <w:rPr>
          <w:rFonts w:ascii="Times New Roman" w:eastAsia="Calibri" w:hAnsi="Times New Roman" w:cs="Times New Roman"/>
          <w:color w:val="000000"/>
          <w:sz w:val="24"/>
          <w:szCs w:val="24"/>
        </w:rPr>
        <w:t>Ņemot vērā augstāk minēto, šajā Stabilitātes programmā netiek sni</w:t>
      </w:r>
      <w:r>
        <w:rPr>
          <w:rFonts w:ascii="Times New Roman" w:eastAsia="Calibri" w:hAnsi="Times New Roman" w:cs="Times New Roman"/>
          <w:color w:val="000000"/>
          <w:sz w:val="24"/>
          <w:szCs w:val="24"/>
        </w:rPr>
        <w:t>egta informācija par 2020.</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Pr>
          <w:rFonts w:ascii="Times New Roman" w:eastAsia="Calibri" w:hAnsi="Times New Roman" w:cs="Times New Roman"/>
          <w:color w:val="000000"/>
          <w:sz w:val="24"/>
          <w:szCs w:val="24"/>
        </w:rPr>
        <w:t>2022.</w:t>
      </w:r>
      <w:r w:rsidRPr="006C5ABE">
        <w:rPr>
          <w:rFonts w:ascii="Times New Roman" w:eastAsia="Calibri" w:hAnsi="Times New Roman" w:cs="Times New Roman"/>
          <w:color w:val="000000"/>
          <w:sz w:val="24"/>
          <w:szCs w:val="24"/>
        </w:rPr>
        <w:t>gada fiskālās politikas stratēģiju un vidēja termiņa politikas prioritārajiem attīstības virzieniem.</w:t>
      </w:r>
    </w:p>
    <w:p w:rsidR="007366FB" w:rsidRDefault="007366FB" w:rsidP="007366FB">
      <w:pPr>
        <w:spacing w:after="0" w:line="240" w:lineRule="auto"/>
        <w:ind w:firstLine="720"/>
        <w:jc w:val="both"/>
        <w:rPr>
          <w:rFonts w:ascii="Times New Roman" w:eastAsia="Calibri" w:hAnsi="Times New Roman" w:cs="Times New Roman"/>
          <w:b/>
          <w:color w:val="000000"/>
          <w:sz w:val="24"/>
          <w:szCs w:val="24"/>
        </w:rPr>
      </w:pPr>
      <w:r w:rsidRPr="006C5ABE">
        <w:rPr>
          <w:rFonts w:ascii="Times New Roman" w:eastAsia="Calibri" w:hAnsi="Times New Roman" w:cs="Times New Roman"/>
          <w:color w:val="000000"/>
          <w:sz w:val="24"/>
          <w:szCs w:val="24"/>
        </w:rPr>
        <w:t xml:space="preserve">Latvijas fiskālās politikas principi ir noteikti </w:t>
      </w:r>
      <w:r>
        <w:rPr>
          <w:rFonts w:ascii="Times New Roman" w:eastAsia="Calibri" w:hAnsi="Times New Roman" w:cs="Times New Roman"/>
          <w:color w:val="000000"/>
          <w:sz w:val="24"/>
          <w:szCs w:val="24"/>
        </w:rPr>
        <w:t>Fiskālas</w:t>
      </w:r>
      <w:r w:rsidRPr="006C5ABE">
        <w:rPr>
          <w:rFonts w:ascii="Times New Roman" w:eastAsia="Calibri" w:hAnsi="Times New Roman" w:cs="Times New Roman"/>
          <w:color w:val="000000"/>
          <w:sz w:val="24"/>
          <w:szCs w:val="24"/>
        </w:rPr>
        <w:t xml:space="preserve"> disciplīnas likumā un tie tiek īstenoti, </w:t>
      </w:r>
      <w:r w:rsidRPr="00E33439">
        <w:rPr>
          <w:rFonts w:ascii="Times New Roman" w:eastAsia="Calibri" w:hAnsi="Times New Roman" w:cs="Times New Roman"/>
          <w:color w:val="000000"/>
          <w:sz w:val="24"/>
          <w:szCs w:val="24"/>
        </w:rPr>
        <w:t xml:space="preserve">ievērojot šajā likumā noteiktos </w:t>
      </w:r>
      <w:r>
        <w:rPr>
          <w:rFonts w:ascii="Times New Roman" w:eastAsia="Calibri" w:hAnsi="Times New Roman" w:cs="Times New Roman"/>
          <w:color w:val="000000"/>
          <w:sz w:val="24"/>
          <w:szCs w:val="24"/>
        </w:rPr>
        <w:t xml:space="preserve">skaitliskos fiskālo nosacījumus, kā arī nodrošina to atbilstību </w:t>
      </w:r>
      <w:r w:rsidRPr="00E33439">
        <w:rPr>
          <w:rFonts w:ascii="Times New Roman" w:eastAsia="Calibri" w:hAnsi="Times New Roman" w:cs="Times New Roman"/>
          <w:color w:val="000000"/>
          <w:sz w:val="24"/>
          <w:szCs w:val="24"/>
        </w:rPr>
        <w:t>Stabilitātes un izaugsmes</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pakta</w:t>
      </w:r>
      <w:proofErr w:type="spellEnd"/>
      <w:r>
        <w:rPr>
          <w:rFonts w:ascii="Times New Roman" w:eastAsia="Calibri" w:hAnsi="Times New Roman" w:cs="Times New Roman"/>
          <w:color w:val="000000"/>
          <w:sz w:val="24"/>
          <w:szCs w:val="24"/>
        </w:rPr>
        <w:t xml:space="preserve"> noteikumiem</w:t>
      </w:r>
      <w:r w:rsidRPr="00E33439">
        <w:rPr>
          <w:rFonts w:ascii="Times New Roman" w:eastAsia="Calibri" w:hAnsi="Times New Roman" w:cs="Times New Roman"/>
          <w:color w:val="000000"/>
          <w:sz w:val="24"/>
          <w:szCs w:val="24"/>
        </w:rPr>
        <w:t xml:space="preserve">. Saskaņā ar šiem nosacījumiem tiek noteikts 2020., 2021. un 2022.gada strukturālās bilances mērķis un par to detalizēta informācija ir sniegta sadaļā 3.2.1., bet 3.2.2. </w:t>
      </w:r>
      <w:r w:rsidR="00092AC2" w:rsidRPr="00E33439">
        <w:rPr>
          <w:rFonts w:ascii="Times New Roman" w:eastAsia="Calibri" w:hAnsi="Times New Roman" w:cs="Times New Roman"/>
          <w:color w:val="000000"/>
          <w:sz w:val="24"/>
          <w:szCs w:val="24"/>
        </w:rPr>
        <w:t xml:space="preserve">sadaļā </w:t>
      </w:r>
      <w:r w:rsidRPr="00E33439">
        <w:rPr>
          <w:rFonts w:ascii="Times New Roman" w:eastAsia="Calibri" w:hAnsi="Times New Roman" w:cs="Times New Roman"/>
          <w:color w:val="000000"/>
          <w:sz w:val="24"/>
          <w:szCs w:val="24"/>
        </w:rPr>
        <w:t xml:space="preserve">ir sniegta informācija par </w:t>
      </w:r>
      <w:proofErr w:type="spellStart"/>
      <w:r w:rsidRPr="00E33439">
        <w:rPr>
          <w:rFonts w:ascii="Times New Roman" w:eastAsia="Calibri" w:hAnsi="Times New Roman" w:cs="Times New Roman"/>
          <w:color w:val="000000"/>
          <w:sz w:val="24"/>
          <w:szCs w:val="24"/>
        </w:rPr>
        <w:t>diskrecionārajiem</w:t>
      </w:r>
      <w:proofErr w:type="spellEnd"/>
      <w:r w:rsidRPr="00E33439">
        <w:rPr>
          <w:rFonts w:ascii="Times New Roman" w:eastAsia="Calibri" w:hAnsi="Times New Roman" w:cs="Times New Roman"/>
          <w:color w:val="000000"/>
          <w:sz w:val="24"/>
          <w:szCs w:val="24"/>
        </w:rPr>
        <w:t xml:space="preserve"> politiku pasākumiem, kas tika pieņemti pēc iepriekšējas Stabilitātes programmas. Līdz ar to starplaikā starp Stabilitātes programmas 2018.</w:t>
      </w:r>
      <w:r w:rsidRPr="002D14F2">
        <w:rPr>
          <w:rFonts w:ascii="Times New Roman" w:eastAsia="Calibri" w:hAnsi="Times New Roman" w:cs="Times New Roman"/>
          <w:color w:val="000000"/>
          <w:sz w:val="24"/>
          <w:szCs w:val="24"/>
        </w:rPr>
        <w:t xml:space="preserve"> – </w:t>
      </w:r>
      <w:r w:rsidRPr="00E33439">
        <w:rPr>
          <w:rFonts w:ascii="Times New Roman" w:eastAsia="Calibri" w:hAnsi="Times New Roman" w:cs="Times New Roman"/>
          <w:color w:val="000000"/>
          <w:sz w:val="24"/>
          <w:szCs w:val="24"/>
        </w:rPr>
        <w:t>2021.gadam un Stabilitātes programmas</w:t>
      </w:r>
      <w:r w:rsidRPr="002514C7">
        <w:rPr>
          <w:rFonts w:ascii="Times New Roman" w:eastAsia="Calibri" w:hAnsi="Times New Roman" w:cs="Times New Roman"/>
          <w:color w:val="000000"/>
          <w:sz w:val="24"/>
          <w:szCs w:val="24"/>
        </w:rPr>
        <w:t xml:space="preserve"> 201</w:t>
      </w:r>
      <w:r>
        <w:rPr>
          <w:rFonts w:ascii="Times New Roman" w:eastAsia="Calibri" w:hAnsi="Times New Roman" w:cs="Times New Roman"/>
          <w:color w:val="000000"/>
          <w:sz w:val="24"/>
          <w:szCs w:val="24"/>
        </w:rPr>
        <w:t>9</w:t>
      </w:r>
      <w:r w:rsidRPr="002514C7">
        <w:rPr>
          <w:rFonts w:ascii="Times New Roman" w:eastAsia="Calibri" w:hAnsi="Times New Roman" w:cs="Times New Roman"/>
          <w:color w:val="000000"/>
          <w:sz w:val="24"/>
          <w:szCs w:val="24"/>
        </w:rPr>
        <w:t>.</w:t>
      </w:r>
      <w:r w:rsidRPr="002D14F2">
        <w:rPr>
          <w:rFonts w:ascii="Times New Roman" w:eastAsia="Calibri" w:hAnsi="Times New Roman" w:cs="Times New Roman"/>
          <w:color w:val="000000"/>
          <w:sz w:val="24"/>
          <w:szCs w:val="24"/>
        </w:rPr>
        <w:t xml:space="preserve"> – </w:t>
      </w:r>
      <w:r w:rsidRPr="002514C7">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2</w:t>
      </w:r>
      <w:r w:rsidRPr="002514C7">
        <w:rPr>
          <w:rFonts w:ascii="Times New Roman" w:eastAsia="Calibri" w:hAnsi="Times New Roman" w:cs="Times New Roman"/>
          <w:color w:val="000000"/>
          <w:sz w:val="24"/>
          <w:szCs w:val="24"/>
        </w:rPr>
        <w:t>.gadam izstrādes brīdi</w:t>
      </w:r>
      <w:r>
        <w:rPr>
          <w:rFonts w:ascii="Times New Roman" w:eastAsia="Calibri" w:hAnsi="Times New Roman" w:cs="Times New Roman"/>
          <w:color w:val="000000"/>
          <w:sz w:val="24"/>
          <w:szCs w:val="24"/>
        </w:rPr>
        <w:t xml:space="preserve"> ir</w:t>
      </w:r>
      <w:r w:rsidRPr="002514C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pieņemti</w:t>
      </w:r>
      <w:r w:rsidRPr="002514C7">
        <w:rPr>
          <w:rFonts w:ascii="Times New Roman" w:eastAsia="Calibri" w:hAnsi="Times New Roman" w:cs="Times New Roman"/>
          <w:color w:val="000000"/>
          <w:sz w:val="24"/>
          <w:szCs w:val="24"/>
        </w:rPr>
        <w:t xml:space="preserve"> fiskālās politikas lēmumi</w:t>
      </w:r>
      <w:r w:rsidR="00092AC2">
        <w:rPr>
          <w:rFonts w:ascii="Times New Roman" w:eastAsia="Calibri" w:hAnsi="Times New Roman" w:cs="Times New Roman"/>
          <w:color w:val="000000"/>
          <w:sz w:val="24"/>
          <w:szCs w:val="24"/>
        </w:rPr>
        <w:t>.</w:t>
      </w:r>
      <w:r w:rsidRPr="002514C7">
        <w:rPr>
          <w:rFonts w:ascii="Times New Roman" w:eastAsia="Calibri" w:hAnsi="Times New Roman" w:cs="Times New Roman"/>
          <w:color w:val="000000"/>
          <w:sz w:val="24"/>
          <w:szCs w:val="24"/>
        </w:rPr>
        <w:t xml:space="preserve"> Šo lēmumu fiskāl</w:t>
      </w:r>
      <w:r>
        <w:rPr>
          <w:rFonts w:ascii="Times New Roman" w:eastAsia="Calibri" w:hAnsi="Times New Roman" w:cs="Times New Roman"/>
          <w:color w:val="000000"/>
          <w:sz w:val="24"/>
          <w:szCs w:val="24"/>
        </w:rPr>
        <w:t>ā</w:t>
      </w:r>
      <w:r w:rsidRPr="002514C7">
        <w:rPr>
          <w:rFonts w:ascii="Times New Roman" w:eastAsia="Calibri" w:hAnsi="Times New Roman" w:cs="Times New Roman"/>
          <w:color w:val="000000"/>
          <w:sz w:val="24"/>
          <w:szCs w:val="24"/>
        </w:rPr>
        <w:t xml:space="preserve"> ietekme ir iekļauta šīs Stabilitātes programmas </w:t>
      </w:r>
      <w:r w:rsidRPr="002514C7">
        <w:rPr>
          <w:rFonts w:ascii="Times New Roman" w:eastAsia="Calibri" w:hAnsi="Times New Roman" w:cs="Times New Roman"/>
          <w:b/>
          <w:color w:val="000000"/>
          <w:sz w:val="24"/>
          <w:szCs w:val="24"/>
        </w:rPr>
        <w:t>nemainīgas politikas scenārijā.</w:t>
      </w:r>
    </w:p>
    <w:p w:rsidR="007366FB" w:rsidRPr="000D0F3A" w:rsidRDefault="007366FB" w:rsidP="007366FB">
      <w:pPr>
        <w:spacing w:after="0" w:line="240" w:lineRule="auto"/>
        <w:ind w:firstLine="720"/>
        <w:jc w:val="both"/>
        <w:rPr>
          <w:rFonts w:ascii="Times New Roman" w:eastAsia="Calibri" w:hAnsi="Times New Roman" w:cs="Times New Roman"/>
          <w:b/>
          <w:color w:val="000000"/>
          <w:sz w:val="24"/>
          <w:szCs w:val="24"/>
        </w:rPr>
      </w:pPr>
      <w:r w:rsidRPr="000D0F3A">
        <w:rPr>
          <w:rFonts w:ascii="Times New Roman" w:eastAsia="Calibri" w:hAnsi="Times New Roman" w:cs="Times New Roman"/>
          <w:b/>
          <w:color w:val="000000"/>
          <w:sz w:val="24"/>
          <w:szCs w:val="24"/>
        </w:rPr>
        <w:t xml:space="preserve">Attiecībā uz VTM tiek saglabāta iepriekšējā Stabilitātes programmā definētā pieeja nosakot divus atšķirīgus VTM </w:t>
      </w:r>
      <w:r w:rsidRPr="000D0F3A">
        <w:rPr>
          <w:rFonts w:ascii="Times New Roman" w:eastAsia="Calibri" w:hAnsi="Times New Roman" w:cs="Times New Roman"/>
          <w:b/>
          <w:sz w:val="24"/>
          <w:szCs w:val="24"/>
        </w:rPr>
        <w:t>–</w:t>
      </w:r>
      <w:r w:rsidRPr="000D0F3A">
        <w:rPr>
          <w:rFonts w:ascii="Times New Roman" w:eastAsia="Calibri" w:hAnsi="Times New Roman" w:cs="Times New Roman"/>
          <w:b/>
          <w:color w:val="000000"/>
          <w:sz w:val="24"/>
          <w:szCs w:val="24"/>
        </w:rPr>
        <w:t xml:space="preserve"> nacionālo VTM, kas saglabājas -0,5% no IKP un VTM SIP izpratnē jeb VTM SIP, kas tiek noteikts -1,0% no IKP līmenī.</w:t>
      </w:r>
    </w:p>
    <w:p w:rsidR="00382FDF" w:rsidRDefault="00382FDF" w:rsidP="007366FB">
      <w:pPr>
        <w:spacing w:after="0" w:line="240" w:lineRule="auto"/>
        <w:ind w:firstLine="709"/>
        <w:jc w:val="both"/>
        <w:rPr>
          <w:rFonts w:ascii="Times New Roman" w:eastAsia="Calibri" w:hAnsi="Times New Roman" w:cs="Times New Roman"/>
          <w:color w:val="000000"/>
          <w:sz w:val="24"/>
          <w:szCs w:val="24"/>
          <w:u w:val="single"/>
        </w:rPr>
      </w:pPr>
    </w:p>
    <w:p w:rsidR="00382FDF" w:rsidRPr="00C347BC" w:rsidRDefault="00382FDF" w:rsidP="00DC41EC">
      <w:pPr>
        <w:pStyle w:val="Heading3"/>
        <w:numPr>
          <w:ilvl w:val="2"/>
          <w:numId w:val="1"/>
        </w:numPr>
        <w:spacing w:before="120" w:after="120" w:line="240" w:lineRule="auto"/>
        <w:ind w:left="1418"/>
        <w:rPr>
          <w:rFonts w:ascii="Times New Roman" w:hAnsi="Times New Roman" w:cs="Times New Roman"/>
          <w:sz w:val="24"/>
          <w:szCs w:val="24"/>
        </w:rPr>
      </w:pPr>
      <w:bookmarkStart w:id="25" w:name="_Toc479331088"/>
      <w:bookmarkStart w:id="26" w:name="_Toc511027819"/>
      <w:bookmarkStart w:id="27" w:name="_Toc5627367"/>
      <w:bookmarkStart w:id="28" w:name="_Toc5798622"/>
      <w:r w:rsidRPr="00C347BC">
        <w:rPr>
          <w:rFonts w:ascii="Times New Roman" w:hAnsi="Times New Roman" w:cs="Times New Roman"/>
          <w:sz w:val="24"/>
          <w:szCs w:val="24"/>
        </w:rPr>
        <w:t xml:space="preserve">Strukturālās bilances mērķi </w:t>
      </w:r>
      <w:bookmarkEnd w:id="25"/>
      <w:bookmarkEnd w:id="26"/>
      <w:r w:rsidR="00C347BC">
        <w:rPr>
          <w:rFonts w:ascii="Times New Roman" w:hAnsi="Times New Roman" w:cs="Times New Roman"/>
          <w:sz w:val="24"/>
          <w:szCs w:val="24"/>
        </w:rPr>
        <w:t>2020., 2021. un 2022.</w:t>
      </w:r>
      <w:r w:rsidRPr="00C347BC">
        <w:rPr>
          <w:rFonts w:ascii="Times New Roman" w:hAnsi="Times New Roman" w:cs="Times New Roman"/>
          <w:sz w:val="24"/>
          <w:szCs w:val="24"/>
        </w:rPr>
        <w:t>gadam</w:t>
      </w:r>
      <w:bookmarkEnd w:id="27"/>
      <w:bookmarkEnd w:id="28"/>
    </w:p>
    <w:p w:rsidR="007366FB" w:rsidRPr="000D0F3A" w:rsidRDefault="00092AC2" w:rsidP="007366F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w:t>
      </w:r>
      <w:r w:rsidR="007366FB" w:rsidRPr="000D0F3A">
        <w:rPr>
          <w:rFonts w:ascii="Times New Roman" w:eastAsia="Calibri" w:hAnsi="Times New Roman" w:cs="Times New Roman"/>
          <w:color w:val="000000"/>
          <w:sz w:val="24"/>
          <w:szCs w:val="24"/>
        </w:rPr>
        <w:t xml:space="preserve">ispārējās valdības budžeta strukturālās bilances mērķu noteikšanā tiek piemērota vairāku pakāpju metode un tiem ir vienlaicīgi jānodrošina atbilstība gan nacionālā līmeņa fiskālajiem nosacījumiem (bilances nosacījums, izdevumu pieauguma nosacījums un izdevumu </w:t>
      </w:r>
      <w:proofErr w:type="spellStart"/>
      <w:r w:rsidR="007366FB" w:rsidRPr="000D0F3A">
        <w:rPr>
          <w:rFonts w:ascii="Times New Roman" w:eastAsia="Calibri" w:hAnsi="Times New Roman" w:cs="Times New Roman"/>
          <w:color w:val="000000"/>
          <w:sz w:val="24"/>
          <w:szCs w:val="24"/>
        </w:rPr>
        <w:t>pārmantojamības</w:t>
      </w:r>
      <w:proofErr w:type="spellEnd"/>
      <w:r w:rsidR="007366FB" w:rsidRPr="000D0F3A">
        <w:rPr>
          <w:rFonts w:ascii="Times New Roman" w:eastAsia="Calibri" w:hAnsi="Times New Roman" w:cs="Times New Roman"/>
          <w:color w:val="000000"/>
          <w:sz w:val="24"/>
          <w:szCs w:val="24"/>
        </w:rPr>
        <w:t xml:space="preserve"> nosacījums), kas definēti FDL, gan arī EK pielietotajai metodoloģijai.</w:t>
      </w:r>
    </w:p>
    <w:p w:rsidR="00092AC2" w:rsidRDefault="007366FB" w:rsidP="007366FB">
      <w:pPr>
        <w:spacing w:after="0" w:line="240" w:lineRule="auto"/>
        <w:ind w:firstLine="720"/>
        <w:jc w:val="both"/>
        <w:rPr>
          <w:rFonts w:ascii="Times New Roman" w:eastAsia="Calibri" w:hAnsi="Times New Roman" w:cs="Times New Roman"/>
          <w:color w:val="000000"/>
          <w:sz w:val="24"/>
          <w:szCs w:val="24"/>
        </w:rPr>
      </w:pPr>
      <w:r w:rsidRPr="000D0F3A">
        <w:rPr>
          <w:rFonts w:ascii="Times New Roman" w:eastAsia="Calibri" w:hAnsi="Times New Roman" w:cs="Times New Roman"/>
          <w:color w:val="000000"/>
          <w:sz w:val="24"/>
          <w:szCs w:val="24"/>
        </w:rPr>
        <w:t xml:space="preserve">Vispirms strukturālās bilances mērķi tiek aprēķināti, pielietojot bilances nosacījumu. Bilances nosacījuma pārbaudei tiek veidoti divi scenāriji – viens ar nacionālo VTM un otrs ar VTM SIP. </w:t>
      </w:r>
      <w:r w:rsidR="00092AC2" w:rsidRPr="000D0F3A">
        <w:rPr>
          <w:rFonts w:ascii="Times New Roman" w:eastAsia="Calibri" w:hAnsi="Times New Roman" w:cs="Times New Roman"/>
          <w:color w:val="000000"/>
          <w:sz w:val="24"/>
          <w:szCs w:val="24"/>
        </w:rPr>
        <w:t>Divu atšķirīgu VTM ieviešana Latvijas fiskālajā politikā</w:t>
      </w:r>
      <w:r w:rsidR="00092AC2">
        <w:rPr>
          <w:rFonts w:ascii="Times New Roman" w:eastAsia="Calibri" w:hAnsi="Times New Roman" w:cs="Times New Roman"/>
          <w:color w:val="000000"/>
          <w:sz w:val="24"/>
          <w:szCs w:val="24"/>
        </w:rPr>
        <w:t xml:space="preserve"> ir</w:t>
      </w:r>
      <w:r w:rsidR="00092AC2" w:rsidRPr="000D0F3A">
        <w:rPr>
          <w:rFonts w:ascii="Times New Roman" w:eastAsia="Calibri" w:hAnsi="Times New Roman" w:cs="Times New Roman"/>
          <w:color w:val="000000"/>
          <w:sz w:val="24"/>
          <w:szCs w:val="24"/>
        </w:rPr>
        <w:t xml:space="preserve"> </w:t>
      </w:r>
      <w:proofErr w:type="spellStart"/>
      <w:r w:rsidR="00092AC2">
        <w:rPr>
          <w:rFonts w:ascii="Times New Roman" w:eastAsia="Calibri" w:hAnsi="Times New Roman" w:cs="Times New Roman"/>
          <w:color w:val="000000"/>
          <w:sz w:val="24"/>
          <w:szCs w:val="24"/>
        </w:rPr>
        <w:t>ir</w:t>
      </w:r>
      <w:proofErr w:type="spellEnd"/>
      <w:r w:rsidR="00092AC2">
        <w:rPr>
          <w:rFonts w:ascii="Times New Roman" w:eastAsia="Calibri" w:hAnsi="Times New Roman" w:cs="Times New Roman"/>
          <w:color w:val="000000"/>
          <w:sz w:val="24"/>
          <w:szCs w:val="24"/>
        </w:rPr>
        <w:t xml:space="preserve"> saistīta ar būtiskām atšķirībām izlaižu starpību novērtējumā, ko veic EK un FM. Šī pieeja nodrošina, ka ar vienu nominālās bilances apmēru tiek panākta apmēram vienāda novirze vai atbilstība VTM, </w:t>
      </w:r>
      <w:r w:rsidR="00092AC2">
        <w:rPr>
          <w:rFonts w:ascii="Times New Roman" w:eastAsia="Calibri" w:hAnsi="Times New Roman" w:cs="Times New Roman"/>
          <w:color w:val="000000"/>
          <w:sz w:val="24"/>
          <w:szCs w:val="24"/>
        </w:rPr>
        <w:lastRenderedPageBreak/>
        <w:t xml:space="preserve">izmantojot FM </w:t>
      </w:r>
      <w:proofErr w:type="spellStart"/>
      <w:r w:rsidR="00092AC2">
        <w:rPr>
          <w:rFonts w:ascii="Times New Roman" w:eastAsia="Calibri" w:hAnsi="Times New Roman" w:cs="Times New Roman"/>
          <w:color w:val="000000"/>
          <w:sz w:val="24"/>
          <w:szCs w:val="24"/>
        </w:rPr>
        <w:t>izaižu</w:t>
      </w:r>
      <w:proofErr w:type="spellEnd"/>
      <w:r w:rsidR="00092AC2">
        <w:rPr>
          <w:rFonts w:ascii="Times New Roman" w:eastAsia="Calibri" w:hAnsi="Times New Roman" w:cs="Times New Roman"/>
          <w:color w:val="000000"/>
          <w:sz w:val="24"/>
          <w:szCs w:val="24"/>
        </w:rPr>
        <w:t xml:space="preserve"> starpību novērtējumu, un VTN SIP, izmantojot EK izlaižu starpību novērtējumu.</w:t>
      </w:r>
    </w:p>
    <w:p w:rsidR="007366FB" w:rsidRDefault="007366FB" w:rsidP="007366FB">
      <w:pPr>
        <w:spacing w:after="0" w:line="240" w:lineRule="auto"/>
        <w:ind w:firstLine="720"/>
        <w:jc w:val="both"/>
        <w:rPr>
          <w:rFonts w:ascii="Times New Roman" w:eastAsia="Calibri" w:hAnsi="Times New Roman" w:cs="Times New Roman"/>
          <w:color w:val="000000"/>
          <w:sz w:val="24"/>
          <w:szCs w:val="24"/>
        </w:rPr>
      </w:pPr>
      <w:r w:rsidRPr="000D0F3A">
        <w:rPr>
          <w:rFonts w:ascii="Times New Roman" w:eastAsia="Calibri" w:hAnsi="Times New Roman" w:cs="Times New Roman"/>
          <w:color w:val="000000"/>
          <w:sz w:val="24"/>
          <w:szCs w:val="24"/>
        </w:rPr>
        <w:t>FDL paredz, ka bilances nosacījuma ievērošana nav vienīgais fiskālais nosacījums. Strukturālās bilances mērķu noteikšanā ir jāievēro arī izdevumu pieauguma nosacījums, ko nosaka Regula Nr. 1175/2011</w:t>
      </w:r>
      <w:r w:rsidR="00457767">
        <w:rPr>
          <w:rFonts w:ascii="Times New Roman" w:eastAsia="Calibri" w:hAnsi="Times New Roman" w:cs="Times New Roman"/>
          <w:color w:val="000000"/>
          <w:sz w:val="24"/>
          <w:szCs w:val="24"/>
        </w:rPr>
        <w:t xml:space="preserve"> (</w:t>
      </w:r>
      <w:r w:rsidR="00457767" w:rsidRPr="00457767">
        <w:rPr>
          <w:rFonts w:ascii="Times New Roman" w:hAnsi="Times New Roman" w:cs="Times New Roman"/>
          <w:color w:val="000000"/>
          <w:sz w:val="24"/>
        </w:rPr>
        <w:t>Eiropas Parlamenta un Padomes regula (ES) Nr. 1175/2011 (2011. gada 16. novembris), ar ko groza Padomes Regulu (EK) Nr. 1466/97 par budžeta stāvokļa uzraudzības un ekonomikas politikas uzraudzības un koordinācijas stiprināšanu</w:t>
      </w:r>
      <w:r w:rsidR="00457767">
        <w:rPr>
          <w:rFonts w:ascii="Times New Roman" w:hAnsi="Times New Roman" w:cs="Times New Roman"/>
          <w:color w:val="000000"/>
          <w:sz w:val="24"/>
        </w:rPr>
        <w:t>)</w:t>
      </w:r>
      <w:r w:rsidRPr="000D0F3A">
        <w:rPr>
          <w:rFonts w:ascii="Times New Roman" w:eastAsia="Calibri" w:hAnsi="Times New Roman" w:cs="Times New Roman"/>
          <w:color w:val="000000"/>
          <w:sz w:val="24"/>
          <w:szCs w:val="24"/>
        </w:rPr>
        <w:t>. Šis nosacījums vispārīgajā gadījumā var noteikt a</w:t>
      </w:r>
      <w:r w:rsidR="00092AC2">
        <w:rPr>
          <w:rFonts w:ascii="Times New Roman" w:eastAsia="Calibri" w:hAnsi="Times New Roman" w:cs="Times New Roman"/>
          <w:color w:val="000000"/>
          <w:sz w:val="24"/>
          <w:szCs w:val="24"/>
        </w:rPr>
        <w:t>ugstākus</w:t>
      </w:r>
      <w:r w:rsidRPr="000D0F3A">
        <w:rPr>
          <w:rFonts w:ascii="Times New Roman" w:eastAsia="Calibri" w:hAnsi="Times New Roman" w:cs="Times New Roman"/>
          <w:color w:val="000000"/>
          <w:sz w:val="24"/>
          <w:szCs w:val="24"/>
        </w:rPr>
        <w:t xml:space="preserve"> vispārējās valdības budžeta strukturālās bilances mērķus. </w:t>
      </w:r>
    </w:p>
    <w:p w:rsidR="007366FB" w:rsidRPr="006D4E7F" w:rsidRDefault="007366FB" w:rsidP="007366FB">
      <w:pPr>
        <w:spacing w:after="0" w:line="240" w:lineRule="auto"/>
        <w:ind w:firstLine="720"/>
        <w:jc w:val="both"/>
        <w:rPr>
          <w:rFonts w:ascii="Times New Roman" w:eastAsia="Calibri" w:hAnsi="Times New Roman" w:cs="Times New Roman"/>
          <w:color w:val="000000"/>
          <w:sz w:val="24"/>
          <w:szCs w:val="24"/>
        </w:rPr>
      </w:pPr>
      <w:r w:rsidRPr="000D0F3A">
        <w:rPr>
          <w:rFonts w:ascii="Times New Roman" w:eastAsia="Calibri" w:hAnsi="Times New Roman" w:cs="Times New Roman"/>
          <w:color w:val="000000"/>
          <w:sz w:val="24"/>
          <w:szCs w:val="24"/>
        </w:rPr>
        <w:t xml:space="preserve">FDL arī paredz, ka centrālās valdības izdevumi tiek noteikti Ietvara likumā turpmākajiem trim gadiem un tie ir juridiski saistoši (izdevumu </w:t>
      </w:r>
      <w:proofErr w:type="spellStart"/>
      <w:r w:rsidRPr="000D0F3A">
        <w:rPr>
          <w:rFonts w:ascii="Times New Roman" w:eastAsia="Calibri" w:hAnsi="Times New Roman" w:cs="Times New Roman"/>
          <w:color w:val="000000"/>
          <w:sz w:val="24"/>
          <w:szCs w:val="24"/>
        </w:rPr>
        <w:t>pārmantojamības</w:t>
      </w:r>
      <w:proofErr w:type="spellEnd"/>
      <w:r w:rsidRPr="000D0F3A">
        <w:rPr>
          <w:rFonts w:ascii="Times New Roman" w:eastAsia="Calibri" w:hAnsi="Times New Roman" w:cs="Times New Roman"/>
          <w:color w:val="000000"/>
          <w:sz w:val="24"/>
          <w:szCs w:val="24"/>
        </w:rPr>
        <w:t xml:space="preserve"> nosacījums). Līdz ar to var izveidoties situācija, ka centrālās valdības izdevumu paturēšana iepriekšējā Ietvara likumā noteiktajā līmenī var mainīt vispārējās valdības budžeta strukturālās bilances mērķi. Tomēr izmaiņas ierobežo FDL noteikums, ka, ja izdevumu novirzes ir lielākas par 0,1% no IKP, izdevumi netiek saglabāti, bet tiek aprēķināti no jauna saskaņā ar vispārējās valdības budžeta strukturālās bilances un izdevumu pieauguma nosacījumiem.</w:t>
      </w:r>
    </w:p>
    <w:p w:rsidR="007366FB" w:rsidRPr="002514C7" w:rsidRDefault="007366FB" w:rsidP="007366F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Augstākminētie fiskālie nosacījumi nosaka</w:t>
      </w:r>
      <w:r w:rsidRPr="002514C7">
        <w:rPr>
          <w:rFonts w:ascii="Times New Roman" w:eastAsia="Calibri" w:hAnsi="Times New Roman" w:cs="Times New Roman"/>
          <w:color w:val="000000"/>
          <w:sz w:val="24"/>
          <w:szCs w:val="24"/>
        </w:rPr>
        <w:t xml:space="preserve"> vispārējās valdības budžeta </w:t>
      </w:r>
      <w:r>
        <w:rPr>
          <w:rFonts w:ascii="Times New Roman" w:eastAsia="Calibri" w:hAnsi="Times New Roman" w:cs="Times New Roman"/>
          <w:color w:val="000000"/>
          <w:sz w:val="24"/>
          <w:szCs w:val="24"/>
        </w:rPr>
        <w:t xml:space="preserve">strukturālās </w:t>
      </w:r>
      <w:r w:rsidRPr="002514C7">
        <w:rPr>
          <w:rFonts w:ascii="Times New Roman" w:eastAsia="Calibri" w:hAnsi="Times New Roman" w:cs="Times New Roman"/>
          <w:color w:val="000000"/>
          <w:sz w:val="24"/>
          <w:szCs w:val="24"/>
        </w:rPr>
        <w:t>bilances</w:t>
      </w:r>
      <w:r>
        <w:rPr>
          <w:rFonts w:ascii="Times New Roman" w:eastAsia="Calibri" w:hAnsi="Times New Roman" w:cs="Times New Roman"/>
          <w:color w:val="000000"/>
          <w:sz w:val="24"/>
          <w:szCs w:val="24"/>
        </w:rPr>
        <w:t xml:space="preserve"> mērķi</w:t>
      </w:r>
      <w:r w:rsidRPr="002514C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un nominālo bilanci </w:t>
      </w:r>
      <w:r w:rsidRPr="002514C7">
        <w:rPr>
          <w:rFonts w:ascii="Times New Roman" w:eastAsia="Calibri" w:hAnsi="Times New Roman" w:cs="Times New Roman"/>
          <w:color w:val="000000"/>
          <w:sz w:val="24"/>
          <w:szCs w:val="24"/>
        </w:rPr>
        <w:t>(maksimāli pieļaujamo vispārējās valdības deficītu vai minimālo pieļaujamo vispārējās valdības budžeta pārpalikumu)</w:t>
      </w:r>
      <w:r w:rsidR="00235071">
        <w:rPr>
          <w:rFonts w:ascii="Times New Roman" w:eastAsia="Calibri" w:hAnsi="Times New Roman" w:cs="Times New Roman"/>
          <w:color w:val="000000"/>
          <w:sz w:val="24"/>
          <w:szCs w:val="24"/>
        </w:rPr>
        <w:t xml:space="preserve"> </w:t>
      </w:r>
      <w:r w:rsidRPr="002514C7">
        <w:rPr>
          <w:rFonts w:ascii="Times New Roman" w:eastAsia="Calibri" w:hAnsi="Times New Roman" w:cs="Times New Roman"/>
          <w:color w:val="000000"/>
          <w:sz w:val="24"/>
          <w:szCs w:val="24"/>
        </w:rPr>
        <w:t xml:space="preserve">saskaņā ar </w:t>
      </w:r>
      <w:r w:rsidRPr="002514C7">
        <w:rPr>
          <w:rFonts w:ascii="Times New Roman" w:eastAsia="Calibri" w:hAnsi="Times New Roman" w:cs="Times New Roman"/>
          <w:i/>
          <w:color w:val="000000"/>
          <w:sz w:val="24"/>
          <w:szCs w:val="24"/>
        </w:rPr>
        <w:t>lejupvērsto budžeta bilances plānošanas metodi.</w:t>
      </w:r>
      <w:r>
        <w:rPr>
          <w:rFonts w:ascii="Times New Roman" w:eastAsia="Calibri" w:hAnsi="Times New Roman" w:cs="Times New Roman"/>
          <w:color w:val="000000"/>
          <w:sz w:val="24"/>
          <w:szCs w:val="24"/>
        </w:rPr>
        <w:t xml:space="preserve"> </w:t>
      </w:r>
      <w:r w:rsidRPr="002514C7">
        <w:rPr>
          <w:rFonts w:ascii="Times New Roman" w:eastAsia="Calibri" w:hAnsi="Times New Roman" w:cs="Times New Roman"/>
          <w:color w:val="000000"/>
          <w:sz w:val="24"/>
          <w:szCs w:val="24"/>
        </w:rPr>
        <w:t xml:space="preserve">Vienlaicīgi tiek piemērota arī </w:t>
      </w:r>
      <w:proofErr w:type="spellStart"/>
      <w:r w:rsidRPr="002514C7">
        <w:rPr>
          <w:rFonts w:ascii="Times New Roman" w:eastAsia="Calibri" w:hAnsi="Times New Roman" w:cs="Times New Roman"/>
          <w:i/>
          <w:color w:val="000000"/>
          <w:sz w:val="24"/>
          <w:szCs w:val="24"/>
        </w:rPr>
        <w:t>augšupvērstā</w:t>
      </w:r>
      <w:proofErr w:type="spellEnd"/>
      <w:r w:rsidRPr="002514C7">
        <w:rPr>
          <w:rFonts w:ascii="Times New Roman" w:eastAsia="Calibri" w:hAnsi="Times New Roman" w:cs="Times New Roman"/>
          <w:i/>
          <w:color w:val="000000"/>
          <w:sz w:val="24"/>
          <w:szCs w:val="24"/>
        </w:rPr>
        <w:t xml:space="preserve"> budžeta bilances plānošanas metode</w:t>
      </w:r>
      <w:r w:rsidRPr="002514C7">
        <w:rPr>
          <w:rFonts w:ascii="Times New Roman" w:eastAsia="Calibri" w:hAnsi="Times New Roman" w:cs="Times New Roman"/>
          <w:color w:val="000000"/>
          <w:sz w:val="24"/>
          <w:szCs w:val="24"/>
        </w:rPr>
        <w:t xml:space="preserve">, saskaņā ar kuru tiek prognozēta vispārējās valdības budžeta bilance </w:t>
      </w:r>
      <w:r w:rsidRPr="002514C7">
        <w:rPr>
          <w:rFonts w:ascii="Times New Roman" w:eastAsia="Calibri" w:hAnsi="Times New Roman" w:cs="Times New Roman"/>
          <w:b/>
          <w:color w:val="000000"/>
          <w:sz w:val="24"/>
          <w:szCs w:val="24"/>
        </w:rPr>
        <w:t>nemainīgas politikas gadījumā</w:t>
      </w:r>
      <w:r w:rsidRPr="002514C7">
        <w:rPr>
          <w:rFonts w:ascii="Times New Roman" w:eastAsia="Calibri" w:hAnsi="Times New Roman" w:cs="Times New Roman"/>
          <w:color w:val="000000"/>
          <w:sz w:val="24"/>
          <w:szCs w:val="24"/>
        </w:rPr>
        <w:t xml:space="preserve">. </w:t>
      </w:r>
    </w:p>
    <w:p w:rsidR="007366FB" w:rsidRPr="000D0F3A" w:rsidRDefault="007366FB" w:rsidP="007366FB">
      <w:pPr>
        <w:spacing w:after="0" w:line="240" w:lineRule="auto"/>
        <w:ind w:firstLine="720"/>
        <w:jc w:val="both"/>
        <w:rPr>
          <w:rFonts w:ascii="Times New Roman" w:eastAsia="Calibri" w:hAnsi="Times New Roman" w:cs="Times New Roman"/>
          <w:color w:val="000000"/>
          <w:sz w:val="24"/>
          <w:szCs w:val="24"/>
        </w:rPr>
      </w:pPr>
      <w:r w:rsidRPr="002514C7">
        <w:rPr>
          <w:rFonts w:ascii="Times New Roman" w:eastAsia="Calibri" w:hAnsi="Times New Roman" w:cs="Times New Roman"/>
          <w:color w:val="000000"/>
          <w:sz w:val="24"/>
          <w:szCs w:val="24"/>
        </w:rPr>
        <w:t xml:space="preserve">Vispārīgā gadījumā vispārējās valdības budžeta bilances pēc abām metodēm atšķiras. Ja vispārējās valdības budžeta bilance pēc pirmās metodes ir lielāka </w:t>
      </w:r>
      <w:r>
        <w:rPr>
          <w:rFonts w:ascii="Times New Roman" w:eastAsia="Calibri" w:hAnsi="Times New Roman" w:cs="Times New Roman"/>
          <w:color w:val="000000"/>
          <w:sz w:val="24"/>
          <w:szCs w:val="24"/>
        </w:rPr>
        <w:t>nekā otrās metodes rezultātā noteiktā bilance</w:t>
      </w:r>
      <w:r w:rsidRPr="002514C7">
        <w:rPr>
          <w:rFonts w:ascii="Times New Roman" w:eastAsia="Calibri" w:hAnsi="Times New Roman" w:cs="Times New Roman"/>
          <w:color w:val="000000"/>
          <w:sz w:val="24"/>
          <w:szCs w:val="24"/>
        </w:rPr>
        <w:t xml:space="preserve">, valdības rīcībā ir tā saucamā fiskālā telpa jeb iespējas palielināt izdevumus jaunām izdevumu politikas </w:t>
      </w:r>
      <w:r>
        <w:rPr>
          <w:rFonts w:ascii="Times New Roman" w:eastAsia="Calibri" w:hAnsi="Times New Roman" w:cs="Times New Roman"/>
          <w:color w:val="000000"/>
          <w:sz w:val="24"/>
          <w:szCs w:val="24"/>
        </w:rPr>
        <w:t>prioritātēm</w:t>
      </w:r>
      <w:r w:rsidRPr="002514C7">
        <w:rPr>
          <w:rFonts w:ascii="Times New Roman" w:eastAsia="Calibri" w:hAnsi="Times New Roman" w:cs="Times New Roman"/>
          <w:color w:val="000000"/>
          <w:sz w:val="24"/>
          <w:szCs w:val="24"/>
        </w:rPr>
        <w:t xml:space="preserve"> vai samazināt ieņēmumus jaunām nodokļu politikas iniciatīvām. Ja vispārējās valdības budžeta bilance pēc pirmās metodes ir mazāka kā pēc otrās metodes, valdībai ir jāveic konsolidācijas pasākumi, pieņemot </w:t>
      </w:r>
      <w:proofErr w:type="spellStart"/>
      <w:r w:rsidRPr="002514C7">
        <w:rPr>
          <w:rFonts w:ascii="Times New Roman" w:eastAsia="Calibri" w:hAnsi="Times New Roman" w:cs="Times New Roman"/>
          <w:color w:val="000000"/>
          <w:sz w:val="24"/>
          <w:szCs w:val="24"/>
        </w:rPr>
        <w:t>diskrecionāros</w:t>
      </w:r>
      <w:proofErr w:type="spellEnd"/>
      <w:r w:rsidRPr="002514C7">
        <w:rPr>
          <w:rFonts w:ascii="Times New Roman" w:eastAsia="Calibri" w:hAnsi="Times New Roman" w:cs="Times New Roman"/>
          <w:color w:val="000000"/>
          <w:sz w:val="24"/>
          <w:szCs w:val="24"/>
        </w:rPr>
        <w:t xml:space="preserve"> pasākumus izdevumu samazināšanai vai ieņēmumu palielināšanai. </w:t>
      </w:r>
    </w:p>
    <w:p w:rsidR="009C53A6" w:rsidRPr="000D0F3A" w:rsidRDefault="009C53A6" w:rsidP="007366FB">
      <w:pPr>
        <w:spacing w:after="0" w:line="240" w:lineRule="auto"/>
        <w:ind w:firstLine="720"/>
        <w:jc w:val="both"/>
        <w:rPr>
          <w:rFonts w:ascii="Times New Roman" w:eastAsia="Calibri" w:hAnsi="Times New Roman" w:cs="Times New Roman"/>
          <w:color w:val="000000"/>
          <w:sz w:val="24"/>
          <w:szCs w:val="24"/>
        </w:rPr>
      </w:pPr>
    </w:p>
    <w:p w:rsidR="007366FB" w:rsidRPr="00351DF7" w:rsidRDefault="007366FB" w:rsidP="002B1A2C">
      <w:pPr>
        <w:spacing w:after="0" w:line="240" w:lineRule="auto"/>
        <w:ind w:firstLine="720"/>
        <w:jc w:val="both"/>
        <w:rPr>
          <w:rFonts w:ascii="Times New Roman" w:eastAsia="Calibri" w:hAnsi="Times New Roman" w:cs="Times New Roman"/>
          <w:b/>
          <w:i/>
          <w:color w:val="000000"/>
          <w:sz w:val="24"/>
          <w:szCs w:val="24"/>
        </w:rPr>
      </w:pPr>
      <w:r w:rsidRPr="00351DF7">
        <w:rPr>
          <w:rFonts w:ascii="Times New Roman" w:eastAsia="Calibri" w:hAnsi="Times New Roman" w:cs="Times New Roman"/>
          <w:b/>
          <w:i/>
          <w:color w:val="000000"/>
          <w:sz w:val="24"/>
          <w:szCs w:val="24"/>
        </w:rPr>
        <w:t xml:space="preserve">Bilances mērķi atbilstoši </w:t>
      </w:r>
      <w:r w:rsidRPr="005A443D">
        <w:rPr>
          <w:rFonts w:ascii="Times New Roman" w:eastAsia="Calibri" w:hAnsi="Times New Roman" w:cs="Times New Roman"/>
          <w:b/>
          <w:i/>
          <w:color w:val="000000"/>
          <w:sz w:val="24"/>
          <w:szCs w:val="24"/>
        </w:rPr>
        <w:t>bilances nosacījumam</w:t>
      </w:r>
      <w:r w:rsidRPr="00351DF7">
        <w:rPr>
          <w:rFonts w:ascii="Times New Roman" w:eastAsia="Calibri" w:hAnsi="Times New Roman" w:cs="Times New Roman"/>
          <w:b/>
          <w:i/>
          <w:color w:val="000000"/>
          <w:sz w:val="24"/>
          <w:szCs w:val="24"/>
        </w:rPr>
        <w:t xml:space="preserve"> </w:t>
      </w:r>
    </w:p>
    <w:p w:rsidR="007366FB" w:rsidRPr="005A7A5F" w:rsidRDefault="007366FB" w:rsidP="007366FB">
      <w:pPr>
        <w:spacing w:after="0" w:line="240" w:lineRule="auto"/>
        <w:ind w:firstLine="720"/>
        <w:jc w:val="both"/>
        <w:rPr>
          <w:rFonts w:ascii="Times New Roman" w:eastAsia="Calibri" w:hAnsi="Times New Roman" w:cs="Times New Roman"/>
          <w:color w:val="000000"/>
          <w:sz w:val="24"/>
          <w:szCs w:val="28"/>
        </w:rPr>
      </w:pPr>
      <w:r w:rsidRPr="0047362B">
        <w:rPr>
          <w:rFonts w:ascii="Times New Roman" w:eastAsia="Calibri" w:hAnsi="Times New Roman" w:cs="Times New Roman"/>
          <w:color w:val="000000"/>
          <w:sz w:val="24"/>
          <w:szCs w:val="28"/>
        </w:rPr>
        <w:t xml:space="preserve">Vispirms strukturālās bilances mērķi tiek aprēķināti, pārbaudot to atbilstību </w:t>
      </w:r>
      <w:r w:rsidRPr="000440F3">
        <w:rPr>
          <w:rFonts w:ascii="Times New Roman" w:eastAsia="Calibri" w:hAnsi="Times New Roman" w:cs="Times New Roman"/>
          <w:b/>
          <w:color w:val="000000"/>
          <w:sz w:val="24"/>
          <w:szCs w:val="28"/>
        </w:rPr>
        <w:t>bilances nosacījumam</w:t>
      </w:r>
      <w:r w:rsidR="00BF38A1">
        <w:rPr>
          <w:rFonts w:ascii="Times New Roman" w:eastAsia="Calibri" w:hAnsi="Times New Roman" w:cs="Times New Roman"/>
          <w:color w:val="000000"/>
          <w:sz w:val="24"/>
          <w:szCs w:val="28"/>
        </w:rPr>
        <w:t xml:space="preserve">. </w:t>
      </w:r>
      <w:r w:rsidRPr="0047362B">
        <w:rPr>
          <w:rFonts w:ascii="Times New Roman" w:eastAsia="Calibri" w:hAnsi="Times New Roman" w:cs="Times New Roman"/>
          <w:color w:val="000000"/>
          <w:sz w:val="24"/>
          <w:szCs w:val="28"/>
        </w:rPr>
        <w:t xml:space="preserve">Bilances nosacījumu pārbaudei tiek veidoti divi scenāriji – viens ar </w:t>
      </w:r>
      <w:r w:rsidRPr="00862B56">
        <w:rPr>
          <w:rFonts w:ascii="Times New Roman" w:eastAsia="Calibri" w:hAnsi="Times New Roman" w:cs="Times New Roman"/>
          <w:color w:val="000000"/>
          <w:sz w:val="24"/>
          <w:szCs w:val="24"/>
        </w:rPr>
        <w:t>VTM SIP, kas ti</w:t>
      </w:r>
      <w:r>
        <w:rPr>
          <w:rFonts w:ascii="Times New Roman" w:eastAsia="Calibri" w:hAnsi="Times New Roman" w:cs="Times New Roman"/>
          <w:color w:val="000000"/>
          <w:sz w:val="24"/>
          <w:szCs w:val="24"/>
        </w:rPr>
        <w:t>ek noteikts -1,0% no IKP līmenī, un otrs ar nacionālo</w:t>
      </w:r>
      <w:r w:rsidRPr="00862B56">
        <w:rPr>
          <w:rFonts w:ascii="Times New Roman" w:eastAsia="Calibri" w:hAnsi="Times New Roman" w:cs="Times New Roman"/>
          <w:color w:val="000000"/>
          <w:sz w:val="24"/>
          <w:szCs w:val="24"/>
        </w:rPr>
        <w:t xml:space="preserve"> VTM, kas </w:t>
      </w:r>
      <w:r>
        <w:rPr>
          <w:rFonts w:ascii="Times New Roman" w:eastAsia="Calibri" w:hAnsi="Times New Roman" w:cs="Times New Roman"/>
          <w:color w:val="000000"/>
          <w:sz w:val="24"/>
          <w:szCs w:val="24"/>
        </w:rPr>
        <w:t>tiek noteikts</w:t>
      </w:r>
      <w:r w:rsidRPr="00862B56">
        <w:rPr>
          <w:rFonts w:ascii="Times New Roman" w:eastAsia="Calibri" w:hAnsi="Times New Roman" w:cs="Times New Roman"/>
          <w:color w:val="000000"/>
          <w:sz w:val="24"/>
          <w:szCs w:val="24"/>
        </w:rPr>
        <w:t xml:space="preserve"> -0</w:t>
      </w:r>
      <w:r>
        <w:rPr>
          <w:rFonts w:ascii="Times New Roman" w:eastAsia="Calibri" w:hAnsi="Times New Roman" w:cs="Times New Roman"/>
          <w:color w:val="000000"/>
          <w:sz w:val="24"/>
          <w:szCs w:val="24"/>
        </w:rPr>
        <w:t>,5% no IKP un ir stingrāks nosacījums salīdzinot ar VTM SIP</w:t>
      </w:r>
      <w:r>
        <w:rPr>
          <w:rFonts w:ascii="Times New Roman" w:eastAsia="Calibri" w:hAnsi="Times New Roman" w:cs="Times New Roman"/>
          <w:color w:val="000000"/>
          <w:sz w:val="24"/>
          <w:szCs w:val="28"/>
        </w:rPr>
        <w:t>.</w:t>
      </w:r>
    </w:p>
    <w:p w:rsidR="00351DF7" w:rsidRDefault="00351DF7" w:rsidP="002B1A2C">
      <w:pPr>
        <w:spacing w:after="0" w:line="240" w:lineRule="auto"/>
        <w:ind w:firstLine="720"/>
        <w:jc w:val="both"/>
        <w:rPr>
          <w:rFonts w:ascii="Times New Roman" w:eastAsia="Calibri" w:hAnsi="Times New Roman" w:cs="Times New Roman"/>
          <w:b/>
          <w:i/>
          <w:color w:val="000000"/>
          <w:sz w:val="24"/>
          <w:szCs w:val="24"/>
        </w:rPr>
      </w:pPr>
    </w:p>
    <w:p w:rsidR="009C53A6" w:rsidRPr="00351DF7" w:rsidRDefault="007366FB" w:rsidP="00351DF7">
      <w:pPr>
        <w:spacing w:after="0" w:line="240" w:lineRule="auto"/>
        <w:ind w:firstLine="720"/>
        <w:jc w:val="both"/>
        <w:rPr>
          <w:rFonts w:ascii="Times New Roman" w:hAnsi="Times New Roman"/>
          <w:i/>
          <w:color w:val="000000"/>
          <w:sz w:val="24"/>
        </w:rPr>
      </w:pPr>
      <w:r w:rsidRPr="005A7A5F">
        <w:rPr>
          <w:rFonts w:ascii="Times New Roman" w:eastAsia="Calibri" w:hAnsi="Times New Roman" w:cs="Times New Roman"/>
          <w:b/>
          <w:i/>
          <w:color w:val="000000"/>
          <w:sz w:val="24"/>
          <w:szCs w:val="24"/>
        </w:rPr>
        <w:t>Strukturālās bilances mērķis atbilstoši SIP metodoloģijai</w:t>
      </w:r>
    </w:p>
    <w:p w:rsidR="007366FB" w:rsidRPr="00D13547" w:rsidRDefault="007366FB" w:rsidP="00351DF7">
      <w:pPr>
        <w:spacing w:after="0" w:line="240" w:lineRule="auto"/>
        <w:ind w:firstLine="720"/>
        <w:jc w:val="both"/>
        <w:rPr>
          <w:rFonts w:ascii="Times New Roman" w:eastAsia="Calibri" w:hAnsi="Times New Roman" w:cs="Times New Roman"/>
          <w:color w:val="000000"/>
          <w:sz w:val="24"/>
          <w:szCs w:val="24"/>
        </w:rPr>
      </w:pPr>
      <w:r w:rsidRPr="00D13547">
        <w:rPr>
          <w:rFonts w:ascii="Times New Roman" w:eastAsia="Calibri" w:hAnsi="Times New Roman" w:cs="Times New Roman"/>
          <w:color w:val="000000"/>
          <w:sz w:val="24"/>
          <w:szCs w:val="24"/>
        </w:rPr>
        <w:t>Šajā sadaļā tiek noskaidrots, kāds var būt maksimāli pieļaujamais vispārējās valdības budžeta strukturālās bilances mērķis atbilstoši iepriekš minētajai SIP izpratnei. Kā jau iepriekš tika minēts, izejas pozīcija vispārējās valdības budžeta strukturālās bilances mērķa noteikšanai atbilstoši SIP izpratnei ir VTM -1,0% no IKP. Zemāk esošajā tabulā ir atspoguļotas turpmākās korekcijas.</w:t>
      </w:r>
    </w:p>
    <w:p w:rsidR="008E3ED4" w:rsidRDefault="008E3ED4">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rsidR="007366FB" w:rsidRPr="00D13547" w:rsidRDefault="00D6169B" w:rsidP="007366FB">
      <w:pPr>
        <w:spacing w:after="0" w:line="240" w:lineRule="auto"/>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3.1</w:t>
      </w:r>
      <w:r w:rsidR="007366FB" w:rsidRPr="00D13547">
        <w:rPr>
          <w:rFonts w:ascii="Times New Roman" w:eastAsia="Calibri" w:hAnsi="Times New Roman" w:cs="Times New Roman"/>
          <w:b/>
          <w:color w:val="000000"/>
          <w:sz w:val="24"/>
          <w:szCs w:val="24"/>
        </w:rPr>
        <w:t>.tabula. Strukturālās bilances mērķis atbilstoši SIP metodoloģijai</w:t>
      </w:r>
      <w:r w:rsidR="007366FB" w:rsidRPr="00D13547">
        <w:rPr>
          <w:rFonts w:ascii="Times New Roman" w:eastAsia="Calibri" w:hAnsi="Times New Roman" w:cs="Times New Roman"/>
          <w:color w:val="000000"/>
          <w:sz w:val="24"/>
          <w:szCs w:val="24"/>
        </w:rPr>
        <w:fldChar w:fldCharType="begin"/>
      </w:r>
      <w:r w:rsidR="007366FB" w:rsidRPr="00D13547">
        <w:rPr>
          <w:rFonts w:ascii="Times New Roman" w:eastAsia="Calibri" w:hAnsi="Times New Roman" w:cs="Times New Roman"/>
          <w:color w:val="000000"/>
          <w:sz w:val="24"/>
          <w:szCs w:val="24"/>
        </w:rPr>
        <w:instrText xml:space="preserve"> LINK </w:instrText>
      </w:r>
      <w:r w:rsidR="00BE281B">
        <w:rPr>
          <w:rFonts w:ascii="Times New Roman" w:eastAsia="Calibri" w:hAnsi="Times New Roman" w:cs="Times New Roman"/>
          <w:color w:val="000000"/>
          <w:sz w:val="24"/>
          <w:szCs w:val="24"/>
        </w:rPr>
        <w:instrText xml:space="preserve">Excel.Sheet.12 \\\\fs\\fpd\\FPD\\Tautsaimniecibas_un_fiskalas_parvaldibas_nodala\\Gints\\_Eiropas_semestris\\_SP_2017_2020\\merki_29032017\\izdevumu_griesti_SP2017\\bilances_nosac\\SBmerkis_29032017.xlsx Sheet1!R4C2:R14C12 </w:instrText>
      </w:r>
      <w:r w:rsidR="007366FB" w:rsidRPr="00D13547">
        <w:rPr>
          <w:rFonts w:ascii="Times New Roman" w:eastAsia="Calibri" w:hAnsi="Times New Roman" w:cs="Times New Roman"/>
          <w:color w:val="000000"/>
          <w:sz w:val="24"/>
          <w:szCs w:val="24"/>
        </w:rPr>
        <w:instrText xml:space="preserve">\f 4 \h \* MERGEFORMAT </w:instrText>
      </w:r>
      <w:r w:rsidR="007366FB" w:rsidRPr="00D13547">
        <w:rPr>
          <w:rFonts w:ascii="Times New Roman" w:eastAsia="Calibri" w:hAnsi="Times New Roman" w:cs="Times New Roman"/>
          <w:color w:val="000000"/>
          <w:sz w:val="24"/>
          <w:szCs w:val="24"/>
        </w:rPr>
        <w:fldChar w:fldCharType="separate"/>
      </w:r>
    </w:p>
    <w:tbl>
      <w:tblPr>
        <w:tblStyle w:val="GridTable6Colorful-Accent13"/>
        <w:tblW w:w="6656" w:type="dxa"/>
        <w:jc w:val="center"/>
        <w:tblLook w:val="04A0" w:firstRow="1" w:lastRow="0" w:firstColumn="1" w:lastColumn="0" w:noHBand="0" w:noVBand="1"/>
      </w:tblPr>
      <w:tblGrid>
        <w:gridCol w:w="1453"/>
        <w:gridCol w:w="2727"/>
        <w:gridCol w:w="850"/>
        <w:gridCol w:w="874"/>
        <w:gridCol w:w="752"/>
      </w:tblGrid>
      <w:tr w:rsidR="007366FB" w:rsidRPr="002B1A2C" w:rsidTr="00462047">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453" w:type="dxa"/>
            <w:tcBorders>
              <w:bottom w:val="none" w:sz="0" w:space="0" w:color="auto"/>
            </w:tcBorders>
            <w:shd w:val="clear" w:color="auto" w:fill="9CC2E5"/>
            <w:noWrap/>
            <w:hideMark/>
          </w:tcPr>
          <w:p w:rsidR="007366FB" w:rsidRPr="002B1A2C" w:rsidRDefault="007366FB" w:rsidP="002B1A2C">
            <w:pPr>
              <w:rPr>
                <w:rFonts w:ascii="Times New Roman" w:eastAsia="Times New Roman" w:hAnsi="Times New Roman" w:cs="Times New Roman"/>
                <w:sz w:val="20"/>
                <w:szCs w:val="20"/>
                <w:lang w:eastAsia="lv-LV"/>
              </w:rPr>
            </w:pPr>
          </w:p>
        </w:tc>
        <w:tc>
          <w:tcPr>
            <w:tcW w:w="2727" w:type="dxa"/>
            <w:tcBorders>
              <w:bottom w:val="none" w:sz="0" w:space="0" w:color="auto"/>
            </w:tcBorders>
            <w:shd w:val="clear" w:color="auto" w:fill="9CC2E5"/>
            <w:noWrap/>
            <w:hideMark/>
          </w:tcPr>
          <w:p w:rsidR="007366FB" w:rsidRPr="002B1A2C" w:rsidRDefault="007366FB" w:rsidP="002B1A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 </w:t>
            </w:r>
          </w:p>
        </w:tc>
        <w:tc>
          <w:tcPr>
            <w:tcW w:w="850" w:type="dxa"/>
            <w:tcBorders>
              <w:bottom w:val="none" w:sz="0" w:space="0" w:color="auto"/>
            </w:tcBorders>
            <w:shd w:val="clear" w:color="auto" w:fill="9CC2E5"/>
            <w:noWrap/>
            <w:hideMark/>
          </w:tcPr>
          <w:p w:rsidR="007366FB" w:rsidRPr="002B1A2C" w:rsidRDefault="007366FB" w:rsidP="002B1A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2020</w:t>
            </w:r>
          </w:p>
        </w:tc>
        <w:tc>
          <w:tcPr>
            <w:tcW w:w="874" w:type="dxa"/>
            <w:tcBorders>
              <w:bottom w:val="none" w:sz="0" w:space="0" w:color="auto"/>
            </w:tcBorders>
            <w:shd w:val="clear" w:color="auto" w:fill="9CC2E5"/>
          </w:tcPr>
          <w:p w:rsidR="007366FB" w:rsidRPr="002B1A2C" w:rsidRDefault="007366FB" w:rsidP="002B1A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2021</w:t>
            </w:r>
          </w:p>
        </w:tc>
        <w:tc>
          <w:tcPr>
            <w:tcW w:w="752" w:type="dxa"/>
            <w:tcBorders>
              <w:bottom w:val="none" w:sz="0" w:space="0" w:color="auto"/>
            </w:tcBorders>
            <w:shd w:val="clear" w:color="auto" w:fill="9CC2E5"/>
          </w:tcPr>
          <w:p w:rsidR="007366FB" w:rsidRPr="002B1A2C" w:rsidRDefault="007366FB" w:rsidP="002B1A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2022</w:t>
            </w:r>
          </w:p>
        </w:tc>
      </w:tr>
      <w:tr w:rsidR="007366FB" w:rsidRPr="002B1A2C" w:rsidTr="0046204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453" w:type="dxa"/>
            <w:noWrap/>
            <w:hideMark/>
          </w:tcPr>
          <w:p w:rsidR="007366FB" w:rsidRPr="002B1A2C" w:rsidRDefault="007366FB" w:rsidP="002B1A2C">
            <w:pPr>
              <w:rPr>
                <w:rFonts w:ascii="Times New Roman" w:eastAsia="Times New Roman" w:hAnsi="Times New Roman" w:cs="Times New Roman"/>
                <w:b w:val="0"/>
                <w:color w:val="000000"/>
                <w:sz w:val="20"/>
                <w:szCs w:val="20"/>
                <w:lang w:eastAsia="lv-LV"/>
              </w:rPr>
            </w:pPr>
            <w:r w:rsidRPr="002B1A2C">
              <w:rPr>
                <w:rFonts w:ascii="Times New Roman" w:eastAsia="Times New Roman" w:hAnsi="Times New Roman" w:cs="Times New Roman"/>
                <w:b w:val="0"/>
                <w:color w:val="000000"/>
                <w:sz w:val="20"/>
                <w:szCs w:val="20"/>
                <w:lang w:eastAsia="lv-LV"/>
              </w:rPr>
              <w:t>(1)</w:t>
            </w:r>
          </w:p>
        </w:tc>
        <w:tc>
          <w:tcPr>
            <w:tcW w:w="2727" w:type="dxa"/>
            <w:noWrap/>
            <w:hideMark/>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VTM</w:t>
            </w:r>
          </w:p>
        </w:tc>
        <w:tc>
          <w:tcPr>
            <w:tcW w:w="850" w:type="dxa"/>
            <w:noWrap/>
            <w:vAlign w:val="center"/>
            <w:hideMark/>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-1,0%</w:t>
            </w:r>
          </w:p>
        </w:tc>
        <w:tc>
          <w:tcPr>
            <w:tcW w:w="874" w:type="dxa"/>
            <w:vAlign w:val="center"/>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-1,0%</w:t>
            </w:r>
          </w:p>
        </w:tc>
        <w:tc>
          <w:tcPr>
            <w:tcW w:w="752" w:type="dxa"/>
            <w:vAlign w:val="center"/>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-1,0%</w:t>
            </w:r>
          </w:p>
        </w:tc>
      </w:tr>
      <w:tr w:rsidR="007366FB" w:rsidRPr="002B1A2C" w:rsidTr="00462047">
        <w:trPr>
          <w:trHeight w:val="258"/>
          <w:jc w:val="center"/>
        </w:trPr>
        <w:tc>
          <w:tcPr>
            <w:cnfStyle w:val="001000000000" w:firstRow="0" w:lastRow="0" w:firstColumn="1" w:lastColumn="0" w:oddVBand="0" w:evenVBand="0" w:oddHBand="0" w:evenHBand="0" w:firstRowFirstColumn="0" w:firstRowLastColumn="0" w:lastRowFirstColumn="0" w:lastRowLastColumn="0"/>
            <w:tcW w:w="1453" w:type="dxa"/>
            <w:noWrap/>
            <w:hideMark/>
          </w:tcPr>
          <w:p w:rsidR="007366FB" w:rsidRPr="002B1A2C" w:rsidRDefault="007366FB" w:rsidP="002B1A2C">
            <w:pPr>
              <w:rPr>
                <w:rFonts w:ascii="Times New Roman" w:eastAsia="Times New Roman" w:hAnsi="Times New Roman" w:cs="Times New Roman"/>
                <w:b w:val="0"/>
                <w:color w:val="000000"/>
                <w:sz w:val="20"/>
                <w:szCs w:val="20"/>
                <w:lang w:eastAsia="lv-LV"/>
              </w:rPr>
            </w:pPr>
            <w:r w:rsidRPr="002B1A2C">
              <w:rPr>
                <w:rFonts w:ascii="Times New Roman" w:eastAsia="Times New Roman" w:hAnsi="Times New Roman" w:cs="Times New Roman"/>
                <w:b w:val="0"/>
                <w:color w:val="000000"/>
                <w:sz w:val="20"/>
                <w:szCs w:val="20"/>
                <w:lang w:eastAsia="lv-LV"/>
              </w:rPr>
              <w:t>(2)</w:t>
            </w:r>
          </w:p>
        </w:tc>
        <w:tc>
          <w:tcPr>
            <w:tcW w:w="2727" w:type="dxa"/>
            <w:noWrap/>
            <w:hideMark/>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cikliskā komponente</w:t>
            </w:r>
          </w:p>
        </w:tc>
        <w:tc>
          <w:tcPr>
            <w:tcW w:w="850" w:type="dxa"/>
            <w:vAlign w:val="center"/>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0,4%</w:t>
            </w:r>
          </w:p>
        </w:tc>
        <w:tc>
          <w:tcPr>
            <w:tcW w:w="874" w:type="dxa"/>
            <w:noWrap/>
            <w:vAlign w:val="center"/>
            <w:hideMark/>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0,4%</w:t>
            </w:r>
          </w:p>
        </w:tc>
        <w:tc>
          <w:tcPr>
            <w:tcW w:w="752" w:type="dxa"/>
            <w:vAlign w:val="center"/>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0,4%</w:t>
            </w:r>
          </w:p>
        </w:tc>
      </w:tr>
      <w:tr w:rsidR="007366FB" w:rsidRPr="002B1A2C" w:rsidTr="0046204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453" w:type="dxa"/>
            <w:noWrap/>
            <w:hideMark/>
          </w:tcPr>
          <w:p w:rsidR="007366FB" w:rsidRPr="002B1A2C" w:rsidRDefault="007366FB" w:rsidP="002B1A2C">
            <w:pPr>
              <w:rPr>
                <w:rFonts w:ascii="Times New Roman" w:eastAsia="Times New Roman" w:hAnsi="Times New Roman" w:cs="Times New Roman"/>
                <w:b w:val="0"/>
                <w:color w:val="000000"/>
                <w:sz w:val="20"/>
                <w:szCs w:val="20"/>
                <w:lang w:eastAsia="lv-LV"/>
              </w:rPr>
            </w:pPr>
            <w:r w:rsidRPr="002B1A2C">
              <w:rPr>
                <w:rFonts w:ascii="Times New Roman" w:eastAsia="Times New Roman" w:hAnsi="Times New Roman" w:cs="Times New Roman"/>
                <w:b w:val="0"/>
                <w:color w:val="000000"/>
                <w:sz w:val="20"/>
                <w:szCs w:val="20"/>
                <w:lang w:eastAsia="lv-LV"/>
              </w:rPr>
              <w:t>(3)=(1)+(2)</w:t>
            </w:r>
          </w:p>
        </w:tc>
        <w:tc>
          <w:tcPr>
            <w:tcW w:w="2727" w:type="dxa"/>
            <w:noWrap/>
            <w:hideMark/>
          </w:tcPr>
          <w:p w:rsidR="007366FB" w:rsidRPr="002B1A2C"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cikliski koriģētā bilance</w:t>
            </w:r>
          </w:p>
        </w:tc>
        <w:tc>
          <w:tcPr>
            <w:tcW w:w="850" w:type="dxa"/>
            <w:vAlign w:val="center"/>
          </w:tcPr>
          <w:p w:rsidR="007366FB" w:rsidRPr="002B1A2C"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-0,6%</w:t>
            </w:r>
          </w:p>
        </w:tc>
        <w:tc>
          <w:tcPr>
            <w:tcW w:w="874" w:type="dxa"/>
            <w:noWrap/>
            <w:vAlign w:val="center"/>
            <w:hideMark/>
          </w:tcPr>
          <w:p w:rsidR="007366FB" w:rsidRPr="002B1A2C"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-0,6%</w:t>
            </w:r>
          </w:p>
        </w:tc>
        <w:tc>
          <w:tcPr>
            <w:tcW w:w="752" w:type="dxa"/>
            <w:vAlign w:val="center"/>
          </w:tcPr>
          <w:p w:rsidR="007366FB" w:rsidRPr="002B1A2C"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-0,6%</w:t>
            </w:r>
          </w:p>
        </w:tc>
      </w:tr>
      <w:tr w:rsidR="007366FB" w:rsidRPr="002B1A2C" w:rsidTr="00462047">
        <w:trPr>
          <w:trHeight w:val="258"/>
          <w:jc w:val="center"/>
        </w:trPr>
        <w:tc>
          <w:tcPr>
            <w:cnfStyle w:val="001000000000" w:firstRow="0" w:lastRow="0" w:firstColumn="1" w:lastColumn="0" w:oddVBand="0" w:evenVBand="0" w:oddHBand="0" w:evenHBand="0" w:firstRowFirstColumn="0" w:firstRowLastColumn="0" w:lastRowFirstColumn="0" w:lastRowLastColumn="0"/>
            <w:tcW w:w="1453" w:type="dxa"/>
            <w:noWrap/>
            <w:hideMark/>
          </w:tcPr>
          <w:p w:rsidR="007366FB" w:rsidRPr="002B1A2C" w:rsidRDefault="007366FB" w:rsidP="002B1A2C">
            <w:pPr>
              <w:rPr>
                <w:rFonts w:ascii="Times New Roman" w:eastAsia="Times New Roman" w:hAnsi="Times New Roman" w:cs="Times New Roman"/>
                <w:b w:val="0"/>
                <w:color w:val="000000"/>
                <w:sz w:val="20"/>
                <w:szCs w:val="20"/>
                <w:lang w:eastAsia="lv-LV"/>
              </w:rPr>
            </w:pPr>
            <w:r w:rsidRPr="002B1A2C">
              <w:rPr>
                <w:rFonts w:ascii="Times New Roman" w:eastAsia="Times New Roman" w:hAnsi="Times New Roman" w:cs="Times New Roman"/>
                <w:b w:val="0"/>
                <w:color w:val="000000"/>
                <w:sz w:val="20"/>
                <w:szCs w:val="20"/>
                <w:lang w:eastAsia="lv-LV"/>
              </w:rPr>
              <w:t>(4)</w:t>
            </w:r>
          </w:p>
        </w:tc>
        <w:tc>
          <w:tcPr>
            <w:tcW w:w="2727" w:type="dxa"/>
            <w:noWrap/>
            <w:hideMark/>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vienreizējie pasākumi</w:t>
            </w:r>
          </w:p>
        </w:tc>
        <w:tc>
          <w:tcPr>
            <w:tcW w:w="850" w:type="dxa"/>
            <w:vAlign w:val="center"/>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0,0%</w:t>
            </w:r>
          </w:p>
        </w:tc>
        <w:tc>
          <w:tcPr>
            <w:tcW w:w="874" w:type="dxa"/>
            <w:noWrap/>
            <w:vAlign w:val="center"/>
            <w:hideMark/>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0,0%</w:t>
            </w:r>
          </w:p>
        </w:tc>
        <w:tc>
          <w:tcPr>
            <w:tcW w:w="752" w:type="dxa"/>
            <w:vAlign w:val="center"/>
          </w:tcPr>
          <w:p w:rsidR="007366FB" w:rsidRPr="002B1A2C" w:rsidRDefault="007366FB" w:rsidP="002B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0,0%</w:t>
            </w:r>
          </w:p>
        </w:tc>
      </w:tr>
      <w:tr w:rsidR="007366FB" w:rsidRPr="002B1A2C" w:rsidTr="0046204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453" w:type="dxa"/>
            <w:noWrap/>
            <w:hideMark/>
          </w:tcPr>
          <w:p w:rsidR="007366FB" w:rsidRPr="002B1A2C" w:rsidRDefault="007366FB" w:rsidP="002B1A2C">
            <w:pPr>
              <w:rPr>
                <w:rFonts w:ascii="Times New Roman" w:eastAsia="Times New Roman" w:hAnsi="Times New Roman" w:cs="Times New Roman"/>
                <w:color w:val="000000"/>
                <w:sz w:val="20"/>
                <w:szCs w:val="20"/>
                <w:lang w:eastAsia="lv-LV"/>
              </w:rPr>
            </w:pPr>
            <w:r w:rsidRPr="002B1A2C">
              <w:rPr>
                <w:rFonts w:ascii="Times New Roman" w:eastAsia="Times New Roman" w:hAnsi="Times New Roman" w:cs="Times New Roman"/>
                <w:color w:val="000000"/>
                <w:sz w:val="20"/>
                <w:szCs w:val="20"/>
                <w:lang w:eastAsia="lv-LV"/>
              </w:rPr>
              <w:t>(5)=(3)+(4)</w:t>
            </w:r>
          </w:p>
        </w:tc>
        <w:tc>
          <w:tcPr>
            <w:tcW w:w="2727" w:type="dxa"/>
            <w:noWrap/>
            <w:hideMark/>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nominālā bilance</w:t>
            </w:r>
          </w:p>
        </w:tc>
        <w:tc>
          <w:tcPr>
            <w:tcW w:w="850" w:type="dxa"/>
            <w:vAlign w:val="center"/>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-0,6%</w:t>
            </w:r>
          </w:p>
        </w:tc>
        <w:tc>
          <w:tcPr>
            <w:tcW w:w="874" w:type="dxa"/>
            <w:noWrap/>
            <w:vAlign w:val="center"/>
            <w:hideMark/>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-0,6%</w:t>
            </w:r>
          </w:p>
        </w:tc>
        <w:tc>
          <w:tcPr>
            <w:tcW w:w="752" w:type="dxa"/>
            <w:vAlign w:val="center"/>
          </w:tcPr>
          <w:p w:rsidR="007366FB" w:rsidRPr="00462047" w:rsidRDefault="007366FB" w:rsidP="002B1A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62047">
              <w:rPr>
                <w:rFonts w:ascii="Times New Roman" w:eastAsia="Times New Roman" w:hAnsi="Times New Roman" w:cs="Times New Roman"/>
                <w:b/>
                <w:color w:val="000000"/>
                <w:sz w:val="20"/>
                <w:szCs w:val="20"/>
                <w:lang w:eastAsia="lv-LV"/>
              </w:rPr>
              <w:t>-0,6%</w:t>
            </w:r>
          </w:p>
        </w:tc>
      </w:tr>
    </w:tbl>
    <w:p w:rsidR="00BE54C7" w:rsidRDefault="007366FB" w:rsidP="00D6169B">
      <w:pPr>
        <w:spacing w:after="0" w:line="240" w:lineRule="auto"/>
        <w:ind w:firstLine="720"/>
        <w:jc w:val="both"/>
        <w:rPr>
          <w:rFonts w:ascii="Times New Roman" w:eastAsia="Calibri" w:hAnsi="Times New Roman" w:cs="Times New Roman"/>
          <w:color w:val="000000"/>
          <w:sz w:val="24"/>
          <w:szCs w:val="24"/>
        </w:rPr>
      </w:pPr>
      <w:r w:rsidRPr="00D13547">
        <w:rPr>
          <w:rFonts w:ascii="Times New Roman" w:eastAsia="Calibri" w:hAnsi="Times New Roman" w:cs="Times New Roman"/>
          <w:color w:val="000000"/>
          <w:sz w:val="24"/>
          <w:szCs w:val="24"/>
        </w:rPr>
        <w:fldChar w:fldCharType="end"/>
      </w:r>
    </w:p>
    <w:p w:rsidR="007366FB" w:rsidRDefault="007366FB" w:rsidP="00351DF7">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Laika periodā no 2013.gada līdz 2018.gadam Latvijai tika piešķirtas atkāpes no VTM saistība ar pensiju reformas īstenošanu, kas paredzēja pakāp</w:t>
      </w:r>
      <w:r w:rsidR="00235071">
        <w:rPr>
          <w:rFonts w:ascii="Times New Roman" w:eastAsia="Calibri" w:hAnsi="Times New Roman" w:cs="Times New Roman"/>
          <w:color w:val="000000"/>
          <w:sz w:val="24"/>
          <w:szCs w:val="24"/>
        </w:rPr>
        <w:t>enisku iemaksu palielināšanu 2.</w:t>
      </w:r>
      <w:r>
        <w:rPr>
          <w:rFonts w:ascii="Times New Roman" w:eastAsia="Calibri" w:hAnsi="Times New Roman" w:cs="Times New Roman"/>
          <w:color w:val="000000"/>
          <w:sz w:val="24"/>
          <w:szCs w:val="24"/>
        </w:rPr>
        <w:t>pensiju līmenī. Savukārt no 2017.gada līdz 2019.gadam Latvijai tika piešķirtas atkāpes no VTM sakarā ar strukturālo reformu īstenošana veselības aprūpes jomā. Pensiju reformas atkāpes vairs netika piemērotas nosakot 2019.gada un nākamo gadu strukturālās bilances mērķus, savukārt veselības reformas atkāpes vairs netiek piemērotas nosakot 2020.gada un turpmāko gadu strukturālās bilances mērķus. Līdz ar to maksimāli pieļaujamā st</w:t>
      </w:r>
      <w:r w:rsidR="00D6169B">
        <w:rPr>
          <w:rFonts w:ascii="Times New Roman" w:eastAsia="Calibri" w:hAnsi="Times New Roman" w:cs="Times New Roman"/>
          <w:color w:val="000000"/>
          <w:sz w:val="24"/>
          <w:szCs w:val="24"/>
        </w:rPr>
        <w:t>rukturālā bilance atbilst VTM.</w:t>
      </w:r>
    </w:p>
    <w:p w:rsidR="007366FB" w:rsidRDefault="007366FB" w:rsidP="00351DF7">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Lai iegūtu nominālās bilances mērķi, VTM tiek pieskaitīta bilances cikliskā komponente un vienreizējie pasākumi.</w:t>
      </w:r>
    </w:p>
    <w:p w:rsidR="00BF38A1" w:rsidRPr="00274E15" w:rsidRDefault="007366FB" w:rsidP="00351DF7">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Cikliskā komponente tiek aprēķināta kā reizinājums starp elastības koeficientu 0,38 un EK izlaižu starpību. 2020.gadam tiek izmantota EK izlaižu starpības prognoze (-1,0% no IKP) šī vērtība tiek izmantota arī aprēķinot ciklisko komponenti 2021. un 2022.gadam, jo EK prognozes ir pieejamas tikai līdz 2020.gadam. Attiecīgi cikliskās komponentes vērtība 2020.</w:t>
      </w:r>
      <w:r w:rsidR="00BF38A1" w:rsidRPr="009B0F5F">
        <w:rPr>
          <w:rFonts w:ascii="Times New Roman" w:eastAsia="Times New Roman" w:hAnsi="Times New Roman" w:cs="Times New Roman"/>
          <w:noProof/>
          <w:color w:val="000000"/>
          <w:sz w:val="24"/>
          <w:szCs w:val="24"/>
        </w:rPr>
        <w:t xml:space="preserve"> – </w:t>
      </w:r>
      <w:r>
        <w:rPr>
          <w:rFonts w:ascii="Times New Roman" w:eastAsia="Calibri" w:hAnsi="Times New Roman" w:cs="Times New Roman"/>
          <w:color w:val="000000"/>
          <w:sz w:val="24"/>
          <w:szCs w:val="24"/>
        </w:rPr>
        <w:t>2022.gadam ir 0,4% no IKP</w:t>
      </w:r>
      <w:r w:rsidR="00531797">
        <w:rPr>
          <w:rFonts w:ascii="Times New Roman" w:eastAsia="Calibri" w:hAnsi="Times New Roman" w:cs="Times New Roman"/>
          <w:color w:val="000000"/>
          <w:sz w:val="24"/>
          <w:szCs w:val="24"/>
        </w:rPr>
        <w:t>.</w:t>
      </w:r>
      <w:r w:rsidR="00BF38A1">
        <w:rPr>
          <w:rFonts w:ascii="Times New Roman" w:eastAsia="Calibri" w:hAnsi="Times New Roman" w:cs="Times New Roman"/>
          <w:color w:val="000000"/>
          <w:sz w:val="24"/>
          <w:szCs w:val="24"/>
        </w:rPr>
        <w:t xml:space="preserve"> Tā kā SIP scenārijā 2020.</w:t>
      </w:r>
      <w:r w:rsidR="00BF38A1" w:rsidRPr="009B0F5F">
        <w:rPr>
          <w:rFonts w:ascii="Times New Roman" w:eastAsia="Times New Roman" w:hAnsi="Times New Roman" w:cs="Times New Roman"/>
          <w:noProof/>
          <w:color w:val="000000"/>
          <w:sz w:val="24"/>
          <w:szCs w:val="24"/>
        </w:rPr>
        <w:t xml:space="preserve"> – </w:t>
      </w:r>
      <w:r w:rsidR="00BF38A1">
        <w:rPr>
          <w:rFonts w:ascii="Times New Roman" w:eastAsia="Calibri" w:hAnsi="Times New Roman" w:cs="Times New Roman"/>
          <w:color w:val="000000"/>
          <w:sz w:val="24"/>
          <w:szCs w:val="24"/>
        </w:rPr>
        <w:t>2022.gadam netiek paredzēti vienreizējie pasākumi, tad nominālā bilance atbilst cikliski koriģētajai bilancei, kas 2020.</w:t>
      </w:r>
      <w:r w:rsidR="00BF38A1" w:rsidRPr="009B0F5F">
        <w:rPr>
          <w:rFonts w:ascii="Times New Roman" w:eastAsia="Times New Roman" w:hAnsi="Times New Roman" w:cs="Times New Roman"/>
          <w:noProof/>
          <w:color w:val="000000"/>
          <w:sz w:val="24"/>
          <w:szCs w:val="24"/>
        </w:rPr>
        <w:t xml:space="preserve"> – </w:t>
      </w:r>
      <w:r w:rsidR="00BF38A1">
        <w:rPr>
          <w:rFonts w:ascii="Times New Roman" w:eastAsia="Calibri" w:hAnsi="Times New Roman" w:cs="Times New Roman"/>
          <w:color w:val="000000"/>
          <w:sz w:val="24"/>
          <w:szCs w:val="24"/>
        </w:rPr>
        <w:t>2022.gadam ir -0,6</w:t>
      </w:r>
      <w:r w:rsidR="00BF38A1" w:rsidRPr="00274E15">
        <w:rPr>
          <w:rFonts w:ascii="Times New Roman" w:eastAsia="Calibri" w:hAnsi="Times New Roman" w:cs="Times New Roman"/>
          <w:color w:val="000000"/>
          <w:sz w:val="24"/>
          <w:szCs w:val="24"/>
        </w:rPr>
        <w:t>% no IKP.</w:t>
      </w:r>
    </w:p>
    <w:p w:rsidR="007366FB" w:rsidRDefault="007366FB" w:rsidP="00BF38A1">
      <w:pPr>
        <w:spacing w:after="0" w:line="240" w:lineRule="auto"/>
        <w:ind w:firstLine="720"/>
        <w:jc w:val="both"/>
        <w:rPr>
          <w:rFonts w:ascii="Times New Roman" w:eastAsia="Calibri" w:hAnsi="Times New Roman" w:cs="Times New Roman"/>
          <w:b/>
          <w:color w:val="000000"/>
          <w:sz w:val="24"/>
          <w:szCs w:val="24"/>
        </w:rPr>
      </w:pPr>
    </w:p>
    <w:p w:rsidR="00BF38A1" w:rsidRPr="005A7A5F" w:rsidRDefault="00BF38A1" w:rsidP="005A443D">
      <w:pPr>
        <w:spacing w:after="0" w:line="240" w:lineRule="auto"/>
        <w:ind w:firstLine="720"/>
        <w:jc w:val="both"/>
        <w:rPr>
          <w:rFonts w:ascii="Times New Roman" w:eastAsia="Calibri" w:hAnsi="Times New Roman" w:cs="Times New Roman"/>
          <w:i/>
          <w:color w:val="000000"/>
          <w:sz w:val="24"/>
          <w:szCs w:val="24"/>
        </w:rPr>
      </w:pPr>
      <w:r w:rsidRPr="005A7A5F">
        <w:rPr>
          <w:rFonts w:ascii="Times New Roman" w:eastAsia="Calibri" w:hAnsi="Times New Roman" w:cs="Times New Roman"/>
          <w:b/>
          <w:i/>
          <w:color w:val="000000"/>
          <w:sz w:val="24"/>
          <w:szCs w:val="24"/>
        </w:rPr>
        <w:t xml:space="preserve">Strukturālās bilances mērķis atbilstoši </w:t>
      </w:r>
      <w:r>
        <w:rPr>
          <w:rFonts w:ascii="Times New Roman" w:eastAsia="Calibri" w:hAnsi="Times New Roman" w:cs="Times New Roman"/>
          <w:b/>
          <w:i/>
          <w:color w:val="000000"/>
          <w:sz w:val="24"/>
          <w:szCs w:val="24"/>
        </w:rPr>
        <w:t>nacionālajai</w:t>
      </w:r>
      <w:r w:rsidRPr="005A7A5F">
        <w:rPr>
          <w:rFonts w:ascii="Times New Roman" w:eastAsia="Calibri" w:hAnsi="Times New Roman" w:cs="Times New Roman"/>
          <w:b/>
          <w:i/>
          <w:color w:val="000000"/>
          <w:sz w:val="24"/>
          <w:szCs w:val="24"/>
        </w:rPr>
        <w:t xml:space="preserve"> metodoloģijai</w:t>
      </w:r>
    </w:p>
    <w:p w:rsidR="007366FB" w:rsidRPr="005A7A5F" w:rsidRDefault="007366FB" w:rsidP="007366FB">
      <w:pPr>
        <w:spacing w:after="0" w:line="240" w:lineRule="auto"/>
        <w:ind w:firstLine="720"/>
        <w:jc w:val="both"/>
        <w:rPr>
          <w:rFonts w:ascii="Times New Roman" w:eastAsia="Calibri" w:hAnsi="Times New Roman" w:cs="Times New Roman"/>
          <w:color w:val="000000"/>
          <w:sz w:val="24"/>
          <w:szCs w:val="24"/>
        </w:rPr>
      </w:pPr>
      <w:r w:rsidRPr="001919C7">
        <w:rPr>
          <w:rFonts w:ascii="Times New Roman" w:eastAsia="Calibri" w:hAnsi="Times New Roman" w:cs="Times New Roman"/>
          <w:color w:val="000000"/>
          <w:sz w:val="24"/>
          <w:szCs w:val="24"/>
        </w:rPr>
        <w:t>Šajā sadaļā tiek noskaidrots, kāds var būt maksimāli pieļaujamais vispārējās valdības budžeta strukturālās bilances mērķis atbilstoši nacionālajai metodo</w:t>
      </w:r>
      <w:r>
        <w:rPr>
          <w:rFonts w:ascii="Times New Roman" w:eastAsia="Calibri" w:hAnsi="Times New Roman" w:cs="Times New Roman"/>
          <w:color w:val="000000"/>
          <w:sz w:val="24"/>
          <w:szCs w:val="24"/>
        </w:rPr>
        <w:t xml:space="preserve">loģijai. </w:t>
      </w:r>
      <w:r w:rsidRPr="001919C7">
        <w:rPr>
          <w:rFonts w:ascii="Times New Roman" w:eastAsia="Calibri" w:hAnsi="Times New Roman" w:cs="Times New Roman"/>
          <w:color w:val="000000"/>
          <w:sz w:val="24"/>
          <w:szCs w:val="24"/>
        </w:rPr>
        <w:t xml:space="preserve">Kā jau iepriekš tika minēts, izejas pozīcija vispārējās valdības budžeta strukturālās bilances mērķa noteikšanai, atbilstoši nacionālajai metodoloģijai ir </w:t>
      </w:r>
      <w:r w:rsidRPr="005A28AA">
        <w:rPr>
          <w:rFonts w:ascii="Times New Roman" w:eastAsia="Calibri" w:hAnsi="Times New Roman" w:cs="Times New Roman"/>
          <w:b/>
          <w:color w:val="000000"/>
          <w:sz w:val="24"/>
          <w:szCs w:val="24"/>
        </w:rPr>
        <w:t>VTM -0,5% no IKP</w:t>
      </w:r>
      <w:r w:rsidRPr="001919C7">
        <w:rPr>
          <w:rFonts w:ascii="Times New Roman" w:eastAsia="Calibri" w:hAnsi="Times New Roman" w:cs="Times New Roman"/>
          <w:color w:val="000000"/>
          <w:sz w:val="24"/>
          <w:szCs w:val="24"/>
        </w:rPr>
        <w:t>. Zemāk esošajā tabulā ir ats</w:t>
      </w:r>
      <w:r>
        <w:rPr>
          <w:rFonts w:ascii="Times New Roman" w:eastAsia="Calibri" w:hAnsi="Times New Roman" w:cs="Times New Roman"/>
          <w:color w:val="000000"/>
          <w:sz w:val="24"/>
          <w:szCs w:val="24"/>
        </w:rPr>
        <w:t>poguļotas turpmākās korekcijas.</w:t>
      </w:r>
    </w:p>
    <w:p w:rsidR="007366FB" w:rsidRPr="00A311A1" w:rsidRDefault="00D6169B" w:rsidP="007366FB">
      <w:pPr>
        <w:spacing w:before="120" w:after="60" w:line="240" w:lineRule="auto"/>
        <w:ind w:firstLine="720"/>
        <w:jc w:val="right"/>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3.2</w:t>
      </w:r>
      <w:r w:rsidR="007366FB" w:rsidRPr="00340AB7">
        <w:rPr>
          <w:rFonts w:ascii="Times New Roman" w:eastAsia="Calibri" w:hAnsi="Times New Roman" w:cs="Times New Roman"/>
          <w:b/>
          <w:color w:val="000000"/>
          <w:sz w:val="24"/>
          <w:szCs w:val="24"/>
        </w:rPr>
        <w:t xml:space="preserve">.tabula. Strukturālās bilances mērķis atbilstoši nacionālajai metodoloģijai </w:t>
      </w:r>
    </w:p>
    <w:tbl>
      <w:tblPr>
        <w:tblStyle w:val="GridTable6Colorful-Accent13"/>
        <w:tblW w:w="6767" w:type="dxa"/>
        <w:jc w:val="center"/>
        <w:tblLook w:val="04A0" w:firstRow="1" w:lastRow="0" w:firstColumn="1" w:lastColumn="0" w:noHBand="0" w:noVBand="1"/>
      </w:tblPr>
      <w:tblGrid>
        <w:gridCol w:w="1258"/>
        <w:gridCol w:w="2959"/>
        <w:gridCol w:w="850"/>
        <w:gridCol w:w="850"/>
        <w:gridCol w:w="850"/>
      </w:tblGrid>
      <w:tr w:rsidR="00DB1AEB" w:rsidRPr="00312D0D" w:rsidTr="00DB1AE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58" w:type="dxa"/>
            <w:shd w:val="clear" w:color="auto" w:fill="9CC2E5"/>
            <w:noWrap/>
            <w:hideMark/>
          </w:tcPr>
          <w:p w:rsidR="007366FB" w:rsidRPr="00312D0D" w:rsidRDefault="007366FB" w:rsidP="003D448B">
            <w:pPr>
              <w:rPr>
                <w:rFonts w:ascii="Times New Roman" w:eastAsia="Times New Roman" w:hAnsi="Times New Roman" w:cs="Times New Roman"/>
                <w:sz w:val="20"/>
                <w:szCs w:val="20"/>
                <w:lang w:eastAsia="lv-LV"/>
              </w:rPr>
            </w:pPr>
          </w:p>
        </w:tc>
        <w:tc>
          <w:tcPr>
            <w:tcW w:w="2959" w:type="dxa"/>
            <w:shd w:val="clear" w:color="auto" w:fill="9CC2E5"/>
            <w:noWrap/>
            <w:hideMark/>
          </w:tcPr>
          <w:p w:rsidR="007366FB" w:rsidRPr="00312D0D" w:rsidRDefault="007366FB" w:rsidP="003D448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 </w:t>
            </w:r>
          </w:p>
        </w:tc>
        <w:tc>
          <w:tcPr>
            <w:tcW w:w="850" w:type="dxa"/>
            <w:shd w:val="clear" w:color="auto" w:fill="9CC2E5"/>
            <w:noWrap/>
            <w:hideMark/>
          </w:tcPr>
          <w:p w:rsidR="007366FB" w:rsidRPr="00312D0D" w:rsidRDefault="007366FB" w:rsidP="003D44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2020</w:t>
            </w:r>
          </w:p>
        </w:tc>
        <w:tc>
          <w:tcPr>
            <w:tcW w:w="850" w:type="dxa"/>
            <w:shd w:val="clear" w:color="auto" w:fill="9CC2E5"/>
          </w:tcPr>
          <w:p w:rsidR="007366FB" w:rsidRPr="00312D0D" w:rsidRDefault="007366FB" w:rsidP="003D44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2021</w:t>
            </w:r>
          </w:p>
        </w:tc>
        <w:tc>
          <w:tcPr>
            <w:tcW w:w="850" w:type="dxa"/>
            <w:shd w:val="clear" w:color="auto" w:fill="9CC2E5"/>
          </w:tcPr>
          <w:p w:rsidR="007366FB" w:rsidRPr="00312D0D" w:rsidRDefault="007366FB" w:rsidP="003D44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2022</w:t>
            </w:r>
          </w:p>
        </w:tc>
      </w:tr>
      <w:tr w:rsidR="007366FB" w:rsidRPr="00312D0D" w:rsidTr="00DB1AE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58" w:type="dxa"/>
            <w:noWrap/>
            <w:hideMark/>
          </w:tcPr>
          <w:p w:rsidR="007366FB" w:rsidRPr="00312D0D" w:rsidRDefault="007366FB" w:rsidP="003D448B">
            <w:pPr>
              <w:rPr>
                <w:rFonts w:ascii="Times New Roman" w:eastAsia="Times New Roman" w:hAnsi="Times New Roman" w:cs="Times New Roman"/>
                <w:b w:val="0"/>
                <w:color w:val="000000"/>
                <w:sz w:val="20"/>
                <w:szCs w:val="20"/>
                <w:lang w:eastAsia="lv-LV"/>
              </w:rPr>
            </w:pPr>
            <w:r w:rsidRPr="00312D0D">
              <w:rPr>
                <w:rFonts w:ascii="Times New Roman" w:eastAsia="Times New Roman" w:hAnsi="Times New Roman" w:cs="Times New Roman"/>
                <w:b w:val="0"/>
                <w:color w:val="000000"/>
                <w:sz w:val="20"/>
                <w:szCs w:val="20"/>
                <w:lang w:eastAsia="lv-LV"/>
              </w:rPr>
              <w:t>(1)</w:t>
            </w:r>
          </w:p>
        </w:tc>
        <w:tc>
          <w:tcPr>
            <w:tcW w:w="2959" w:type="dxa"/>
            <w:noWrap/>
            <w:hideMark/>
          </w:tcPr>
          <w:p w:rsidR="007366FB" w:rsidRPr="00DB1AEB" w:rsidRDefault="007366FB" w:rsidP="003D448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rPr>
            </w:pPr>
            <w:r w:rsidRPr="00DB1AEB">
              <w:rPr>
                <w:rFonts w:ascii="Times New Roman" w:hAnsi="Times New Roman"/>
                <w:b/>
                <w:color w:val="000000"/>
                <w:sz w:val="20"/>
              </w:rPr>
              <w:t>VTM</w:t>
            </w:r>
          </w:p>
        </w:tc>
        <w:tc>
          <w:tcPr>
            <w:tcW w:w="850" w:type="dxa"/>
            <w:noWrap/>
            <w:vAlign w:val="center"/>
            <w:hideMark/>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312D0D">
              <w:rPr>
                <w:rFonts w:ascii="Times New Roman" w:eastAsia="Times New Roman" w:hAnsi="Times New Roman" w:cs="Times New Roman"/>
                <w:b/>
                <w:bCs/>
                <w:color w:val="000000"/>
                <w:sz w:val="20"/>
                <w:szCs w:val="20"/>
                <w:lang w:eastAsia="lv-LV"/>
              </w:rPr>
              <w:t>-0,5%</w:t>
            </w:r>
          </w:p>
        </w:tc>
        <w:tc>
          <w:tcPr>
            <w:tcW w:w="850" w:type="dxa"/>
            <w:vAlign w:val="center"/>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312D0D">
              <w:rPr>
                <w:rFonts w:ascii="Times New Roman" w:eastAsia="Times New Roman" w:hAnsi="Times New Roman" w:cs="Times New Roman"/>
                <w:b/>
                <w:bCs/>
                <w:color w:val="000000"/>
                <w:sz w:val="20"/>
                <w:szCs w:val="20"/>
                <w:lang w:eastAsia="lv-LV"/>
              </w:rPr>
              <w:t>-0,5%</w:t>
            </w:r>
          </w:p>
        </w:tc>
        <w:tc>
          <w:tcPr>
            <w:tcW w:w="850" w:type="dxa"/>
            <w:vAlign w:val="center"/>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312D0D">
              <w:rPr>
                <w:rFonts w:ascii="Times New Roman" w:eastAsia="Times New Roman" w:hAnsi="Times New Roman" w:cs="Times New Roman"/>
                <w:b/>
                <w:bCs/>
                <w:color w:val="000000"/>
                <w:sz w:val="20"/>
                <w:szCs w:val="20"/>
                <w:lang w:eastAsia="lv-LV"/>
              </w:rPr>
              <w:t>-0,5%</w:t>
            </w:r>
          </w:p>
        </w:tc>
      </w:tr>
      <w:tr w:rsidR="007366FB" w:rsidRPr="00312D0D" w:rsidTr="00DB1AEB">
        <w:trPr>
          <w:trHeight w:val="258"/>
          <w:jc w:val="center"/>
        </w:trPr>
        <w:tc>
          <w:tcPr>
            <w:cnfStyle w:val="001000000000" w:firstRow="0" w:lastRow="0" w:firstColumn="1" w:lastColumn="0" w:oddVBand="0" w:evenVBand="0" w:oddHBand="0" w:evenHBand="0" w:firstRowFirstColumn="0" w:firstRowLastColumn="0" w:lastRowFirstColumn="0" w:lastRowLastColumn="0"/>
            <w:tcW w:w="1258" w:type="dxa"/>
            <w:noWrap/>
            <w:hideMark/>
          </w:tcPr>
          <w:p w:rsidR="007366FB" w:rsidRPr="00312D0D" w:rsidRDefault="007366FB" w:rsidP="003D448B">
            <w:pPr>
              <w:rPr>
                <w:rFonts w:ascii="Times New Roman" w:eastAsia="Times New Roman" w:hAnsi="Times New Roman" w:cs="Times New Roman"/>
                <w:b w:val="0"/>
                <w:color w:val="000000"/>
                <w:sz w:val="20"/>
                <w:szCs w:val="20"/>
                <w:lang w:eastAsia="lv-LV"/>
              </w:rPr>
            </w:pPr>
            <w:r w:rsidRPr="00312D0D">
              <w:rPr>
                <w:rFonts w:ascii="Times New Roman" w:eastAsia="Times New Roman" w:hAnsi="Times New Roman" w:cs="Times New Roman"/>
                <w:b w:val="0"/>
                <w:color w:val="000000"/>
                <w:sz w:val="20"/>
                <w:szCs w:val="20"/>
                <w:lang w:eastAsia="lv-LV"/>
              </w:rPr>
              <w:t>(2)</w:t>
            </w:r>
          </w:p>
        </w:tc>
        <w:tc>
          <w:tcPr>
            <w:tcW w:w="2959" w:type="dxa"/>
            <w:noWrap/>
            <w:hideMark/>
          </w:tcPr>
          <w:p w:rsidR="007366FB" w:rsidRPr="00312D0D" w:rsidRDefault="007366FB" w:rsidP="003D44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cikliskā komponente</w:t>
            </w:r>
          </w:p>
        </w:tc>
        <w:tc>
          <w:tcPr>
            <w:tcW w:w="850" w:type="dxa"/>
            <w:vAlign w:val="center"/>
          </w:tcPr>
          <w:p w:rsidR="007366FB" w:rsidRPr="00312D0D"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0,4%</w:t>
            </w:r>
          </w:p>
        </w:tc>
        <w:tc>
          <w:tcPr>
            <w:tcW w:w="850" w:type="dxa"/>
            <w:noWrap/>
            <w:vAlign w:val="center"/>
            <w:hideMark/>
          </w:tcPr>
          <w:p w:rsidR="007366FB" w:rsidRPr="00312D0D"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0,3%</w:t>
            </w:r>
          </w:p>
        </w:tc>
        <w:tc>
          <w:tcPr>
            <w:tcW w:w="850" w:type="dxa"/>
            <w:vAlign w:val="center"/>
          </w:tcPr>
          <w:p w:rsidR="007366FB" w:rsidRPr="00312D0D"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0,2%</w:t>
            </w:r>
          </w:p>
        </w:tc>
      </w:tr>
      <w:tr w:rsidR="007366FB" w:rsidRPr="00312D0D" w:rsidTr="00DB1AE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58" w:type="dxa"/>
            <w:noWrap/>
            <w:hideMark/>
          </w:tcPr>
          <w:p w:rsidR="007366FB" w:rsidRPr="00312D0D" w:rsidRDefault="007366FB" w:rsidP="003D448B">
            <w:pPr>
              <w:rPr>
                <w:rFonts w:ascii="Times New Roman" w:eastAsia="Times New Roman" w:hAnsi="Times New Roman" w:cs="Times New Roman"/>
                <w:b w:val="0"/>
                <w:color w:val="000000"/>
                <w:sz w:val="20"/>
                <w:szCs w:val="20"/>
                <w:lang w:eastAsia="lv-LV"/>
              </w:rPr>
            </w:pPr>
            <w:r w:rsidRPr="00312D0D">
              <w:rPr>
                <w:rFonts w:ascii="Times New Roman" w:eastAsia="Times New Roman" w:hAnsi="Times New Roman" w:cs="Times New Roman"/>
                <w:b w:val="0"/>
                <w:color w:val="000000"/>
                <w:sz w:val="20"/>
                <w:szCs w:val="20"/>
                <w:lang w:eastAsia="lv-LV"/>
              </w:rPr>
              <w:t>(3)=(1)+(2)</w:t>
            </w:r>
          </w:p>
        </w:tc>
        <w:tc>
          <w:tcPr>
            <w:tcW w:w="2959" w:type="dxa"/>
            <w:noWrap/>
            <w:hideMark/>
          </w:tcPr>
          <w:p w:rsidR="007366FB" w:rsidRPr="00312D0D" w:rsidRDefault="007366FB" w:rsidP="003D44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cikliski koriģētā bilance</w:t>
            </w:r>
          </w:p>
        </w:tc>
        <w:tc>
          <w:tcPr>
            <w:tcW w:w="850" w:type="dxa"/>
            <w:vAlign w:val="center"/>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-0,1%</w:t>
            </w:r>
          </w:p>
        </w:tc>
        <w:tc>
          <w:tcPr>
            <w:tcW w:w="850" w:type="dxa"/>
            <w:noWrap/>
            <w:vAlign w:val="center"/>
            <w:hideMark/>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-0,2%</w:t>
            </w:r>
          </w:p>
        </w:tc>
        <w:tc>
          <w:tcPr>
            <w:tcW w:w="850" w:type="dxa"/>
            <w:vAlign w:val="center"/>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-0,3%</w:t>
            </w:r>
          </w:p>
        </w:tc>
      </w:tr>
      <w:tr w:rsidR="007366FB" w:rsidRPr="00312D0D" w:rsidTr="00DB1AEB">
        <w:trPr>
          <w:trHeight w:val="258"/>
          <w:jc w:val="center"/>
        </w:trPr>
        <w:tc>
          <w:tcPr>
            <w:cnfStyle w:val="001000000000" w:firstRow="0" w:lastRow="0" w:firstColumn="1" w:lastColumn="0" w:oddVBand="0" w:evenVBand="0" w:oddHBand="0" w:evenHBand="0" w:firstRowFirstColumn="0" w:firstRowLastColumn="0" w:lastRowFirstColumn="0" w:lastRowLastColumn="0"/>
            <w:tcW w:w="1258" w:type="dxa"/>
            <w:noWrap/>
            <w:hideMark/>
          </w:tcPr>
          <w:p w:rsidR="007366FB" w:rsidRPr="00312D0D" w:rsidRDefault="007366FB" w:rsidP="003D448B">
            <w:pPr>
              <w:rPr>
                <w:rFonts w:ascii="Times New Roman" w:eastAsia="Times New Roman" w:hAnsi="Times New Roman" w:cs="Times New Roman"/>
                <w:b w:val="0"/>
                <w:color w:val="000000"/>
                <w:sz w:val="20"/>
                <w:szCs w:val="20"/>
                <w:lang w:eastAsia="lv-LV"/>
              </w:rPr>
            </w:pPr>
            <w:r w:rsidRPr="00312D0D">
              <w:rPr>
                <w:rFonts w:ascii="Times New Roman" w:eastAsia="Times New Roman" w:hAnsi="Times New Roman" w:cs="Times New Roman"/>
                <w:b w:val="0"/>
                <w:color w:val="000000"/>
                <w:sz w:val="20"/>
                <w:szCs w:val="20"/>
                <w:lang w:eastAsia="lv-LV"/>
              </w:rPr>
              <w:t>(4)</w:t>
            </w:r>
          </w:p>
        </w:tc>
        <w:tc>
          <w:tcPr>
            <w:tcW w:w="2959" w:type="dxa"/>
            <w:noWrap/>
            <w:hideMark/>
          </w:tcPr>
          <w:p w:rsidR="007366FB" w:rsidRPr="00312D0D" w:rsidRDefault="007366FB" w:rsidP="003D44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vienreizējie pasākumi</w:t>
            </w:r>
          </w:p>
        </w:tc>
        <w:tc>
          <w:tcPr>
            <w:tcW w:w="850" w:type="dxa"/>
            <w:vAlign w:val="center"/>
          </w:tcPr>
          <w:p w:rsidR="007366FB" w:rsidRPr="00312D0D"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-0,3%</w:t>
            </w:r>
          </w:p>
        </w:tc>
        <w:tc>
          <w:tcPr>
            <w:tcW w:w="850" w:type="dxa"/>
            <w:noWrap/>
            <w:vAlign w:val="center"/>
            <w:hideMark/>
          </w:tcPr>
          <w:p w:rsidR="007366FB" w:rsidRPr="00312D0D"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0,0%</w:t>
            </w:r>
          </w:p>
        </w:tc>
        <w:tc>
          <w:tcPr>
            <w:tcW w:w="850" w:type="dxa"/>
            <w:vAlign w:val="center"/>
          </w:tcPr>
          <w:p w:rsidR="007366FB" w:rsidRPr="00312D0D"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0,0%</w:t>
            </w:r>
          </w:p>
        </w:tc>
      </w:tr>
      <w:tr w:rsidR="007366FB" w:rsidRPr="00312D0D" w:rsidTr="00DB1AE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258" w:type="dxa"/>
            <w:noWrap/>
            <w:hideMark/>
          </w:tcPr>
          <w:p w:rsidR="007366FB" w:rsidRPr="00312D0D" w:rsidRDefault="007366FB" w:rsidP="003D448B">
            <w:pPr>
              <w:rPr>
                <w:rFonts w:ascii="Times New Roman" w:eastAsia="Times New Roman" w:hAnsi="Times New Roman" w:cs="Times New Roman"/>
                <w:color w:val="000000"/>
                <w:sz w:val="20"/>
                <w:szCs w:val="20"/>
                <w:lang w:eastAsia="lv-LV"/>
              </w:rPr>
            </w:pPr>
            <w:r w:rsidRPr="00312D0D">
              <w:rPr>
                <w:rFonts w:ascii="Times New Roman" w:eastAsia="Times New Roman" w:hAnsi="Times New Roman" w:cs="Times New Roman"/>
                <w:color w:val="000000"/>
                <w:sz w:val="20"/>
                <w:szCs w:val="20"/>
                <w:lang w:eastAsia="lv-LV"/>
              </w:rPr>
              <w:t>(5)=(3)+(4)</w:t>
            </w:r>
          </w:p>
        </w:tc>
        <w:tc>
          <w:tcPr>
            <w:tcW w:w="2959" w:type="dxa"/>
            <w:noWrap/>
            <w:hideMark/>
          </w:tcPr>
          <w:p w:rsidR="007366FB" w:rsidRPr="00312D0D" w:rsidRDefault="007366FB" w:rsidP="003D44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312D0D">
              <w:rPr>
                <w:rFonts w:ascii="Times New Roman" w:eastAsia="Times New Roman" w:hAnsi="Times New Roman" w:cs="Times New Roman"/>
                <w:b/>
                <w:color w:val="000000"/>
                <w:sz w:val="20"/>
                <w:szCs w:val="20"/>
                <w:lang w:eastAsia="lv-LV"/>
              </w:rPr>
              <w:t>nominālā bilance</w:t>
            </w:r>
          </w:p>
        </w:tc>
        <w:tc>
          <w:tcPr>
            <w:tcW w:w="850" w:type="dxa"/>
            <w:vAlign w:val="center"/>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312D0D">
              <w:rPr>
                <w:rFonts w:ascii="Times New Roman" w:eastAsia="Times New Roman" w:hAnsi="Times New Roman" w:cs="Times New Roman"/>
                <w:b/>
                <w:color w:val="000000"/>
                <w:sz w:val="20"/>
                <w:szCs w:val="20"/>
                <w:lang w:eastAsia="lv-LV"/>
              </w:rPr>
              <w:t>-0,4%</w:t>
            </w:r>
          </w:p>
        </w:tc>
        <w:tc>
          <w:tcPr>
            <w:tcW w:w="850" w:type="dxa"/>
            <w:noWrap/>
            <w:vAlign w:val="center"/>
            <w:hideMark/>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312D0D">
              <w:rPr>
                <w:rFonts w:ascii="Times New Roman" w:eastAsia="Times New Roman" w:hAnsi="Times New Roman" w:cs="Times New Roman"/>
                <w:b/>
                <w:color w:val="000000"/>
                <w:sz w:val="20"/>
                <w:szCs w:val="20"/>
                <w:lang w:eastAsia="lv-LV"/>
              </w:rPr>
              <w:t>-0,2%</w:t>
            </w:r>
          </w:p>
        </w:tc>
        <w:tc>
          <w:tcPr>
            <w:tcW w:w="850" w:type="dxa"/>
            <w:vAlign w:val="center"/>
          </w:tcPr>
          <w:p w:rsidR="007366FB" w:rsidRPr="00312D0D"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312D0D">
              <w:rPr>
                <w:rFonts w:ascii="Times New Roman" w:eastAsia="Times New Roman" w:hAnsi="Times New Roman" w:cs="Times New Roman"/>
                <w:b/>
                <w:color w:val="000000"/>
                <w:sz w:val="20"/>
                <w:szCs w:val="20"/>
                <w:lang w:eastAsia="lv-LV"/>
              </w:rPr>
              <w:t>-0,3%</w:t>
            </w:r>
          </w:p>
        </w:tc>
      </w:tr>
    </w:tbl>
    <w:p w:rsidR="00D6169B" w:rsidRDefault="00D6169B" w:rsidP="00D6169B">
      <w:pPr>
        <w:spacing w:after="0" w:line="240" w:lineRule="auto"/>
        <w:ind w:firstLine="720"/>
        <w:jc w:val="both"/>
        <w:rPr>
          <w:rFonts w:ascii="Times New Roman" w:eastAsia="Calibri" w:hAnsi="Times New Roman" w:cs="Times New Roman"/>
          <w:color w:val="000000"/>
          <w:sz w:val="24"/>
          <w:szCs w:val="24"/>
        </w:rPr>
      </w:pPr>
    </w:p>
    <w:p w:rsidR="007366FB" w:rsidRDefault="007366FB" w:rsidP="00D6169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Tāpat kā iepriekš aprakstītajā SIP scenārijā, strukturālās bilances mērķu 2020.</w:t>
      </w:r>
      <w:r w:rsidR="008946E4" w:rsidRPr="009B0F5F">
        <w:rPr>
          <w:rFonts w:ascii="Times New Roman" w:eastAsia="Times New Roman" w:hAnsi="Times New Roman" w:cs="Times New Roman"/>
          <w:noProof/>
          <w:color w:val="000000"/>
          <w:sz w:val="24"/>
          <w:szCs w:val="24"/>
        </w:rPr>
        <w:t xml:space="preserve"> – </w:t>
      </w:r>
      <w:r>
        <w:rPr>
          <w:rFonts w:ascii="Times New Roman" w:eastAsia="Calibri" w:hAnsi="Times New Roman" w:cs="Times New Roman"/>
          <w:color w:val="000000"/>
          <w:sz w:val="24"/>
          <w:szCs w:val="24"/>
        </w:rPr>
        <w:t>2022. gadam noteikšanai vairs netiek pielietotas atkāpes no VTM, līdz ar to maksimāli pieļaujamā strukturālā bilance atbilst VTM.</w:t>
      </w:r>
    </w:p>
    <w:p w:rsidR="007366FB" w:rsidRPr="00A311A1" w:rsidRDefault="007366FB" w:rsidP="00D6169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Pēc tam, kad ir noskaidrots vispārējās valdības budžeta maksimāli pieļaujamās strukturālās bilances apmērs, kas izmantojams turpmākajos aprēķinos, tiek aprēķināts vispārējās valdības budžeta nominālās bilances apmērs</w:t>
      </w:r>
      <w:r w:rsidR="00BF38A1">
        <w:rPr>
          <w:rFonts w:ascii="Times New Roman" w:eastAsia="Calibri" w:hAnsi="Times New Roman" w:cs="Times New Roman"/>
          <w:color w:val="000000"/>
          <w:sz w:val="24"/>
          <w:szCs w:val="24"/>
        </w:rPr>
        <w:t>.</w:t>
      </w:r>
      <w:r w:rsidRPr="00A311A1">
        <w:rPr>
          <w:rFonts w:ascii="Times New Roman" w:eastAsia="Calibri" w:hAnsi="Times New Roman" w:cs="Times New Roman"/>
          <w:color w:val="000000"/>
          <w:sz w:val="24"/>
          <w:szCs w:val="24"/>
        </w:rPr>
        <w:t xml:space="preserve"> Tāpat kā iepriekšējā scenārijā bilances cikliskā komponente tiek aprēķināta reizinot izlaižu starpības novērtējum</w:t>
      </w:r>
      <w:r>
        <w:rPr>
          <w:rFonts w:ascii="Times New Roman" w:eastAsia="Calibri" w:hAnsi="Times New Roman" w:cs="Times New Roman"/>
          <w:color w:val="000000"/>
          <w:sz w:val="24"/>
          <w:szCs w:val="24"/>
        </w:rPr>
        <w:t xml:space="preserve">u ar elastības </w:t>
      </w:r>
      <w:r>
        <w:rPr>
          <w:rFonts w:ascii="Times New Roman" w:eastAsia="Calibri" w:hAnsi="Times New Roman" w:cs="Times New Roman"/>
          <w:color w:val="000000"/>
          <w:sz w:val="24"/>
          <w:szCs w:val="24"/>
        </w:rPr>
        <w:lastRenderedPageBreak/>
        <w:t>koeficientu 0,38</w:t>
      </w:r>
      <w:r w:rsidRPr="00A311A1">
        <w:rPr>
          <w:rFonts w:ascii="Times New Roman" w:eastAsia="Calibri" w:hAnsi="Times New Roman" w:cs="Times New Roman"/>
          <w:color w:val="000000"/>
          <w:sz w:val="24"/>
          <w:szCs w:val="24"/>
        </w:rPr>
        <w:t xml:space="preserve"> tikai šajā scenārijā tiek izmantota FM prognozētā izlaižu starpība.</w:t>
      </w:r>
      <w:r>
        <w:rPr>
          <w:rFonts w:ascii="Times New Roman" w:eastAsia="Calibri" w:hAnsi="Times New Roman" w:cs="Times New Roman"/>
          <w:color w:val="000000"/>
          <w:sz w:val="24"/>
          <w:szCs w:val="24"/>
        </w:rPr>
        <w:t xml:space="preserve"> Aprēķinātā</w:t>
      </w:r>
      <w:r w:rsidRPr="00A311A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sidRPr="00A311A1">
        <w:rPr>
          <w:rFonts w:ascii="Times New Roman" w:eastAsia="Calibri" w:hAnsi="Times New Roman" w:cs="Times New Roman"/>
          <w:color w:val="000000"/>
          <w:sz w:val="24"/>
          <w:szCs w:val="24"/>
        </w:rPr>
        <w:t>ilances cikliskā</w:t>
      </w:r>
      <w:r>
        <w:rPr>
          <w:rFonts w:ascii="Times New Roman" w:eastAsia="Calibri" w:hAnsi="Times New Roman" w:cs="Times New Roman"/>
          <w:color w:val="000000"/>
          <w:sz w:val="24"/>
          <w:szCs w:val="24"/>
        </w:rPr>
        <w:t xml:space="preserve"> komponente ir 0,4%, 0,3% un 0,2% attiecīgi 2020., 2021. un 2022.gadā</w:t>
      </w:r>
      <w:r w:rsidRPr="00A311A1">
        <w:rPr>
          <w:rFonts w:ascii="Times New Roman" w:eastAsia="Calibri" w:hAnsi="Times New Roman" w:cs="Times New Roman"/>
          <w:color w:val="000000"/>
          <w:sz w:val="24"/>
          <w:szCs w:val="24"/>
        </w:rPr>
        <w:t>.</w:t>
      </w:r>
    </w:p>
    <w:p w:rsidR="007366FB" w:rsidRPr="00A311A1" w:rsidRDefault="007366FB" w:rsidP="00D6169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Šajā scenārijā nodokļu reformas izsauktais īstermi</w:t>
      </w:r>
      <w:r w:rsidR="00D6169B">
        <w:rPr>
          <w:rFonts w:ascii="Times New Roman" w:eastAsia="Calibri" w:hAnsi="Times New Roman" w:cs="Times New Roman"/>
          <w:color w:val="000000"/>
          <w:sz w:val="24"/>
          <w:szCs w:val="24"/>
        </w:rPr>
        <w:t>ņa ieņēmumu kritums: 2020.gadā    -</w:t>
      </w:r>
      <w:r w:rsidRPr="00A311A1">
        <w:rPr>
          <w:rFonts w:ascii="Times New Roman" w:eastAsia="Calibri" w:hAnsi="Times New Roman" w:cs="Times New Roman"/>
          <w:color w:val="000000"/>
          <w:sz w:val="24"/>
          <w:szCs w:val="24"/>
        </w:rPr>
        <w:t>0,3% no IKP tiek uzskatīts par vienreizējo pasākumu (</w:t>
      </w:r>
      <w:proofErr w:type="spellStart"/>
      <w:r>
        <w:rPr>
          <w:rFonts w:ascii="Times New Roman" w:eastAsia="Calibri" w:hAnsi="Times New Roman" w:cs="Times New Roman"/>
          <w:i/>
          <w:color w:val="000000"/>
          <w:sz w:val="24"/>
          <w:szCs w:val="24"/>
        </w:rPr>
        <w:t>one</w:t>
      </w:r>
      <w:proofErr w:type="spellEnd"/>
      <w:r w:rsidRPr="00A311A1">
        <w:rPr>
          <w:rFonts w:ascii="Times New Roman" w:eastAsia="Calibri" w:hAnsi="Times New Roman" w:cs="Times New Roman"/>
          <w:i/>
          <w:color w:val="000000"/>
          <w:sz w:val="24"/>
          <w:szCs w:val="24"/>
        </w:rPr>
        <w:t>–</w:t>
      </w:r>
      <w:proofErr w:type="spellStart"/>
      <w:r w:rsidRPr="00A311A1">
        <w:rPr>
          <w:rFonts w:ascii="Times New Roman" w:eastAsia="Calibri" w:hAnsi="Times New Roman" w:cs="Times New Roman"/>
          <w:i/>
          <w:color w:val="000000"/>
          <w:sz w:val="24"/>
          <w:szCs w:val="24"/>
        </w:rPr>
        <w:t>off</w:t>
      </w:r>
      <w:proofErr w:type="spellEnd"/>
      <w:r w:rsidRPr="00A311A1">
        <w:rPr>
          <w:rFonts w:ascii="Times New Roman" w:eastAsia="Calibri" w:hAnsi="Times New Roman" w:cs="Times New Roman"/>
          <w:i/>
          <w:color w:val="000000"/>
          <w:sz w:val="24"/>
          <w:szCs w:val="24"/>
        </w:rPr>
        <w:t xml:space="preserve"> </w:t>
      </w:r>
      <w:proofErr w:type="spellStart"/>
      <w:r w:rsidRPr="00A311A1">
        <w:rPr>
          <w:rFonts w:ascii="Times New Roman" w:eastAsia="Calibri" w:hAnsi="Times New Roman" w:cs="Times New Roman"/>
          <w:i/>
          <w:color w:val="000000"/>
          <w:sz w:val="24"/>
          <w:szCs w:val="24"/>
        </w:rPr>
        <w:t>measure</w:t>
      </w:r>
      <w:proofErr w:type="spellEnd"/>
      <w:r w:rsidRPr="00A311A1">
        <w:rPr>
          <w:rFonts w:ascii="Times New Roman" w:eastAsia="Calibri" w:hAnsi="Times New Roman" w:cs="Times New Roman"/>
          <w:color w:val="000000"/>
          <w:sz w:val="24"/>
          <w:szCs w:val="24"/>
        </w:rPr>
        <w:t xml:space="preserve">). </w:t>
      </w:r>
    </w:p>
    <w:p w:rsidR="007366FB" w:rsidRPr="00A311A1" w:rsidRDefault="007366FB" w:rsidP="007366F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 xml:space="preserve">Tādējādi izmantojot iepriekš noteikto strukturālo bilanci, FM prognozes par izlaižu starpību un vienreizējos pasākumus tiek </w:t>
      </w:r>
      <w:r>
        <w:rPr>
          <w:rFonts w:ascii="Times New Roman" w:eastAsia="Calibri" w:hAnsi="Times New Roman" w:cs="Times New Roman"/>
          <w:color w:val="000000"/>
          <w:sz w:val="24"/>
          <w:szCs w:val="24"/>
        </w:rPr>
        <w:t>iegūta nominālā bilance, kas 2020</w:t>
      </w:r>
      <w:r w:rsidRPr="00A311A1">
        <w:rPr>
          <w:rFonts w:ascii="Times New Roman" w:eastAsia="Calibri" w:hAnsi="Times New Roman" w:cs="Times New Roman"/>
          <w:color w:val="000000"/>
          <w:sz w:val="24"/>
          <w:szCs w:val="24"/>
        </w:rPr>
        <w:t>.gadā ir -</w:t>
      </w:r>
      <w:r>
        <w:rPr>
          <w:rFonts w:ascii="Times New Roman" w:eastAsia="Calibri" w:hAnsi="Times New Roman" w:cs="Times New Roman"/>
          <w:color w:val="000000"/>
          <w:sz w:val="24"/>
          <w:szCs w:val="24"/>
        </w:rPr>
        <w:t>0,4% no IKP, 2021.gadā ir -0,2</w:t>
      </w:r>
      <w:r w:rsidRPr="00A311A1">
        <w:rPr>
          <w:rFonts w:ascii="Times New Roman" w:eastAsia="Calibri" w:hAnsi="Times New Roman" w:cs="Times New Roman"/>
          <w:color w:val="000000"/>
          <w:sz w:val="24"/>
          <w:szCs w:val="24"/>
        </w:rPr>
        <w:t>% no IKP un</w:t>
      </w:r>
      <w:r>
        <w:rPr>
          <w:rFonts w:ascii="Times New Roman" w:eastAsia="Calibri" w:hAnsi="Times New Roman" w:cs="Times New Roman"/>
          <w:color w:val="000000"/>
          <w:sz w:val="24"/>
          <w:szCs w:val="24"/>
        </w:rPr>
        <w:t xml:space="preserve"> 2022.gadā ir -0,3</w:t>
      </w:r>
      <w:r w:rsidRPr="00A311A1">
        <w:rPr>
          <w:rFonts w:ascii="Times New Roman" w:eastAsia="Calibri" w:hAnsi="Times New Roman" w:cs="Times New Roman"/>
          <w:color w:val="000000"/>
          <w:sz w:val="24"/>
          <w:szCs w:val="24"/>
        </w:rPr>
        <w:t xml:space="preserve">% no IKP. </w:t>
      </w:r>
    </w:p>
    <w:p w:rsidR="007366FB" w:rsidRPr="00C77649" w:rsidRDefault="007366FB" w:rsidP="007366F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Kā jau tika norādīt iepriekšējā Stabilitātes programmā</w:t>
      </w:r>
      <w:r w:rsidRPr="00A03501">
        <w:rPr>
          <w:rFonts w:ascii="Times New Roman" w:eastAsia="Calibri" w:hAnsi="Times New Roman" w:cs="Times New Roman"/>
          <w:color w:val="000000"/>
          <w:sz w:val="24"/>
          <w:szCs w:val="24"/>
        </w:rPr>
        <w:t xml:space="preserve">, FDL normu piemērošana un tulkošana ir FM kompetencē, un FM uztur viedokli, ka īstermiņa ieņēmumu kritums, ko izsauc nodokļu reforma pēc būtības ir vienreizējs pasākums – ieņēmumu kritumam nav paliekoša efekta, un tāpēc tas nav jāiekļauj strukturālajā bilancē. EK attiecībā uz vienreizējiem pasākumiem ietur </w:t>
      </w:r>
      <w:r w:rsidR="00235071">
        <w:rPr>
          <w:rFonts w:ascii="Times New Roman" w:eastAsia="Calibri" w:hAnsi="Times New Roman" w:cs="Times New Roman"/>
          <w:color w:val="000000"/>
          <w:sz w:val="24"/>
          <w:szCs w:val="24"/>
        </w:rPr>
        <w:t>citu</w:t>
      </w:r>
      <w:r w:rsidRPr="00A03501">
        <w:rPr>
          <w:rFonts w:ascii="Times New Roman" w:eastAsia="Calibri" w:hAnsi="Times New Roman" w:cs="Times New Roman"/>
          <w:color w:val="000000"/>
          <w:sz w:val="24"/>
          <w:szCs w:val="24"/>
        </w:rPr>
        <w:t xml:space="preserve"> politiku un ne visus pasākumus ar īstermiņa fiskālo efektu izslēdz no strukturālās bilances (skat.</w:t>
      </w:r>
      <w:r w:rsidRPr="0087329C">
        <w:t xml:space="preserve"> </w:t>
      </w:r>
      <w:r w:rsidRPr="0087329C">
        <w:rPr>
          <w:rFonts w:ascii="Times New Roman" w:eastAsia="Calibri" w:hAnsi="Times New Roman" w:cs="Times New Roman"/>
          <w:color w:val="000000"/>
          <w:sz w:val="24"/>
          <w:szCs w:val="24"/>
        </w:rPr>
        <w:t>EK tehnisko rokasgrāmatu</w:t>
      </w:r>
      <w:r w:rsidRPr="00A03501">
        <w:rPr>
          <w:rFonts w:ascii="Times New Roman" w:eastAsia="Calibri" w:hAnsi="Times New Roman" w:cs="Times New Roman"/>
          <w:color w:val="000000"/>
          <w:sz w:val="24"/>
          <w:szCs w:val="24"/>
        </w:rPr>
        <w:t xml:space="preserve"> </w:t>
      </w:r>
      <w:r w:rsidRPr="00A03501">
        <w:rPr>
          <w:rFonts w:ascii="Times New Roman" w:eastAsia="Calibri" w:hAnsi="Times New Roman" w:cs="Times New Roman"/>
          <w:i/>
          <w:color w:val="000000"/>
          <w:sz w:val="24"/>
          <w:szCs w:val="24"/>
          <w:lang w:val="en-GB"/>
        </w:rPr>
        <w:t>Vade Mecum on the Stability and Growth Pact, Box 1.4: Calculating the structural balance</w:t>
      </w:r>
      <w:r w:rsidRPr="00A03501">
        <w:rPr>
          <w:rFonts w:ascii="Times New Roman" w:eastAsia="Calibri" w:hAnsi="Times New Roman" w:cs="Times New Roman"/>
          <w:color w:val="000000"/>
          <w:sz w:val="24"/>
          <w:szCs w:val="24"/>
        </w:rPr>
        <w:t xml:space="preserve">). Līdz ar to SIP </w:t>
      </w:r>
      <w:r>
        <w:rPr>
          <w:rFonts w:ascii="Times New Roman" w:eastAsia="Calibri" w:hAnsi="Times New Roman" w:cs="Times New Roman"/>
          <w:color w:val="000000"/>
          <w:sz w:val="24"/>
          <w:szCs w:val="24"/>
        </w:rPr>
        <w:t>scenārijā</w:t>
      </w:r>
      <w:r w:rsidRPr="00A03501">
        <w:rPr>
          <w:rFonts w:ascii="Times New Roman" w:eastAsia="Calibri" w:hAnsi="Times New Roman" w:cs="Times New Roman"/>
          <w:color w:val="000000"/>
          <w:sz w:val="24"/>
          <w:szCs w:val="24"/>
        </w:rPr>
        <w:t xml:space="preserve"> nodokļu reformas izsauktais ieņēmumu kritums netiks atzīts no EK puses par vienreizējo pasākumu un tāpēc </w:t>
      </w:r>
      <w:r w:rsidR="00D6169B" w:rsidRPr="00D6169B">
        <w:rPr>
          <w:rFonts w:ascii="Times New Roman" w:eastAsia="Calibri" w:hAnsi="Times New Roman" w:cs="Times New Roman"/>
          <w:color w:val="000000"/>
          <w:sz w:val="24"/>
          <w:szCs w:val="24"/>
        </w:rPr>
        <w:t>3.2</w:t>
      </w:r>
      <w:r w:rsidRPr="00D6169B">
        <w:rPr>
          <w:rFonts w:ascii="Times New Roman" w:eastAsia="Calibri" w:hAnsi="Times New Roman" w:cs="Times New Roman"/>
          <w:color w:val="000000"/>
          <w:sz w:val="24"/>
          <w:szCs w:val="24"/>
        </w:rPr>
        <w:t>.</w:t>
      </w:r>
      <w:r w:rsidRPr="00A03501">
        <w:rPr>
          <w:rFonts w:ascii="Times New Roman" w:eastAsia="Calibri" w:hAnsi="Times New Roman" w:cs="Times New Roman"/>
          <w:color w:val="000000"/>
          <w:sz w:val="24"/>
          <w:szCs w:val="24"/>
        </w:rPr>
        <w:t>tabulā tas netiek iekļauts.</w:t>
      </w:r>
    </w:p>
    <w:p w:rsidR="00816F19" w:rsidRDefault="00816F19" w:rsidP="00816F19">
      <w:pPr>
        <w:spacing w:after="0" w:line="240" w:lineRule="auto"/>
        <w:ind w:firstLine="720"/>
        <w:jc w:val="both"/>
        <w:rPr>
          <w:rFonts w:ascii="Times New Roman" w:eastAsia="Calibri" w:hAnsi="Times New Roman" w:cs="Times New Roman"/>
          <w:color w:val="000000"/>
          <w:sz w:val="24"/>
          <w:szCs w:val="24"/>
        </w:rPr>
      </w:pPr>
    </w:p>
    <w:p w:rsidR="007366FB" w:rsidRPr="005A7A5F" w:rsidRDefault="007366FB" w:rsidP="00DB1AEB">
      <w:pPr>
        <w:spacing w:after="0" w:line="240" w:lineRule="auto"/>
        <w:ind w:firstLine="720"/>
        <w:jc w:val="both"/>
        <w:rPr>
          <w:rFonts w:ascii="Times New Roman" w:eastAsia="Calibri" w:hAnsi="Times New Roman" w:cs="Times New Roman"/>
          <w:b/>
          <w:i/>
          <w:color w:val="000000"/>
          <w:sz w:val="24"/>
          <w:szCs w:val="24"/>
        </w:rPr>
      </w:pPr>
      <w:r w:rsidRPr="005A7A5F">
        <w:rPr>
          <w:rFonts w:ascii="Times New Roman" w:eastAsia="Calibri" w:hAnsi="Times New Roman" w:cs="Times New Roman"/>
          <w:b/>
          <w:i/>
          <w:color w:val="000000"/>
          <w:sz w:val="24"/>
          <w:szCs w:val="24"/>
        </w:rPr>
        <w:t xml:space="preserve">Bilances mērķi atbilstoši bilances nosacījumam </w:t>
      </w:r>
      <w:r w:rsidRPr="005A7A5F">
        <w:rPr>
          <w:rFonts w:ascii="Times New Roman" w:eastAsia="Calibri" w:hAnsi="Times New Roman" w:cs="Times New Roman"/>
          <w:i/>
          <w:sz w:val="24"/>
          <w:szCs w:val="24"/>
        </w:rPr>
        <w:t>–</w:t>
      </w:r>
      <w:r w:rsidRPr="005A7A5F">
        <w:rPr>
          <w:rFonts w:ascii="Times New Roman" w:eastAsia="Calibri" w:hAnsi="Times New Roman" w:cs="Times New Roman"/>
          <w:b/>
          <w:i/>
          <w:color w:val="000000"/>
          <w:sz w:val="24"/>
          <w:szCs w:val="24"/>
        </w:rPr>
        <w:t xml:space="preserve"> strukturālo mērķu izvēle </w:t>
      </w:r>
    </w:p>
    <w:p w:rsidR="007366FB" w:rsidRDefault="007366FB" w:rsidP="007366FB">
      <w:pPr>
        <w:spacing w:after="0" w:line="240" w:lineRule="auto"/>
        <w:ind w:firstLine="720"/>
        <w:jc w:val="both"/>
        <w:rPr>
          <w:rFonts w:ascii="Times New Roman" w:eastAsia="Calibri" w:hAnsi="Times New Roman" w:cs="Times New Roman"/>
          <w:color w:val="000000"/>
          <w:sz w:val="24"/>
          <w:szCs w:val="24"/>
        </w:rPr>
      </w:pPr>
      <w:r w:rsidRPr="00AD05D3">
        <w:rPr>
          <w:rFonts w:ascii="Times New Roman" w:eastAsia="Calibri" w:hAnsi="Times New Roman" w:cs="Times New Roman"/>
          <w:color w:val="000000"/>
          <w:sz w:val="24"/>
          <w:szCs w:val="24"/>
        </w:rPr>
        <w:t>Kad pēc abām bilances nosacījuma metodēm ir noteikti vispārējās valdības budžeta strukturālās bilances mērķi un aprēķināta vispārējās valdības budžeta nominālā bilance, iegūtie rezultāti tiek salīdzināti un tiek izvēlēta lielākā vispārējās valdības budžeta nominālās bilances vērtība, ar mērķi nodrošināt fiskālo nosacījumu atbilstību gan pēc nacionālās metodoloģijas, gan saskaņā ar SIP izpratni.</w:t>
      </w:r>
    </w:p>
    <w:p w:rsidR="007366FB" w:rsidRPr="00C11D88" w:rsidRDefault="00D6169B" w:rsidP="007366FB">
      <w:pPr>
        <w:spacing w:after="0" w:line="240" w:lineRule="auto"/>
        <w:jc w:val="right"/>
        <w:rPr>
          <w:rFonts w:ascii="Times New Roman" w:eastAsia="Calibri" w:hAnsi="Times New Roman" w:cs="Times New Roman"/>
          <w:b/>
          <w:color w:val="000000"/>
          <w:sz w:val="24"/>
          <w:szCs w:val="24"/>
        </w:rPr>
      </w:pPr>
      <w:r w:rsidRPr="00C11D88">
        <w:rPr>
          <w:rFonts w:ascii="Times New Roman" w:eastAsia="Calibri" w:hAnsi="Times New Roman" w:cs="Times New Roman"/>
          <w:b/>
          <w:color w:val="000000"/>
          <w:sz w:val="24"/>
          <w:szCs w:val="24"/>
        </w:rPr>
        <w:t>3.3</w:t>
      </w:r>
      <w:r w:rsidR="007366FB" w:rsidRPr="00C11D88">
        <w:rPr>
          <w:rFonts w:ascii="Times New Roman" w:eastAsia="Calibri" w:hAnsi="Times New Roman" w:cs="Times New Roman"/>
          <w:b/>
          <w:color w:val="000000"/>
          <w:sz w:val="24"/>
          <w:szCs w:val="24"/>
        </w:rPr>
        <w:t>.tabula. Strukturālā mērķa izvēle</w:t>
      </w:r>
    </w:p>
    <w:tbl>
      <w:tblPr>
        <w:tblStyle w:val="GridTable6Colorful-Accent110"/>
        <w:tblW w:w="8616" w:type="dxa"/>
        <w:jc w:val="center"/>
        <w:tblLook w:val="04A0" w:firstRow="1" w:lastRow="0" w:firstColumn="1" w:lastColumn="0" w:noHBand="0" w:noVBand="1"/>
      </w:tblPr>
      <w:tblGrid>
        <w:gridCol w:w="1244"/>
        <w:gridCol w:w="4537"/>
        <w:gridCol w:w="945"/>
        <w:gridCol w:w="945"/>
        <w:gridCol w:w="945"/>
      </w:tblGrid>
      <w:tr w:rsidR="007366FB" w:rsidRPr="00AD05D3" w:rsidTr="00DB1A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4" w:type="dxa"/>
            <w:tcBorders>
              <w:bottom w:val="none" w:sz="0" w:space="0" w:color="auto"/>
            </w:tcBorders>
          </w:tcPr>
          <w:p w:rsidR="007366FB" w:rsidRPr="00C77649" w:rsidRDefault="007366FB" w:rsidP="003D448B">
            <w:pPr>
              <w:rPr>
                <w:rFonts w:ascii="Times New Roman" w:eastAsia="Times New Roman" w:hAnsi="Times New Roman" w:cs="Times New Roman"/>
                <w:sz w:val="18"/>
                <w:szCs w:val="18"/>
                <w:lang w:eastAsia="lv-LV"/>
              </w:rPr>
            </w:pPr>
          </w:p>
        </w:tc>
        <w:tc>
          <w:tcPr>
            <w:tcW w:w="4537" w:type="dxa"/>
            <w:tcBorders>
              <w:bottom w:val="none" w:sz="0" w:space="0" w:color="auto"/>
            </w:tcBorders>
            <w:noWrap/>
            <w:hideMark/>
          </w:tcPr>
          <w:p w:rsidR="007366FB" w:rsidRPr="00AD05D3" w:rsidRDefault="007366FB" w:rsidP="003D448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 </w:t>
            </w:r>
          </w:p>
        </w:tc>
        <w:tc>
          <w:tcPr>
            <w:tcW w:w="945" w:type="dxa"/>
            <w:tcBorders>
              <w:bottom w:val="none" w:sz="0" w:space="0" w:color="auto"/>
            </w:tcBorders>
            <w:noWrap/>
            <w:vAlign w:val="center"/>
            <w:hideMark/>
          </w:tcPr>
          <w:p w:rsidR="007366FB" w:rsidRPr="00AD05D3" w:rsidRDefault="007366FB" w:rsidP="003D44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020</w:t>
            </w:r>
          </w:p>
        </w:tc>
        <w:tc>
          <w:tcPr>
            <w:tcW w:w="945" w:type="dxa"/>
            <w:tcBorders>
              <w:bottom w:val="none" w:sz="0" w:space="0" w:color="auto"/>
            </w:tcBorders>
            <w:noWrap/>
            <w:vAlign w:val="center"/>
            <w:hideMark/>
          </w:tcPr>
          <w:p w:rsidR="007366FB" w:rsidRPr="00AD05D3" w:rsidRDefault="007366FB" w:rsidP="003D44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2021</w:t>
            </w:r>
          </w:p>
        </w:tc>
        <w:tc>
          <w:tcPr>
            <w:tcW w:w="945" w:type="dxa"/>
            <w:tcBorders>
              <w:bottom w:val="none" w:sz="0" w:space="0" w:color="auto"/>
            </w:tcBorders>
            <w:noWrap/>
            <w:vAlign w:val="center"/>
            <w:hideMark/>
          </w:tcPr>
          <w:p w:rsidR="007366FB" w:rsidRPr="00AD05D3" w:rsidRDefault="007366FB" w:rsidP="003D44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2022</w:t>
            </w:r>
          </w:p>
        </w:tc>
      </w:tr>
      <w:tr w:rsidR="007366FB" w:rsidRPr="00AD05D3" w:rsidTr="00DB1AE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4" w:type="dxa"/>
          </w:tcPr>
          <w:p w:rsidR="007366FB" w:rsidRPr="00C77649" w:rsidRDefault="007366FB" w:rsidP="003D448B">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(1)</w:t>
            </w:r>
          </w:p>
        </w:tc>
        <w:tc>
          <w:tcPr>
            <w:tcW w:w="4537" w:type="dxa"/>
            <w:noWrap/>
            <w:hideMark/>
          </w:tcPr>
          <w:p w:rsidR="007366FB" w:rsidRPr="00AD05D3" w:rsidRDefault="007366FB" w:rsidP="003D44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Nominālā bilance (saskaņā ar SIP izpratni)</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0</w:t>
            </w: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6</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0</w:t>
            </w: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6</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0</w:t>
            </w: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6</w:t>
            </w:r>
            <w:r w:rsidRPr="00AD05D3">
              <w:rPr>
                <w:rFonts w:ascii="Times New Roman" w:eastAsia="Times New Roman" w:hAnsi="Times New Roman" w:cs="Times New Roman"/>
                <w:color w:val="auto"/>
                <w:sz w:val="20"/>
                <w:szCs w:val="20"/>
                <w:lang w:eastAsia="lv-LV"/>
              </w:rPr>
              <w:t>%</w:t>
            </w:r>
          </w:p>
        </w:tc>
      </w:tr>
      <w:tr w:rsidR="007366FB" w:rsidRPr="00AD05D3" w:rsidTr="00DB1AEB">
        <w:trPr>
          <w:trHeight w:val="340"/>
          <w:jc w:val="center"/>
        </w:trPr>
        <w:tc>
          <w:tcPr>
            <w:cnfStyle w:val="001000000000" w:firstRow="0" w:lastRow="0" w:firstColumn="1" w:lastColumn="0" w:oddVBand="0" w:evenVBand="0" w:oddHBand="0" w:evenHBand="0" w:firstRowFirstColumn="0" w:firstRowLastColumn="0" w:lastRowFirstColumn="0" w:lastRowLastColumn="0"/>
            <w:tcW w:w="1244" w:type="dxa"/>
          </w:tcPr>
          <w:p w:rsidR="007366FB" w:rsidRPr="00C77649" w:rsidRDefault="007366FB" w:rsidP="003D448B">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(2)</w:t>
            </w:r>
          </w:p>
        </w:tc>
        <w:tc>
          <w:tcPr>
            <w:tcW w:w="4537" w:type="dxa"/>
            <w:noWrap/>
            <w:hideMark/>
          </w:tcPr>
          <w:p w:rsidR="007366FB" w:rsidRPr="00AD05D3" w:rsidRDefault="007366FB" w:rsidP="003D44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Nominālā bilance (saskaņā ar nacionālo metodoloģiju)</w:t>
            </w:r>
          </w:p>
        </w:tc>
        <w:tc>
          <w:tcPr>
            <w:tcW w:w="945" w:type="dxa"/>
            <w:noWrap/>
            <w:vAlign w:val="center"/>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-0</w:t>
            </w: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4</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2</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3</w:t>
            </w:r>
            <w:r w:rsidRPr="00AD05D3">
              <w:rPr>
                <w:rFonts w:ascii="Times New Roman" w:eastAsia="Times New Roman" w:hAnsi="Times New Roman" w:cs="Times New Roman"/>
                <w:color w:val="auto"/>
                <w:sz w:val="20"/>
                <w:szCs w:val="20"/>
                <w:lang w:eastAsia="lv-LV"/>
              </w:rPr>
              <w:t>%</w:t>
            </w:r>
          </w:p>
        </w:tc>
      </w:tr>
      <w:tr w:rsidR="007366FB" w:rsidRPr="00AD05D3" w:rsidTr="00DB1AE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4" w:type="dxa"/>
          </w:tcPr>
          <w:p w:rsidR="007366FB" w:rsidRPr="00C77649" w:rsidRDefault="007366FB" w:rsidP="003D448B">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(3) = MAX (1;2)</w:t>
            </w:r>
          </w:p>
        </w:tc>
        <w:tc>
          <w:tcPr>
            <w:tcW w:w="4537" w:type="dxa"/>
            <w:noWrap/>
            <w:hideMark/>
          </w:tcPr>
          <w:p w:rsidR="007366FB" w:rsidRPr="00AD05D3" w:rsidRDefault="007366FB" w:rsidP="003D44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 xml:space="preserve">Lielākā nominālās bilances vērtība </w:t>
            </w:r>
            <w:r>
              <w:rPr>
                <w:rFonts w:ascii="Times New Roman" w:eastAsia="Times New Roman" w:hAnsi="Times New Roman" w:cs="Times New Roman"/>
                <w:color w:val="auto"/>
                <w:sz w:val="20"/>
                <w:szCs w:val="20"/>
                <w:lang w:eastAsia="lv-LV"/>
              </w:rPr>
              <w:t>(</w:t>
            </w:r>
            <w:r w:rsidRPr="00AD05D3">
              <w:rPr>
                <w:rFonts w:ascii="Times New Roman" w:eastAsia="Times New Roman" w:hAnsi="Times New Roman" w:cs="Times New Roman"/>
                <w:color w:val="auto"/>
                <w:sz w:val="20"/>
                <w:szCs w:val="20"/>
                <w:lang w:eastAsia="lv-LV"/>
              </w:rPr>
              <w:t>MAX(1;2)</w:t>
            </w:r>
            <w:r>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0</w:t>
            </w:r>
            <w:r w:rsidRPr="00AD05D3">
              <w:rPr>
                <w:rFonts w:ascii="Times New Roman" w:eastAsia="Times New Roman" w:hAnsi="Times New Roman" w:cs="Times New Roman"/>
                <w:color w:val="auto"/>
                <w:sz w:val="20"/>
                <w:szCs w:val="20"/>
                <w:lang w:eastAsia="lv-LV"/>
              </w:rPr>
              <w:t>,</w:t>
            </w:r>
            <w:r>
              <w:rPr>
                <w:rFonts w:ascii="Times New Roman" w:eastAsia="Times New Roman" w:hAnsi="Times New Roman" w:cs="Times New Roman"/>
                <w:color w:val="auto"/>
                <w:sz w:val="20"/>
                <w:szCs w:val="20"/>
                <w:lang w:eastAsia="lv-LV"/>
              </w:rPr>
              <w:t>4</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2</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3</w:t>
            </w:r>
            <w:r w:rsidRPr="00AD05D3">
              <w:rPr>
                <w:rFonts w:ascii="Times New Roman" w:eastAsia="Times New Roman" w:hAnsi="Times New Roman" w:cs="Times New Roman"/>
                <w:color w:val="auto"/>
                <w:sz w:val="20"/>
                <w:szCs w:val="20"/>
                <w:lang w:eastAsia="lv-LV"/>
              </w:rPr>
              <w:t>%</w:t>
            </w:r>
          </w:p>
        </w:tc>
      </w:tr>
      <w:tr w:rsidR="007366FB" w:rsidRPr="00AD05D3" w:rsidTr="00DB1AEB">
        <w:trPr>
          <w:trHeight w:val="340"/>
          <w:jc w:val="center"/>
        </w:trPr>
        <w:tc>
          <w:tcPr>
            <w:cnfStyle w:val="001000000000" w:firstRow="0" w:lastRow="0" w:firstColumn="1" w:lastColumn="0" w:oddVBand="0" w:evenVBand="0" w:oddHBand="0" w:evenHBand="0" w:firstRowFirstColumn="0" w:firstRowLastColumn="0" w:lastRowFirstColumn="0" w:lastRowLastColumn="0"/>
            <w:tcW w:w="1244" w:type="dxa"/>
          </w:tcPr>
          <w:p w:rsidR="007366FB" w:rsidRPr="00C77649" w:rsidRDefault="007366FB" w:rsidP="003D448B">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(4)</w:t>
            </w:r>
          </w:p>
        </w:tc>
        <w:tc>
          <w:tcPr>
            <w:tcW w:w="4537" w:type="dxa"/>
            <w:noWrap/>
            <w:hideMark/>
          </w:tcPr>
          <w:p w:rsidR="007366FB" w:rsidRPr="00AD05D3" w:rsidRDefault="007366FB" w:rsidP="003D44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Cikliskā komponente (nacionālā metodoloģija)</w:t>
            </w:r>
          </w:p>
        </w:tc>
        <w:tc>
          <w:tcPr>
            <w:tcW w:w="945" w:type="dxa"/>
            <w:noWrap/>
            <w:vAlign w:val="center"/>
            <w:hideMark/>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0,4%</w:t>
            </w:r>
          </w:p>
        </w:tc>
        <w:tc>
          <w:tcPr>
            <w:tcW w:w="945" w:type="dxa"/>
            <w:noWrap/>
            <w:vAlign w:val="center"/>
            <w:hideMark/>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0,3%</w:t>
            </w:r>
          </w:p>
        </w:tc>
        <w:tc>
          <w:tcPr>
            <w:tcW w:w="945" w:type="dxa"/>
            <w:noWrap/>
            <w:vAlign w:val="center"/>
            <w:hideMark/>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0,2</w:t>
            </w:r>
            <w:r w:rsidRPr="00AD05D3">
              <w:rPr>
                <w:rFonts w:ascii="Times New Roman" w:eastAsia="Times New Roman" w:hAnsi="Times New Roman" w:cs="Times New Roman"/>
                <w:color w:val="auto"/>
                <w:sz w:val="20"/>
                <w:szCs w:val="20"/>
                <w:lang w:eastAsia="lv-LV"/>
              </w:rPr>
              <w:t>%</w:t>
            </w:r>
          </w:p>
        </w:tc>
      </w:tr>
      <w:tr w:rsidR="007366FB" w:rsidRPr="00AD05D3" w:rsidTr="00DB1AE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4" w:type="dxa"/>
          </w:tcPr>
          <w:p w:rsidR="007366FB" w:rsidRPr="00C77649" w:rsidRDefault="007366FB" w:rsidP="003D448B">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(5)</w:t>
            </w:r>
          </w:p>
        </w:tc>
        <w:tc>
          <w:tcPr>
            <w:tcW w:w="4537" w:type="dxa"/>
            <w:noWrap/>
          </w:tcPr>
          <w:p w:rsidR="007366FB" w:rsidRPr="00AD05D3" w:rsidRDefault="007366FB" w:rsidP="003D44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AD05D3">
              <w:rPr>
                <w:rFonts w:ascii="Times New Roman" w:eastAsia="Times New Roman" w:hAnsi="Times New Roman" w:cs="Times New Roman"/>
                <w:color w:val="auto"/>
                <w:sz w:val="20"/>
                <w:szCs w:val="20"/>
                <w:lang w:eastAsia="lv-LV"/>
              </w:rPr>
              <w:t>Vienreizējie pasākumi</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-0,3</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0,0</w:t>
            </w:r>
            <w:r w:rsidRPr="00AD05D3">
              <w:rPr>
                <w:rFonts w:ascii="Times New Roman" w:eastAsia="Times New Roman" w:hAnsi="Times New Roman" w:cs="Times New Roman"/>
                <w:color w:val="auto"/>
                <w:sz w:val="20"/>
                <w:szCs w:val="20"/>
                <w:lang w:eastAsia="lv-LV"/>
              </w:rPr>
              <w:t>%</w:t>
            </w:r>
          </w:p>
        </w:tc>
        <w:tc>
          <w:tcPr>
            <w:tcW w:w="945" w:type="dxa"/>
            <w:noWrap/>
            <w:vAlign w:val="center"/>
          </w:tcPr>
          <w:p w:rsidR="007366FB" w:rsidRPr="00AD05D3" w:rsidRDefault="007366FB" w:rsidP="003D44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Pr>
                <w:rFonts w:ascii="Times New Roman" w:eastAsia="Times New Roman" w:hAnsi="Times New Roman" w:cs="Times New Roman"/>
                <w:color w:val="auto"/>
                <w:sz w:val="20"/>
                <w:szCs w:val="20"/>
                <w:lang w:eastAsia="lv-LV"/>
              </w:rPr>
              <w:t>0,0</w:t>
            </w:r>
            <w:r w:rsidRPr="00AD05D3">
              <w:rPr>
                <w:rFonts w:ascii="Times New Roman" w:eastAsia="Times New Roman" w:hAnsi="Times New Roman" w:cs="Times New Roman"/>
                <w:color w:val="auto"/>
                <w:sz w:val="20"/>
                <w:szCs w:val="20"/>
                <w:lang w:eastAsia="lv-LV"/>
              </w:rPr>
              <w:t>%</w:t>
            </w:r>
          </w:p>
        </w:tc>
      </w:tr>
      <w:tr w:rsidR="007366FB" w:rsidRPr="00AD05D3" w:rsidTr="00DB1AEB">
        <w:trPr>
          <w:trHeight w:val="340"/>
          <w:jc w:val="center"/>
        </w:trPr>
        <w:tc>
          <w:tcPr>
            <w:cnfStyle w:val="001000000000" w:firstRow="0" w:lastRow="0" w:firstColumn="1" w:lastColumn="0" w:oddVBand="0" w:evenVBand="0" w:oddHBand="0" w:evenHBand="0" w:firstRowFirstColumn="0" w:firstRowLastColumn="0" w:lastRowFirstColumn="0" w:lastRowLastColumn="0"/>
            <w:tcW w:w="1244" w:type="dxa"/>
          </w:tcPr>
          <w:p w:rsidR="007366FB" w:rsidRPr="00C77649" w:rsidRDefault="007366FB" w:rsidP="003D448B">
            <w:pPr>
              <w:ind w:left="-113" w:right="-111"/>
              <w:jc w:val="center"/>
              <w:rPr>
                <w:rFonts w:ascii="Times New Roman" w:eastAsia="Times New Roman" w:hAnsi="Times New Roman" w:cs="Times New Roman"/>
                <w:color w:val="auto"/>
                <w:sz w:val="18"/>
                <w:szCs w:val="18"/>
                <w:lang w:eastAsia="lv-LV"/>
              </w:rPr>
            </w:pPr>
            <w:r w:rsidRPr="00C77649">
              <w:rPr>
                <w:rFonts w:ascii="Times New Roman" w:eastAsia="Times New Roman" w:hAnsi="Times New Roman" w:cs="Times New Roman"/>
                <w:color w:val="auto"/>
                <w:sz w:val="18"/>
                <w:szCs w:val="18"/>
                <w:lang w:eastAsia="lv-LV"/>
              </w:rPr>
              <w:t>(</w:t>
            </w:r>
            <w:r w:rsidRPr="00C77649">
              <w:rPr>
                <w:rFonts w:ascii="Times New Roman" w:eastAsia="Times New Roman" w:hAnsi="Times New Roman" w:cs="Times New Roman"/>
                <w:b w:val="0"/>
                <w:color w:val="auto"/>
                <w:sz w:val="18"/>
                <w:szCs w:val="18"/>
                <w:lang w:eastAsia="lv-LV"/>
              </w:rPr>
              <w:t>6)=(3)-(4)-(5)</w:t>
            </w:r>
          </w:p>
        </w:tc>
        <w:tc>
          <w:tcPr>
            <w:tcW w:w="4537" w:type="dxa"/>
            <w:noWrap/>
            <w:hideMark/>
          </w:tcPr>
          <w:p w:rsidR="007366FB" w:rsidRPr="00AD05D3" w:rsidRDefault="007366FB" w:rsidP="003D44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b/>
                <w:color w:val="auto"/>
                <w:sz w:val="20"/>
                <w:szCs w:val="20"/>
                <w:lang w:eastAsia="lv-LV"/>
              </w:rPr>
              <w:t>Strukturālās bilances mērķis</w:t>
            </w:r>
          </w:p>
        </w:tc>
        <w:tc>
          <w:tcPr>
            <w:tcW w:w="945" w:type="dxa"/>
            <w:noWrap/>
            <w:vAlign w:val="center"/>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Pr>
                <w:rFonts w:ascii="Times New Roman" w:eastAsia="Times New Roman" w:hAnsi="Times New Roman" w:cs="Times New Roman"/>
                <w:b/>
                <w:color w:val="auto"/>
                <w:sz w:val="20"/>
                <w:szCs w:val="20"/>
                <w:lang w:eastAsia="lv-LV"/>
              </w:rPr>
              <w:t>-0,5</w:t>
            </w:r>
            <w:r w:rsidRPr="00AD05D3">
              <w:rPr>
                <w:rFonts w:ascii="Times New Roman" w:eastAsia="Times New Roman" w:hAnsi="Times New Roman" w:cs="Times New Roman"/>
                <w:b/>
                <w:color w:val="auto"/>
                <w:sz w:val="20"/>
                <w:szCs w:val="20"/>
                <w:lang w:eastAsia="lv-LV"/>
              </w:rPr>
              <w:t>%</w:t>
            </w:r>
          </w:p>
        </w:tc>
        <w:tc>
          <w:tcPr>
            <w:tcW w:w="945" w:type="dxa"/>
            <w:noWrap/>
            <w:vAlign w:val="center"/>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Pr>
                <w:rFonts w:ascii="Times New Roman" w:eastAsia="Times New Roman" w:hAnsi="Times New Roman" w:cs="Times New Roman"/>
                <w:b/>
                <w:color w:val="auto"/>
                <w:sz w:val="20"/>
                <w:szCs w:val="20"/>
                <w:lang w:eastAsia="lv-LV"/>
              </w:rPr>
              <w:t>-0,5</w:t>
            </w:r>
            <w:r w:rsidRPr="00AD05D3">
              <w:rPr>
                <w:rFonts w:ascii="Times New Roman" w:eastAsia="Times New Roman" w:hAnsi="Times New Roman" w:cs="Times New Roman"/>
                <w:b/>
                <w:color w:val="auto"/>
                <w:sz w:val="20"/>
                <w:szCs w:val="20"/>
                <w:lang w:eastAsia="lv-LV"/>
              </w:rPr>
              <w:t>%</w:t>
            </w:r>
          </w:p>
        </w:tc>
        <w:tc>
          <w:tcPr>
            <w:tcW w:w="945" w:type="dxa"/>
            <w:noWrap/>
            <w:vAlign w:val="center"/>
          </w:tcPr>
          <w:p w:rsidR="007366FB" w:rsidRPr="00AD05D3" w:rsidRDefault="007366FB" w:rsidP="003D44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b/>
                <w:color w:val="auto"/>
                <w:sz w:val="20"/>
                <w:szCs w:val="20"/>
                <w:lang w:eastAsia="lv-LV"/>
              </w:rPr>
              <w:t>-0,5%</w:t>
            </w:r>
          </w:p>
        </w:tc>
      </w:tr>
    </w:tbl>
    <w:p w:rsidR="007366FB" w:rsidRDefault="007366FB" w:rsidP="007366FB">
      <w:pPr>
        <w:spacing w:after="0" w:line="240" w:lineRule="auto"/>
        <w:ind w:firstLine="720"/>
        <w:jc w:val="both"/>
        <w:rPr>
          <w:rFonts w:ascii="Times New Roman" w:eastAsia="Calibri" w:hAnsi="Times New Roman" w:cs="Times New Roman"/>
          <w:color w:val="000000"/>
          <w:sz w:val="24"/>
          <w:szCs w:val="24"/>
        </w:rPr>
      </w:pPr>
    </w:p>
    <w:p w:rsidR="007366FB" w:rsidRDefault="007366FB" w:rsidP="007366FB">
      <w:pPr>
        <w:spacing w:after="0" w:line="240" w:lineRule="auto"/>
        <w:ind w:firstLine="720"/>
        <w:jc w:val="both"/>
        <w:rPr>
          <w:rFonts w:ascii="Times New Roman" w:eastAsia="Calibri" w:hAnsi="Times New Roman" w:cs="Times New Roman"/>
          <w:b/>
          <w:color w:val="000000"/>
          <w:sz w:val="24"/>
          <w:szCs w:val="24"/>
        </w:rPr>
      </w:pPr>
      <w:r w:rsidRPr="00AD05D3">
        <w:rPr>
          <w:rFonts w:ascii="Times New Roman" w:eastAsia="Calibri" w:hAnsi="Times New Roman" w:cs="Times New Roman"/>
          <w:color w:val="000000"/>
          <w:sz w:val="24"/>
          <w:szCs w:val="24"/>
        </w:rPr>
        <w:t xml:space="preserve">Pēc tam kad ir noteikta lielākā vispārējās valdības budžeta nominālās bilances vērtība, tiek veikta pāreja uz bilanci strukturālā izteiksmē (izmantojot ciklisko komponenti un definētos vienreizējos pasākumus atbilstoši FM </w:t>
      </w:r>
      <w:r>
        <w:rPr>
          <w:rFonts w:ascii="Times New Roman" w:eastAsia="Calibri" w:hAnsi="Times New Roman" w:cs="Times New Roman"/>
          <w:color w:val="000000"/>
          <w:sz w:val="24"/>
          <w:szCs w:val="24"/>
        </w:rPr>
        <w:t>prognozēm</w:t>
      </w:r>
      <w:r w:rsidRPr="00AD05D3">
        <w:rPr>
          <w:rFonts w:ascii="Times New Roman" w:eastAsia="Calibri" w:hAnsi="Times New Roman" w:cs="Times New Roman"/>
          <w:color w:val="000000"/>
          <w:sz w:val="24"/>
          <w:szCs w:val="24"/>
        </w:rPr>
        <w:t xml:space="preserve">). Attiecīgi tiek iegūti vispārējās valdības budžeta strukturālās bilances mērķi, kas </w:t>
      </w:r>
      <w:r>
        <w:rPr>
          <w:rFonts w:ascii="Times New Roman" w:eastAsia="Calibri" w:hAnsi="Times New Roman" w:cs="Times New Roman"/>
          <w:b/>
          <w:color w:val="000000"/>
          <w:sz w:val="24"/>
          <w:szCs w:val="24"/>
        </w:rPr>
        <w:t>2020.gadā ir -0,5% no IKP, 2021.gadā -0,5</w:t>
      </w:r>
      <w:r w:rsidRPr="00AD05D3">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no IKP un 2022</w:t>
      </w:r>
      <w:r w:rsidRPr="00AD05D3">
        <w:rPr>
          <w:rFonts w:ascii="Times New Roman" w:eastAsia="Calibri" w:hAnsi="Times New Roman" w:cs="Times New Roman"/>
          <w:b/>
          <w:color w:val="000000"/>
          <w:sz w:val="24"/>
          <w:szCs w:val="24"/>
        </w:rPr>
        <w:t>.gadā -0,5% no IKP.</w:t>
      </w:r>
      <w:r>
        <w:rPr>
          <w:rFonts w:ascii="Times New Roman" w:eastAsia="Calibri" w:hAnsi="Times New Roman" w:cs="Times New Roman"/>
          <w:b/>
          <w:color w:val="000000"/>
          <w:sz w:val="24"/>
          <w:szCs w:val="24"/>
        </w:rPr>
        <w:t xml:space="preserve"> </w:t>
      </w:r>
    </w:p>
    <w:p w:rsidR="00814E4C" w:rsidRDefault="00814E4C" w:rsidP="007366FB">
      <w:pPr>
        <w:spacing w:after="0" w:line="240" w:lineRule="auto"/>
        <w:ind w:firstLine="720"/>
        <w:jc w:val="both"/>
        <w:rPr>
          <w:rFonts w:ascii="Times New Roman" w:eastAsia="Calibri" w:hAnsi="Times New Roman" w:cs="Times New Roman"/>
          <w:b/>
          <w:color w:val="000000"/>
          <w:sz w:val="24"/>
          <w:szCs w:val="24"/>
        </w:rPr>
      </w:pPr>
    </w:p>
    <w:p w:rsidR="007366FB" w:rsidRPr="00351DF7" w:rsidRDefault="007366FB" w:rsidP="00D6169B">
      <w:pPr>
        <w:spacing w:after="0" w:line="240" w:lineRule="auto"/>
        <w:ind w:firstLine="720"/>
        <w:jc w:val="both"/>
        <w:rPr>
          <w:rFonts w:ascii="Times New Roman" w:hAnsi="Times New Roman"/>
          <w:b/>
          <w:i/>
          <w:color w:val="000000"/>
          <w:sz w:val="24"/>
        </w:rPr>
      </w:pPr>
      <w:r w:rsidRPr="00351DF7">
        <w:rPr>
          <w:rFonts w:ascii="Times New Roman" w:hAnsi="Times New Roman"/>
          <w:b/>
          <w:i/>
          <w:color w:val="000000"/>
          <w:sz w:val="24"/>
        </w:rPr>
        <w:t xml:space="preserve">Bilances mērķu noteikšana atbilstoši </w:t>
      </w:r>
      <w:r w:rsidRPr="005A443D">
        <w:rPr>
          <w:rFonts w:ascii="Times New Roman" w:hAnsi="Times New Roman"/>
          <w:b/>
          <w:i/>
          <w:color w:val="000000"/>
          <w:sz w:val="24"/>
        </w:rPr>
        <w:t>izdevumu pieauguma</w:t>
      </w:r>
      <w:r w:rsidRPr="00351DF7">
        <w:rPr>
          <w:rFonts w:ascii="Times New Roman" w:hAnsi="Times New Roman"/>
          <w:b/>
          <w:i/>
          <w:color w:val="000000"/>
          <w:sz w:val="24"/>
        </w:rPr>
        <w:t xml:space="preserve"> nosacījumam un </w:t>
      </w:r>
      <w:r w:rsidRPr="005A443D">
        <w:rPr>
          <w:rFonts w:ascii="Times New Roman" w:hAnsi="Times New Roman"/>
          <w:b/>
          <w:i/>
          <w:color w:val="000000"/>
          <w:sz w:val="24"/>
        </w:rPr>
        <w:t xml:space="preserve">izdevumu </w:t>
      </w:r>
      <w:proofErr w:type="spellStart"/>
      <w:r w:rsidRPr="005A443D">
        <w:rPr>
          <w:rFonts w:ascii="Times New Roman" w:hAnsi="Times New Roman"/>
          <w:b/>
          <w:i/>
          <w:color w:val="000000"/>
          <w:sz w:val="24"/>
        </w:rPr>
        <w:t>pārmantojamības</w:t>
      </w:r>
      <w:proofErr w:type="spellEnd"/>
      <w:r w:rsidRPr="005A443D">
        <w:rPr>
          <w:rFonts w:ascii="Times New Roman" w:hAnsi="Times New Roman"/>
          <w:b/>
          <w:i/>
          <w:color w:val="000000"/>
          <w:sz w:val="24"/>
        </w:rPr>
        <w:t xml:space="preserve"> nosacījumam</w:t>
      </w:r>
      <w:r w:rsidR="00351DF7" w:rsidRPr="005A443D">
        <w:rPr>
          <w:rFonts w:ascii="Times New Roman" w:hAnsi="Times New Roman"/>
          <w:b/>
          <w:i/>
          <w:color w:val="000000"/>
          <w:sz w:val="24"/>
        </w:rPr>
        <w:t>.</w:t>
      </w:r>
    </w:p>
    <w:p w:rsidR="007366FB" w:rsidRDefault="007366FB" w:rsidP="00D6169B">
      <w:pPr>
        <w:spacing w:after="0" w:line="240" w:lineRule="auto"/>
        <w:ind w:firstLine="720"/>
        <w:jc w:val="both"/>
        <w:rPr>
          <w:rFonts w:ascii="Times New Roman" w:eastAsia="Calibri" w:hAnsi="Times New Roman" w:cs="Times New Roman"/>
          <w:color w:val="000000"/>
          <w:sz w:val="24"/>
          <w:szCs w:val="24"/>
        </w:rPr>
      </w:pPr>
      <w:r w:rsidRPr="00FF02A4">
        <w:rPr>
          <w:rFonts w:ascii="Times New Roman" w:eastAsia="Calibri" w:hAnsi="Times New Roman" w:cs="Times New Roman"/>
          <w:color w:val="000000"/>
          <w:sz w:val="24"/>
          <w:szCs w:val="24"/>
        </w:rPr>
        <w:t xml:space="preserve">Tālāk iegūtie rezultāti tiek </w:t>
      </w:r>
      <w:r w:rsidR="00235071">
        <w:rPr>
          <w:rFonts w:ascii="Times New Roman" w:eastAsia="Calibri" w:hAnsi="Times New Roman" w:cs="Times New Roman"/>
          <w:color w:val="000000"/>
          <w:sz w:val="24"/>
          <w:szCs w:val="24"/>
        </w:rPr>
        <w:t>pārbaudīti</w:t>
      </w:r>
      <w:r w:rsidRPr="00FF02A4">
        <w:rPr>
          <w:rFonts w:ascii="Times New Roman" w:eastAsia="Calibri" w:hAnsi="Times New Roman" w:cs="Times New Roman"/>
          <w:color w:val="000000"/>
          <w:sz w:val="24"/>
          <w:szCs w:val="24"/>
        </w:rPr>
        <w:t xml:space="preserve">, lai nodrošinātu arī izdevumu pieauguma nosacījuma un izdevumu </w:t>
      </w:r>
      <w:proofErr w:type="spellStart"/>
      <w:r w:rsidRPr="00FF02A4">
        <w:rPr>
          <w:rFonts w:ascii="Times New Roman" w:eastAsia="Calibri" w:hAnsi="Times New Roman" w:cs="Times New Roman"/>
          <w:color w:val="000000"/>
          <w:sz w:val="24"/>
          <w:szCs w:val="24"/>
        </w:rPr>
        <w:t>pārmantojamības</w:t>
      </w:r>
      <w:proofErr w:type="spellEnd"/>
      <w:r w:rsidRPr="00FF02A4">
        <w:rPr>
          <w:rFonts w:ascii="Times New Roman" w:eastAsia="Calibri" w:hAnsi="Times New Roman" w:cs="Times New Roman"/>
          <w:color w:val="000000"/>
          <w:sz w:val="24"/>
          <w:szCs w:val="24"/>
        </w:rPr>
        <w:t xml:space="preserve"> nosacījumu izpildi.</w:t>
      </w:r>
    </w:p>
    <w:p w:rsidR="00BF38A1" w:rsidRPr="007F1848" w:rsidRDefault="007366FB" w:rsidP="00BF38A1">
      <w:pPr>
        <w:spacing w:after="0" w:line="240" w:lineRule="auto"/>
        <w:ind w:firstLine="720"/>
        <w:jc w:val="both"/>
        <w:rPr>
          <w:rFonts w:ascii="Times New Roman" w:eastAsia="Calibri" w:hAnsi="Times New Roman" w:cs="Times New Roman"/>
          <w:color w:val="000000"/>
          <w:sz w:val="24"/>
          <w:szCs w:val="24"/>
        </w:rPr>
      </w:pPr>
      <w:r w:rsidRPr="007F1848">
        <w:rPr>
          <w:rFonts w:ascii="Times New Roman" w:eastAsia="Calibri" w:hAnsi="Times New Roman" w:cs="Times New Roman"/>
          <w:color w:val="000000"/>
          <w:sz w:val="24"/>
          <w:szCs w:val="24"/>
        </w:rPr>
        <w:t xml:space="preserve">Jāatzīmē, ka veicot vispārējās valdības budžeta strukturālās bilances mērķu pārbaudi atbilstoši </w:t>
      </w:r>
      <w:r w:rsidRPr="007F1848">
        <w:rPr>
          <w:rFonts w:ascii="Times New Roman" w:eastAsia="Calibri" w:hAnsi="Times New Roman" w:cs="Times New Roman"/>
          <w:b/>
          <w:color w:val="000000"/>
          <w:sz w:val="24"/>
          <w:szCs w:val="24"/>
        </w:rPr>
        <w:t>izdevumu</w:t>
      </w:r>
      <w:r w:rsidRPr="007F1848">
        <w:rPr>
          <w:rFonts w:ascii="Times New Roman" w:eastAsia="Calibri" w:hAnsi="Times New Roman" w:cs="Times New Roman"/>
          <w:color w:val="000000"/>
          <w:sz w:val="24"/>
          <w:szCs w:val="24"/>
        </w:rPr>
        <w:t xml:space="preserve"> </w:t>
      </w:r>
      <w:r w:rsidRPr="007F1848">
        <w:rPr>
          <w:rFonts w:ascii="Times New Roman" w:eastAsia="Calibri" w:hAnsi="Times New Roman" w:cs="Times New Roman"/>
          <w:b/>
          <w:color w:val="000000"/>
          <w:sz w:val="24"/>
          <w:szCs w:val="24"/>
        </w:rPr>
        <w:t>pieauguma nosacījumam</w:t>
      </w:r>
      <w:r w:rsidRPr="007F1848">
        <w:rPr>
          <w:rFonts w:ascii="Times New Roman" w:eastAsia="Calibri" w:hAnsi="Times New Roman" w:cs="Times New Roman"/>
          <w:color w:val="000000"/>
          <w:sz w:val="24"/>
          <w:szCs w:val="24"/>
        </w:rPr>
        <w:t xml:space="preserve">, izdevumu korekcijām tiek piemērotas FM veiktās prognozes attiecībā uz valsts parāda apkalpošanas izdevumiem, investīciju izdevumiem, izdevumiem ārvalstu finanšu palīdzības projektiem, kas atbilst saņemtajiem ārvalstu finanšu palīdzības ieņēmumiem, </w:t>
      </w:r>
      <w:proofErr w:type="spellStart"/>
      <w:r w:rsidRPr="007F1848">
        <w:rPr>
          <w:rFonts w:ascii="Times New Roman" w:eastAsia="Calibri" w:hAnsi="Times New Roman" w:cs="Times New Roman"/>
          <w:color w:val="000000"/>
          <w:sz w:val="24"/>
          <w:szCs w:val="24"/>
        </w:rPr>
        <w:t>diskrecionārajiem</w:t>
      </w:r>
      <w:proofErr w:type="spellEnd"/>
      <w:r w:rsidRPr="007F1848">
        <w:rPr>
          <w:rFonts w:ascii="Times New Roman" w:eastAsia="Calibri" w:hAnsi="Times New Roman" w:cs="Times New Roman"/>
          <w:color w:val="000000"/>
          <w:sz w:val="24"/>
          <w:szCs w:val="24"/>
        </w:rPr>
        <w:t xml:space="preserve"> ieņēmumiem</w:t>
      </w:r>
      <w:r>
        <w:rPr>
          <w:rFonts w:ascii="Times New Roman" w:eastAsia="Calibri" w:hAnsi="Times New Roman" w:cs="Times New Roman"/>
          <w:color w:val="000000"/>
          <w:sz w:val="24"/>
          <w:szCs w:val="24"/>
        </w:rPr>
        <w:t xml:space="preserve"> un vienreizējiem pasākumiem, kā arī </w:t>
      </w:r>
      <w:r>
        <w:rPr>
          <w:rFonts w:ascii="Times New Roman" w:eastAsia="Calibri" w:hAnsi="Times New Roman" w:cs="Times New Roman"/>
          <w:color w:val="000000"/>
          <w:sz w:val="24"/>
          <w:szCs w:val="24"/>
        </w:rPr>
        <w:lastRenderedPageBreak/>
        <w:t xml:space="preserve">IKP </w:t>
      </w:r>
      <w:proofErr w:type="spellStart"/>
      <w:r>
        <w:rPr>
          <w:rFonts w:ascii="Times New Roman" w:eastAsia="Calibri" w:hAnsi="Times New Roman" w:cs="Times New Roman"/>
          <w:color w:val="000000"/>
          <w:sz w:val="24"/>
          <w:szCs w:val="24"/>
        </w:rPr>
        <w:t>deflatoru</w:t>
      </w:r>
      <w:proofErr w:type="spellEnd"/>
      <w:r>
        <w:rPr>
          <w:rFonts w:ascii="Times New Roman" w:eastAsia="Calibri" w:hAnsi="Times New Roman" w:cs="Times New Roman"/>
          <w:color w:val="000000"/>
          <w:sz w:val="24"/>
          <w:szCs w:val="24"/>
        </w:rPr>
        <w:t xml:space="preserve"> un</w:t>
      </w:r>
      <w:r w:rsidRPr="00D95C5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potenciālā IKP pieaugumu. </w:t>
      </w:r>
      <w:r w:rsidR="00BF38A1">
        <w:rPr>
          <w:rFonts w:ascii="Times New Roman" w:eastAsia="Calibri" w:hAnsi="Times New Roman" w:cs="Times New Roman"/>
          <w:color w:val="000000"/>
          <w:sz w:val="24"/>
          <w:szCs w:val="24"/>
        </w:rPr>
        <w:t xml:space="preserve">Izdevumu pieaugumu tempu nosaka tā, lai tas atbilstu </w:t>
      </w:r>
      <w:r w:rsidR="00BF38A1" w:rsidRPr="007F1848">
        <w:rPr>
          <w:rFonts w:ascii="Times New Roman" w:eastAsia="Calibri" w:hAnsi="Times New Roman" w:cs="Times New Roman"/>
          <w:color w:val="000000"/>
          <w:sz w:val="24"/>
          <w:szCs w:val="24"/>
        </w:rPr>
        <w:t xml:space="preserve">10 gadu vidējā potenciālā IKP pieaugumam, </w:t>
      </w:r>
      <w:r w:rsidR="00BF38A1">
        <w:rPr>
          <w:rFonts w:ascii="Times New Roman" w:eastAsia="Calibri" w:hAnsi="Times New Roman" w:cs="Times New Roman"/>
          <w:color w:val="000000"/>
          <w:sz w:val="24"/>
          <w:szCs w:val="24"/>
        </w:rPr>
        <w:t xml:space="preserve">to </w:t>
      </w:r>
      <w:r w:rsidR="00BF38A1" w:rsidRPr="003947A0">
        <w:rPr>
          <w:rFonts w:ascii="Times New Roman" w:eastAsia="Calibri" w:hAnsi="Times New Roman" w:cs="Times New Roman"/>
          <w:color w:val="000000"/>
          <w:sz w:val="24"/>
          <w:szCs w:val="24"/>
        </w:rPr>
        <w:t>papildus koriģē</w:t>
      </w:r>
      <w:r w:rsidR="00BF38A1">
        <w:rPr>
          <w:rFonts w:ascii="Times New Roman" w:eastAsia="Calibri" w:hAnsi="Times New Roman" w:cs="Times New Roman"/>
          <w:color w:val="000000"/>
          <w:sz w:val="24"/>
          <w:szCs w:val="24"/>
        </w:rPr>
        <w:t>jot</w:t>
      </w:r>
      <w:r w:rsidR="00BF38A1" w:rsidRPr="003947A0">
        <w:rPr>
          <w:rFonts w:ascii="Times New Roman" w:eastAsia="Calibri" w:hAnsi="Times New Roman" w:cs="Times New Roman"/>
          <w:color w:val="000000"/>
          <w:sz w:val="24"/>
          <w:szCs w:val="24"/>
        </w:rPr>
        <w:t xml:space="preserve"> ar</w:t>
      </w:r>
      <w:r w:rsidR="00BF38A1">
        <w:rPr>
          <w:rFonts w:ascii="Times New Roman" w:eastAsia="Calibri" w:hAnsi="Times New Roman" w:cs="Times New Roman"/>
          <w:color w:val="000000"/>
          <w:sz w:val="24"/>
          <w:szCs w:val="24"/>
        </w:rPr>
        <w:t xml:space="preserve"> koeficientu, kas ņem vērā iepriekšējo gadu faktiskās strukturālās bilances novirzes no strukturālās bilances mērķa. </w:t>
      </w:r>
    </w:p>
    <w:p w:rsidR="007366FB" w:rsidRDefault="007366FB" w:rsidP="00D6169B">
      <w:pPr>
        <w:spacing w:after="0" w:line="240" w:lineRule="auto"/>
        <w:ind w:firstLine="720"/>
        <w:jc w:val="both"/>
        <w:rPr>
          <w:rFonts w:ascii="Times New Roman" w:eastAsia="Calibri" w:hAnsi="Times New Roman" w:cs="Times New Roman"/>
          <w:color w:val="000000"/>
          <w:sz w:val="24"/>
          <w:szCs w:val="24"/>
        </w:rPr>
      </w:pPr>
      <w:r w:rsidRPr="00635A70">
        <w:rPr>
          <w:rFonts w:ascii="Times New Roman" w:eastAsia="Calibri" w:hAnsi="Times New Roman" w:cs="Times New Roman"/>
          <w:color w:val="000000"/>
          <w:sz w:val="24"/>
          <w:szCs w:val="24"/>
        </w:rPr>
        <w:t>Veicot iegūto vispārējās valdības budžeta strukturālās bilances mērķu pārbaudi atbilstoši izdevumu pieaugum</w:t>
      </w:r>
      <w:r>
        <w:rPr>
          <w:rFonts w:ascii="Times New Roman" w:eastAsia="Calibri" w:hAnsi="Times New Roman" w:cs="Times New Roman"/>
          <w:color w:val="000000"/>
          <w:sz w:val="24"/>
          <w:szCs w:val="24"/>
        </w:rPr>
        <w:t>a nosacījumam,</w:t>
      </w:r>
      <w:r w:rsidR="00235071" w:rsidRPr="00235071">
        <w:rPr>
          <w:rFonts w:ascii="Times New Roman" w:eastAsia="Calibri" w:hAnsi="Times New Roman" w:cs="Times New Roman"/>
          <w:color w:val="000000"/>
          <w:sz w:val="24"/>
          <w:szCs w:val="24"/>
        </w:rPr>
        <w:t xml:space="preserve"> </w:t>
      </w:r>
      <w:r w:rsidR="00235071">
        <w:rPr>
          <w:rFonts w:ascii="Times New Roman" w:eastAsia="Calibri" w:hAnsi="Times New Roman" w:cs="Times New Roman"/>
          <w:color w:val="000000"/>
          <w:sz w:val="24"/>
          <w:szCs w:val="24"/>
        </w:rPr>
        <w:t>tiek iegūts</w:t>
      </w:r>
      <w:r>
        <w:rPr>
          <w:rFonts w:ascii="Times New Roman" w:eastAsia="Calibri" w:hAnsi="Times New Roman" w:cs="Times New Roman"/>
          <w:color w:val="000000"/>
          <w:sz w:val="24"/>
          <w:szCs w:val="24"/>
        </w:rPr>
        <w:t>, ka 2020</w:t>
      </w:r>
      <w:r w:rsidRPr="00635A70">
        <w:rPr>
          <w:rFonts w:ascii="Times New Roman" w:eastAsia="Calibri" w:hAnsi="Times New Roman" w:cs="Times New Roman"/>
          <w:color w:val="000000"/>
          <w:sz w:val="24"/>
          <w:szCs w:val="24"/>
        </w:rPr>
        <w:t>.gadā izdevumu pieaugums, ko pieļauj izdevumu pieauguma nosacījums ir 2,</w:t>
      </w:r>
      <w:r>
        <w:rPr>
          <w:rFonts w:ascii="Times New Roman" w:eastAsia="Calibri" w:hAnsi="Times New Roman" w:cs="Times New Roman"/>
          <w:color w:val="000000"/>
          <w:sz w:val="24"/>
          <w:szCs w:val="24"/>
        </w:rPr>
        <w:t>8</w:t>
      </w:r>
      <w:r w:rsidRPr="00635A70">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2021.gadā 3,17% un 2022.gadā 3,17%. S</w:t>
      </w:r>
      <w:r w:rsidRPr="00635A70">
        <w:rPr>
          <w:rFonts w:ascii="Times New Roman" w:eastAsia="Calibri" w:hAnsi="Times New Roman" w:cs="Times New Roman"/>
          <w:color w:val="000000"/>
          <w:sz w:val="24"/>
          <w:szCs w:val="24"/>
        </w:rPr>
        <w:t xml:space="preserve">avukārt </w:t>
      </w:r>
      <w:r w:rsidR="00235071" w:rsidRPr="00235071">
        <w:rPr>
          <w:rFonts w:ascii="Times New Roman" w:eastAsia="Calibri" w:hAnsi="Times New Roman" w:cs="Times New Roman"/>
          <w:color w:val="000000"/>
          <w:sz w:val="24"/>
          <w:szCs w:val="24"/>
        </w:rPr>
        <w:t>iepriekš</w:t>
      </w:r>
      <w:r w:rsidRPr="00635A70">
        <w:rPr>
          <w:rFonts w:ascii="Times New Roman" w:eastAsia="Calibri" w:hAnsi="Times New Roman" w:cs="Times New Roman"/>
          <w:color w:val="000000"/>
          <w:sz w:val="24"/>
          <w:szCs w:val="24"/>
        </w:rPr>
        <w:t xml:space="preserve"> noteiktais vispārējās valdības budžeta strukturālās bilances mērķis nosaka, ka reālie koriģētie izdev</w:t>
      </w:r>
      <w:r w:rsidR="00235071">
        <w:rPr>
          <w:rFonts w:ascii="Times New Roman" w:eastAsia="Calibri" w:hAnsi="Times New Roman" w:cs="Times New Roman"/>
          <w:color w:val="000000"/>
          <w:sz w:val="24"/>
          <w:szCs w:val="24"/>
        </w:rPr>
        <w:t>umi var</w:t>
      </w:r>
      <w:r>
        <w:rPr>
          <w:rFonts w:ascii="Times New Roman" w:eastAsia="Calibri" w:hAnsi="Times New Roman" w:cs="Times New Roman"/>
          <w:color w:val="000000"/>
          <w:sz w:val="24"/>
          <w:szCs w:val="24"/>
        </w:rPr>
        <w:t xml:space="preserve"> palielināties par 2,74</w:t>
      </w:r>
      <w:r w:rsidRPr="00635A7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2020.gadā, 0,46% 2021.gadā un 1,81% 2022.gadā</w:t>
      </w:r>
      <w:r w:rsidRPr="00635A7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Veicot izdevumu </w:t>
      </w:r>
      <w:proofErr w:type="spellStart"/>
      <w:r>
        <w:rPr>
          <w:rFonts w:ascii="Times New Roman" w:eastAsia="Calibri" w:hAnsi="Times New Roman" w:cs="Times New Roman"/>
          <w:color w:val="000000"/>
          <w:sz w:val="24"/>
          <w:szCs w:val="24"/>
        </w:rPr>
        <w:t>pārmantojamības</w:t>
      </w:r>
      <w:proofErr w:type="spellEnd"/>
      <w:r>
        <w:rPr>
          <w:rFonts w:ascii="Times New Roman" w:eastAsia="Calibri" w:hAnsi="Times New Roman" w:cs="Times New Roman"/>
          <w:color w:val="000000"/>
          <w:sz w:val="24"/>
          <w:szCs w:val="24"/>
        </w:rPr>
        <w:t xml:space="preserve"> nosacījuma pārbaudi tika konstatēts, ka papildu korekcijas nav jāveic.</w:t>
      </w:r>
    </w:p>
    <w:p w:rsidR="007366FB" w:rsidRDefault="007366FB" w:rsidP="00D6169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Līdz ar to 2020.</w:t>
      </w:r>
      <w:r w:rsidR="008946E4" w:rsidRPr="009B0F5F">
        <w:rPr>
          <w:rFonts w:ascii="Times New Roman" w:eastAsia="Times New Roman" w:hAnsi="Times New Roman" w:cs="Times New Roman"/>
          <w:noProof/>
          <w:color w:val="000000"/>
          <w:sz w:val="24"/>
          <w:szCs w:val="24"/>
        </w:rPr>
        <w:t xml:space="preserve"> – </w:t>
      </w:r>
      <w:r>
        <w:rPr>
          <w:rFonts w:ascii="Times New Roman" w:eastAsia="Calibri" w:hAnsi="Times New Roman" w:cs="Times New Roman"/>
          <w:color w:val="000000"/>
          <w:sz w:val="24"/>
          <w:szCs w:val="24"/>
        </w:rPr>
        <w:t>2022. gadam tiek saglabāti strukturālās bilances mērķi atbilstoši bilances nosacījumam.</w:t>
      </w:r>
    </w:p>
    <w:p w:rsidR="001C6CF4" w:rsidRDefault="001C6CF4" w:rsidP="00D6169B">
      <w:pPr>
        <w:spacing w:after="0" w:line="240" w:lineRule="auto"/>
        <w:ind w:firstLine="720"/>
        <w:jc w:val="both"/>
        <w:rPr>
          <w:rFonts w:ascii="Times New Roman" w:eastAsia="Calibri" w:hAnsi="Times New Roman" w:cs="Times New Roman"/>
          <w:color w:val="000000"/>
          <w:sz w:val="24"/>
          <w:szCs w:val="24"/>
        </w:rPr>
      </w:pPr>
    </w:p>
    <w:p w:rsidR="007366FB" w:rsidRPr="00351DF7" w:rsidRDefault="007366FB" w:rsidP="00D6169B">
      <w:pPr>
        <w:spacing w:after="0" w:line="240" w:lineRule="auto"/>
        <w:ind w:firstLine="720"/>
        <w:jc w:val="both"/>
        <w:rPr>
          <w:rFonts w:ascii="Times New Roman" w:hAnsi="Times New Roman"/>
          <w:b/>
          <w:i/>
          <w:color w:val="000000"/>
          <w:sz w:val="24"/>
        </w:rPr>
      </w:pPr>
      <w:r w:rsidRPr="00351DF7">
        <w:rPr>
          <w:rFonts w:ascii="Times New Roman" w:hAnsi="Times New Roman"/>
          <w:b/>
          <w:i/>
          <w:color w:val="000000"/>
          <w:sz w:val="24"/>
        </w:rPr>
        <w:t>Vispārējās valdības budžeta mērķi 2020., 2021. un 2022.gadam</w:t>
      </w:r>
    </w:p>
    <w:p w:rsidR="007366FB" w:rsidRDefault="007366FB" w:rsidP="00D6169B">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Ņemot vērā augstāk veikto fiskālo nosacījumu pārbaudi, tiek noteikti</w:t>
      </w:r>
      <w:r w:rsidRPr="005958E5">
        <w:rPr>
          <w:rFonts w:ascii="Times New Roman" w:hAnsi="Times New Roman" w:cs="Times New Roman"/>
          <w:sz w:val="24"/>
          <w:szCs w:val="24"/>
        </w:rPr>
        <w:t xml:space="preserve"> kvantitatīvie fiskālie mērķi turpmākajiem trīs gadiem</w:t>
      </w:r>
      <w:r>
        <w:rPr>
          <w:rFonts w:ascii="Times New Roman" w:hAnsi="Times New Roman" w:cs="Times New Roman"/>
          <w:sz w:val="24"/>
          <w:szCs w:val="24"/>
        </w:rPr>
        <w:t xml:space="preserve"> atbilstoši bilances nosacījuma rezultātiem</w:t>
      </w:r>
      <w:r w:rsidRPr="005958E5">
        <w:rPr>
          <w:rFonts w:ascii="Times New Roman" w:hAnsi="Times New Roman" w:cs="Times New Roman"/>
          <w:sz w:val="24"/>
          <w:szCs w:val="24"/>
        </w:rPr>
        <w:t>, t.i.,</w:t>
      </w:r>
      <w:r w:rsidRPr="005958E5">
        <w:rPr>
          <w:rFonts w:ascii="Times New Roman" w:hAnsi="Times New Roman" w:cs="Times New Roman"/>
          <w:b/>
          <w:sz w:val="24"/>
          <w:szCs w:val="24"/>
        </w:rPr>
        <w:t xml:space="preserve"> nodrošināt vispārējās valdības </w:t>
      </w:r>
      <w:r>
        <w:rPr>
          <w:rFonts w:ascii="Times New Roman" w:hAnsi="Times New Roman" w:cs="Times New Roman"/>
          <w:b/>
          <w:sz w:val="24"/>
          <w:szCs w:val="24"/>
        </w:rPr>
        <w:t>bu</w:t>
      </w:r>
      <w:r w:rsidR="008946E4">
        <w:rPr>
          <w:rFonts w:ascii="Times New Roman" w:hAnsi="Times New Roman" w:cs="Times New Roman"/>
          <w:b/>
          <w:sz w:val="24"/>
          <w:szCs w:val="24"/>
        </w:rPr>
        <w:t>džeta strukturālo bilanci 2020.</w:t>
      </w:r>
      <w:r>
        <w:rPr>
          <w:rFonts w:ascii="Times New Roman" w:hAnsi="Times New Roman" w:cs="Times New Roman"/>
          <w:b/>
          <w:sz w:val="24"/>
          <w:szCs w:val="24"/>
        </w:rPr>
        <w:t>gadā -0,5</w:t>
      </w:r>
      <w:r w:rsidRPr="005958E5">
        <w:rPr>
          <w:rFonts w:ascii="Times New Roman" w:hAnsi="Times New Roman" w:cs="Times New Roman"/>
          <w:b/>
          <w:sz w:val="24"/>
          <w:szCs w:val="24"/>
        </w:rPr>
        <w:t>% no IKP, 202</w:t>
      </w:r>
      <w:r w:rsidR="008946E4">
        <w:rPr>
          <w:rFonts w:ascii="Times New Roman" w:hAnsi="Times New Roman" w:cs="Times New Roman"/>
          <w:b/>
          <w:sz w:val="24"/>
          <w:szCs w:val="24"/>
        </w:rPr>
        <w:t>1.</w:t>
      </w:r>
      <w:r>
        <w:rPr>
          <w:rFonts w:ascii="Times New Roman" w:hAnsi="Times New Roman" w:cs="Times New Roman"/>
          <w:b/>
          <w:sz w:val="24"/>
          <w:szCs w:val="24"/>
        </w:rPr>
        <w:t>gadā -0,5</w:t>
      </w:r>
      <w:r w:rsidRPr="005958E5">
        <w:rPr>
          <w:rFonts w:ascii="Times New Roman" w:hAnsi="Times New Roman" w:cs="Times New Roman"/>
          <w:b/>
          <w:sz w:val="24"/>
          <w:szCs w:val="24"/>
        </w:rPr>
        <w:t>% no IKP un 202</w:t>
      </w:r>
      <w:r w:rsidR="00C63F8C">
        <w:rPr>
          <w:rFonts w:ascii="Times New Roman" w:hAnsi="Times New Roman" w:cs="Times New Roman"/>
          <w:b/>
          <w:sz w:val="24"/>
          <w:szCs w:val="24"/>
        </w:rPr>
        <w:t>2.</w:t>
      </w:r>
      <w:r>
        <w:rPr>
          <w:rFonts w:ascii="Times New Roman" w:hAnsi="Times New Roman" w:cs="Times New Roman"/>
          <w:b/>
          <w:sz w:val="24"/>
          <w:szCs w:val="24"/>
        </w:rPr>
        <w:t>gadā -0,5</w:t>
      </w:r>
      <w:r w:rsidRPr="005958E5">
        <w:rPr>
          <w:rFonts w:ascii="Times New Roman" w:hAnsi="Times New Roman" w:cs="Times New Roman"/>
          <w:b/>
          <w:sz w:val="24"/>
          <w:szCs w:val="24"/>
        </w:rPr>
        <w:t>% no IKP.</w:t>
      </w:r>
      <w:r>
        <w:rPr>
          <w:rFonts w:ascii="Times New Roman" w:hAnsi="Times New Roman" w:cs="Times New Roman"/>
          <w:b/>
          <w:sz w:val="24"/>
          <w:szCs w:val="24"/>
        </w:rPr>
        <w:t xml:space="preserve"> </w:t>
      </w:r>
      <w:r w:rsidR="00BF38A1">
        <w:rPr>
          <w:rFonts w:ascii="Times New Roman" w:hAnsi="Times New Roman" w:cs="Times New Roman"/>
          <w:b/>
          <w:sz w:val="24"/>
          <w:szCs w:val="24"/>
        </w:rPr>
        <w:t>V</w:t>
      </w:r>
      <w:r>
        <w:rPr>
          <w:rFonts w:ascii="Times New Roman" w:hAnsi="Times New Roman" w:cs="Times New Roman"/>
          <w:b/>
          <w:sz w:val="24"/>
          <w:szCs w:val="24"/>
        </w:rPr>
        <w:t>ispārējās valdības nominālā bilance</w:t>
      </w:r>
      <w:r w:rsidR="00BF38A1">
        <w:rPr>
          <w:rFonts w:ascii="Times New Roman" w:hAnsi="Times New Roman" w:cs="Times New Roman"/>
          <w:b/>
          <w:sz w:val="24"/>
          <w:szCs w:val="24"/>
        </w:rPr>
        <w:t>, kas izriet no strukturālās bilances mērķa,</w:t>
      </w:r>
      <w:r>
        <w:rPr>
          <w:rFonts w:ascii="Times New Roman" w:hAnsi="Times New Roman" w:cs="Times New Roman"/>
          <w:b/>
          <w:sz w:val="24"/>
          <w:szCs w:val="24"/>
        </w:rPr>
        <w:t xml:space="preserve"> tiek noteikta: -0,4% no IKP 2020.gadam, -0,2% no IKP 2021.gadam un -0,3% no IKP 2022.gadam.</w:t>
      </w:r>
    </w:p>
    <w:p w:rsidR="00382FDF" w:rsidRPr="00946603" w:rsidRDefault="00382FDF" w:rsidP="00382FDF">
      <w:pPr>
        <w:spacing w:after="0" w:line="240" w:lineRule="auto"/>
        <w:jc w:val="both"/>
        <w:rPr>
          <w:rFonts w:ascii="Times New Roman" w:hAnsi="Times New Roman"/>
          <w:b/>
          <w:color w:val="000000"/>
          <w:sz w:val="24"/>
        </w:rPr>
      </w:pPr>
    </w:p>
    <w:p w:rsidR="00382FDF" w:rsidRPr="00C347BC" w:rsidRDefault="00C347BC" w:rsidP="00DC41EC">
      <w:pPr>
        <w:pStyle w:val="Heading3"/>
        <w:numPr>
          <w:ilvl w:val="2"/>
          <w:numId w:val="1"/>
        </w:numPr>
        <w:spacing w:before="120" w:after="120" w:line="240" w:lineRule="auto"/>
        <w:ind w:left="1418"/>
        <w:rPr>
          <w:rFonts w:ascii="Times New Roman" w:hAnsi="Times New Roman" w:cs="Times New Roman"/>
          <w:sz w:val="24"/>
          <w:szCs w:val="24"/>
        </w:rPr>
      </w:pPr>
      <w:bookmarkStart w:id="29" w:name="_Toc5627368"/>
      <w:bookmarkStart w:id="30" w:name="_Toc5798623"/>
      <w:proofErr w:type="spellStart"/>
      <w:r>
        <w:rPr>
          <w:rFonts w:ascii="Times New Roman" w:hAnsi="Times New Roman" w:cs="Times New Roman"/>
          <w:sz w:val="24"/>
          <w:szCs w:val="24"/>
        </w:rPr>
        <w:t>D</w:t>
      </w:r>
      <w:r w:rsidR="00382FDF" w:rsidRPr="00C347BC">
        <w:rPr>
          <w:rFonts w:ascii="Times New Roman" w:hAnsi="Times New Roman" w:cs="Times New Roman"/>
          <w:sz w:val="24"/>
          <w:szCs w:val="24"/>
        </w:rPr>
        <w:t>iskrecionārie</w:t>
      </w:r>
      <w:proofErr w:type="spellEnd"/>
      <w:r w:rsidR="00382FDF" w:rsidRPr="00C347BC">
        <w:rPr>
          <w:rFonts w:ascii="Times New Roman" w:hAnsi="Times New Roman" w:cs="Times New Roman"/>
          <w:sz w:val="24"/>
          <w:szCs w:val="24"/>
        </w:rPr>
        <w:t xml:space="preserve"> pasākumi</w:t>
      </w:r>
      <w:bookmarkEnd w:id="29"/>
      <w:bookmarkEnd w:id="30"/>
    </w:p>
    <w:p w:rsidR="007366FB" w:rsidRPr="00C7432A" w:rsidRDefault="007366FB" w:rsidP="007366FB">
      <w:pPr>
        <w:spacing w:after="0"/>
        <w:ind w:firstLine="720"/>
        <w:jc w:val="both"/>
        <w:rPr>
          <w:rFonts w:ascii="Times New Roman" w:hAnsi="Times New Roman" w:cs="Times New Roman"/>
          <w:sz w:val="24"/>
          <w:szCs w:val="24"/>
        </w:rPr>
      </w:pPr>
      <w:bookmarkStart w:id="31" w:name="_Toc510790661"/>
      <w:bookmarkStart w:id="32" w:name="_Toc511027821"/>
      <w:r w:rsidRPr="00C7432A">
        <w:rPr>
          <w:rFonts w:ascii="Times New Roman" w:hAnsi="Times New Roman" w:cs="Times New Roman"/>
          <w:sz w:val="24"/>
          <w:szCs w:val="24"/>
        </w:rPr>
        <w:t xml:space="preserve">Tabulā </w:t>
      </w:r>
      <w:r w:rsidR="00D6169B" w:rsidRPr="00D6169B">
        <w:rPr>
          <w:rFonts w:ascii="Times New Roman" w:hAnsi="Times New Roman" w:cs="Times New Roman"/>
          <w:sz w:val="24"/>
          <w:szCs w:val="24"/>
        </w:rPr>
        <w:t>3.4</w:t>
      </w:r>
      <w:r w:rsidRPr="00D6169B">
        <w:rPr>
          <w:rFonts w:ascii="Times New Roman" w:hAnsi="Times New Roman" w:cs="Times New Roman"/>
          <w:sz w:val="24"/>
          <w:szCs w:val="24"/>
        </w:rPr>
        <w:t>.</w:t>
      </w:r>
      <w:r w:rsidRPr="00C7432A">
        <w:rPr>
          <w:rFonts w:ascii="Times New Roman" w:hAnsi="Times New Roman" w:cs="Times New Roman"/>
          <w:sz w:val="24"/>
          <w:szCs w:val="24"/>
        </w:rPr>
        <w:t xml:space="preserve"> un </w:t>
      </w:r>
      <w:r w:rsidR="00D6169B" w:rsidRPr="00D6169B">
        <w:rPr>
          <w:rFonts w:ascii="Times New Roman" w:hAnsi="Times New Roman" w:cs="Times New Roman"/>
          <w:sz w:val="24"/>
          <w:szCs w:val="24"/>
        </w:rPr>
        <w:t>3.5</w:t>
      </w:r>
      <w:r w:rsidRPr="00D6169B">
        <w:rPr>
          <w:rFonts w:ascii="Times New Roman" w:hAnsi="Times New Roman" w:cs="Times New Roman"/>
          <w:sz w:val="24"/>
          <w:szCs w:val="24"/>
        </w:rPr>
        <w:t>.</w:t>
      </w:r>
      <w:r w:rsidRPr="00C7432A">
        <w:rPr>
          <w:rFonts w:ascii="Times New Roman" w:hAnsi="Times New Roman" w:cs="Times New Roman"/>
          <w:sz w:val="24"/>
          <w:szCs w:val="24"/>
        </w:rPr>
        <w:t xml:space="preserve"> ir atspoguļoti valdības pieņemtie lēmumi gatavojot valsts budžetu 2019.gadam. Detalizēta informācija ir sniegta par pasākumiem, kuru </w:t>
      </w:r>
      <w:r w:rsidR="00531797">
        <w:rPr>
          <w:rFonts w:ascii="Times New Roman" w:hAnsi="Times New Roman" w:cs="Times New Roman"/>
          <w:sz w:val="24"/>
          <w:szCs w:val="24"/>
        </w:rPr>
        <w:t>ietekme uz budžetu</w:t>
      </w:r>
      <w:r w:rsidRPr="00C7432A">
        <w:rPr>
          <w:rFonts w:ascii="Times New Roman" w:hAnsi="Times New Roman" w:cs="Times New Roman"/>
          <w:sz w:val="24"/>
          <w:szCs w:val="24"/>
        </w:rPr>
        <w:t xml:space="preserve"> ir virs 0,01% no IKP jeb 3,1 milj. </w:t>
      </w:r>
      <w:proofErr w:type="spellStart"/>
      <w:r w:rsidRPr="00C7432A">
        <w:rPr>
          <w:rFonts w:ascii="Times New Roman" w:hAnsi="Times New Roman" w:cs="Times New Roman"/>
          <w:i/>
          <w:sz w:val="24"/>
          <w:szCs w:val="24"/>
        </w:rPr>
        <w:t>euro</w:t>
      </w:r>
      <w:proofErr w:type="spellEnd"/>
      <w:r w:rsidRPr="00C7432A">
        <w:rPr>
          <w:rFonts w:ascii="Times New Roman" w:hAnsi="Times New Roman" w:cs="Times New Roman"/>
          <w:sz w:val="24"/>
          <w:szCs w:val="24"/>
        </w:rPr>
        <w:t>.</w:t>
      </w:r>
    </w:p>
    <w:p w:rsidR="007366FB" w:rsidRPr="003410DF" w:rsidRDefault="00D6169B" w:rsidP="007366FB">
      <w:pPr>
        <w:spacing w:before="120" w:after="60" w:line="240" w:lineRule="auto"/>
        <w:ind w:left="1072"/>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3.4</w:t>
      </w:r>
      <w:r w:rsidR="007366FB" w:rsidRPr="003410DF">
        <w:rPr>
          <w:rFonts w:ascii="Times New Roman" w:eastAsia="Calibri" w:hAnsi="Times New Roman" w:cs="Times New Roman"/>
          <w:b/>
          <w:color w:val="000000"/>
          <w:sz w:val="24"/>
          <w:szCs w:val="24"/>
        </w:rPr>
        <w:t>.tabula. Ieņēmu</w:t>
      </w:r>
      <w:r w:rsidR="007366FB">
        <w:rPr>
          <w:rFonts w:ascii="Times New Roman" w:eastAsia="Calibri" w:hAnsi="Times New Roman" w:cs="Times New Roman"/>
          <w:b/>
          <w:color w:val="000000"/>
          <w:sz w:val="24"/>
          <w:szCs w:val="24"/>
        </w:rPr>
        <w:t xml:space="preserve">mus palielinoši </w:t>
      </w:r>
      <w:proofErr w:type="spellStart"/>
      <w:r w:rsidR="007366FB">
        <w:rPr>
          <w:rFonts w:ascii="Times New Roman" w:eastAsia="Calibri" w:hAnsi="Times New Roman" w:cs="Times New Roman"/>
          <w:b/>
          <w:color w:val="000000"/>
          <w:sz w:val="24"/>
          <w:szCs w:val="24"/>
        </w:rPr>
        <w:t>diskrecionārie</w:t>
      </w:r>
      <w:proofErr w:type="spellEnd"/>
      <w:r w:rsidR="007366FB">
        <w:rPr>
          <w:rFonts w:ascii="Times New Roman" w:eastAsia="Calibri" w:hAnsi="Times New Roman" w:cs="Times New Roman"/>
          <w:b/>
          <w:color w:val="000000"/>
          <w:sz w:val="24"/>
          <w:szCs w:val="24"/>
        </w:rPr>
        <w:t xml:space="preserve"> pasākumi (virs 0,01% no IKP jeb 3,1</w:t>
      </w:r>
      <w:r w:rsidR="007366FB" w:rsidRPr="003410DF">
        <w:rPr>
          <w:rFonts w:ascii="Times New Roman" w:eastAsia="Calibri" w:hAnsi="Times New Roman" w:cs="Times New Roman"/>
          <w:b/>
          <w:color w:val="000000"/>
          <w:sz w:val="24"/>
          <w:szCs w:val="24"/>
        </w:rPr>
        <w:t xml:space="preserve"> milj. </w:t>
      </w:r>
      <w:proofErr w:type="spellStart"/>
      <w:r w:rsidR="007366FB" w:rsidRPr="003410DF">
        <w:rPr>
          <w:rFonts w:ascii="Times New Roman" w:eastAsia="Calibri" w:hAnsi="Times New Roman" w:cs="Times New Roman"/>
          <w:b/>
          <w:i/>
          <w:color w:val="000000"/>
          <w:sz w:val="24"/>
          <w:szCs w:val="24"/>
        </w:rPr>
        <w:t>euro</w:t>
      </w:r>
      <w:proofErr w:type="spellEnd"/>
      <w:r w:rsidR="007366FB" w:rsidRPr="003410DF">
        <w:rPr>
          <w:rFonts w:ascii="Times New Roman" w:eastAsia="Calibri" w:hAnsi="Times New Roman" w:cs="Times New Roman"/>
          <w:b/>
          <w:color w:val="000000"/>
          <w:sz w:val="24"/>
          <w:szCs w:val="24"/>
        </w:rPr>
        <w:t>)</w:t>
      </w:r>
    </w:p>
    <w:tbl>
      <w:tblPr>
        <w:tblStyle w:val="TableGrid"/>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30"/>
        <w:gridCol w:w="1362"/>
        <w:gridCol w:w="1056"/>
        <w:gridCol w:w="1057"/>
        <w:gridCol w:w="1056"/>
      </w:tblGrid>
      <w:tr w:rsidR="007366FB" w:rsidRPr="00395314" w:rsidTr="00531797">
        <w:trPr>
          <w:trHeight w:val="283"/>
        </w:trPr>
        <w:tc>
          <w:tcPr>
            <w:tcW w:w="2500" w:type="pct"/>
            <w:vMerge w:val="restart"/>
            <w:shd w:val="clear" w:color="auto" w:fill="DEEAF6"/>
            <w:vAlign w:val="center"/>
            <w:hideMark/>
          </w:tcPr>
          <w:p w:rsidR="007366FB" w:rsidRPr="00395314" w:rsidRDefault="007366FB" w:rsidP="003D448B">
            <w:pPr>
              <w:rPr>
                <w:rFonts w:eastAsia="Times New Roman"/>
                <w:b/>
                <w:bCs/>
                <w:color w:val="000000"/>
              </w:rPr>
            </w:pPr>
            <w:r w:rsidRPr="00395314">
              <w:rPr>
                <w:rFonts w:eastAsia="Times New Roman"/>
                <w:b/>
                <w:bCs/>
                <w:color w:val="000000"/>
              </w:rPr>
              <w:t>Pasākumu saraksts</w:t>
            </w:r>
          </w:p>
        </w:tc>
        <w:tc>
          <w:tcPr>
            <w:tcW w:w="752" w:type="pct"/>
            <w:vMerge w:val="restart"/>
            <w:shd w:val="clear" w:color="auto" w:fill="DEEAF6"/>
            <w:vAlign w:val="center"/>
            <w:hideMark/>
          </w:tcPr>
          <w:p w:rsidR="007366FB" w:rsidRPr="00395314" w:rsidRDefault="007366FB" w:rsidP="007366FB">
            <w:pPr>
              <w:jc w:val="center"/>
              <w:rPr>
                <w:rFonts w:eastAsia="Times New Roman"/>
                <w:b/>
                <w:bCs/>
                <w:color w:val="000000"/>
              </w:rPr>
            </w:pPr>
            <w:r w:rsidRPr="00395314">
              <w:rPr>
                <w:rFonts w:eastAsia="Times New Roman"/>
                <w:b/>
                <w:bCs/>
                <w:color w:val="000000"/>
              </w:rPr>
              <w:t>Nodokļu veids</w:t>
            </w:r>
          </w:p>
        </w:tc>
        <w:tc>
          <w:tcPr>
            <w:tcW w:w="583" w:type="pct"/>
            <w:shd w:val="clear" w:color="auto" w:fill="DEEAF6"/>
            <w:vAlign w:val="center"/>
            <w:hideMark/>
          </w:tcPr>
          <w:p w:rsidR="007366FB" w:rsidRPr="00395314" w:rsidRDefault="007366FB" w:rsidP="007366FB">
            <w:pPr>
              <w:jc w:val="center"/>
              <w:rPr>
                <w:rFonts w:eastAsia="Times New Roman"/>
                <w:b/>
                <w:bCs/>
                <w:color w:val="000000"/>
              </w:rPr>
            </w:pPr>
            <w:r w:rsidRPr="00395314">
              <w:rPr>
                <w:rFonts w:eastAsia="Times New Roman"/>
                <w:b/>
                <w:bCs/>
                <w:color w:val="000000"/>
              </w:rPr>
              <w:t>2019.gads</w:t>
            </w:r>
          </w:p>
        </w:tc>
        <w:tc>
          <w:tcPr>
            <w:tcW w:w="583" w:type="pct"/>
            <w:shd w:val="clear" w:color="auto" w:fill="DEEAF6"/>
            <w:vAlign w:val="center"/>
          </w:tcPr>
          <w:p w:rsidR="007366FB" w:rsidRPr="00395314" w:rsidRDefault="007366FB" w:rsidP="007366FB">
            <w:pPr>
              <w:jc w:val="center"/>
              <w:rPr>
                <w:rFonts w:eastAsia="Times New Roman"/>
                <w:b/>
                <w:bCs/>
                <w:color w:val="000000"/>
              </w:rPr>
            </w:pPr>
            <w:r w:rsidRPr="00395314">
              <w:rPr>
                <w:rFonts w:eastAsia="Times New Roman"/>
                <w:b/>
                <w:bCs/>
                <w:color w:val="000000"/>
              </w:rPr>
              <w:t>2020.gads</w:t>
            </w:r>
          </w:p>
        </w:tc>
        <w:tc>
          <w:tcPr>
            <w:tcW w:w="583" w:type="pct"/>
            <w:shd w:val="clear" w:color="auto" w:fill="DEEAF6"/>
            <w:vAlign w:val="center"/>
          </w:tcPr>
          <w:p w:rsidR="007366FB" w:rsidRPr="00395314" w:rsidRDefault="007366FB" w:rsidP="007366FB">
            <w:pPr>
              <w:jc w:val="center"/>
              <w:rPr>
                <w:rFonts w:eastAsia="Times New Roman"/>
                <w:b/>
                <w:bCs/>
                <w:color w:val="000000"/>
              </w:rPr>
            </w:pPr>
            <w:r w:rsidRPr="00395314">
              <w:rPr>
                <w:rFonts w:eastAsia="Times New Roman"/>
                <w:b/>
                <w:bCs/>
                <w:color w:val="000000"/>
              </w:rPr>
              <w:t>2021.gads</w:t>
            </w:r>
          </w:p>
        </w:tc>
      </w:tr>
      <w:tr w:rsidR="007366FB" w:rsidRPr="00395314" w:rsidTr="00531797">
        <w:trPr>
          <w:trHeight w:val="283"/>
        </w:trPr>
        <w:tc>
          <w:tcPr>
            <w:tcW w:w="2500" w:type="pct"/>
            <w:vMerge/>
            <w:shd w:val="clear" w:color="auto" w:fill="DEEAF6"/>
            <w:vAlign w:val="center"/>
            <w:hideMark/>
          </w:tcPr>
          <w:p w:rsidR="007366FB" w:rsidRPr="00395314" w:rsidRDefault="007366FB" w:rsidP="003D448B">
            <w:pPr>
              <w:rPr>
                <w:rFonts w:eastAsia="Times New Roman"/>
                <w:b/>
                <w:bCs/>
                <w:color w:val="000000"/>
              </w:rPr>
            </w:pPr>
          </w:p>
        </w:tc>
        <w:tc>
          <w:tcPr>
            <w:tcW w:w="752" w:type="pct"/>
            <w:vMerge/>
            <w:shd w:val="clear" w:color="auto" w:fill="DEEAF6"/>
            <w:vAlign w:val="center"/>
            <w:hideMark/>
          </w:tcPr>
          <w:p w:rsidR="007366FB" w:rsidRPr="00395314" w:rsidRDefault="007366FB" w:rsidP="007366FB">
            <w:pPr>
              <w:jc w:val="center"/>
              <w:rPr>
                <w:rFonts w:eastAsia="Times New Roman"/>
                <w:b/>
                <w:bCs/>
                <w:color w:val="000000"/>
              </w:rPr>
            </w:pPr>
          </w:p>
        </w:tc>
        <w:tc>
          <w:tcPr>
            <w:tcW w:w="1748" w:type="pct"/>
            <w:gridSpan w:val="3"/>
            <w:shd w:val="clear" w:color="auto" w:fill="DEEAF6"/>
            <w:vAlign w:val="center"/>
            <w:hideMark/>
          </w:tcPr>
          <w:p w:rsidR="007366FB" w:rsidRPr="00395314" w:rsidRDefault="007366FB" w:rsidP="007366FB">
            <w:pPr>
              <w:jc w:val="center"/>
              <w:rPr>
                <w:rFonts w:eastAsia="Times New Roman"/>
                <w:b/>
                <w:bCs/>
                <w:color w:val="000000"/>
              </w:rPr>
            </w:pPr>
            <w:r w:rsidRPr="00395314">
              <w:rPr>
                <w:rFonts w:eastAsia="Times New Roman"/>
                <w:b/>
                <w:bCs/>
                <w:color w:val="000000"/>
              </w:rPr>
              <w:t xml:space="preserve">milj. </w:t>
            </w:r>
            <w:proofErr w:type="spellStart"/>
            <w:r w:rsidRPr="00395314">
              <w:rPr>
                <w:rFonts w:eastAsia="Times New Roman"/>
                <w:b/>
                <w:bCs/>
                <w:i/>
                <w:color w:val="000000"/>
              </w:rPr>
              <w:t>euro</w:t>
            </w:r>
            <w:proofErr w:type="spellEnd"/>
          </w:p>
        </w:tc>
      </w:tr>
      <w:tr w:rsidR="00531797" w:rsidRPr="00395314" w:rsidTr="00531797">
        <w:trPr>
          <w:trHeight w:val="283"/>
        </w:trPr>
        <w:tc>
          <w:tcPr>
            <w:tcW w:w="2500" w:type="pc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Solidaritātes nodokļa izmaiņas</w:t>
            </w: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SOC</w:t>
            </w:r>
          </w:p>
        </w:tc>
        <w:tc>
          <w:tcPr>
            <w:tcW w:w="583" w:type="pct"/>
            <w:vAlign w:val="center"/>
            <w:hideMark/>
          </w:tcPr>
          <w:p w:rsidR="00531797" w:rsidRPr="00395314" w:rsidRDefault="00531797" w:rsidP="00531797">
            <w:pPr>
              <w:jc w:val="center"/>
              <w:rPr>
                <w:color w:val="000000"/>
              </w:rPr>
            </w:pPr>
            <w:r w:rsidRPr="003410DF">
              <w:rPr>
                <w:color w:val="000000"/>
              </w:rPr>
              <w:t>6,4</w:t>
            </w:r>
          </w:p>
        </w:tc>
        <w:tc>
          <w:tcPr>
            <w:tcW w:w="583" w:type="pct"/>
            <w:vAlign w:val="center"/>
            <w:hideMark/>
          </w:tcPr>
          <w:p w:rsidR="00531797" w:rsidRPr="00395314" w:rsidRDefault="00531797" w:rsidP="00531797">
            <w:pPr>
              <w:jc w:val="center"/>
              <w:rPr>
                <w:color w:val="000000"/>
              </w:rPr>
            </w:pPr>
            <w:r w:rsidRPr="003410DF">
              <w:rPr>
                <w:color w:val="000000"/>
              </w:rPr>
              <w:t>-4,8</w:t>
            </w:r>
          </w:p>
        </w:tc>
        <w:tc>
          <w:tcPr>
            <w:tcW w:w="583" w:type="pct"/>
            <w:vAlign w:val="center"/>
            <w:hideMark/>
          </w:tcPr>
          <w:p w:rsidR="00531797" w:rsidRPr="00395314" w:rsidRDefault="00531797" w:rsidP="00531797">
            <w:pPr>
              <w:jc w:val="center"/>
              <w:rPr>
                <w:b/>
                <w:bCs/>
                <w:color w:val="000000"/>
              </w:rPr>
            </w:pPr>
            <w:r w:rsidRPr="003410DF">
              <w:rPr>
                <w:color w:val="000000"/>
              </w:rPr>
              <w:t>0,0</w:t>
            </w:r>
          </w:p>
        </w:tc>
      </w:tr>
      <w:tr w:rsidR="00531797" w:rsidRPr="00395314" w:rsidTr="00531797">
        <w:trPr>
          <w:trHeight w:val="283"/>
        </w:trPr>
        <w:tc>
          <w:tcPr>
            <w:tcW w:w="2500" w:type="pct"/>
            <w:vMerge w:val="restar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Palielināt akciju sabiedrības "Latvijas valsts meži" dividendēs izmaksājamo peļņas daļu.</w:t>
            </w:r>
          </w:p>
        </w:tc>
        <w:tc>
          <w:tcPr>
            <w:tcW w:w="752" w:type="pct"/>
            <w:vAlign w:val="center"/>
            <w:hideMark/>
          </w:tcPr>
          <w:p w:rsidR="00531797" w:rsidRPr="00395314" w:rsidRDefault="00531797" w:rsidP="00531797">
            <w:pPr>
              <w:jc w:val="center"/>
              <w:rPr>
                <w:rFonts w:eastAsia="Times New Roman"/>
                <w:color w:val="000000"/>
              </w:rPr>
            </w:pPr>
            <w:proofErr w:type="spellStart"/>
            <w:r w:rsidRPr="00395314">
              <w:rPr>
                <w:rFonts w:eastAsia="Times New Roman"/>
                <w:color w:val="000000"/>
              </w:rPr>
              <w:t>Nenodokļi</w:t>
            </w:r>
            <w:proofErr w:type="spellEnd"/>
          </w:p>
        </w:tc>
        <w:tc>
          <w:tcPr>
            <w:tcW w:w="583" w:type="pct"/>
            <w:vAlign w:val="center"/>
            <w:hideMark/>
          </w:tcPr>
          <w:p w:rsidR="00531797" w:rsidRPr="00395314" w:rsidRDefault="00531797" w:rsidP="00531797">
            <w:pPr>
              <w:jc w:val="center"/>
              <w:rPr>
                <w:color w:val="000000"/>
              </w:rPr>
            </w:pPr>
            <w:r w:rsidRPr="003410DF">
              <w:rPr>
                <w:color w:val="000000"/>
              </w:rPr>
              <w:t>36,0</w:t>
            </w:r>
          </w:p>
        </w:tc>
        <w:tc>
          <w:tcPr>
            <w:tcW w:w="583" w:type="pct"/>
            <w:vAlign w:val="center"/>
            <w:hideMark/>
          </w:tcPr>
          <w:p w:rsidR="00531797" w:rsidRPr="00395314" w:rsidRDefault="00531797" w:rsidP="00531797">
            <w:pPr>
              <w:jc w:val="center"/>
              <w:rPr>
                <w:color w:val="000000"/>
              </w:rPr>
            </w:pPr>
            <w:r w:rsidRPr="003410DF">
              <w:rPr>
                <w:color w:val="000000"/>
              </w:rPr>
              <w:t>-36,0</w:t>
            </w:r>
          </w:p>
        </w:tc>
        <w:tc>
          <w:tcPr>
            <w:tcW w:w="583" w:type="pct"/>
            <w:vAlign w:val="center"/>
            <w:hideMark/>
          </w:tcPr>
          <w:p w:rsidR="00531797" w:rsidRPr="00395314" w:rsidRDefault="00531797" w:rsidP="00531797">
            <w:pPr>
              <w:jc w:val="center"/>
              <w:rPr>
                <w:b/>
                <w:bCs/>
                <w:color w:val="000000"/>
              </w:rPr>
            </w:pPr>
            <w:r w:rsidRPr="003410DF">
              <w:rPr>
                <w:color w:val="000000"/>
              </w:rPr>
              <w:t>0,0</w:t>
            </w:r>
          </w:p>
        </w:tc>
      </w:tr>
      <w:tr w:rsidR="00531797" w:rsidRPr="00395314" w:rsidTr="00531797">
        <w:trPr>
          <w:trHeight w:val="283"/>
        </w:trPr>
        <w:tc>
          <w:tcPr>
            <w:tcW w:w="2500" w:type="pct"/>
            <w:vMerge/>
            <w:vAlign w:val="center"/>
            <w:hideMark/>
          </w:tcPr>
          <w:p w:rsidR="00531797" w:rsidRPr="00C63F8C" w:rsidRDefault="00531797" w:rsidP="00531797">
            <w:pPr>
              <w:jc w:val="both"/>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UIN</w:t>
            </w:r>
          </w:p>
        </w:tc>
        <w:tc>
          <w:tcPr>
            <w:tcW w:w="583" w:type="pct"/>
            <w:vAlign w:val="center"/>
            <w:hideMark/>
          </w:tcPr>
          <w:p w:rsidR="00531797" w:rsidRPr="00395314" w:rsidRDefault="00531797" w:rsidP="00531797">
            <w:pPr>
              <w:jc w:val="center"/>
              <w:rPr>
                <w:color w:val="000000"/>
              </w:rPr>
            </w:pPr>
            <w:r w:rsidRPr="003410DF">
              <w:rPr>
                <w:color w:val="000000"/>
              </w:rPr>
              <w:t>9,0</w:t>
            </w:r>
          </w:p>
        </w:tc>
        <w:tc>
          <w:tcPr>
            <w:tcW w:w="583" w:type="pct"/>
            <w:vAlign w:val="center"/>
            <w:hideMark/>
          </w:tcPr>
          <w:p w:rsidR="00531797" w:rsidRPr="00395314" w:rsidRDefault="00531797" w:rsidP="00531797">
            <w:pPr>
              <w:jc w:val="center"/>
              <w:rPr>
                <w:color w:val="000000"/>
              </w:rPr>
            </w:pPr>
            <w:r w:rsidRPr="003410DF">
              <w:rPr>
                <w:color w:val="000000"/>
              </w:rPr>
              <w:t>-9,0</w:t>
            </w:r>
          </w:p>
        </w:tc>
        <w:tc>
          <w:tcPr>
            <w:tcW w:w="583" w:type="pct"/>
            <w:vAlign w:val="center"/>
            <w:hideMark/>
          </w:tcPr>
          <w:p w:rsidR="00531797" w:rsidRPr="00395314" w:rsidRDefault="00531797" w:rsidP="00531797">
            <w:pPr>
              <w:jc w:val="center"/>
              <w:rPr>
                <w:b/>
                <w:bCs/>
                <w:color w:val="000000"/>
              </w:rPr>
            </w:pPr>
            <w:r w:rsidRPr="003410DF">
              <w:rPr>
                <w:color w:val="000000"/>
              </w:rPr>
              <w:t>0,0</w:t>
            </w:r>
          </w:p>
        </w:tc>
      </w:tr>
      <w:tr w:rsidR="00531797" w:rsidRPr="00395314" w:rsidTr="00531797">
        <w:trPr>
          <w:trHeight w:val="283"/>
        </w:trPr>
        <w:tc>
          <w:tcPr>
            <w:tcW w:w="2500" w:type="pct"/>
            <w:vMerge w:val="restar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 xml:space="preserve">MK 08.02.2019. sēdes </w:t>
            </w:r>
            <w:proofErr w:type="spellStart"/>
            <w:r w:rsidRPr="00C63F8C">
              <w:rPr>
                <w:rFonts w:eastAsia="Times New Roman"/>
                <w:b/>
                <w:color w:val="000000"/>
              </w:rPr>
              <w:t>protokl</w:t>
            </w:r>
            <w:proofErr w:type="spellEnd"/>
            <w:r w:rsidRPr="00C63F8C">
              <w:rPr>
                <w:rFonts w:eastAsia="Times New Roman"/>
                <w:b/>
                <w:color w:val="000000"/>
              </w:rPr>
              <w:t>-lēmums samazināt valsts pamatbudžeta prognozējamos ieņēmumus valsts budžetā no valsts nodevas par naftas produktu drošības rezervju uzturēšanu un no pievienotās vērtības nodokļa 2019.gadā.</w:t>
            </w: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PVN</w:t>
            </w:r>
          </w:p>
        </w:tc>
        <w:tc>
          <w:tcPr>
            <w:tcW w:w="583" w:type="pct"/>
            <w:vAlign w:val="center"/>
            <w:hideMark/>
          </w:tcPr>
          <w:p w:rsidR="00531797" w:rsidRPr="00395314" w:rsidRDefault="00531797" w:rsidP="00531797">
            <w:pPr>
              <w:jc w:val="center"/>
              <w:rPr>
                <w:color w:val="000000"/>
              </w:rPr>
            </w:pPr>
            <w:r w:rsidRPr="003410DF">
              <w:rPr>
                <w:color w:val="000000"/>
              </w:rPr>
              <w:t>-0,7</w:t>
            </w:r>
          </w:p>
        </w:tc>
        <w:tc>
          <w:tcPr>
            <w:tcW w:w="583" w:type="pct"/>
            <w:vAlign w:val="center"/>
            <w:hideMark/>
          </w:tcPr>
          <w:p w:rsidR="00531797" w:rsidRPr="00395314" w:rsidRDefault="00531797" w:rsidP="00531797">
            <w:pPr>
              <w:jc w:val="center"/>
              <w:rPr>
                <w:color w:val="000000"/>
              </w:rPr>
            </w:pPr>
            <w:r w:rsidRPr="003410DF">
              <w:rPr>
                <w:color w:val="000000"/>
              </w:rPr>
              <w:t>0,7</w:t>
            </w:r>
          </w:p>
        </w:tc>
        <w:tc>
          <w:tcPr>
            <w:tcW w:w="583" w:type="pct"/>
            <w:vAlign w:val="center"/>
            <w:hideMark/>
          </w:tcPr>
          <w:p w:rsidR="00531797" w:rsidRPr="00395314" w:rsidRDefault="00531797" w:rsidP="00531797">
            <w:pPr>
              <w:jc w:val="center"/>
              <w:rPr>
                <w:b/>
                <w:bCs/>
                <w:color w:val="000000"/>
              </w:rPr>
            </w:pPr>
            <w:r w:rsidRPr="003410DF">
              <w:rPr>
                <w:color w:val="000000"/>
              </w:rPr>
              <w:t>0,0</w:t>
            </w:r>
          </w:p>
        </w:tc>
      </w:tr>
      <w:tr w:rsidR="00531797" w:rsidRPr="00395314" w:rsidTr="00531797">
        <w:trPr>
          <w:trHeight w:val="283"/>
        </w:trPr>
        <w:tc>
          <w:tcPr>
            <w:tcW w:w="2500" w:type="pct"/>
            <w:vMerge/>
            <w:vAlign w:val="center"/>
            <w:hideMark/>
          </w:tcPr>
          <w:p w:rsidR="00531797" w:rsidRPr="00C63F8C" w:rsidRDefault="00531797" w:rsidP="00531797">
            <w:pPr>
              <w:jc w:val="both"/>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proofErr w:type="spellStart"/>
            <w:r w:rsidRPr="00395314">
              <w:rPr>
                <w:rFonts w:eastAsia="Times New Roman"/>
                <w:color w:val="000000"/>
              </w:rPr>
              <w:t>Nenodokļi</w:t>
            </w:r>
            <w:proofErr w:type="spellEnd"/>
          </w:p>
        </w:tc>
        <w:tc>
          <w:tcPr>
            <w:tcW w:w="583" w:type="pct"/>
            <w:vAlign w:val="center"/>
            <w:hideMark/>
          </w:tcPr>
          <w:p w:rsidR="00531797" w:rsidRPr="00395314" w:rsidRDefault="00531797" w:rsidP="00531797">
            <w:pPr>
              <w:jc w:val="center"/>
              <w:rPr>
                <w:color w:val="000000"/>
              </w:rPr>
            </w:pPr>
            <w:r w:rsidRPr="003410DF">
              <w:rPr>
                <w:color w:val="000000"/>
              </w:rPr>
              <w:t>-3,4</w:t>
            </w:r>
          </w:p>
        </w:tc>
        <w:tc>
          <w:tcPr>
            <w:tcW w:w="583" w:type="pct"/>
            <w:vAlign w:val="center"/>
            <w:hideMark/>
          </w:tcPr>
          <w:p w:rsidR="00531797" w:rsidRPr="00395314" w:rsidRDefault="00531797" w:rsidP="00531797">
            <w:pPr>
              <w:jc w:val="center"/>
              <w:rPr>
                <w:color w:val="000000"/>
              </w:rPr>
            </w:pPr>
            <w:r w:rsidRPr="003410DF">
              <w:rPr>
                <w:color w:val="000000"/>
              </w:rPr>
              <w:t>3,4</w:t>
            </w:r>
          </w:p>
        </w:tc>
        <w:tc>
          <w:tcPr>
            <w:tcW w:w="583" w:type="pct"/>
            <w:vAlign w:val="center"/>
            <w:hideMark/>
          </w:tcPr>
          <w:p w:rsidR="00531797" w:rsidRPr="00395314" w:rsidRDefault="00531797" w:rsidP="00531797">
            <w:pPr>
              <w:jc w:val="center"/>
              <w:rPr>
                <w:b/>
                <w:bCs/>
                <w:color w:val="000000"/>
              </w:rPr>
            </w:pPr>
            <w:r w:rsidRPr="003410DF">
              <w:rPr>
                <w:color w:val="000000"/>
              </w:rPr>
              <w:t>0,0</w:t>
            </w:r>
          </w:p>
        </w:tc>
      </w:tr>
      <w:tr w:rsidR="00531797" w:rsidRPr="00395314" w:rsidTr="00531797">
        <w:trPr>
          <w:trHeight w:val="283"/>
        </w:trPr>
        <w:tc>
          <w:tcPr>
            <w:tcW w:w="2500" w:type="pct"/>
            <w:vMerge w:val="restar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 xml:space="preserve">Papildu finansējums veselības aprūpes darbinieku (veselības, tieslietu, izglītības, </w:t>
            </w:r>
            <w:proofErr w:type="spellStart"/>
            <w:r w:rsidRPr="00C63F8C">
              <w:rPr>
                <w:rFonts w:eastAsia="Times New Roman"/>
                <w:b/>
                <w:color w:val="000000"/>
              </w:rPr>
              <w:t>iekšlietu</w:t>
            </w:r>
            <w:proofErr w:type="spellEnd"/>
            <w:r w:rsidRPr="00C63F8C">
              <w:rPr>
                <w:rFonts w:eastAsia="Times New Roman"/>
                <w:b/>
                <w:color w:val="000000"/>
              </w:rPr>
              <w:t xml:space="preserve"> un labklājības nozares jomā strādājošiem) darba samaksas paaugstināšanai</w:t>
            </w: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IIN</w:t>
            </w:r>
          </w:p>
        </w:tc>
        <w:tc>
          <w:tcPr>
            <w:tcW w:w="583" w:type="pct"/>
            <w:vAlign w:val="center"/>
            <w:hideMark/>
          </w:tcPr>
          <w:p w:rsidR="00531797" w:rsidRPr="00395314" w:rsidRDefault="00531797" w:rsidP="00531797">
            <w:pPr>
              <w:jc w:val="center"/>
              <w:rPr>
                <w:color w:val="000000"/>
              </w:rPr>
            </w:pPr>
            <w:r w:rsidRPr="003410DF">
              <w:rPr>
                <w:color w:val="000000"/>
              </w:rPr>
              <w:t>12,6</w:t>
            </w:r>
          </w:p>
        </w:tc>
        <w:tc>
          <w:tcPr>
            <w:tcW w:w="583" w:type="pct"/>
            <w:vAlign w:val="center"/>
            <w:hideMark/>
          </w:tcPr>
          <w:p w:rsidR="00531797" w:rsidRPr="00395314" w:rsidRDefault="00531797" w:rsidP="00531797">
            <w:pPr>
              <w:jc w:val="center"/>
              <w:rPr>
                <w:color w:val="000000"/>
              </w:rPr>
            </w:pPr>
            <w:r w:rsidRPr="003410DF">
              <w:rPr>
                <w:color w:val="000000"/>
              </w:rPr>
              <w:t>0,0</w:t>
            </w:r>
          </w:p>
        </w:tc>
        <w:tc>
          <w:tcPr>
            <w:tcW w:w="583" w:type="pct"/>
            <w:vAlign w:val="center"/>
            <w:hideMark/>
          </w:tcPr>
          <w:p w:rsidR="00531797" w:rsidRPr="00395314" w:rsidRDefault="00531797" w:rsidP="00531797">
            <w:pPr>
              <w:jc w:val="center"/>
              <w:rPr>
                <w:color w:val="000000"/>
              </w:rPr>
            </w:pPr>
            <w:r w:rsidRPr="003410DF">
              <w:rPr>
                <w:color w:val="000000"/>
              </w:rPr>
              <w:t>0,0</w:t>
            </w:r>
          </w:p>
        </w:tc>
      </w:tr>
      <w:tr w:rsidR="00531797" w:rsidRPr="00395314" w:rsidTr="00531797">
        <w:trPr>
          <w:trHeight w:val="283"/>
        </w:trPr>
        <w:tc>
          <w:tcPr>
            <w:tcW w:w="2500" w:type="pct"/>
            <w:vMerge/>
            <w:vAlign w:val="center"/>
            <w:hideMark/>
          </w:tcPr>
          <w:p w:rsidR="00531797" w:rsidRPr="00C63F8C" w:rsidRDefault="00531797" w:rsidP="00531797">
            <w:pPr>
              <w:jc w:val="both"/>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SOC</w:t>
            </w:r>
          </w:p>
        </w:tc>
        <w:tc>
          <w:tcPr>
            <w:tcW w:w="583" w:type="pct"/>
            <w:vAlign w:val="center"/>
            <w:hideMark/>
          </w:tcPr>
          <w:p w:rsidR="00531797" w:rsidRPr="00395314" w:rsidRDefault="00531797" w:rsidP="00531797">
            <w:pPr>
              <w:jc w:val="center"/>
              <w:rPr>
                <w:color w:val="000000"/>
              </w:rPr>
            </w:pPr>
            <w:r w:rsidRPr="003410DF">
              <w:rPr>
                <w:color w:val="000000"/>
              </w:rPr>
              <w:t>19,8</w:t>
            </w:r>
          </w:p>
        </w:tc>
        <w:tc>
          <w:tcPr>
            <w:tcW w:w="583" w:type="pct"/>
            <w:vAlign w:val="center"/>
            <w:hideMark/>
          </w:tcPr>
          <w:p w:rsidR="00531797" w:rsidRPr="00395314" w:rsidRDefault="00531797" w:rsidP="00531797">
            <w:pPr>
              <w:jc w:val="center"/>
              <w:rPr>
                <w:color w:val="000000"/>
              </w:rPr>
            </w:pPr>
            <w:r w:rsidRPr="003410DF">
              <w:rPr>
                <w:color w:val="000000"/>
              </w:rPr>
              <w:t>0,0</w:t>
            </w:r>
          </w:p>
        </w:tc>
        <w:tc>
          <w:tcPr>
            <w:tcW w:w="583" w:type="pct"/>
            <w:vAlign w:val="center"/>
            <w:hideMark/>
          </w:tcPr>
          <w:p w:rsidR="00531797" w:rsidRPr="00395314" w:rsidRDefault="00531797" w:rsidP="00531797">
            <w:pPr>
              <w:jc w:val="center"/>
              <w:rPr>
                <w:color w:val="000000"/>
              </w:rPr>
            </w:pPr>
            <w:r w:rsidRPr="003410DF">
              <w:rPr>
                <w:color w:val="000000"/>
              </w:rPr>
              <w:t>0,0</w:t>
            </w:r>
          </w:p>
        </w:tc>
      </w:tr>
      <w:tr w:rsidR="00531797" w:rsidRPr="00395314" w:rsidTr="00531797">
        <w:trPr>
          <w:trHeight w:val="283"/>
        </w:trPr>
        <w:tc>
          <w:tcPr>
            <w:tcW w:w="2500" w:type="pct"/>
            <w:vMerge/>
            <w:vAlign w:val="center"/>
            <w:hideMark/>
          </w:tcPr>
          <w:p w:rsidR="00531797" w:rsidRPr="00C63F8C" w:rsidRDefault="00531797" w:rsidP="00531797">
            <w:pPr>
              <w:jc w:val="both"/>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SOC veselības finansēšanai</w:t>
            </w:r>
          </w:p>
        </w:tc>
        <w:tc>
          <w:tcPr>
            <w:tcW w:w="583" w:type="pct"/>
            <w:vAlign w:val="center"/>
            <w:hideMark/>
          </w:tcPr>
          <w:p w:rsidR="00531797" w:rsidRPr="00395314" w:rsidRDefault="00531797" w:rsidP="00531797">
            <w:pPr>
              <w:jc w:val="center"/>
              <w:rPr>
                <w:color w:val="000000"/>
              </w:rPr>
            </w:pPr>
            <w:r w:rsidRPr="003410DF">
              <w:rPr>
                <w:color w:val="000000"/>
              </w:rPr>
              <w:t>0,7</w:t>
            </w:r>
          </w:p>
        </w:tc>
        <w:tc>
          <w:tcPr>
            <w:tcW w:w="583" w:type="pct"/>
            <w:vAlign w:val="center"/>
            <w:hideMark/>
          </w:tcPr>
          <w:p w:rsidR="00531797" w:rsidRPr="00395314" w:rsidRDefault="00531797" w:rsidP="00531797">
            <w:pPr>
              <w:jc w:val="center"/>
              <w:rPr>
                <w:color w:val="000000"/>
              </w:rPr>
            </w:pPr>
            <w:r w:rsidRPr="003410DF">
              <w:rPr>
                <w:color w:val="000000"/>
              </w:rPr>
              <w:t>0,0</w:t>
            </w:r>
          </w:p>
        </w:tc>
        <w:tc>
          <w:tcPr>
            <w:tcW w:w="583" w:type="pct"/>
            <w:vAlign w:val="center"/>
            <w:hideMark/>
          </w:tcPr>
          <w:p w:rsidR="00531797" w:rsidRPr="00395314" w:rsidRDefault="00531797" w:rsidP="00531797">
            <w:pPr>
              <w:jc w:val="center"/>
              <w:rPr>
                <w:color w:val="000000"/>
              </w:rPr>
            </w:pPr>
            <w:r w:rsidRPr="003410DF">
              <w:rPr>
                <w:color w:val="000000"/>
              </w:rPr>
              <w:t>0,0</w:t>
            </w:r>
          </w:p>
        </w:tc>
      </w:tr>
      <w:tr w:rsidR="00531797" w:rsidRPr="00395314" w:rsidTr="00531797">
        <w:trPr>
          <w:trHeight w:val="283"/>
        </w:trPr>
        <w:tc>
          <w:tcPr>
            <w:tcW w:w="2500" w:type="pct"/>
            <w:vMerge/>
            <w:vAlign w:val="center"/>
            <w:hideMark/>
          </w:tcPr>
          <w:p w:rsidR="00531797" w:rsidRPr="00C63F8C" w:rsidRDefault="00531797" w:rsidP="00531797">
            <w:pPr>
              <w:jc w:val="both"/>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PVN</w:t>
            </w:r>
          </w:p>
        </w:tc>
        <w:tc>
          <w:tcPr>
            <w:tcW w:w="583" w:type="pct"/>
            <w:vAlign w:val="center"/>
            <w:hideMark/>
          </w:tcPr>
          <w:p w:rsidR="00531797" w:rsidRPr="00395314" w:rsidRDefault="00531797" w:rsidP="00531797">
            <w:pPr>
              <w:jc w:val="center"/>
              <w:rPr>
                <w:color w:val="000000"/>
              </w:rPr>
            </w:pPr>
            <w:r w:rsidRPr="003410DF">
              <w:rPr>
                <w:color w:val="000000"/>
              </w:rPr>
              <w:t>0,9</w:t>
            </w:r>
          </w:p>
        </w:tc>
        <w:tc>
          <w:tcPr>
            <w:tcW w:w="583" w:type="pct"/>
            <w:vAlign w:val="center"/>
            <w:hideMark/>
          </w:tcPr>
          <w:p w:rsidR="00531797" w:rsidRPr="00395314" w:rsidRDefault="00531797" w:rsidP="00531797">
            <w:pPr>
              <w:jc w:val="center"/>
              <w:rPr>
                <w:color w:val="000000"/>
              </w:rPr>
            </w:pPr>
            <w:r w:rsidRPr="003410DF">
              <w:rPr>
                <w:color w:val="000000"/>
              </w:rPr>
              <w:t>1,2</w:t>
            </w:r>
          </w:p>
        </w:tc>
        <w:tc>
          <w:tcPr>
            <w:tcW w:w="583" w:type="pct"/>
            <w:vAlign w:val="center"/>
            <w:hideMark/>
          </w:tcPr>
          <w:p w:rsidR="00531797" w:rsidRPr="00395314" w:rsidRDefault="00531797" w:rsidP="00531797">
            <w:pPr>
              <w:jc w:val="center"/>
              <w:rPr>
                <w:bCs/>
                <w:color w:val="000000"/>
              </w:rPr>
            </w:pPr>
            <w:r w:rsidRPr="003410DF">
              <w:rPr>
                <w:bCs/>
                <w:color w:val="000000"/>
              </w:rPr>
              <w:t>0,0</w:t>
            </w:r>
          </w:p>
        </w:tc>
      </w:tr>
      <w:tr w:rsidR="00531797" w:rsidRPr="00395314" w:rsidTr="00531797">
        <w:trPr>
          <w:trHeight w:val="283"/>
        </w:trPr>
        <w:tc>
          <w:tcPr>
            <w:tcW w:w="2500" w:type="pct"/>
            <w:vMerge w:val="restar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 xml:space="preserve">Papildu finansējums algu palielināšana tiesnešiem un prokuroriem, izdienas piemaksu </w:t>
            </w:r>
            <w:r w:rsidRPr="00C63F8C">
              <w:rPr>
                <w:rFonts w:eastAsia="Times New Roman"/>
                <w:b/>
                <w:color w:val="000000"/>
              </w:rPr>
              <w:lastRenderedPageBreak/>
              <w:t>nodrošināšanai KNAB un izdienas pabalsts pēc katriem 5 nepārtrauktas izdienas gadiem IeM amatpersonām</w:t>
            </w: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lastRenderedPageBreak/>
              <w:t>IIN</w:t>
            </w:r>
          </w:p>
        </w:tc>
        <w:tc>
          <w:tcPr>
            <w:tcW w:w="583" w:type="pct"/>
            <w:vAlign w:val="center"/>
            <w:hideMark/>
          </w:tcPr>
          <w:p w:rsidR="00531797" w:rsidRPr="00395314" w:rsidRDefault="00531797" w:rsidP="00531797">
            <w:pPr>
              <w:jc w:val="center"/>
              <w:rPr>
                <w:color w:val="000000"/>
              </w:rPr>
            </w:pPr>
            <w:r w:rsidRPr="003410DF">
              <w:rPr>
                <w:color w:val="000000"/>
              </w:rPr>
              <w:t>6,9</w:t>
            </w:r>
          </w:p>
        </w:tc>
        <w:tc>
          <w:tcPr>
            <w:tcW w:w="583" w:type="pct"/>
            <w:vAlign w:val="center"/>
            <w:hideMark/>
          </w:tcPr>
          <w:p w:rsidR="00531797" w:rsidRPr="00395314" w:rsidRDefault="00531797" w:rsidP="00531797">
            <w:pPr>
              <w:jc w:val="center"/>
              <w:rPr>
                <w:color w:val="000000"/>
              </w:rPr>
            </w:pPr>
            <w:r w:rsidRPr="003410DF">
              <w:rPr>
                <w:color w:val="000000"/>
              </w:rPr>
              <w:t>-5,6</w:t>
            </w:r>
          </w:p>
        </w:tc>
        <w:tc>
          <w:tcPr>
            <w:tcW w:w="583" w:type="pct"/>
            <w:vAlign w:val="center"/>
            <w:hideMark/>
          </w:tcPr>
          <w:p w:rsidR="00531797" w:rsidRPr="00395314" w:rsidRDefault="00531797" w:rsidP="00531797">
            <w:pPr>
              <w:jc w:val="center"/>
              <w:rPr>
                <w:color w:val="000000"/>
              </w:rPr>
            </w:pPr>
            <w:r w:rsidRPr="003410DF">
              <w:rPr>
                <w:color w:val="000000"/>
              </w:rPr>
              <w:t>0,4</w:t>
            </w:r>
          </w:p>
        </w:tc>
      </w:tr>
      <w:tr w:rsidR="00531797" w:rsidRPr="00395314" w:rsidTr="00531797">
        <w:trPr>
          <w:trHeight w:val="283"/>
        </w:trPr>
        <w:tc>
          <w:tcPr>
            <w:tcW w:w="2500" w:type="pct"/>
            <w:vMerge/>
            <w:vAlign w:val="center"/>
            <w:hideMark/>
          </w:tcPr>
          <w:p w:rsidR="00531797" w:rsidRPr="00C63F8C" w:rsidRDefault="00531797" w:rsidP="00531797">
            <w:pPr>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SOC</w:t>
            </w:r>
          </w:p>
        </w:tc>
        <w:tc>
          <w:tcPr>
            <w:tcW w:w="583" w:type="pct"/>
            <w:vAlign w:val="center"/>
            <w:hideMark/>
          </w:tcPr>
          <w:p w:rsidR="00531797" w:rsidRPr="00395314" w:rsidRDefault="00531797" w:rsidP="00531797">
            <w:pPr>
              <w:jc w:val="center"/>
              <w:rPr>
                <w:color w:val="000000"/>
              </w:rPr>
            </w:pPr>
            <w:r w:rsidRPr="003410DF">
              <w:rPr>
                <w:color w:val="000000"/>
              </w:rPr>
              <w:t>10,8</w:t>
            </w:r>
          </w:p>
        </w:tc>
        <w:tc>
          <w:tcPr>
            <w:tcW w:w="583" w:type="pct"/>
            <w:vAlign w:val="center"/>
            <w:hideMark/>
          </w:tcPr>
          <w:p w:rsidR="00531797" w:rsidRPr="00395314" w:rsidRDefault="00531797" w:rsidP="00531797">
            <w:pPr>
              <w:jc w:val="center"/>
              <w:rPr>
                <w:color w:val="000000"/>
              </w:rPr>
            </w:pPr>
            <w:r w:rsidRPr="003410DF">
              <w:rPr>
                <w:color w:val="000000"/>
              </w:rPr>
              <w:t>-8,9</w:t>
            </w:r>
          </w:p>
        </w:tc>
        <w:tc>
          <w:tcPr>
            <w:tcW w:w="583" w:type="pct"/>
            <w:vAlign w:val="center"/>
            <w:hideMark/>
          </w:tcPr>
          <w:p w:rsidR="00531797" w:rsidRPr="00395314" w:rsidRDefault="00531797" w:rsidP="00531797">
            <w:pPr>
              <w:jc w:val="center"/>
              <w:rPr>
                <w:color w:val="000000"/>
              </w:rPr>
            </w:pPr>
            <w:r w:rsidRPr="003410DF">
              <w:rPr>
                <w:color w:val="000000"/>
              </w:rPr>
              <w:t>0,6</w:t>
            </w:r>
          </w:p>
        </w:tc>
      </w:tr>
      <w:tr w:rsidR="00531797" w:rsidRPr="00395314" w:rsidTr="00531797">
        <w:trPr>
          <w:trHeight w:val="283"/>
        </w:trPr>
        <w:tc>
          <w:tcPr>
            <w:tcW w:w="2500" w:type="pct"/>
            <w:vMerge/>
            <w:vAlign w:val="center"/>
            <w:hideMark/>
          </w:tcPr>
          <w:p w:rsidR="00531797" w:rsidRPr="00C63F8C" w:rsidRDefault="00531797" w:rsidP="00531797">
            <w:pPr>
              <w:rPr>
                <w:rFonts w:eastAsia="Times New Roman"/>
                <w:b/>
                <w:color w:val="000000"/>
              </w:rPr>
            </w:pPr>
          </w:p>
        </w:tc>
        <w:tc>
          <w:tcPr>
            <w:tcW w:w="752" w:type="pct"/>
            <w:vAlign w:val="center"/>
            <w:hideMark/>
          </w:tcPr>
          <w:p w:rsidR="00531797" w:rsidRPr="00395314" w:rsidRDefault="00531797" w:rsidP="00531797">
            <w:pPr>
              <w:jc w:val="center"/>
              <w:rPr>
                <w:rFonts w:eastAsia="Times New Roman"/>
                <w:color w:val="000000"/>
              </w:rPr>
            </w:pPr>
            <w:r w:rsidRPr="00395314">
              <w:rPr>
                <w:rFonts w:eastAsia="Times New Roman"/>
                <w:color w:val="000000"/>
              </w:rPr>
              <w:t>SOC veselības finansēšanai</w:t>
            </w:r>
          </w:p>
        </w:tc>
        <w:tc>
          <w:tcPr>
            <w:tcW w:w="583" w:type="pct"/>
            <w:vAlign w:val="center"/>
            <w:hideMark/>
          </w:tcPr>
          <w:p w:rsidR="00531797" w:rsidRPr="00395314" w:rsidRDefault="00531797" w:rsidP="00531797">
            <w:pPr>
              <w:jc w:val="center"/>
              <w:rPr>
                <w:color w:val="000000"/>
              </w:rPr>
            </w:pPr>
            <w:r w:rsidRPr="003410DF">
              <w:rPr>
                <w:color w:val="000000"/>
              </w:rPr>
              <w:t>0,4</w:t>
            </w:r>
          </w:p>
        </w:tc>
        <w:tc>
          <w:tcPr>
            <w:tcW w:w="583" w:type="pct"/>
            <w:vAlign w:val="center"/>
            <w:hideMark/>
          </w:tcPr>
          <w:p w:rsidR="00531797" w:rsidRPr="00395314" w:rsidRDefault="00531797" w:rsidP="00531797">
            <w:pPr>
              <w:jc w:val="center"/>
              <w:rPr>
                <w:color w:val="000000"/>
              </w:rPr>
            </w:pPr>
            <w:r w:rsidRPr="003410DF">
              <w:rPr>
                <w:color w:val="000000"/>
              </w:rPr>
              <w:t>-0,3</w:t>
            </w:r>
          </w:p>
        </w:tc>
        <w:tc>
          <w:tcPr>
            <w:tcW w:w="583" w:type="pct"/>
            <w:vAlign w:val="center"/>
            <w:hideMark/>
          </w:tcPr>
          <w:p w:rsidR="00531797" w:rsidRPr="00395314" w:rsidRDefault="00531797" w:rsidP="00531797">
            <w:pPr>
              <w:jc w:val="center"/>
              <w:rPr>
                <w:color w:val="000000"/>
              </w:rPr>
            </w:pPr>
            <w:r w:rsidRPr="003410DF">
              <w:rPr>
                <w:color w:val="000000"/>
              </w:rPr>
              <w:t>0,0</w:t>
            </w:r>
          </w:p>
        </w:tc>
      </w:tr>
      <w:tr w:rsidR="00531797" w:rsidRPr="00395314" w:rsidTr="00531797">
        <w:trPr>
          <w:trHeight w:val="283"/>
        </w:trPr>
        <w:tc>
          <w:tcPr>
            <w:tcW w:w="2500" w:type="pct"/>
            <w:shd w:val="clear" w:color="auto" w:fill="DEEAF6"/>
            <w:vAlign w:val="center"/>
            <w:hideMark/>
          </w:tcPr>
          <w:p w:rsidR="00531797" w:rsidRPr="00C63F8C" w:rsidRDefault="00531797" w:rsidP="00531797">
            <w:pPr>
              <w:rPr>
                <w:rFonts w:eastAsia="Times New Roman"/>
                <w:b/>
                <w:color w:val="000000"/>
              </w:rPr>
            </w:pPr>
            <w:r w:rsidRPr="00C63F8C">
              <w:rPr>
                <w:rFonts w:eastAsia="Times New Roman"/>
                <w:b/>
                <w:color w:val="000000"/>
              </w:rPr>
              <w:t>Citi nodokļu ieņēmumi</w:t>
            </w:r>
          </w:p>
        </w:tc>
        <w:tc>
          <w:tcPr>
            <w:tcW w:w="752" w:type="pct"/>
            <w:shd w:val="clear" w:color="auto" w:fill="DEEAF6"/>
            <w:vAlign w:val="center"/>
            <w:hideMark/>
          </w:tcPr>
          <w:p w:rsidR="00531797" w:rsidRPr="00395314" w:rsidRDefault="00531797" w:rsidP="00531797">
            <w:pPr>
              <w:jc w:val="center"/>
              <w:rPr>
                <w:rFonts w:eastAsia="Times New Roman"/>
                <w:color w:val="000000"/>
              </w:rPr>
            </w:pPr>
          </w:p>
        </w:tc>
        <w:tc>
          <w:tcPr>
            <w:tcW w:w="583" w:type="pct"/>
            <w:shd w:val="clear" w:color="auto" w:fill="DEEAF6"/>
            <w:vAlign w:val="center"/>
            <w:hideMark/>
          </w:tcPr>
          <w:p w:rsidR="00531797" w:rsidRPr="00395314" w:rsidRDefault="00531797" w:rsidP="00531797">
            <w:pPr>
              <w:jc w:val="center"/>
              <w:rPr>
                <w:color w:val="000000"/>
              </w:rPr>
            </w:pPr>
            <w:r w:rsidRPr="003410DF">
              <w:rPr>
                <w:color w:val="000000"/>
              </w:rPr>
              <w:t>8,1</w:t>
            </w:r>
          </w:p>
        </w:tc>
        <w:tc>
          <w:tcPr>
            <w:tcW w:w="583" w:type="pct"/>
            <w:shd w:val="clear" w:color="auto" w:fill="DEEAF6"/>
            <w:vAlign w:val="center"/>
            <w:hideMark/>
          </w:tcPr>
          <w:p w:rsidR="00531797" w:rsidRPr="00395314" w:rsidRDefault="00531797" w:rsidP="00531797">
            <w:pPr>
              <w:jc w:val="center"/>
              <w:rPr>
                <w:color w:val="000000"/>
              </w:rPr>
            </w:pPr>
            <w:r w:rsidRPr="003410DF">
              <w:rPr>
                <w:color w:val="000000"/>
              </w:rPr>
              <w:t>27,3</w:t>
            </w:r>
          </w:p>
        </w:tc>
        <w:tc>
          <w:tcPr>
            <w:tcW w:w="583" w:type="pct"/>
            <w:shd w:val="clear" w:color="auto" w:fill="DEEAF6"/>
            <w:vAlign w:val="center"/>
            <w:hideMark/>
          </w:tcPr>
          <w:p w:rsidR="00531797" w:rsidRPr="00395314" w:rsidRDefault="00531797" w:rsidP="00531797">
            <w:pPr>
              <w:jc w:val="center"/>
              <w:rPr>
                <w:color w:val="000000"/>
              </w:rPr>
            </w:pPr>
            <w:r w:rsidRPr="003410DF">
              <w:rPr>
                <w:color w:val="000000"/>
              </w:rPr>
              <w:t>15,7</w:t>
            </w:r>
          </w:p>
        </w:tc>
      </w:tr>
      <w:tr w:rsidR="00531797" w:rsidRPr="00395314" w:rsidTr="00531797">
        <w:trPr>
          <w:trHeight w:val="283"/>
        </w:trPr>
        <w:tc>
          <w:tcPr>
            <w:tcW w:w="2500" w:type="pct"/>
            <w:shd w:val="clear" w:color="auto" w:fill="DEEAF6"/>
            <w:vAlign w:val="center"/>
            <w:hideMark/>
          </w:tcPr>
          <w:p w:rsidR="00531797" w:rsidRPr="00C63F8C" w:rsidRDefault="00531797" w:rsidP="00531797">
            <w:pPr>
              <w:rPr>
                <w:rFonts w:eastAsia="Times New Roman"/>
                <w:b/>
                <w:color w:val="000000"/>
              </w:rPr>
            </w:pPr>
            <w:r w:rsidRPr="00C63F8C">
              <w:rPr>
                <w:rFonts w:eastAsia="Times New Roman"/>
                <w:b/>
                <w:color w:val="000000"/>
              </w:rPr>
              <w:t>Citi ne-nodokļu ieņēmumi</w:t>
            </w:r>
          </w:p>
        </w:tc>
        <w:tc>
          <w:tcPr>
            <w:tcW w:w="752" w:type="pct"/>
            <w:shd w:val="clear" w:color="auto" w:fill="DEEAF6"/>
            <w:vAlign w:val="center"/>
            <w:hideMark/>
          </w:tcPr>
          <w:p w:rsidR="00531797" w:rsidRPr="00395314" w:rsidRDefault="00531797" w:rsidP="00531797">
            <w:pPr>
              <w:jc w:val="center"/>
              <w:rPr>
                <w:rFonts w:eastAsia="Times New Roman"/>
                <w:color w:val="000000"/>
              </w:rPr>
            </w:pPr>
          </w:p>
        </w:tc>
        <w:tc>
          <w:tcPr>
            <w:tcW w:w="583" w:type="pct"/>
            <w:shd w:val="clear" w:color="auto" w:fill="DEEAF6"/>
            <w:vAlign w:val="center"/>
            <w:hideMark/>
          </w:tcPr>
          <w:p w:rsidR="00531797" w:rsidRPr="00395314" w:rsidRDefault="00531797" w:rsidP="00531797">
            <w:pPr>
              <w:jc w:val="center"/>
              <w:rPr>
                <w:color w:val="000000"/>
              </w:rPr>
            </w:pPr>
            <w:r w:rsidRPr="003410DF">
              <w:rPr>
                <w:color w:val="000000"/>
              </w:rPr>
              <w:t>2,1</w:t>
            </w:r>
          </w:p>
        </w:tc>
        <w:tc>
          <w:tcPr>
            <w:tcW w:w="583" w:type="pct"/>
            <w:shd w:val="clear" w:color="auto" w:fill="DEEAF6"/>
            <w:vAlign w:val="center"/>
            <w:hideMark/>
          </w:tcPr>
          <w:p w:rsidR="00531797" w:rsidRPr="00395314" w:rsidRDefault="00531797" w:rsidP="00531797">
            <w:pPr>
              <w:jc w:val="center"/>
              <w:rPr>
                <w:color w:val="000000"/>
              </w:rPr>
            </w:pPr>
            <w:r w:rsidRPr="003410DF">
              <w:rPr>
                <w:color w:val="000000"/>
              </w:rPr>
              <w:t>-1,1</w:t>
            </w:r>
          </w:p>
        </w:tc>
        <w:tc>
          <w:tcPr>
            <w:tcW w:w="583" w:type="pct"/>
            <w:shd w:val="clear" w:color="auto" w:fill="DEEAF6"/>
            <w:vAlign w:val="center"/>
            <w:hideMark/>
          </w:tcPr>
          <w:p w:rsidR="00531797" w:rsidRPr="00395314" w:rsidRDefault="00531797" w:rsidP="00531797">
            <w:pPr>
              <w:jc w:val="center"/>
              <w:rPr>
                <w:color w:val="000000"/>
              </w:rPr>
            </w:pPr>
            <w:r w:rsidRPr="003410DF">
              <w:rPr>
                <w:color w:val="000000"/>
              </w:rPr>
              <w:t>0,0</w:t>
            </w:r>
          </w:p>
        </w:tc>
      </w:tr>
    </w:tbl>
    <w:p w:rsidR="007366FB" w:rsidRDefault="007366FB" w:rsidP="007366FB">
      <w:pPr>
        <w:spacing w:after="0" w:line="240" w:lineRule="auto"/>
        <w:ind w:firstLine="709"/>
        <w:jc w:val="right"/>
        <w:rPr>
          <w:rFonts w:eastAsia="Calibri"/>
          <w:b/>
          <w:color w:val="000000"/>
          <w:highlight w:val="yellow"/>
        </w:rPr>
      </w:pPr>
    </w:p>
    <w:p w:rsidR="007366FB" w:rsidRPr="009F7A9F" w:rsidRDefault="00D6169B" w:rsidP="007366FB">
      <w:pPr>
        <w:spacing w:after="0" w:line="240" w:lineRule="auto"/>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rPr>
        <w:t>3.5</w:t>
      </w:r>
      <w:r w:rsidR="007366FB" w:rsidRPr="003410DF">
        <w:rPr>
          <w:rFonts w:ascii="Times New Roman" w:eastAsia="Calibri" w:hAnsi="Times New Roman" w:cs="Times New Roman"/>
          <w:b/>
          <w:color w:val="000000"/>
          <w:sz w:val="24"/>
          <w:szCs w:val="24"/>
        </w:rPr>
        <w:t xml:space="preserve">.tabula. </w:t>
      </w:r>
      <w:r w:rsidR="007366FB">
        <w:rPr>
          <w:rFonts w:ascii="Times New Roman" w:eastAsia="Calibri" w:hAnsi="Times New Roman" w:cs="Times New Roman"/>
          <w:b/>
          <w:color w:val="000000"/>
          <w:sz w:val="24"/>
          <w:szCs w:val="24"/>
        </w:rPr>
        <w:t xml:space="preserve">Izdevumus palielinoši </w:t>
      </w:r>
      <w:proofErr w:type="spellStart"/>
      <w:r w:rsidR="007366FB">
        <w:rPr>
          <w:rFonts w:ascii="Times New Roman" w:eastAsia="Calibri" w:hAnsi="Times New Roman" w:cs="Times New Roman"/>
          <w:b/>
          <w:color w:val="000000"/>
          <w:sz w:val="24"/>
          <w:szCs w:val="24"/>
        </w:rPr>
        <w:t>diskrecionārie</w:t>
      </w:r>
      <w:proofErr w:type="spellEnd"/>
      <w:r w:rsidR="007366FB">
        <w:rPr>
          <w:rFonts w:ascii="Times New Roman" w:eastAsia="Calibri" w:hAnsi="Times New Roman" w:cs="Times New Roman"/>
          <w:b/>
          <w:color w:val="000000"/>
          <w:sz w:val="24"/>
          <w:szCs w:val="24"/>
        </w:rPr>
        <w:t xml:space="preserve"> pasākumi</w:t>
      </w:r>
      <w:r w:rsidR="007366FB" w:rsidRPr="003410DF">
        <w:rPr>
          <w:rFonts w:ascii="Times New Roman" w:eastAsia="Calibri" w:hAnsi="Times New Roman" w:cs="Times New Roman"/>
          <w:b/>
          <w:color w:val="000000"/>
          <w:sz w:val="24"/>
          <w:szCs w:val="24"/>
        </w:rPr>
        <w:t xml:space="preserve"> </w:t>
      </w:r>
      <w:r w:rsidR="008946E4">
        <w:rPr>
          <w:rFonts w:ascii="Times New Roman" w:eastAsia="Calibri" w:hAnsi="Times New Roman" w:cs="Times New Roman"/>
          <w:b/>
          <w:color w:val="000000"/>
          <w:sz w:val="24"/>
          <w:szCs w:val="24"/>
        </w:rPr>
        <w:br/>
      </w:r>
      <w:r w:rsidR="007366FB" w:rsidRPr="003410DF">
        <w:rPr>
          <w:rFonts w:ascii="Times New Roman" w:eastAsia="Calibri" w:hAnsi="Times New Roman" w:cs="Times New Roman"/>
          <w:b/>
          <w:color w:val="000000"/>
          <w:sz w:val="24"/>
          <w:szCs w:val="24"/>
        </w:rPr>
        <w:t xml:space="preserve">(virs </w:t>
      </w:r>
      <w:r w:rsidR="007366FB" w:rsidRPr="003410DF">
        <w:rPr>
          <w:rFonts w:ascii="Times New Roman" w:eastAsia="Calibri" w:hAnsi="Times New Roman" w:cs="Times New Roman"/>
          <w:b/>
          <w:color w:val="000000"/>
        </w:rPr>
        <w:t>0,01% no IKP jeb 3,</w:t>
      </w:r>
      <w:r w:rsidR="007366FB" w:rsidRPr="003410DF">
        <w:rPr>
          <w:rFonts w:ascii="Times New Roman" w:eastAsia="Calibri" w:hAnsi="Times New Roman" w:cs="Times New Roman"/>
          <w:b/>
          <w:color w:val="000000"/>
          <w:sz w:val="24"/>
          <w:szCs w:val="24"/>
        </w:rPr>
        <w:t xml:space="preserve">1 milj. </w:t>
      </w:r>
      <w:proofErr w:type="spellStart"/>
      <w:r w:rsidR="007366FB" w:rsidRPr="003410DF">
        <w:rPr>
          <w:rFonts w:ascii="Times New Roman" w:eastAsia="Calibri" w:hAnsi="Times New Roman" w:cs="Times New Roman"/>
          <w:b/>
          <w:i/>
          <w:color w:val="000000"/>
          <w:sz w:val="24"/>
          <w:szCs w:val="24"/>
        </w:rPr>
        <w:t>euro</w:t>
      </w:r>
      <w:proofErr w:type="spellEnd"/>
      <w:r w:rsidR="007366FB">
        <w:rPr>
          <w:rFonts w:ascii="Times New Roman" w:eastAsia="Calibri" w:hAnsi="Times New Roman" w:cs="Times New Roman"/>
          <w:b/>
          <w:color w:val="000000"/>
          <w:sz w:val="24"/>
          <w:szCs w:val="24"/>
        </w:rPr>
        <w:t>)</w:t>
      </w:r>
    </w:p>
    <w:tbl>
      <w:tblPr>
        <w:tblStyle w:val="TableGrid"/>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5394"/>
        <w:gridCol w:w="1223"/>
        <w:gridCol w:w="1223"/>
        <w:gridCol w:w="1221"/>
      </w:tblGrid>
      <w:tr w:rsidR="007366FB" w:rsidRPr="00395314" w:rsidTr="005A443D">
        <w:trPr>
          <w:trHeight w:val="283"/>
        </w:trPr>
        <w:tc>
          <w:tcPr>
            <w:tcW w:w="2976" w:type="pct"/>
            <w:shd w:val="clear" w:color="auto" w:fill="DEEAF6"/>
            <w:vAlign w:val="center"/>
            <w:hideMark/>
          </w:tcPr>
          <w:p w:rsidR="007366FB" w:rsidRPr="00395314" w:rsidRDefault="007366FB" w:rsidP="003D448B">
            <w:pPr>
              <w:rPr>
                <w:rFonts w:eastAsia="Times New Roman"/>
                <w:b/>
                <w:bCs/>
              </w:rPr>
            </w:pPr>
            <w:r w:rsidRPr="00395314">
              <w:rPr>
                <w:rFonts w:eastAsia="Times New Roman"/>
                <w:b/>
                <w:bCs/>
              </w:rPr>
              <w:t>Pasākuma nosaukums</w:t>
            </w:r>
          </w:p>
        </w:tc>
        <w:tc>
          <w:tcPr>
            <w:tcW w:w="675" w:type="pct"/>
            <w:shd w:val="clear" w:color="auto" w:fill="DEEAF6"/>
            <w:noWrap/>
            <w:vAlign w:val="center"/>
            <w:hideMark/>
          </w:tcPr>
          <w:p w:rsidR="007366FB" w:rsidRPr="00395314" w:rsidRDefault="007366FB" w:rsidP="007366FB">
            <w:pPr>
              <w:jc w:val="center"/>
              <w:rPr>
                <w:rFonts w:eastAsia="Times New Roman"/>
                <w:b/>
                <w:bCs/>
              </w:rPr>
            </w:pPr>
            <w:r w:rsidRPr="00395314">
              <w:rPr>
                <w:rFonts w:eastAsia="Times New Roman"/>
                <w:b/>
                <w:bCs/>
              </w:rPr>
              <w:t>2019.gads</w:t>
            </w:r>
          </w:p>
        </w:tc>
        <w:tc>
          <w:tcPr>
            <w:tcW w:w="675" w:type="pct"/>
            <w:shd w:val="clear" w:color="auto" w:fill="DEEAF6"/>
            <w:noWrap/>
            <w:vAlign w:val="center"/>
            <w:hideMark/>
          </w:tcPr>
          <w:p w:rsidR="007366FB" w:rsidRPr="00395314" w:rsidRDefault="007366FB" w:rsidP="007366FB">
            <w:pPr>
              <w:jc w:val="center"/>
              <w:rPr>
                <w:rFonts w:eastAsia="Times New Roman"/>
                <w:b/>
                <w:bCs/>
              </w:rPr>
            </w:pPr>
            <w:r w:rsidRPr="00395314">
              <w:rPr>
                <w:rFonts w:eastAsia="Times New Roman"/>
                <w:b/>
                <w:bCs/>
              </w:rPr>
              <w:t>2020.gads</w:t>
            </w:r>
          </w:p>
        </w:tc>
        <w:tc>
          <w:tcPr>
            <w:tcW w:w="674" w:type="pct"/>
            <w:shd w:val="clear" w:color="auto" w:fill="DEEAF6"/>
            <w:noWrap/>
            <w:vAlign w:val="center"/>
            <w:hideMark/>
          </w:tcPr>
          <w:p w:rsidR="007366FB" w:rsidRPr="00395314" w:rsidRDefault="007366FB" w:rsidP="007366FB">
            <w:pPr>
              <w:jc w:val="center"/>
              <w:rPr>
                <w:rFonts w:eastAsia="Times New Roman"/>
                <w:b/>
                <w:bCs/>
              </w:rPr>
            </w:pPr>
            <w:r w:rsidRPr="00395314">
              <w:rPr>
                <w:rFonts w:eastAsia="Times New Roman"/>
                <w:b/>
                <w:bCs/>
              </w:rPr>
              <w:t>2021.gads</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Aizsardzības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izdevumi Nacionālo bruņoto spēku uzturēšanai, izdevumi NATO investīciju projektiem)</w:t>
            </w:r>
          </w:p>
        </w:tc>
        <w:tc>
          <w:tcPr>
            <w:tcW w:w="675" w:type="pct"/>
            <w:noWrap/>
            <w:vAlign w:val="center"/>
            <w:hideMark/>
          </w:tcPr>
          <w:p w:rsidR="00531797" w:rsidRPr="00395314" w:rsidRDefault="00531797" w:rsidP="00531797">
            <w:pPr>
              <w:jc w:val="center"/>
              <w:rPr>
                <w:color w:val="000000"/>
              </w:rPr>
            </w:pPr>
            <w:r w:rsidRPr="00277934">
              <w:rPr>
                <w:color w:val="000000"/>
              </w:rPr>
              <w:t>15,2</w:t>
            </w:r>
          </w:p>
        </w:tc>
        <w:tc>
          <w:tcPr>
            <w:tcW w:w="675" w:type="pct"/>
            <w:noWrap/>
            <w:vAlign w:val="center"/>
            <w:hideMark/>
          </w:tcPr>
          <w:p w:rsidR="00531797" w:rsidRPr="00395314" w:rsidRDefault="00531797" w:rsidP="00531797">
            <w:pPr>
              <w:jc w:val="center"/>
              <w:rPr>
                <w:color w:val="000000"/>
              </w:rPr>
            </w:pPr>
            <w:r w:rsidRPr="00277934">
              <w:rPr>
                <w:color w:val="000000"/>
              </w:rPr>
              <w:t>-15,2</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Ekonomikas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Samazināts finansējums naftas produktu rezervju uzturēšanai saistībā ar nodevas samazināšanu</w:t>
            </w:r>
          </w:p>
        </w:tc>
        <w:tc>
          <w:tcPr>
            <w:tcW w:w="675" w:type="pct"/>
            <w:noWrap/>
            <w:vAlign w:val="center"/>
            <w:hideMark/>
          </w:tcPr>
          <w:p w:rsidR="00531797" w:rsidRPr="00395314" w:rsidRDefault="00531797" w:rsidP="00531797">
            <w:pPr>
              <w:jc w:val="center"/>
              <w:rPr>
                <w:color w:val="000000"/>
              </w:rPr>
            </w:pPr>
            <w:r w:rsidRPr="00277934">
              <w:rPr>
                <w:color w:val="000000"/>
              </w:rPr>
              <w:t>-4,2</w:t>
            </w:r>
          </w:p>
        </w:tc>
        <w:tc>
          <w:tcPr>
            <w:tcW w:w="675" w:type="pct"/>
            <w:noWrap/>
            <w:vAlign w:val="center"/>
            <w:hideMark/>
          </w:tcPr>
          <w:p w:rsidR="00531797" w:rsidRPr="00395314" w:rsidRDefault="00531797" w:rsidP="00531797">
            <w:pPr>
              <w:jc w:val="center"/>
              <w:rPr>
                <w:color w:val="000000"/>
              </w:rPr>
            </w:pPr>
            <w:r w:rsidRPr="00277934">
              <w:rPr>
                <w:color w:val="000000"/>
              </w:rPr>
              <w:t>4,2</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Finanšu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palielināti izdevumi ERAF avansa, starpposma un noslēguma maksājumiem, palielināti izdevumi KF tehniskās palīdzības projektu īstenošanai)</w:t>
            </w:r>
          </w:p>
        </w:tc>
        <w:tc>
          <w:tcPr>
            <w:tcW w:w="675" w:type="pct"/>
            <w:noWrap/>
            <w:vAlign w:val="center"/>
            <w:hideMark/>
          </w:tcPr>
          <w:p w:rsidR="00531797" w:rsidRPr="00395314" w:rsidRDefault="00531797" w:rsidP="00531797">
            <w:pPr>
              <w:jc w:val="center"/>
              <w:rPr>
                <w:color w:val="000000"/>
              </w:rPr>
            </w:pPr>
            <w:r w:rsidRPr="00277934">
              <w:rPr>
                <w:color w:val="000000"/>
              </w:rPr>
              <w:t>55,4</w:t>
            </w:r>
          </w:p>
        </w:tc>
        <w:tc>
          <w:tcPr>
            <w:tcW w:w="675" w:type="pct"/>
            <w:noWrap/>
            <w:vAlign w:val="center"/>
            <w:hideMark/>
          </w:tcPr>
          <w:p w:rsidR="00531797" w:rsidRPr="00395314" w:rsidRDefault="00531797" w:rsidP="00531797">
            <w:pPr>
              <w:jc w:val="center"/>
              <w:rPr>
                <w:color w:val="000000"/>
              </w:rPr>
            </w:pPr>
            <w:r w:rsidRPr="00277934">
              <w:rPr>
                <w:color w:val="000000"/>
              </w:rPr>
              <w:t>-35,0</w:t>
            </w:r>
          </w:p>
        </w:tc>
        <w:tc>
          <w:tcPr>
            <w:tcW w:w="674" w:type="pct"/>
            <w:noWrap/>
            <w:vAlign w:val="center"/>
            <w:hideMark/>
          </w:tcPr>
          <w:p w:rsidR="00531797" w:rsidRPr="00395314" w:rsidRDefault="00531797" w:rsidP="00531797">
            <w:pPr>
              <w:jc w:val="center"/>
              <w:rPr>
                <w:color w:val="000000"/>
              </w:rPr>
            </w:pPr>
            <w:r w:rsidRPr="00277934">
              <w:rPr>
                <w:color w:val="000000"/>
              </w:rPr>
              <w:t>-2,8</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Palielināti izdevumi atbilstoši MK 08.11.2018 rīkojumam Nr.597-s</w:t>
            </w:r>
          </w:p>
        </w:tc>
        <w:tc>
          <w:tcPr>
            <w:tcW w:w="675" w:type="pct"/>
            <w:noWrap/>
            <w:vAlign w:val="center"/>
            <w:hideMark/>
          </w:tcPr>
          <w:p w:rsidR="00531797" w:rsidRPr="00395314" w:rsidRDefault="00531797" w:rsidP="00531797">
            <w:pPr>
              <w:jc w:val="center"/>
              <w:rPr>
                <w:color w:val="000000"/>
              </w:rPr>
            </w:pPr>
            <w:r w:rsidRPr="00277934">
              <w:rPr>
                <w:color w:val="000000"/>
              </w:rPr>
              <w:t>0,5</w:t>
            </w:r>
          </w:p>
        </w:tc>
        <w:tc>
          <w:tcPr>
            <w:tcW w:w="675" w:type="pct"/>
            <w:noWrap/>
            <w:vAlign w:val="center"/>
            <w:hideMark/>
          </w:tcPr>
          <w:p w:rsidR="00531797" w:rsidRPr="00395314" w:rsidRDefault="00531797" w:rsidP="00531797">
            <w:pPr>
              <w:jc w:val="center"/>
              <w:rPr>
                <w:color w:val="000000"/>
              </w:rPr>
            </w:pPr>
            <w:r w:rsidRPr="00277934">
              <w:rPr>
                <w:color w:val="000000"/>
              </w:rPr>
              <w:t>2,6</w:t>
            </w:r>
          </w:p>
        </w:tc>
        <w:tc>
          <w:tcPr>
            <w:tcW w:w="674" w:type="pct"/>
            <w:noWrap/>
            <w:vAlign w:val="center"/>
            <w:hideMark/>
          </w:tcPr>
          <w:p w:rsidR="00531797" w:rsidRPr="00395314" w:rsidRDefault="00531797" w:rsidP="00531797">
            <w:pPr>
              <w:jc w:val="center"/>
              <w:rPr>
                <w:color w:val="000000"/>
              </w:rPr>
            </w:pPr>
            <w:r w:rsidRPr="00277934">
              <w:rPr>
                <w:color w:val="000000"/>
              </w:rPr>
              <w:t>14,8</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proofErr w:type="spellStart"/>
            <w:r w:rsidRPr="00395314">
              <w:rPr>
                <w:rFonts w:eastAsia="Times New Roman"/>
                <w:color w:val="000000"/>
              </w:rPr>
              <w:t>Iekšlietu</w:t>
            </w:r>
            <w:proofErr w:type="spellEnd"/>
            <w:r w:rsidRPr="00395314">
              <w:rPr>
                <w:rFonts w:eastAsia="Times New Roman"/>
                <w:color w:val="000000"/>
              </w:rPr>
              <w:t xml:space="preserve">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palielināti izdevumi projekta "ABC vārtu uzstādīšana Starptautiskajā lidostā "Rīga"" īstenošanai un citu ES politikas instrumentu finansēšanai)</w:t>
            </w:r>
          </w:p>
        </w:tc>
        <w:tc>
          <w:tcPr>
            <w:tcW w:w="675" w:type="pct"/>
            <w:noWrap/>
            <w:vAlign w:val="center"/>
            <w:hideMark/>
          </w:tcPr>
          <w:p w:rsidR="00531797" w:rsidRPr="00395314" w:rsidRDefault="00531797" w:rsidP="00531797">
            <w:pPr>
              <w:jc w:val="center"/>
              <w:rPr>
                <w:color w:val="000000"/>
              </w:rPr>
            </w:pPr>
            <w:r w:rsidRPr="00277934">
              <w:rPr>
                <w:color w:val="000000"/>
              </w:rPr>
              <w:t>6,9</w:t>
            </w:r>
          </w:p>
        </w:tc>
        <w:tc>
          <w:tcPr>
            <w:tcW w:w="675" w:type="pct"/>
            <w:noWrap/>
            <w:vAlign w:val="center"/>
            <w:hideMark/>
          </w:tcPr>
          <w:p w:rsidR="00531797" w:rsidRPr="00395314" w:rsidRDefault="00531797" w:rsidP="00531797">
            <w:pPr>
              <w:jc w:val="center"/>
              <w:rPr>
                <w:color w:val="000000"/>
              </w:rPr>
            </w:pPr>
            <w:r w:rsidRPr="00277934">
              <w:rPr>
                <w:color w:val="000000"/>
              </w:rPr>
              <w:t>-3,8</w:t>
            </w:r>
          </w:p>
        </w:tc>
        <w:tc>
          <w:tcPr>
            <w:tcW w:w="674" w:type="pct"/>
            <w:noWrap/>
            <w:vAlign w:val="center"/>
            <w:hideMark/>
          </w:tcPr>
          <w:p w:rsidR="00531797" w:rsidRPr="00395314" w:rsidRDefault="00531797" w:rsidP="00531797">
            <w:pPr>
              <w:jc w:val="center"/>
              <w:rPr>
                <w:color w:val="000000"/>
              </w:rPr>
            </w:pPr>
            <w:r w:rsidRPr="00277934">
              <w:rPr>
                <w:color w:val="000000"/>
              </w:rPr>
              <w:t>0,1</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Izdevumu palielinājums, lai nodrošinātu pabalsta izmaksu amatpersonām ar  speciālajām dienesta pakāpēm pēc katriem pieciem nepārtrauktas izdienas gadiem</w:t>
            </w:r>
          </w:p>
        </w:tc>
        <w:tc>
          <w:tcPr>
            <w:tcW w:w="675" w:type="pct"/>
            <w:noWrap/>
            <w:vAlign w:val="center"/>
            <w:hideMark/>
          </w:tcPr>
          <w:p w:rsidR="00531797" w:rsidRPr="00395314" w:rsidRDefault="00531797" w:rsidP="00531797">
            <w:pPr>
              <w:jc w:val="center"/>
              <w:rPr>
                <w:color w:val="000000"/>
              </w:rPr>
            </w:pPr>
            <w:r w:rsidRPr="00277934">
              <w:rPr>
                <w:color w:val="000000"/>
              </w:rPr>
              <w:t>35,6</w:t>
            </w:r>
          </w:p>
        </w:tc>
        <w:tc>
          <w:tcPr>
            <w:tcW w:w="675" w:type="pct"/>
            <w:noWrap/>
            <w:vAlign w:val="center"/>
            <w:hideMark/>
          </w:tcPr>
          <w:p w:rsidR="00531797" w:rsidRPr="00395314" w:rsidRDefault="00531797" w:rsidP="00531797">
            <w:pPr>
              <w:jc w:val="center"/>
              <w:rPr>
                <w:color w:val="000000"/>
              </w:rPr>
            </w:pPr>
            <w:r w:rsidRPr="00277934">
              <w:rPr>
                <w:color w:val="000000"/>
              </w:rPr>
              <w:t>-34,2</w:t>
            </w:r>
          </w:p>
        </w:tc>
        <w:tc>
          <w:tcPr>
            <w:tcW w:w="674" w:type="pct"/>
            <w:noWrap/>
            <w:vAlign w:val="center"/>
            <w:hideMark/>
          </w:tcPr>
          <w:p w:rsidR="00531797" w:rsidRPr="00395314" w:rsidRDefault="00531797" w:rsidP="00531797">
            <w:pPr>
              <w:jc w:val="center"/>
              <w:rPr>
                <w:color w:val="000000"/>
              </w:rPr>
            </w:pPr>
            <w:r w:rsidRPr="00277934">
              <w:rPr>
                <w:color w:val="000000"/>
              </w:rPr>
              <w:t>0,5</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Izdevumu palielinājums, lai nodrošinātu prioritārā pasākuma "Pasākumu plāna noziedzīgi iegūtu līdzekļu legalizācijas un terorisma finansēšanas novēršanai laika periodam līdz 2019.gada 31.decembrim īstenošana" īstenošanu</w:t>
            </w:r>
          </w:p>
        </w:tc>
        <w:tc>
          <w:tcPr>
            <w:tcW w:w="675" w:type="pct"/>
            <w:noWrap/>
            <w:vAlign w:val="center"/>
            <w:hideMark/>
          </w:tcPr>
          <w:p w:rsidR="00531797" w:rsidRPr="00395314" w:rsidRDefault="00531797" w:rsidP="00531797">
            <w:pPr>
              <w:jc w:val="center"/>
              <w:rPr>
                <w:color w:val="000000"/>
              </w:rPr>
            </w:pPr>
            <w:r w:rsidRPr="00277934">
              <w:rPr>
                <w:color w:val="000000"/>
              </w:rPr>
              <w:t>3,8</w:t>
            </w:r>
          </w:p>
        </w:tc>
        <w:tc>
          <w:tcPr>
            <w:tcW w:w="675" w:type="pct"/>
            <w:noWrap/>
            <w:vAlign w:val="center"/>
            <w:hideMark/>
          </w:tcPr>
          <w:p w:rsidR="00531797" w:rsidRPr="00395314" w:rsidRDefault="00531797" w:rsidP="00531797">
            <w:pPr>
              <w:jc w:val="center"/>
              <w:rPr>
                <w:color w:val="000000"/>
              </w:rPr>
            </w:pPr>
            <w:r w:rsidRPr="00277934">
              <w:rPr>
                <w:color w:val="000000"/>
              </w:rPr>
              <w:t>-1,9</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Izglītības un zinātnes ministrija</w:t>
            </w:r>
          </w:p>
        </w:tc>
      </w:tr>
      <w:tr w:rsidR="00531797" w:rsidRPr="00395314" w:rsidTr="005A443D">
        <w:trPr>
          <w:trHeight w:val="283"/>
        </w:trPr>
        <w:tc>
          <w:tcPr>
            <w:tcW w:w="2976" w:type="pct"/>
            <w:shd w:val="clear" w:color="auto" w:fill="auto"/>
            <w:vAlign w:val="center"/>
            <w:hideMark/>
          </w:tcPr>
          <w:p w:rsidR="00531797" w:rsidRPr="00C63F8C" w:rsidRDefault="00531797" w:rsidP="00531797">
            <w:pPr>
              <w:jc w:val="both"/>
              <w:rPr>
                <w:rFonts w:eastAsia="Times New Roman"/>
                <w:b/>
                <w:color w:val="000000"/>
              </w:rPr>
            </w:pPr>
            <w:r w:rsidRPr="00C63F8C">
              <w:rPr>
                <w:b/>
                <w:iCs/>
                <w:color w:val="000000"/>
              </w:rPr>
              <w:t xml:space="preserve">Tehniskie precizējumi (t.sk. palielināti izdevumi ES programmas </w:t>
            </w:r>
            <w:proofErr w:type="spellStart"/>
            <w:r w:rsidRPr="00C63F8C">
              <w:rPr>
                <w:b/>
                <w:iCs/>
                <w:color w:val="000000"/>
              </w:rPr>
              <w:t>Erasmus</w:t>
            </w:r>
            <w:proofErr w:type="spellEnd"/>
            <w:r w:rsidRPr="00C63F8C">
              <w:rPr>
                <w:b/>
                <w:iCs/>
                <w:color w:val="000000"/>
              </w:rPr>
              <w:t>+ projektu īstenošanas nodrošināšanai)</w:t>
            </w:r>
          </w:p>
        </w:tc>
        <w:tc>
          <w:tcPr>
            <w:tcW w:w="675" w:type="pct"/>
            <w:shd w:val="clear" w:color="auto" w:fill="auto"/>
            <w:noWrap/>
            <w:vAlign w:val="center"/>
            <w:hideMark/>
          </w:tcPr>
          <w:p w:rsidR="00531797" w:rsidRPr="00395314" w:rsidRDefault="00531797" w:rsidP="00531797">
            <w:pPr>
              <w:jc w:val="center"/>
              <w:rPr>
                <w:color w:val="000000"/>
              </w:rPr>
            </w:pPr>
            <w:r w:rsidRPr="00277934">
              <w:rPr>
                <w:color w:val="000000"/>
              </w:rPr>
              <w:t>13,8</w:t>
            </w:r>
          </w:p>
        </w:tc>
        <w:tc>
          <w:tcPr>
            <w:tcW w:w="675" w:type="pct"/>
            <w:shd w:val="clear" w:color="auto" w:fill="auto"/>
            <w:noWrap/>
            <w:vAlign w:val="center"/>
            <w:hideMark/>
          </w:tcPr>
          <w:p w:rsidR="00531797" w:rsidRPr="00395314" w:rsidRDefault="00531797" w:rsidP="00531797">
            <w:pPr>
              <w:jc w:val="center"/>
              <w:rPr>
                <w:color w:val="000000"/>
              </w:rPr>
            </w:pPr>
            <w:r w:rsidRPr="00277934">
              <w:rPr>
                <w:color w:val="000000"/>
              </w:rPr>
              <w:t>-10,8</w:t>
            </w:r>
          </w:p>
        </w:tc>
        <w:tc>
          <w:tcPr>
            <w:tcW w:w="674" w:type="pct"/>
            <w:shd w:val="clear" w:color="auto" w:fill="auto"/>
            <w:noWrap/>
            <w:vAlign w:val="center"/>
            <w:hideMark/>
          </w:tcPr>
          <w:p w:rsidR="00531797" w:rsidRPr="00395314" w:rsidRDefault="00531797" w:rsidP="00531797">
            <w:pPr>
              <w:jc w:val="center"/>
              <w:rPr>
                <w:color w:val="000000"/>
              </w:rPr>
            </w:pPr>
            <w:r w:rsidRPr="00277934">
              <w:rPr>
                <w:color w:val="000000"/>
              </w:rPr>
              <w:t>-2,0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Zemkopības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palielināti izdevumi citu ES politiku instrumentu projektu un pasākumu īstenošanai)</w:t>
            </w:r>
          </w:p>
        </w:tc>
        <w:tc>
          <w:tcPr>
            <w:tcW w:w="675" w:type="pct"/>
            <w:noWrap/>
            <w:vAlign w:val="center"/>
            <w:hideMark/>
          </w:tcPr>
          <w:p w:rsidR="00531797" w:rsidRPr="00395314" w:rsidRDefault="00531797" w:rsidP="00531797">
            <w:pPr>
              <w:jc w:val="center"/>
              <w:rPr>
                <w:color w:val="000000"/>
              </w:rPr>
            </w:pPr>
            <w:r w:rsidRPr="00277934">
              <w:rPr>
                <w:color w:val="000000"/>
              </w:rPr>
              <w:t>22,5</w:t>
            </w:r>
          </w:p>
        </w:tc>
        <w:tc>
          <w:tcPr>
            <w:tcW w:w="675" w:type="pct"/>
            <w:noWrap/>
            <w:vAlign w:val="center"/>
            <w:hideMark/>
          </w:tcPr>
          <w:p w:rsidR="00531797" w:rsidRPr="00395314" w:rsidRDefault="00531797" w:rsidP="00531797">
            <w:pPr>
              <w:jc w:val="center"/>
              <w:rPr>
                <w:color w:val="000000"/>
              </w:rPr>
            </w:pPr>
            <w:r w:rsidRPr="00277934">
              <w:rPr>
                <w:color w:val="000000"/>
              </w:rPr>
              <w:t>-19,4</w:t>
            </w:r>
          </w:p>
        </w:tc>
        <w:tc>
          <w:tcPr>
            <w:tcW w:w="674" w:type="pct"/>
            <w:noWrap/>
            <w:vAlign w:val="center"/>
            <w:hideMark/>
          </w:tcPr>
          <w:p w:rsidR="00531797" w:rsidRPr="00395314" w:rsidRDefault="00531797" w:rsidP="00531797">
            <w:pPr>
              <w:jc w:val="center"/>
              <w:rPr>
                <w:color w:val="000000"/>
              </w:rPr>
            </w:pPr>
            <w:r w:rsidRPr="00277934">
              <w:rPr>
                <w:color w:val="000000"/>
              </w:rPr>
              <w:t>-2,8</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Apropriācijas palielinājums ALTUM aizdevumu programmas īstenošanai</w:t>
            </w:r>
          </w:p>
        </w:tc>
        <w:tc>
          <w:tcPr>
            <w:tcW w:w="675" w:type="pct"/>
            <w:noWrap/>
            <w:vAlign w:val="center"/>
            <w:hideMark/>
          </w:tcPr>
          <w:p w:rsidR="00531797" w:rsidRPr="00395314" w:rsidRDefault="00531797" w:rsidP="00531797">
            <w:pPr>
              <w:jc w:val="center"/>
              <w:rPr>
                <w:color w:val="000000"/>
              </w:rPr>
            </w:pPr>
            <w:r w:rsidRPr="00277934">
              <w:rPr>
                <w:color w:val="000000"/>
              </w:rPr>
              <w:t>3,3</w:t>
            </w:r>
          </w:p>
        </w:tc>
        <w:tc>
          <w:tcPr>
            <w:tcW w:w="675" w:type="pct"/>
            <w:noWrap/>
            <w:vAlign w:val="center"/>
            <w:hideMark/>
          </w:tcPr>
          <w:p w:rsidR="00531797" w:rsidRPr="00395314" w:rsidRDefault="00531797" w:rsidP="00531797">
            <w:pPr>
              <w:jc w:val="center"/>
              <w:rPr>
                <w:color w:val="000000"/>
              </w:rPr>
            </w:pPr>
            <w:r w:rsidRPr="00277934">
              <w:rPr>
                <w:color w:val="000000"/>
              </w:rPr>
              <w:t>-3,3</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Satiksmes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 precizējumi (t.sk. palielināti izdevumi citu ES politiku instrumentu projektu un pasākumu īstenošanai)</w:t>
            </w:r>
          </w:p>
        </w:tc>
        <w:tc>
          <w:tcPr>
            <w:tcW w:w="675" w:type="pct"/>
            <w:noWrap/>
            <w:vAlign w:val="center"/>
            <w:hideMark/>
          </w:tcPr>
          <w:p w:rsidR="00531797" w:rsidRPr="00395314" w:rsidRDefault="00531797" w:rsidP="00531797">
            <w:pPr>
              <w:jc w:val="center"/>
              <w:rPr>
                <w:color w:val="000000"/>
              </w:rPr>
            </w:pPr>
            <w:r w:rsidRPr="00277934">
              <w:rPr>
                <w:color w:val="000000"/>
              </w:rPr>
              <w:t>7,1</w:t>
            </w:r>
          </w:p>
        </w:tc>
        <w:tc>
          <w:tcPr>
            <w:tcW w:w="675" w:type="pct"/>
            <w:noWrap/>
            <w:vAlign w:val="center"/>
            <w:hideMark/>
          </w:tcPr>
          <w:p w:rsidR="00531797" w:rsidRPr="00395314" w:rsidRDefault="00531797" w:rsidP="00531797">
            <w:pPr>
              <w:jc w:val="center"/>
              <w:rPr>
                <w:color w:val="000000"/>
              </w:rPr>
            </w:pPr>
            <w:r w:rsidRPr="00277934">
              <w:rPr>
                <w:color w:val="000000"/>
              </w:rPr>
              <w:t>-5,7</w:t>
            </w:r>
          </w:p>
        </w:tc>
        <w:tc>
          <w:tcPr>
            <w:tcW w:w="674" w:type="pct"/>
            <w:noWrap/>
            <w:vAlign w:val="center"/>
            <w:hideMark/>
          </w:tcPr>
          <w:p w:rsidR="00531797" w:rsidRPr="00395314" w:rsidRDefault="00531797" w:rsidP="00531797">
            <w:pPr>
              <w:jc w:val="center"/>
              <w:rPr>
                <w:color w:val="000000"/>
              </w:rPr>
            </w:pPr>
            <w:r w:rsidRPr="00277934">
              <w:rPr>
                <w:color w:val="000000"/>
              </w:rPr>
              <w:t>-0,4</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Labklājības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Tehniski precizējumi</w:t>
            </w:r>
          </w:p>
        </w:tc>
        <w:tc>
          <w:tcPr>
            <w:tcW w:w="675" w:type="pct"/>
            <w:noWrap/>
            <w:vAlign w:val="center"/>
            <w:hideMark/>
          </w:tcPr>
          <w:p w:rsidR="00531797" w:rsidRPr="00395314" w:rsidRDefault="00531797" w:rsidP="00531797">
            <w:pPr>
              <w:jc w:val="center"/>
              <w:rPr>
                <w:color w:val="000000"/>
              </w:rPr>
            </w:pPr>
            <w:r w:rsidRPr="00277934">
              <w:rPr>
                <w:color w:val="000000"/>
              </w:rPr>
              <w:t>4,4</w:t>
            </w:r>
          </w:p>
        </w:tc>
        <w:tc>
          <w:tcPr>
            <w:tcW w:w="675" w:type="pct"/>
            <w:noWrap/>
            <w:vAlign w:val="center"/>
            <w:hideMark/>
          </w:tcPr>
          <w:p w:rsidR="00531797" w:rsidRPr="00395314" w:rsidRDefault="00531797" w:rsidP="00531797">
            <w:pPr>
              <w:jc w:val="center"/>
              <w:rPr>
                <w:color w:val="000000"/>
              </w:rPr>
            </w:pPr>
            <w:r w:rsidRPr="00277934">
              <w:rPr>
                <w:color w:val="000000"/>
              </w:rPr>
              <w:t>-2,9</w:t>
            </w:r>
          </w:p>
        </w:tc>
        <w:tc>
          <w:tcPr>
            <w:tcW w:w="674" w:type="pct"/>
            <w:noWrap/>
            <w:vAlign w:val="center"/>
            <w:hideMark/>
          </w:tcPr>
          <w:p w:rsidR="00531797" w:rsidRPr="00395314" w:rsidRDefault="00531797" w:rsidP="00531797">
            <w:pPr>
              <w:jc w:val="center"/>
              <w:rPr>
                <w:color w:val="000000"/>
              </w:rPr>
            </w:pPr>
            <w:r w:rsidRPr="00277934">
              <w:rPr>
                <w:color w:val="000000"/>
              </w:rPr>
              <w:t>-0,9</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Palielināti izdevumi, lai nodrošinātu prioritārā pasākuma “Ilgstošās sociālās aprūpes pakalpojuma kvalitātes uzlabošana” īstenošanu</w:t>
            </w:r>
          </w:p>
        </w:tc>
        <w:tc>
          <w:tcPr>
            <w:tcW w:w="675" w:type="pct"/>
            <w:noWrap/>
            <w:vAlign w:val="center"/>
            <w:hideMark/>
          </w:tcPr>
          <w:p w:rsidR="00531797" w:rsidRPr="00395314" w:rsidRDefault="00531797" w:rsidP="00531797">
            <w:pPr>
              <w:jc w:val="center"/>
              <w:rPr>
                <w:color w:val="000000"/>
              </w:rPr>
            </w:pPr>
            <w:r w:rsidRPr="00277934">
              <w:rPr>
                <w:color w:val="000000"/>
              </w:rPr>
              <w:t>4,8</w:t>
            </w:r>
          </w:p>
        </w:tc>
        <w:tc>
          <w:tcPr>
            <w:tcW w:w="675" w:type="pct"/>
            <w:noWrap/>
            <w:vAlign w:val="center"/>
            <w:hideMark/>
          </w:tcPr>
          <w:p w:rsidR="00531797" w:rsidRPr="00395314" w:rsidRDefault="00531797" w:rsidP="00531797">
            <w:pPr>
              <w:jc w:val="center"/>
              <w:rPr>
                <w:color w:val="000000"/>
              </w:rPr>
            </w:pPr>
            <w:r w:rsidRPr="00277934">
              <w:rPr>
                <w:color w:val="000000"/>
              </w:rPr>
              <w:t>1,6</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Tieslietu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palielināti izdevumi, lai nodrošinātu valsts garantēto uzturlīdzekļu izmaksu no Uzturlīdzekļu garantiju fonda)</w:t>
            </w:r>
          </w:p>
        </w:tc>
        <w:tc>
          <w:tcPr>
            <w:tcW w:w="675" w:type="pct"/>
            <w:noWrap/>
            <w:vAlign w:val="center"/>
            <w:hideMark/>
          </w:tcPr>
          <w:p w:rsidR="00531797" w:rsidRPr="00395314" w:rsidRDefault="00531797" w:rsidP="00531797">
            <w:pPr>
              <w:jc w:val="center"/>
              <w:rPr>
                <w:color w:val="000000"/>
              </w:rPr>
            </w:pPr>
            <w:r w:rsidRPr="00277934">
              <w:rPr>
                <w:color w:val="000000"/>
              </w:rPr>
              <w:t>6,2</w:t>
            </w:r>
          </w:p>
        </w:tc>
        <w:tc>
          <w:tcPr>
            <w:tcW w:w="675" w:type="pct"/>
            <w:noWrap/>
            <w:vAlign w:val="center"/>
            <w:hideMark/>
          </w:tcPr>
          <w:p w:rsidR="00531797" w:rsidRPr="00395314" w:rsidRDefault="00531797" w:rsidP="00531797">
            <w:pPr>
              <w:jc w:val="center"/>
              <w:rPr>
                <w:color w:val="000000"/>
              </w:rPr>
            </w:pPr>
            <w:r w:rsidRPr="00277934">
              <w:rPr>
                <w:color w:val="000000"/>
              </w:rPr>
              <w:t>-1,5</w:t>
            </w:r>
          </w:p>
        </w:tc>
        <w:tc>
          <w:tcPr>
            <w:tcW w:w="674" w:type="pct"/>
            <w:noWrap/>
            <w:vAlign w:val="center"/>
            <w:hideMark/>
          </w:tcPr>
          <w:p w:rsidR="00531797" w:rsidRPr="00395314" w:rsidRDefault="00531797" w:rsidP="00531797">
            <w:pPr>
              <w:jc w:val="center"/>
              <w:rPr>
                <w:color w:val="000000"/>
              </w:rPr>
            </w:pPr>
            <w:r w:rsidRPr="00277934">
              <w:rPr>
                <w:color w:val="000000"/>
              </w:rPr>
              <w:t>-0,2</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lastRenderedPageBreak/>
              <w:t>Palielināti izdevumi, lai nodrošinātu tiesnešu atalgojuma palielināšanu</w:t>
            </w:r>
          </w:p>
        </w:tc>
        <w:tc>
          <w:tcPr>
            <w:tcW w:w="675" w:type="pct"/>
            <w:noWrap/>
            <w:vAlign w:val="center"/>
            <w:hideMark/>
          </w:tcPr>
          <w:p w:rsidR="00531797" w:rsidRPr="00395314" w:rsidRDefault="00531797" w:rsidP="00531797">
            <w:pPr>
              <w:jc w:val="center"/>
              <w:rPr>
                <w:color w:val="000000"/>
              </w:rPr>
            </w:pPr>
            <w:r w:rsidRPr="00277934">
              <w:rPr>
                <w:color w:val="000000"/>
              </w:rPr>
              <w:t>4,2</w:t>
            </w:r>
          </w:p>
        </w:tc>
        <w:tc>
          <w:tcPr>
            <w:tcW w:w="675" w:type="pct"/>
            <w:noWrap/>
            <w:vAlign w:val="center"/>
            <w:hideMark/>
          </w:tcPr>
          <w:p w:rsidR="00531797" w:rsidRPr="00395314" w:rsidRDefault="00531797" w:rsidP="00531797">
            <w:pPr>
              <w:jc w:val="center"/>
              <w:rPr>
                <w:color w:val="000000"/>
              </w:rPr>
            </w:pPr>
            <w:r w:rsidRPr="00277934">
              <w:rPr>
                <w:color w:val="000000"/>
              </w:rPr>
              <w:t>-1,4</w:t>
            </w:r>
          </w:p>
        </w:tc>
        <w:tc>
          <w:tcPr>
            <w:tcW w:w="674" w:type="pct"/>
            <w:noWrap/>
            <w:vAlign w:val="center"/>
            <w:hideMark/>
          </w:tcPr>
          <w:p w:rsidR="00531797" w:rsidRPr="00395314" w:rsidRDefault="00531797" w:rsidP="00531797">
            <w:pPr>
              <w:jc w:val="center"/>
              <w:rPr>
                <w:color w:val="000000"/>
              </w:rPr>
            </w:pPr>
            <w:r w:rsidRPr="00277934">
              <w:rPr>
                <w:color w:val="000000"/>
              </w:rPr>
              <w:t>1,1</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 xml:space="preserve">Palielināti izdevumi saskaņā ar </w:t>
            </w:r>
            <w:r w:rsidRPr="006C5ABE">
              <w:rPr>
                <w:color w:val="000000"/>
                <w:sz w:val="24"/>
                <w:szCs w:val="24"/>
              </w:rPr>
              <w:t>M</w:t>
            </w:r>
            <w:r>
              <w:rPr>
                <w:color w:val="000000"/>
                <w:sz w:val="24"/>
                <w:szCs w:val="24"/>
              </w:rPr>
              <w:t>K</w:t>
            </w:r>
            <w:r w:rsidRPr="00C63F8C">
              <w:rPr>
                <w:b/>
                <w:iCs/>
                <w:color w:val="000000"/>
              </w:rPr>
              <w:t xml:space="preserve"> rīkojuma Nr.572-s 3.punktu</w:t>
            </w:r>
          </w:p>
        </w:tc>
        <w:tc>
          <w:tcPr>
            <w:tcW w:w="675" w:type="pct"/>
            <w:noWrap/>
            <w:vAlign w:val="center"/>
            <w:hideMark/>
          </w:tcPr>
          <w:p w:rsidR="00531797" w:rsidRPr="00395314" w:rsidRDefault="00531797" w:rsidP="00531797">
            <w:pPr>
              <w:jc w:val="center"/>
              <w:rPr>
                <w:color w:val="000000"/>
              </w:rPr>
            </w:pPr>
            <w:r w:rsidRPr="00277934">
              <w:rPr>
                <w:color w:val="000000"/>
              </w:rPr>
              <w:t>2,4</w:t>
            </w:r>
          </w:p>
        </w:tc>
        <w:tc>
          <w:tcPr>
            <w:tcW w:w="675" w:type="pct"/>
            <w:noWrap/>
            <w:vAlign w:val="center"/>
            <w:hideMark/>
          </w:tcPr>
          <w:p w:rsidR="00531797" w:rsidRPr="00395314" w:rsidRDefault="00531797" w:rsidP="00531797">
            <w:pPr>
              <w:jc w:val="center"/>
              <w:rPr>
                <w:color w:val="000000"/>
              </w:rPr>
            </w:pPr>
            <w:r w:rsidRPr="00277934">
              <w:rPr>
                <w:color w:val="000000"/>
              </w:rPr>
              <w:t>0,1</w:t>
            </w:r>
          </w:p>
        </w:tc>
        <w:tc>
          <w:tcPr>
            <w:tcW w:w="674" w:type="pct"/>
            <w:noWrap/>
            <w:vAlign w:val="center"/>
            <w:hideMark/>
          </w:tcPr>
          <w:p w:rsidR="00531797" w:rsidRPr="00395314" w:rsidRDefault="00531797" w:rsidP="00531797">
            <w:pPr>
              <w:jc w:val="center"/>
              <w:rPr>
                <w:color w:val="000000"/>
              </w:rPr>
            </w:pPr>
            <w:r w:rsidRPr="00277934">
              <w:rPr>
                <w:color w:val="000000"/>
              </w:rPr>
              <w:t>22,6</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Palielināti izdevumi, lai nodrošinātu izdienas pabalstu izmaksu Ieslodzījuma vietu pārvaldes amatpersonām ar speciālo dienesta pakāpi pēc katriem pieciem nepārtrauktas izdienas gadiem</w:t>
            </w:r>
          </w:p>
        </w:tc>
        <w:tc>
          <w:tcPr>
            <w:tcW w:w="675" w:type="pct"/>
            <w:noWrap/>
            <w:vAlign w:val="center"/>
            <w:hideMark/>
          </w:tcPr>
          <w:p w:rsidR="00531797" w:rsidRPr="00395314" w:rsidRDefault="00531797" w:rsidP="00531797">
            <w:pPr>
              <w:jc w:val="center"/>
              <w:rPr>
                <w:color w:val="000000"/>
              </w:rPr>
            </w:pPr>
            <w:r w:rsidRPr="00277934">
              <w:rPr>
                <w:color w:val="000000"/>
              </w:rPr>
              <w:t>5,7</w:t>
            </w:r>
          </w:p>
        </w:tc>
        <w:tc>
          <w:tcPr>
            <w:tcW w:w="675" w:type="pct"/>
            <w:noWrap/>
            <w:vAlign w:val="center"/>
            <w:hideMark/>
          </w:tcPr>
          <w:p w:rsidR="00531797" w:rsidRPr="00395314" w:rsidRDefault="00531797" w:rsidP="00531797">
            <w:pPr>
              <w:jc w:val="center"/>
              <w:rPr>
                <w:color w:val="000000"/>
              </w:rPr>
            </w:pPr>
            <w:r w:rsidRPr="00277934">
              <w:rPr>
                <w:color w:val="000000"/>
              </w:rPr>
              <w:t>-5,2</w:t>
            </w:r>
          </w:p>
        </w:tc>
        <w:tc>
          <w:tcPr>
            <w:tcW w:w="674" w:type="pct"/>
            <w:noWrap/>
            <w:vAlign w:val="center"/>
            <w:hideMark/>
          </w:tcPr>
          <w:p w:rsidR="00531797" w:rsidRPr="00395314" w:rsidRDefault="00531797" w:rsidP="00531797">
            <w:pPr>
              <w:jc w:val="center"/>
              <w:rPr>
                <w:color w:val="000000"/>
              </w:rPr>
            </w:pPr>
            <w:r w:rsidRPr="00277934">
              <w:rPr>
                <w:color w:val="000000"/>
              </w:rPr>
              <w:t>0,1</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Papildu finansējums, lai nodrošinātu valsts garantēto uzturlīdzekļu izmaksu no Uzturlīdzekļu garantiju fonda</w:t>
            </w:r>
          </w:p>
        </w:tc>
        <w:tc>
          <w:tcPr>
            <w:tcW w:w="675" w:type="pct"/>
            <w:noWrap/>
            <w:vAlign w:val="center"/>
            <w:hideMark/>
          </w:tcPr>
          <w:p w:rsidR="00531797" w:rsidRPr="00395314" w:rsidRDefault="00531797" w:rsidP="00531797">
            <w:pPr>
              <w:jc w:val="center"/>
              <w:rPr>
                <w:color w:val="000000"/>
              </w:rPr>
            </w:pPr>
            <w:r w:rsidRPr="00277934">
              <w:rPr>
                <w:color w:val="000000"/>
              </w:rPr>
              <w:t>7,9</w:t>
            </w:r>
          </w:p>
        </w:tc>
        <w:tc>
          <w:tcPr>
            <w:tcW w:w="675" w:type="pct"/>
            <w:noWrap/>
            <w:vAlign w:val="center"/>
            <w:hideMark/>
          </w:tcPr>
          <w:p w:rsidR="00531797" w:rsidRPr="00395314" w:rsidRDefault="00531797" w:rsidP="00531797">
            <w:pPr>
              <w:jc w:val="center"/>
              <w:rPr>
                <w:color w:val="000000"/>
              </w:rPr>
            </w:pPr>
            <w:r w:rsidRPr="00277934">
              <w:rPr>
                <w:color w:val="000000"/>
              </w:rPr>
              <w:t>0,0</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Vides aizsardzības un reģionālās attīstības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finansējuma pārrobežu sadarbības programmu darbības nodrošināšanai, projektiem un pasākumiem)</w:t>
            </w:r>
          </w:p>
        </w:tc>
        <w:tc>
          <w:tcPr>
            <w:tcW w:w="675" w:type="pct"/>
            <w:noWrap/>
            <w:vAlign w:val="center"/>
            <w:hideMark/>
          </w:tcPr>
          <w:p w:rsidR="00531797" w:rsidRPr="00395314" w:rsidRDefault="00531797" w:rsidP="00531797">
            <w:pPr>
              <w:jc w:val="center"/>
              <w:rPr>
                <w:color w:val="000000"/>
              </w:rPr>
            </w:pPr>
            <w:r w:rsidRPr="00277934">
              <w:rPr>
                <w:color w:val="000000"/>
              </w:rPr>
              <w:t>14,1</w:t>
            </w:r>
          </w:p>
        </w:tc>
        <w:tc>
          <w:tcPr>
            <w:tcW w:w="675" w:type="pct"/>
            <w:noWrap/>
            <w:vAlign w:val="center"/>
            <w:hideMark/>
          </w:tcPr>
          <w:p w:rsidR="00531797" w:rsidRPr="00395314" w:rsidRDefault="00531797" w:rsidP="00531797">
            <w:pPr>
              <w:jc w:val="center"/>
              <w:rPr>
                <w:color w:val="000000"/>
              </w:rPr>
            </w:pPr>
            <w:r w:rsidRPr="00277934">
              <w:rPr>
                <w:color w:val="000000"/>
              </w:rPr>
              <w:t>-11,2</w:t>
            </w:r>
          </w:p>
        </w:tc>
        <w:tc>
          <w:tcPr>
            <w:tcW w:w="674" w:type="pct"/>
            <w:noWrap/>
            <w:vAlign w:val="center"/>
            <w:hideMark/>
          </w:tcPr>
          <w:p w:rsidR="00531797" w:rsidRPr="00395314" w:rsidRDefault="00531797" w:rsidP="00531797">
            <w:pPr>
              <w:jc w:val="center"/>
              <w:rPr>
                <w:color w:val="000000"/>
              </w:rPr>
            </w:pPr>
            <w:r w:rsidRPr="00277934">
              <w:rPr>
                <w:color w:val="000000"/>
              </w:rPr>
              <w:t>-0,3</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Kultūras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 xml:space="preserve">Tehniskie precizējumi (t.sk. finansējuma palielinājums ERAF projektu "Infrastruktūras modernizācija", "Infrastruktūras attīstība", "Kultūras mantojuma satura </w:t>
            </w:r>
            <w:proofErr w:type="spellStart"/>
            <w:r w:rsidRPr="00C63F8C">
              <w:rPr>
                <w:b/>
                <w:iCs/>
                <w:color w:val="000000"/>
              </w:rPr>
              <w:t>digitalizācija</w:t>
            </w:r>
            <w:proofErr w:type="spellEnd"/>
            <w:r w:rsidRPr="00C63F8C">
              <w:rPr>
                <w:b/>
                <w:iCs/>
                <w:color w:val="000000"/>
              </w:rPr>
              <w:t>" un "Profesionālās kultūrizglītības mācību vides modernizēšana" īstenošanai)</w:t>
            </w:r>
          </w:p>
        </w:tc>
        <w:tc>
          <w:tcPr>
            <w:tcW w:w="675" w:type="pct"/>
            <w:noWrap/>
            <w:vAlign w:val="center"/>
            <w:hideMark/>
          </w:tcPr>
          <w:p w:rsidR="00531797" w:rsidRPr="00395314" w:rsidRDefault="00531797" w:rsidP="00531797">
            <w:pPr>
              <w:jc w:val="center"/>
              <w:rPr>
                <w:color w:val="000000"/>
              </w:rPr>
            </w:pPr>
            <w:r w:rsidRPr="00277934">
              <w:rPr>
                <w:color w:val="000000"/>
              </w:rPr>
              <w:t>5,1</w:t>
            </w:r>
          </w:p>
        </w:tc>
        <w:tc>
          <w:tcPr>
            <w:tcW w:w="675" w:type="pct"/>
            <w:noWrap/>
            <w:vAlign w:val="center"/>
            <w:hideMark/>
          </w:tcPr>
          <w:p w:rsidR="00531797" w:rsidRPr="00395314" w:rsidRDefault="00531797" w:rsidP="00531797">
            <w:pPr>
              <w:jc w:val="center"/>
              <w:rPr>
                <w:color w:val="000000"/>
              </w:rPr>
            </w:pPr>
            <w:r w:rsidRPr="00277934">
              <w:rPr>
                <w:color w:val="000000"/>
              </w:rPr>
              <w:t>-4,4</w:t>
            </w:r>
          </w:p>
        </w:tc>
        <w:tc>
          <w:tcPr>
            <w:tcW w:w="674" w:type="pct"/>
            <w:noWrap/>
            <w:vAlign w:val="center"/>
            <w:hideMark/>
          </w:tcPr>
          <w:p w:rsidR="00531797" w:rsidRPr="00395314" w:rsidRDefault="00531797" w:rsidP="00531797">
            <w:pPr>
              <w:jc w:val="center"/>
              <w:rPr>
                <w:color w:val="000000"/>
              </w:rPr>
            </w:pPr>
            <w:r w:rsidRPr="00277934">
              <w:rPr>
                <w:color w:val="000000"/>
              </w:rPr>
              <w:t>-0,1</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Veselības ministrija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palielināti izdevumi ERAF projektu veselības jomā īstenošanai, palielināti izdevumi kompensējamo medikamentu recepšu apmaksai)</w:t>
            </w:r>
          </w:p>
        </w:tc>
        <w:tc>
          <w:tcPr>
            <w:tcW w:w="675" w:type="pct"/>
            <w:noWrap/>
            <w:vAlign w:val="center"/>
            <w:hideMark/>
          </w:tcPr>
          <w:p w:rsidR="00531797" w:rsidRPr="00395314" w:rsidRDefault="00531797" w:rsidP="00531797">
            <w:pPr>
              <w:jc w:val="center"/>
              <w:rPr>
                <w:color w:val="000000"/>
              </w:rPr>
            </w:pPr>
            <w:r w:rsidRPr="00277934">
              <w:rPr>
                <w:color w:val="000000"/>
              </w:rPr>
              <w:t>10,7</w:t>
            </w:r>
          </w:p>
        </w:tc>
        <w:tc>
          <w:tcPr>
            <w:tcW w:w="675" w:type="pct"/>
            <w:noWrap/>
            <w:vAlign w:val="center"/>
            <w:hideMark/>
          </w:tcPr>
          <w:p w:rsidR="00531797" w:rsidRPr="00395314" w:rsidRDefault="00531797" w:rsidP="00531797">
            <w:pPr>
              <w:jc w:val="center"/>
              <w:rPr>
                <w:color w:val="000000"/>
              </w:rPr>
            </w:pPr>
            <w:r w:rsidRPr="00277934">
              <w:rPr>
                <w:color w:val="000000"/>
              </w:rPr>
              <w:t>-10,6</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rPr>
              <w:t>Palielināti izdevumi, lai nodrošinātu darba samaksas palielināšanu pārējam personālam, kas nav ārstniecības personas, saistībā ar valsts apmaksāto veselības aprūpes pakalpojumu sniegšanu</w:t>
            </w:r>
          </w:p>
        </w:tc>
        <w:tc>
          <w:tcPr>
            <w:tcW w:w="675" w:type="pct"/>
            <w:noWrap/>
            <w:vAlign w:val="center"/>
            <w:hideMark/>
          </w:tcPr>
          <w:p w:rsidR="00531797" w:rsidRPr="00395314" w:rsidRDefault="00531797" w:rsidP="00531797">
            <w:pPr>
              <w:jc w:val="center"/>
              <w:rPr>
                <w:color w:val="000000"/>
              </w:rPr>
            </w:pPr>
            <w:r w:rsidRPr="00277934">
              <w:rPr>
                <w:color w:val="000000"/>
              </w:rPr>
              <w:t>9,7</w:t>
            </w:r>
          </w:p>
        </w:tc>
        <w:tc>
          <w:tcPr>
            <w:tcW w:w="675" w:type="pct"/>
            <w:noWrap/>
            <w:vAlign w:val="center"/>
            <w:hideMark/>
          </w:tcPr>
          <w:p w:rsidR="00531797" w:rsidRPr="00395314" w:rsidRDefault="00531797" w:rsidP="00531797">
            <w:pPr>
              <w:jc w:val="center"/>
              <w:rPr>
                <w:color w:val="000000"/>
              </w:rPr>
            </w:pPr>
            <w:r w:rsidRPr="00277934">
              <w:rPr>
                <w:color w:val="000000"/>
              </w:rPr>
              <w:t>0,0</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rPr>
              <w:t>Palielināti izdevumi, lai nodrošinātu darba samaksas palielināšanu ārstniecības personām, tai skaitā saistībā ar pagarinātā normālā darba laika atcelšanu</w:t>
            </w:r>
          </w:p>
        </w:tc>
        <w:tc>
          <w:tcPr>
            <w:tcW w:w="675" w:type="pct"/>
            <w:noWrap/>
            <w:vAlign w:val="center"/>
            <w:hideMark/>
          </w:tcPr>
          <w:p w:rsidR="00531797" w:rsidRPr="00395314" w:rsidRDefault="00531797" w:rsidP="00531797">
            <w:pPr>
              <w:jc w:val="center"/>
              <w:rPr>
                <w:color w:val="000000"/>
              </w:rPr>
            </w:pPr>
            <w:r w:rsidRPr="00277934">
              <w:rPr>
                <w:color w:val="000000"/>
              </w:rPr>
              <w:t>3,6</w:t>
            </w:r>
          </w:p>
        </w:tc>
        <w:tc>
          <w:tcPr>
            <w:tcW w:w="675" w:type="pct"/>
            <w:noWrap/>
            <w:vAlign w:val="center"/>
            <w:hideMark/>
          </w:tcPr>
          <w:p w:rsidR="00531797" w:rsidRPr="00395314" w:rsidRDefault="00531797" w:rsidP="00531797">
            <w:pPr>
              <w:jc w:val="center"/>
              <w:rPr>
                <w:color w:val="000000"/>
              </w:rPr>
            </w:pPr>
            <w:r w:rsidRPr="00277934">
              <w:rPr>
                <w:color w:val="000000"/>
              </w:rPr>
              <w:t>0,0</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rPr>
              <w:t>Palielināti izdevumi, lai nodrošinātu ārstniecības personu zemāko mēnešalgas likmes palielināšanu</w:t>
            </w:r>
          </w:p>
        </w:tc>
        <w:tc>
          <w:tcPr>
            <w:tcW w:w="675" w:type="pct"/>
            <w:noWrap/>
            <w:vAlign w:val="center"/>
            <w:hideMark/>
          </w:tcPr>
          <w:p w:rsidR="00531797" w:rsidRPr="00395314" w:rsidRDefault="00531797" w:rsidP="00531797">
            <w:pPr>
              <w:jc w:val="center"/>
              <w:rPr>
                <w:color w:val="000000"/>
              </w:rPr>
            </w:pPr>
            <w:r w:rsidRPr="00277934">
              <w:rPr>
                <w:color w:val="000000"/>
              </w:rPr>
              <w:t>62,7</w:t>
            </w:r>
          </w:p>
        </w:tc>
        <w:tc>
          <w:tcPr>
            <w:tcW w:w="675" w:type="pct"/>
            <w:noWrap/>
            <w:vAlign w:val="center"/>
            <w:hideMark/>
          </w:tcPr>
          <w:p w:rsidR="00531797" w:rsidRPr="00395314" w:rsidRDefault="00531797" w:rsidP="00531797">
            <w:pPr>
              <w:jc w:val="center"/>
              <w:rPr>
                <w:color w:val="000000"/>
              </w:rPr>
            </w:pPr>
            <w:r w:rsidRPr="00277934">
              <w:rPr>
                <w:color w:val="000000"/>
              </w:rPr>
              <w:t>0,0</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rPr>
              <w:t>Palielināti izdevumi, lai nodrošinātu darba samaksas palielināšanu Neatliekamās medicīniskās palīdzības dienestā strādājošām ārstniecības personām un neatliekamās medicīniskās palīdzības brigādes operatīvā medicīniskā transportlīdzekļa vadītājiem</w:t>
            </w:r>
          </w:p>
        </w:tc>
        <w:tc>
          <w:tcPr>
            <w:tcW w:w="675" w:type="pct"/>
            <w:noWrap/>
            <w:vAlign w:val="center"/>
            <w:hideMark/>
          </w:tcPr>
          <w:p w:rsidR="00531797" w:rsidRPr="00395314" w:rsidRDefault="00531797" w:rsidP="00531797">
            <w:pPr>
              <w:jc w:val="center"/>
              <w:rPr>
                <w:color w:val="000000"/>
              </w:rPr>
            </w:pPr>
            <w:r w:rsidRPr="00277934">
              <w:rPr>
                <w:color w:val="000000"/>
              </w:rPr>
              <w:t>8,0</w:t>
            </w:r>
          </w:p>
        </w:tc>
        <w:tc>
          <w:tcPr>
            <w:tcW w:w="675" w:type="pct"/>
            <w:noWrap/>
            <w:vAlign w:val="center"/>
            <w:hideMark/>
          </w:tcPr>
          <w:p w:rsidR="00531797" w:rsidRPr="00395314" w:rsidRDefault="00531797" w:rsidP="00531797">
            <w:pPr>
              <w:jc w:val="center"/>
              <w:rPr>
                <w:color w:val="000000"/>
              </w:rPr>
            </w:pPr>
            <w:r w:rsidRPr="00277934">
              <w:rPr>
                <w:color w:val="000000"/>
              </w:rPr>
              <w:t>0,0</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022118" w:rsidRPr="00395314" w:rsidTr="005A443D">
        <w:trPr>
          <w:trHeight w:val="283"/>
        </w:trPr>
        <w:tc>
          <w:tcPr>
            <w:tcW w:w="5000" w:type="pct"/>
            <w:gridSpan w:val="4"/>
            <w:shd w:val="clear" w:color="auto" w:fill="DEEAF6"/>
            <w:vAlign w:val="center"/>
            <w:hideMark/>
          </w:tcPr>
          <w:p w:rsidR="00022118" w:rsidRPr="00395314" w:rsidRDefault="00022118" w:rsidP="007366FB">
            <w:pPr>
              <w:jc w:val="center"/>
              <w:rPr>
                <w:color w:val="000000"/>
              </w:rPr>
            </w:pPr>
            <w:r w:rsidRPr="00395314">
              <w:rPr>
                <w:rFonts w:eastAsia="Times New Roman"/>
                <w:color w:val="000000"/>
              </w:rPr>
              <w:t>Prokuratūra</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Palielināti izdevumi prokuroru atalgojuma nodrošināšanai</w:t>
            </w:r>
          </w:p>
        </w:tc>
        <w:tc>
          <w:tcPr>
            <w:tcW w:w="675" w:type="pct"/>
            <w:noWrap/>
            <w:vAlign w:val="center"/>
            <w:hideMark/>
          </w:tcPr>
          <w:p w:rsidR="00531797" w:rsidRPr="00395314" w:rsidRDefault="00531797" w:rsidP="00531797">
            <w:pPr>
              <w:jc w:val="center"/>
              <w:rPr>
                <w:color w:val="000000"/>
              </w:rPr>
            </w:pPr>
            <w:r w:rsidRPr="00277934">
              <w:rPr>
                <w:color w:val="000000"/>
              </w:rPr>
              <w:t>4,6</w:t>
            </w:r>
          </w:p>
        </w:tc>
        <w:tc>
          <w:tcPr>
            <w:tcW w:w="675" w:type="pct"/>
            <w:noWrap/>
            <w:vAlign w:val="center"/>
            <w:hideMark/>
          </w:tcPr>
          <w:p w:rsidR="00531797" w:rsidRPr="00395314" w:rsidRDefault="00531797" w:rsidP="00531797">
            <w:pPr>
              <w:jc w:val="center"/>
              <w:rPr>
                <w:color w:val="000000"/>
              </w:rPr>
            </w:pPr>
            <w:r w:rsidRPr="00277934">
              <w:rPr>
                <w:color w:val="000000"/>
              </w:rPr>
              <w:t>-1,2</w:t>
            </w:r>
          </w:p>
        </w:tc>
        <w:tc>
          <w:tcPr>
            <w:tcW w:w="674" w:type="pct"/>
            <w:noWrap/>
            <w:vAlign w:val="center"/>
            <w:hideMark/>
          </w:tcPr>
          <w:p w:rsidR="00531797" w:rsidRPr="00395314" w:rsidRDefault="00531797" w:rsidP="00531797">
            <w:pPr>
              <w:jc w:val="center"/>
              <w:rPr>
                <w:color w:val="000000"/>
              </w:rPr>
            </w:pPr>
            <w:r w:rsidRPr="00277934">
              <w:rPr>
                <w:color w:val="000000"/>
              </w:rPr>
              <w:t>1,0</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Dotācija pašvaldībām</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Tehniski precizējumi</w:t>
            </w:r>
          </w:p>
        </w:tc>
        <w:tc>
          <w:tcPr>
            <w:tcW w:w="675" w:type="pct"/>
            <w:noWrap/>
            <w:vAlign w:val="center"/>
            <w:hideMark/>
          </w:tcPr>
          <w:p w:rsidR="00531797" w:rsidRPr="00395314" w:rsidRDefault="00531797" w:rsidP="00531797">
            <w:pPr>
              <w:jc w:val="center"/>
              <w:rPr>
                <w:color w:val="000000"/>
              </w:rPr>
            </w:pPr>
            <w:r w:rsidRPr="00277934">
              <w:rPr>
                <w:color w:val="000000"/>
              </w:rPr>
              <w:t>-3,4</w:t>
            </w:r>
          </w:p>
        </w:tc>
        <w:tc>
          <w:tcPr>
            <w:tcW w:w="675" w:type="pct"/>
            <w:noWrap/>
            <w:vAlign w:val="center"/>
            <w:hideMark/>
          </w:tcPr>
          <w:p w:rsidR="00531797" w:rsidRPr="00395314" w:rsidRDefault="00531797" w:rsidP="00531797">
            <w:pPr>
              <w:jc w:val="center"/>
              <w:rPr>
                <w:color w:val="000000"/>
              </w:rPr>
            </w:pPr>
            <w:r w:rsidRPr="00277934">
              <w:rPr>
                <w:color w:val="000000"/>
              </w:rPr>
              <w:t>4,5</w:t>
            </w:r>
          </w:p>
        </w:tc>
        <w:tc>
          <w:tcPr>
            <w:tcW w:w="674" w:type="pct"/>
            <w:noWrap/>
            <w:vAlign w:val="center"/>
            <w:hideMark/>
          </w:tcPr>
          <w:p w:rsidR="00531797" w:rsidRPr="00395314" w:rsidRDefault="00531797" w:rsidP="00531797">
            <w:pPr>
              <w:jc w:val="center"/>
              <w:rPr>
                <w:color w:val="000000"/>
              </w:rPr>
            </w:pPr>
            <w:r w:rsidRPr="00277934">
              <w:rPr>
                <w:color w:val="000000"/>
              </w:rPr>
              <w:t>3,0</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Izmaiņas pašvaldību dotācijām saskaņā ar MK 05.02.2019. sēdes protokola Nr.5 30.§ 23.punktu, kas paredz pašvaldību IIN kopā ar speciālo dotāciju ne mazāku kā 1,47 miljardu apmērā</w:t>
            </w:r>
          </w:p>
        </w:tc>
        <w:tc>
          <w:tcPr>
            <w:tcW w:w="675" w:type="pct"/>
            <w:noWrap/>
            <w:vAlign w:val="center"/>
            <w:hideMark/>
          </w:tcPr>
          <w:p w:rsidR="00531797" w:rsidRPr="00395314" w:rsidRDefault="00531797" w:rsidP="00531797">
            <w:pPr>
              <w:jc w:val="center"/>
              <w:rPr>
                <w:color w:val="000000"/>
              </w:rPr>
            </w:pPr>
            <w:r w:rsidRPr="00277934">
              <w:rPr>
                <w:color w:val="000000"/>
              </w:rPr>
              <w:t>-14,3</w:t>
            </w:r>
          </w:p>
        </w:tc>
        <w:tc>
          <w:tcPr>
            <w:tcW w:w="675" w:type="pct"/>
            <w:noWrap/>
            <w:vAlign w:val="center"/>
            <w:hideMark/>
          </w:tcPr>
          <w:p w:rsidR="00531797" w:rsidRPr="00395314" w:rsidRDefault="00531797" w:rsidP="00531797">
            <w:pPr>
              <w:jc w:val="center"/>
              <w:rPr>
                <w:color w:val="000000"/>
              </w:rPr>
            </w:pPr>
            <w:r w:rsidRPr="00277934">
              <w:rPr>
                <w:color w:val="000000"/>
              </w:rPr>
              <w:t>14,3</w:t>
            </w:r>
          </w:p>
        </w:tc>
        <w:tc>
          <w:tcPr>
            <w:tcW w:w="674" w:type="pct"/>
            <w:noWrap/>
            <w:vAlign w:val="center"/>
            <w:hideMark/>
          </w:tcPr>
          <w:p w:rsidR="00531797" w:rsidRPr="00395314" w:rsidRDefault="00531797" w:rsidP="00531797">
            <w:pPr>
              <w:jc w:val="center"/>
              <w:rPr>
                <w:color w:val="000000"/>
              </w:rPr>
            </w:pPr>
            <w:r w:rsidRPr="00277934">
              <w:rPr>
                <w:color w:val="000000"/>
              </w:rPr>
              <w:t>0,0</w:t>
            </w:r>
          </w:p>
        </w:tc>
      </w:tr>
      <w:tr w:rsidR="007366FB" w:rsidRPr="00395314" w:rsidTr="005A443D">
        <w:trPr>
          <w:trHeight w:val="283"/>
        </w:trPr>
        <w:tc>
          <w:tcPr>
            <w:tcW w:w="5000" w:type="pct"/>
            <w:gridSpan w:val="4"/>
            <w:shd w:val="clear" w:color="auto" w:fill="DEEAF6"/>
            <w:vAlign w:val="center"/>
          </w:tcPr>
          <w:p w:rsidR="007366FB" w:rsidRPr="00395314" w:rsidRDefault="007366FB" w:rsidP="007366FB">
            <w:pPr>
              <w:jc w:val="center"/>
              <w:rPr>
                <w:rFonts w:eastAsia="Times New Roman"/>
                <w:color w:val="000000"/>
              </w:rPr>
            </w:pPr>
            <w:r w:rsidRPr="00395314">
              <w:rPr>
                <w:rFonts w:eastAsia="Times New Roman"/>
                <w:color w:val="000000"/>
              </w:rPr>
              <w:t>Gadskārtējā valsts budžeta izpildes procesā pārdalāmais finansējums</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Tehniskie precizējumi (t.sk. pārdalītais finansējums ES politiku instrumentu un pārējās ārvalstu finanšu palīdzības līdzfinansēto projektu un pasākumu īstenošanai)</w:t>
            </w:r>
          </w:p>
        </w:tc>
        <w:tc>
          <w:tcPr>
            <w:tcW w:w="675" w:type="pct"/>
            <w:noWrap/>
            <w:vAlign w:val="center"/>
            <w:hideMark/>
          </w:tcPr>
          <w:p w:rsidR="00531797" w:rsidRPr="00395314" w:rsidRDefault="00531797" w:rsidP="00531797">
            <w:pPr>
              <w:jc w:val="center"/>
              <w:rPr>
                <w:color w:val="000000"/>
              </w:rPr>
            </w:pPr>
            <w:r w:rsidRPr="00277934">
              <w:rPr>
                <w:color w:val="000000"/>
              </w:rPr>
              <w:t>-87,2</w:t>
            </w:r>
          </w:p>
        </w:tc>
        <w:tc>
          <w:tcPr>
            <w:tcW w:w="675" w:type="pct"/>
            <w:noWrap/>
            <w:vAlign w:val="center"/>
            <w:hideMark/>
          </w:tcPr>
          <w:p w:rsidR="00531797" w:rsidRPr="00395314" w:rsidRDefault="00531797" w:rsidP="00531797">
            <w:pPr>
              <w:jc w:val="center"/>
              <w:rPr>
                <w:color w:val="000000"/>
              </w:rPr>
            </w:pPr>
            <w:r w:rsidRPr="00277934">
              <w:rPr>
                <w:color w:val="000000"/>
              </w:rPr>
              <w:t>55,5</w:t>
            </w:r>
          </w:p>
        </w:tc>
        <w:tc>
          <w:tcPr>
            <w:tcW w:w="674" w:type="pct"/>
            <w:noWrap/>
            <w:vAlign w:val="center"/>
            <w:hideMark/>
          </w:tcPr>
          <w:p w:rsidR="00531797" w:rsidRPr="00395314" w:rsidRDefault="00531797" w:rsidP="00531797">
            <w:pPr>
              <w:jc w:val="center"/>
              <w:rPr>
                <w:color w:val="000000"/>
              </w:rPr>
            </w:pPr>
            <w:r w:rsidRPr="00277934">
              <w:rPr>
                <w:color w:val="000000"/>
              </w:rPr>
              <w:t>9,5</w:t>
            </w:r>
          </w:p>
        </w:tc>
      </w:tr>
      <w:tr w:rsidR="007366FB" w:rsidRPr="00395314" w:rsidTr="005A443D">
        <w:trPr>
          <w:trHeight w:val="283"/>
        </w:trPr>
        <w:tc>
          <w:tcPr>
            <w:tcW w:w="5000" w:type="pct"/>
            <w:gridSpan w:val="4"/>
            <w:shd w:val="clear" w:color="auto" w:fill="DEEAF6"/>
            <w:noWrap/>
            <w:vAlign w:val="center"/>
            <w:hideMark/>
          </w:tcPr>
          <w:p w:rsidR="007366FB" w:rsidRPr="00395314" w:rsidRDefault="007366FB" w:rsidP="007366FB">
            <w:pPr>
              <w:jc w:val="center"/>
              <w:rPr>
                <w:rFonts w:eastAsia="Times New Roman"/>
                <w:color w:val="000000"/>
              </w:rPr>
            </w:pPr>
            <w:r w:rsidRPr="00395314">
              <w:rPr>
                <w:rFonts w:eastAsia="Times New Roman"/>
                <w:color w:val="000000"/>
              </w:rPr>
              <w:t>Speciālais budžets</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Izdevumu samazinājums maternitātes pabalstiem</w:t>
            </w:r>
          </w:p>
        </w:tc>
        <w:tc>
          <w:tcPr>
            <w:tcW w:w="675" w:type="pct"/>
            <w:noWrap/>
            <w:vAlign w:val="center"/>
            <w:hideMark/>
          </w:tcPr>
          <w:p w:rsidR="00531797" w:rsidRPr="00395314" w:rsidRDefault="00531797" w:rsidP="00531797">
            <w:pPr>
              <w:jc w:val="center"/>
              <w:rPr>
                <w:color w:val="000000"/>
              </w:rPr>
            </w:pPr>
            <w:r w:rsidRPr="00277934">
              <w:rPr>
                <w:color w:val="000000"/>
              </w:rPr>
              <w:t>-4,5</w:t>
            </w:r>
          </w:p>
        </w:tc>
        <w:tc>
          <w:tcPr>
            <w:tcW w:w="675" w:type="pct"/>
            <w:noWrap/>
            <w:vAlign w:val="center"/>
            <w:hideMark/>
          </w:tcPr>
          <w:p w:rsidR="00531797" w:rsidRPr="00395314" w:rsidRDefault="00531797" w:rsidP="00531797">
            <w:pPr>
              <w:jc w:val="center"/>
              <w:rPr>
                <w:color w:val="000000"/>
              </w:rPr>
            </w:pPr>
            <w:r w:rsidRPr="00277934">
              <w:rPr>
                <w:color w:val="000000"/>
              </w:rPr>
              <w:t>-0,3</w:t>
            </w:r>
          </w:p>
        </w:tc>
        <w:tc>
          <w:tcPr>
            <w:tcW w:w="674" w:type="pct"/>
            <w:noWrap/>
            <w:vAlign w:val="center"/>
            <w:hideMark/>
          </w:tcPr>
          <w:p w:rsidR="00531797" w:rsidRPr="00395314" w:rsidRDefault="00531797" w:rsidP="00531797">
            <w:pPr>
              <w:jc w:val="center"/>
              <w:rPr>
                <w:color w:val="000000"/>
              </w:rPr>
            </w:pPr>
            <w:r w:rsidRPr="00277934">
              <w:rPr>
                <w:color w:val="000000"/>
              </w:rPr>
              <w:t>-0,2</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Izdevumu samazinājums slimības pabalstiem</w:t>
            </w:r>
          </w:p>
        </w:tc>
        <w:tc>
          <w:tcPr>
            <w:tcW w:w="675" w:type="pct"/>
            <w:noWrap/>
            <w:vAlign w:val="center"/>
            <w:hideMark/>
          </w:tcPr>
          <w:p w:rsidR="00531797" w:rsidRPr="00395314" w:rsidRDefault="00531797" w:rsidP="00531797">
            <w:pPr>
              <w:jc w:val="center"/>
              <w:rPr>
                <w:color w:val="000000"/>
              </w:rPr>
            </w:pPr>
            <w:r w:rsidRPr="00277934">
              <w:rPr>
                <w:color w:val="000000"/>
              </w:rPr>
              <w:t>-18,7</w:t>
            </w:r>
          </w:p>
        </w:tc>
        <w:tc>
          <w:tcPr>
            <w:tcW w:w="675" w:type="pct"/>
            <w:noWrap/>
            <w:vAlign w:val="center"/>
            <w:hideMark/>
          </w:tcPr>
          <w:p w:rsidR="00531797" w:rsidRPr="00395314" w:rsidRDefault="00531797" w:rsidP="00531797">
            <w:pPr>
              <w:jc w:val="center"/>
              <w:rPr>
                <w:color w:val="000000"/>
              </w:rPr>
            </w:pPr>
            <w:r w:rsidRPr="00277934">
              <w:rPr>
                <w:color w:val="000000"/>
              </w:rPr>
              <w:t>9,1</w:t>
            </w:r>
          </w:p>
        </w:tc>
        <w:tc>
          <w:tcPr>
            <w:tcW w:w="674" w:type="pct"/>
            <w:noWrap/>
            <w:vAlign w:val="center"/>
            <w:hideMark/>
          </w:tcPr>
          <w:p w:rsidR="00531797" w:rsidRPr="00395314" w:rsidRDefault="00531797" w:rsidP="00531797">
            <w:pPr>
              <w:jc w:val="center"/>
              <w:rPr>
                <w:color w:val="000000"/>
              </w:rPr>
            </w:pPr>
            <w:r w:rsidRPr="00277934">
              <w:rPr>
                <w:color w:val="000000"/>
              </w:rPr>
              <w:t>0,6</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Izdevumu samazinājums vecāku pabalstiem</w:t>
            </w:r>
          </w:p>
        </w:tc>
        <w:tc>
          <w:tcPr>
            <w:tcW w:w="675" w:type="pct"/>
            <w:noWrap/>
            <w:vAlign w:val="center"/>
            <w:hideMark/>
          </w:tcPr>
          <w:p w:rsidR="00531797" w:rsidRPr="00395314" w:rsidRDefault="00531797" w:rsidP="00531797">
            <w:pPr>
              <w:jc w:val="center"/>
              <w:rPr>
                <w:color w:val="000000"/>
              </w:rPr>
            </w:pPr>
            <w:r w:rsidRPr="00277934">
              <w:rPr>
                <w:color w:val="000000"/>
              </w:rPr>
              <w:t>-4,1</w:t>
            </w:r>
          </w:p>
        </w:tc>
        <w:tc>
          <w:tcPr>
            <w:tcW w:w="675" w:type="pct"/>
            <w:noWrap/>
            <w:vAlign w:val="center"/>
            <w:hideMark/>
          </w:tcPr>
          <w:p w:rsidR="00531797" w:rsidRPr="00395314" w:rsidRDefault="00531797" w:rsidP="00531797">
            <w:pPr>
              <w:jc w:val="center"/>
              <w:rPr>
                <w:color w:val="000000"/>
              </w:rPr>
            </w:pPr>
            <w:r w:rsidRPr="00277934">
              <w:rPr>
                <w:color w:val="000000"/>
              </w:rPr>
              <w:t>0,2</w:t>
            </w:r>
          </w:p>
        </w:tc>
        <w:tc>
          <w:tcPr>
            <w:tcW w:w="674" w:type="pct"/>
            <w:noWrap/>
            <w:vAlign w:val="center"/>
            <w:hideMark/>
          </w:tcPr>
          <w:p w:rsidR="00531797" w:rsidRPr="00395314" w:rsidRDefault="00531797" w:rsidP="00531797">
            <w:pPr>
              <w:jc w:val="center"/>
              <w:rPr>
                <w:color w:val="000000"/>
              </w:rPr>
            </w:pPr>
            <w:r w:rsidRPr="00277934">
              <w:rPr>
                <w:color w:val="000000"/>
              </w:rPr>
              <w:t>0,4</w:t>
            </w:r>
          </w:p>
        </w:tc>
      </w:tr>
      <w:tr w:rsidR="00531797" w:rsidRPr="00395314" w:rsidTr="005A443D">
        <w:trPr>
          <w:trHeight w:val="283"/>
        </w:trPr>
        <w:tc>
          <w:tcPr>
            <w:tcW w:w="2976" w:type="pct"/>
            <w:vAlign w:val="center"/>
            <w:hideMark/>
          </w:tcPr>
          <w:p w:rsidR="00531797" w:rsidRPr="00C63F8C" w:rsidRDefault="00531797" w:rsidP="00531797">
            <w:pPr>
              <w:jc w:val="both"/>
              <w:rPr>
                <w:rFonts w:eastAsia="Times New Roman"/>
                <w:b/>
                <w:color w:val="000000"/>
              </w:rPr>
            </w:pPr>
            <w:r w:rsidRPr="00C63F8C">
              <w:rPr>
                <w:b/>
                <w:iCs/>
                <w:color w:val="000000"/>
              </w:rPr>
              <w:t>Izdevumu samazinājums vecuma pensijām</w:t>
            </w:r>
          </w:p>
        </w:tc>
        <w:tc>
          <w:tcPr>
            <w:tcW w:w="675" w:type="pct"/>
            <w:noWrap/>
            <w:vAlign w:val="center"/>
            <w:hideMark/>
          </w:tcPr>
          <w:p w:rsidR="00531797" w:rsidRPr="00395314" w:rsidRDefault="00531797" w:rsidP="00531797">
            <w:pPr>
              <w:jc w:val="center"/>
              <w:rPr>
                <w:color w:val="000000"/>
              </w:rPr>
            </w:pPr>
            <w:r w:rsidRPr="00277934">
              <w:rPr>
                <w:color w:val="000000"/>
              </w:rPr>
              <w:t>-20,8</w:t>
            </w:r>
          </w:p>
        </w:tc>
        <w:tc>
          <w:tcPr>
            <w:tcW w:w="675" w:type="pct"/>
            <w:noWrap/>
            <w:vAlign w:val="center"/>
            <w:hideMark/>
          </w:tcPr>
          <w:p w:rsidR="00531797" w:rsidRPr="00395314" w:rsidRDefault="00531797" w:rsidP="00531797">
            <w:pPr>
              <w:jc w:val="center"/>
              <w:rPr>
                <w:color w:val="000000"/>
              </w:rPr>
            </w:pPr>
            <w:r w:rsidRPr="00277934">
              <w:rPr>
                <w:color w:val="000000"/>
              </w:rPr>
              <w:t>15,5</w:t>
            </w:r>
          </w:p>
        </w:tc>
        <w:tc>
          <w:tcPr>
            <w:tcW w:w="674" w:type="pct"/>
            <w:noWrap/>
            <w:vAlign w:val="center"/>
            <w:hideMark/>
          </w:tcPr>
          <w:p w:rsidR="00531797" w:rsidRPr="00395314" w:rsidRDefault="00531797" w:rsidP="00531797">
            <w:pPr>
              <w:jc w:val="center"/>
              <w:rPr>
                <w:color w:val="000000"/>
              </w:rPr>
            </w:pPr>
            <w:r w:rsidRPr="00277934">
              <w:rPr>
                <w:color w:val="000000"/>
              </w:rPr>
              <w:t>0,1</w:t>
            </w:r>
          </w:p>
        </w:tc>
      </w:tr>
      <w:tr w:rsidR="00531797" w:rsidRPr="00395314" w:rsidTr="005A443D">
        <w:trPr>
          <w:trHeight w:val="283"/>
        </w:trPr>
        <w:tc>
          <w:tcPr>
            <w:tcW w:w="2976" w:type="pct"/>
            <w:shd w:val="clear" w:color="auto" w:fill="DEEAF6"/>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lastRenderedPageBreak/>
              <w:t>Citi prioritārie pasākumi</w:t>
            </w:r>
          </w:p>
        </w:tc>
        <w:tc>
          <w:tcPr>
            <w:tcW w:w="675" w:type="pct"/>
            <w:shd w:val="clear" w:color="auto" w:fill="DEEAF6"/>
            <w:noWrap/>
            <w:vAlign w:val="center"/>
            <w:hideMark/>
          </w:tcPr>
          <w:p w:rsidR="00531797" w:rsidRPr="00395314" w:rsidRDefault="00531797" w:rsidP="00531797">
            <w:pPr>
              <w:jc w:val="center"/>
              <w:rPr>
                <w:color w:val="000000"/>
              </w:rPr>
            </w:pPr>
            <w:r w:rsidRPr="00277934">
              <w:rPr>
                <w:color w:val="000000"/>
              </w:rPr>
              <w:t>17,6</w:t>
            </w:r>
          </w:p>
        </w:tc>
        <w:tc>
          <w:tcPr>
            <w:tcW w:w="675" w:type="pct"/>
            <w:shd w:val="clear" w:color="auto" w:fill="DEEAF6"/>
            <w:noWrap/>
            <w:vAlign w:val="center"/>
            <w:hideMark/>
          </w:tcPr>
          <w:p w:rsidR="00531797" w:rsidRPr="00395314" w:rsidRDefault="00531797" w:rsidP="00531797">
            <w:pPr>
              <w:jc w:val="center"/>
              <w:rPr>
                <w:color w:val="000000"/>
              </w:rPr>
            </w:pPr>
            <w:r w:rsidRPr="00277934">
              <w:rPr>
                <w:color w:val="000000"/>
              </w:rPr>
              <w:t>-8,8</w:t>
            </w:r>
          </w:p>
        </w:tc>
        <w:tc>
          <w:tcPr>
            <w:tcW w:w="674" w:type="pct"/>
            <w:shd w:val="clear" w:color="auto" w:fill="DEEAF6"/>
            <w:noWrap/>
            <w:vAlign w:val="center"/>
            <w:hideMark/>
          </w:tcPr>
          <w:p w:rsidR="00531797" w:rsidRPr="00395314" w:rsidRDefault="00531797" w:rsidP="00531797">
            <w:pPr>
              <w:jc w:val="center"/>
              <w:rPr>
                <w:color w:val="000000"/>
              </w:rPr>
            </w:pPr>
            <w:r w:rsidRPr="00277934">
              <w:rPr>
                <w:color w:val="000000"/>
              </w:rPr>
              <w:t>0,4</w:t>
            </w:r>
          </w:p>
        </w:tc>
      </w:tr>
      <w:tr w:rsidR="00531797" w:rsidRPr="00395314" w:rsidTr="005A443D">
        <w:trPr>
          <w:trHeight w:val="283"/>
        </w:trPr>
        <w:tc>
          <w:tcPr>
            <w:tcW w:w="2976" w:type="pct"/>
            <w:shd w:val="clear" w:color="auto" w:fill="DEEAF6"/>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Citi tehniskie precizējumi</w:t>
            </w:r>
          </w:p>
        </w:tc>
        <w:tc>
          <w:tcPr>
            <w:tcW w:w="675" w:type="pct"/>
            <w:shd w:val="clear" w:color="auto" w:fill="DEEAF6"/>
            <w:noWrap/>
            <w:vAlign w:val="center"/>
            <w:hideMark/>
          </w:tcPr>
          <w:p w:rsidR="00531797" w:rsidRPr="00395314" w:rsidRDefault="00531797" w:rsidP="00531797">
            <w:pPr>
              <w:jc w:val="center"/>
              <w:rPr>
                <w:color w:val="000000"/>
              </w:rPr>
            </w:pPr>
            <w:r w:rsidRPr="00277934">
              <w:rPr>
                <w:color w:val="000000"/>
              </w:rPr>
              <w:t>2,7</w:t>
            </w:r>
          </w:p>
        </w:tc>
        <w:tc>
          <w:tcPr>
            <w:tcW w:w="675" w:type="pct"/>
            <w:shd w:val="clear" w:color="auto" w:fill="DEEAF6"/>
            <w:noWrap/>
            <w:vAlign w:val="center"/>
            <w:hideMark/>
          </w:tcPr>
          <w:p w:rsidR="00531797" w:rsidRPr="00395314" w:rsidRDefault="00531797" w:rsidP="00531797">
            <w:pPr>
              <w:jc w:val="center"/>
              <w:rPr>
                <w:color w:val="000000"/>
              </w:rPr>
            </w:pPr>
            <w:r w:rsidRPr="00277934">
              <w:rPr>
                <w:color w:val="000000"/>
              </w:rPr>
              <w:t>-0,8</w:t>
            </w:r>
          </w:p>
        </w:tc>
        <w:tc>
          <w:tcPr>
            <w:tcW w:w="674" w:type="pct"/>
            <w:shd w:val="clear" w:color="auto" w:fill="DEEAF6"/>
            <w:noWrap/>
            <w:vAlign w:val="center"/>
            <w:hideMark/>
          </w:tcPr>
          <w:p w:rsidR="00531797" w:rsidRPr="00395314" w:rsidRDefault="00531797" w:rsidP="00531797">
            <w:pPr>
              <w:jc w:val="center"/>
              <w:rPr>
                <w:color w:val="000000"/>
              </w:rPr>
            </w:pPr>
            <w:r w:rsidRPr="00277934">
              <w:rPr>
                <w:color w:val="000000"/>
              </w:rPr>
              <w:t>-0,8</w:t>
            </w:r>
          </w:p>
        </w:tc>
      </w:tr>
      <w:tr w:rsidR="00531797" w:rsidRPr="00395314" w:rsidTr="005A443D">
        <w:trPr>
          <w:trHeight w:val="283"/>
        </w:trPr>
        <w:tc>
          <w:tcPr>
            <w:tcW w:w="2976" w:type="pct"/>
            <w:shd w:val="clear" w:color="auto" w:fill="DEEAF6"/>
            <w:vAlign w:val="center"/>
            <w:hideMark/>
          </w:tcPr>
          <w:p w:rsidR="00531797" w:rsidRPr="00C63F8C" w:rsidRDefault="00531797" w:rsidP="00531797">
            <w:pPr>
              <w:jc w:val="both"/>
              <w:rPr>
                <w:rFonts w:eastAsia="Times New Roman"/>
                <w:b/>
                <w:color w:val="000000"/>
              </w:rPr>
            </w:pPr>
            <w:r w:rsidRPr="00C63F8C">
              <w:rPr>
                <w:rFonts w:eastAsia="Times New Roman"/>
                <w:b/>
                <w:color w:val="000000"/>
              </w:rPr>
              <w:t>Citi MK lēmumi</w:t>
            </w:r>
          </w:p>
        </w:tc>
        <w:tc>
          <w:tcPr>
            <w:tcW w:w="675" w:type="pct"/>
            <w:shd w:val="clear" w:color="auto" w:fill="DEEAF6"/>
            <w:noWrap/>
            <w:vAlign w:val="center"/>
            <w:hideMark/>
          </w:tcPr>
          <w:p w:rsidR="00531797" w:rsidRPr="00395314" w:rsidRDefault="00531797" w:rsidP="00531797">
            <w:pPr>
              <w:jc w:val="center"/>
              <w:rPr>
                <w:color w:val="000000"/>
              </w:rPr>
            </w:pPr>
            <w:r w:rsidRPr="00277934">
              <w:rPr>
                <w:color w:val="000000"/>
              </w:rPr>
              <w:t>13,4</w:t>
            </w:r>
          </w:p>
        </w:tc>
        <w:tc>
          <w:tcPr>
            <w:tcW w:w="675" w:type="pct"/>
            <w:shd w:val="clear" w:color="auto" w:fill="DEEAF6"/>
            <w:noWrap/>
            <w:vAlign w:val="center"/>
            <w:hideMark/>
          </w:tcPr>
          <w:p w:rsidR="00531797" w:rsidRPr="00395314" w:rsidRDefault="00531797" w:rsidP="00531797">
            <w:pPr>
              <w:jc w:val="center"/>
              <w:rPr>
                <w:color w:val="000000"/>
              </w:rPr>
            </w:pPr>
            <w:r w:rsidRPr="00277934">
              <w:rPr>
                <w:color w:val="000000"/>
              </w:rPr>
              <w:t>5,6</w:t>
            </w:r>
          </w:p>
        </w:tc>
        <w:tc>
          <w:tcPr>
            <w:tcW w:w="674" w:type="pct"/>
            <w:shd w:val="clear" w:color="auto" w:fill="DEEAF6"/>
            <w:noWrap/>
            <w:vAlign w:val="center"/>
            <w:hideMark/>
          </w:tcPr>
          <w:p w:rsidR="00531797" w:rsidRPr="00395314" w:rsidRDefault="00531797" w:rsidP="00531797">
            <w:pPr>
              <w:jc w:val="center"/>
              <w:rPr>
                <w:color w:val="000000"/>
              </w:rPr>
            </w:pPr>
            <w:r w:rsidRPr="00277934">
              <w:rPr>
                <w:color w:val="000000"/>
              </w:rPr>
              <w:t>1,9</w:t>
            </w:r>
          </w:p>
        </w:tc>
      </w:tr>
    </w:tbl>
    <w:p w:rsidR="006F0EBF" w:rsidRDefault="006F0EBF" w:rsidP="006F0EBF">
      <w:pPr>
        <w:pStyle w:val="Heading3"/>
        <w:numPr>
          <w:ilvl w:val="0"/>
          <w:numId w:val="0"/>
        </w:numPr>
        <w:spacing w:before="120" w:after="120" w:line="240" w:lineRule="auto"/>
        <w:ind w:left="1418"/>
        <w:rPr>
          <w:rFonts w:ascii="Times New Roman" w:hAnsi="Times New Roman" w:cs="Times New Roman"/>
          <w:sz w:val="24"/>
          <w:szCs w:val="24"/>
        </w:rPr>
      </w:pPr>
      <w:bookmarkStart w:id="33" w:name="_Toc5627369"/>
    </w:p>
    <w:p w:rsidR="00382FDF" w:rsidRPr="00C347BC" w:rsidRDefault="00382FDF" w:rsidP="00DC41EC">
      <w:pPr>
        <w:pStyle w:val="Heading3"/>
        <w:numPr>
          <w:ilvl w:val="2"/>
          <w:numId w:val="1"/>
        </w:numPr>
        <w:spacing w:before="120" w:after="120" w:line="240" w:lineRule="auto"/>
        <w:ind w:left="1418"/>
        <w:rPr>
          <w:rFonts w:ascii="Times New Roman" w:hAnsi="Times New Roman" w:cs="Times New Roman"/>
          <w:sz w:val="24"/>
          <w:szCs w:val="24"/>
        </w:rPr>
      </w:pPr>
      <w:bookmarkStart w:id="34" w:name="_Toc5798624"/>
      <w:r w:rsidRPr="00C347BC">
        <w:rPr>
          <w:rFonts w:ascii="Times New Roman" w:hAnsi="Times New Roman" w:cs="Times New Roman"/>
          <w:sz w:val="24"/>
          <w:szCs w:val="24"/>
        </w:rPr>
        <w:t>Fiskāli nozīmīg</w:t>
      </w:r>
      <w:r w:rsidR="00CC1A43">
        <w:rPr>
          <w:rFonts w:ascii="Times New Roman" w:hAnsi="Times New Roman" w:cs="Times New Roman"/>
          <w:sz w:val="24"/>
          <w:szCs w:val="24"/>
        </w:rPr>
        <w:t>a strukturālā</w:t>
      </w:r>
      <w:r w:rsidRPr="00C347BC">
        <w:rPr>
          <w:rFonts w:ascii="Times New Roman" w:hAnsi="Times New Roman" w:cs="Times New Roman"/>
          <w:sz w:val="24"/>
          <w:szCs w:val="24"/>
        </w:rPr>
        <w:t xml:space="preserve"> reforma Regulas Nr. 1175/2011</w:t>
      </w:r>
      <w:r w:rsidR="00CC1A43">
        <w:rPr>
          <w:rStyle w:val="FootnoteReference"/>
          <w:rFonts w:cs="Times New Roman"/>
          <w:szCs w:val="24"/>
        </w:rPr>
        <w:footnoteReference w:id="4"/>
      </w:r>
      <w:r w:rsidRPr="00C347BC">
        <w:rPr>
          <w:rFonts w:ascii="Times New Roman" w:hAnsi="Times New Roman" w:cs="Times New Roman"/>
          <w:sz w:val="24"/>
          <w:szCs w:val="24"/>
        </w:rPr>
        <w:t xml:space="preserve"> izpratnē</w:t>
      </w:r>
      <w:bookmarkEnd w:id="31"/>
      <w:bookmarkEnd w:id="32"/>
      <w:bookmarkEnd w:id="33"/>
      <w:bookmarkEnd w:id="34"/>
    </w:p>
    <w:p w:rsidR="00DB1918" w:rsidRDefault="00C63F8C" w:rsidP="00DB1918">
      <w:pPr>
        <w:spacing w:after="0" w:line="240" w:lineRule="auto"/>
        <w:ind w:firstLine="720"/>
        <w:jc w:val="both"/>
        <w:rPr>
          <w:rFonts w:ascii="Times New Roman" w:eastAsia="Times New Roman" w:hAnsi="Times New Roman" w:cs="Times New Roman"/>
          <w:sz w:val="24"/>
          <w:szCs w:val="24"/>
        </w:rPr>
      </w:pPr>
      <w:bookmarkStart w:id="35" w:name="_Toc510790656"/>
      <w:bookmarkStart w:id="36" w:name="_Toc510790664"/>
      <w:r w:rsidRPr="00C63F8C">
        <w:rPr>
          <w:rFonts w:ascii="Times New Roman" w:eastAsia="Times New Roman" w:hAnsi="Times New Roman" w:cs="Times New Roman"/>
          <w:sz w:val="24"/>
          <w:szCs w:val="24"/>
        </w:rPr>
        <w:t>Stabilitātes programmā 2016.</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2019.gadam Latvija pieteica veselības sistēmas reformu kā būtisku strukturālo reformu ar ilgtermiņa pozitīvu efektu uz publisko finanšu ilgtspēju, nolūkā attiecināt uz šo reformu iespēju novirzīties no VTM saskaņā ar EK komunikāciju</w:t>
      </w:r>
      <w:r w:rsidRPr="00C63F8C">
        <w:rPr>
          <w:rFonts w:ascii="Garamond" w:eastAsia="Times New Roman" w:hAnsi="Garamond" w:cs="Times New Roman"/>
          <w:sz w:val="20"/>
          <w:szCs w:val="24"/>
          <w:vertAlign w:val="superscript"/>
        </w:rPr>
        <w:footnoteReference w:id="5"/>
      </w:r>
      <w:r w:rsidRPr="00C63F8C">
        <w:rPr>
          <w:rFonts w:ascii="Times New Roman" w:eastAsia="Times New Roman" w:hAnsi="Times New Roman" w:cs="Times New Roman"/>
          <w:sz w:val="24"/>
          <w:szCs w:val="24"/>
        </w:rPr>
        <w:t>. EK izskatīja Latvijas iesniegumu un atbalstīja deficīta atkāpes piešķiršanu veselības sistēmas reformai. Lai ievērotu strukturālā deficīta drošības rezervi attiecībā uz Līgumā par ES darbību noteikto atsauces vērtību 3% apmērā no IKP</w:t>
      </w:r>
      <w:r w:rsidRPr="00C63F8C">
        <w:rPr>
          <w:rFonts w:ascii="Times New Roman" w:eastAsia="Times New Roman" w:hAnsi="Times New Roman" w:cs="Times New Roman"/>
          <w:sz w:val="24"/>
          <w:szCs w:val="24"/>
          <w:vertAlign w:val="superscript"/>
        </w:rPr>
        <w:footnoteReference w:id="6"/>
      </w:r>
      <w:r w:rsidRPr="00C63F8C">
        <w:rPr>
          <w:rFonts w:ascii="Times New Roman" w:eastAsia="Times New Roman" w:hAnsi="Times New Roman" w:cs="Times New Roman"/>
          <w:sz w:val="24"/>
          <w:szCs w:val="24"/>
        </w:rPr>
        <w:t xml:space="preserve">, Latvijai piešķirtā deficīta atkāpe </w:t>
      </w:r>
      <w:r w:rsidR="00D01905">
        <w:rPr>
          <w:rFonts w:ascii="Times New Roman" w:eastAsia="Times New Roman" w:hAnsi="Times New Roman" w:cs="Times New Roman"/>
          <w:sz w:val="24"/>
          <w:szCs w:val="24"/>
        </w:rPr>
        <w:t>ir 0,13% no IKP 2017.gadā, 0,40</w:t>
      </w:r>
      <w:r w:rsidRPr="00C63F8C">
        <w:rPr>
          <w:rFonts w:ascii="Times New Roman" w:eastAsia="Times New Roman" w:hAnsi="Times New Roman" w:cs="Times New Roman"/>
          <w:sz w:val="24"/>
          <w:szCs w:val="24"/>
        </w:rPr>
        <w:t>% no IKP 2018.gadā un 0,50% no IKP 2019.gadā, savukārt 2020.gadā atkāpe beidzas</w:t>
      </w:r>
      <w:r w:rsidR="00DB1918">
        <w:rPr>
          <w:rFonts w:ascii="Times New Roman" w:eastAsia="Times New Roman" w:hAnsi="Times New Roman" w:cs="Times New Roman"/>
          <w:sz w:val="24"/>
          <w:szCs w:val="24"/>
        </w:rPr>
        <w:t>.</w:t>
      </w:r>
    </w:p>
    <w:p w:rsidR="00C63F8C" w:rsidRPr="00C63F8C" w:rsidRDefault="00C63F8C" w:rsidP="00DB1918">
      <w:pPr>
        <w:spacing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Jāatzīmē, ka Latvijā kopumā tiek runāts par trīs reformām veselības aprūpes jomā:</w:t>
      </w:r>
    </w:p>
    <w:p w:rsidR="00C63F8C" w:rsidRPr="00C63F8C" w:rsidRDefault="00C63F8C" w:rsidP="00C63F8C">
      <w:pPr>
        <w:numPr>
          <w:ilvl w:val="0"/>
          <w:numId w:val="18"/>
        </w:numPr>
        <w:spacing w:after="0" w:line="240" w:lineRule="auto"/>
        <w:contextualSpacing/>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Reforma, kas tiek īstenota, pamatojoties uz vidēja termiņa politikas plānošanas dokumentu “Sabiedrības veselības pamatnostādņu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2020.gadam”;</w:t>
      </w:r>
    </w:p>
    <w:p w:rsidR="00C63F8C" w:rsidRPr="00C63F8C" w:rsidRDefault="00C63F8C" w:rsidP="00C63F8C">
      <w:pPr>
        <w:numPr>
          <w:ilvl w:val="0"/>
          <w:numId w:val="18"/>
        </w:numPr>
        <w:spacing w:after="0" w:line="240" w:lineRule="auto"/>
        <w:contextualSpacing/>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Veselības finansēšanas reforma;</w:t>
      </w:r>
    </w:p>
    <w:p w:rsidR="00C63F8C" w:rsidRPr="00C63F8C" w:rsidRDefault="00C63F8C" w:rsidP="00C63F8C">
      <w:pPr>
        <w:numPr>
          <w:ilvl w:val="0"/>
          <w:numId w:val="18"/>
        </w:numPr>
        <w:spacing w:after="0" w:line="240" w:lineRule="auto"/>
        <w:contextualSpacing/>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Veselības sistēmas pārvaldības reforma.</w:t>
      </w:r>
    </w:p>
    <w:p w:rsidR="00C63F8C" w:rsidRPr="00C63F8C" w:rsidRDefault="00C63F8C" w:rsidP="00C63F8C">
      <w:pPr>
        <w:spacing w:after="0" w:line="240" w:lineRule="auto"/>
        <w:ind w:firstLine="709"/>
        <w:contextualSpacing/>
        <w:jc w:val="both"/>
        <w:rPr>
          <w:rFonts w:ascii="Times New Roman" w:eastAsia="Times New Roman" w:hAnsi="Times New Roman" w:cs="Times New Roman"/>
          <w:sz w:val="24"/>
          <w:szCs w:val="24"/>
        </w:rPr>
      </w:pPr>
    </w:p>
    <w:p w:rsidR="00C63F8C" w:rsidRPr="00C63F8C" w:rsidRDefault="00C63F8C" w:rsidP="00C63F8C">
      <w:pPr>
        <w:spacing w:after="0" w:line="240" w:lineRule="auto"/>
        <w:ind w:firstLine="709"/>
        <w:contextualSpacing/>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Šajā Stabilitātes programmā tiek aprakstīta veselības aprūpes reforma, kas balstās uz vidēja termiņa politikas plānošanas dokumenta “Sabiedrības veselības pamatnostādņu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 xml:space="preserve">2020.gadam” īstenošanu, un sekojoši, ievērojot iepriekšējā Stabilitātes programmā ieviesto praksi, nākamajās </w:t>
      </w:r>
      <w:proofErr w:type="spellStart"/>
      <w:r w:rsidRPr="00C63F8C">
        <w:rPr>
          <w:rFonts w:ascii="Times New Roman" w:eastAsia="Times New Roman" w:hAnsi="Times New Roman" w:cs="Times New Roman"/>
          <w:sz w:val="24"/>
          <w:szCs w:val="24"/>
        </w:rPr>
        <w:t>apakšsadaļās</w:t>
      </w:r>
      <w:proofErr w:type="spellEnd"/>
      <w:r w:rsidRPr="00C63F8C">
        <w:rPr>
          <w:rFonts w:ascii="Times New Roman" w:eastAsia="Times New Roman" w:hAnsi="Times New Roman" w:cs="Times New Roman"/>
          <w:sz w:val="24"/>
          <w:szCs w:val="24"/>
        </w:rPr>
        <w:t xml:space="preserve"> tiks izklāstīti reformas īstenošanas rezultāti pagājušajā gadā (t.i. 2018.gadā) un </w:t>
      </w:r>
      <w:r w:rsidR="00793FB7">
        <w:rPr>
          <w:rFonts w:ascii="Times New Roman" w:eastAsia="Times New Roman" w:hAnsi="Times New Roman" w:cs="Times New Roman"/>
          <w:sz w:val="24"/>
          <w:szCs w:val="24"/>
        </w:rPr>
        <w:t>tiks sniegta informācija</w:t>
      </w:r>
      <w:r w:rsidR="00793FB7" w:rsidRPr="00C63F8C">
        <w:rPr>
          <w:rFonts w:ascii="Times New Roman" w:eastAsia="Times New Roman" w:hAnsi="Times New Roman" w:cs="Times New Roman"/>
          <w:sz w:val="24"/>
          <w:szCs w:val="24"/>
        </w:rPr>
        <w:t xml:space="preserve"> </w:t>
      </w:r>
      <w:r w:rsidRPr="00C63F8C">
        <w:rPr>
          <w:rFonts w:ascii="Times New Roman" w:eastAsia="Times New Roman" w:hAnsi="Times New Roman" w:cs="Times New Roman"/>
          <w:sz w:val="24"/>
          <w:szCs w:val="24"/>
        </w:rPr>
        <w:t xml:space="preserve">par plānotajiem pasākumiem tekošajā gadā (t.i. 2019.gadā). </w:t>
      </w:r>
    </w:p>
    <w:p w:rsidR="00130455" w:rsidRDefault="00130455" w:rsidP="00C63F8C">
      <w:pPr>
        <w:spacing w:after="60" w:line="240" w:lineRule="auto"/>
        <w:ind w:firstLine="709"/>
        <w:contextualSpacing/>
        <w:rPr>
          <w:rFonts w:ascii="Times New Roman" w:eastAsia="Times New Roman" w:hAnsi="Times New Roman" w:cs="Times New Roman"/>
          <w:b/>
          <w:sz w:val="24"/>
          <w:szCs w:val="24"/>
        </w:rPr>
      </w:pPr>
    </w:p>
    <w:p w:rsidR="00C63F8C" w:rsidRPr="00DB1AEB" w:rsidRDefault="00C63F8C" w:rsidP="00C63F8C">
      <w:pPr>
        <w:spacing w:after="60" w:line="240" w:lineRule="auto"/>
        <w:ind w:firstLine="709"/>
        <w:contextualSpacing/>
        <w:rPr>
          <w:rFonts w:ascii="Times New Roman" w:hAnsi="Times New Roman"/>
          <w:b/>
          <w:i/>
          <w:sz w:val="24"/>
        </w:rPr>
      </w:pPr>
      <w:r w:rsidRPr="00DB1AEB">
        <w:rPr>
          <w:rFonts w:ascii="Times New Roman" w:hAnsi="Times New Roman"/>
          <w:b/>
          <w:i/>
          <w:sz w:val="24"/>
        </w:rPr>
        <w:t xml:space="preserve">Veselības aprūpes sistēmas reformas pamatojums un īstenošana </w:t>
      </w:r>
    </w:p>
    <w:p w:rsidR="00C63F8C" w:rsidRPr="00C63F8C" w:rsidRDefault="00C63F8C" w:rsidP="00C63F8C">
      <w:pPr>
        <w:spacing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Deficīta atkāpe tika pieprasīta un saņemta reformai, kas tiek īstenota, pamatojoties uz vidēja termiņa politikas plānošanas dokumentu “Sabiedrības vese</w:t>
      </w:r>
      <w:r>
        <w:rPr>
          <w:rFonts w:ascii="Times New Roman" w:eastAsia="Times New Roman" w:hAnsi="Times New Roman" w:cs="Times New Roman"/>
          <w:sz w:val="24"/>
          <w:szCs w:val="24"/>
        </w:rPr>
        <w:t>lības pamatnostād</w:t>
      </w:r>
      <w:r w:rsidR="00DB1918">
        <w:rPr>
          <w:rFonts w:ascii="Times New Roman" w:eastAsia="Times New Roman" w:hAnsi="Times New Roman" w:cs="Times New Roman"/>
          <w:sz w:val="24"/>
          <w:szCs w:val="24"/>
        </w:rPr>
        <w:t>nes</w:t>
      </w:r>
      <w:r>
        <w:rPr>
          <w:rFonts w:ascii="Times New Roman" w:eastAsia="Times New Roman" w:hAnsi="Times New Roman" w:cs="Times New Roman"/>
          <w:sz w:val="24"/>
          <w:szCs w:val="24"/>
        </w:rPr>
        <w:t xml:space="preserve"> 2014.</w:t>
      </w:r>
      <w:r w:rsidRPr="009B0F5F">
        <w:rPr>
          <w:rFonts w:ascii="Times New Roman" w:eastAsia="Times New Roman" w:hAnsi="Times New Roman" w:cs="Times New Roman"/>
          <w:noProof/>
          <w:color w:val="000000"/>
          <w:sz w:val="24"/>
          <w:szCs w:val="24"/>
        </w:rPr>
        <w:t xml:space="preserve"> – </w:t>
      </w:r>
      <w:r>
        <w:rPr>
          <w:rFonts w:ascii="Times New Roman" w:eastAsia="Times New Roman" w:hAnsi="Times New Roman" w:cs="Times New Roman"/>
          <w:sz w:val="24"/>
          <w:szCs w:val="24"/>
        </w:rPr>
        <w:t>2020.</w:t>
      </w:r>
      <w:r w:rsidRPr="00C63F8C">
        <w:rPr>
          <w:rFonts w:ascii="Times New Roman" w:eastAsia="Times New Roman" w:hAnsi="Times New Roman" w:cs="Times New Roman"/>
          <w:sz w:val="24"/>
          <w:szCs w:val="24"/>
        </w:rPr>
        <w:t>gadam”. Veselības aprūpes reforma tiek īstenota no 2014.gada saskaņā ar MK apstiprināto vidēja termiņa politikas plānošanas dokumentu “Sabiedrības veselības pamatnostādn</w:t>
      </w:r>
      <w:r w:rsidR="00DB1918">
        <w:rPr>
          <w:rFonts w:ascii="Times New Roman" w:eastAsia="Times New Roman" w:hAnsi="Times New Roman" w:cs="Times New Roman"/>
          <w:sz w:val="24"/>
          <w:szCs w:val="24"/>
        </w:rPr>
        <w:t>es</w:t>
      </w:r>
      <w:r w:rsidRPr="00C63F8C">
        <w:rPr>
          <w:rFonts w:ascii="Times New Roman" w:eastAsia="Times New Roman" w:hAnsi="Times New Roman" w:cs="Times New Roman"/>
          <w:sz w:val="24"/>
          <w:szCs w:val="24"/>
        </w:rPr>
        <w:t xml:space="preserve">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 xml:space="preserve">2020.gadam”, un tās </w:t>
      </w:r>
      <w:proofErr w:type="spellStart"/>
      <w:r w:rsidRPr="00C63F8C">
        <w:rPr>
          <w:rFonts w:ascii="Times New Roman" w:eastAsia="Times New Roman" w:hAnsi="Times New Roman" w:cs="Times New Roman"/>
          <w:sz w:val="24"/>
          <w:szCs w:val="24"/>
        </w:rPr>
        <w:t>virsmērķis</w:t>
      </w:r>
      <w:proofErr w:type="spellEnd"/>
      <w:r w:rsidRPr="00C63F8C">
        <w:rPr>
          <w:rFonts w:ascii="Times New Roman" w:eastAsia="Times New Roman" w:hAnsi="Times New Roman" w:cs="Times New Roman"/>
          <w:sz w:val="24"/>
          <w:szCs w:val="24"/>
        </w:rPr>
        <w:t xml:space="preserve"> ir palielināt Latvijas iedzīvotāju veselīgi nodzīvoto mūža gadu skaitu un novērst priekšlaicīgu nāvi, saglabājot, uzlabojot un atjaunojot veselību. Minēt</w:t>
      </w:r>
      <w:r w:rsidR="00DB1918">
        <w:rPr>
          <w:rFonts w:ascii="Times New Roman" w:eastAsia="Times New Roman" w:hAnsi="Times New Roman" w:cs="Times New Roman"/>
          <w:sz w:val="24"/>
          <w:szCs w:val="24"/>
        </w:rPr>
        <w:t>ā</w:t>
      </w:r>
      <w:r w:rsidRPr="00C63F8C">
        <w:rPr>
          <w:rFonts w:ascii="Times New Roman" w:eastAsia="Times New Roman" w:hAnsi="Times New Roman" w:cs="Times New Roman"/>
          <w:sz w:val="24"/>
          <w:szCs w:val="24"/>
        </w:rPr>
        <w:t xml:space="preserve"> </w:t>
      </w:r>
      <w:proofErr w:type="spellStart"/>
      <w:r w:rsidRPr="00C63F8C">
        <w:rPr>
          <w:rFonts w:ascii="Times New Roman" w:eastAsia="Times New Roman" w:hAnsi="Times New Roman" w:cs="Times New Roman"/>
          <w:sz w:val="24"/>
          <w:szCs w:val="24"/>
        </w:rPr>
        <w:t>virsmērķ</w:t>
      </w:r>
      <w:r w:rsidR="00DB1918">
        <w:rPr>
          <w:rFonts w:ascii="Times New Roman" w:eastAsia="Times New Roman" w:hAnsi="Times New Roman" w:cs="Times New Roman"/>
          <w:sz w:val="24"/>
          <w:szCs w:val="24"/>
        </w:rPr>
        <w:t>a</w:t>
      </w:r>
      <w:proofErr w:type="spellEnd"/>
      <w:r w:rsidR="00DB1918">
        <w:rPr>
          <w:rFonts w:ascii="Times New Roman" w:eastAsia="Times New Roman" w:hAnsi="Times New Roman" w:cs="Times New Roman"/>
          <w:sz w:val="24"/>
          <w:szCs w:val="24"/>
        </w:rPr>
        <w:t xml:space="preserve"> sasniegšanu</w:t>
      </w:r>
      <w:r w:rsidRPr="00C63F8C">
        <w:rPr>
          <w:rFonts w:ascii="Times New Roman" w:eastAsia="Times New Roman" w:hAnsi="Times New Roman" w:cs="Times New Roman"/>
          <w:sz w:val="24"/>
          <w:szCs w:val="24"/>
        </w:rPr>
        <w:t xml:space="preserve"> Latvijā kavē veselības sistēmas vājās puses, kuras galvenokārt saistītās ar zemu publisko finansējumu (</w:t>
      </w:r>
      <w:r w:rsidRPr="00D6169B">
        <w:rPr>
          <w:rFonts w:ascii="Times New Roman" w:eastAsia="Times New Roman" w:hAnsi="Times New Roman" w:cs="Times New Roman"/>
          <w:sz w:val="24"/>
          <w:szCs w:val="24"/>
        </w:rPr>
        <w:t>sk</w:t>
      </w:r>
      <w:r w:rsidR="000E162A">
        <w:rPr>
          <w:rFonts w:ascii="Times New Roman" w:eastAsia="Times New Roman" w:hAnsi="Times New Roman" w:cs="Times New Roman"/>
          <w:sz w:val="24"/>
          <w:szCs w:val="24"/>
        </w:rPr>
        <w:t>at</w:t>
      </w:r>
      <w:r w:rsidRPr="00D6169B">
        <w:rPr>
          <w:rFonts w:ascii="Times New Roman" w:eastAsia="Times New Roman" w:hAnsi="Times New Roman" w:cs="Times New Roman"/>
          <w:sz w:val="24"/>
          <w:szCs w:val="24"/>
        </w:rPr>
        <w:t>. 3.</w:t>
      </w:r>
      <w:r w:rsidR="00D6169B" w:rsidRPr="00D6169B">
        <w:rPr>
          <w:rFonts w:ascii="Times New Roman" w:eastAsia="Times New Roman" w:hAnsi="Times New Roman" w:cs="Times New Roman"/>
          <w:sz w:val="24"/>
          <w:szCs w:val="24"/>
        </w:rPr>
        <w:t>1</w:t>
      </w:r>
      <w:r w:rsidRPr="00D6169B">
        <w:rPr>
          <w:rFonts w:ascii="Times New Roman" w:eastAsia="Times New Roman" w:hAnsi="Times New Roman" w:cs="Times New Roman"/>
          <w:sz w:val="24"/>
          <w:szCs w:val="24"/>
        </w:rPr>
        <w:t>.</w:t>
      </w:r>
      <w:r w:rsidR="00D6169B">
        <w:rPr>
          <w:rFonts w:ascii="Times New Roman" w:eastAsia="Times New Roman" w:hAnsi="Times New Roman" w:cs="Times New Roman"/>
          <w:sz w:val="24"/>
          <w:szCs w:val="24"/>
        </w:rPr>
        <w:t>attēlu</w:t>
      </w:r>
      <w:r w:rsidRPr="00C63F8C">
        <w:rPr>
          <w:rFonts w:ascii="Times New Roman" w:eastAsia="Times New Roman" w:hAnsi="Times New Roman" w:cs="Times New Roman"/>
          <w:sz w:val="24"/>
          <w:szCs w:val="24"/>
        </w:rPr>
        <w:t xml:space="preserve">), </w:t>
      </w:r>
      <w:r w:rsidR="00DB1918">
        <w:rPr>
          <w:rFonts w:ascii="Times New Roman" w:hAnsi="Times New Roman" w:cs="Times New Roman"/>
          <w:sz w:val="24"/>
          <w:szCs w:val="24"/>
        </w:rPr>
        <w:t>nevienlīdzību ārstniecības pakalpojumu pieejamībā</w:t>
      </w:r>
      <w:r w:rsidRPr="00C63F8C">
        <w:rPr>
          <w:rFonts w:ascii="Times New Roman" w:eastAsia="Times New Roman" w:hAnsi="Times New Roman" w:cs="Times New Roman"/>
          <w:sz w:val="24"/>
          <w:szCs w:val="24"/>
        </w:rPr>
        <w:t xml:space="preserve"> un augstu veselības problēmu dēļ priekšlaicīgi mirušo personu skaitu. </w:t>
      </w:r>
    </w:p>
    <w:p w:rsidR="00C63F8C" w:rsidRPr="00C63F8C" w:rsidRDefault="00C63F8C" w:rsidP="00C63F8C">
      <w:pPr>
        <w:spacing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Jāatzīmē, ka šie faktori ir savstarpēji saistīti. Zems publiskā finansējuma līmenis rada nepieciešamību daļu no ārstniecības pakalpojumiem finansēt ar privāto finansējumu, bet tas, savukārt, tos iedzīvotājus, kas nevar atļauties ieguldīt privāto finansējumu, attur no savlaicīgas ārstēšanās un palielina PZDG.</w:t>
      </w:r>
    </w:p>
    <w:p w:rsidR="00C63F8C" w:rsidRPr="00C63F8C" w:rsidRDefault="00C63F8C" w:rsidP="00B83698">
      <w:pPr>
        <w:spacing w:before="60" w:after="120" w:line="240" w:lineRule="auto"/>
        <w:jc w:val="center"/>
        <w:rPr>
          <w:rFonts w:ascii="Times New Roman" w:eastAsia="Times New Roman" w:hAnsi="Times New Roman" w:cs="Times New Roman"/>
          <w:b/>
          <w:bCs/>
          <w:kern w:val="36"/>
          <w:sz w:val="24"/>
        </w:rPr>
      </w:pPr>
      <w:r w:rsidRPr="00C63F8C">
        <w:rPr>
          <w:rFonts w:ascii="Calibri" w:eastAsia="Times New Roman" w:hAnsi="Calibri" w:cs="Times New Roman"/>
          <w:noProof/>
          <w:lang w:eastAsia="lv-LV"/>
        </w:rPr>
        <w:lastRenderedPageBreak/>
        <w:drawing>
          <wp:inline distT="0" distB="0" distL="0" distR="0" wp14:anchorId="18341688" wp14:editId="21512D1C">
            <wp:extent cx="5970905" cy="2838091"/>
            <wp:effectExtent l="0" t="0" r="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6169B">
        <w:rPr>
          <w:rFonts w:ascii="Times New Roman" w:eastAsia="Times New Roman" w:hAnsi="Times New Roman" w:cs="Times New Roman"/>
          <w:b/>
          <w:bCs/>
          <w:kern w:val="36"/>
          <w:sz w:val="24"/>
        </w:rPr>
        <w:t>3.</w:t>
      </w:r>
      <w:r w:rsidR="00D6169B" w:rsidRPr="00D6169B">
        <w:rPr>
          <w:rFonts w:ascii="Times New Roman" w:eastAsia="Times New Roman" w:hAnsi="Times New Roman" w:cs="Times New Roman"/>
          <w:b/>
          <w:bCs/>
          <w:kern w:val="36"/>
          <w:sz w:val="24"/>
        </w:rPr>
        <w:t>1</w:t>
      </w:r>
      <w:r w:rsidRPr="00D6169B">
        <w:rPr>
          <w:rFonts w:ascii="Times New Roman" w:eastAsia="Times New Roman" w:hAnsi="Times New Roman" w:cs="Times New Roman"/>
          <w:b/>
          <w:bCs/>
          <w:kern w:val="36"/>
          <w:sz w:val="24"/>
        </w:rPr>
        <w:t>.attēls.</w:t>
      </w:r>
      <w:r w:rsidRPr="00C63F8C">
        <w:rPr>
          <w:rFonts w:ascii="Times New Roman" w:eastAsia="Times New Roman" w:hAnsi="Times New Roman" w:cs="Times New Roman"/>
          <w:b/>
          <w:bCs/>
          <w:kern w:val="36"/>
          <w:sz w:val="24"/>
        </w:rPr>
        <w:t xml:space="preserve"> Publiskie izdevumi veselības aprūpei 2017.gadā ES valstī</w:t>
      </w:r>
      <w:r w:rsidRPr="00C63F8C">
        <w:rPr>
          <w:rFonts w:ascii="Times New Roman" w:eastAsia="Times New Roman" w:hAnsi="Times New Roman" w:cs="Times New Roman"/>
          <w:b/>
          <w:bCs/>
          <w:kern w:val="36"/>
          <w:sz w:val="24"/>
          <w:szCs w:val="24"/>
        </w:rPr>
        <w:t>s</w:t>
      </w:r>
      <w:r w:rsidRPr="00C63F8C">
        <w:rPr>
          <w:rFonts w:ascii="Times New Roman" w:eastAsia="Times New Roman" w:hAnsi="Times New Roman" w:cs="Times New Roman"/>
          <w:b/>
          <w:bCs/>
          <w:kern w:val="36"/>
          <w:sz w:val="24"/>
          <w:szCs w:val="24"/>
          <w:vertAlign w:val="superscript"/>
        </w:rPr>
        <w:footnoteReference w:id="7"/>
      </w:r>
      <w:r w:rsidRPr="00C63F8C">
        <w:rPr>
          <w:rFonts w:ascii="Times New Roman" w:eastAsia="Times New Roman" w:hAnsi="Times New Roman" w:cs="Times New Roman"/>
          <w:b/>
          <w:bCs/>
          <w:kern w:val="36"/>
          <w:sz w:val="24"/>
          <w:szCs w:val="24"/>
        </w:rPr>
        <w:t>,</w:t>
      </w:r>
      <w:r w:rsidRPr="00C63F8C">
        <w:rPr>
          <w:rFonts w:ascii="Times New Roman" w:eastAsia="Times New Roman" w:hAnsi="Times New Roman" w:cs="Times New Roman"/>
          <w:b/>
          <w:bCs/>
          <w:kern w:val="36"/>
          <w:sz w:val="24"/>
        </w:rPr>
        <w:t xml:space="preserve"> % no IKP</w:t>
      </w:r>
    </w:p>
    <w:p w:rsidR="00C63F8C" w:rsidRPr="00C63F8C" w:rsidRDefault="00DB1918" w:rsidP="00C63F8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w:t>
      </w:r>
      <w:r w:rsidR="00C63F8C" w:rsidRPr="00C63F8C">
        <w:rPr>
          <w:rFonts w:ascii="Times New Roman" w:eastAsia="Times New Roman" w:hAnsi="Times New Roman" w:cs="Times New Roman"/>
          <w:sz w:val="24"/>
          <w:szCs w:val="24"/>
        </w:rPr>
        <w:t>Padome uz minētajiem Latvijas veselības sistēmas trūkumiem ir norādījusi jau no 2014.gada valsts specifisko rekomendāciju kontekstā, gadskārtēji identificējot, ka ir nepieciešams uzlabot veselības aprūpes sistēmas pieejamību, izmaksu lietderību un kvalitāti. Turklāt tiek atzīmēts, ka veselības aprūpes nozarei ir atvēlēts pārāk mazs publiskais finansējums, atstājot negatīvu ietekmi uz neaizsargāto sabiedrības locekļu piekļuvi veselības aprūpes pakalpojumiem.</w:t>
      </w:r>
    </w:p>
    <w:p w:rsidR="00C63F8C" w:rsidRPr="00C63F8C" w:rsidRDefault="00C63F8C" w:rsidP="00C63F8C">
      <w:pPr>
        <w:spacing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Pēdējo divu gadu, 2017. un 2018.gada, valsts specifiskajās rekomendācijās</w:t>
      </w:r>
      <w:r w:rsidR="00D6169B">
        <w:rPr>
          <w:rFonts w:ascii="Times New Roman" w:eastAsia="Times New Roman" w:hAnsi="Times New Roman" w:cs="Times New Roman"/>
          <w:sz w:val="24"/>
          <w:szCs w:val="24"/>
        </w:rPr>
        <w:t xml:space="preserve"> </w:t>
      </w:r>
      <w:r w:rsidRPr="00C63F8C">
        <w:rPr>
          <w:rFonts w:ascii="Times New Roman" w:eastAsia="Times New Roman" w:hAnsi="Times New Roman" w:cs="Times New Roman"/>
          <w:b/>
          <w:sz w:val="24"/>
          <w:szCs w:val="24"/>
        </w:rPr>
        <w:t xml:space="preserve">Padome novērtē Latvijas īstenotās veselības aprūpes sistēmas reformas. </w:t>
      </w:r>
      <w:r w:rsidRPr="00C63F8C">
        <w:rPr>
          <w:rFonts w:ascii="Times New Roman" w:eastAsia="Times New Roman" w:hAnsi="Times New Roman" w:cs="Times New Roman"/>
          <w:sz w:val="24"/>
          <w:szCs w:val="24"/>
        </w:rPr>
        <w:t>Vienlaicīgi tiek</w:t>
      </w:r>
      <w:r w:rsidRPr="00C63F8C">
        <w:rPr>
          <w:rFonts w:ascii="Times New Roman" w:eastAsia="Times New Roman" w:hAnsi="Times New Roman" w:cs="Times New Roman"/>
          <w:b/>
          <w:sz w:val="24"/>
          <w:szCs w:val="24"/>
        </w:rPr>
        <w:t xml:space="preserve"> </w:t>
      </w:r>
      <w:r w:rsidRPr="00C63F8C">
        <w:rPr>
          <w:rFonts w:ascii="Times New Roman" w:eastAsia="Times New Roman" w:hAnsi="Times New Roman" w:cs="Times New Roman"/>
          <w:sz w:val="24"/>
          <w:szCs w:val="24"/>
        </w:rPr>
        <w:t xml:space="preserve">atzīmēts, ka veselības aprūpei paredzētais publiskais finansējums joprojām ir krietni mazāks par ES vidējo rādītāju, un vēl ir jāveic efektivitātes palielināšanas pasākumi, tostarp efektīvi preventīvie pasākumi, slimnīcu nozares racionalizēšana, primārās veselības aprūpes stiprināšana un kvalitātes vadības jautājuma risināšana. </w:t>
      </w:r>
      <w:r w:rsidR="00DB1918" w:rsidRPr="00015B3E">
        <w:rPr>
          <w:rFonts w:ascii="Times New Roman" w:hAnsi="Times New Roman" w:cs="Times New Roman"/>
          <w:sz w:val="24"/>
          <w:szCs w:val="24"/>
        </w:rPr>
        <w:t xml:space="preserve">Veselības </w:t>
      </w:r>
      <w:r w:rsidR="00DB1918">
        <w:rPr>
          <w:rFonts w:ascii="Times New Roman" w:hAnsi="Times New Roman" w:cs="Times New Roman"/>
          <w:sz w:val="24"/>
          <w:szCs w:val="24"/>
        </w:rPr>
        <w:t xml:space="preserve">nozarē </w:t>
      </w:r>
      <w:r w:rsidR="00DB1918" w:rsidRPr="001E7D28">
        <w:rPr>
          <w:rFonts w:ascii="Times New Roman" w:hAnsi="Times New Roman" w:cs="Times New Roman"/>
          <w:sz w:val="24"/>
          <w:szCs w:val="24"/>
        </w:rPr>
        <w:t>sasniedzamo rezultatīvo rādītāju</w:t>
      </w:r>
      <w:r w:rsidR="00DB1918" w:rsidRPr="00015B3E">
        <w:rPr>
          <w:rFonts w:ascii="Times New Roman" w:hAnsi="Times New Roman" w:cs="Times New Roman"/>
          <w:sz w:val="24"/>
          <w:szCs w:val="24"/>
        </w:rPr>
        <w:t xml:space="preserve"> rezultāti ir salīdzinoši vāji, un bažas joprojām rada jautājums par savlaicīgas piekļuves veselības aprūpei par pieņemamu cenu nodrošināšanu visiem iedzīvotājiem. No personīgajiem līdzekļiem sedzamo maksājumu lielais īpatsvars un veselības aprūpes pakalpojumu sadalījums divos grozos (“pilnais” un “</w:t>
      </w:r>
      <w:r w:rsidR="00DB1918">
        <w:rPr>
          <w:rFonts w:ascii="Times New Roman" w:hAnsi="Times New Roman" w:cs="Times New Roman"/>
          <w:sz w:val="24"/>
          <w:szCs w:val="24"/>
        </w:rPr>
        <w:t>pamata</w:t>
      </w:r>
      <w:r w:rsidR="00DB1918" w:rsidRPr="00015B3E">
        <w:rPr>
          <w:rFonts w:ascii="Times New Roman" w:hAnsi="Times New Roman" w:cs="Times New Roman"/>
          <w:sz w:val="24"/>
          <w:szCs w:val="24"/>
        </w:rPr>
        <w:t xml:space="preserve">”) dažām grupām var samazināt piekļuvi un </w:t>
      </w:r>
      <w:r w:rsidR="00DB1918">
        <w:rPr>
          <w:rFonts w:ascii="Times New Roman" w:hAnsi="Times New Roman" w:cs="Times New Roman"/>
          <w:sz w:val="24"/>
          <w:szCs w:val="24"/>
        </w:rPr>
        <w:t>radīt</w:t>
      </w:r>
      <w:r w:rsidR="00DB1918" w:rsidRPr="00015B3E">
        <w:rPr>
          <w:rFonts w:ascii="Times New Roman" w:hAnsi="Times New Roman" w:cs="Times New Roman"/>
          <w:sz w:val="24"/>
          <w:szCs w:val="24"/>
        </w:rPr>
        <w:t xml:space="preserve"> negatīv</w:t>
      </w:r>
      <w:r w:rsidR="00DB1918">
        <w:rPr>
          <w:rFonts w:ascii="Times New Roman" w:hAnsi="Times New Roman" w:cs="Times New Roman"/>
          <w:sz w:val="24"/>
          <w:szCs w:val="24"/>
        </w:rPr>
        <w:t>as sekas uz atsevišķu sabiedrības grupu</w:t>
      </w:r>
      <w:r w:rsidR="00DB1918" w:rsidRPr="00015B3E">
        <w:rPr>
          <w:rFonts w:ascii="Times New Roman" w:hAnsi="Times New Roman" w:cs="Times New Roman"/>
          <w:sz w:val="24"/>
          <w:szCs w:val="24"/>
        </w:rPr>
        <w:t xml:space="preserve"> veselības </w:t>
      </w:r>
      <w:r w:rsidR="00DB1918">
        <w:rPr>
          <w:rFonts w:ascii="Times New Roman" w:hAnsi="Times New Roman" w:cs="Times New Roman"/>
          <w:sz w:val="24"/>
          <w:szCs w:val="24"/>
        </w:rPr>
        <w:t>stāvokli.</w:t>
      </w:r>
    </w:p>
    <w:p w:rsidR="00C63F8C" w:rsidRPr="00C63F8C" w:rsidRDefault="00C63F8C" w:rsidP="00C63F8C">
      <w:pPr>
        <w:spacing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Iepriekšminētā rezultātā </w:t>
      </w:r>
      <w:r w:rsidR="00CC1A43">
        <w:rPr>
          <w:rFonts w:ascii="Times New Roman" w:eastAsia="Times New Roman" w:hAnsi="Times New Roman" w:cs="Times New Roman"/>
          <w:sz w:val="24"/>
          <w:szCs w:val="24"/>
        </w:rPr>
        <w:t xml:space="preserve">ES </w:t>
      </w:r>
      <w:r w:rsidRPr="00C63F8C">
        <w:rPr>
          <w:rFonts w:ascii="Times New Roman" w:eastAsia="Times New Roman" w:hAnsi="Times New Roman" w:cs="Times New Roman"/>
          <w:sz w:val="24"/>
          <w:szCs w:val="24"/>
        </w:rPr>
        <w:t>Padome rekomendē Latvijai uzlabot veselības aprūpes sistēmas pieejamību, kvalitāti un izmaksu lietderību.</w:t>
      </w:r>
    </w:p>
    <w:p w:rsidR="00C63F8C" w:rsidRPr="00C63F8C" w:rsidRDefault="00C63F8C" w:rsidP="00C63F8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Relatīvi pret citām nozarēm Latvija laika posmā no 2014.gada līdz 2020.gadam ir spējusi nodrošināt būtisku finansējuma pieaugumu veselības aprūpes nozarei. It īpaši tas panākts, izmantojot SIP elastības klauzulu veselības reformas īstenošanā. Turklāt no 2018.gada veselības sistēmas finansēšanai tiek novirzīti būtiski papildu ieņēmumi no VSAOI likmes paaugstināšanas par 1 procentpunktu, kā arī no 2019.gada ir rasti papildu līdzekļi no valsts budžeta resursiem. </w:t>
      </w:r>
    </w:p>
    <w:p w:rsidR="00C11D88" w:rsidRDefault="00C11D88" w:rsidP="00C63F8C">
      <w:pPr>
        <w:spacing w:before="120" w:after="60" w:line="240" w:lineRule="auto"/>
        <w:ind w:firstLine="720"/>
        <w:jc w:val="right"/>
        <w:rPr>
          <w:rFonts w:ascii="Times New Roman" w:eastAsia="Times New Roman" w:hAnsi="Times New Roman" w:cs="Times New Roman"/>
          <w:b/>
          <w:sz w:val="24"/>
          <w:szCs w:val="24"/>
        </w:rPr>
      </w:pPr>
    </w:p>
    <w:p w:rsidR="00C11D88" w:rsidRDefault="00C11D88" w:rsidP="00C63F8C">
      <w:pPr>
        <w:spacing w:before="120" w:after="60" w:line="240" w:lineRule="auto"/>
        <w:ind w:firstLine="720"/>
        <w:jc w:val="right"/>
        <w:rPr>
          <w:rFonts w:ascii="Times New Roman" w:eastAsia="Times New Roman" w:hAnsi="Times New Roman" w:cs="Times New Roman"/>
          <w:b/>
          <w:sz w:val="24"/>
          <w:szCs w:val="24"/>
        </w:rPr>
      </w:pPr>
    </w:p>
    <w:p w:rsidR="00C63F8C" w:rsidRPr="00C63F8C" w:rsidRDefault="00C63F8C" w:rsidP="00C63F8C">
      <w:pPr>
        <w:spacing w:before="120"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lastRenderedPageBreak/>
        <w:t xml:space="preserve">Ar </w:t>
      </w:r>
      <w:r w:rsidR="00DB1918">
        <w:rPr>
          <w:rFonts w:ascii="Times New Roman" w:hAnsi="Times New Roman" w:cs="Times New Roman"/>
          <w:sz w:val="24"/>
          <w:szCs w:val="24"/>
        </w:rPr>
        <w:t>piešķirtā papildu</w:t>
      </w:r>
      <w:r w:rsidRPr="00C63F8C">
        <w:rPr>
          <w:rFonts w:ascii="Times New Roman" w:eastAsia="Times New Roman" w:hAnsi="Times New Roman" w:cs="Times New Roman"/>
          <w:sz w:val="24"/>
          <w:szCs w:val="24"/>
        </w:rPr>
        <w:t xml:space="preserve"> finansējuma pieaugumu Latvija kopumā ir spējusi nodrošināt vidējo finansējuma pieaugumu veselības aprūpes nozarei atbilstoši Sabiedrības veselības pamatnostādņu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2020.gadam plānotajam finansējuma pieaugumam (sk</w:t>
      </w:r>
      <w:r w:rsidR="005A443D">
        <w:rPr>
          <w:rFonts w:ascii="Times New Roman" w:eastAsia="Times New Roman" w:hAnsi="Times New Roman" w:cs="Times New Roman"/>
          <w:sz w:val="24"/>
          <w:szCs w:val="24"/>
        </w:rPr>
        <w:t>at</w:t>
      </w:r>
      <w:r w:rsidRPr="00C63F8C">
        <w:rPr>
          <w:rFonts w:ascii="Times New Roman" w:eastAsia="Times New Roman" w:hAnsi="Times New Roman" w:cs="Times New Roman"/>
          <w:sz w:val="24"/>
          <w:szCs w:val="24"/>
        </w:rPr>
        <w:t xml:space="preserve">. </w:t>
      </w:r>
      <w:r w:rsidRPr="007E1678">
        <w:rPr>
          <w:rFonts w:ascii="Times New Roman" w:eastAsia="Times New Roman" w:hAnsi="Times New Roman" w:cs="Times New Roman"/>
          <w:sz w:val="24"/>
          <w:szCs w:val="24"/>
        </w:rPr>
        <w:t>3.</w:t>
      </w:r>
      <w:r w:rsidR="007E1678" w:rsidRPr="007E1678">
        <w:rPr>
          <w:rFonts w:ascii="Times New Roman" w:eastAsia="Times New Roman" w:hAnsi="Times New Roman" w:cs="Times New Roman"/>
          <w:sz w:val="24"/>
          <w:szCs w:val="24"/>
        </w:rPr>
        <w:t>2</w:t>
      </w:r>
      <w:r w:rsidRPr="007E1678">
        <w:rPr>
          <w:rFonts w:ascii="Times New Roman" w:eastAsia="Times New Roman" w:hAnsi="Times New Roman" w:cs="Times New Roman"/>
          <w:sz w:val="24"/>
          <w:szCs w:val="24"/>
        </w:rPr>
        <w:t>.attēlu</w:t>
      </w:r>
      <w:r w:rsidRPr="00C63F8C">
        <w:rPr>
          <w:rFonts w:ascii="Times New Roman" w:eastAsia="Times New Roman" w:hAnsi="Times New Roman" w:cs="Times New Roman"/>
          <w:sz w:val="24"/>
          <w:szCs w:val="24"/>
        </w:rPr>
        <w:t>).</w:t>
      </w:r>
    </w:p>
    <w:p w:rsidR="00C63F8C" w:rsidRPr="00C63F8C" w:rsidRDefault="00C63F8C" w:rsidP="00C63F8C">
      <w:pPr>
        <w:spacing w:after="0" w:line="240" w:lineRule="auto"/>
        <w:ind w:firstLine="720"/>
        <w:jc w:val="both"/>
        <w:rPr>
          <w:rFonts w:ascii="Times New Roman" w:eastAsia="Times New Roman" w:hAnsi="Times New Roman" w:cs="Times New Roman"/>
          <w:sz w:val="24"/>
          <w:szCs w:val="24"/>
          <w:highlight w:val="yellow"/>
        </w:rPr>
      </w:pPr>
    </w:p>
    <w:p w:rsidR="00C63F8C" w:rsidRPr="00C63F8C" w:rsidRDefault="006F0EBF" w:rsidP="006F0EBF">
      <w:pPr>
        <w:spacing w:after="0" w:line="240" w:lineRule="auto"/>
        <w:ind w:hanging="142"/>
        <w:jc w:val="center"/>
        <w:rPr>
          <w:rFonts w:ascii="Times New Roman" w:eastAsia="Times New Roman" w:hAnsi="Times New Roman" w:cs="Times New Roman"/>
          <w:sz w:val="24"/>
          <w:szCs w:val="24"/>
          <w:highlight w:val="yellow"/>
        </w:rPr>
      </w:pPr>
      <w:r w:rsidRPr="006F0EBF">
        <w:rPr>
          <w:noProof/>
          <w:lang w:eastAsia="lv-LV"/>
        </w:rPr>
        <w:drawing>
          <wp:inline distT="0" distB="0" distL="0" distR="0">
            <wp:extent cx="4563110" cy="27432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3110" cy="2743200"/>
                    </a:xfrm>
                    <a:prstGeom prst="rect">
                      <a:avLst/>
                    </a:prstGeom>
                    <a:noFill/>
                    <a:ln>
                      <a:noFill/>
                    </a:ln>
                  </pic:spPr>
                </pic:pic>
              </a:graphicData>
            </a:graphic>
          </wp:inline>
        </w:drawing>
      </w:r>
    </w:p>
    <w:p w:rsidR="00C63F8C" w:rsidRPr="00C63F8C" w:rsidRDefault="00C63F8C" w:rsidP="00C63F8C">
      <w:pPr>
        <w:spacing w:before="60" w:after="120" w:line="240" w:lineRule="auto"/>
        <w:jc w:val="center"/>
        <w:rPr>
          <w:rFonts w:ascii="Times New Roman" w:eastAsia="Times New Roman" w:hAnsi="Times New Roman" w:cs="Times New Roman"/>
          <w:b/>
          <w:sz w:val="24"/>
          <w:szCs w:val="24"/>
          <w:highlight w:val="yellow"/>
        </w:rPr>
      </w:pPr>
      <w:r w:rsidRPr="007E1678">
        <w:rPr>
          <w:rFonts w:ascii="Times New Roman" w:eastAsia="Times New Roman" w:hAnsi="Times New Roman" w:cs="Times New Roman"/>
          <w:b/>
          <w:sz w:val="24"/>
          <w:szCs w:val="24"/>
        </w:rPr>
        <w:t>3.</w:t>
      </w:r>
      <w:r w:rsidR="007E1678" w:rsidRPr="007E1678">
        <w:rPr>
          <w:rFonts w:ascii="Times New Roman" w:eastAsia="Times New Roman" w:hAnsi="Times New Roman" w:cs="Times New Roman"/>
          <w:b/>
          <w:sz w:val="24"/>
          <w:szCs w:val="24"/>
        </w:rPr>
        <w:t>2</w:t>
      </w:r>
      <w:r w:rsidRPr="007E1678">
        <w:rPr>
          <w:rFonts w:ascii="Times New Roman" w:eastAsia="Times New Roman" w:hAnsi="Times New Roman" w:cs="Times New Roman"/>
          <w:b/>
          <w:sz w:val="24"/>
          <w:szCs w:val="24"/>
        </w:rPr>
        <w:t xml:space="preserve">.attēls. </w:t>
      </w:r>
      <w:r w:rsidRPr="00C63F8C">
        <w:rPr>
          <w:rFonts w:ascii="Times New Roman" w:eastAsia="Times New Roman" w:hAnsi="Times New Roman" w:cs="Times New Roman"/>
          <w:b/>
          <w:sz w:val="24"/>
          <w:szCs w:val="24"/>
        </w:rPr>
        <w:t xml:space="preserve">Pamatnostādnēs izmantotā finansējuma pieauguma scenārijs un faktiskais finansējuma pieaugums, milj. </w:t>
      </w:r>
      <w:proofErr w:type="spellStart"/>
      <w:r w:rsidRPr="00C63F8C">
        <w:rPr>
          <w:rFonts w:ascii="Times New Roman" w:eastAsia="Times New Roman" w:hAnsi="Times New Roman" w:cs="Times New Roman"/>
          <w:b/>
          <w:i/>
          <w:sz w:val="24"/>
          <w:szCs w:val="24"/>
        </w:rPr>
        <w:t>euro</w:t>
      </w:r>
      <w:proofErr w:type="spellEnd"/>
      <w:r w:rsidRPr="00C63F8C">
        <w:rPr>
          <w:rFonts w:ascii="Times New Roman" w:eastAsia="Times New Roman" w:hAnsi="Times New Roman" w:cs="Times New Roman"/>
          <w:sz w:val="24"/>
          <w:szCs w:val="24"/>
          <w:vertAlign w:val="superscript"/>
        </w:rPr>
        <w:footnoteReference w:id="8"/>
      </w:r>
    </w:p>
    <w:tbl>
      <w:tblPr>
        <w:tblStyle w:val="TableGrid"/>
        <w:tblW w:w="9351"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9351"/>
      </w:tblGrid>
      <w:tr w:rsidR="00C63F8C" w:rsidRPr="00C63F8C" w:rsidTr="005E344C">
        <w:tc>
          <w:tcPr>
            <w:tcW w:w="9351" w:type="dxa"/>
          </w:tcPr>
          <w:p w:rsidR="00C63F8C" w:rsidRPr="00C63F8C" w:rsidRDefault="00B83698" w:rsidP="00B83698">
            <w:pPr>
              <w:jc w:val="both"/>
              <w:rPr>
                <w:rFonts w:eastAsia="Times New Roman"/>
                <w:sz w:val="24"/>
                <w:szCs w:val="24"/>
                <w:highlight w:val="yellow"/>
              </w:rPr>
            </w:pPr>
            <w:r>
              <w:rPr>
                <w:rFonts w:eastAsia="Times New Roman"/>
                <w:sz w:val="24"/>
                <w:szCs w:val="24"/>
              </w:rPr>
              <w:t>3.2.a</w:t>
            </w:r>
            <w:r w:rsidR="00C63F8C" w:rsidRPr="00C63F8C">
              <w:rPr>
                <w:rFonts w:eastAsia="Times New Roman"/>
                <w:sz w:val="24"/>
                <w:szCs w:val="24"/>
              </w:rPr>
              <w:t xml:space="preserve">ttēlā redzamais scenārijs tika izmantots iepriekšējās Stabilitātes programmās, veicot pieteiktās reformas fiskālās ietekmes novērtējumu. Līdz ar to, paliekot spēkā novērtējumā izmantotajiem pieņēmumiem, </w:t>
            </w:r>
            <w:r w:rsidR="00C63F8C" w:rsidRPr="00C63F8C">
              <w:rPr>
                <w:rFonts w:eastAsia="Times New Roman"/>
                <w:b/>
                <w:sz w:val="24"/>
                <w:szCs w:val="24"/>
              </w:rPr>
              <w:t>ir pamats uzskatīt, ka tiek saglabāts reformas fiskālās ietekmes novērtējums un tiek nodrošināta PZDG mērķa sasniegšana.</w:t>
            </w:r>
          </w:p>
        </w:tc>
      </w:tr>
    </w:tbl>
    <w:p w:rsidR="007E1678" w:rsidRDefault="007E1678" w:rsidP="00C63F8C">
      <w:pPr>
        <w:spacing w:after="60" w:line="240" w:lineRule="auto"/>
        <w:ind w:firstLine="720"/>
        <w:contextualSpacing/>
        <w:rPr>
          <w:rFonts w:ascii="Times New Roman" w:eastAsia="Times New Roman" w:hAnsi="Times New Roman" w:cs="Times New Roman"/>
          <w:b/>
          <w:sz w:val="24"/>
          <w:szCs w:val="24"/>
        </w:rPr>
      </w:pPr>
    </w:p>
    <w:p w:rsidR="00C63F8C" w:rsidRPr="00CC1A43" w:rsidRDefault="00C63F8C" w:rsidP="00C63F8C">
      <w:pPr>
        <w:spacing w:after="60" w:line="240" w:lineRule="auto"/>
        <w:ind w:firstLine="720"/>
        <w:contextualSpacing/>
        <w:rPr>
          <w:rFonts w:ascii="Times New Roman" w:eastAsia="Times New Roman" w:hAnsi="Times New Roman" w:cs="Times New Roman"/>
          <w:b/>
          <w:i/>
          <w:sz w:val="24"/>
          <w:szCs w:val="24"/>
        </w:rPr>
      </w:pPr>
      <w:r w:rsidRPr="00CC1A43">
        <w:rPr>
          <w:rFonts w:ascii="Times New Roman" w:eastAsia="Times New Roman" w:hAnsi="Times New Roman" w:cs="Times New Roman"/>
          <w:b/>
          <w:i/>
          <w:sz w:val="24"/>
          <w:szCs w:val="24"/>
        </w:rPr>
        <w:t>Veselības aprūpes sistēmas reformas īstenošana 2018.gadā</w:t>
      </w:r>
    </w:p>
    <w:p w:rsidR="00C63F8C" w:rsidRPr="00C63F8C" w:rsidRDefault="00C63F8C" w:rsidP="00906D6B">
      <w:pPr>
        <w:spacing w:after="0" w:line="240" w:lineRule="auto"/>
        <w:ind w:firstLine="720"/>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Deficīta atkāpes finansējums 2017.</w:t>
      </w:r>
      <w:r w:rsidRPr="009B0F5F">
        <w:rPr>
          <w:rFonts w:ascii="Times New Roman" w:eastAsia="Times New Roman" w:hAnsi="Times New Roman" w:cs="Times New Roman"/>
          <w:noProof/>
          <w:color w:val="000000"/>
          <w:sz w:val="24"/>
          <w:szCs w:val="24"/>
        </w:rPr>
        <w:t xml:space="preserve"> – </w:t>
      </w:r>
      <w:r w:rsidRPr="00C63F8C">
        <w:rPr>
          <w:rFonts w:ascii="Times New Roman" w:eastAsia="Calibri" w:hAnsi="Times New Roman" w:cs="Times New Roman"/>
          <w:color w:val="000000"/>
          <w:sz w:val="24"/>
          <w:szCs w:val="24"/>
        </w:rPr>
        <w:t xml:space="preserve">2019.gada periodam, kas ir pieejams sakarā ar veselības aprūpes reformas īstenošanu tiek izmantots noteiktu veselības aprūpes pasākumu grupai, kas izriet no </w:t>
      </w:r>
      <w:r w:rsidRPr="00C63F8C">
        <w:rPr>
          <w:rFonts w:ascii="Times New Roman" w:eastAsia="Times New Roman" w:hAnsi="Times New Roman" w:cs="Times New Roman"/>
          <w:sz w:val="24"/>
          <w:szCs w:val="24"/>
        </w:rPr>
        <w:t>Sabiedrības veselības pamatnostādnēm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2020.gadam</w:t>
      </w:r>
      <w:r w:rsidRPr="00C63F8C">
        <w:rPr>
          <w:rFonts w:ascii="Times New Roman" w:eastAsia="Calibri" w:hAnsi="Times New Roman" w:cs="Times New Roman"/>
          <w:color w:val="000000"/>
          <w:sz w:val="24"/>
          <w:szCs w:val="24"/>
        </w:rPr>
        <w:t xml:space="preserve">. Šī pasākumu grupa ir nodalīta no pārējiem veselības aprūpes uzlabošanas pasākumiem, paredzot īpašu resursu piešķiršanas un izmantošanas uzraudzības kārtību. </w:t>
      </w:r>
    </w:p>
    <w:p w:rsidR="00C63F8C" w:rsidRPr="00C63F8C" w:rsidRDefault="00C63F8C" w:rsidP="00C63F8C">
      <w:pPr>
        <w:spacing w:after="0" w:line="240" w:lineRule="auto"/>
        <w:ind w:firstLine="720"/>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Vienlaicīgi jāatzīmē, ka izvēloties tos veselības reformas pasākumus, kuriem tiek izmantots deficīta atkāpes finansējums, tiek izvirzīti šādi kritēriji:</w:t>
      </w:r>
    </w:p>
    <w:p w:rsidR="00C63F8C" w:rsidRPr="00C63F8C" w:rsidRDefault="00C63F8C" w:rsidP="00C63F8C">
      <w:pPr>
        <w:numPr>
          <w:ilvl w:val="0"/>
          <w:numId w:val="19"/>
        </w:numPr>
        <w:spacing w:after="0" w:line="240" w:lineRule="auto"/>
        <w:ind w:left="1276"/>
        <w:contextualSpacing/>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 xml:space="preserve">Pasākumam ir jābūt atbilstošam </w:t>
      </w:r>
      <w:r w:rsidRPr="00C63F8C">
        <w:rPr>
          <w:rFonts w:ascii="Times New Roman" w:eastAsia="Times New Roman" w:hAnsi="Times New Roman" w:cs="Times New Roman"/>
          <w:sz w:val="24"/>
          <w:szCs w:val="24"/>
        </w:rPr>
        <w:t>Sabiedrības veselības pamatnostādnēm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2020.gadam</w:t>
      </w:r>
      <w:r w:rsidR="00CC1A43" w:rsidRPr="00C63F8C">
        <w:rPr>
          <w:rFonts w:ascii="Times New Roman" w:eastAsia="Calibri" w:hAnsi="Times New Roman" w:cs="Times New Roman"/>
          <w:color w:val="000000"/>
          <w:sz w:val="24"/>
          <w:szCs w:val="24"/>
        </w:rPr>
        <w:t>.</w:t>
      </w:r>
    </w:p>
    <w:p w:rsidR="00C63F8C" w:rsidRPr="00C63F8C" w:rsidRDefault="00C63F8C" w:rsidP="00C63F8C">
      <w:pPr>
        <w:numPr>
          <w:ilvl w:val="0"/>
          <w:numId w:val="19"/>
        </w:numPr>
        <w:spacing w:after="0" w:line="240" w:lineRule="auto"/>
        <w:ind w:left="1276"/>
        <w:contextualSpacing/>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Pasākuma rezultātam, kas finansēts no deficīta atkāpes finansējuma 2017.</w:t>
      </w:r>
      <w:r w:rsidRPr="009B0F5F">
        <w:rPr>
          <w:rFonts w:ascii="Times New Roman" w:eastAsia="Times New Roman" w:hAnsi="Times New Roman" w:cs="Times New Roman"/>
          <w:noProof/>
          <w:color w:val="000000"/>
          <w:sz w:val="24"/>
          <w:szCs w:val="24"/>
        </w:rPr>
        <w:t xml:space="preserve"> – </w:t>
      </w:r>
      <w:r w:rsidRPr="00C63F8C">
        <w:rPr>
          <w:rFonts w:ascii="Times New Roman" w:eastAsia="Calibri" w:hAnsi="Times New Roman" w:cs="Times New Roman"/>
          <w:color w:val="000000"/>
          <w:sz w:val="24"/>
          <w:szCs w:val="24"/>
        </w:rPr>
        <w:t>2019.gada periodā, ir jāatrisina, vai būtiski jāsamazina  noteikta veselības aprūpes sistēmā identificēta problēma. Nevar finansēt tādus pasākumus, kuri dod nebūtisku efektu problēmas atrisināšanā – šāda intervence nav uzskatāma par reformu.</w:t>
      </w:r>
    </w:p>
    <w:p w:rsidR="00C63F8C" w:rsidRPr="00C63F8C" w:rsidRDefault="00C63F8C" w:rsidP="00C63F8C">
      <w:pPr>
        <w:numPr>
          <w:ilvl w:val="0"/>
          <w:numId w:val="19"/>
        </w:numPr>
        <w:spacing w:after="0" w:line="240" w:lineRule="auto"/>
        <w:ind w:left="1276"/>
        <w:contextualSpacing/>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Risināmai problēmai ir jābūt atzītai kā veselības aprūpes problēmai EK analītiskajos dokumentos.</w:t>
      </w:r>
    </w:p>
    <w:p w:rsidR="00C63F8C" w:rsidRPr="00C63F8C" w:rsidRDefault="00C63F8C" w:rsidP="00C63F8C">
      <w:pPr>
        <w:numPr>
          <w:ilvl w:val="0"/>
          <w:numId w:val="19"/>
        </w:numPr>
        <w:spacing w:after="0" w:line="240" w:lineRule="auto"/>
        <w:ind w:left="1276"/>
        <w:contextualSpacing/>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lastRenderedPageBreak/>
        <w:t>Ir iespējams izveidot izsekojamu ieguldījumu – iznākumu – rezultāta rādītāju sistēmu.</w:t>
      </w:r>
    </w:p>
    <w:p w:rsidR="00BA3EA3" w:rsidRDefault="00C63F8C" w:rsidP="00C63F8C">
      <w:pPr>
        <w:numPr>
          <w:ilvl w:val="0"/>
          <w:numId w:val="19"/>
        </w:numPr>
        <w:spacing w:after="0" w:line="240" w:lineRule="auto"/>
        <w:ind w:left="1276"/>
        <w:contextualSpacing/>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Risinām</w:t>
      </w:r>
      <w:r w:rsidR="00CC1A43">
        <w:rPr>
          <w:rFonts w:ascii="Times New Roman" w:eastAsia="Calibri" w:hAnsi="Times New Roman" w:cs="Times New Roman"/>
          <w:color w:val="000000"/>
          <w:sz w:val="24"/>
          <w:szCs w:val="24"/>
        </w:rPr>
        <w:t>ā</w:t>
      </w:r>
      <w:r w:rsidRPr="00C63F8C">
        <w:rPr>
          <w:rFonts w:ascii="Times New Roman" w:eastAsia="Calibri" w:hAnsi="Times New Roman" w:cs="Times New Roman"/>
          <w:color w:val="000000"/>
          <w:sz w:val="24"/>
          <w:szCs w:val="24"/>
        </w:rPr>
        <w:t xml:space="preserve"> problēma dod ieguldījumu kopējā </w:t>
      </w:r>
      <w:r w:rsidRPr="00C63F8C">
        <w:rPr>
          <w:rFonts w:ascii="Times New Roman" w:eastAsia="Times New Roman" w:hAnsi="Times New Roman" w:cs="Times New Roman"/>
          <w:sz w:val="24"/>
          <w:szCs w:val="24"/>
        </w:rPr>
        <w:t>“Sabiedrības veselības pamatnostādnes 2014.</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2020.gadam”</w:t>
      </w:r>
      <w:r w:rsidRPr="00C63F8C">
        <w:rPr>
          <w:rFonts w:ascii="Times New Roman" w:eastAsia="Calibri" w:hAnsi="Times New Roman" w:cs="Times New Roman"/>
          <w:color w:val="000000"/>
          <w:sz w:val="24"/>
          <w:szCs w:val="24"/>
        </w:rPr>
        <w:t xml:space="preserve"> pozitīvā fiskālā efekta sasniegšanā.     </w:t>
      </w:r>
    </w:p>
    <w:p w:rsidR="00C63F8C" w:rsidRPr="00C63F8C" w:rsidRDefault="00C63F8C" w:rsidP="00E4459F">
      <w:pPr>
        <w:spacing w:after="0" w:line="240" w:lineRule="auto"/>
        <w:ind w:left="1276"/>
        <w:contextualSpacing/>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 xml:space="preserve"> </w:t>
      </w:r>
    </w:p>
    <w:p w:rsidR="00C63F8C" w:rsidRPr="00C63F8C" w:rsidRDefault="00C63F8C" w:rsidP="00C63F8C">
      <w:pPr>
        <w:spacing w:after="0" w:line="240" w:lineRule="auto"/>
        <w:ind w:firstLine="720"/>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Jāatzīmē, ka piešķirtais deficīta atkāpes finansējums 2017.</w:t>
      </w:r>
      <w:r w:rsidRPr="009B0F5F">
        <w:rPr>
          <w:rFonts w:ascii="Times New Roman" w:eastAsia="Times New Roman" w:hAnsi="Times New Roman" w:cs="Times New Roman"/>
          <w:noProof/>
          <w:color w:val="000000"/>
          <w:sz w:val="24"/>
          <w:szCs w:val="24"/>
        </w:rPr>
        <w:t xml:space="preserve"> – </w:t>
      </w:r>
      <w:r w:rsidRPr="00C63F8C">
        <w:rPr>
          <w:rFonts w:ascii="Times New Roman" w:eastAsia="Calibri" w:hAnsi="Times New Roman" w:cs="Times New Roman"/>
          <w:color w:val="000000"/>
          <w:sz w:val="24"/>
          <w:szCs w:val="24"/>
        </w:rPr>
        <w:t>2019.gadam attiecīgā gada valsts budžeta likumā tiek nodalīts atsevišķā budžeta programmā, kā gadskārtējā valsts budžeta izpildes rezultātā pārdalāmais finansējums. Tikai pēc tam, kad Veselības ministrijas priekšlikumi par finansējuma izmantošanu tiek apstiprināti MK, rezervētais finansējums tiek pārdalīts veselības reformas īstenošanai.</w:t>
      </w:r>
    </w:p>
    <w:p w:rsidR="00C63F8C" w:rsidRPr="00C63F8C" w:rsidRDefault="00C63F8C" w:rsidP="00C63F8C">
      <w:pPr>
        <w:spacing w:after="0" w:line="240" w:lineRule="auto"/>
        <w:ind w:firstLine="720"/>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Lai finanšu līdzekļus pārdalītu</w:t>
      </w:r>
      <w:r w:rsidR="00B83698" w:rsidRPr="00B83698">
        <w:rPr>
          <w:rFonts w:ascii="Times New Roman" w:eastAsia="Calibri" w:hAnsi="Times New Roman" w:cs="Times New Roman"/>
          <w:color w:val="000000"/>
          <w:sz w:val="24"/>
          <w:szCs w:val="24"/>
        </w:rPr>
        <w:t xml:space="preserve"> </w:t>
      </w:r>
      <w:r w:rsidR="00B83698">
        <w:rPr>
          <w:rFonts w:ascii="Times New Roman" w:eastAsia="Calibri" w:hAnsi="Times New Roman" w:cs="Times New Roman"/>
          <w:color w:val="000000"/>
          <w:sz w:val="24"/>
          <w:szCs w:val="24"/>
        </w:rPr>
        <w:t>veselības reformu pasākumu īstenošanai 2018.gadā</w:t>
      </w:r>
      <w:r w:rsidRPr="00C63F8C">
        <w:rPr>
          <w:rFonts w:ascii="Times New Roman" w:eastAsia="Calibri" w:hAnsi="Times New Roman" w:cs="Times New Roman"/>
          <w:color w:val="000000"/>
          <w:sz w:val="24"/>
          <w:szCs w:val="24"/>
        </w:rPr>
        <w:t>, Veselības ministrijai sākotnēji bija jāsniedz informācija par 2017.gadā īstenotajiem pasākumiem un sasniegtajiem rezultātiem. Šajā nolūkā, pamatojoties uz informatīvo ziņojumu “Par veselības reformas pasākumu īstenošanas rezultātiem veselības aprūpē 2017.gadam”</w:t>
      </w:r>
      <w:r w:rsidR="007E1678" w:rsidRPr="007E1678">
        <w:rPr>
          <w:rFonts w:eastAsia="Calibri" w:cs="Times New Roman"/>
          <w:color w:val="000000"/>
          <w:szCs w:val="24"/>
        </w:rPr>
        <w:t xml:space="preserve"> </w:t>
      </w:r>
      <w:r w:rsidR="007E1678">
        <w:rPr>
          <w:rStyle w:val="FootnoteReference"/>
          <w:rFonts w:eastAsia="Calibri" w:cs="Times New Roman"/>
          <w:color w:val="000000"/>
          <w:szCs w:val="24"/>
        </w:rPr>
        <w:footnoteReference w:id="9"/>
      </w:r>
      <w:r w:rsidRPr="00C63F8C">
        <w:rPr>
          <w:rFonts w:ascii="Times New Roman" w:eastAsia="Calibri" w:hAnsi="Times New Roman" w:cs="Times New Roman"/>
          <w:color w:val="000000"/>
          <w:sz w:val="24"/>
          <w:szCs w:val="24"/>
        </w:rPr>
        <w:t xml:space="preserve">, kurā aprakstīti īstenotie reformas pasākumi un rezultāti, tika secināts, ka nepieciešams turpināt iesāktās intervences arī 2018.gadā, lai nodrošinātu sekmīgu pacientu ārstēšanu un sasniegtu nozīmīgu </w:t>
      </w:r>
      <w:r w:rsidR="00F1520C">
        <w:rPr>
          <w:rFonts w:ascii="Times New Roman" w:eastAsia="Calibri" w:hAnsi="Times New Roman" w:cs="Times New Roman"/>
          <w:color w:val="000000"/>
          <w:sz w:val="24"/>
          <w:szCs w:val="24"/>
        </w:rPr>
        <w:t xml:space="preserve">PZMG </w:t>
      </w:r>
      <w:r w:rsidRPr="00C63F8C">
        <w:rPr>
          <w:rFonts w:ascii="Times New Roman" w:eastAsia="Calibri" w:hAnsi="Times New Roman" w:cs="Times New Roman"/>
          <w:color w:val="000000"/>
          <w:sz w:val="24"/>
          <w:szCs w:val="24"/>
        </w:rPr>
        <w:t xml:space="preserve">samazinājumu ilgākā laika periodā. Tāpat tika uzsvērti tautsaimniecības zaudējumi, ko valstij ik gadu rada iedzīvotāju priekšlaicīga mirstība. Vienlaicīgi, ņemot vērā pieejamo papildus finansējumu, kas 2018.gadā </w:t>
      </w:r>
      <w:r w:rsidR="00793FB7">
        <w:rPr>
          <w:rFonts w:ascii="Times New Roman" w:eastAsia="Calibri" w:hAnsi="Times New Roman" w:cs="Times New Roman"/>
          <w:color w:val="000000"/>
          <w:sz w:val="24"/>
          <w:szCs w:val="24"/>
        </w:rPr>
        <w:t>veidoja</w:t>
      </w:r>
      <w:r w:rsidRPr="00C63F8C">
        <w:rPr>
          <w:rFonts w:ascii="Times New Roman" w:eastAsia="Calibri" w:hAnsi="Times New Roman" w:cs="Times New Roman"/>
          <w:color w:val="000000"/>
          <w:sz w:val="24"/>
          <w:szCs w:val="24"/>
        </w:rPr>
        <w:t xml:space="preserve"> 0,4% no EK pieļautās budžeta deficīta atkāpes jeb 113,4</w:t>
      </w:r>
      <w:r>
        <w:rPr>
          <w:rFonts w:ascii="Times New Roman" w:eastAsia="Calibri" w:hAnsi="Times New Roman" w:cs="Times New Roman"/>
          <w:color w:val="000000"/>
          <w:sz w:val="24"/>
          <w:szCs w:val="24"/>
        </w:rPr>
        <w:t xml:space="preserve"> </w:t>
      </w:r>
      <w:r w:rsidRPr="00C63F8C">
        <w:rPr>
          <w:rFonts w:ascii="Times New Roman" w:eastAsia="Calibri" w:hAnsi="Times New Roman" w:cs="Times New Roman"/>
          <w:color w:val="000000"/>
          <w:sz w:val="24"/>
          <w:szCs w:val="24"/>
        </w:rPr>
        <w:t>milj.</w:t>
      </w:r>
      <w:r>
        <w:rPr>
          <w:rFonts w:ascii="Times New Roman" w:eastAsia="Calibri" w:hAnsi="Times New Roman" w:cs="Times New Roman"/>
          <w:color w:val="000000"/>
          <w:sz w:val="24"/>
          <w:szCs w:val="24"/>
        </w:rPr>
        <w:t xml:space="preserve"> </w:t>
      </w:r>
      <w:proofErr w:type="spellStart"/>
      <w:r w:rsidRPr="00C63F8C">
        <w:rPr>
          <w:rFonts w:ascii="Times New Roman" w:eastAsia="Calibri" w:hAnsi="Times New Roman" w:cs="Times New Roman"/>
          <w:i/>
          <w:color w:val="000000"/>
          <w:sz w:val="24"/>
          <w:szCs w:val="24"/>
        </w:rPr>
        <w:t>euro</w:t>
      </w:r>
      <w:proofErr w:type="spellEnd"/>
      <w:r w:rsidRPr="00C63F8C">
        <w:rPr>
          <w:rFonts w:ascii="Times New Roman" w:eastAsia="Calibri" w:hAnsi="Times New Roman" w:cs="Times New Roman"/>
          <w:color w:val="000000"/>
          <w:sz w:val="24"/>
          <w:szCs w:val="24"/>
        </w:rPr>
        <w:t xml:space="preserve">, tika secināts, ka uzsāktās reformas nepieciešams ne tikai turpināt, bet arī paplašināt ar jaunām iniciatīvām veselības aprūpes efektivitātes un ilgtspējas uzlabošanā. </w:t>
      </w:r>
    </w:p>
    <w:p w:rsidR="00C63F8C" w:rsidRPr="00C63F8C" w:rsidRDefault="00C63F8C" w:rsidP="00C63F8C">
      <w:pPr>
        <w:spacing w:after="0" w:line="240" w:lineRule="auto"/>
        <w:ind w:firstLine="720"/>
        <w:jc w:val="both"/>
        <w:rPr>
          <w:rFonts w:ascii="Times New Roman" w:eastAsia="Calibri" w:hAnsi="Times New Roman" w:cs="Times New Roman"/>
          <w:color w:val="000000"/>
          <w:sz w:val="24"/>
          <w:szCs w:val="24"/>
        </w:rPr>
      </w:pPr>
      <w:r w:rsidRPr="00C63F8C">
        <w:rPr>
          <w:rFonts w:ascii="Times New Roman" w:eastAsia="Calibri" w:hAnsi="Times New Roman" w:cs="Times New Roman"/>
          <w:color w:val="000000"/>
          <w:sz w:val="24"/>
          <w:szCs w:val="24"/>
        </w:rPr>
        <w:t>Tādējādi, lai turpinātu veselības aprūpes sistēmas reformu, kā arī paplašinātu to un īstenotu jaunas reformu jomas, M</w:t>
      </w:r>
      <w:r w:rsidR="003C7327">
        <w:rPr>
          <w:rFonts w:ascii="Times New Roman" w:eastAsia="Calibri" w:hAnsi="Times New Roman" w:cs="Times New Roman"/>
          <w:color w:val="000000"/>
          <w:sz w:val="24"/>
          <w:szCs w:val="24"/>
        </w:rPr>
        <w:t xml:space="preserve">K </w:t>
      </w:r>
      <w:r w:rsidRPr="00C63F8C">
        <w:rPr>
          <w:rFonts w:ascii="Times New Roman" w:eastAsia="Calibri" w:hAnsi="Times New Roman" w:cs="Times New Roman"/>
          <w:color w:val="000000"/>
          <w:sz w:val="24"/>
          <w:szCs w:val="24"/>
        </w:rPr>
        <w:t xml:space="preserve">apstiprināja informatīvo ziņojumu “Par veselības reformas pasākumu īstenošanu 2018.gadā” un Veselības ministrijai 2018.gadā no budžeta resora "74.Gadskārtējā valsts budžeta izpildes procesā pārdalāmais finansējums" 08.00.00 programmas "Veselības aprūpes sistēmas reformas ieviešanas finansējums" rezervētā finansējuma tika piešķirts finansējums 113,4 milj. </w:t>
      </w:r>
      <w:proofErr w:type="spellStart"/>
      <w:r w:rsidRPr="00C63F8C">
        <w:rPr>
          <w:rFonts w:ascii="Times New Roman" w:eastAsia="Calibri" w:hAnsi="Times New Roman" w:cs="Times New Roman"/>
          <w:i/>
          <w:color w:val="000000"/>
          <w:sz w:val="24"/>
          <w:szCs w:val="24"/>
        </w:rPr>
        <w:t>euro</w:t>
      </w:r>
      <w:proofErr w:type="spellEnd"/>
      <w:r w:rsidRPr="00C63F8C">
        <w:rPr>
          <w:rFonts w:ascii="Times New Roman" w:eastAsia="Calibri" w:hAnsi="Times New Roman" w:cs="Times New Roman"/>
          <w:color w:val="000000"/>
          <w:sz w:val="24"/>
          <w:szCs w:val="24"/>
        </w:rPr>
        <w:t xml:space="preserve"> apmērā veselības aprūpes reformai (</w:t>
      </w:r>
      <w:r w:rsidR="00351DF7" w:rsidRPr="006C5ABE">
        <w:rPr>
          <w:rFonts w:ascii="Times New Roman" w:eastAsia="Calibri" w:hAnsi="Times New Roman" w:cs="Times New Roman"/>
          <w:color w:val="000000"/>
          <w:sz w:val="24"/>
          <w:szCs w:val="24"/>
        </w:rPr>
        <w:t>M</w:t>
      </w:r>
      <w:r w:rsidR="00351DF7">
        <w:rPr>
          <w:rFonts w:ascii="Times New Roman" w:eastAsia="Calibri" w:hAnsi="Times New Roman" w:cs="Times New Roman"/>
          <w:color w:val="000000"/>
          <w:sz w:val="24"/>
          <w:szCs w:val="24"/>
        </w:rPr>
        <w:t>K</w:t>
      </w:r>
      <w:r w:rsidR="00351DF7" w:rsidRPr="00C63F8C">
        <w:rPr>
          <w:rFonts w:ascii="Times New Roman" w:eastAsia="Calibri" w:hAnsi="Times New Roman" w:cs="Times New Roman"/>
          <w:color w:val="000000"/>
          <w:sz w:val="24"/>
          <w:szCs w:val="24"/>
        </w:rPr>
        <w:t xml:space="preserve"> </w:t>
      </w:r>
      <w:r w:rsidRPr="00C63F8C">
        <w:rPr>
          <w:rFonts w:ascii="Times New Roman" w:eastAsia="Calibri" w:hAnsi="Times New Roman" w:cs="Times New Roman"/>
          <w:color w:val="000000"/>
          <w:sz w:val="24"/>
          <w:szCs w:val="24"/>
        </w:rPr>
        <w:t xml:space="preserve">2017.gada 19.decembra sēdes protokola Nr.63 66§ 2.punkts), kura sadalījums precizēts pamatojoties uz 2018.gada 28.augusta </w:t>
      </w:r>
      <w:r w:rsidR="00351DF7" w:rsidRPr="006C5ABE">
        <w:rPr>
          <w:rFonts w:ascii="Times New Roman" w:eastAsia="Calibri" w:hAnsi="Times New Roman" w:cs="Times New Roman"/>
          <w:color w:val="000000"/>
          <w:sz w:val="24"/>
          <w:szCs w:val="24"/>
        </w:rPr>
        <w:t>M</w:t>
      </w:r>
      <w:r w:rsidR="00351DF7">
        <w:rPr>
          <w:rFonts w:ascii="Times New Roman" w:eastAsia="Calibri" w:hAnsi="Times New Roman" w:cs="Times New Roman"/>
          <w:color w:val="000000"/>
          <w:sz w:val="24"/>
          <w:szCs w:val="24"/>
        </w:rPr>
        <w:t>K</w:t>
      </w:r>
      <w:r w:rsidR="00351DF7" w:rsidRPr="00C63F8C">
        <w:rPr>
          <w:rFonts w:ascii="Times New Roman" w:eastAsia="Calibri" w:hAnsi="Times New Roman" w:cs="Times New Roman"/>
          <w:color w:val="000000"/>
          <w:sz w:val="24"/>
          <w:szCs w:val="24"/>
        </w:rPr>
        <w:t xml:space="preserve"> </w:t>
      </w:r>
      <w:r w:rsidRPr="00C63F8C">
        <w:rPr>
          <w:rFonts w:ascii="Times New Roman" w:eastAsia="Calibri" w:hAnsi="Times New Roman" w:cs="Times New Roman"/>
          <w:color w:val="000000"/>
          <w:sz w:val="24"/>
          <w:szCs w:val="24"/>
        </w:rPr>
        <w:t>sēdes protokola Nr.40 30§ 2.punktu, šādās jomās un šādā noteiktajā apmērā:</w:t>
      </w:r>
    </w:p>
    <w:p w:rsidR="00C63F8C" w:rsidRPr="00C63F8C" w:rsidRDefault="00C63F8C" w:rsidP="00C63F8C">
      <w:pPr>
        <w:numPr>
          <w:ilvl w:val="0"/>
          <w:numId w:val="32"/>
        </w:numPr>
        <w:spacing w:after="0" w:line="240" w:lineRule="auto"/>
        <w:contextualSpacing/>
        <w:jc w:val="both"/>
        <w:rPr>
          <w:rFonts w:ascii="Times New Roman" w:eastAsia="Times New Roman" w:hAnsi="Times New Roman" w:cs="Times New Roman"/>
          <w:sz w:val="24"/>
          <w:szCs w:val="24"/>
          <w:lang w:eastAsia="lv-LV"/>
        </w:rPr>
      </w:pPr>
      <w:r w:rsidRPr="00C63F8C">
        <w:rPr>
          <w:rFonts w:ascii="Times New Roman" w:eastAsia="Times New Roman" w:hAnsi="Times New Roman" w:cs="Times New Roman"/>
          <w:b/>
          <w:i/>
          <w:sz w:val="24"/>
          <w:szCs w:val="24"/>
          <w:lang w:eastAsia="lv-LV"/>
        </w:rPr>
        <w:t>Veselības aprūpes pakalpojumu pieejamības uzlabošanai un rindu mazināšanai</w:t>
      </w:r>
      <w:r w:rsidRPr="00C63F8C">
        <w:rPr>
          <w:rFonts w:ascii="Times New Roman" w:eastAsia="Times New Roman" w:hAnsi="Times New Roman" w:cs="Times New Roman"/>
          <w:sz w:val="24"/>
          <w:szCs w:val="24"/>
          <w:lang w:eastAsia="lv-LV"/>
        </w:rPr>
        <w:t>,</w:t>
      </w:r>
      <w:r w:rsidRPr="00C63F8C">
        <w:rPr>
          <w:rFonts w:ascii="Times New Roman" w:eastAsia="Times New Roman" w:hAnsi="Times New Roman" w:cs="Times New Roman"/>
          <w:i/>
          <w:sz w:val="24"/>
          <w:szCs w:val="24"/>
          <w:lang w:eastAsia="lv-LV"/>
        </w:rPr>
        <w:t xml:space="preserve"> </w:t>
      </w:r>
      <w:r w:rsidRPr="00C63F8C">
        <w:rPr>
          <w:rFonts w:ascii="Times New Roman" w:eastAsia="Times New Roman" w:hAnsi="Times New Roman" w:cs="Times New Roman"/>
          <w:sz w:val="24"/>
          <w:szCs w:val="24"/>
          <w:lang w:eastAsia="lv-LV"/>
        </w:rPr>
        <w:t xml:space="preserve">38 373 824 </w:t>
      </w:r>
      <w:proofErr w:type="spellStart"/>
      <w:r w:rsidRPr="00C63F8C">
        <w:rPr>
          <w:rFonts w:ascii="Times New Roman" w:eastAsia="Times New Roman" w:hAnsi="Times New Roman" w:cs="Times New Roman"/>
          <w:i/>
          <w:sz w:val="24"/>
          <w:szCs w:val="24"/>
          <w:lang w:eastAsia="lv-LV"/>
        </w:rPr>
        <w:t>euro</w:t>
      </w:r>
      <w:proofErr w:type="spellEnd"/>
      <w:r w:rsidRPr="00C63F8C">
        <w:rPr>
          <w:rFonts w:ascii="Times New Roman" w:eastAsia="Times New Roman" w:hAnsi="Times New Roman" w:cs="Times New Roman"/>
          <w:sz w:val="24"/>
          <w:szCs w:val="24"/>
          <w:lang w:eastAsia="lv-LV"/>
        </w:rPr>
        <w:t xml:space="preserve">, tai skaitā turpinot </w:t>
      </w:r>
      <w:r w:rsidRPr="00C63F8C">
        <w:rPr>
          <w:rFonts w:ascii="Times New Roman" w:eastAsia="Times New Roman" w:hAnsi="Times New Roman" w:cs="Times New Roman"/>
          <w:bCs/>
          <w:sz w:val="24"/>
          <w:szCs w:val="24"/>
          <w:lang w:eastAsia="lv-LV"/>
        </w:rPr>
        <w:t>2017.gadā uzsākto rindu mazināšanu;</w:t>
      </w:r>
    </w:p>
    <w:p w:rsidR="00C63F8C" w:rsidRPr="00C63F8C" w:rsidRDefault="00C63F8C" w:rsidP="00C63F8C">
      <w:pPr>
        <w:numPr>
          <w:ilvl w:val="0"/>
          <w:numId w:val="32"/>
        </w:numPr>
        <w:spacing w:after="0" w:line="240" w:lineRule="auto"/>
        <w:contextualSpacing/>
        <w:jc w:val="both"/>
        <w:rPr>
          <w:rFonts w:ascii="Times New Roman" w:eastAsia="Times New Roman" w:hAnsi="Times New Roman" w:cs="Times New Roman"/>
          <w:sz w:val="24"/>
          <w:szCs w:val="24"/>
          <w:lang w:eastAsia="lv-LV"/>
        </w:rPr>
      </w:pPr>
      <w:r w:rsidRPr="00C63F8C">
        <w:rPr>
          <w:rFonts w:ascii="Times New Roman" w:eastAsia="Times New Roman" w:hAnsi="Times New Roman" w:cs="Times New Roman"/>
          <w:b/>
          <w:bCs/>
          <w:i/>
          <w:sz w:val="24"/>
          <w:szCs w:val="24"/>
          <w:lang w:eastAsia="lv-LV"/>
        </w:rPr>
        <w:t>Onkoloģisko saslimšanu diagnostikas un ārstēšanas pieejamības uzlabošanai</w:t>
      </w:r>
      <w:r w:rsidRPr="00C63F8C">
        <w:rPr>
          <w:rFonts w:ascii="Times New Roman" w:eastAsia="Times New Roman" w:hAnsi="Times New Roman" w:cs="Times New Roman"/>
          <w:bCs/>
          <w:sz w:val="24"/>
          <w:szCs w:val="24"/>
          <w:lang w:eastAsia="lv-LV"/>
        </w:rPr>
        <w:t xml:space="preserve">, 37 163 269 </w:t>
      </w:r>
      <w:proofErr w:type="spellStart"/>
      <w:r w:rsidRPr="00C63F8C">
        <w:rPr>
          <w:rFonts w:ascii="Times New Roman" w:eastAsia="Times New Roman" w:hAnsi="Times New Roman" w:cs="Times New Roman"/>
          <w:bCs/>
          <w:i/>
          <w:sz w:val="24"/>
          <w:szCs w:val="24"/>
          <w:lang w:eastAsia="lv-LV"/>
        </w:rPr>
        <w:t>euro</w:t>
      </w:r>
      <w:proofErr w:type="spellEnd"/>
      <w:r w:rsidRPr="00C63F8C">
        <w:rPr>
          <w:rFonts w:ascii="Times New Roman" w:eastAsia="Times New Roman" w:hAnsi="Times New Roman" w:cs="Times New Roman"/>
          <w:bCs/>
          <w:sz w:val="24"/>
          <w:szCs w:val="24"/>
          <w:lang w:eastAsia="lv-LV"/>
        </w:rPr>
        <w:t>, tai skaitā turpinot un paplašinot 2017.gadā uzsāktās aktivitātes;</w:t>
      </w:r>
    </w:p>
    <w:p w:rsidR="00C63F8C" w:rsidRPr="00C63F8C" w:rsidRDefault="00C63F8C" w:rsidP="00C63F8C">
      <w:pPr>
        <w:numPr>
          <w:ilvl w:val="0"/>
          <w:numId w:val="32"/>
        </w:numPr>
        <w:spacing w:after="0" w:line="240" w:lineRule="auto"/>
        <w:contextualSpacing/>
        <w:jc w:val="both"/>
        <w:rPr>
          <w:rFonts w:ascii="Times New Roman" w:eastAsia="Times New Roman" w:hAnsi="Times New Roman" w:cs="Times New Roman"/>
          <w:sz w:val="24"/>
          <w:szCs w:val="24"/>
          <w:lang w:eastAsia="lv-LV"/>
        </w:rPr>
      </w:pPr>
      <w:r w:rsidRPr="00C63F8C">
        <w:rPr>
          <w:rFonts w:ascii="Times New Roman" w:eastAsia="Times New Roman" w:hAnsi="Times New Roman" w:cs="Times New Roman"/>
          <w:b/>
          <w:i/>
          <w:sz w:val="24"/>
          <w:szCs w:val="24"/>
          <w:lang w:eastAsia="lv-LV"/>
        </w:rPr>
        <w:t>Infekcijas slimību izplatības mazināšanai</w:t>
      </w:r>
      <w:r w:rsidRPr="00C63F8C">
        <w:rPr>
          <w:rFonts w:ascii="Times New Roman" w:eastAsia="Times New Roman" w:hAnsi="Times New Roman" w:cs="Times New Roman"/>
          <w:sz w:val="24"/>
          <w:szCs w:val="24"/>
          <w:lang w:eastAsia="lv-LV"/>
        </w:rPr>
        <w:t xml:space="preserve">, 16 740 741 </w:t>
      </w:r>
      <w:proofErr w:type="spellStart"/>
      <w:r w:rsidRPr="00C63F8C">
        <w:rPr>
          <w:rFonts w:ascii="Times New Roman" w:eastAsia="Times New Roman" w:hAnsi="Times New Roman" w:cs="Times New Roman"/>
          <w:i/>
          <w:sz w:val="24"/>
          <w:szCs w:val="24"/>
          <w:lang w:eastAsia="lv-LV"/>
        </w:rPr>
        <w:t>euro</w:t>
      </w:r>
      <w:proofErr w:type="spellEnd"/>
      <w:r w:rsidRPr="00C63F8C">
        <w:rPr>
          <w:rFonts w:ascii="Times New Roman" w:eastAsia="Times New Roman" w:hAnsi="Times New Roman" w:cs="Times New Roman"/>
          <w:sz w:val="24"/>
          <w:szCs w:val="24"/>
          <w:lang w:eastAsia="lv-LV"/>
        </w:rPr>
        <w:t>, tai skaitā turpinot 2017.gadā uzsāktās r</w:t>
      </w:r>
      <w:r w:rsidRPr="00C63F8C">
        <w:rPr>
          <w:rFonts w:ascii="Times New Roman" w:eastAsia="Times New Roman" w:hAnsi="Times New Roman" w:cs="Times New Roman"/>
          <w:bCs/>
          <w:sz w:val="24"/>
          <w:szCs w:val="24"/>
          <w:lang w:eastAsia="lv-LV"/>
        </w:rPr>
        <w:t>eformas valsts kompensējamo medikamentu nodrošinājumam VHC pacientiem F3-F4 stadijā;</w:t>
      </w:r>
    </w:p>
    <w:p w:rsidR="00C63F8C" w:rsidRPr="00C63F8C" w:rsidRDefault="00C63F8C" w:rsidP="00C63F8C">
      <w:pPr>
        <w:numPr>
          <w:ilvl w:val="0"/>
          <w:numId w:val="32"/>
        </w:numPr>
        <w:spacing w:after="0" w:line="240" w:lineRule="auto"/>
        <w:contextualSpacing/>
        <w:jc w:val="both"/>
        <w:rPr>
          <w:rFonts w:ascii="Times New Roman" w:eastAsia="Times New Roman" w:hAnsi="Times New Roman" w:cs="Times New Roman"/>
          <w:sz w:val="24"/>
          <w:szCs w:val="24"/>
          <w:lang w:eastAsia="lv-LV"/>
        </w:rPr>
      </w:pPr>
      <w:r w:rsidRPr="00C63F8C">
        <w:rPr>
          <w:rFonts w:ascii="Times New Roman" w:eastAsia="Times New Roman" w:hAnsi="Times New Roman" w:cs="Times New Roman"/>
          <w:b/>
          <w:i/>
          <w:sz w:val="24"/>
          <w:szCs w:val="24"/>
          <w:lang w:eastAsia="lv-LV"/>
        </w:rPr>
        <w:t>Primārās veselības aprūpes sistēmas kvalitātes un pieejamības uzlabošanai</w:t>
      </w:r>
      <w:r w:rsidRPr="00C63F8C">
        <w:rPr>
          <w:rFonts w:ascii="Times New Roman" w:eastAsia="Times New Roman" w:hAnsi="Times New Roman" w:cs="Times New Roman"/>
          <w:sz w:val="24"/>
          <w:szCs w:val="24"/>
          <w:lang w:eastAsia="lv-LV"/>
        </w:rPr>
        <w:t xml:space="preserve">, 9 664 036 </w:t>
      </w:r>
      <w:proofErr w:type="spellStart"/>
      <w:r w:rsidRPr="00C63F8C">
        <w:rPr>
          <w:rFonts w:ascii="Times New Roman" w:eastAsia="Times New Roman" w:hAnsi="Times New Roman" w:cs="Times New Roman"/>
          <w:i/>
          <w:sz w:val="24"/>
          <w:szCs w:val="24"/>
          <w:lang w:eastAsia="lv-LV"/>
        </w:rPr>
        <w:t>euro</w:t>
      </w:r>
      <w:proofErr w:type="spellEnd"/>
      <w:r w:rsidRPr="00C63F8C">
        <w:rPr>
          <w:rFonts w:ascii="Times New Roman" w:eastAsia="Times New Roman" w:hAnsi="Times New Roman" w:cs="Times New Roman"/>
          <w:sz w:val="24"/>
          <w:szCs w:val="24"/>
          <w:lang w:eastAsia="lv-LV"/>
        </w:rPr>
        <w:t>;</w:t>
      </w:r>
    </w:p>
    <w:p w:rsidR="00C63F8C" w:rsidRPr="00C63F8C" w:rsidRDefault="00C63F8C" w:rsidP="00C63F8C">
      <w:pPr>
        <w:numPr>
          <w:ilvl w:val="0"/>
          <w:numId w:val="32"/>
        </w:numPr>
        <w:spacing w:after="0" w:line="240" w:lineRule="auto"/>
        <w:contextualSpacing/>
        <w:jc w:val="both"/>
        <w:rPr>
          <w:rFonts w:ascii="Times New Roman" w:eastAsia="Times New Roman" w:hAnsi="Times New Roman" w:cs="Times New Roman"/>
          <w:sz w:val="24"/>
          <w:szCs w:val="24"/>
          <w:lang w:eastAsia="lv-LV"/>
        </w:rPr>
      </w:pPr>
      <w:proofErr w:type="spellStart"/>
      <w:r w:rsidRPr="00C63F8C">
        <w:rPr>
          <w:rFonts w:ascii="Times New Roman" w:eastAsia="Times New Roman" w:hAnsi="Times New Roman" w:cs="Times New Roman"/>
          <w:b/>
          <w:i/>
          <w:sz w:val="24"/>
          <w:szCs w:val="24"/>
          <w:lang w:eastAsia="lv-LV"/>
        </w:rPr>
        <w:t>Kardiovaskulārās</w:t>
      </w:r>
      <w:proofErr w:type="spellEnd"/>
      <w:r w:rsidRPr="00C63F8C">
        <w:rPr>
          <w:rFonts w:ascii="Times New Roman" w:eastAsia="Times New Roman" w:hAnsi="Times New Roman" w:cs="Times New Roman"/>
          <w:b/>
          <w:i/>
          <w:sz w:val="24"/>
          <w:szCs w:val="24"/>
          <w:lang w:eastAsia="lv-LV"/>
        </w:rPr>
        <w:t xml:space="preserve"> saslimstības mazināšanai un slimību ārstēšanas efektivitātes uzlabošanai</w:t>
      </w:r>
      <w:r w:rsidRPr="00C63F8C">
        <w:rPr>
          <w:rFonts w:ascii="Times New Roman" w:eastAsia="Times New Roman" w:hAnsi="Times New Roman" w:cs="Times New Roman"/>
          <w:sz w:val="24"/>
          <w:szCs w:val="24"/>
          <w:lang w:eastAsia="lv-LV"/>
        </w:rPr>
        <w:t>, 11</w:t>
      </w:r>
      <w:r>
        <w:rPr>
          <w:rFonts w:ascii="Times New Roman" w:eastAsia="Times New Roman" w:hAnsi="Times New Roman" w:cs="Times New Roman"/>
          <w:sz w:val="24"/>
          <w:szCs w:val="24"/>
          <w:lang w:eastAsia="lv-LV"/>
        </w:rPr>
        <w:t> </w:t>
      </w:r>
      <w:r w:rsidRPr="00C63F8C">
        <w:rPr>
          <w:rFonts w:ascii="Times New Roman" w:eastAsia="Times New Roman" w:hAnsi="Times New Roman" w:cs="Times New Roman"/>
          <w:sz w:val="24"/>
          <w:szCs w:val="24"/>
          <w:lang w:eastAsia="lv-LV"/>
        </w:rPr>
        <w:t>458</w:t>
      </w:r>
      <w:r>
        <w:rPr>
          <w:rFonts w:ascii="Times New Roman" w:eastAsia="Times New Roman" w:hAnsi="Times New Roman" w:cs="Times New Roman"/>
          <w:sz w:val="24"/>
          <w:szCs w:val="24"/>
          <w:lang w:eastAsia="lv-LV"/>
        </w:rPr>
        <w:t> </w:t>
      </w:r>
      <w:r w:rsidRPr="00C63F8C">
        <w:rPr>
          <w:rFonts w:ascii="Times New Roman" w:eastAsia="Times New Roman" w:hAnsi="Times New Roman" w:cs="Times New Roman"/>
          <w:sz w:val="24"/>
          <w:szCs w:val="24"/>
          <w:lang w:eastAsia="lv-LV"/>
        </w:rPr>
        <w:t xml:space="preserve">130 </w:t>
      </w:r>
      <w:proofErr w:type="spellStart"/>
      <w:r w:rsidRPr="00C63F8C">
        <w:rPr>
          <w:rFonts w:ascii="Times New Roman" w:eastAsia="Times New Roman" w:hAnsi="Times New Roman" w:cs="Times New Roman"/>
          <w:i/>
          <w:sz w:val="24"/>
          <w:szCs w:val="24"/>
          <w:lang w:eastAsia="lv-LV"/>
        </w:rPr>
        <w:t>euro</w:t>
      </w:r>
      <w:proofErr w:type="spellEnd"/>
      <w:r w:rsidRPr="00C63F8C">
        <w:rPr>
          <w:rFonts w:ascii="Times New Roman" w:eastAsia="Times New Roman" w:hAnsi="Times New Roman" w:cs="Times New Roman"/>
          <w:sz w:val="24"/>
          <w:szCs w:val="24"/>
          <w:lang w:eastAsia="lv-LV"/>
        </w:rPr>
        <w:t>.</w:t>
      </w:r>
    </w:p>
    <w:p w:rsidR="00C63F8C" w:rsidRPr="00C63F8C" w:rsidRDefault="00C63F8C" w:rsidP="00C63F8C">
      <w:pPr>
        <w:spacing w:after="0" w:line="240" w:lineRule="auto"/>
        <w:ind w:left="769"/>
        <w:jc w:val="both"/>
        <w:rPr>
          <w:rFonts w:ascii="Times New Roman" w:eastAsia="Times New Roman" w:hAnsi="Times New Roman" w:cs="Times New Roman"/>
          <w:sz w:val="24"/>
          <w:szCs w:val="24"/>
          <w:lang w:eastAsia="lv-LV"/>
        </w:rPr>
      </w:pPr>
    </w:p>
    <w:p w:rsidR="00B83698" w:rsidRDefault="00B83698" w:rsidP="00B836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2019.gada pavasarī, pamatojoties uz Veselības ministrijas izstrādāto ziņojumu “</w:t>
      </w:r>
      <w:r w:rsidRPr="00E0224B">
        <w:rPr>
          <w:rFonts w:ascii="Times New Roman" w:hAnsi="Times New Roman" w:cs="Times New Roman"/>
          <w:sz w:val="24"/>
          <w:szCs w:val="24"/>
        </w:rPr>
        <w:t>Par veselības reformas pasākumu īstenošanas rezultātiem veselības aprūpē 2018.gadā</w:t>
      </w:r>
      <w:r>
        <w:rPr>
          <w:rFonts w:ascii="Times New Roman" w:hAnsi="Times New Roman" w:cs="Times New Roman"/>
          <w:sz w:val="24"/>
          <w:szCs w:val="24"/>
        </w:rPr>
        <w:t>”</w:t>
      </w:r>
      <w:r>
        <w:rPr>
          <w:rStyle w:val="FootnoteReference"/>
          <w:rFonts w:cs="Times New Roman"/>
          <w:szCs w:val="24"/>
        </w:rPr>
        <w:footnoteReference w:id="10"/>
      </w:r>
      <w:r>
        <w:rPr>
          <w:rFonts w:ascii="Times New Roman" w:hAnsi="Times New Roman" w:cs="Times New Roman"/>
          <w:sz w:val="24"/>
          <w:szCs w:val="24"/>
        </w:rPr>
        <w:t>, tika secināts, ka i</w:t>
      </w:r>
      <w:r w:rsidRPr="005019B3">
        <w:rPr>
          <w:rFonts w:ascii="Times New Roman" w:hAnsi="Times New Roman" w:cs="Times New Roman"/>
          <w:sz w:val="24"/>
          <w:szCs w:val="24"/>
        </w:rPr>
        <w:t>evērojot reformu uzsākšanai nepieciešamo laiku darba organizatorisko procesu maiņai ārstniecības iestādēs</w:t>
      </w:r>
      <w:r>
        <w:rPr>
          <w:rFonts w:ascii="Times New Roman" w:hAnsi="Times New Roman" w:cs="Times New Roman"/>
          <w:sz w:val="24"/>
          <w:szCs w:val="24"/>
        </w:rPr>
        <w:t xml:space="preserve"> un atsevišķās jomās nepieciešamību izstrādāt pakalpojumu apmaksas nosacījumus, reformas īstenošana vērtējama kā veiksmīga. </w:t>
      </w:r>
    </w:p>
    <w:p w:rsidR="00B83698" w:rsidRDefault="00B83698" w:rsidP="00B83698">
      <w:pPr>
        <w:spacing w:after="0" w:line="240" w:lineRule="auto"/>
        <w:ind w:firstLine="720"/>
        <w:jc w:val="both"/>
        <w:rPr>
          <w:rFonts w:ascii="Times New Roman" w:hAnsi="Times New Roman" w:cs="Times New Roman"/>
          <w:sz w:val="24"/>
          <w:szCs w:val="24"/>
        </w:rPr>
      </w:pPr>
      <w:r w:rsidRPr="005019B3">
        <w:rPr>
          <w:rFonts w:ascii="Times New Roman" w:hAnsi="Times New Roman" w:cs="Times New Roman"/>
          <w:sz w:val="24"/>
          <w:szCs w:val="24"/>
        </w:rPr>
        <w:t xml:space="preserve">2018.gada izpildes </w:t>
      </w:r>
      <w:r>
        <w:rPr>
          <w:rFonts w:ascii="Times New Roman" w:hAnsi="Times New Roman" w:cs="Times New Roman"/>
          <w:sz w:val="24"/>
          <w:szCs w:val="24"/>
        </w:rPr>
        <w:t>rezultāti liecina</w:t>
      </w:r>
      <w:r w:rsidRPr="005019B3">
        <w:rPr>
          <w:rFonts w:ascii="Times New Roman" w:hAnsi="Times New Roman" w:cs="Times New Roman"/>
          <w:sz w:val="24"/>
          <w:szCs w:val="24"/>
        </w:rPr>
        <w:t>, ka iesāktās reformas ti</w:t>
      </w:r>
      <w:r>
        <w:rPr>
          <w:rFonts w:ascii="Times New Roman" w:hAnsi="Times New Roman" w:cs="Times New Roman"/>
          <w:sz w:val="24"/>
          <w:szCs w:val="24"/>
        </w:rPr>
        <w:t>ka</w:t>
      </w:r>
      <w:r w:rsidRPr="005019B3">
        <w:rPr>
          <w:rFonts w:ascii="Times New Roman" w:hAnsi="Times New Roman" w:cs="Times New Roman"/>
          <w:sz w:val="24"/>
          <w:szCs w:val="24"/>
        </w:rPr>
        <w:t xml:space="preserve"> turpinātas</w:t>
      </w:r>
      <w:r>
        <w:rPr>
          <w:rFonts w:ascii="Times New Roman" w:hAnsi="Times New Roman" w:cs="Times New Roman"/>
          <w:sz w:val="24"/>
          <w:szCs w:val="24"/>
        </w:rPr>
        <w:t xml:space="preserve"> atbilstoši plānotajam</w:t>
      </w:r>
      <w:r w:rsidRPr="005019B3">
        <w:rPr>
          <w:rFonts w:ascii="Times New Roman" w:hAnsi="Times New Roman" w:cs="Times New Roman"/>
          <w:sz w:val="24"/>
          <w:szCs w:val="24"/>
        </w:rPr>
        <w:t>, jo būtiski samazinājušā</w:t>
      </w:r>
      <w:r>
        <w:rPr>
          <w:rFonts w:ascii="Times New Roman" w:hAnsi="Times New Roman" w:cs="Times New Roman"/>
          <w:sz w:val="24"/>
          <w:szCs w:val="24"/>
        </w:rPr>
        <w:t>s</w:t>
      </w:r>
      <w:r w:rsidRPr="005019B3">
        <w:rPr>
          <w:rFonts w:ascii="Times New Roman" w:hAnsi="Times New Roman" w:cs="Times New Roman"/>
          <w:sz w:val="24"/>
          <w:szCs w:val="24"/>
        </w:rPr>
        <w:t xml:space="preserve"> rindas uz speciālistu konsultācijām, dienas stacionāra pakalpojumiem, </w:t>
      </w:r>
      <w:r>
        <w:rPr>
          <w:rFonts w:ascii="Times New Roman" w:hAnsi="Times New Roman" w:cs="Times New Roman"/>
          <w:sz w:val="24"/>
          <w:szCs w:val="24"/>
        </w:rPr>
        <w:t>kā arī</w:t>
      </w:r>
      <w:r w:rsidRPr="005019B3">
        <w:rPr>
          <w:rFonts w:ascii="Times New Roman" w:hAnsi="Times New Roman" w:cs="Times New Roman"/>
          <w:sz w:val="24"/>
          <w:szCs w:val="24"/>
        </w:rPr>
        <w:t xml:space="preserve"> rehabilitācijas pakalpojumiem</w:t>
      </w:r>
      <w:r>
        <w:rPr>
          <w:rFonts w:ascii="Times New Roman" w:hAnsi="Times New Roman" w:cs="Times New Roman"/>
          <w:sz w:val="24"/>
          <w:szCs w:val="24"/>
        </w:rPr>
        <w:t>, savukārt</w:t>
      </w:r>
      <w:r w:rsidRPr="005019B3">
        <w:rPr>
          <w:rFonts w:ascii="Times New Roman" w:hAnsi="Times New Roman" w:cs="Times New Roman"/>
          <w:sz w:val="24"/>
          <w:szCs w:val="24"/>
        </w:rPr>
        <w:t xml:space="preserve"> izmeklējumu </w:t>
      </w:r>
      <w:r>
        <w:rPr>
          <w:rFonts w:ascii="Times New Roman" w:hAnsi="Times New Roman" w:cs="Times New Roman"/>
          <w:sz w:val="24"/>
          <w:szCs w:val="24"/>
        </w:rPr>
        <w:t xml:space="preserve">un terapiju </w:t>
      </w:r>
      <w:r w:rsidRPr="005019B3">
        <w:rPr>
          <w:rFonts w:ascii="Times New Roman" w:hAnsi="Times New Roman" w:cs="Times New Roman"/>
          <w:sz w:val="24"/>
          <w:szCs w:val="24"/>
        </w:rPr>
        <w:t xml:space="preserve">segmentā </w:t>
      </w:r>
      <w:r>
        <w:rPr>
          <w:rFonts w:ascii="Times New Roman" w:hAnsi="Times New Roman" w:cs="Times New Roman"/>
          <w:sz w:val="24"/>
          <w:szCs w:val="24"/>
        </w:rPr>
        <w:t>tika</w:t>
      </w:r>
      <w:r w:rsidRPr="005019B3">
        <w:rPr>
          <w:rFonts w:ascii="Times New Roman" w:hAnsi="Times New Roman" w:cs="Times New Roman"/>
          <w:sz w:val="24"/>
          <w:szCs w:val="24"/>
        </w:rPr>
        <w:t xml:space="preserve"> novēro</w:t>
      </w:r>
      <w:r>
        <w:rPr>
          <w:rFonts w:ascii="Times New Roman" w:hAnsi="Times New Roman" w:cs="Times New Roman"/>
          <w:sz w:val="24"/>
          <w:szCs w:val="24"/>
        </w:rPr>
        <w:t>ts</w:t>
      </w:r>
      <w:r w:rsidRPr="005019B3">
        <w:rPr>
          <w:rFonts w:ascii="Times New Roman" w:hAnsi="Times New Roman" w:cs="Times New Roman"/>
          <w:sz w:val="24"/>
          <w:szCs w:val="24"/>
        </w:rPr>
        <w:t xml:space="preserve"> mērens rindu samazinājums, </w:t>
      </w:r>
      <w:r>
        <w:rPr>
          <w:rFonts w:ascii="Times New Roman" w:hAnsi="Times New Roman" w:cs="Times New Roman"/>
          <w:sz w:val="24"/>
          <w:szCs w:val="24"/>
        </w:rPr>
        <w:t>kas skaidrojams ar</w:t>
      </w:r>
      <w:r w:rsidRPr="005019B3">
        <w:rPr>
          <w:rFonts w:ascii="Times New Roman" w:hAnsi="Times New Roman" w:cs="Times New Roman"/>
          <w:sz w:val="24"/>
          <w:szCs w:val="24"/>
        </w:rPr>
        <w:t xml:space="preserve"> pacientu uzvedības maiņu,</w:t>
      </w:r>
      <w:r>
        <w:rPr>
          <w:rFonts w:ascii="Times New Roman" w:hAnsi="Times New Roman" w:cs="Times New Roman"/>
          <w:sz w:val="24"/>
          <w:szCs w:val="24"/>
        </w:rPr>
        <w:t xml:space="preserve"> proti, </w:t>
      </w:r>
      <w:r w:rsidRPr="005019B3">
        <w:rPr>
          <w:rFonts w:ascii="Times New Roman" w:hAnsi="Times New Roman" w:cs="Times New Roman"/>
          <w:sz w:val="24"/>
          <w:szCs w:val="24"/>
        </w:rPr>
        <w:t>ir samazinājies iedzīvotāju skaits, kuri rindu, attāluma vai finanšu dēļ nav saņēmuši sekundāros ambulatoros veselības aprūpes pakalpojumus</w:t>
      </w:r>
      <w:r>
        <w:rPr>
          <w:rFonts w:ascii="Times New Roman" w:hAnsi="Times New Roman" w:cs="Times New Roman"/>
          <w:sz w:val="24"/>
          <w:szCs w:val="24"/>
        </w:rPr>
        <w:t xml:space="preserve">, kā arī </w:t>
      </w:r>
      <w:r w:rsidRPr="005019B3">
        <w:rPr>
          <w:rFonts w:ascii="Times New Roman" w:hAnsi="Times New Roman" w:cs="Times New Roman"/>
          <w:sz w:val="24"/>
          <w:szCs w:val="24"/>
        </w:rPr>
        <w:t>pacienti, kuri līdz šim dažādu iemeslu dēļ bija izmantojuši maksas veselības aprūpes pakalpojumus, šobrīd sāk vairāk izmantot valsts apmaksātos veselības aprūpes pakalpojumus.</w:t>
      </w:r>
    </w:p>
    <w:p w:rsidR="00C63F8C" w:rsidRPr="00C63F8C" w:rsidRDefault="00C63F8C" w:rsidP="00C63F8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2018.gada onkoloģijas rezultatīvie rādītāji tika pārsniegti, jo pieauga veikto speciālistu konsultāciju skaits atbilstoši noteiktajiem algoritmiem, un pacienti tika vairāk nosūtīti papildus veikt sekundāro diagnostiku un izmeklējumus, kas ļāva savlaicīgāk diagnosticēt saslimšanu un uzsākt atbilstošu ārstēšanu, tai skaitā tika nodrošināts medikamentu pieejamības pieaugums. </w:t>
      </w:r>
    </w:p>
    <w:p w:rsidR="00C63F8C" w:rsidRPr="00C63F8C" w:rsidRDefault="007E1678" w:rsidP="00C63F8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C63F8C" w:rsidRPr="00C63F8C">
        <w:rPr>
          <w:rFonts w:ascii="Times New Roman" w:eastAsia="Times New Roman" w:hAnsi="Times New Roman" w:cs="Times New Roman"/>
          <w:sz w:val="24"/>
          <w:szCs w:val="24"/>
        </w:rPr>
        <w:t xml:space="preserve">eiktās reformas onkoloģijas “Zaļā koridora” izveidei ir nodrošinājušas, ka pacienta ceļš līdz diagnozes noteikšanai un ārstēšanas uzsākšanai ir ievērojami samazinājies, lielākajā daļā gadījumu nodrošinot, ka pēc reformu veikšanas 10 dienu laikā tiek nodrošinātas sākotnējās konsultācijas, izmeklējumi un uzsākta ārstēšana, savukārt pirms “Zaļā koridora” ieviešanas pacients tikai uz konsultāciju pie speciālista gaidīja vidēji 30 dienas. </w:t>
      </w:r>
    </w:p>
    <w:p w:rsidR="00C63F8C" w:rsidRPr="00C63F8C" w:rsidRDefault="00C63F8C" w:rsidP="00C63F8C">
      <w:pPr>
        <w:spacing w:after="0" w:line="240" w:lineRule="auto"/>
        <w:ind w:firstLine="720"/>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shd w:val="clear" w:color="auto" w:fill="FFFFFF"/>
        </w:rPr>
        <w:t>Jāatzīmē, ka no 2018.gada 1.janvāra “Zaļajā koridorā” ir iekļautas visas onkoloģisko slimību lokalizācijas un rezultātā ir nodrošināta visu lokalizāciju ļaundabīgo audzēju diagnostikai nepieciešamo izmeklējumu un ārstu konsultāciju apmaksa prioritārā kārtībā</w:t>
      </w:r>
      <w:r w:rsidRPr="00C63F8C">
        <w:rPr>
          <w:rFonts w:ascii="Times New Roman" w:eastAsia="Times New Roman" w:hAnsi="Times New Roman" w:cs="Times New Roman"/>
          <w:sz w:val="24"/>
          <w:szCs w:val="24"/>
        </w:rPr>
        <w:t>, kas vērtējams kā pozitīvs aspekts attiecībā uz savlaicīgu onkoloģisko slimību ārstēšanu.</w:t>
      </w:r>
    </w:p>
    <w:p w:rsidR="00C63F8C" w:rsidRPr="00C63F8C" w:rsidRDefault="00C63F8C" w:rsidP="00C63F8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Infekciju slimību izplatības mazināšanas jomas ietvaros pagājušajā gadā ārstēšanu saņēma 1</w:t>
      </w:r>
      <w:r>
        <w:rPr>
          <w:rFonts w:ascii="Times New Roman" w:eastAsia="Times New Roman" w:hAnsi="Times New Roman" w:cs="Times New Roman"/>
          <w:sz w:val="24"/>
          <w:szCs w:val="24"/>
        </w:rPr>
        <w:t> </w:t>
      </w:r>
      <w:r w:rsidRPr="00C63F8C">
        <w:rPr>
          <w:rFonts w:ascii="Times New Roman" w:eastAsia="Times New Roman" w:hAnsi="Times New Roman" w:cs="Times New Roman"/>
          <w:sz w:val="24"/>
          <w:szCs w:val="24"/>
        </w:rPr>
        <w:t xml:space="preserve">000 </w:t>
      </w:r>
      <w:r w:rsidR="00F1520C">
        <w:rPr>
          <w:rFonts w:ascii="Times New Roman" w:eastAsia="Times New Roman" w:hAnsi="Times New Roman" w:cs="Times New Roman"/>
          <w:sz w:val="24"/>
          <w:szCs w:val="24"/>
        </w:rPr>
        <w:t>VHC</w:t>
      </w:r>
      <w:r w:rsidRPr="00C63F8C">
        <w:rPr>
          <w:rFonts w:ascii="Times New Roman" w:eastAsia="Times New Roman" w:hAnsi="Times New Roman" w:cs="Times New Roman"/>
          <w:sz w:val="24"/>
          <w:szCs w:val="24"/>
        </w:rPr>
        <w:t xml:space="preserve"> pacientu, kas ir par 600 personu vairāk nekā tika plānots. Jāatzīmē, ka tika uzsākta saslimušo personu ārstēšana agrīnākā saslimstības posmā – jau no aknu bojājumiem F2 stadijā. Tādejādi sistemātiski tiek mazināti saslimšanas radītie epidemioloģiskie draudi valstī un pakāpeniski paplašināta pacientu aptvere, kas savukārt nodrošina pamatā darbaspējīgā vecuma cilvēku pilnīgu izveseļošanos un atgriešanos sabiedrībā un darba tirgū. Vienlaicīgi palielinot no </w:t>
      </w:r>
      <w:r w:rsidR="00F1520C">
        <w:rPr>
          <w:rFonts w:ascii="Times New Roman" w:eastAsia="Times New Roman" w:hAnsi="Times New Roman" w:cs="Times New Roman"/>
          <w:sz w:val="24"/>
          <w:szCs w:val="24"/>
        </w:rPr>
        <w:t xml:space="preserve">VHC </w:t>
      </w:r>
      <w:r w:rsidRPr="00C63F8C">
        <w:rPr>
          <w:rFonts w:ascii="Times New Roman" w:eastAsia="Times New Roman" w:hAnsi="Times New Roman" w:cs="Times New Roman"/>
          <w:sz w:val="24"/>
          <w:szCs w:val="24"/>
        </w:rPr>
        <w:t>atbrīvoto cilvēku skaitu, tiek samazināti inficēšanās riski citiem sabiedrības locekļiem un ierobežota infekcijas izplatība.</w:t>
      </w:r>
    </w:p>
    <w:p w:rsidR="00C63F8C" w:rsidRPr="00C63F8C" w:rsidRDefault="00C63F8C" w:rsidP="005E344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Lai uzlabotu HIV ambulatorai ārstēšanai nepieciešamo zāļu pieejamību, no 2018.gada 1.janvāra HIV ārstēšana tika uzsākta agrīnākā saslimstības fāzē, bet no 2018.gada 1.oktobra ārstēšanu saņem ikviens HIV inficētais bez ierobežojumiem. Tas nozīmē, ka ārstēšana tiem uzsākta tiklīdz infekcija ir atklāta. Līdz ar to tiek panākts tas, ka pēc iespējas agrīnākā HIV infekcijas stadijā tiek novērsts infekcijas tālāk izplatīšanas risks. </w:t>
      </w:r>
    </w:p>
    <w:p w:rsidR="00C63F8C" w:rsidRPr="00C63F8C" w:rsidRDefault="00C63F8C" w:rsidP="005E344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Atbilstoši primārās veselības aprūpes virziena pasākumiem ir uzlabojusies ģimenes ārstu pieejamība, tajā skaitā paredzot ārstu prakses darbību gan rīta, gan vakara stundās, kā arī ģimenes ārsti sistemātiskāk veic regulāru savā pacientu sarakstā reģistrēto personu veselības stāvokļa novērtēšanu un nepieciešamo pasākumu īstenošanu.</w:t>
      </w:r>
    </w:p>
    <w:p w:rsidR="00C63F8C" w:rsidRPr="00C63F8C" w:rsidRDefault="00C63F8C" w:rsidP="005E344C">
      <w:pPr>
        <w:spacing w:after="0" w:line="240" w:lineRule="auto"/>
        <w:ind w:firstLine="709"/>
        <w:jc w:val="both"/>
        <w:rPr>
          <w:rFonts w:ascii="Times New Roman" w:eastAsia="Times New Roman" w:hAnsi="Times New Roman" w:cs="Times New Roman"/>
          <w:sz w:val="24"/>
          <w:szCs w:val="24"/>
        </w:rPr>
      </w:pPr>
      <w:proofErr w:type="spellStart"/>
      <w:r w:rsidRPr="00C63F8C">
        <w:rPr>
          <w:rFonts w:ascii="Times New Roman" w:eastAsia="Times New Roman" w:hAnsi="Times New Roman" w:cs="Times New Roman"/>
          <w:sz w:val="24"/>
          <w:szCs w:val="24"/>
        </w:rPr>
        <w:t>Kardiovaskulārās</w:t>
      </w:r>
      <w:proofErr w:type="spellEnd"/>
      <w:r w:rsidRPr="00C63F8C">
        <w:rPr>
          <w:rFonts w:ascii="Times New Roman" w:eastAsia="Times New Roman" w:hAnsi="Times New Roman" w:cs="Times New Roman"/>
          <w:sz w:val="24"/>
          <w:szCs w:val="24"/>
        </w:rPr>
        <w:t xml:space="preserve"> saslimstības mazināšanas un slimību ārstēšanas efektivitātes uzlabošanas jomā tika uzlabota sirds un asinsvadu saslimstību profilakse un agrīna diagnostika </w:t>
      </w:r>
      <w:r w:rsidRPr="00C63F8C">
        <w:rPr>
          <w:rFonts w:ascii="Times New Roman" w:eastAsia="Times New Roman" w:hAnsi="Times New Roman" w:cs="Times New Roman"/>
          <w:sz w:val="24"/>
          <w:szCs w:val="24"/>
        </w:rPr>
        <w:lastRenderedPageBreak/>
        <w:t xml:space="preserve">primārā veselības aprūpes līmenī, tādējādi mazinot </w:t>
      </w:r>
      <w:proofErr w:type="spellStart"/>
      <w:r w:rsidRPr="00C63F8C">
        <w:rPr>
          <w:rFonts w:ascii="Times New Roman" w:eastAsia="Times New Roman" w:hAnsi="Times New Roman" w:cs="Times New Roman"/>
          <w:sz w:val="24"/>
          <w:szCs w:val="24"/>
        </w:rPr>
        <w:t>kardiovaskulāro</w:t>
      </w:r>
      <w:proofErr w:type="spellEnd"/>
      <w:r w:rsidRPr="00C63F8C">
        <w:rPr>
          <w:rFonts w:ascii="Times New Roman" w:eastAsia="Times New Roman" w:hAnsi="Times New Roman" w:cs="Times New Roman"/>
          <w:sz w:val="24"/>
          <w:szCs w:val="24"/>
        </w:rPr>
        <w:t xml:space="preserve"> saslimstību radītās sekas. Lai to īstenotu tika izveidota sirds un asinsvadu slimības profilakses programma, kas orientēta uz konkrētu medicīnisko mērķu sasniegšanu, lai pagarinātu iedzīvotāju dzīvildzi. Lai programmu ieviestu un attīstītu iedzīvotājiem atbilstoši starptautiski atzītai SCORE metodei jeb sistemātiskā koronārā riska izvērtēšanai tika nodrošināta sirds un asinsvadu saslimstību profilakse un agrīna diagnostika primārās veselības aprūpes līmenī, kas nodrošināja augsta sirds un asinsvadu saslimstību riska pacientu identificēšanu, sekojošu nepieciešamo izmeklējumu un profilaktisko pasākumu veikšanu.</w:t>
      </w:r>
    </w:p>
    <w:p w:rsidR="00C63F8C" w:rsidRPr="00C63F8C" w:rsidRDefault="00C63F8C" w:rsidP="005E344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Turklāt 2018.gadā kompensējamo zāļu saraksts tika papildināts ar jauniem sirds un asinsvadu saslimstību medikamentiem. Tika nodrošināta jaunu inovatīvu zāļu nodrošināšana sirds mazspējas, priekškambaru mirdzēšanas un plandīšanās pacientiem, uzlabota terapijas pieejamība pacientiem, kam pēc akūta koronāra sindroma veikta </w:t>
      </w:r>
      <w:proofErr w:type="spellStart"/>
      <w:r w:rsidRPr="00C63F8C">
        <w:rPr>
          <w:rFonts w:ascii="Times New Roman" w:eastAsia="Times New Roman" w:hAnsi="Times New Roman" w:cs="Times New Roman"/>
          <w:sz w:val="24"/>
          <w:szCs w:val="24"/>
        </w:rPr>
        <w:t>stentēšana</w:t>
      </w:r>
      <w:proofErr w:type="spellEnd"/>
      <w:r w:rsidRPr="00C63F8C">
        <w:rPr>
          <w:rFonts w:ascii="Times New Roman" w:eastAsia="Times New Roman" w:hAnsi="Times New Roman" w:cs="Times New Roman"/>
          <w:sz w:val="24"/>
          <w:szCs w:val="24"/>
        </w:rPr>
        <w:t>, jaunu diagnožu iekļaušana</w:t>
      </w:r>
      <w:r w:rsidRPr="009B0F5F">
        <w:rPr>
          <w:rFonts w:ascii="Times New Roman" w:eastAsia="Times New Roman" w:hAnsi="Times New Roman" w:cs="Times New Roman"/>
          <w:noProof/>
          <w:color w:val="000000"/>
          <w:sz w:val="24"/>
          <w:szCs w:val="24"/>
        </w:rPr>
        <w:t xml:space="preserve"> – </w:t>
      </w:r>
      <w:r w:rsidRPr="00C63F8C">
        <w:rPr>
          <w:rFonts w:ascii="Times New Roman" w:eastAsia="Times New Roman" w:hAnsi="Times New Roman" w:cs="Times New Roman"/>
          <w:sz w:val="24"/>
          <w:szCs w:val="24"/>
        </w:rPr>
        <w:t>plaušu embolija, dziļo vēnu tromboze, kurās jauno zāļu savlaicīga lietošana novērš letālas komplikācijas.</w:t>
      </w:r>
    </w:p>
    <w:p w:rsidR="00C63F8C" w:rsidRPr="00C63F8C" w:rsidRDefault="00C63F8C" w:rsidP="00C63F8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Īstenojot reformu ir iezīmējies, ka jaunu programmu sekmīgai ieviešanai (piemēram, hronisko pacientu aprūpes, </w:t>
      </w:r>
      <w:proofErr w:type="spellStart"/>
      <w:r w:rsidRPr="00C63F8C">
        <w:rPr>
          <w:rFonts w:ascii="Times New Roman" w:eastAsia="Times New Roman" w:hAnsi="Times New Roman" w:cs="Times New Roman"/>
          <w:sz w:val="24"/>
          <w:szCs w:val="24"/>
        </w:rPr>
        <w:t>kardiovaskulārās</w:t>
      </w:r>
      <w:proofErr w:type="spellEnd"/>
      <w:r w:rsidRPr="00C63F8C">
        <w:rPr>
          <w:rFonts w:ascii="Times New Roman" w:eastAsia="Times New Roman" w:hAnsi="Times New Roman" w:cs="Times New Roman"/>
          <w:sz w:val="24"/>
          <w:szCs w:val="24"/>
        </w:rPr>
        <w:t xml:space="preserve"> programma) nepieciešams pietiekami ilgs laiks, lai pakalpojumu sniedzēji varētu veikt izmaiņas pakalpojumu sniegšanas organizācijā, savukārt nosūtītāji izprastu ieguvumus no jaunās kārtības un aktīvi iesaistītos tās izmantošanā, kā arī izstrādātajā kārtībā būtu iespējams veikt korekcijas, kas uzlabotu pacientu plūsmu organizācij</w:t>
      </w:r>
      <w:r w:rsidR="00B83698">
        <w:rPr>
          <w:rFonts w:ascii="Times New Roman" w:eastAsia="Times New Roman" w:hAnsi="Times New Roman" w:cs="Times New Roman"/>
          <w:sz w:val="24"/>
          <w:szCs w:val="24"/>
        </w:rPr>
        <w:t>u, atbilstoši reālai situācijai</w:t>
      </w:r>
      <w:r w:rsidRPr="00C63F8C">
        <w:rPr>
          <w:rFonts w:ascii="Times New Roman" w:eastAsia="Times New Roman" w:hAnsi="Times New Roman" w:cs="Times New Roman"/>
          <w:sz w:val="24"/>
          <w:szCs w:val="24"/>
        </w:rPr>
        <w:t xml:space="preserve"> </w:t>
      </w:r>
      <w:r w:rsidR="00B83698">
        <w:rPr>
          <w:rFonts w:ascii="Times New Roman" w:eastAsia="Times New Roman" w:hAnsi="Times New Roman" w:cs="Times New Roman"/>
          <w:sz w:val="24"/>
          <w:szCs w:val="24"/>
        </w:rPr>
        <w:t>L</w:t>
      </w:r>
      <w:r w:rsidRPr="00C63F8C">
        <w:rPr>
          <w:rFonts w:ascii="Times New Roman" w:eastAsia="Times New Roman" w:hAnsi="Times New Roman" w:cs="Times New Roman"/>
          <w:sz w:val="24"/>
          <w:szCs w:val="24"/>
        </w:rPr>
        <w:t>īdz ar to 2019.gadā pastiprināta uzmanība tiks veltīta jauno pasākumu ieviešanas uzraudzībai, kas veicinātu EK pieļautās budžeta deficīta atkāpes piešķirto finanšu līdzekļu efektīvu apgūšanu.</w:t>
      </w:r>
    </w:p>
    <w:p w:rsidR="00C63F8C" w:rsidRPr="00C63F8C" w:rsidRDefault="00C63F8C" w:rsidP="00C63F8C">
      <w:pPr>
        <w:spacing w:after="0" w:line="240" w:lineRule="auto"/>
        <w:ind w:firstLine="709"/>
        <w:jc w:val="both"/>
        <w:rPr>
          <w:rFonts w:ascii="Times New Roman" w:eastAsia="Times New Roman" w:hAnsi="Times New Roman" w:cs="Times New Roman"/>
          <w:sz w:val="24"/>
          <w:szCs w:val="24"/>
        </w:rPr>
      </w:pPr>
      <w:r w:rsidRPr="00C63F8C">
        <w:rPr>
          <w:rFonts w:ascii="Times New Roman" w:eastAsia="Times New Roman" w:hAnsi="Times New Roman" w:cs="Times New Roman"/>
          <w:sz w:val="24"/>
          <w:szCs w:val="24"/>
        </w:rPr>
        <w:t xml:space="preserve">Izvērtējot ziņojumā sniegto informāciju par 2018.gadā sasniegtiem rezultātiem ir secināms, ka nepieciešams turpināt iesāktās intervences arī 2019.gadā, lai nodrošinātu sekmīgu pacientu ārstēšanu un nozīmīgu </w:t>
      </w:r>
      <w:r w:rsidR="00F1520C">
        <w:rPr>
          <w:rFonts w:ascii="Times New Roman" w:eastAsia="Times New Roman" w:hAnsi="Times New Roman" w:cs="Times New Roman"/>
          <w:sz w:val="24"/>
          <w:szCs w:val="24"/>
        </w:rPr>
        <w:t xml:space="preserve">PZMG </w:t>
      </w:r>
      <w:r w:rsidRPr="00C63F8C">
        <w:rPr>
          <w:rFonts w:ascii="Times New Roman" w:eastAsia="Times New Roman" w:hAnsi="Times New Roman" w:cs="Times New Roman"/>
          <w:sz w:val="24"/>
          <w:szCs w:val="24"/>
        </w:rPr>
        <w:t xml:space="preserve">samazinājumu ilgākā periodā. </w:t>
      </w:r>
    </w:p>
    <w:p w:rsidR="007E1678" w:rsidRDefault="007E1678" w:rsidP="00C63F8C">
      <w:pPr>
        <w:spacing w:after="60" w:line="240" w:lineRule="auto"/>
        <w:ind w:firstLine="709"/>
        <w:contextualSpacing/>
        <w:rPr>
          <w:rFonts w:ascii="Times New Roman" w:eastAsia="Times New Roman" w:hAnsi="Times New Roman" w:cs="Times New Roman"/>
          <w:b/>
          <w:sz w:val="24"/>
          <w:szCs w:val="24"/>
        </w:rPr>
      </w:pPr>
    </w:p>
    <w:p w:rsidR="00C63F8C" w:rsidRPr="00E43828" w:rsidRDefault="00C63F8C" w:rsidP="00C63F8C">
      <w:pPr>
        <w:spacing w:after="60" w:line="240" w:lineRule="auto"/>
        <w:ind w:firstLine="709"/>
        <w:contextualSpacing/>
        <w:rPr>
          <w:rFonts w:ascii="Times New Roman" w:eastAsia="Times New Roman" w:hAnsi="Times New Roman" w:cs="Times New Roman"/>
          <w:b/>
          <w:i/>
          <w:sz w:val="24"/>
          <w:szCs w:val="24"/>
        </w:rPr>
      </w:pPr>
      <w:r w:rsidRPr="00E43828">
        <w:rPr>
          <w:rFonts w:ascii="Times New Roman" w:eastAsia="Times New Roman" w:hAnsi="Times New Roman" w:cs="Times New Roman"/>
          <w:b/>
          <w:i/>
          <w:sz w:val="24"/>
          <w:szCs w:val="24"/>
        </w:rPr>
        <w:t>Veselības aprūpes sistēmas reformas īstenošana 2019.gadā</w:t>
      </w:r>
    </w:p>
    <w:p w:rsidR="007E1678" w:rsidRDefault="007E1678" w:rsidP="007E1678">
      <w:pPr>
        <w:spacing w:after="0" w:line="240" w:lineRule="auto"/>
        <w:ind w:firstLine="709"/>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 xml:space="preserve">Balstoties uz līdz šim sekmīgi īstenoto veselības aprūpes reformu, </w:t>
      </w:r>
      <w:r w:rsidRPr="00847710">
        <w:rPr>
          <w:rFonts w:ascii="Times New Roman" w:eastAsia="Times New Roman" w:hAnsi="Times New Roman" w:cs="Times New Roman"/>
          <w:color w:val="000000" w:themeColor="text1"/>
          <w:sz w:val="24"/>
          <w:szCs w:val="24"/>
          <w:lang w:eastAsia="lv-LV"/>
        </w:rPr>
        <w:t>uzsāktās intervences tiks turpinātas, savukārt to paplašināšanai un jaunu reformu uzsākšanai papildus 201</w:t>
      </w:r>
      <w:r>
        <w:rPr>
          <w:rFonts w:ascii="Times New Roman" w:eastAsia="Times New Roman" w:hAnsi="Times New Roman" w:cs="Times New Roman"/>
          <w:color w:val="000000" w:themeColor="text1"/>
          <w:sz w:val="24"/>
          <w:szCs w:val="24"/>
          <w:lang w:eastAsia="lv-LV"/>
        </w:rPr>
        <w:t>8</w:t>
      </w:r>
      <w:r w:rsidRPr="00847710">
        <w:rPr>
          <w:rFonts w:ascii="Times New Roman" w:eastAsia="Times New Roman" w:hAnsi="Times New Roman" w:cs="Times New Roman"/>
          <w:color w:val="000000" w:themeColor="text1"/>
          <w:sz w:val="24"/>
          <w:szCs w:val="24"/>
          <w:lang w:eastAsia="lv-LV"/>
        </w:rPr>
        <w:t>.gadā piešķirtajam finansējumam, 201</w:t>
      </w:r>
      <w:r>
        <w:rPr>
          <w:rFonts w:ascii="Times New Roman" w:eastAsia="Times New Roman" w:hAnsi="Times New Roman" w:cs="Times New Roman"/>
          <w:color w:val="000000" w:themeColor="text1"/>
          <w:sz w:val="24"/>
          <w:szCs w:val="24"/>
          <w:lang w:eastAsia="lv-LV"/>
        </w:rPr>
        <w:t>9</w:t>
      </w:r>
      <w:r w:rsidRPr="00847710">
        <w:rPr>
          <w:rFonts w:ascii="Times New Roman" w:eastAsia="Times New Roman" w:hAnsi="Times New Roman" w:cs="Times New Roman"/>
          <w:color w:val="000000" w:themeColor="text1"/>
          <w:sz w:val="24"/>
          <w:szCs w:val="24"/>
          <w:lang w:eastAsia="lv-LV"/>
        </w:rPr>
        <w:t>.</w:t>
      </w:r>
      <w:r w:rsidRPr="00AE5389">
        <w:rPr>
          <w:rFonts w:ascii="Times New Roman" w:eastAsia="Times New Roman" w:hAnsi="Times New Roman" w:cs="Times New Roman"/>
          <w:color w:val="000000" w:themeColor="text1"/>
          <w:sz w:val="24"/>
          <w:szCs w:val="24"/>
          <w:lang w:eastAsia="lv-LV"/>
        </w:rPr>
        <w:t xml:space="preserve">gadā pieejams finansējums </w:t>
      </w:r>
      <w:r>
        <w:rPr>
          <w:rFonts w:ascii="Times New Roman" w:eastAsia="Times New Roman" w:hAnsi="Times New Roman" w:cs="Times New Roman"/>
          <w:color w:val="000000" w:themeColor="text1"/>
          <w:sz w:val="24"/>
          <w:szCs w:val="24"/>
          <w:lang w:eastAsia="lv-LV"/>
        </w:rPr>
        <w:t>40,8 milj.</w:t>
      </w:r>
      <w:r w:rsidRPr="00AE5389">
        <w:rPr>
          <w:rFonts w:ascii="Times New Roman" w:eastAsia="Times New Roman" w:hAnsi="Times New Roman" w:cs="Times New Roman"/>
          <w:color w:val="000000" w:themeColor="text1"/>
          <w:sz w:val="24"/>
          <w:szCs w:val="24"/>
          <w:lang w:eastAsia="lv-LV"/>
        </w:rPr>
        <w:t xml:space="preserve"> </w:t>
      </w:r>
      <w:proofErr w:type="spellStart"/>
      <w:r w:rsidRPr="00AE5389">
        <w:rPr>
          <w:rFonts w:ascii="Times New Roman" w:eastAsia="Times New Roman" w:hAnsi="Times New Roman" w:cs="Times New Roman"/>
          <w:i/>
          <w:iCs/>
          <w:color w:val="000000" w:themeColor="text1"/>
          <w:sz w:val="24"/>
          <w:szCs w:val="24"/>
          <w:lang w:eastAsia="lv-LV"/>
        </w:rPr>
        <w:t>euro</w:t>
      </w:r>
      <w:proofErr w:type="spellEnd"/>
      <w:r w:rsidRPr="00AE5389">
        <w:rPr>
          <w:rFonts w:ascii="Times New Roman" w:eastAsia="Times New Roman" w:hAnsi="Times New Roman" w:cs="Times New Roman"/>
          <w:color w:val="000000" w:themeColor="text1"/>
          <w:sz w:val="24"/>
          <w:szCs w:val="24"/>
          <w:lang w:eastAsia="lv-LV"/>
        </w:rPr>
        <w:t xml:space="preserve"> apmērā</w:t>
      </w:r>
      <w:r>
        <w:rPr>
          <w:rFonts w:ascii="Times New Roman" w:eastAsia="Times New Roman" w:hAnsi="Times New Roman" w:cs="Times New Roman"/>
          <w:color w:val="000000" w:themeColor="text1"/>
          <w:sz w:val="24"/>
          <w:szCs w:val="24"/>
          <w:lang w:eastAsia="lv-LV"/>
        </w:rPr>
        <w:t xml:space="preserve">. </w:t>
      </w:r>
    </w:p>
    <w:p w:rsidR="00F1520C" w:rsidRPr="00C63F8C" w:rsidRDefault="00F1520C" w:rsidP="00F1520C">
      <w:pPr>
        <w:spacing w:after="6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themeColor="text1"/>
          <w:sz w:val="24"/>
          <w:szCs w:val="24"/>
          <w:lang w:eastAsia="lv-LV"/>
        </w:rPr>
        <w:t xml:space="preserve">Kopējais paredzētais finansējums veselības aprūpes reformas īstenošanai 2019.gadā veido 154,2 milj. </w:t>
      </w:r>
      <w:proofErr w:type="spellStart"/>
      <w:r w:rsidRPr="001E7D28">
        <w:rPr>
          <w:rFonts w:ascii="Times New Roman" w:eastAsia="Times New Roman" w:hAnsi="Times New Roman" w:cs="Times New Roman"/>
          <w:i/>
          <w:color w:val="000000" w:themeColor="text1"/>
          <w:sz w:val="24"/>
          <w:szCs w:val="24"/>
          <w:lang w:eastAsia="lv-LV"/>
        </w:rPr>
        <w:t>euro</w:t>
      </w:r>
      <w:proofErr w:type="spellEnd"/>
      <w:r>
        <w:rPr>
          <w:rFonts w:ascii="Times New Roman" w:eastAsia="Times New Roman" w:hAnsi="Times New Roman" w:cs="Times New Roman"/>
          <w:color w:val="000000" w:themeColor="text1"/>
          <w:sz w:val="24"/>
          <w:szCs w:val="24"/>
          <w:lang w:eastAsia="lv-LV"/>
        </w:rPr>
        <w:t>,</w:t>
      </w:r>
      <w:r w:rsidRPr="00AE5389">
        <w:rPr>
          <w:rFonts w:ascii="Times New Roman" w:eastAsia="Times New Roman" w:hAnsi="Times New Roman" w:cs="Times New Roman"/>
          <w:color w:val="000000" w:themeColor="text1"/>
          <w:sz w:val="24"/>
          <w:szCs w:val="24"/>
          <w:lang w:eastAsia="lv-LV"/>
        </w:rPr>
        <w:t xml:space="preserve"> kuru </w:t>
      </w:r>
      <w:r>
        <w:rPr>
          <w:rFonts w:ascii="Times New Roman" w:eastAsia="Times New Roman" w:hAnsi="Times New Roman" w:cs="Times New Roman"/>
          <w:color w:val="000000" w:themeColor="text1"/>
          <w:sz w:val="24"/>
          <w:szCs w:val="24"/>
          <w:lang w:eastAsia="lv-LV"/>
        </w:rPr>
        <w:t xml:space="preserve">plānots izmantot </w:t>
      </w:r>
      <w:r w:rsidRPr="00AE5389">
        <w:rPr>
          <w:rFonts w:ascii="Times New Roman" w:eastAsia="Times New Roman" w:hAnsi="Times New Roman" w:cs="Times New Roman"/>
          <w:color w:val="000000" w:themeColor="text1"/>
          <w:sz w:val="24"/>
          <w:szCs w:val="24"/>
          <w:lang w:eastAsia="lv-LV"/>
        </w:rPr>
        <w:t>atbalstoši MK 201</w:t>
      </w:r>
      <w:r>
        <w:rPr>
          <w:rFonts w:ascii="Times New Roman" w:eastAsia="Times New Roman" w:hAnsi="Times New Roman" w:cs="Times New Roman"/>
          <w:color w:val="000000" w:themeColor="text1"/>
          <w:sz w:val="24"/>
          <w:szCs w:val="24"/>
          <w:lang w:eastAsia="lv-LV"/>
        </w:rPr>
        <w:t>9</w:t>
      </w:r>
      <w:r w:rsidRPr="00AE5389">
        <w:rPr>
          <w:rFonts w:ascii="Times New Roman" w:eastAsia="Times New Roman" w:hAnsi="Times New Roman" w:cs="Times New Roman"/>
          <w:color w:val="000000" w:themeColor="text1"/>
          <w:sz w:val="24"/>
          <w:szCs w:val="24"/>
          <w:lang w:eastAsia="lv-LV"/>
        </w:rPr>
        <w:t xml:space="preserve">.gada </w:t>
      </w:r>
      <w:r>
        <w:rPr>
          <w:rFonts w:ascii="Times New Roman" w:eastAsia="Times New Roman" w:hAnsi="Times New Roman" w:cs="Times New Roman"/>
          <w:color w:val="000000" w:themeColor="text1"/>
          <w:sz w:val="24"/>
          <w:szCs w:val="24"/>
          <w:lang w:eastAsia="lv-LV"/>
        </w:rPr>
        <w:t>8.janvāra</w:t>
      </w:r>
      <w:r w:rsidRPr="00AE5389">
        <w:rPr>
          <w:rFonts w:ascii="Times New Roman" w:eastAsia="Times New Roman" w:hAnsi="Times New Roman" w:cs="Times New Roman"/>
          <w:color w:val="000000" w:themeColor="text1"/>
          <w:sz w:val="24"/>
          <w:szCs w:val="24"/>
          <w:lang w:eastAsia="lv-LV"/>
        </w:rPr>
        <w:t xml:space="preserve"> izskatītajam informatīvajam ziņojumam “</w:t>
      </w:r>
      <w:r w:rsidRPr="00784F48">
        <w:rPr>
          <w:rFonts w:ascii="Times New Roman" w:hAnsi="Times New Roman" w:cs="Times New Roman"/>
          <w:sz w:val="24"/>
          <w:szCs w:val="24"/>
        </w:rPr>
        <w:t>Par veselības reformas pasākumu īstenošanu 201</w:t>
      </w:r>
      <w:r>
        <w:rPr>
          <w:rFonts w:ascii="Times New Roman" w:hAnsi="Times New Roman" w:cs="Times New Roman"/>
          <w:sz w:val="24"/>
          <w:szCs w:val="24"/>
        </w:rPr>
        <w:t>9</w:t>
      </w:r>
      <w:r w:rsidRPr="00784F48">
        <w:rPr>
          <w:rFonts w:ascii="Times New Roman" w:hAnsi="Times New Roman" w:cs="Times New Roman"/>
          <w:sz w:val="24"/>
          <w:szCs w:val="24"/>
        </w:rPr>
        <w:t>.gadā</w:t>
      </w:r>
      <w:r w:rsidRPr="00AE5389">
        <w:rPr>
          <w:rFonts w:ascii="Times New Roman" w:eastAsia="Times New Roman" w:hAnsi="Times New Roman" w:cs="Times New Roman"/>
          <w:color w:val="000000" w:themeColor="text1"/>
          <w:sz w:val="24"/>
          <w:szCs w:val="24"/>
          <w:lang w:eastAsia="lv-LV"/>
        </w:rPr>
        <w:t>”</w:t>
      </w:r>
      <w:r>
        <w:rPr>
          <w:rFonts w:ascii="Times New Roman" w:eastAsia="Times New Roman" w:hAnsi="Times New Roman" w:cs="Times New Roman"/>
          <w:color w:val="000000" w:themeColor="text1"/>
          <w:sz w:val="24"/>
          <w:szCs w:val="24"/>
          <w:lang w:eastAsia="lv-LV"/>
        </w:rPr>
        <w:t xml:space="preserve"> (atbalstītās reformas jomas un novirzītā finansējuma apmēru skat. 3.</w:t>
      </w:r>
      <w:r w:rsidR="00572F72">
        <w:rPr>
          <w:rFonts w:ascii="Times New Roman" w:eastAsia="Times New Roman" w:hAnsi="Times New Roman" w:cs="Times New Roman"/>
          <w:color w:val="000000" w:themeColor="text1"/>
          <w:sz w:val="24"/>
          <w:szCs w:val="24"/>
          <w:lang w:eastAsia="lv-LV"/>
        </w:rPr>
        <w:t>6</w:t>
      </w:r>
      <w:r>
        <w:rPr>
          <w:rFonts w:ascii="Times New Roman" w:eastAsia="Times New Roman" w:hAnsi="Times New Roman" w:cs="Times New Roman"/>
          <w:color w:val="000000" w:themeColor="text1"/>
          <w:sz w:val="24"/>
          <w:szCs w:val="24"/>
          <w:lang w:eastAsia="lv-LV"/>
        </w:rPr>
        <w:t>.tabulā).</w:t>
      </w:r>
    </w:p>
    <w:p w:rsidR="00C63F8C" w:rsidRPr="00C63F8C" w:rsidRDefault="00C63F8C" w:rsidP="00C63F8C">
      <w:pPr>
        <w:spacing w:after="200" w:line="276" w:lineRule="auto"/>
        <w:ind w:left="1129"/>
        <w:contextualSpacing/>
        <w:jc w:val="both"/>
        <w:rPr>
          <w:rFonts w:ascii="Times New Roman" w:eastAsia="Times New Roman" w:hAnsi="Times New Roman" w:cs="Times New Roman"/>
          <w:sz w:val="24"/>
          <w:szCs w:val="24"/>
          <w:lang w:eastAsia="lv-LV"/>
        </w:rPr>
      </w:pPr>
    </w:p>
    <w:p w:rsidR="005A443D" w:rsidRDefault="005A44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63F8C" w:rsidRPr="007E1678" w:rsidRDefault="00C63F8C" w:rsidP="00D61DDC">
      <w:pPr>
        <w:jc w:val="right"/>
        <w:rPr>
          <w:rFonts w:ascii="Times New Roman" w:eastAsia="Times New Roman" w:hAnsi="Times New Roman" w:cs="Times New Roman"/>
          <w:b/>
          <w:bCs/>
          <w:sz w:val="24"/>
          <w:szCs w:val="24"/>
          <w:lang w:eastAsia="lv-LV"/>
        </w:rPr>
      </w:pPr>
      <w:r w:rsidRPr="007E1678">
        <w:rPr>
          <w:rFonts w:ascii="Times New Roman" w:eastAsia="Times New Roman" w:hAnsi="Times New Roman" w:cs="Times New Roman"/>
          <w:b/>
          <w:sz w:val="24"/>
          <w:szCs w:val="24"/>
        </w:rPr>
        <w:lastRenderedPageBreak/>
        <w:t>3.</w:t>
      </w:r>
      <w:r w:rsidR="0040629E">
        <w:rPr>
          <w:rFonts w:ascii="Times New Roman" w:eastAsia="Times New Roman" w:hAnsi="Times New Roman" w:cs="Times New Roman"/>
          <w:b/>
          <w:sz w:val="24"/>
          <w:szCs w:val="24"/>
        </w:rPr>
        <w:t>6</w:t>
      </w:r>
      <w:r w:rsidRPr="007E1678">
        <w:rPr>
          <w:rFonts w:ascii="Times New Roman" w:eastAsia="Times New Roman" w:hAnsi="Times New Roman" w:cs="Times New Roman"/>
          <w:b/>
          <w:sz w:val="24"/>
          <w:szCs w:val="24"/>
        </w:rPr>
        <w:t xml:space="preserve">.tabula. </w:t>
      </w:r>
      <w:r w:rsidRPr="007E1678">
        <w:rPr>
          <w:rFonts w:ascii="Times New Roman" w:eastAsia="Times New Roman" w:hAnsi="Times New Roman" w:cs="Times New Roman"/>
          <w:b/>
          <w:bCs/>
          <w:sz w:val="24"/>
          <w:szCs w:val="24"/>
          <w:lang w:eastAsia="lv-LV"/>
        </w:rPr>
        <w:t>Veselības nozares reformu turpināšanai no EK pieļautā budžeta deficīta piešķirtā finansējuma sadalījums 2019.gadam</w:t>
      </w:r>
    </w:p>
    <w:tbl>
      <w:tblPr>
        <w:tblW w:w="9215"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6810"/>
        <w:gridCol w:w="2405"/>
      </w:tblGrid>
      <w:tr w:rsidR="002C566B" w:rsidRPr="00C63F8C" w:rsidTr="002C566B">
        <w:trPr>
          <w:trHeight w:val="340"/>
          <w:jc w:val="center"/>
        </w:trPr>
        <w:tc>
          <w:tcPr>
            <w:tcW w:w="6810" w:type="dxa"/>
            <w:shd w:val="clear" w:color="auto" w:fill="DEEAF6"/>
            <w:vAlign w:val="center"/>
            <w:hideMark/>
          </w:tcPr>
          <w:p w:rsidR="002C566B" w:rsidRPr="00C63F8C" w:rsidRDefault="002C566B" w:rsidP="00C63F8C">
            <w:pPr>
              <w:spacing w:after="0" w:line="240" w:lineRule="auto"/>
              <w:jc w:val="center"/>
              <w:rPr>
                <w:rFonts w:ascii="Times New Roman" w:eastAsia="Times New Roman" w:hAnsi="Times New Roman" w:cs="Times New Roman"/>
                <w:b/>
                <w:bCs/>
                <w:color w:val="000000"/>
                <w:sz w:val="20"/>
                <w:szCs w:val="20"/>
                <w:lang w:eastAsia="lv-LV"/>
              </w:rPr>
            </w:pPr>
            <w:r w:rsidRPr="00C63F8C">
              <w:rPr>
                <w:rFonts w:ascii="Times New Roman" w:eastAsia="Times New Roman" w:hAnsi="Times New Roman" w:cs="Times New Roman"/>
                <w:b/>
                <w:bCs/>
                <w:color w:val="000000"/>
                <w:sz w:val="20"/>
                <w:szCs w:val="20"/>
                <w:lang w:eastAsia="lv-LV"/>
              </w:rPr>
              <w:t>Plānotais pasākums</w:t>
            </w:r>
          </w:p>
        </w:tc>
        <w:tc>
          <w:tcPr>
            <w:tcW w:w="2405" w:type="dxa"/>
            <w:shd w:val="clear" w:color="auto" w:fill="DEEAF6"/>
            <w:vAlign w:val="center"/>
          </w:tcPr>
          <w:p w:rsidR="002C566B" w:rsidRPr="00C63F8C" w:rsidRDefault="002C566B" w:rsidP="001C18C6">
            <w:pPr>
              <w:spacing w:after="0" w:line="240" w:lineRule="auto"/>
              <w:jc w:val="center"/>
              <w:rPr>
                <w:rFonts w:ascii="Times New Roman" w:eastAsia="Times New Roman" w:hAnsi="Times New Roman" w:cs="Times New Roman"/>
                <w:b/>
                <w:bCs/>
                <w:color w:val="000000"/>
                <w:sz w:val="20"/>
                <w:szCs w:val="20"/>
                <w:lang w:eastAsia="lv-LV"/>
              </w:rPr>
            </w:pPr>
            <w:r w:rsidRPr="00C63F8C">
              <w:rPr>
                <w:rFonts w:ascii="Times New Roman" w:eastAsia="Times New Roman" w:hAnsi="Times New Roman" w:cs="Times New Roman"/>
                <w:b/>
                <w:bCs/>
                <w:color w:val="000000"/>
                <w:sz w:val="20"/>
                <w:szCs w:val="20"/>
                <w:lang w:eastAsia="lv-LV"/>
              </w:rPr>
              <w:t>Finansējums kopā</w:t>
            </w:r>
          </w:p>
          <w:p w:rsidR="002C566B" w:rsidRPr="00C63F8C" w:rsidRDefault="002C566B" w:rsidP="001C18C6">
            <w:pPr>
              <w:spacing w:after="0" w:line="240" w:lineRule="auto"/>
              <w:jc w:val="center"/>
              <w:rPr>
                <w:rFonts w:ascii="Times New Roman" w:eastAsia="Times New Roman" w:hAnsi="Times New Roman" w:cs="Times New Roman"/>
                <w:b/>
                <w:color w:val="000000"/>
                <w:sz w:val="20"/>
                <w:szCs w:val="20"/>
                <w:lang w:eastAsia="lv-LV"/>
              </w:rPr>
            </w:pPr>
          </w:p>
        </w:tc>
      </w:tr>
      <w:tr w:rsidR="002C566B" w:rsidRPr="00C63F8C" w:rsidTr="002C566B">
        <w:trPr>
          <w:trHeight w:val="340"/>
          <w:jc w:val="center"/>
        </w:trPr>
        <w:tc>
          <w:tcPr>
            <w:tcW w:w="6810" w:type="dxa"/>
            <w:shd w:val="clear" w:color="auto" w:fill="DEEAF6"/>
            <w:vAlign w:val="center"/>
            <w:hideMark/>
          </w:tcPr>
          <w:p w:rsidR="002C566B" w:rsidRPr="00C63F8C" w:rsidRDefault="002C566B" w:rsidP="00C63F8C">
            <w:pPr>
              <w:spacing w:after="0" w:line="240" w:lineRule="auto"/>
              <w:jc w:val="center"/>
              <w:rPr>
                <w:rFonts w:ascii="Times New Roman" w:eastAsia="Times New Roman" w:hAnsi="Times New Roman" w:cs="Times New Roman"/>
                <w:color w:val="000000"/>
                <w:sz w:val="20"/>
                <w:szCs w:val="20"/>
                <w:lang w:eastAsia="lv-LV"/>
              </w:rPr>
            </w:pPr>
          </w:p>
        </w:tc>
        <w:tc>
          <w:tcPr>
            <w:tcW w:w="2405" w:type="dxa"/>
            <w:shd w:val="clear" w:color="auto" w:fill="DEEAF6"/>
            <w:vAlign w:val="center"/>
          </w:tcPr>
          <w:p w:rsidR="002C566B" w:rsidRPr="00C63F8C" w:rsidRDefault="002C566B" w:rsidP="001C18C6">
            <w:pPr>
              <w:spacing w:after="0" w:line="240" w:lineRule="auto"/>
              <w:jc w:val="center"/>
              <w:rPr>
                <w:rFonts w:ascii="Times New Roman" w:eastAsia="Times New Roman" w:hAnsi="Times New Roman" w:cs="Times New Roman"/>
                <w:i/>
                <w:iCs/>
                <w:color w:val="000000"/>
                <w:sz w:val="20"/>
                <w:szCs w:val="20"/>
                <w:lang w:eastAsia="lv-LV"/>
              </w:rPr>
            </w:pPr>
            <w:r w:rsidRPr="00C63F8C">
              <w:rPr>
                <w:rFonts w:ascii="Times New Roman" w:eastAsia="Times New Roman" w:hAnsi="Times New Roman" w:cs="Times New Roman"/>
                <w:i/>
                <w:iCs/>
                <w:color w:val="000000"/>
                <w:sz w:val="20"/>
                <w:szCs w:val="20"/>
                <w:lang w:eastAsia="lv-LV"/>
              </w:rPr>
              <w:t>(</w:t>
            </w:r>
            <w:proofErr w:type="spellStart"/>
            <w:r w:rsidRPr="00C63F8C">
              <w:rPr>
                <w:rFonts w:ascii="Times New Roman" w:eastAsia="Times New Roman" w:hAnsi="Times New Roman" w:cs="Times New Roman"/>
                <w:i/>
                <w:iCs/>
                <w:color w:val="000000"/>
                <w:sz w:val="20"/>
                <w:szCs w:val="20"/>
                <w:lang w:eastAsia="lv-LV"/>
              </w:rPr>
              <w:t>euro</w:t>
            </w:r>
            <w:proofErr w:type="spellEnd"/>
            <w:r w:rsidRPr="00C63F8C">
              <w:rPr>
                <w:rFonts w:ascii="Times New Roman" w:eastAsia="Times New Roman" w:hAnsi="Times New Roman" w:cs="Times New Roman"/>
                <w:i/>
                <w:iCs/>
                <w:color w:val="000000"/>
                <w:sz w:val="20"/>
                <w:szCs w:val="20"/>
                <w:lang w:eastAsia="lv-LV"/>
              </w:rPr>
              <w:t>)</w:t>
            </w:r>
          </w:p>
        </w:tc>
      </w:tr>
      <w:tr w:rsidR="002C566B" w:rsidRPr="00C63F8C" w:rsidTr="002C566B">
        <w:trPr>
          <w:trHeight w:val="340"/>
          <w:jc w:val="center"/>
        </w:trPr>
        <w:tc>
          <w:tcPr>
            <w:tcW w:w="6810" w:type="dxa"/>
            <w:shd w:val="clear" w:color="auto" w:fill="auto"/>
            <w:vAlign w:val="center"/>
            <w:hideMark/>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Veselības aprūpes pakalpojumu pieejamības uzlabošana (t.sk. turpinot 2017. un 2018.gadā uzsākto rindu mazināšanu pie speciālistiem, uz diagnostiskajiem izmeklējumiem, dienas stacionārā)</w:t>
            </w:r>
          </w:p>
        </w:tc>
        <w:tc>
          <w:tcPr>
            <w:tcW w:w="2405" w:type="dxa"/>
            <w:vAlign w:val="center"/>
          </w:tcPr>
          <w:p w:rsidR="002C566B" w:rsidRPr="00C63F8C" w:rsidRDefault="002C566B" w:rsidP="00F1520C">
            <w:pPr>
              <w:spacing w:after="0" w:line="240" w:lineRule="auto"/>
              <w:ind w:firstLineChars="100" w:firstLine="200"/>
              <w:jc w:val="center"/>
              <w:rPr>
                <w:rFonts w:ascii="Times New Roman" w:eastAsia="Times New Roman" w:hAnsi="Times New Roman" w:cs="Times New Roman"/>
                <w:color w:val="000000"/>
                <w:sz w:val="20"/>
                <w:szCs w:val="20"/>
                <w:lang w:eastAsia="lv-LV"/>
              </w:rPr>
            </w:pPr>
            <w:r w:rsidRPr="00C63F8C">
              <w:rPr>
                <w:rFonts w:ascii="Times New Roman" w:eastAsia="Times New Roman" w:hAnsi="Times New Roman" w:cs="Times New Roman"/>
                <w:color w:val="000000"/>
                <w:sz w:val="20"/>
                <w:szCs w:val="20"/>
                <w:lang w:eastAsia="lv-LV"/>
              </w:rPr>
              <w:t>57</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538</w:t>
            </w:r>
            <w:r>
              <w:rPr>
                <w:lang w:eastAsia="lv-LV"/>
              </w:rPr>
              <w:t> </w:t>
            </w:r>
            <w:r w:rsidRPr="00C63F8C">
              <w:rPr>
                <w:rFonts w:ascii="Times New Roman" w:eastAsia="Times New Roman" w:hAnsi="Times New Roman" w:cs="Times New Roman"/>
                <w:color w:val="000000"/>
                <w:sz w:val="20"/>
                <w:szCs w:val="20"/>
                <w:lang w:eastAsia="lv-LV"/>
              </w:rPr>
              <w:t>646</w:t>
            </w:r>
          </w:p>
        </w:tc>
      </w:tr>
      <w:tr w:rsidR="002C566B" w:rsidRPr="00C63F8C" w:rsidTr="002C566B">
        <w:trPr>
          <w:trHeight w:val="340"/>
          <w:jc w:val="center"/>
        </w:trPr>
        <w:tc>
          <w:tcPr>
            <w:tcW w:w="6810" w:type="dxa"/>
            <w:shd w:val="clear" w:color="auto" w:fill="auto"/>
            <w:vAlign w:val="center"/>
            <w:hideMark/>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Onkoloģisko saslimšanu diagnostikas un ārstēšanas pieejamības uzlabošana (t.sk. turpinot un paplašinot 2017. un 2018.gadā uzsāktās aktivitātes)</w:t>
            </w:r>
          </w:p>
        </w:tc>
        <w:tc>
          <w:tcPr>
            <w:tcW w:w="2405" w:type="dxa"/>
            <w:vAlign w:val="center"/>
          </w:tcPr>
          <w:p w:rsidR="002C566B" w:rsidRPr="00C63F8C" w:rsidRDefault="002C566B" w:rsidP="00F1520C">
            <w:pPr>
              <w:spacing w:after="0" w:line="240" w:lineRule="auto"/>
              <w:ind w:firstLineChars="100" w:firstLine="200"/>
              <w:jc w:val="center"/>
              <w:rPr>
                <w:rFonts w:ascii="Times New Roman" w:eastAsia="Times New Roman" w:hAnsi="Times New Roman" w:cs="Times New Roman"/>
                <w:color w:val="000000"/>
                <w:sz w:val="20"/>
                <w:szCs w:val="20"/>
                <w:lang w:eastAsia="lv-LV"/>
              </w:rPr>
            </w:pPr>
            <w:r w:rsidRPr="00C63F8C">
              <w:rPr>
                <w:rFonts w:ascii="Times New Roman" w:eastAsia="Times New Roman" w:hAnsi="Times New Roman" w:cs="Times New Roman"/>
                <w:color w:val="000000"/>
                <w:sz w:val="20"/>
                <w:szCs w:val="20"/>
                <w:lang w:eastAsia="lv-LV"/>
              </w:rPr>
              <w:t>29</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215</w:t>
            </w:r>
            <w:r>
              <w:t> </w:t>
            </w:r>
            <w:r w:rsidRPr="00C63F8C">
              <w:rPr>
                <w:rFonts w:ascii="Times New Roman" w:eastAsia="Times New Roman" w:hAnsi="Times New Roman" w:cs="Times New Roman"/>
                <w:color w:val="000000"/>
                <w:sz w:val="20"/>
                <w:szCs w:val="20"/>
                <w:lang w:eastAsia="lv-LV"/>
              </w:rPr>
              <w:t>914</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Infekcijas slimību izplatības mazināšana (t.sk. turpinot 2017. un 2018.gadā uzsāktās reformas valsts kompensējamo medikamentu nodrošinājumam VHC pacientiem)</w:t>
            </w:r>
          </w:p>
        </w:tc>
        <w:tc>
          <w:tcPr>
            <w:tcW w:w="2405" w:type="dxa"/>
            <w:vAlign w:val="center"/>
          </w:tcPr>
          <w:p w:rsidR="002C566B" w:rsidRPr="00C63F8C" w:rsidRDefault="002C566B" w:rsidP="00F1520C">
            <w:pPr>
              <w:spacing w:after="0" w:line="240" w:lineRule="auto"/>
              <w:ind w:firstLineChars="100" w:firstLine="200"/>
              <w:jc w:val="center"/>
              <w:rPr>
                <w:rFonts w:ascii="Times New Roman" w:eastAsia="Times New Roman" w:hAnsi="Times New Roman" w:cs="Times New Roman"/>
                <w:color w:val="000000"/>
                <w:sz w:val="20"/>
                <w:szCs w:val="20"/>
                <w:lang w:eastAsia="lv-LV"/>
              </w:rPr>
            </w:pPr>
            <w:r w:rsidRPr="00C63F8C">
              <w:rPr>
                <w:rFonts w:ascii="Times New Roman" w:eastAsia="Times New Roman" w:hAnsi="Times New Roman" w:cs="Times New Roman"/>
                <w:color w:val="000000"/>
                <w:sz w:val="20"/>
                <w:szCs w:val="20"/>
                <w:lang w:eastAsia="lv-LV"/>
              </w:rPr>
              <w:t>16</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484</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214</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Primārās veselības aprūpes sistēmas kvalitātes un pieejamības uzlabošana (turpinot un paplašinot 2018.gadā uzsāktās aktivitātes)</w:t>
            </w:r>
          </w:p>
        </w:tc>
        <w:tc>
          <w:tcPr>
            <w:tcW w:w="2405" w:type="dxa"/>
            <w:vAlign w:val="center"/>
          </w:tcPr>
          <w:p w:rsidR="002C566B" w:rsidRPr="00C63F8C" w:rsidRDefault="002C566B" w:rsidP="00F1520C">
            <w:pPr>
              <w:spacing w:after="0" w:line="240" w:lineRule="auto"/>
              <w:ind w:firstLineChars="100" w:firstLine="200"/>
              <w:jc w:val="center"/>
              <w:rPr>
                <w:rFonts w:ascii="Times New Roman" w:eastAsia="Times New Roman" w:hAnsi="Times New Roman" w:cs="Times New Roman"/>
                <w:color w:val="000000"/>
                <w:sz w:val="20"/>
                <w:szCs w:val="20"/>
                <w:lang w:eastAsia="lv-LV"/>
              </w:rPr>
            </w:pPr>
            <w:r w:rsidRPr="00C63F8C">
              <w:rPr>
                <w:rFonts w:ascii="Times New Roman" w:eastAsia="Times New Roman" w:hAnsi="Times New Roman" w:cs="Times New Roman"/>
                <w:color w:val="000000"/>
                <w:sz w:val="20"/>
                <w:szCs w:val="20"/>
                <w:lang w:eastAsia="lv-LV"/>
              </w:rPr>
              <w:t>15</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433</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208</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proofErr w:type="spellStart"/>
            <w:r w:rsidRPr="002C566B">
              <w:rPr>
                <w:rFonts w:ascii="Times New Roman" w:eastAsia="Times New Roman" w:hAnsi="Times New Roman" w:cs="Times New Roman"/>
                <w:b/>
                <w:sz w:val="20"/>
                <w:szCs w:val="20"/>
                <w:lang w:eastAsia="lv-LV"/>
              </w:rPr>
              <w:t>Kardiovaskulārās</w:t>
            </w:r>
            <w:proofErr w:type="spellEnd"/>
            <w:r w:rsidRPr="002C566B">
              <w:rPr>
                <w:rFonts w:ascii="Times New Roman" w:eastAsia="Times New Roman" w:hAnsi="Times New Roman" w:cs="Times New Roman"/>
                <w:b/>
                <w:sz w:val="20"/>
                <w:szCs w:val="20"/>
                <w:lang w:eastAsia="lv-LV"/>
              </w:rPr>
              <w:t xml:space="preserve"> saslimstības mazināšana un slimību ārstēšanas efektivitātes uzlabošana (turpinot 2018.gadā uzsāktās aktivitātes)</w:t>
            </w:r>
          </w:p>
        </w:tc>
        <w:tc>
          <w:tcPr>
            <w:tcW w:w="2405" w:type="dxa"/>
            <w:vAlign w:val="center"/>
          </w:tcPr>
          <w:p w:rsidR="002C566B" w:rsidRPr="00C63F8C" w:rsidRDefault="002C566B" w:rsidP="00F1520C">
            <w:pPr>
              <w:spacing w:after="0" w:line="240" w:lineRule="auto"/>
              <w:ind w:firstLine="225"/>
              <w:jc w:val="center"/>
              <w:rPr>
                <w:rFonts w:ascii="Times New Roman" w:eastAsia="Times New Roman" w:hAnsi="Times New Roman" w:cs="Times New Roman"/>
                <w:color w:val="000000"/>
                <w:sz w:val="20"/>
                <w:szCs w:val="20"/>
                <w:lang w:eastAsia="lv-LV"/>
              </w:rPr>
            </w:pPr>
            <w:r w:rsidRPr="00C63F8C">
              <w:rPr>
                <w:rFonts w:ascii="Times New Roman" w:eastAsia="Times New Roman" w:hAnsi="Times New Roman" w:cs="Times New Roman"/>
                <w:color w:val="000000"/>
                <w:sz w:val="20"/>
                <w:szCs w:val="20"/>
                <w:lang w:eastAsia="lv-LV"/>
              </w:rPr>
              <w:t>10</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460</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873</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Ārstniecības iestāžu līmeņu reforma</w:t>
            </w:r>
          </w:p>
        </w:tc>
        <w:tc>
          <w:tcPr>
            <w:tcW w:w="2405" w:type="dxa"/>
            <w:vAlign w:val="center"/>
          </w:tcPr>
          <w:p w:rsidR="002C566B" w:rsidRPr="00C63F8C" w:rsidRDefault="002C566B" w:rsidP="001C18C6">
            <w:pPr>
              <w:spacing w:after="0" w:line="240" w:lineRule="auto"/>
              <w:ind w:firstLineChars="100" w:firstLine="200"/>
              <w:jc w:val="center"/>
              <w:rPr>
                <w:rFonts w:ascii="Times New Roman" w:eastAsia="Times New Roman" w:hAnsi="Times New Roman" w:cs="Times New Roman"/>
                <w:color w:val="000000"/>
                <w:sz w:val="20"/>
                <w:szCs w:val="20"/>
                <w:lang w:eastAsia="lv-LV"/>
              </w:rPr>
            </w:pPr>
            <w:r w:rsidRPr="00C63F8C">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928</w:t>
            </w:r>
            <w:r>
              <w:rPr>
                <w:rFonts w:ascii="Times New Roman" w:eastAsia="Times New Roman" w:hAnsi="Times New Roman" w:cs="Times New Roman"/>
                <w:color w:val="000000"/>
                <w:sz w:val="20"/>
                <w:szCs w:val="20"/>
                <w:lang w:eastAsia="lv-LV"/>
              </w:rPr>
              <w:t> </w:t>
            </w:r>
            <w:r w:rsidRPr="00C63F8C">
              <w:rPr>
                <w:rFonts w:ascii="Times New Roman" w:eastAsia="Times New Roman" w:hAnsi="Times New Roman" w:cs="Times New Roman"/>
                <w:color w:val="000000"/>
                <w:sz w:val="20"/>
                <w:szCs w:val="20"/>
                <w:lang w:eastAsia="lv-LV"/>
              </w:rPr>
              <w:t>936</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Rehabilitācijas pakalpojumu stratēģiskais iepirkums</w:t>
            </w:r>
          </w:p>
        </w:tc>
        <w:tc>
          <w:tcPr>
            <w:tcW w:w="2405" w:type="dxa"/>
            <w:vAlign w:val="center"/>
          </w:tcPr>
          <w:p w:rsidR="002C566B" w:rsidRPr="00C63F8C" w:rsidRDefault="002C566B" w:rsidP="001C18C6">
            <w:pPr>
              <w:spacing w:after="0" w:line="240" w:lineRule="auto"/>
              <w:ind w:firstLineChars="100" w:firstLine="200"/>
              <w:jc w:val="center"/>
              <w:rPr>
                <w:rFonts w:ascii="Times New Roman" w:eastAsia="Times New Roman" w:hAnsi="Times New Roman" w:cs="Times New Roman"/>
                <w:sz w:val="20"/>
                <w:szCs w:val="20"/>
                <w:lang w:eastAsia="lv-LV"/>
              </w:rPr>
            </w:pPr>
            <w:r w:rsidRPr="00C63F8C">
              <w:rPr>
                <w:rFonts w:ascii="Times New Roman" w:eastAsia="Times New Roman" w:hAnsi="Times New Roman" w:cs="Times New Roman"/>
                <w:sz w:val="20"/>
                <w:szCs w:val="20"/>
                <w:lang w:eastAsia="lv-LV"/>
              </w:rPr>
              <w:t>3</w:t>
            </w:r>
            <w:r>
              <w:rPr>
                <w:rFonts w:ascii="Times New Roman" w:eastAsia="Times New Roman" w:hAnsi="Times New Roman" w:cs="Times New Roman"/>
                <w:sz w:val="20"/>
                <w:szCs w:val="20"/>
                <w:lang w:eastAsia="lv-LV"/>
              </w:rPr>
              <w:t> </w:t>
            </w:r>
            <w:r w:rsidRPr="00C63F8C">
              <w:rPr>
                <w:rFonts w:ascii="Times New Roman" w:eastAsia="Times New Roman" w:hAnsi="Times New Roman" w:cs="Times New Roman"/>
                <w:sz w:val="20"/>
                <w:szCs w:val="20"/>
                <w:lang w:eastAsia="lv-LV"/>
              </w:rPr>
              <w:t>874</w:t>
            </w:r>
            <w:r>
              <w:rPr>
                <w:rFonts w:ascii="Times New Roman" w:eastAsia="Times New Roman" w:hAnsi="Times New Roman" w:cs="Times New Roman"/>
                <w:sz w:val="20"/>
                <w:szCs w:val="20"/>
                <w:lang w:eastAsia="lv-LV"/>
              </w:rPr>
              <w:t> </w:t>
            </w:r>
            <w:r w:rsidRPr="00C63F8C">
              <w:rPr>
                <w:rFonts w:ascii="Times New Roman" w:eastAsia="Times New Roman" w:hAnsi="Times New Roman" w:cs="Times New Roman"/>
                <w:sz w:val="20"/>
                <w:szCs w:val="20"/>
                <w:lang w:eastAsia="lv-LV"/>
              </w:rPr>
              <w:t>774</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Psihiskās veselības aprūpes uzlabošana</w:t>
            </w:r>
          </w:p>
        </w:tc>
        <w:tc>
          <w:tcPr>
            <w:tcW w:w="2405" w:type="dxa"/>
            <w:vAlign w:val="center"/>
          </w:tcPr>
          <w:p w:rsidR="002C566B" w:rsidRPr="00C63F8C" w:rsidRDefault="002C566B" w:rsidP="001C18C6">
            <w:pPr>
              <w:spacing w:after="0" w:line="240" w:lineRule="auto"/>
              <w:ind w:firstLineChars="100" w:firstLine="200"/>
              <w:jc w:val="center"/>
              <w:rPr>
                <w:rFonts w:ascii="Times New Roman" w:eastAsia="Times New Roman" w:hAnsi="Times New Roman" w:cs="Times New Roman"/>
                <w:sz w:val="20"/>
                <w:szCs w:val="20"/>
                <w:lang w:eastAsia="lv-LV"/>
              </w:rPr>
            </w:pPr>
            <w:r w:rsidRPr="00C63F8C">
              <w:rPr>
                <w:rFonts w:ascii="Times New Roman" w:eastAsia="Times New Roman" w:hAnsi="Times New Roman" w:cs="Times New Roman"/>
                <w:sz w:val="20"/>
                <w:szCs w:val="20"/>
                <w:lang w:eastAsia="lv-LV"/>
              </w:rPr>
              <w:t>6</w:t>
            </w:r>
            <w:r>
              <w:rPr>
                <w:rFonts w:ascii="Times New Roman" w:eastAsia="Times New Roman" w:hAnsi="Times New Roman" w:cs="Times New Roman"/>
                <w:sz w:val="20"/>
                <w:szCs w:val="20"/>
                <w:lang w:eastAsia="lv-LV"/>
              </w:rPr>
              <w:t> </w:t>
            </w:r>
            <w:r w:rsidRPr="00C63F8C">
              <w:rPr>
                <w:rFonts w:ascii="Times New Roman" w:eastAsia="Times New Roman" w:hAnsi="Times New Roman" w:cs="Times New Roman"/>
                <w:sz w:val="20"/>
                <w:szCs w:val="20"/>
                <w:lang w:eastAsia="lv-LV"/>
              </w:rPr>
              <w:t>308</w:t>
            </w:r>
            <w:r>
              <w:rPr>
                <w:rFonts w:ascii="Times New Roman" w:eastAsia="Times New Roman" w:hAnsi="Times New Roman" w:cs="Times New Roman"/>
                <w:sz w:val="20"/>
                <w:szCs w:val="20"/>
                <w:lang w:eastAsia="lv-LV"/>
              </w:rPr>
              <w:t> </w:t>
            </w:r>
            <w:r w:rsidRPr="00C63F8C">
              <w:rPr>
                <w:rFonts w:ascii="Times New Roman" w:eastAsia="Times New Roman" w:hAnsi="Times New Roman" w:cs="Times New Roman"/>
                <w:sz w:val="20"/>
                <w:szCs w:val="20"/>
                <w:lang w:eastAsia="lv-LV"/>
              </w:rPr>
              <w:t>906</w:t>
            </w:r>
          </w:p>
        </w:tc>
      </w:tr>
      <w:tr w:rsidR="002C566B" w:rsidRPr="00C63F8C" w:rsidTr="002C566B">
        <w:trPr>
          <w:trHeight w:val="340"/>
          <w:jc w:val="center"/>
        </w:trPr>
        <w:tc>
          <w:tcPr>
            <w:tcW w:w="6810" w:type="dxa"/>
            <w:shd w:val="clear" w:color="auto" w:fill="auto"/>
            <w:vAlign w:val="center"/>
          </w:tcPr>
          <w:p w:rsidR="002C566B" w:rsidRPr="002C566B" w:rsidRDefault="002C566B" w:rsidP="00F1520C">
            <w:pPr>
              <w:spacing w:after="0" w:line="240" w:lineRule="auto"/>
              <w:jc w:val="both"/>
              <w:rPr>
                <w:rFonts w:ascii="Times New Roman" w:eastAsia="Times New Roman" w:hAnsi="Times New Roman" w:cs="Times New Roman"/>
                <w:b/>
                <w:sz w:val="20"/>
                <w:szCs w:val="20"/>
                <w:lang w:eastAsia="lv-LV"/>
              </w:rPr>
            </w:pPr>
            <w:r w:rsidRPr="002C566B">
              <w:rPr>
                <w:rFonts w:ascii="Times New Roman" w:eastAsia="Times New Roman" w:hAnsi="Times New Roman" w:cs="Times New Roman"/>
                <w:b/>
                <w:sz w:val="20"/>
                <w:szCs w:val="20"/>
                <w:lang w:eastAsia="lv-LV"/>
              </w:rPr>
              <w:t xml:space="preserve">Vides uzlabošana un infrastruktūras </w:t>
            </w:r>
            <w:proofErr w:type="spellStart"/>
            <w:r w:rsidRPr="002C566B">
              <w:rPr>
                <w:rFonts w:ascii="Times New Roman" w:eastAsia="Times New Roman" w:hAnsi="Times New Roman" w:cs="Times New Roman"/>
                <w:b/>
                <w:sz w:val="20"/>
                <w:szCs w:val="20"/>
                <w:lang w:eastAsia="lv-LV"/>
              </w:rPr>
              <w:t>efektivizēšana</w:t>
            </w:r>
            <w:proofErr w:type="spellEnd"/>
          </w:p>
        </w:tc>
        <w:tc>
          <w:tcPr>
            <w:tcW w:w="2405" w:type="dxa"/>
            <w:vAlign w:val="center"/>
          </w:tcPr>
          <w:p w:rsidR="002C566B" w:rsidRPr="00C63F8C" w:rsidRDefault="002C566B" w:rsidP="001C18C6">
            <w:pPr>
              <w:spacing w:after="0" w:line="240" w:lineRule="auto"/>
              <w:ind w:firstLineChars="100" w:firstLine="200"/>
              <w:jc w:val="center"/>
              <w:rPr>
                <w:rFonts w:ascii="Times New Roman" w:eastAsia="Times New Roman" w:hAnsi="Times New Roman" w:cs="Times New Roman"/>
                <w:sz w:val="20"/>
                <w:szCs w:val="20"/>
                <w:lang w:eastAsia="lv-LV"/>
              </w:rPr>
            </w:pPr>
            <w:r w:rsidRPr="00C63F8C">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 </w:t>
            </w:r>
            <w:r w:rsidRPr="00C63F8C">
              <w:rPr>
                <w:rFonts w:ascii="Times New Roman" w:eastAsia="Times New Roman" w:hAnsi="Times New Roman" w:cs="Times New Roman"/>
                <w:sz w:val="20"/>
                <w:szCs w:val="20"/>
                <w:lang w:eastAsia="lv-LV"/>
              </w:rPr>
              <w:t>959</w:t>
            </w:r>
            <w:r>
              <w:rPr>
                <w:rFonts w:ascii="Times New Roman" w:eastAsia="Times New Roman" w:hAnsi="Times New Roman" w:cs="Times New Roman"/>
                <w:sz w:val="20"/>
                <w:szCs w:val="20"/>
                <w:lang w:eastAsia="lv-LV"/>
              </w:rPr>
              <w:t> </w:t>
            </w:r>
            <w:r w:rsidRPr="00C63F8C">
              <w:rPr>
                <w:rFonts w:ascii="Times New Roman" w:eastAsia="Times New Roman" w:hAnsi="Times New Roman" w:cs="Times New Roman"/>
                <w:sz w:val="20"/>
                <w:szCs w:val="20"/>
                <w:lang w:eastAsia="lv-LV"/>
              </w:rPr>
              <w:t>529</w:t>
            </w:r>
          </w:p>
        </w:tc>
      </w:tr>
      <w:tr w:rsidR="002C566B" w:rsidRPr="00C63F8C" w:rsidTr="002C566B">
        <w:trPr>
          <w:trHeight w:val="340"/>
          <w:jc w:val="center"/>
        </w:trPr>
        <w:tc>
          <w:tcPr>
            <w:tcW w:w="6810" w:type="dxa"/>
            <w:shd w:val="clear" w:color="auto" w:fill="DEEAF6"/>
            <w:vAlign w:val="center"/>
            <w:hideMark/>
          </w:tcPr>
          <w:p w:rsidR="002C566B" w:rsidRPr="00C63F8C" w:rsidRDefault="002C566B" w:rsidP="00C63F8C">
            <w:pPr>
              <w:spacing w:after="0" w:line="240" w:lineRule="auto"/>
              <w:jc w:val="right"/>
              <w:rPr>
                <w:rFonts w:ascii="Times New Roman" w:eastAsia="Times New Roman" w:hAnsi="Times New Roman" w:cs="Times New Roman"/>
                <w:b/>
                <w:bCs/>
                <w:color w:val="000000"/>
                <w:sz w:val="20"/>
                <w:szCs w:val="20"/>
                <w:lang w:eastAsia="lv-LV"/>
              </w:rPr>
            </w:pPr>
            <w:r w:rsidRPr="00C63F8C">
              <w:rPr>
                <w:rFonts w:ascii="Times New Roman" w:eastAsia="Times New Roman" w:hAnsi="Times New Roman" w:cs="Times New Roman"/>
                <w:b/>
                <w:bCs/>
                <w:color w:val="000000"/>
                <w:sz w:val="20"/>
                <w:szCs w:val="20"/>
                <w:lang w:eastAsia="lv-LV"/>
              </w:rPr>
              <w:t xml:space="preserve">Kopā: </w:t>
            </w:r>
          </w:p>
        </w:tc>
        <w:tc>
          <w:tcPr>
            <w:tcW w:w="2405" w:type="dxa"/>
            <w:shd w:val="clear" w:color="auto" w:fill="DEEAF6"/>
            <w:vAlign w:val="center"/>
          </w:tcPr>
          <w:p w:rsidR="002C566B" w:rsidRPr="00C63F8C" w:rsidRDefault="002C566B" w:rsidP="001C18C6">
            <w:pPr>
              <w:spacing w:after="0" w:line="240" w:lineRule="auto"/>
              <w:jc w:val="center"/>
              <w:rPr>
                <w:rFonts w:ascii="Times New Roman" w:eastAsia="Times New Roman" w:hAnsi="Times New Roman" w:cs="Times New Roman"/>
                <w:b/>
                <w:bCs/>
                <w:color w:val="000000"/>
                <w:sz w:val="20"/>
                <w:szCs w:val="20"/>
                <w:lang w:eastAsia="lv-LV"/>
              </w:rPr>
            </w:pPr>
            <w:r w:rsidRPr="00C63F8C">
              <w:rPr>
                <w:rFonts w:ascii="Times New Roman" w:eastAsia="Times New Roman" w:hAnsi="Times New Roman" w:cs="Times New Roman"/>
                <w:b/>
                <w:bCs/>
                <w:color w:val="000000"/>
                <w:sz w:val="20"/>
                <w:szCs w:val="20"/>
                <w:lang w:eastAsia="lv-LV"/>
              </w:rPr>
              <w:t>154 205 000</w:t>
            </w:r>
          </w:p>
        </w:tc>
      </w:tr>
    </w:tbl>
    <w:p w:rsidR="005E344C" w:rsidRDefault="005E344C" w:rsidP="006A5EC3">
      <w:pPr>
        <w:shd w:val="clear" w:color="auto" w:fill="FFFFFF"/>
        <w:spacing w:line="240" w:lineRule="auto"/>
        <w:ind w:firstLine="720"/>
        <w:jc w:val="both"/>
        <w:rPr>
          <w:rFonts w:ascii="Times New Roman" w:eastAsia="Times New Roman" w:hAnsi="Times New Roman" w:cs="Times New Roman"/>
          <w:color w:val="000000" w:themeColor="text1"/>
          <w:sz w:val="24"/>
          <w:szCs w:val="24"/>
        </w:rPr>
      </w:pPr>
    </w:p>
    <w:p w:rsidR="006A5EC3" w:rsidRPr="00C63F8C" w:rsidRDefault="00C63F8C" w:rsidP="006A5EC3">
      <w:pPr>
        <w:shd w:val="clear" w:color="auto" w:fill="FFFFFF"/>
        <w:spacing w:line="240" w:lineRule="auto"/>
        <w:ind w:firstLine="720"/>
        <w:jc w:val="both"/>
        <w:rPr>
          <w:rFonts w:ascii="Times New Roman" w:eastAsia="Times New Roman" w:hAnsi="Times New Roman" w:cs="Times New Roman"/>
          <w:color w:val="212121"/>
          <w:sz w:val="24"/>
          <w:szCs w:val="24"/>
        </w:rPr>
      </w:pPr>
      <w:r w:rsidRPr="005E344C">
        <w:rPr>
          <w:rFonts w:ascii="Times New Roman" w:eastAsia="Times New Roman" w:hAnsi="Times New Roman" w:cs="Times New Roman"/>
          <w:color w:val="000000" w:themeColor="text1"/>
          <w:sz w:val="24"/>
          <w:szCs w:val="24"/>
        </w:rPr>
        <w:t xml:space="preserve">Prognozējot potenciāli atgūtos (nezaudētos) mūža gadus gadījumā, ja ieguldījumi netiek veikti, </w:t>
      </w:r>
      <w:r w:rsidR="00793FB7">
        <w:rPr>
          <w:rFonts w:ascii="Times New Roman" w:eastAsia="Times New Roman" w:hAnsi="Times New Roman" w:cs="Times New Roman"/>
          <w:color w:val="000000" w:themeColor="text1"/>
          <w:sz w:val="24"/>
          <w:szCs w:val="24"/>
        </w:rPr>
        <w:t>var prognozēt</w:t>
      </w:r>
      <w:r w:rsidRPr="005E344C">
        <w:rPr>
          <w:rFonts w:ascii="Times New Roman" w:eastAsia="Times New Roman" w:hAnsi="Times New Roman" w:cs="Times New Roman"/>
          <w:color w:val="000000" w:themeColor="text1"/>
          <w:sz w:val="24"/>
          <w:szCs w:val="24"/>
        </w:rPr>
        <w:t xml:space="preserve">, ka pakāpeniski uzlabojoties iedzīvotāju </w:t>
      </w:r>
      <w:proofErr w:type="spellStart"/>
      <w:r w:rsidRPr="005E344C">
        <w:rPr>
          <w:rFonts w:ascii="Times New Roman" w:eastAsia="Times New Roman" w:hAnsi="Times New Roman" w:cs="Times New Roman"/>
          <w:color w:val="000000" w:themeColor="text1"/>
          <w:sz w:val="24"/>
          <w:szCs w:val="24"/>
        </w:rPr>
        <w:t>veselībpratībai</w:t>
      </w:r>
      <w:proofErr w:type="spellEnd"/>
      <w:r w:rsidRPr="005E344C">
        <w:rPr>
          <w:rFonts w:ascii="Times New Roman" w:eastAsia="Times New Roman" w:hAnsi="Times New Roman" w:cs="Times New Roman"/>
          <w:color w:val="000000" w:themeColor="text1"/>
          <w:sz w:val="24"/>
          <w:szCs w:val="24"/>
        </w:rPr>
        <w:t xml:space="preserve"> un ņemot vērā nelielos uzlabojumus iepriekšējos periodos, kā arī uzlabojoties ārstniecības procesa koordinācijai sagaidāma esošās situācijas neliela uzlabošanās. Gala rezultātā minētie faktori datos atspoguļosies kā PZMG skaita minimāla lejupslīde vai pat </w:t>
      </w:r>
      <w:proofErr w:type="spellStart"/>
      <w:r w:rsidRPr="005E344C">
        <w:rPr>
          <w:rFonts w:ascii="Times New Roman" w:eastAsia="Times New Roman" w:hAnsi="Times New Roman" w:cs="Times New Roman"/>
          <w:color w:val="000000" w:themeColor="text1"/>
          <w:sz w:val="24"/>
          <w:szCs w:val="24"/>
        </w:rPr>
        <w:t>stagnēšana</w:t>
      </w:r>
      <w:proofErr w:type="spellEnd"/>
      <w:r w:rsidRPr="005E344C">
        <w:rPr>
          <w:rFonts w:ascii="Times New Roman" w:eastAsia="Times New Roman" w:hAnsi="Times New Roman" w:cs="Times New Roman"/>
          <w:color w:val="000000" w:themeColor="text1"/>
          <w:sz w:val="24"/>
          <w:szCs w:val="24"/>
        </w:rPr>
        <w:t xml:space="preserve">. Savukārt veicot augstāk minētās reformas samazināsies </w:t>
      </w:r>
      <w:r w:rsidR="00D61DDC" w:rsidRPr="005E344C">
        <w:rPr>
          <w:rFonts w:ascii="Times New Roman" w:eastAsia="Times New Roman" w:hAnsi="Times New Roman" w:cs="Times New Roman"/>
          <w:color w:val="000000" w:themeColor="text1"/>
          <w:sz w:val="24"/>
          <w:szCs w:val="24"/>
        </w:rPr>
        <w:t>PZMG</w:t>
      </w:r>
      <w:r w:rsidRPr="005E344C">
        <w:rPr>
          <w:rFonts w:ascii="Times New Roman" w:eastAsia="Times New Roman" w:hAnsi="Times New Roman" w:cs="Times New Roman"/>
          <w:color w:val="000000" w:themeColor="text1"/>
          <w:sz w:val="24"/>
          <w:szCs w:val="24"/>
        </w:rPr>
        <w:t xml:space="preserve"> skaits, jo palielināsies iedzīvotāju dzīvildze un samazināsies priekšlaikus mirušo skaits (skat. 3.</w:t>
      </w:r>
      <w:r w:rsidR="00572F72">
        <w:rPr>
          <w:rFonts w:ascii="Times New Roman" w:eastAsia="Times New Roman" w:hAnsi="Times New Roman" w:cs="Times New Roman"/>
          <w:color w:val="000000" w:themeColor="text1"/>
          <w:sz w:val="24"/>
          <w:szCs w:val="24"/>
        </w:rPr>
        <w:t>7</w:t>
      </w:r>
      <w:r w:rsidRPr="005E344C">
        <w:rPr>
          <w:rFonts w:ascii="Times New Roman" w:eastAsia="Times New Roman" w:hAnsi="Times New Roman" w:cs="Times New Roman"/>
          <w:color w:val="000000" w:themeColor="text1"/>
          <w:sz w:val="24"/>
          <w:szCs w:val="24"/>
        </w:rPr>
        <w:t xml:space="preserve">.tabulu). Ņemot vērā prognozes par PZMG samazinājumu, </w:t>
      </w:r>
      <w:r w:rsidRPr="005E344C">
        <w:rPr>
          <w:rFonts w:ascii="Times New Roman" w:eastAsia="Times New Roman" w:hAnsi="Times New Roman" w:cs="Times New Roman"/>
          <w:b/>
          <w:color w:val="000000" w:themeColor="text1"/>
          <w:sz w:val="24"/>
          <w:szCs w:val="24"/>
        </w:rPr>
        <w:t xml:space="preserve">secināms, ka tas atbilst </w:t>
      </w:r>
      <w:r w:rsidRPr="005E344C">
        <w:rPr>
          <w:rFonts w:ascii="Times New Roman" w:eastAsia="Times New Roman" w:hAnsi="Times New Roman" w:cs="Times New Roman"/>
          <w:b/>
          <w:bCs/>
          <w:color w:val="000000" w:themeColor="text1"/>
          <w:kern w:val="36"/>
          <w:sz w:val="24"/>
          <w:szCs w:val="24"/>
        </w:rPr>
        <w:t>pētījumā</w:t>
      </w:r>
      <w:r w:rsidRPr="00C63F8C">
        <w:rPr>
          <w:rFonts w:ascii="Times New Roman" w:eastAsia="Times New Roman" w:hAnsi="Times New Roman" w:cs="Times New Roman"/>
          <w:b/>
          <w:bCs/>
          <w:kern w:val="36"/>
          <w:sz w:val="24"/>
          <w:szCs w:val="24"/>
        </w:rPr>
        <w:t xml:space="preserve"> “</w:t>
      </w:r>
      <w:proofErr w:type="spellStart"/>
      <w:r w:rsidRPr="00C63F8C">
        <w:rPr>
          <w:rFonts w:ascii="Times New Roman" w:eastAsia="Times New Roman" w:hAnsi="Times New Roman" w:cs="Times New Roman"/>
          <w:b/>
          <w:bCs/>
          <w:kern w:val="36"/>
          <w:sz w:val="24"/>
          <w:szCs w:val="24"/>
        </w:rPr>
        <w:t>Izvērtējums</w:t>
      </w:r>
      <w:proofErr w:type="spellEnd"/>
      <w:r w:rsidRPr="00C63F8C">
        <w:rPr>
          <w:rFonts w:ascii="Times New Roman" w:eastAsia="Times New Roman" w:hAnsi="Times New Roman" w:cs="Times New Roman"/>
          <w:b/>
          <w:bCs/>
          <w:kern w:val="36"/>
          <w:sz w:val="24"/>
          <w:szCs w:val="24"/>
        </w:rPr>
        <w:t xml:space="preserve"> Sabiedrības veselības pamatnostādņu 2014.</w:t>
      </w:r>
      <w:r w:rsidR="001C18C6">
        <w:rPr>
          <w:rFonts w:ascii="Times New Roman" w:eastAsia="Times New Roman" w:hAnsi="Times New Roman" w:cs="Times New Roman"/>
          <w:b/>
          <w:bCs/>
          <w:kern w:val="36"/>
          <w:sz w:val="24"/>
          <w:szCs w:val="24"/>
        </w:rPr>
        <w:t xml:space="preserve"> </w:t>
      </w:r>
      <w:r w:rsidRPr="00C63F8C">
        <w:rPr>
          <w:rFonts w:ascii="Times New Roman" w:eastAsia="Times New Roman" w:hAnsi="Times New Roman" w:cs="Times New Roman"/>
          <w:b/>
          <w:bCs/>
          <w:kern w:val="36"/>
          <w:sz w:val="24"/>
          <w:szCs w:val="24"/>
        </w:rPr>
        <w:t>–</w:t>
      </w:r>
      <w:r w:rsidR="001C18C6">
        <w:rPr>
          <w:rFonts w:ascii="Times New Roman" w:eastAsia="Times New Roman" w:hAnsi="Times New Roman" w:cs="Times New Roman"/>
          <w:b/>
          <w:bCs/>
          <w:kern w:val="36"/>
          <w:sz w:val="24"/>
          <w:szCs w:val="24"/>
        </w:rPr>
        <w:t xml:space="preserve"> </w:t>
      </w:r>
      <w:r w:rsidRPr="00C63F8C">
        <w:rPr>
          <w:rFonts w:ascii="Times New Roman" w:eastAsia="Times New Roman" w:hAnsi="Times New Roman" w:cs="Times New Roman"/>
          <w:b/>
          <w:bCs/>
          <w:kern w:val="36"/>
          <w:sz w:val="24"/>
          <w:szCs w:val="24"/>
        </w:rPr>
        <w:t xml:space="preserve">2020.gadam izstrādei” </w:t>
      </w:r>
      <w:r w:rsidRPr="00C63F8C">
        <w:rPr>
          <w:rFonts w:ascii="Times New Roman" w:eastAsia="Times New Roman" w:hAnsi="Times New Roman" w:cs="Times New Roman"/>
          <w:b/>
          <w:color w:val="212121"/>
          <w:sz w:val="24"/>
          <w:szCs w:val="24"/>
        </w:rPr>
        <w:t>novērtētajam samazinājumam atbilstoši veiktajam finansējuma palielinājumam</w:t>
      </w:r>
      <w:r w:rsidRPr="00C63F8C">
        <w:rPr>
          <w:rFonts w:ascii="Times New Roman" w:eastAsia="Times New Roman" w:hAnsi="Times New Roman" w:cs="Times New Roman"/>
          <w:color w:val="212121"/>
          <w:sz w:val="24"/>
          <w:szCs w:val="24"/>
        </w:rPr>
        <w:t>.</w:t>
      </w:r>
    </w:p>
    <w:p w:rsidR="001C18C6" w:rsidRPr="007E1678" w:rsidRDefault="001C18C6" w:rsidP="007E1678">
      <w:pPr>
        <w:spacing w:after="0"/>
        <w:jc w:val="right"/>
        <w:rPr>
          <w:rFonts w:ascii="Times New Roman" w:eastAsia="Times New Roman" w:hAnsi="Times New Roman" w:cs="Times New Roman"/>
          <w:b/>
          <w:bCs/>
          <w:sz w:val="24"/>
          <w:szCs w:val="24"/>
        </w:rPr>
      </w:pPr>
      <w:r w:rsidRPr="007E1678">
        <w:rPr>
          <w:rFonts w:ascii="Times New Roman" w:eastAsia="Times New Roman" w:hAnsi="Times New Roman" w:cs="Times New Roman"/>
          <w:b/>
          <w:sz w:val="24"/>
          <w:szCs w:val="24"/>
        </w:rPr>
        <w:t>3.</w:t>
      </w:r>
      <w:r w:rsidR="0040629E">
        <w:rPr>
          <w:rFonts w:ascii="Times New Roman" w:eastAsia="Times New Roman" w:hAnsi="Times New Roman" w:cs="Times New Roman"/>
          <w:b/>
          <w:sz w:val="24"/>
          <w:szCs w:val="24"/>
        </w:rPr>
        <w:t>7</w:t>
      </w:r>
      <w:r w:rsidRPr="007E1678">
        <w:rPr>
          <w:rFonts w:ascii="Times New Roman" w:eastAsia="Times New Roman" w:hAnsi="Times New Roman" w:cs="Times New Roman"/>
          <w:b/>
          <w:sz w:val="24"/>
          <w:szCs w:val="24"/>
        </w:rPr>
        <w:t xml:space="preserve">.tabula. </w:t>
      </w:r>
      <w:r w:rsidR="00D61DDC" w:rsidRPr="00D61DDC">
        <w:rPr>
          <w:rFonts w:ascii="Times New Roman" w:eastAsia="Times New Roman" w:hAnsi="Times New Roman" w:cs="Times New Roman"/>
          <w:b/>
          <w:color w:val="000000" w:themeColor="text1"/>
          <w:sz w:val="24"/>
          <w:szCs w:val="24"/>
        </w:rPr>
        <w:t>PZMG</w:t>
      </w:r>
      <w:r w:rsidRPr="007E1678">
        <w:rPr>
          <w:rFonts w:ascii="Times New Roman" w:eastAsia="Times New Roman" w:hAnsi="Times New Roman" w:cs="Times New Roman"/>
          <w:b/>
          <w:bCs/>
          <w:sz w:val="24"/>
          <w:szCs w:val="24"/>
        </w:rPr>
        <w:t xml:space="preserve"> prognoze, ja ieguldījumi tiek veikti</w:t>
      </w:r>
    </w:p>
    <w:tbl>
      <w:tblPr>
        <w:tblW w:w="9099"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747"/>
        <w:gridCol w:w="794"/>
        <w:gridCol w:w="794"/>
        <w:gridCol w:w="794"/>
        <w:gridCol w:w="794"/>
        <w:gridCol w:w="794"/>
        <w:gridCol w:w="794"/>
        <w:gridCol w:w="794"/>
        <w:gridCol w:w="794"/>
      </w:tblGrid>
      <w:tr w:rsidR="00C63F8C" w:rsidRPr="001C18C6" w:rsidTr="002F52B4">
        <w:trPr>
          <w:trHeight w:val="255"/>
          <w:jc w:val="center"/>
        </w:trPr>
        <w:tc>
          <w:tcPr>
            <w:tcW w:w="2747" w:type="dxa"/>
            <w:shd w:val="clear" w:color="auto" w:fill="DEEAF6"/>
            <w:noWrap/>
            <w:vAlign w:val="bottom"/>
            <w:hideMark/>
          </w:tcPr>
          <w:p w:rsidR="00C63F8C" w:rsidRPr="001C18C6" w:rsidRDefault="00C63F8C" w:rsidP="00C63F8C">
            <w:pPr>
              <w:spacing w:after="0" w:line="240" w:lineRule="auto"/>
              <w:rPr>
                <w:rFonts w:ascii="Times New Roman" w:eastAsia="Times New Roman" w:hAnsi="Times New Roman" w:cs="Times New Roman"/>
                <w:sz w:val="20"/>
                <w:szCs w:val="20"/>
                <w:lang w:eastAsia="lv-LV"/>
              </w:rPr>
            </w:pPr>
            <w:r w:rsidRPr="001C18C6">
              <w:rPr>
                <w:rFonts w:ascii="Times New Roman" w:eastAsia="Times New Roman" w:hAnsi="Times New Roman" w:cs="Times New Roman"/>
                <w:sz w:val="20"/>
                <w:szCs w:val="20"/>
                <w:lang w:eastAsia="lv-LV"/>
              </w:rPr>
              <w:t> </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2014</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2015</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2016</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2017</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2018</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2019</w:t>
            </w:r>
          </w:p>
        </w:tc>
        <w:tc>
          <w:tcPr>
            <w:tcW w:w="794" w:type="dxa"/>
            <w:shd w:val="clear" w:color="auto" w:fill="DEEAF6"/>
            <w:vAlign w:val="center"/>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2020</w:t>
            </w:r>
          </w:p>
        </w:tc>
        <w:tc>
          <w:tcPr>
            <w:tcW w:w="794" w:type="dxa"/>
            <w:shd w:val="clear" w:color="auto" w:fill="DEEAF6"/>
            <w:vAlign w:val="center"/>
            <w:hideMark/>
          </w:tcPr>
          <w:p w:rsidR="00C63F8C" w:rsidRPr="001C18C6" w:rsidRDefault="00C63F8C" w:rsidP="00C63F8C">
            <w:pPr>
              <w:spacing w:after="0" w:line="240" w:lineRule="auto"/>
              <w:jc w:val="center"/>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2021</w:t>
            </w:r>
          </w:p>
        </w:tc>
      </w:tr>
      <w:tr w:rsidR="00C63F8C" w:rsidRPr="001C18C6" w:rsidTr="005E344C">
        <w:trPr>
          <w:trHeight w:val="255"/>
          <w:jc w:val="center"/>
        </w:trPr>
        <w:tc>
          <w:tcPr>
            <w:tcW w:w="2747" w:type="dxa"/>
            <w:shd w:val="clear" w:color="auto" w:fill="auto"/>
            <w:noWrap/>
            <w:vAlign w:val="bottom"/>
            <w:hideMark/>
          </w:tcPr>
          <w:p w:rsidR="00C63F8C" w:rsidRPr="0093176F" w:rsidRDefault="00C63F8C" w:rsidP="00C63F8C">
            <w:pPr>
              <w:spacing w:after="0" w:line="240" w:lineRule="auto"/>
              <w:rPr>
                <w:rFonts w:ascii="Times New Roman" w:eastAsia="Times New Roman" w:hAnsi="Times New Roman" w:cs="Times New Roman"/>
                <w:b/>
                <w:sz w:val="20"/>
                <w:szCs w:val="20"/>
                <w:lang w:eastAsia="lv-LV"/>
              </w:rPr>
            </w:pPr>
            <w:r w:rsidRPr="0093176F">
              <w:rPr>
                <w:rFonts w:ascii="Times New Roman" w:eastAsia="Times New Roman" w:hAnsi="Times New Roman" w:cs="Times New Roman"/>
                <w:b/>
                <w:sz w:val="20"/>
                <w:szCs w:val="20"/>
                <w:lang w:eastAsia="lv-LV"/>
              </w:rPr>
              <w:t>PZMG prognoze neveicot ieguldījumus *</w:t>
            </w:r>
          </w:p>
        </w:tc>
        <w:tc>
          <w:tcPr>
            <w:tcW w:w="794" w:type="dxa"/>
            <w:shd w:val="clear" w:color="auto" w:fill="auto"/>
            <w:noWrap/>
            <w:vAlign w:val="bottom"/>
            <w:hideMark/>
          </w:tcPr>
          <w:p w:rsidR="00C63F8C" w:rsidRPr="001C18C6" w:rsidRDefault="00C63F8C" w:rsidP="001C18C6">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93</w:t>
            </w:r>
            <w:r w:rsidR="001C18C6">
              <w:t> </w:t>
            </w:r>
            <w:r w:rsidRPr="001C18C6">
              <w:rPr>
                <w:rFonts w:ascii="Times New Roman" w:eastAsia="Times New Roman" w:hAnsi="Times New Roman" w:cs="Times New Roman"/>
                <w:bCs/>
                <w:sz w:val="20"/>
                <w:szCs w:val="20"/>
              </w:rPr>
              <w:t>374</w:t>
            </w:r>
          </w:p>
        </w:tc>
        <w:tc>
          <w:tcPr>
            <w:tcW w:w="794" w:type="dxa"/>
            <w:shd w:val="clear" w:color="auto" w:fill="auto"/>
            <w:noWrap/>
            <w:vAlign w:val="bottom"/>
            <w:hideMark/>
          </w:tcPr>
          <w:p w:rsidR="00C63F8C" w:rsidRPr="001C18C6" w:rsidRDefault="00C63F8C" w:rsidP="001C18C6">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88</w:t>
            </w:r>
            <w:r w:rsidR="001C18C6">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297</w:t>
            </w:r>
          </w:p>
        </w:tc>
        <w:tc>
          <w:tcPr>
            <w:tcW w:w="794" w:type="dxa"/>
            <w:shd w:val="clear" w:color="auto" w:fill="auto"/>
            <w:noWrap/>
            <w:vAlign w:val="bottom"/>
            <w:hideMark/>
          </w:tcPr>
          <w:p w:rsidR="00C63F8C" w:rsidRPr="001C18C6" w:rsidRDefault="00C63F8C" w:rsidP="001C18C6">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84</w:t>
            </w:r>
            <w:r w:rsidR="001C18C6">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670</w:t>
            </w:r>
          </w:p>
        </w:tc>
        <w:tc>
          <w:tcPr>
            <w:tcW w:w="794" w:type="dxa"/>
            <w:shd w:val="clear" w:color="auto" w:fill="auto"/>
            <w:noWrap/>
            <w:vAlign w:val="bottom"/>
            <w:hideMark/>
          </w:tcPr>
          <w:p w:rsidR="00C63F8C" w:rsidRPr="001C18C6" w:rsidRDefault="00C63F8C" w:rsidP="005E6CBA">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83</w:t>
            </w:r>
            <w:r w:rsidR="005E6CBA">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876</w:t>
            </w:r>
          </w:p>
        </w:tc>
        <w:tc>
          <w:tcPr>
            <w:tcW w:w="794" w:type="dxa"/>
            <w:shd w:val="clear" w:color="auto" w:fill="auto"/>
            <w:noWrap/>
            <w:vAlign w:val="bottom"/>
            <w:hideMark/>
          </w:tcPr>
          <w:p w:rsidR="00C63F8C" w:rsidRPr="001C18C6" w:rsidRDefault="00C63F8C" w:rsidP="005E6CBA">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83</w:t>
            </w:r>
            <w:r w:rsidR="005E6CBA">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037</w:t>
            </w:r>
          </w:p>
        </w:tc>
        <w:tc>
          <w:tcPr>
            <w:tcW w:w="794" w:type="dxa"/>
            <w:shd w:val="clear" w:color="auto" w:fill="auto"/>
            <w:noWrap/>
            <w:vAlign w:val="bottom"/>
            <w:hideMark/>
          </w:tcPr>
          <w:p w:rsidR="00C63F8C" w:rsidRPr="001C18C6" w:rsidRDefault="00C63F8C" w:rsidP="005E6CBA">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82</w:t>
            </w:r>
            <w:r w:rsidR="005E6CBA">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207</w:t>
            </w:r>
          </w:p>
        </w:tc>
        <w:tc>
          <w:tcPr>
            <w:tcW w:w="794" w:type="dxa"/>
            <w:vAlign w:val="bottom"/>
          </w:tcPr>
          <w:p w:rsidR="00C63F8C" w:rsidRPr="001C18C6" w:rsidRDefault="00C63F8C" w:rsidP="005E6CBA">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81</w:t>
            </w:r>
            <w:r w:rsidR="005E6CBA">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385</w:t>
            </w:r>
          </w:p>
        </w:tc>
        <w:tc>
          <w:tcPr>
            <w:tcW w:w="794" w:type="dxa"/>
            <w:shd w:val="clear" w:color="auto" w:fill="auto"/>
            <w:noWrap/>
            <w:vAlign w:val="bottom"/>
          </w:tcPr>
          <w:p w:rsidR="00C63F8C" w:rsidRPr="001C18C6" w:rsidRDefault="00C63F8C" w:rsidP="005E6CBA">
            <w:pPr>
              <w:spacing w:after="0" w:line="240" w:lineRule="auto"/>
              <w:jc w:val="right"/>
              <w:rPr>
                <w:rFonts w:ascii="Times New Roman" w:eastAsia="Times New Roman" w:hAnsi="Times New Roman" w:cs="Times New Roman"/>
                <w:bCs/>
                <w:sz w:val="20"/>
                <w:szCs w:val="20"/>
              </w:rPr>
            </w:pPr>
            <w:r w:rsidRPr="001C18C6">
              <w:rPr>
                <w:rFonts w:ascii="Times New Roman" w:eastAsia="Times New Roman" w:hAnsi="Times New Roman" w:cs="Times New Roman"/>
                <w:bCs/>
                <w:sz w:val="20"/>
                <w:szCs w:val="20"/>
              </w:rPr>
              <w:t>80</w:t>
            </w:r>
            <w:r w:rsidR="005E6CBA">
              <w:rPr>
                <w:rFonts w:ascii="Times New Roman" w:eastAsia="Times New Roman" w:hAnsi="Times New Roman" w:cs="Times New Roman"/>
                <w:bCs/>
                <w:sz w:val="20"/>
                <w:szCs w:val="20"/>
              </w:rPr>
              <w:t> </w:t>
            </w:r>
            <w:r w:rsidRPr="001C18C6">
              <w:rPr>
                <w:rFonts w:ascii="Times New Roman" w:eastAsia="Times New Roman" w:hAnsi="Times New Roman" w:cs="Times New Roman"/>
                <w:bCs/>
                <w:sz w:val="20"/>
                <w:szCs w:val="20"/>
              </w:rPr>
              <w:t>571</w:t>
            </w:r>
          </w:p>
        </w:tc>
      </w:tr>
      <w:tr w:rsidR="00C63F8C" w:rsidRPr="001C18C6" w:rsidTr="005E344C">
        <w:trPr>
          <w:trHeight w:val="255"/>
          <w:jc w:val="center"/>
        </w:trPr>
        <w:tc>
          <w:tcPr>
            <w:tcW w:w="2747" w:type="dxa"/>
            <w:shd w:val="clear" w:color="auto" w:fill="auto"/>
            <w:noWrap/>
            <w:vAlign w:val="bottom"/>
            <w:hideMark/>
          </w:tcPr>
          <w:p w:rsidR="00C63F8C" w:rsidRPr="0093176F" w:rsidRDefault="00C63F8C" w:rsidP="00C63F8C">
            <w:pPr>
              <w:spacing w:after="0" w:line="240" w:lineRule="auto"/>
              <w:rPr>
                <w:rFonts w:ascii="Times New Roman" w:eastAsia="Times New Roman" w:hAnsi="Times New Roman" w:cs="Times New Roman"/>
                <w:b/>
                <w:sz w:val="20"/>
                <w:szCs w:val="20"/>
                <w:lang w:eastAsia="lv-LV"/>
              </w:rPr>
            </w:pPr>
            <w:r w:rsidRPr="0093176F">
              <w:rPr>
                <w:rFonts w:ascii="Times New Roman" w:eastAsia="Times New Roman" w:hAnsi="Times New Roman" w:cs="Times New Roman"/>
                <w:b/>
                <w:sz w:val="20"/>
                <w:szCs w:val="20"/>
                <w:lang w:eastAsia="lv-LV"/>
              </w:rPr>
              <w:t>PZMG prognoze veicot ieguldījumus</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p>
        </w:tc>
        <w:tc>
          <w:tcPr>
            <w:tcW w:w="794" w:type="dxa"/>
            <w:shd w:val="clear" w:color="auto" w:fill="auto"/>
            <w:noWrap/>
            <w:vAlign w:val="bottom"/>
            <w:hideMark/>
          </w:tcPr>
          <w:p w:rsidR="00C63F8C" w:rsidRPr="001C18C6" w:rsidRDefault="00C63F8C" w:rsidP="005E6CBA">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80</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612</w:t>
            </w:r>
          </w:p>
        </w:tc>
        <w:tc>
          <w:tcPr>
            <w:tcW w:w="794" w:type="dxa"/>
            <w:shd w:val="clear" w:color="auto" w:fill="auto"/>
            <w:noWrap/>
            <w:vAlign w:val="bottom"/>
            <w:hideMark/>
          </w:tcPr>
          <w:p w:rsidR="00C63F8C" w:rsidRPr="001C18C6" w:rsidRDefault="00C63F8C" w:rsidP="005E6CBA">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78</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223</w:t>
            </w:r>
          </w:p>
        </w:tc>
        <w:tc>
          <w:tcPr>
            <w:tcW w:w="794" w:type="dxa"/>
            <w:vAlign w:val="bottom"/>
          </w:tcPr>
          <w:p w:rsidR="00C63F8C" w:rsidRPr="001C18C6" w:rsidRDefault="00C63F8C" w:rsidP="005E6CBA">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75</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542</w:t>
            </w:r>
          </w:p>
        </w:tc>
        <w:tc>
          <w:tcPr>
            <w:tcW w:w="794" w:type="dxa"/>
            <w:shd w:val="clear" w:color="auto" w:fill="auto"/>
            <w:noWrap/>
            <w:vAlign w:val="bottom"/>
          </w:tcPr>
          <w:p w:rsidR="00C63F8C" w:rsidRPr="001C18C6" w:rsidRDefault="00C63F8C" w:rsidP="005E6CBA">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73</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355</w:t>
            </w:r>
          </w:p>
        </w:tc>
      </w:tr>
      <w:tr w:rsidR="00C63F8C" w:rsidRPr="001C18C6" w:rsidTr="002F52B4">
        <w:trPr>
          <w:trHeight w:val="300"/>
          <w:jc w:val="center"/>
        </w:trPr>
        <w:tc>
          <w:tcPr>
            <w:tcW w:w="2747" w:type="dxa"/>
            <w:shd w:val="clear" w:color="auto" w:fill="DEEAF6"/>
            <w:noWrap/>
            <w:vAlign w:val="bottom"/>
            <w:hideMark/>
          </w:tcPr>
          <w:p w:rsidR="00C63F8C" w:rsidRPr="001C18C6" w:rsidRDefault="00C63F8C" w:rsidP="00C63F8C">
            <w:pPr>
              <w:spacing w:after="0" w:line="240" w:lineRule="auto"/>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Iegūtie PZMG</w:t>
            </w:r>
          </w:p>
        </w:tc>
        <w:tc>
          <w:tcPr>
            <w:tcW w:w="794" w:type="dxa"/>
            <w:shd w:val="clear" w:color="auto" w:fill="DEEAF6"/>
            <w:noWrap/>
            <w:vAlign w:val="bottom"/>
            <w:hideMark/>
          </w:tcPr>
          <w:p w:rsidR="00C63F8C" w:rsidRPr="001C18C6" w:rsidRDefault="00C63F8C" w:rsidP="00C63F8C">
            <w:pPr>
              <w:spacing w:after="0" w:line="240" w:lineRule="auto"/>
              <w:jc w:val="right"/>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 </w:t>
            </w:r>
          </w:p>
        </w:tc>
        <w:tc>
          <w:tcPr>
            <w:tcW w:w="794" w:type="dxa"/>
            <w:shd w:val="clear" w:color="auto" w:fill="DEEAF6"/>
            <w:noWrap/>
            <w:vAlign w:val="bottom"/>
            <w:hideMark/>
          </w:tcPr>
          <w:p w:rsidR="00C63F8C" w:rsidRPr="001C18C6" w:rsidRDefault="00C63F8C" w:rsidP="00C63F8C">
            <w:pPr>
              <w:spacing w:after="0" w:line="240" w:lineRule="auto"/>
              <w:jc w:val="right"/>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 </w:t>
            </w:r>
          </w:p>
        </w:tc>
        <w:tc>
          <w:tcPr>
            <w:tcW w:w="794" w:type="dxa"/>
            <w:shd w:val="clear" w:color="auto" w:fill="DEEAF6"/>
            <w:noWrap/>
            <w:vAlign w:val="bottom"/>
            <w:hideMark/>
          </w:tcPr>
          <w:p w:rsidR="00C63F8C" w:rsidRPr="001C18C6" w:rsidRDefault="00C63F8C" w:rsidP="00C63F8C">
            <w:pPr>
              <w:spacing w:after="0" w:line="240" w:lineRule="auto"/>
              <w:jc w:val="right"/>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 </w:t>
            </w:r>
          </w:p>
        </w:tc>
        <w:tc>
          <w:tcPr>
            <w:tcW w:w="794" w:type="dxa"/>
            <w:shd w:val="clear" w:color="auto" w:fill="DEEAF6"/>
            <w:noWrap/>
            <w:vAlign w:val="bottom"/>
            <w:hideMark/>
          </w:tcPr>
          <w:p w:rsidR="00C63F8C" w:rsidRPr="001C18C6" w:rsidRDefault="00C63F8C" w:rsidP="00C63F8C">
            <w:pPr>
              <w:spacing w:after="0" w:line="240" w:lineRule="auto"/>
              <w:jc w:val="right"/>
              <w:rPr>
                <w:rFonts w:ascii="Times New Roman" w:eastAsia="Times New Roman" w:hAnsi="Times New Roman" w:cs="Times New Roman"/>
                <w:b/>
                <w:bCs/>
                <w:sz w:val="20"/>
                <w:szCs w:val="20"/>
                <w:lang w:eastAsia="lv-LV"/>
              </w:rPr>
            </w:pPr>
            <w:r w:rsidRPr="001C18C6">
              <w:rPr>
                <w:rFonts w:ascii="Times New Roman" w:eastAsia="Times New Roman" w:hAnsi="Times New Roman" w:cs="Times New Roman"/>
                <w:b/>
                <w:bCs/>
                <w:sz w:val="20"/>
                <w:szCs w:val="20"/>
                <w:lang w:eastAsia="lv-LV"/>
              </w:rPr>
              <w:t> </w:t>
            </w:r>
          </w:p>
        </w:tc>
        <w:tc>
          <w:tcPr>
            <w:tcW w:w="794" w:type="dxa"/>
            <w:shd w:val="clear" w:color="auto" w:fill="DEEAF6"/>
            <w:noWrap/>
            <w:vAlign w:val="bottom"/>
            <w:hideMark/>
          </w:tcPr>
          <w:p w:rsidR="00C63F8C" w:rsidRPr="001C18C6" w:rsidRDefault="00C63F8C" w:rsidP="00C63F8C">
            <w:pPr>
              <w:spacing w:after="0" w:line="240" w:lineRule="auto"/>
              <w:jc w:val="right"/>
              <w:rPr>
                <w:rFonts w:ascii="Times New Roman" w:eastAsia="Times New Roman" w:hAnsi="Times New Roman" w:cs="Times New Roman"/>
                <w:b/>
                <w:sz w:val="20"/>
                <w:szCs w:val="20"/>
              </w:rPr>
            </w:pPr>
            <w:r w:rsidRPr="001C18C6">
              <w:rPr>
                <w:rFonts w:ascii="Times New Roman" w:eastAsia="Times New Roman" w:hAnsi="Times New Roman" w:cs="Times New Roman"/>
                <w:b/>
                <w:sz w:val="20"/>
                <w:szCs w:val="20"/>
              </w:rPr>
              <w:t>2</w:t>
            </w:r>
            <w:r w:rsidR="005E6CBA">
              <w:rPr>
                <w:rFonts w:ascii="Times New Roman" w:eastAsia="Times New Roman" w:hAnsi="Times New Roman" w:cs="Times New Roman"/>
                <w:b/>
                <w:sz w:val="20"/>
                <w:szCs w:val="20"/>
              </w:rPr>
              <w:t> </w:t>
            </w:r>
            <w:r w:rsidRPr="001C18C6">
              <w:rPr>
                <w:rFonts w:ascii="Times New Roman" w:eastAsia="Times New Roman" w:hAnsi="Times New Roman" w:cs="Times New Roman"/>
                <w:b/>
                <w:sz w:val="20"/>
                <w:szCs w:val="20"/>
              </w:rPr>
              <w:t>425</w:t>
            </w:r>
          </w:p>
        </w:tc>
        <w:tc>
          <w:tcPr>
            <w:tcW w:w="794" w:type="dxa"/>
            <w:shd w:val="clear" w:color="auto" w:fill="DEEAF6"/>
            <w:noWrap/>
            <w:vAlign w:val="bottom"/>
            <w:hideMark/>
          </w:tcPr>
          <w:p w:rsidR="00C63F8C" w:rsidRPr="001C18C6" w:rsidRDefault="00C63F8C" w:rsidP="00C63F8C">
            <w:pPr>
              <w:spacing w:after="0" w:line="240" w:lineRule="auto"/>
              <w:jc w:val="right"/>
              <w:rPr>
                <w:rFonts w:ascii="Times New Roman" w:eastAsia="Times New Roman" w:hAnsi="Times New Roman" w:cs="Times New Roman"/>
                <w:b/>
                <w:sz w:val="20"/>
                <w:szCs w:val="20"/>
              </w:rPr>
            </w:pPr>
            <w:r w:rsidRPr="001C18C6">
              <w:rPr>
                <w:rFonts w:ascii="Times New Roman" w:eastAsia="Times New Roman" w:hAnsi="Times New Roman" w:cs="Times New Roman"/>
                <w:b/>
                <w:sz w:val="20"/>
                <w:szCs w:val="20"/>
              </w:rPr>
              <w:t>3</w:t>
            </w:r>
            <w:r w:rsidR="005E6CBA">
              <w:rPr>
                <w:rFonts w:ascii="Times New Roman" w:eastAsia="Times New Roman" w:hAnsi="Times New Roman" w:cs="Times New Roman"/>
                <w:b/>
                <w:sz w:val="20"/>
                <w:szCs w:val="20"/>
              </w:rPr>
              <w:t> </w:t>
            </w:r>
            <w:r w:rsidRPr="001C18C6">
              <w:rPr>
                <w:rFonts w:ascii="Times New Roman" w:eastAsia="Times New Roman" w:hAnsi="Times New Roman" w:cs="Times New Roman"/>
                <w:b/>
                <w:sz w:val="20"/>
                <w:szCs w:val="20"/>
              </w:rPr>
              <w:t>984</w:t>
            </w:r>
          </w:p>
        </w:tc>
        <w:tc>
          <w:tcPr>
            <w:tcW w:w="794" w:type="dxa"/>
            <w:shd w:val="clear" w:color="auto" w:fill="DEEAF6"/>
            <w:vAlign w:val="bottom"/>
          </w:tcPr>
          <w:p w:rsidR="00C63F8C" w:rsidRPr="001C18C6" w:rsidRDefault="00C63F8C" w:rsidP="00C63F8C">
            <w:pPr>
              <w:spacing w:after="0" w:line="240" w:lineRule="auto"/>
              <w:jc w:val="right"/>
              <w:rPr>
                <w:rFonts w:ascii="Times New Roman" w:eastAsia="Times New Roman" w:hAnsi="Times New Roman" w:cs="Times New Roman"/>
                <w:b/>
                <w:sz w:val="20"/>
                <w:szCs w:val="20"/>
              </w:rPr>
            </w:pPr>
            <w:r w:rsidRPr="001C18C6">
              <w:rPr>
                <w:rFonts w:ascii="Times New Roman" w:eastAsia="Times New Roman" w:hAnsi="Times New Roman" w:cs="Times New Roman"/>
                <w:b/>
                <w:sz w:val="20"/>
                <w:szCs w:val="20"/>
              </w:rPr>
              <w:t>5</w:t>
            </w:r>
            <w:r w:rsidR="005E6CBA">
              <w:rPr>
                <w:rFonts w:ascii="Times New Roman" w:eastAsia="Times New Roman" w:hAnsi="Times New Roman" w:cs="Times New Roman"/>
                <w:b/>
                <w:sz w:val="20"/>
                <w:szCs w:val="20"/>
              </w:rPr>
              <w:t> </w:t>
            </w:r>
            <w:r w:rsidRPr="001C18C6">
              <w:rPr>
                <w:rFonts w:ascii="Times New Roman" w:eastAsia="Times New Roman" w:hAnsi="Times New Roman" w:cs="Times New Roman"/>
                <w:b/>
                <w:sz w:val="20"/>
                <w:szCs w:val="20"/>
              </w:rPr>
              <w:t>843</w:t>
            </w:r>
          </w:p>
        </w:tc>
        <w:tc>
          <w:tcPr>
            <w:tcW w:w="794" w:type="dxa"/>
            <w:shd w:val="clear" w:color="auto" w:fill="DEEAF6"/>
            <w:noWrap/>
            <w:vAlign w:val="bottom"/>
          </w:tcPr>
          <w:p w:rsidR="00C63F8C" w:rsidRPr="001C18C6" w:rsidRDefault="00C63F8C" w:rsidP="00C63F8C">
            <w:pPr>
              <w:spacing w:after="0" w:line="240" w:lineRule="auto"/>
              <w:jc w:val="right"/>
              <w:rPr>
                <w:rFonts w:ascii="Times New Roman" w:eastAsia="Times New Roman" w:hAnsi="Times New Roman" w:cs="Times New Roman"/>
                <w:b/>
                <w:sz w:val="20"/>
                <w:szCs w:val="20"/>
              </w:rPr>
            </w:pPr>
            <w:r w:rsidRPr="001C18C6">
              <w:rPr>
                <w:rFonts w:ascii="Times New Roman" w:eastAsia="Times New Roman" w:hAnsi="Times New Roman" w:cs="Times New Roman"/>
                <w:b/>
                <w:sz w:val="20"/>
                <w:szCs w:val="20"/>
              </w:rPr>
              <w:t>7</w:t>
            </w:r>
            <w:r w:rsidR="005E6CBA">
              <w:rPr>
                <w:rFonts w:ascii="Times New Roman" w:eastAsia="Times New Roman" w:hAnsi="Times New Roman" w:cs="Times New Roman"/>
                <w:b/>
                <w:sz w:val="20"/>
                <w:szCs w:val="20"/>
              </w:rPr>
              <w:t> </w:t>
            </w:r>
            <w:r w:rsidRPr="001C18C6">
              <w:rPr>
                <w:rFonts w:ascii="Times New Roman" w:eastAsia="Times New Roman" w:hAnsi="Times New Roman" w:cs="Times New Roman"/>
                <w:b/>
                <w:sz w:val="20"/>
                <w:szCs w:val="20"/>
              </w:rPr>
              <w:t>216</w:t>
            </w:r>
          </w:p>
        </w:tc>
      </w:tr>
      <w:tr w:rsidR="00C63F8C" w:rsidRPr="001C18C6" w:rsidTr="005E344C">
        <w:trPr>
          <w:trHeight w:val="300"/>
          <w:jc w:val="center"/>
        </w:trPr>
        <w:tc>
          <w:tcPr>
            <w:tcW w:w="2747"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Cs/>
                <w:sz w:val="20"/>
                <w:szCs w:val="20"/>
                <w:lang w:eastAsia="lv-LV"/>
              </w:rPr>
            </w:pPr>
            <w:r w:rsidRPr="001C18C6">
              <w:rPr>
                <w:rFonts w:ascii="Times New Roman" w:eastAsia="Times New Roman" w:hAnsi="Times New Roman" w:cs="Times New Roman"/>
                <w:iCs/>
                <w:sz w:val="20"/>
                <w:szCs w:val="20"/>
              </w:rPr>
              <w:t>Veselības aprūpes pakalpojumu pieejamības uzlabošana</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518</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932</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553</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631</w:t>
            </w:r>
          </w:p>
        </w:tc>
      </w:tr>
      <w:tr w:rsidR="00C63F8C" w:rsidRPr="001C18C6" w:rsidTr="005E344C">
        <w:trPr>
          <w:trHeight w:val="300"/>
          <w:jc w:val="center"/>
        </w:trPr>
        <w:tc>
          <w:tcPr>
            <w:tcW w:w="2747"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Cs/>
                <w:sz w:val="20"/>
                <w:szCs w:val="20"/>
                <w:lang w:eastAsia="lv-LV"/>
              </w:rPr>
            </w:pPr>
            <w:r w:rsidRPr="001C18C6">
              <w:rPr>
                <w:rFonts w:ascii="Times New Roman" w:eastAsia="Times New Roman" w:hAnsi="Times New Roman" w:cs="Times New Roman"/>
                <w:iCs/>
                <w:sz w:val="20"/>
                <w:szCs w:val="20"/>
              </w:rPr>
              <w:t>Onkoloģisko saslimšanu diagnostikas un ārstēšanas pieejamības uzlabošana</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578</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751</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251</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314</w:t>
            </w:r>
          </w:p>
        </w:tc>
      </w:tr>
      <w:tr w:rsidR="00C63F8C" w:rsidRPr="001C18C6" w:rsidTr="005E344C">
        <w:trPr>
          <w:trHeight w:val="300"/>
          <w:jc w:val="center"/>
        </w:trPr>
        <w:tc>
          <w:tcPr>
            <w:tcW w:w="2747"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Cs/>
                <w:sz w:val="20"/>
                <w:szCs w:val="20"/>
                <w:lang w:eastAsia="lv-LV"/>
              </w:rPr>
            </w:pPr>
            <w:r w:rsidRPr="001C18C6">
              <w:rPr>
                <w:rFonts w:ascii="Times New Roman" w:eastAsia="Times New Roman" w:hAnsi="Times New Roman" w:cs="Times New Roman"/>
                <w:iCs/>
                <w:sz w:val="20"/>
                <w:szCs w:val="20"/>
              </w:rPr>
              <w:t>Infekcijas slimību izplatības mazināšana</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534</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181</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645</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2</w:t>
            </w:r>
            <w:r w:rsidR="005E6CBA">
              <w:rPr>
                <w:rFonts w:ascii="Times New Roman" w:eastAsia="Times New Roman" w:hAnsi="Times New Roman" w:cs="Times New Roman"/>
                <w:sz w:val="20"/>
                <w:szCs w:val="20"/>
              </w:rPr>
              <w:t> </w:t>
            </w:r>
            <w:r w:rsidRPr="001C18C6">
              <w:rPr>
                <w:rFonts w:ascii="Times New Roman" w:eastAsia="Times New Roman" w:hAnsi="Times New Roman" w:cs="Times New Roman"/>
                <w:sz w:val="20"/>
                <w:szCs w:val="20"/>
              </w:rPr>
              <w:t>748</w:t>
            </w:r>
          </w:p>
        </w:tc>
      </w:tr>
      <w:tr w:rsidR="00C63F8C" w:rsidRPr="001C18C6" w:rsidTr="005E344C">
        <w:trPr>
          <w:trHeight w:val="300"/>
          <w:jc w:val="center"/>
        </w:trPr>
        <w:tc>
          <w:tcPr>
            <w:tcW w:w="2747"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Cs/>
                <w:sz w:val="20"/>
                <w:szCs w:val="20"/>
                <w:lang w:eastAsia="lv-LV"/>
              </w:rPr>
            </w:pPr>
            <w:r w:rsidRPr="001C18C6">
              <w:rPr>
                <w:rFonts w:ascii="Times New Roman" w:eastAsia="Times New Roman" w:hAnsi="Times New Roman" w:cs="Times New Roman"/>
                <w:iCs/>
                <w:sz w:val="20"/>
                <w:szCs w:val="20"/>
              </w:rPr>
              <w:lastRenderedPageBreak/>
              <w:t>Primārās veselības aprūpes sistēmas kvalitātes un pieejamības uzlabošana</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102</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114</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216</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227</w:t>
            </w:r>
          </w:p>
        </w:tc>
      </w:tr>
      <w:tr w:rsidR="00C63F8C" w:rsidRPr="001C18C6" w:rsidTr="005E344C">
        <w:trPr>
          <w:trHeight w:val="300"/>
          <w:jc w:val="center"/>
        </w:trPr>
        <w:tc>
          <w:tcPr>
            <w:tcW w:w="2747"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Cs/>
                <w:sz w:val="20"/>
                <w:szCs w:val="20"/>
                <w:lang w:eastAsia="lv-LV"/>
              </w:rPr>
            </w:pPr>
            <w:proofErr w:type="spellStart"/>
            <w:r w:rsidRPr="001C18C6">
              <w:rPr>
                <w:rFonts w:ascii="Times New Roman" w:eastAsia="Times New Roman" w:hAnsi="Times New Roman" w:cs="Times New Roman"/>
                <w:iCs/>
                <w:sz w:val="20"/>
                <w:szCs w:val="20"/>
              </w:rPr>
              <w:t>Kardiovaskulārās</w:t>
            </w:r>
            <w:proofErr w:type="spellEnd"/>
            <w:r w:rsidRPr="001C18C6">
              <w:rPr>
                <w:rFonts w:ascii="Times New Roman" w:eastAsia="Times New Roman" w:hAnsi="Times New Roman" w:cs="Times New Roman"/>
                <w:iCs/>
                <w:sz w:val="20"/>
                <w:szCs w:val="20"/>
              </w:rPr>
              <w:t xml:space="preserve"> saslimstības mazināšanai un slimību ārstēšanas efektivitātes uzlabošana</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693</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836</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929</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975</w:t>
            </w:r>
          </w:p>
        </w:tc>
      </w:tr>
      <w:tr w:rsidR="00C63F8C" w:rsidRPr="001C18C6" w:rsidTr="005E344C">
        <w:trPr>
          <w:trHeight w:val="300"/>
          <w:jc w:val="center"/>
        </w:trPr>
        <w:tc>
          <w:tcPr>
            <w:tcW w:w="2747" w:type="dxa"/>
            <w:shd w:val="clear" w:color="auto" w:fill="auto"/>
            <w:noWrap/>
            <w:vAlign w:val="bottom"/>
          </w:tcPr>
          <w:p w:rsidR="00C63F8C" w:rsidRPr="001C18C6" w:rsidRDefault="001C18C6" w:rsidP="00C63F8C">
            <w:pPr>
              <w:spacing w:after="0" w:line="240" w:lineRule="auto"/>
              <w:jc w:val="right"/>
              <w:rPr>
                <w:rFonts w:ascii="Times New Roman" w:eastAsia="Times New Roman" w:hAnsi="Times New Roman" w:cs="Times New Roman"/>
                <w:iCs/>
                <w:sz w:val="20"/>
                <w:szCs w:val="20"/>
              </w:rPr>
            </w:pPr>
            <w:r w:rsidRPr="001C18C6">
              <w:rPr>
                <w:rFonts w:ascii="Times New Roman" w:eastAsia="Times New Roman" w:hAnsi="Times New Roman" w:cs="Times New Roman"/>
                <w:iCs/>
                <w:sz w:val="20"/>
                <w:szCs w:val="20"/>
                <w:lang w:eastAsia="lv-LV"/>
              </w:rPr>
              <w:t xml:space="preserve">Rehabilitācijas pakalpojumu </w:t>
            </w:r>
            <w:r w:rsidR="00C63F8C" w:rsidRPr="001C18C6">
              <w:rPr>
                <w:rFonts w:ascii="Times New Roman" w:eastAsia="Times New Roman" w:hAnsi="Times New Roman" w:cs="Times New Roman"/>
                <w:iCs/>
                <w:sz w:val="20"/>
                <w:szCs w:val="20"/>
                <w:lang w:eastAsia="lv-LV"/>
              </w:rPr>
              <w:t>stratēģiskais iepirkums</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104</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116</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122</w:t>
            </w:r>
          </w:p>
        </w:tc>
      </w:tr>
      <w:tr w:rsidR="00C63F8C" w:rsidRPr="001C18C6" w:rsidTr="005E344C">
        <w:trPr>
          <w:trHeight w:val="300"/>
          <w:jc w:val="center"/>
        </w:trPr>
        <w:tc>
          <w:tcPr>
            <w:tcW w:w="2747"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Cs/>
                <w:sz w:val="20"/>
                <w:szCs w:val="20"/>
              </w:rPr>
            </w:pPr>
            <w:r w:rsidRPr="001C18C6">
              <w:rPr>
                <w:rFonts w:ascii="Times New Roman" w:eastAsia="Times New Roman" w:hAnsi="Times New Roman" w:cs="Times New Roman"/>
                <w:iCs/>
                <w:sz w:val="20"/>
                <w:szCs w:val="20"/>
                <w:lang w:eastAsia="lv-LV"/>
              </w:rPr>
              <w:t>Psihiskās veselības aprūpes uzlabošana</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i/>
                <w:sz w:val="20"/>
                <w:szCs w:val="20"/>
                <w:lang w:eastAsia="lv-LV"/>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66</w:t>
            </w:r>
          </w:p>
        </w:tc>
        <w:tc>
          <w:tcPr>
            <w:tcW w:w="794" w:type="dxa"/>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133</w:t>
            </w:r>
          </w:p>
        </w:tc>
        <w:tc>
          <w:tcPr>
            <w:tcW w:w="794" w:type="dxa"/>
            <w:shd w:val="clear" w:color="auto" w:fill="auto"/>
            <w:noWrap/>
            <w:vAlign w:val="bottom"/>
          </w:tcPr>
          <w:p w:rsidR="00C63F8C" w:rsidRPr="001C18C6" w:rsidRDefault="00C63F8C" w:rsidP="00C63F8C">
            <w:pPr>
              <w:spacing w:after="0" w:line="240" w:lineRule="auto"/>
              <w:jc w:val="right"/>
              <w:rPr>
                <w:rFonts w:ascii="Times New Roman" w:eastAsia="Times New Roman" w:hAnsi="Times New Roman" w:cs="Times New Roman"/>
                <w:sz w:val="20"/>
                <w:szCs w:val="20"/>
              </w:rPr>
            </w:pPr>
            <w:r w:rsidRPr="001C18C6">
              <w:rPr>
                <w:rFonts w:ascii="Times New Roman" w:eastAsia="Times New Roman" w:hAnsi="Times New Roman" w:cs="Times New Roman"/>
                <w:sz w:val="20"/>
                <w:szCs w:val="20"/>
              </w:rPr>
              <w:t>199</w:t>
            </w:r>
          </w:p>
        </w:tc>
      </w:tr>
    </w:tbl>
    <w:p w:rsidR="00D61DDC" w:rsidRDefault="00D61DDC" w:rsidP="00D61DDC">
      <w:pPr>
        <w:autoSpaceDE w:val="0"/>
        <w:autoSpaceDN w:val="0"/>
        <w:adjustRightInd w:val="0"/>
        <w:spacing w:after="0" w:line="240" w:lineRule="auto"/>
        <w:ind w:firstLine="720"/>
        <w:jc w:val="right"/>
        <w:rPr>
          <w:rFonts w:ascii="Times New Roman" w:eastAsia="Times New Roman" w:hAnsi="Times New Roman" w:cs="Times New Roman"/>
          <w:i/>
          <w:iCs/>
          <w:sz w:val="20"/>
          <w:szCs w:val="20"/>
        </w:rPr>
      </w:pPr>
      <w:r w:rsidRPr="00C63F8C">
        <w:rPr>
          <w:rFonts w:ascii="Times New Roman" w:eastAsia="Times New Roman" w:hAnsi="Times New Roman" w:cs="Times New Roman"/>
          <w:i/>
          <w:iCs/>
          <w:sz w:val="20"/>
          <w:szCs w:val="20"/>
        </w:rPr>
        <w:t>Avots: V</w:t>
      </w:r>
      <w:r>
        <w:rPr>
          <w:rFonts w:ascii="Times New Roman" w:eastAsia="Times New Roman" w:hAnsi="Times New Roman" w:cs="Times New Roman"/>
          <w:i/>
          <w:iCs/>
          <w:sz w:val="20"/>
          <w:szCs w:val="20"/>
        </w:rPr>
        <w:t>eselības ministrija</w:t>
      </w:r>
      <w:r w:rsidRPr="00C63F8C">
        <w:rPr>
          <w:rFonts w:ascii="Times New Roman" w:eastAsia="Times New Roman" w:hAnsi="Times New Roman" w:cs="Times New Roman"/>
          <w:i/>
          <w:iCs/>
          <w:sz w:val="20"/>
          <w:szCs w:val="20"/>
        </w:rPr>
        <w:t xml:space="preserve"> un </w:t>
      </w:r>
      <w:r w:rsidRPr="00845D85">
        <w:rPr>
          <w:rFonts w:ascii="Times New Roman" w:eastAsia="Times New Roman" w:hAnsi="Times New Roman" w:cs="Times New Roman"/>
          <w:i/>
          <w:iCs/>
          <w:sz w:val="20"/>
          <w:szCs w:val="20"/>
        </w:rPr>
        <w:t>Slimību profilakses un kontroles centrs</w:t>
      </w:r>
      <w:r w:rsidRPr="00C63F8C" w:rsidDel="00A44A19">
        <w:rPr>
          <w:rFonts w:ascii="Times New Roman" w:eastAsia="Times New Roman" w:hAnsi="Times New Roman" w:cs="Times New Roman"/>
          <w:i/>
          <w:iCs/>
          <w:sz w:val="20"/>
          <w:szCs w:val="20"/>
        </w:rPr>
        <w:t xml:space="preserve"> </w:t>
      </w:r>
    </w:p>
    <w:p w:rsidR="00D61DDC" w:rsidRDefault="00D61DDC" w:rsidP="00D61DDC">
      <w:pPr>
        <w:autoSpaceDE w:val="0"/>
        <w:autoSpaceDN w:val="0"/>
        <w:adjustRightInd w:val="0"/>
        <w:spacing w:after="0" w:line="240" w:lineRule="auto"/>
        <w:ind w:firstLine="720"/>
        <w:jc w:val="right"/>
        <w:rPr>
          <w:rFonts w:ascii="Times New Roman" w:eastAsia="Times New Roman" w:hAnsi="Times New Roman" w:cs="Times New Roman"/>
          <w:i/>
          <w:iCs/>
          <w:sz w:val="20"/>
          <w:szCs w:val="20"/>
        </w:rPr>
      </w:pPr>
    </w:p>
    <w:p w:rsidR="00C63F8C" w:rsidRDefault="005E6CBA" w:rsidP="005379D9">
      <w:pPr>
        <w:autoSpaceDE w:val="0"/>
        <w:autoSpaceDN w:val="0"/>
        <w:adjustRightInd w:val="0"/>
        <w:spacing w:after="0" w:line="240" w:lineRule="auto"/>
        <w:ind w:firstLine="720"/>
        <w:jc w:val="both"/>
        <w:rPr>
          <w:rFonts w:ascii="Times New Roman" w:hAnsi="Times New Roman" w:cs="Times New Roman"/>
          <w:noProof/>
          <w:sz w:val="24"/>
          <w:szCs w:val="24"/>
          <w:lang w:eastAsia="lv-LV"/>
        </w:rPr>
      </w:pPr>
      <w:r w:rsidRPr="00784F48">
        <w:rPr>
          <w:rFonts w:ascii="Times New Roman" w:hAnsi="Times New Roman" w:cs="Times New Roman"/>
          <w:noProof/>
          <w:sz w:val="24"/>
          <w:szCs w:val="24"/>
          <w:lang w:eastAsia="lv-LV"/>
        </w:rPr>
        <w:t xml:space="preserve">Iepriekšējās </w:t>
      </w:r>
      <w:r>
        <w:rPr>
          <w:rFonts w:ascii="Times New Roman" w:hAnsi="Times New Roman" w:cs="Times New Roman"/>
          <w:noProof/>
          <w:sz w:val="24"/>
          <w:szCs w:val="24"/>
          <w:lang w:eastAsia="lv-LV"/>
        </w:rPr>
        <w:t>trijās</w:t>
      </w:r>
      <w:r w:rsidRPr="00784F48">
        <w:rPr>
          <w:rFonts w:ascii="Times New Roman" w:hAnsi="Times New Roman" w:cs="Times New Roman"/>
          <w:noProof/>
          <w:sz w:val="24"/>
          <w:szCs w:val="24"/>
          <w:lang w:eastAsia="lv-LV"/>
        </w:rPr>
        <w:t xml:space="preserve"> Stabilitātes programmās tika iekļauts </w:t>
      </w:r>
      <w:r w:rsidRPr="00784F48">
        <w:rPr>
          <w:rFonts w:ascii="Times New Roman" w:hAnsi="Times New Roman" w:cs="Times New Roman"/>
          <w:sz w:val="24"/>
          <w:szCs w:val="24"/>
        </w:rPr>
        <w:t>“Sabiedrības veselības pamatnostādnēm 2014.</w:t>
      </w:r>
      <w:r w:rsidR="00982146" w:rsidRPr="009B0F5F">
        <w:rPr>
          <w:rFonts w:ascii="Times New Roman" w:eastAsia="Times New Roman" w:hAnsi="Times New Roman" w:cs="Times New Roman"/>
          <w:noProof/>
          <w:color w:val="000000"/>
          <w:sz w:val="24"/>
          <w:szCs w:val="24"/>
        </w:rPr>
        <w:t xml:space="preserve"> – </w:t>
      </w:r>
      <w:r w:rsidRPr="00784F48">
        <w:rPr>
          <w:rFonts w:ascii="Times New Roman" w:hAnsi="Times New Roman" w:cs="Times New Roman"/>
          <w:sz w:val="24"/>
          <w:szCs w:val="24"/>
        </w:rPr>
        <w:t xml:space="preserve">2020.gadam” </w:t>
      </w:r>
      <w:r w:rsidRPr="00784F48">
        <w:rPr>
          <w:rFonts w:ascii="Times New Roman" w:hAnsi="Times New Roman" w:cs="Times New Roman"/>
          <w:noProof/>
          <w:sz w:val="24"/>
          <w:szCs w:val="24"/>
          <w:lang w:eastAsia="lv-LV"/>
        </w:rPr>
        <w:t>fiskālās ietekmes novērtējums. Atbilstoši šajā Stabilitātes programmā tiek</w:t>
      </w:r>
      <w:r>
        <w:rPr>
          <w:rFonts w:ascii="Times New Roman" w:hAnsi="Times New Roman" w:cs="Times New Roman"/>
          <w:noProof/>
          <w:sz w:val="24"/>
          <w:szCs w:val="24"/>
          <w:lang w:eastAsia="lv-LV"/>
        </w:rPr>
        <w:t xml:space="preserve"> </w:t>
      </w:r>
      <w:r w:rsidRPr="00784F48">
        <w:rPr>
          <w:rFonts w:ascii="Times New Roman" w:hAnsi="Times New Roman" w:cs="Times New Roman"/>
          <w:noProof/>
          <w:sz w:val="24"/>
          <w:szCs w:val="24"/>
          <w:lang w:eastAsia="lv-LV"/>
        </w:rPr>
        <w:t>aktualizēts fiskālās ietekmes novērtējums, ņemot vērā precizēto izdevumu apjomu 201</w:t>
      </w:r>
      <w:r>
        <w:rPr>
          <w:rFonts w:ascii="Times New Roman" w:hAnsi="Times New Roman" w:cs="Times New Roman"/>
          <w:noProof/>
          <w:sz w:val="24"/>
          <w:szCs w:val="24"/>
          <w:lang w:eastAsia="lv-LV"/>
        </w:rPr>
        <w:t>8</w:t>
      </w:r>
      <w:r w:rsidRPr="00784F48">
        <w:rPr>
          <w:rFonts w:ascii="Times New Roman" w:hAnsi="Times New Roman" w:cs="Times New Roman"/>
          <w:noProof/>
          <w:sz w:val="24"/>
          <w:szCs w:val="24"/>
          <w:lang w:eastAsia="lv-LV"/>
        </w:rPr>
        <w:t xml:space="preserve">.gadā un precizētās prognozes </w:t>
      </w:r>
      <w:r w:rsidR="005379D9" w:rsidRPr="00784F48">
        <w:rPr>
          <w:rFonts w:ascii="Times New Roman" w:hAnsi="Times New Roman" w:cs="Times New Roman"/>
          <w:noProof/>
          <w:sz w:val="24"/>
          <w:szCs w:val="24"/>
          <w:lang w:eastAsia="lv-LV"/>
        </w:rPr>
        <w:t>201</w:t>
      </w:r>
      <w:r w:rsidR="005379D9">
        <w:rPr>
          <w:rFonts w:ascii="Times New Roman" w:hAnsi="Times New Roman" w:cs="Times New Roman"/>
          <w:noProof/>
          <w:sz w:val="24"/>
          <w:szCs w:val="24"/>
          <w:lang w:eastAsia="lv-LV"/>
        </w:rPr>
        <w:t>9.</w:t>
      </w:r>
      <w:r w:rsidR="005379D9" w:rsidRPr="009B0F5F">
        <w:rPr>
          <w:rFonts w:ascii="Times New Roman" w:eastAsia="Times New Roman" w:hAnsi="Times New Roman" w:cs="Times New Roman"/>
          <w:noProof/>
          <w:color w:val="000000"/>
          <w:sz w:val="24"/>
          <w:szCs w:val="24"/>
        </w:rPr>
        <w:t xml:space="preserve"> – </w:t>
      </w:r>
      <w:r w:rsidR="005379D9">
        <w:rPr>
          <w:rFonts w:ascii="Times New Roman" w:hAnsi="Times New Roman" w:cs="Times New Roman"/>
          <w:noProof/>
          <w:sz w:val="24"/>
          <w:szCs w:val="24"/>
          <w:lang w:eastAsia="lv-LV"/>
        </w:rPr>
        <w:t>2022.</w:t>
      </w:r>
      <w:r w:rsidR="005379D9" w:rsidRPr="00784F48">
        <w:rPr>
          <w:rFonts w:ascii="Times New Roman" w:hAnsi="Times New Roman" w:cs="Times New Roman"/>
          <w:noProof/>
          <w:sz w:val="24"/>
          <w:szCs w:val="24"/>
          <w:lang w:eastAsia="lv-LV"/>
        </w:rPr>
        <w:t>gad</w:t>
      </w:r>
      <w:r w:rsidR="005379D9">
        <w:rPr>
          <w:rFonts w:ascii="Times New Roman" w:hAnsi="Times New Roman" w:cs="Times New Roman"/>
          <w:noProof/>
          <w:sz w:val="24"/>
          <w:szCs w:val="24"/>
          <w:lang w:eastAsia="lv-LV"/>
        </w:rPr>
        <w:t>iem</w:t>
      </w:r>
      <w:r w:rsidR="005379D9" w:rsidRPr="00784F48">
        <w:rPr>
          <w:rFonts w:ascii="Times New Roman" w:hAnsi="Times New Roman" w:cs="Times New Roman"/>
          <w:noProof/>
          <w:sz w:val="24"/>
          <w:szCs w:val="24"/>
          <w:lang w:eastAsia="lv-LV"/>
        </w:rPr>
        <w:t>.</w:t>
      </w:r>
    </w:p>
    <w:p w:rsidR="006A5EC3" w:rsidRDefault="006A5EC3" w:rsidP="005379D9">
      <w:pPr>
        <w:autoSpaceDE w:val="0"/>
        <w:autoSpaceDN w:val="0"/>
        <w:adjustRightInd w:val="0"/>
        <w:spacing w:after="0" w:line="240" w:lineRule="auto"/>
        <w:ind w:firstLine="720"/>
        <w:jc w:val="both"/>
        <w:rPr>
          <w:rFonts w:ascii="Times New Roman" w:hAnsi="Times New Roman" w:cs="Times New Roman"/>
          <w:noProof/>
          <w:sz w:val="24"/>
          <w:szCs w:val="24"/>
          <w:lang w:eastAsia="lv-LV"/>
        </w:rPr>
      </w:pPr>
    </w:p>
    <w:p w:rsidR="006A5EC3" w:rsidRPr="00B83698" w:rsidRDefault="006A5EC3" w:rsidP="006A5EC3">
      <w:pPr>
        <w:autoSpaceDE w:val="0"/>
        <w:autoSpaceDN w:val="0"/>
        <w:adjustRightInd w:val="0"/>
        <w:spacing w:after="0" w:line="240" w:lineRule="auto"/>
        <w:ind w:firstLine="720"/>
        <w:jc w:val="right"/>
        <w:rPr>
          <w:rFonts w:ascii="Times New Roman" w:hAnsi="Times New Roman" w:cs="Times New Roman"/>
          <w:b/>
          <w:sz w:val="24"/>
          <w:szCs w:val="24"/>
        </w:rPr>
      </w:pPr>
      <w:r w:rsidRPr="007E1678">
        <w:rPr>
          <w:rFonts w:ascii="Times New Roman" w:hAnsi="Times New Roman" w:cs="Times New Roman"/>
          <w:b/>
          <w:noProof/>
          <w:sz w:val="24"/>
          <w:szCs w:val="24"/>
          <w:lang w:eastAsia="lv-LV"/>
        </w:rPr>
        <w:t>3.</w:t>
      </w:r>
      <w:r w:rsidR="0040629E">
        <w:rPr>
          <w:rFonts w:ascii="Times New Roman" w:hAnsi="Times New Roman" w:cs="Times New Roman"/>
          <w:b/>
          <w:noProof/>
          <w:sz w:val="24"/>
          <w:szCs w:val="24"/>
          <w:lang w:eastAsia="lv-LV"/>
        </w:rPr>
        <w:t>8</w:t>
      </w:r>
      <w:r w:rsidRPr="007E1678">
        <w:rPr>
          <w:rFonts w:ascii="Times New Roman" w:hAnsi="Times New Roman" w:cs="Times New Roman"/>
          <w:b/>
          <w:noProof/>
          <w:sz w:val="24"/>
          <w:szCs w:val="24"/>
          <w:lang w:eastAsia="lv-LV"/>
        </w:rPr>
        <w:t xml:space="preserve">.tabula. </w:t>
      </w:r>
      <w:r w:rsidRPr="00784F48">
        <w:rPr>
          <w:rFonts w:ascii="Times New Roman" w:hAnsi="Times New Roman" w:cs="Times New Roman"/>
          <w:b/>
          <w:sz w:val="24"/>
          <w:szCs w:val="24"/>
        </w:rPr>
        <w:t>“Sabiedrības veselības pamatnostādnēm 2014.</w:t>
      </w:r>
      <w:r w:rsidRPr="009B0F5F">
        <w:rPr>
          <w:rFonts w:ascii="Times New Roman" w:eastAsia="Times New Roman" w:hAnsi="Times New Roman" w:cs="Times New Roman"/>
          <w:noProof/>
          <w:color w:val="000000"/>
          <w:sz w:val="24"/>
          <w:szCs w:val="24"/>
        </w:rPr>
        <w:t xml:space="preserve"> – </w:t>
      </w:r>
      <w:r w:rsidRPr="00784F48">
        <w:rPr>
          <w:rFonts w:ascii="Times New Roman" w:hAnsi="Times New Roman" w:cs="Times New Roman"/>
          <w:b/>
          <w:sz w:val="24"/>
          <w:szCs w:val="24"/>
        </w:rPr>
        <w:t xml:space="preserve">2020.gadam” makroekonomiskās ietekmes </w:t>
      </w:r>
      <w:r>
        <w:rPr>
          <w:rFonts w:ascii="Times New Roman" w:hAnsi="Times New Roman" w:cs="Times New Roman"/>
          <w:b/>
          <w:sz w:val="24"/>
          <w:szCs w:val="24"/>
        </w:rPr>
        <w:t>aktualizētais</w:t>
      </w:r>
      <w:r w:rsidRPr="00784F48">
        <w:rPr>
          <w:rFonts w:ascii="Times New Roman" w:hAnsi="Times New Roman" w:cs="Times New Roman"/>
          <w:b/>
          <w:sz w:val="24"/>
          <w:szCs w:val="24"/>
        </w:rPr>
        <w:t xml:space="preserve"> novērtējums</w:t>
      </w:r>
    </w:p>
    <w:tbl>
      <w:tblPr>
        <w:tblStyle w:val="GridTable6Colorful-Accent1"/>
        <w:tblW w:w="9180" w:type="dxa"/>
        <w:tblLayout w:type="fixed"/>
        <w:tblLook w:val="04A0" w:firstRow="1" w:lastRow="0" w:firstColumn="1" w:lastColumn="0" w:noHBand="0" w:noVBand="1"/>
      </w:tblPr>
      <w:tblGrid>
        <w:gridCol w:w="3432"/>
        <w:gridCol w:w="1190"/>
        <w:gridCol w:w="1191"/>
        <w:gridCol w:w="1190"/>
        <w:gridCol w:w="1191"/>
        <w:gridCol w:w="986"/>
      </w:tblGrid>
      <w:tr w:rsidR="006A5EC3" w:rsidRPr="001746FF" w:rsidTr="00DB1AEB">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432" w:type="dxa"/>
            <w:tcBorders>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tcPr>
          <w:p w:rsidR="006A5EC3" w:rsidRPr="009C12EB" w:rsidRDefault="006A5EC3" w:rsidP="00DB1AEB">
            <w:pPr>
              <w:jc w:val="center"/>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Makroekonomiskie rādītāji</w:t>
            </w:r>
          </w:p>
        </w:tc>
        <w:tc>
          <w:tcPr>
            <w:tcW w:w="5748" w:type="dxa"/>
            <w:gridSpan w:val="5"/>
            <w:tcBorders>
              <w:left w:val="single" w:sz="4" w:space="0" w:color="9CC2E5" w:themeColor="accent1" w:themeTint="99"/>
              <w:bottom w:val="single" w:sz="4" w:space="0" w:color="9CC2E5" w:themeColor="accent1" w:themeTint="99"/>
            </w:tcBorders>
            <w:shd w:val="clear" w:color="auto" w:fill="auto"/>
            <w:vAlign w:val="center"/>
          </w:tcPr>
          <w:p w:rsidR="006A5EC3" w:rsidRPr="009C12EB" w:rsidRDefault="006A5EC3" w:rsidP="00DB1A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Ikgadējā un kumulatīvā ietekme uz IKP un citiem galvenajiem makroekonomiskajiem mainīgajiem</w:t>
            </w:r>
            <w:r w:rsidRPr="009C12EB">
              <w:rPr>
                <w:rFonts w:ascii="Times New Roman" w:hAnsi="Times New Roman" w:cs="Times New Roman"/>
                <w:color w:val="000000" w:themeColor="text1"/>
                <w:sz w:val="20"/>
                <w:szCs w:val="20"/>
                <w:vertAlign w:val="superscript"/>
              </w:rPr>
              <w:footnoteReference w:id="11"/>
            </w:r>
          </w:p>
        </w:tc>
      </w:tr>
      <w:tr w:rsidR="00DB1AEB" w:rsidRPr="001746FF" w:rsidTr="002F52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2" w:type="dxa"/>
            <w:tcBorders>
              <w:top w:val="single" w:sz="4" w:space="0" w:color="9CC2E5" w:themeColor="accent1" w:themeTint="99"/>
            </w:tcBorders>
            <w:shd w:val="clear" w:color="auto" w:fill="DEEAF6"/>
          </w:tcPr>
          <w:p w:rsidR="006A5EC3" w:rsidRPr="009C12EB" w:rsidRDefault="006A5EC3" w:rsidP="00DB1AEB">
            <w:pPr>
              <w:rPr>
                <w:rFonts w:ascii="Times New Roman" w:hAnsi="Times New Roman" w:cs="Times New Roman"/>
                <w:color w:val="000000" w:themeColor="text1"/>
                <w:sz w:val="20"/>
                <w:szCs w:val="20"/>
              </w:rPr>
            </w:pPr>
          </w:p>
        </w:tc>
        <w:tc>
          <w:tcPr>
            <w:tcW w:w="1190" w:type="dxa"/>
            <w:tcBorders>
              <w:top w:val="single" w:sz="4" w:space="0" w:color="9CC2E5" w:themeColor="accent1" w:themeTint="99"/>
            </w:tcBorders>
            <w:shd w:val="clear" w:color="auto" w:fill="DEEAF6"/>
            <w:vAlign w:val="center"/>
          </w:tcPr>
          <w:p w:rsidR="006A5EC3" w:rsidRPr="009C12EB" w:rsidRDefault="006A5EC3" w:rsidP="00DB1A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b/>
                <w:bCs/>
                <w:color w:val="000000" w:themeColor="text1"/>
                <w:sz w:val="20"/>
                <w:szCs w:val="20"/>
              </w:rPr>
              <w:t>X</w:t>
            </w:r>
            <w:r w:rsidRPr="009C12EB">
              <w:rPr>
                <w:rFonts w:ascii="Times New Roman" w:hAnsi="Times New Roman" w:cs="Times New Roman"/>
                <w:color w:val="000000" w:themeColor="text1"/>
                <w:sz w:val="20"/>
                <w:szCs w:val="20"/>
                <w:vertAlign w:val="superscript"/>
              </w:rPr>
              <w:footnoteReference w:id="12"/>
            </w:r>
            <w:r w:rsidRPr="009C12EB">
              <w:rPr>
                <w:rFonts w:ascii="Times New Roman" w:hAnsi="Times New Roman" w:cs="Times New Roman"/>
                <w:b/>
                <w:bCs/>
                <w:color w:val="000000" w:themeColor="text1"/>
                <w:sz w:val="20"/>
                <w:szCs w:val="20"/>
              </w:rPr>
              <w:t>+5 gadi</w:t>
            </w:r>
          </w:p>
        </w:tc>
        <w:tc>
          <w:tcPr>
            <w:tcW w:w="1191" w:type="dxa"/>
            <w:tcBorders>
              <w:top w:val="single" w:sz="4" w:space="0" w:color="9CC2E5" w:themeColor="accent1" w:themeTint="99"/>
            </w:tcBorders>
            <w:shd w:val="clear" w:color="auto" w:fill="DEEAF6"/>
            <w:vAlign w:val="center"/>
          </w:tcPr>
          <w:p w:rsidR="006A5EC3" w:rsidRPr="009C12EB" w:rsidRDefault="006A5EC3" w:rsidP="00DB1A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b/>
                <w:bCs/>
                <w:color w:val="000000" w:themeColor="text1"/>
                <w:sz w:val="20"/>
                <w:szCs w:val="20"/>
              </w:rPr>
              <w:t>X+10 gadi</w:t>
            </w:r>
          </w:p>
        </w:tc>
        <w:tc>
          <w:tcPr>
            <w:tcW w:w="1190" w:type="dxa"/>
            <w:tcBorders>
              <w:top w:val="single" w:sz="4" w:space="0" w:color="9CC2E5" w:themeColor="accent1" w:themeTint="99"/>
            </w:tcBorders>
            <w:shd w:val="clear" w:color="auto" w:fill="DEEAF6"/>
            <w:vAlign w:val="center"/>
          </w:tcPr>
          <w:p w:rsidR="006A5EC3" w:rsidRPr="009C12EB" w:rsidRDefault="006A5EC3" w:rsidP="00DB1A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9C12EB">
              <w:rPr>
                <w:rFonts w:ascii="Times New Roman" w:hAnsi="Times New Roman" w:cs="Times New Roman"/>
                <w:b/>
                <w:bCs/>
                <w:color w:val="000000" w:themeColor="text1"/>
                <w:sz w:val="20"/>
                <w:szCs w:val="20"/>
              </w:rPr>
              <w:t>X+15 gadi</w:t>
            </w:r>
          </w:p>
        </w:tc>
        <w:tc>
          <w:tcPr>
            <w:tcW w:w="1191" w:type="dxa"/>
            <w:tcBorders>
              <w:top w:val="single" w:sz="4" w:space="0" w:color="9CC2E5" w:themeColor="accent1" w:themeTint="99"/>
            </w:tcBorders>
            <w:shd w:val="clear" w:color="auto" w:fill="DEEAF6"/>
            <w:vAlign w:val="center"/>
          </w:tcPr>
          <w:p w:rsidR="006A5EC3" w:rsidRPr="009C12EB" w:rsidRDefault="006A5EC3" w:rsidP="00DB1A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b/>
                <w:bCs/>
                <w:color w:val="000000" w:themeColor="text1"/>
                <w:sz w:val="20"/>
                <w:szCs w:val="20"/>
              </w:rPr>
              <w:t>X+20 gadi</w:t>
            </w:r>
          </w:p>
        </w:tc>
        <w:tc>
          <w:tcPr>
            <w:tcW w:w="986" w:type="dxa"/>
            <w:tcBorders>
              <w:top w:val="single" w:sz="4" w:space="0" w:color="9CC2E5" w:themeColor="accent1" w:themeTint="99"/>
            </w:tcBorders>
            <w:shd w:val="clear" w:color="auto" w:fill="DEEAF6"/>
            <w:vAlign w:val="center"/>
          </w:tcPr>
          <w:p w:rsidR="006A5EC3" w:rsidRPr="009C12EB" w:rsidRDefault="006A5EC3" w:rsidP="00DB1A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b/>
                <w:bCs/>
                <w:color w:val="000000" w:themeColor="text1"/>
                <w:sz w:val="20"/>
                <w:szCs w:val="20"/>
              </w:rPr>
              <w:t>X+25 gadi</w:t>
            </w:r>
          </w:p>
        </w:tc>
      </w:tr>
      <w:tr w:rsidR="006A5EC3" w:rsidRPr="001746FF" w:rsidTr="00DB1AEB">
        <w:trPr>
          <w:trHeight w:val="252"/>
        </w:trPr>
        <w:tc>
          <w:tcPr>
            <w:cnfStyle w:val="001000000000" w:firstRow="0" w:lastRow="0" w:firstColumn="1" w:lastColumn="0" w:oddVBand="0" w:evenVBand="0" w:oddHBand="0" w:evenHBand="0" w:firstRowFirstColumn="0" w:firstRowLastColumn="0" w:lastRowFirstColumn="0" w:lastRowLastColumn="0"/>
            <w:tcW w:w="3432" w:type="dxa"/>
            <w:vAlign w:val="center"/>
          </w:tcPr>
          <w:p w:rsidR="006A5EC3" w:rsidRPr="009C12EB" w:rsidRDefault="006A5EC3" w:rsidP="00DB1AEB">
            <w:pPr>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IKP</w:t>
            </w:r>
            <w:r w:rsidRPr="009C12EB">
              <w:rPr>
                <w:rFonts w:ascii="Times New Roman" w:hAnsi="Times New Roman" w:cs="Times New Roman"/>
                <w:color w:val="000000" w:themeColor="text1"/>
                <w:sz w:val="20"/>
                <w:szCs w:val="20"/>
                <w:vertAlign w:val="superscript"/>
              </w:rPr>
              <w:footnoteReference w:id="13"/>
            </w:r>
          </w:p>
        </w:tc>
        <w:tc>
          <w:tcPr>
            <w:tcW w:w="1190"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0,55%</w:t>
            </w:r>
          </w:p>
        </w:tc>
        <w:tc>
          <w:tcPr>
            <w:tcW w:w="1191"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2,21%</w:t>
            </w:r>
          </w:p>
        </w:tc>
        <w:tc>
          <w:tcPr>
            <w:tcW w:w="1190"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4,78%</w:t>
            </w:r>
          </w:p>
        </w:tc>
        <w:tc>
          <w:tcPr>
            <w:tcW w:w="1191"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7,88%</w:t>
            </w:r>
          </w:p>
        </w:tc>
        <w:tc>
          <w:tcPr>
            <w:tcW w:w="986"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11,26%</w:t>
            </w:r>
          </w:p>
        </w:tc>
      </w:tr>
      <w:tr w:rsidR="00DB1AEB" w:rsidRPr="001746FF" w:rsidTr="002F52B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32" w:type="dxa"/>
            <w:shd w:val="clear" w:color="auto" w:fill="DEEAF6"/>
            <w:vAlign w:val="center"/>
          </w:tcPr>
          <w:p w:rsidR="006A5EC3" w:rsidRPr="009C12EB" w:rsidRDefault="006A5EC3" w:rsidP="00DB1AEB">
            <w:pPr>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Bruto pamatkapitāla veidošanās</w:t>
            </w:r>
          </w:p>
        </w:tc>
        <w:tc>
          <w:tcPr>
            <w:tcW w:w="1190"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w:t>
            </w:r>
          </w:p>
        </w:tc>
        <w:tc>
          <w:tcPr>
            <w:tcW w:w="1191"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w:t>
            </w:r>
          </w:p>
        </w:tc>
        <w:tc>
          <w:tcPr>
            <w:tcW w:w="1190"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w:t>
            </w:r>
          </w:p>
        </w:tc>
        <w:tc>
          <w:tcPr>
            <w:tcW w:w="1191"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w:t>
            </w:r>
          </w:p>
        </w:tc>
        <w:tc>
          <w:tcPr>
            <w:tcW w:w="986"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w:t>
            </w:r>
          </w:p>
        </w:tc>
      </w:tr>
      <w:tr w:rsidR="006A5EC3" w:rsidRPr="001746FF" w:rsidTr="00DB1AEB">
        <w:trPr>
          <w:trHeight w:val="252"/>
        </w:trPr>
        <w:tc>
          <w:tcPr>
            <w:cnfStyle w:val="001000000000" w:firstRow="0" w:lastRow="0" w:firstColumn="1" w:lastColumn="0" w:oddVBand="0" w:evenVBand="0" w:oddHBand="0" w:evenHBand="0" w:firstRowFirstColumn="0" w:firstRowLastColumn="0" w:lastRowFirstColumn="0" w:lastRowLastColumn="0"/>
            <w:tcW w:w="3432" w:type="dxa"/>
            <w:vAlign w:val="center"/>
          </w:tcPr>
          <w:p w:rsidR="006A5EC3" w:rsidRPr="009C12EB" w:rsidRDefault="006A5EC3" w:rsidP="00DB1AEB">
            <w:pPr>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Nodarbinātība</w:t>
            </w:r>
            <w:r w:rsidRPr="009C12EB">
              <w:rPr>
                <w:rFonts w:ascii="Times New Roman" w:hAnsi="Times New Roman" w:cs="Times New Roman"/>
                <w:color w:val="000000" w:themeColor="text1"/>
                <w:sz w:val="20"/>
                <w:szCs w:val="20"/>
                <w:vertAlign w:val="superscript"/>
              </w:rPr>
              <w:footnoteReference w:id="14"/>
            </w:r>
          </w:p>
        </w:tc>
        <w:tc>
          <w:tcPr>
            <w:tcW w:w="1190"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0,24%</w:t>
            </w:r>
          </w:p>
        </w:tc>
        <w:tc>
          <w:tcPr>
            <w:tcW w:w="1191"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0,62%</w:t>
            </w:r>
          </w:p>
        </w:tc>
        <w:tc>
          <w:tcPr>
            <w:tcW w:w="1190"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1,02%</w:t>
            </w:r>
          </w:p>
        </w:tc>
        <w:tc>
          <w:tcPr>
            <w:tcW w:w="1191"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1,41%</w:t>
            </w:r>
          </w:p>
        </w:tc>
        <w:tc>
          <w:tcPr>
            <w:tcW w:w="986"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1,81%</w:t>
            </w:r>
          </w:p>
        </w:tc>
      </w:tr>
      <w:tr w:rsidR="00DB1AEB" w:rsidRPr="001746FF" w:rsidTr="002F52B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432" w:type="dxa"/>
            <w:shd w:val="clear" w:color="auto" w:fill="DEEAF6"/>
            <w:vAlign w:val="center"/>
          </w:tcPr>
          <w:p w:rsidR="006A5EC3" w:rsidRPr="009C12EB" w:rsidRDefault="006A5EC3" w:rsidP="00DB1AEB">
            <w:pPr>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Tiešā fiskālā ietekme uz primāro bilanci (10)</w:t>
            </w:r>
            <w:r w:rsidRPr="009C12EB">
              <w:rPr>
                <w:rFonts w:ascii="Times New Roman" w:hAnsi="Times New Roman" w:cs="Times New Roman"/>
                <w:color w:val="000000" w:themeColor="text1"/>
                <w:sz w:val="20"/>
                <w:szCs w:val="20"/>
                <w:vertAlign w:val="superscript"/>
              </w:rPr>
              <w:footnoteReference w:id="15"/>
            </w:r>
          </w:p>
        </w:tc>
        <w:tc>
          <w:tcPr>
            <w:tcW w:w="1190"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-0,3</w:t>
            </w:r>
            <w:r>
              <w:rPr>
                <w:rFonts w:ascii="Times New Roman" w:hAnsi="Times New Roman" w:cs="Times New Roman"/>
                <w:color w:val="000000" w:themeColor="text1"/>
                <w:sz w:val="20"/>
                <w:szCs w:val="20"/>
              </w:rPr>
              <w:t>7</w:t>
            </w:r>
            <w:r w:rsidRPr="009C12EB">
              <w:rPr>
                <w:rFonts w:ascii="Times New Roman" w:hAnsi="Times New Roman" w:cs="Times New Roman"/>
                <w:color w:val="000000" w:themeColor="text1"/>
                <w:sz w:val="20"/>
                <w:szCs w:val="20"/>
              </w:rPr>
              <w:t>%</w:t>
            </w:r>
          </w:p>
        </w:tc>
        <w:tc>
          <w:tcPr>
            <w:tcW w:w="1191"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89</w:t>
            </w:r>
            <w:r w:rsidRPr="009C12EB">
              <w:rPr>
                <w:rFonts w:ascii="Times New Roman" w:hAnsi="Times New Roman" w:cs="Times New Roman"/>
                <w:color w:val="000000" w:themeColor="text1"/>
                <w:sz w:val="20"/>
                <w:szCs w:val="20"/>
              </w:rPr>
              <w:t>%</w:t>
            </w:r>
          </w:p>
        </w:tc>
        <w:tc>
          <w:tcPr>
            <w:tcW w:w="1190"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82</w:t>
            </w:r>
            <w:r w:rsidRPr="009C12EB">
              <w:rPr>
                <w:rFonts w:ascii="Times New Roman" w:hAnsi="Times New Roman" w:cs="Times New Roman"/>
                <w:color w:val="000000" w:themeColor="text1"/>
                <w:sz w:val="20"/>
                <w:szCs w:val="20"/>
              </w:rPr>
              <w:t>%</w:t>
            </w:r>
          </w:p>
        </w:tc>
        <w:tc>
          <w:tcPr>
            <w:tcW w:w="1191"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w:t>
            </w:r>
            <w:r w:rsidRPr="009C12EB">
              <w:rPr>
                <w:rFonts w:ascii="Times New Roman" w:hAnsi="Times New Roman" w:cs="Times New Roman"/>
                <w:color w:val="000000" w:themeColor="text1"/>
                <w:sz w:val="20"/>
                <w:szCs w:val="20"/>
              </w:rPr>
              <w:t>%</w:t>
            </w:r>
          </w:p>
        </w:tc>
        <w:tc>
          <w:tcPr>
            <w:tcW w:w="986" w:type="dxa"/>
            <w:shd w:val="clear" w:color="auto" w:fill="DEEAF6"/>
            <w:vAlign w:val="center"/>
          </w:tcPr>
          <w:p w:rsidR="006A5EC3" w:rsidRPr="009C12EB" w:rsidRDefault="006A5EC3" w:rsidP="00DB1AE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47</w:t>
            </w:r>
            <w:r w:rsidRPr="009C12EB">
              <w:rPr>
                <w:rFonts w:ascii="Times New Roman" w:hAnsi="Times New Roman" w:cs="Times New Roman"/>
                <w:color w:val="000000" w:themeColor="text1"/>
                <w:sz w:val="20"/>
                <w:szCs w:val="20"/>
              </w:rPr>
              <w:t>%</w:t>
            </w:r>
          </w:p>
        </w:tc>
      </w:tr>
      <w:tr w:rsidR="006A5EC3" w:rsidRPr="001746FF" w:rsidTr="00DB1AEB">
        <w:trPr>
          <w:trHeight w:val="395"/>
        </w:trPr>
        <w:tc>
          <w:tcPr>
            <w:cnfStyle w:val="001000000000" w:firstRow="0" w:lastRow="0" w:firstColumn="1" w:lastColumn="0" w:oddVBand="0" w:evenVBand="0" w:oddHBand="0" w:evenHBand="0" w:firstRowFirstColumn="0" w:firstRowLastColumn="0" w:lastRowFirstColumn="0" w:lastRowLastColumn="0"/>
            <w:tcW w:w="3432" w:type="dxa"/>
            <w:vAlign w:val="center"/>
          </w:tcPr>
          <w:p w:rsidR="006A5EC3" w:rsidRPr="009C12EB" w:rsidRDefault="006A5EC3" w:rsidP="00DB1AEB">
            <w:pPr>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Kopējā ietekme uz primāro bilanci (11)</w:t>
            </w:r>
            <w:r w:rsidRPr="009C12EB">
              <w:rPr>
                <w:rFonts w:ascii="Times New Roman" w:hAnsi="Times New Roman" w:cs="Times New Roman"/>
                <w:color w:val="000000" w:themeColor="text1"/>
                <w:sz w:val="20"/>
                <w:szCs w:val="20"/>
                <w:vertAlign w:val="superscript"/>
              </w:rPr>
              <w:footnoteReference w:id="16"/>
            </w:r>
          </w:p>
        </w:tc>
        <w:tc>
          <w:tcPr>
            <w:tcW w:w="1190"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C12E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13</w:t>
            </w:r>
            <w:r w:rsidRPr="009C12EB">
              <w:rPr>
                <w:rFonts w:ascii="Times New Roman" w:hAnsi="Times New Roman" w:cs="Times New Roman"/>
                <w:color w:val="000000" w:themeColor="text1"/>
                <w:sz w:val="20"/>
                <w:szCs w:val="20"/>
              </w:rPr>
              <w:t>%</w:t>
            </w:r>
          </w:p>
        </w:tc>
        <w:tc>
          <w:tcPr>
            <w:tcW w:w="1191"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0,0</w:t>
            </w:r>
            <w:r>
              <w:rPr>
                <w:rFonts w:ascii="Times New Roman" w:hAnsi="Times New Roman" w:cs="Times New Roman"/>
                <w:color w:val="000000" w:themeColor="text1"/>
                <w:sz w:val="20"/>
                <w:szCs w:val="20"/>
              </w:rPr>
              <w:t>6</w:t>
            </w:r>
            <w:r w:rsidRPr="009C12EB">
              <w:rPr>
                <w:rFonts w:ascii="Times New Roman" w:hAnsi="Times New Roman" w:cs="Times New Roman"/>
                <w:color w:val="000000" w:themeColor="text1"/>
                <w:sz w:val="20"/>
                <w:szCs w:val="20"/>
              </w:rPr>
              <w:t>%</w:t>
            </w:r>
          </w:p>
        </w:tc>
        <w:tc>
          <w:tcPr>
            <w:tcW w:w="1190"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18</w:t>
            </w:r>
            <w:r w:rsidRPr="009C12EB">
              <w:rPr>
                <w:rFonts w:ascii="Times New Roman" w:hAnsi="Times New Roman" w:cs="Times New Roman"/>
                <w:color w:val="000000" w:themeColor="text1"/>
                <w:sz w:val="20"/>
                <w:szCs w:val="20"/>
              </w:rPr>
              <w:t>%</w:t>
            </w:r>
          </w:p>
        </w:tc>
        <w:tc>
          <w:tcPr>
            <w:tcW w:w="1191"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9C12EB">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94</w:t>
            </w:r>
            <w:r w:rsidRPr="009C12EB">
              <w:rPr>
                <w:rFonts w:ascii="Times New Roman" w:hAnsi="Times New Roman" w:cs="Times New Roman"/>
                <w:color w:val="000000" w:themeColor="text1"/>
                <w:sz w:val="20"/>
                <w:szCs w:val="20"/>
              </w:rPr>
              <w:t>%</w:t>
            </w:r>
          </w:p>
        </w:tc>
        <w:tc>
          <w:tcPr>
            <w:tcW w:w="986" w:type="dxa"/>
            <w:vAlign w:val="center"/>
          </w:tcPr>
          <w:p w:rsidR="006A5EC3" w:rsidRPr="009C12EB" w:rsidRDefault="006A5EC3" w:rsidP="00DB1A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Pr="009C12E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13</w:t>
            </w:r>
            <w:r w:rsidRPr="009C12EB">
              <w:rPr>
                <w:rFonts w:ascii="Times New Roman" w:hAnsi="Times New Roman" w:cs="Times New Roman"/>
                <w:color w:val="000000" w:themeColor="text1"/>
                <w:sz w:val="20"/>
                <w:szCs w:val="20"/>
              </w:rPr>
              <w:t>%</w:t>
            </w:r>
          </w:p>
        </w:tc>
      </w:tr>
    </w:tbl>
    <w:p w:rsidR="006B309F" w:rsidRDefault="006B309F" w:rsidP="006B309F">
      <w:pPr>
        <w:rPr>
          <w:rFonts w:ascii="Times New Roman" w:hAnsi="Times New Roman" w:cs="Times New Roman"/>
          <w:b/>
          <w:sz w:val="24"/>
          <w:szCs w:val="24"/>
        </w:rPr>
      </w:pPr>
    </w:p>
    <w:p w:rsidR="00124554" w:rsidRPr="003D448B" w:rsidRDefault="00124554" w:rsidP="005E344C">
      <w:pPr>
        <w:pStyle w:val="Heading2"/>
        <w:numPr>
          <w:ilvl w:val="1"/>
          <w:numId w:val="1"/>
        </w:numPr>
        <w:spacing w:before="240" w:after="120"/>
        <w:ind w:left="993" w:hanging="284"/>
        <w:rPr>
          <w:rFonts w:ascii="Times New Roman" w:hAnsi="Times New Roman" w:cs="Times New Roman"/>
          <w:sz w:val="24"/>
        </w:rPr>
      </w:pPr>
      <w:bookmarkStart w:id="37" w:name="_Toc5627370"/>
      <w:bookmarkStart w:id="38" w:name="_Toc5798625"/>
      <w:r w:rsidRPr="003D448B">
        <w:rPr>
          <w:rFonts w:ascii="Times New Roman" w:hAnsi="Times New Roman" w:cs="Times New Roman"/>
          <w:sz w:val="24"/>
        </w:rPr>
        <w:t>Pašreizējā fiskālā situācija</w:t>
      </w:r>
      <w:bookmarkEnd w:id="35"/>
      <w:bookmarkEnd w:id="37"/>
      <w:bookmarkEnd w:id="38"/>
    </w:p>
    <w:p w:rsidR="00124554" w:rsidRDefault="00124554" w:rsidP="006A5EC3">
      <w:pPr>
        <w:pStyle w:val="teksts"/>
        <w:spacing w:after="0"/>
        <w:ind w:firstLine="720"/>
        <w:rPr>
          <w:rFonts w:ascii="Times New Roman" w:eastAsia="Calibri" w:hAnsi="Times New Roman"/>
          <w:szCs w:val="24"/>
        </w:rPr>
      </w:pPr>
      <w:r>
        <w:rPr>
          <w:rFonts w:ascii="Times New Roman" w:eastAsia="Calibri" w:hAnsi="Times New Roman"/>
          <w:szCs w:val="24"/>
        </w:rPr>
        <w:t xml:space="preserve">Atbilstoši FM novērtējumam 2018.gadā vispārējās valdības nominālais budžeta deficīts bija 198,9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jeb 0,7% no IKP. Vispārējās valdības budžeta deficīta apmērs bija par 0,3 procentpunktiem mazāks kā tika norādīts iepriekšējā Latvijas Stabilitātes programmā 2018.</w:t>
      </w:r>
      <w:r w:rsidR="005E6CBA" w:rsidRPr="009B0F5F">
        <w:rPr>
          <w:rFonts w:ascii="Times New Roman" w:hAnsi="Times New Roman"/>
          <w:noProof/>
          <w:color w:val="000000"/>
          <w:szCs w:val="24"/>
        </w:rPr>
        <w:t xml:space="preserve"> – </w:t>
      </w:r>
      <w:r>
        <w:rPr>
          <w:rFonts w:ascii="Times New Roman" w:eastAsia="Calibri" w:hAnsi="Times New Roman"/>
          <w:szCs w:val="24"/>
        </w:rPr>
        <w:t xml:space="preserve">2021.gadam. Zemāks vispārējās valdības budžeta deficīta līmenis skaidrojams ar augstākiem ieņēmumiem, kur pieaugums tika uzrādīts visās ieņēmumu pozīcijās. Īpaši jāizceļ ienākuma un mantas kārtējie nodokļi, kuru pieaugumu veicināja augsti ieņēmumi no UIN, kas, savukārt, skaidrojami ar iemaksu straujāku kāpumu pēc deklarāciju datiem par 2017.gada rezultātiem. Augstāki nekā prognozēts bija arī pievienotās vērtības nodokļa un akcīzes nodokļa ieņēmumi, kas auguši līdzās ar straujāku ekonomisko izaugsmi. Salīdzinot ar iepriekšējo Stabilitātes programmu, valsts speciālā budžeta izdevumi tika veikti mazākā apjomā nekā plānots, pamatā </w:t>
      </w:r>
      <w:r>
        <w:rPr>
          <w:rFonts w:ascii="Times New Roman" w:eastAsia="Calibri" w:hAnsi="Times New Roman"/>
          <w:szCs w:val="24"/>
        </w:rPr>
        <w:lastRenderedPageBreak/>
        <w:t xml:space="preserve">ņemot vērā to, ka faktiskais slimības, bezdarbnieku un vecāku pabalstu saņēmēju skaits bija mazāks nekā plānots. </w:t>
      </w:r>
    </w:p>
    <w:p w:rsidR="006A5EC3" w:rsidRPr="003D448B" w:rsidRDefault="006A5EC3" w:rsidP="006A5EC3">
      <w:pPr>
        <w:pStyle w:val="teksts"/>
        <w:spacing w:after="0"/>
        <w:ind w:firstLine="567"/>
        <w:rPr>
          <w:rFonts w:ascii="Times New Roman" w:eastAsia="Calibri" w:hAnsi="Times New Roman"/>
          <w:szCs w:val="24"/>
        </w:rPr>
      </w:pPr>
      <w:r w:rsidRPr="003D448B">
        <w:rPr>
          <w:rFonts w:ascii="Times New Roman" w:eastAsia="Calibri" w:hAnsi="Times New Roman"/>
          <w:szCs w:val="24"/>
        </w:rPr>
        <w:t xml:space="preserve">Analizējot vispārējās valdības </w:t>
      </w:r>
      <w:proofErr w:type="spellStart"/>
      <w:r w:rsidRPr="003D448B">
        <w:rPr>
          <w:rFonts w:ascii="Times New Roman" w:eastAsia="Calibri" w:hAnsi="Times New Roman"/>
          <w:szCs w:val="24"/>
        </w:rPr>
        <w:t>apakšsektoru</w:t>
      </w:r>
      <w:proofErr w:type="spellEnd"/>
      <w:r w:rsidRPr="003D448B">
        <w:rPr>
          <w:rFonts w:ascii="Times New Roman" w:eastAsia="Calibri" w:hAnsi="Times New Roman"/>
          <w:szCs w:val="24"/>
        </w:rPr>
        <w:t xml:space="preserve"> ieguldījumu kopējā fiskālajā bilancē, jāsecina, ka negatīvo bilanci galvenokārt veidoja centrālās valdības un vietēj</w:t>
      </w:r>
      <w:r>
        <w:rPr>
          <w:rFonts w:ascii="Times New Roman" w:eastAsia="Calibri" w:hAnsi="Times New Roman"/>
          <w:szCs w:val="24"/>
        </w:rPr>
        <w:t>ās valdības deficīts, kas 2018.</w:t>
      </w:r>
      <w:r w:rsidRPr="003D448B">
        <w:rPr>
          <w:rFonts w:ascii="Times New Roman" w:eastAsia="Calibri" w:hAnsi="Times New Roman"/>
          <w:szCs w:val="24"/>
        </w:rPr>
        <w:t>gadā bija 0,8% no IKP un 0,5% no IKP attiecīgi. Savukārt sociālās nodroši</w:t>
      </w:r>
      <w:r>
        <w:rPr>
          <w:rFonts w:ascii="Times New Roman" w:eastAsia="Calibri" w:hAnsi="Times New Roman"/>
          <w:szCs w:val="24"/>
        </w:rPr>
        <w:t>nāšanas fonda pārpalikums 2018.</w:t>
      </w:r>
      <w:r w:rsidRPr="003D448B">
        <w:rPr>
          <w:rFonts w:ascii="Times New Roman" w:eastAsia="Calibri" w:hAnsi="Times New Roman"/>
          <w:szCs w:val="24"/>
        </w:rPr>
        <w:t>gadā veidoja 0,6% no IKP (skat. 3.</w:t>
      </w:r>
      <w:r>
        <w:rPr>
          <w:rFonts w:ascii="Times New Roman" w:eastAsia="Calibri" w:hAnsi="Times New Roman"/>
          <w:szCs w:val="24"/>
        </w:rPr>
        <w:t>3</w:t>
      </w:r>
      <w:r w:rsidR="0093176F">
        <w:rPr>
          <w:rFonts w:ascii="Times New Roman" w:eastAsia="Calibri" w:hAnsi="Times New Roman"/>
          <w:szCs w:val="24"/>
        </w:rPr>
        <w:t>.attēlu</w:t>
      </w:r>
      <w:r w:rsidRPr="003D448B">
        <w:rPr>
          <w:rFonts w:ascii="Times New Roman" w:eastAsia="Calibri" w:hAnsi="Times New Roman"/>
          <w:szCs w:val="24"/>
        </w:rPr>
        <w:t>).</w:t>
      </w:r>
    </w:p>
    <w:p w:rsidR="00124554" w:rsidRDefault="00124554" w:rsidP="00124554">
      <w:pPr>
        <w:pStyle w:val="teksts"/>
        <w:spacing w:before="120" w:after="60"/>
        <w:jc w:val="center"/>
      </w:pPr>
      <w:r w:rsidRPr="00DA204D">
        <w:rPr>
          <w:noProof/>
          <w:lang w:eastAsia="lv-LV"/>
        </w:rPr>
        <w:drawing>
          <wp:inline distT="0" distB="0" distL="0" distR="0" wp14:anchorId="10A97D0F" wp14:editId="512F64FE">
            <wp:extent cx="4931347" cy="2952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8230"/>
                    <a:stretch/>
                  </pic:blipFill>
                  <pic:spPr bwMode="auto">
                    <a:xfrm>
                      <a:off x="0" y="0"/>
                      <a:ext cx="4931347" cy="2952000"/>
                    </a:xfrm>
                    <a:prstGeom prst="rect">
                      <a:avLst/>
                    </a:prstGeom>
                    <a:noFill/>
                    <a:ln>
                      <a:noFill/>
                    </a:ln>
                    <a:extLst>
                      <a:ext uri="{53640926-AAD7-44D8-BBD7-CCE9431645EC}">
                        <a14:shadowObscured xmlns:a14="http://schemas.microsoft.com/office/drawing/2010/main"/>
                      </a:ext>
                    </a:extLst>
                  </pic:spPr>
                </pic:pic>
              </a:graphicData>
            </a:graphic>
          </wp:inline>
        </w:drawing>
      </w:r>
    </w:p>
    <w:p w:rsidR="00124554" w:rsidRPr="00DA204D" w:rsidRDefault="00124554" w:rsidP="00652E0F">
      <w:pPr>
        <w:pStyle w:val="teksts"/>
        <w:jc w:val="center"/>
        <w:rPr>
          <w:b/>
          <w:noProof/>
        </w:rPr>
      </w:pPr>
      <w:r w:rsidRPr="00DA204D">
        <w:rPr>
          <w:rFonts w:ascii="Times New Roman" w:eastAsia="Calibri" w:hAnsi="Times New Roman"/>
          <w:b/>
          <w:szCs w:val="24"/>
        </w:rPr>
        <w:t>3.</w:t>
      </w:r>
      <w:r w:rsidR="007E1678">
        <w:rPr>
          <w:rFonts w:ascii="Times New Roman" w:eastAsia="Calibri" w:hAnsi="Times New Roman"/>
          <w:b/>
          <w:szCs w:val="24"/>
        </w:rPr>
        <w:t>3</w:t>
      </w:r>
      <w:r w:rsidRPr="00DA204D">
        <w:rPr>
          <w:rFonts w:ascii="Times New Roman" w:eastAsia="Calibri" w:hAnsi="Times New Roman"/>
          <w:b/>
          <w:szCs w:val="24"/>
        </w:rPr>
        <w:t>.</w:t>
      </w:r>
      <w:r w:rsidR="005379D9">
        <w:rPr>
          <w:rFonts w:ascii="Times New Roman" w:eastAsia="Calibri" w:hAnsi="Times New Roman"/>
          <w:b/>
          <w:szCs w:val="24"/>
        </w:rPr>
        <w:t xml:space="preserve"> </w:t>
      </w:r>
      <w:r w:rsidRPr="00DA204D">
        <w:rPr>
          <w:rFonts w:ascii="Times New Roman" w:eastAsia="Calibri" w:hAnsi="Times New Roman"/>
          <w:b/>
          <w:szCs w:val="24"/>
        </w:rPr>
        <w:t>att</w:t>
      </w:r>
      <w:r>
        <w:rPr>
          <w:rFonts w:ascii="Times New Roman" w:eastAsia="Calibri" w:hAnsi="Times New Roman"/>
          <w:b/>
          <w:szCs w:val="24"/>
        </w:rPr>
        <w:t>ēls</w:t>
      </w:r>
      <w:r w:rsidRPr="00DA204D">
        <w:rPr>
          <w:rFonts w:ascii="Times New Roman" w:eastAsia="Calibri" w:hAnsi="Times New Roman"/>
          <w:b/>
          <w:szCs w:val="24"/>
        </w:rPr>
        <w:t xml:space="preserve">. Vispārējās valdības budžeta bilance </w:t>
      </w:r>
      <w:r w:rsidRPr="00DA204D">
        <w:rPr>
          <w:rFonts w:ascii="Times New Roman" w:eastAsia="Calibri" w:hAnsi="Times New Roman"/>
          <w:b/>
          <w:noProof/>
          <w:szCs w:val="24"/>
        </w:rPr>
        <w:t xml:space="preserve">sadalījumā pa apakšsektoriem, % no IKP (Datu avots: </w:t>
      </w:r>
      <w:r w:rsidRPr="00DA204D">
        <w:rPr>
          <w:rFonts w:ascii="Times New Roman" w:eastAsia="Calibri" w:hAnsi="Times New Roman"/>
          <w:b/>
          <w:i/>
          <w:noProof/>
          <w:szCs w:val="24"/>
        </w:rPr>
        <w:t>Eurostat</w:t>
      </w:r>
      <w:r w:rsidRPr="00DA204D">
        <w:rPr>
          <w:rFonts w:ascii="Times New Roman" w:eastAsia="Calibri" w:hAnsi="Times New Roman"/>
          <w:b/>
          <w:noProof/>
          <w:szCs w:val="24"/>
        </w:rPr>
        <w:t>, FM)</w:t>
      </w:r>
    </w:p>
    <w:p w:rsidR="00124554" w:rsidRDefault="00124554" w:rsidP="00124554">
      <w:pPr>
        <w:pStyle w:val="teksts"/>
        <w:spacing w:after="0"/>
        <w:ind w:firstLine="567"/>
        <w:rPr>
          <w:rFonts w:ascii="Times New Roman" w:eastAsia="Calibri" w:hAnsi="Times New Roman"/>
          <w:noProof/>
          <w:szCs w:val="24"/>
        </w:rPr>
      </w:pPr>
      <w:r>
        <w:rPr>
          <w:rFonts w:ascii="Times New Roman" w:eastAsia="Calibri" w:hAnsi="Times New Roman"/>
          <w:szCs w:val="24"/>
        </w:rPr>
        <w:t xml:space="preserve">2018.gadā, salīdzinot ar iepriekšējo gadu, vispārējās valdības budžeta bilances deficīts pieaudzis par 0,1 procentpunktu. Vispārējās valdības budžeta ieņēmumi pieauguši par 857,1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jeb 8,5%, sasniedzot 10,9 miljardus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jeb 37,1% no IKP (skat. 3.</w:t>
      </w:r>
      <w:r w:rsidR="00B83698">
        <w:rPr>
          <w:rFonts w:ascii="Times New Roman" w:eastAsia="Calibri" w:hAnsi="Times New Roman"/>
          <w:szCs w:val="24"/>
        </w:rPr>
        <w:t>4</w:t>
      </w:r>
      <w:r w:rsidR="0093176F">
        <w:rPr>
          <w:rFonts w:ascii="Times New Roman" w:eastAsia="Calibri" w:hAnsi="Times New Roman"/>
          <w:szCs w:val="24"/>
        </w:rPr>
        <w:t>.attētu</w:t>
      </w:r>
      <w:r>
        <w:rPr>
          <w:rFonts w:ascii="Times New Roman" w:eastAsia="Calibri" w:hAnsi="Times New Roman"/>
          <w:szCs w:val="24"/>
        </w:rPr>
        <w:t xml:space="preserve">). Ieņēmumu pieaugumu veicināja nodokļu ieņēmumu pieaugums. </w:t>
      </w:r>
      <w:r>
        <w:rPr>
          <w:rFonts w:ascii="Times New Roman" w:eastAsia="Calibri" w:hAnsi="Times New Roman"/>
          <w:color w:val="000000"/>
          <w:szCs w:val="24"/>
        </w:rPr>
        <w:t>Nodokļu ieņēmumi</w:t>
      </w:r>
      <w:r>
        <w:rPr>
          <w:rStyle w:val="FootnoteReference"/>
          <w:rFonts w:ascii="Times New Roman" w:eastAsia="Calibri" w:hAnsi="Times New Roman"/>
          <w:color w:val="000000"/>
          <w:szCs w:val="24"/>
        </w:rPr>
        <w:footnoteReference w:id="17"/>
      </w:r>
      <w:r>
        <w:rPr>
          <w:rFonts w:ascii="Times New Roman" w:eastAsia="Calibri" w:hAnsi="Times New Roman"/>
          <w:color w:val="000000"/>
          <w:szCs w:val="24"/>
        </w:rPr>
        <w:t xml:space="preserve"> 2018.gadā sasniedza 30,7% no IKP, kas ir par 0,7 procentpunktiem mazāk kā 2017.gadā. Nodokļu ieņēmumu īpatsvara kritumu </w:t>
      </w:r>
      <w:r w:rsidR="00A4120C" w:rsidRPr="003C7327">
        <w:rPr>
          <w:rFonts w:ascii="Times New Roman" w:hAnsi="Times New Roman"/>
          <w:color w:val="000000"/>
          <w:szCs w:val="24"/>
          <w:lang w:eastAsia="lv-LV"/>
        </w:rPr>
        <w:t>IKP</w:t>
      </w:r>
      <w:r w:rsidR="00A4120C">
        <w:rPr>
          <w:rFonts w:ascii="Times New Roman" w:eastAsia="Calibri" w:hAnsi="Times New Roman"/>
          <w:color w:val="000000"/>
          <w:szCs w:val="24"/>
        </w:rPr>
        <w:t xml:space="preserve"> </w:t>
      </w:r>
      <w:r>
        <w:rPr>
          <w:rFonts w:ascii="Times New Roman" w:eastAsia="Calibri" w:hAnsi="Times New Roman"/>
          <w:color w:val="000000"/>
          <w:szCs w:val="24"/>
        </w:rPr>
        <w:t>ietekmēja nodokļu reforma, kuras ietvaros būtiski samazinājās ieņēmumi no ienākuma un mantas kārtējiem nodokļiem (D.5)</w:t>
      </w:r>
      <w:r>
        <w:rPr>
          <w:rFonts w:ascii="Times New Roman" w:eastAsia="Calibri" w:hAnsi="Times New Roman"/>
          <w:szCs w:val="24"/>
        </w:rPr>
        <w:t xml:space="preserve">, kas salīdzinot ar 2017.gadu samazinājušies par 155,2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jeb 6,7%. Nodokļu reformas rezultātā būtiski tika ietekmēti gan IIN, gan UIN ieņēmumi. Ja iedzīvotāju ienākuma nodokļa ieņēmumi uzrādīja pieaugumu 1,4% jeb 24,8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apmērā, salīdzinot ar 2018.gadu, tad uzņēmuma ienākuma nodokļa ieņēmumi samazinājās par 28,6% jeb par 121,6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IIN reformas rezultātā tika veiktas vairākas izmaiņas, piemēram, ieviests progresīvais ienākuma nodoklis, paaugstināts diferencētais neapliekamais minimums, paaugstināts atvieglojums par apgādībā esošām personām, paaugstināts neapliekamais minums pensionāriem un paaugstināta minimālā darba alga no 380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uz 430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szCs w:val="24"/>
        </w:rPr>
        <w:t xml:space="preserve">. Savukārt UIN reformas rezultātā tika noteikta nulles </w:t>
      </w:r>
      <w:r>
        <w:rPr>
          <w:rFonts w:ascii="Times New Roman" w:eastAsia="Calibri" w:hAnsi="Times New Roman"/>
          <w:noProof/>
          <w:szCs w:val="24"/>
        </w:rPr>
        <w:t>likme reinvestētai peļņai un netika piemērots UIN avansa maksājums pēc 2018.gada 1.jūlija.</w:t>
      </w:r>
    </w:p>
    <w:p w:rsidR="00124554" w:rsidRDefault="00124554" w:rsidP="00124554">
      <w:pPr>
        <w:pStyle w:val="teksts"/>
        <w:spacing w:after="0"/>
        <w:ind w:firstLine="567"/>
        <w:rPr>
          <w:rFonts w:ascii="Times New Roman" w:eastAsia="Calibri" w:hAnsi="Times New Roman"/>
          <w:noProof/>
          <w:szCs w:val="24"/>
        </w:rPr>
      </w:pPr>
      <w:r>
        <w:rPr>
          <w:rFonts w:ascii="Times New Roman" w:eastAsia="Calibri" w:hAnsi="Times New Roman"/>
          <w:color w:val="000000"/>
          <w:szCs w:val="24"/>
        </w:rPr>
        <w:t xml:space="preserve">Ražošanas un importa nodokļi (D.2), salīdzinot ar 2017.gadu, auguši par 324,4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color w:val="000000"/>
          <w:szCs w:val="24"/>
        </w:rPr>
        <w:t xml:space="preserve"> jeb 8,6%. Attīstoties ekonomikai un palielinoties iedzīvotāju pirktspējai, par 291,8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color w:val="000000"/>
          <w:szCs w:val="24"/>
        </w:rPr>
        <w:t xml:space="preserve"> jeb 13,5% pieauguši PVN ieņēmumi, savukārt akcīzes nodokļa ieņēmumi auguši par 125,1 milj. </w:t>
      </w:r>
      <w:proofErr w:type="spellStart"/>
      <w:r w:rsidRPr="00124554">
        <w:rPr>
          <w:rFonts w:ascii="Times New Roman" w:eastAsia="Calibri" w:hAnsi="Times New Roman"/>
          <w:i/>
          <w:color w:val="000000"/>
          <w:szCs w:val="24"/>
        </w:rPr>
        <w:t>euro</w:t>
      </w:r>
      <w:proofErr w:type="spellEnd"/>
      <w:r>
        <w:rPr>
          <w:rFonts w:ascii="Times New Roman" w:eastAsia="Calibri" w:hAnsi="Times New Roman"/>
          <w:color w:val="000000"/>
          <w:szCs w:val="24"/>
        </w:rPr>
        <w:t xml:space="preserve"> jeb 13,7%. Akcīzes nodokļa ieņēmumu strauju pieaugumu veicināja arī akcīzes preču nodokļu likmju celšana, aktīva tirdzniecība pierobežā un akcīzes preču nelegālās aprites </w:t>
      </w:r>
      <w:r>
        <w:rPr>
          <w:rFonts w:ascii="Times New Roman" w:eastAsia="Calibri" w:hAnsi="Times New Roman"/>
          <w:color w:val="000000"/>
          <w:szCs w:val="24"/>
        </w:rPr>
        <w:lastRenderedPageBreak/>
        <w:t xml:space="preserve">ierobežošana. Savukārt ražošanas un importa nodokļu pieaugumu palēnināja ieņēmumi no nekustamā īpašuma nodokļa par zemi un ēkām, kas samazinājušies par 7,2 milj. </w:t>
      </w:r>
      <w:proofErr w:type="spellStart"/>
      <w:r w:rsidR="00636713" w:rsidRPr="00917436">
        <w:rPr>
          <w:rFonts w:ascii="Times New Roman" w:eastAsia="Calibri" w:hAnsi="Times New Roman"/>
          <w:i/>
          <w:color w:val="000000"/>
          <w:szCs w:val="24"/>
        </w:rPr>
        <w:t>euro</w:t>
      </w:r>
      <w:proofErr w:type="spellEnd"/>
      <w:r>
        <w:rPr>
          <w:rFonts w:ascii="Times New Roman" w:eastAsia="Calibri" w:hAnsi="Times New Roman"/>
          <w:color w:val="000000"/>
          <w:szCs w:val="24"/>
        </w:rPr>
        <w:t xml:space="preserve"> un subsidētās elektroenerģijas nodokļa ieņēmumi, kas samazinājušies par 25,8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color w:val="000000"/>
          <w:szCs w:val="24"/>
        </w:rPr>
        <w:t>, jo kopš 2018.gada 1.janvāra subsidētās elektroenerģijas nodoklis vairs netiek piemērots.</w:t>
      </w:r>
    </w:p>
    <w:p w:rsidR="00124554" w:rsidRDefault="00124554" w:rsidP="00124554">
      <w:pPr>
        <w:pStyle w:val="teksts"/>
        <w:spacing w:after="0"/>
        <w:ind w:firstLine="567"/>
        <w:rPr>
          <w:rFonts w:ascii="Times New Roman" w:eastAsia="Calibri" w:hAnsi="Times New Roman"/>
          <w:color w:val="000000"/>
          <w:szCs w:val="24"/>
        </w:rPr>
      </w:pPr>
      <w:r>
        <w:rPr>
          <w:rFonts w:ascii="Times New Roman" w:eastAsia="Calibri" w:hAnsi="Times New Roman"/>
          <w:color w:val="000000"/>
          <w:szCs w:val="24"/>
        </w:rPr>
        <w:t xml:space="preserve">Sociālās apdrošināšanas iemaksas (D.61), salīdzinot ar 2017.gadu, pieaugušas par 377,5 milj. </w:t>
      </w:r>
      <w:proofErr w:type="spellStart"/>
      <w:r w:rsidRPr="008C102F">
        <w:rPr>
          <w:rFonts w:ascii="Times New Roman" w:eastAsia="Calibri" w:hAnsi="Times New Roman"/>
          <w:i/>
          <w:color w:val="000000"/>
          <w:szCs w:val="24"/>
        </w:rPr>
        <w:t>euro</w:t>
      </w:r>
      <w:proofErr w:type="spellEnd"/>
      <w:r>
        <w:rPr>
          <w:rFonts w:ascii="Times New Roman" w:eastAsia="Calibri" w:hAnsi="Times New Roman"/>
          <w:color w:val="000000"/>
          <w:szCs w:val="24"/>
        </w:rPr>
        <w:t xml:space="preserve"> jeb 16%. Sociālo apdrošināšanas iemaksu pieaugumu veicināja labvēlīga situācija darba tirgū – 2018.gadā pieauga gan nodarbināto skaits, gan darba samaksas vidējais apmērs, kā arī būtisku pieaugumu nodrošināja valdības lēmums paaugstināt sociālās apdrošināšanas iemaksu likmi par 1 procentpunktu no 2018.gada 1.janvāra. Papildus iegūtie līdzekļi tika novirzīti atalgojuma paaugstināšanai veselības nozarē strādājošiem.</w:t>
      </w:r>
    </w:p>
    <w:p w:rsidR="005A443D" w:rsidRPr="008946E4" w:rsidRDefault="005A443D" w:rsidP="00124554">
      <w:pPr>
        <w:pStyle w:val="teksts"/>
        <w:spacing w:after="0"/>
        <w:ind w:firstLine="567"/>
        <w:rPr>
          <w:rFonts w:ascii="Times New Roman" w:eastAsia="Calibri" w:hAnsi="Times New Roman"/>
          <w:noProof/>
          <w:szCs w:val="24"/>
        </w:rPr>
      </w:pPr>
    </w:p>
    <w:p w:rsidR="00124554" w:rsidRDefault="00124554" w:rsidP="00124554">
      <w:pPr>
        <w:pStyle w:val="teksts"/>
        <w:spacing w:before="120" w:after="60"/>
        <w:jc w:val="center"/>
        <w:rPr>
          <w:rFonts w:ascii="Times New Roman" w:eastAsia="Calibri" w:hAnsi="Times New Roman"/>
          <w:color w:val="000000"/>
          <w:szCs w:val="24"/>
        </w:rPr>
      </w:pPr>
      <w:r w:rsidRPr="007E7F6E">
        <w:rPr>
          <w:rFonts w:eastAsia="Calibri"/>
          <w:noProof/>
          <w:lang w:eastAsia="lv-LV"/>
        </w:rPr>
        <w:drawing>
          <wp:inline distT="0" distB="0" distL="0" distR="0" wp14:anchorId="22423520" wp14:editId="28193C03">
            <wp:extent cx="5027215" cy="254118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8104" b="1985"/>
                    <a:stretch/>
                  </pic:blipFill>
                  <pic:spPr bwMode="auto">
                    <a:xfrm>
                      <a:off x="0" y="0"/>
                      <a:ext cx="5057772" cy="2556627"/>
                    </a:xfrm>
                    <a:prstGeom prst="rect">
                      <a:avLst/>
                    </a:prstGeom>
                    <a:noFill/>
                    <a:ln>
                      <a:noFill/>
                    </a:ln>
                    <a:extLst>
                      <a:ext uri="{53640926-AAD7-44D8-BBD7-CCE9431645EC}">
                        <a14:shadowObscured xmlns:a14="http://schemas.microsoft.com/office/drawing/2010/main"/>
                      </a:ext>
                    </a:extLst>
                  </pic:spPr>
                </pic:pic>
              </a:graphicData>
            </a:graphic>
          </wp:inline>
        </w:drawing>
      </w:r>
    </w:p>
    <w:p w:rsidR="00124554" w:rsidRPr="007E7F6E" w:rsidRDefault="00906D6B" w:rsidP="00906D6B">
      <w:pPr>
        <w:pStyle w:val="teksts"/>
        <w:jc w:val="center"/>
        <w:rPr>
          <w:b/>
        </w:rPr>
      </w:pPr>
      <w:r>
        <w:rPr>
          <w:rFonts w:ascii="Times New Roman" w:eastAsia="Calibri" w:hAnsi="Times New Roman"/>
          <w:b/>
          <w:szCs w:val="24"/>
        </w:rPr>
        <w:t>3.4.</w:t>
      </w:r>
      <w:r w:rsidR="00124554" w:rsidRPr="007E7F6E">
        <w:rPr>
          <w:rFonts w:ascii="Times New Roman" w:eastAsia="Calibri" w:hAnsi="Times New Roman"/>
          <w:b/>
          <w:szCs w:val="24"/>
        </w:rPr>
        <w:t>att</w:t>
      </w:r>
      <w:r w:rsidR="00124554">
        <w:rPr>
          <w:rFonts w:ascii="Times New Roman" w:eastAsia="Calibri" w:hAnsi="Times New Roman"/>
          <w:b/>
          <w:szCs w:val="24"/>
        </w:rPr>
        <w:t>ēls</w:t>
      </w:r>
      <w:r w:rsidR="00124554" w:rsidRPr="007E7F6E">
        <w:rPr>
          <w:rFonts w:ascii="Times New Roman" w:eastAsia="Calibri" w:hAnsi="Times New Roman"/>
          <w:b/>
          <w:szCs w:val="24"/>
        </w:rPr>
        <w:t>. Vispārējās valdības ieņēmumi un izdevumi, % no IKP</w:t>
      </w:r>
      <w:r w:rsidR="00124554" w:rsidRPr="007E7F6E">
        <w:rPr>
          <w:rFonts w:ascii="Times New Roman" w:eastAsia="Calibri" w:hAnsi="Times New Roman"/>
          <w:b/>
          <w:szCs w:val="24"/>
        </w:rPr>
        <w:br/>
        <w:t xml:space="preserve">(Datu </w:t>
      </w:r>
      <w:r w:rsidR="00124554" w:rsidRPr="007E7F6E">
        <w:rPr>
          <w:rFonts w:ascii="Times New Roman" w:eastAsia="Calibri" w:hAnsi="Times New Roman"/>
          <w:b/>
          <w:noProof/>
          <w:szCs w:val="24"/>
        </w:rPr>
        <w:t xml:space="preserve">avots: </w:t>
      </w:r>
      <w:r w:rsidR="00124554" w:rsidRPr="007E7F6E">
        <w:rPr>
          <w:rFonts w:ascii="Times New Roman" w:eastAsia="Calibri" w:hAnsi="Times New Roman"/>
          <w:b/>
          <w:i/>
          <w:noProof/>
          <w:szCs w:val="24"/>
        </w:rPr>
        <w:t>Eurostat</w:t>
      </w:r>
      <w:r w:rsidR="00124554" w:rsidRPr="007E7F6E">
        <w:rPr>
          <w:rFonts w:ascii="Times New Roman" w:eastAsia="Calibri" w:hAnsi="Times New Roman"/>
          <w:b/>
          <w:noProof/>
          <w:szCs w:val="24"/>
        </w:rPr>
        <w:t>, FM</w:t>
      </w:r>
      <w:r w:rsidR="00124554" w:rsidRPr="007E7F6E">
        <w:rPr>
          <w:rFonts w:ascii="Times New Roman" w:eastAsia="Calibri" w:hAnsi="Times New Roman"/>
          <w:b/>
          <w:szCs w:val="24"/>
        </w:rPr>
        <w:t>)</w:t>
      </w:r>
    </w:p>
    <w:p w:rsidR="00124554" w:rsidRPr="003D448B" w:rsidRDefault="00124554" w:rsidP="005865B9">
      <w:pPr>
        <w:spacing w:after="0" w:line="240" w:lineRule="auto"/>
        <w:ind w:firstLine="720"/>
        <w:jc w:val="both"/>
        <w:rPr>
          <w:rFonts w:ascii="Times New Roman" w:eastAsia="Calibri" w:hAnsi="Times New Roman" w:cs="Times New Roman"/>
          <w:color w:val="000000"/>
          <w:sz w:val="24"/>
          <w:szCs w:val="24"/>
        </w:rPr>
      </w:pPr>
      <w:r w:rsidRPr="003D448B">
        <w:rPr>
          <w:rFonts w:ascii="Times New Roman" w:eastAsia="Calibri" w:hAnsi="Times New Roman" w:cs="Times New Roman"/>
          <w:color w:val="000000"/>
          <w:sz w:val="24"/>
          <w:szCs w:val="24"/>
        </w:rPr>
        <w:t xml:space="preserve">Vispārējās valdības budžeta izdevumi pieauga par 900 milj. </w:t>
      </w:r>
      <w:proofErr w:type="spellStart"/>
      <w:r w:rsidRPr="008946E4">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8,8%, sasniedzot 11,1</w:t>
      </w:r>
      <w:r>
        <w:rPr>
          <w:rFonts w:ascii="Times New Roman" w:eastAsia="Calibri" w:hAnsi="Times New Roman" w:cs="Times New Roman"/>
          <w:color w:val="000000"/>
          <w:sz w:val="24"/>
          <w:szCs w:val="24"/>
        </w:rPr>
        <w:t xml:space="preserve"> </w:t>
      </w:r>
      <w:r w:rsidRPr="003D448B">
        <w:rPr>
          <w:rFonts w:ascii="Times New Roman" w:eastAsia="Calibri" w:hAnsi="Times New Roman" w:cs="Times New Roman"/>
          <w:color w:val="000000"/>
          <w:sz w:val="24"/>
          <w:szCs w:val="24"/>
        </w:rPr>
        <w:t xml:space="preserve">miljardus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37,7% no IKP. Lielāko pieaugumu nodrošināja izdevumi pamatkapitāla veidošanai (P.51G), kas pieauguši par 404,9</w:t>
      </w:r>
      <w:r>
        <w:rPr>
          <w:rFonts w:ascii="Times New Roman" w:eastAsia="Calibri" w:hAnsi="Times New Roman" w:cs="Times New Roman"/>
          <w:color w:val="000000"/>
          <w:sz w:val="24"/>
          <w:szCs w:val="24"/>
        </w:rPr>
        <w:t xml:space="preserve"> </w:t>
      </w:r>
      <w:r w:rsidRPr="003D448B">
        <w:rPr>
          <w:rFonts w:ascii="Times New Roman" w:eastAsia="Calibri" w:hAnsi="Times New Roman" w:cs="Times New Roman"/>
          <w:color w:val="000000"/>
          <w:sz w:val="24"/>
          <w:szCs w:val="24"/>
        </w:rPr>
        <w:t xml:space="preserve">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34,2% un ko, savukārt, veicināja izdevumu pieaugums ES fondu investīciju projektiem. Kopējie i</w:t>
      </w:r>
      <w:r>
        <w:rPr>
          <w:rFonts w:ascii="Times New Roman" w:eastAsia="Calibri" w:hAnsi="Times New Roman" w:cs="Times New Roman"/>
          <w:color w:val="000000"/>
          <w:sz w:val="24"/>
          <w:szCs w:val="24"/>
        </w:rPr>
        <w:t>zdevumi atalgojumam (D.1) 2018.</w:t>
      </w:r>
      <w:r w:rsidRPr="003D448B">
        <w:rPr>
          <w:rFonts w:ascii="Times New Roman" w:eastAsia="Calibri" w:hAnsi="Times New Roman" w:cs="Times New Roman"/>
          <w:color w:val="000000"/>
          <w:sz w:val="24"/>
          <w:szCs w:val="24"/>
        </w:rPr>
        <w:t xml:space="preserve">gadā pieauguši par 219,2 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7,9% un pieaugumu pamatā noteica minimālā</w:t>
      </w:r>
      <w:r>
        <w:rPr>
          <w:rFonts w:ascii="Times New Roman" w:eastAsia="Calibri" w:hAnsi="Times New Roman" w:cs="Times New Roman"/>
          <w:color w:val="000000"/>
          <w:sz w:val="24"/>
          <w:szCs w:val="24"/>
        </w:rPr>
        <w:t>s algas paaugstināšana no 2018.gada 1.</w:t>
      </w:r>
      <w:r w:rsidRPr="003D448B">
        <w:rPr>
          <w:rFonts w:ascii="Times New Roman" w:eastAsia="Calibri" w:hAnsi="Times New Roman" w:cs="Times New Roman"/>
          <w:color w:val="000000"/>
          <w:sz w:val="24"/>
          <w:szCs w:val="24"/>
        </w:rPr>
        <w:t xml:space="preserve">janvāra, atalgojuma pieaugums pedagogiem un papildus finansējuma novirzīšana veselības nozarē strādājošo atalgojuma paaugstināšanai. Izdevumi starppatēriņam (P.2) pieauguši par 211,1 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13,7% un galvenais iemesls kāpumam bija izdevumu pieaugums precēm un pakalpojumiem Nacionālajos bruņotajos spēkos un pašvaldībās. Izdevumi sociālajiem pabalstiem (D.6</w:t>
      </w:r>
      <w:r>
        <w:rPr>
          <w:rFonts w:ascii="Times New Roman" w:eastAsia="Calibri" w:hAnsi="Times New Roman" w:cs="Times New Roman"/>
          <w:color w:val="000000"/>
          <w:sz w:val="24"/>
          <w:szCs w:val="24"/>
        </w:rPr>
        <w:t>32 un D.62) pieauguši par 221,1</w:t>
      </w:r>
      <w:r w:rsidRPr="003D448B">
        <w:rPr>
          <w:rFonts w:ascii="Times New Roman" w:eastAsia="Calibri" w:hAnsi="Times New Roman" w:cs="Times New Roman"/>
          <w:color w:val="000000"/>
          <w:sz w:val="24"/>
          <w:szCs w:val="24"/>
        </w:rPr>
        <w:t xml:space="preserve">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7%, ko noteica izdevumu pieaugums pensijām un pārējiem sociālajiem pabalstiem. Izdevumu kāpumu ietekmēja vidējās pensijas un pabalstu apmēra kāpums, kā a</w:t>
      </w:r>
      <w:r>
        <w:rPr>
          <w:rFonts w:ascii="Times New Roman" w:eastAsia="Calibri" w:hAnsi="Times New Roman" w:cs="Times New Roman"/>
          <w:color w:val="000000"/>
          <w:sz w:val="24"/>
          <w:szCs w:val="24"/>
        </w:rPr>
        <w:t>rī pensiju indeksācija ar 2018.gada 1.</w:t>
      </w:r>
      <w:r w:rsidRPr="003D448B">
        <w:rPr>
          <w:rFonts w:ascii="Times New Roman" w:eastAsia="Calibri" w:hAnsi="Times New Roman" w:cs="Times New Roman"/>
          <w:color w:val="000000"/>
          <w:sz w:val="24"/>
          <w:szCs w:val="24"/>
        </w:rPr>
        <w:t>oktobri, piemērojot lielākus indeksus. Ņemot vērā veiksmīgo valsts parāda vadību un zemas procentu likmes, procentu izdevumi (D.41) samazinājušies par 18,5</w:t>
      </w:r>
      <w:r>
        <w:rPr>
          <w:rFonts w:ascii="Times New Roman" w:eastAsia="Calibri" w:hAnsi="Times New Roman" w:cs="Times New Roman"/>
          <w:color w:val="000000"/>
          <w:sz w:val="24"/>
          <w:szCs w:val="24"/>
        </w:rPr>
        <w:t xml:space="preserve"> </w:t>
      </w:r>
      <w:r w:rsidRPr="003D448B">
        <w:rPr>
          <w:rFonts w:ascii="Times New Roman" w:eastAsia="Calibri" w:hAnsi="Times New Roman" w:cs="Times New Roman"/>
          <w:color w:val="000000"/>
          <w:sz w:val="24"/>
          <w:szCs w:val="24"/>
        </w:rPr>
        <w:t xml:space="preserve">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7,4%. Subsīdijas (D.3) pieaugušas par 149,2 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43,5%, kas saistīts ar papildus subsīdijām komersantiem, kas sniedz sabiedriskā transporta pakalpojumus, kā arī subsīdijām komersantiem, kas ražo atjaunojamos energoresursus. </w:t>
      </w:r>
    </w:p>
    <w:p w:rsidR="006A5EC3" w:rsidRDefault="00124554" w:rsidP="00DB1AEB">
      <w:pPr>
        <w:spacing w:line="240" w:lineRule="auto"/>
        <w:ind w:firstLine="709"/>
        <w:jc w:val="both"/>
      </w:pPr>
      <w:r w:rsidRPr="003D448B">
        <w:rPr>
          <w:rFonts w:ascii="Times New Roman" w:eastAsia="Calibri" w:hAnsi="Times New Roman" w:cs="Times New Roman"/>
          <w:color w:val="000000"/>
          <w:sz w:val="24"/>
          <w:szCs w:val="24"/>
        </w:rPr>
        <w:t xml:space="preserve">Kapitālo </w:t>
      </w:r>
      <w:proofErr w:type="spellStart"/>
      <w:r w:rsidRPr="003D448B">
        <w:rPr>
          <w:rFonts w:ascii="Times New Roman" w:eastAsia="Calibri" w:hAnsi="Times New Roman" w:cs="Times New Roman"/>
          <w:color w:val="000000"/>
          <w:sz w:val="24"/>
          <w:szCs w:val="24"/>
        </w:rPr>
        <w:t>transfertu</w:t>
      </w:r>
      <w:proofErr w:type="spellEnd"/>
      <w:r w:rsidRPr="003D448B">
        <w:rPr>
          <w:rFonts w:ascii="Times New Roman" w:eastAsia="Calibri" w:hAnsi="Times New Roman" w:cs="Times New Roman"/>
          <w:color w:val="000000"/>
          <w:sz w:val="24"/>
          <w:szCs w:val="24"/>
        </w:rPr>
        <w:t xml:space="preserve"> (D.9) izdevumi 2018.gadā samazinājušies par 98,1</w:t>
      </w:r>
      <w:r>
        <w:rPr>
          <w:rFonts w:ascii="Times New Roman" w:eastAsia="Calibri" w:hAnsi="Times New Roman" w:cs="Times New Roman"/>
          <w:color w:val="000000"/>
          <w:sz w:val="24"/>
          <w:szCs w:val="24"/>
        </w:rPr>
        <w:t xml:space="preserve"> </w:t>
      </w:r>
      <w:r w:rsidRPr="003D448B">
        <w:rPr>
          <w:rFonts w:ascii="Times New Roman" w:eastAsia="Calibri" w:hAnsi="Times New Roman" w:cs="Times New Roman"/>
          <w:color w:val="000000"/>
          <w:sz w:val="24"/>
          <w:szCs w:val="24"/>
        </w:rPr>
        <w:t xml:space="preserve">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jeb 59,1% ko būtiski ietekmēja 2017.gadā veiktais disko</w:t>
      </w:r>
      <w:r>
        <w:rPr>
          <w:rFonts w:ascii="Times New Roman" w:eastAsia="Calibri" w:hAnsi="Times New Roman" w:cs="Times New Roman"/>
          <w:color w:val="000000"/>
          <w:sz w:val="24"/>
          <w:szCs w:val="24"/>
        </w:rPr>
        <w:t xml:space="preserve">ntētās atlīdzības maksājums 140 </w:t>
      </w:r>
      <w:r w:rsidRPr="003D448B">
        <w:rPr>
          <w:rFonts w:ascii="Times New Roman" w:eastAsia="Calibri" w:hAnsi="Times New Roman" w:cs="Times New Roman"/>
          <w:color w:val="000000"/>
          <w:sz w:val="24"/>
          <w:szCs w:val="24"/>
        </w:rPr>
        <w:t xml:space="preserve">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apmērā par uzstādītajām elektroenerģijas jaudām atjaunojamās elektroenerģijas ražotājiem. </w:t>
      </w:r>
      <w:r w:rsidRPr="003D448B">
        <w:rPr>
          <w:rFonts w:ascii="Times New Roman" w:eastAsia="Calibri" w:hAnsi="Times New Roman" w:cs="Times New Roman"/>
          <w:color w:val="000000"/>
          <w:sz w:val="24"/>
          <w:szCs w:val="24"/>
        </w:rPr>
        <w:lastRenderedPageBreak/>
        <w:t>2018.gadā tika veikts līdzīgs maksājums 51,7</w:t>
      </w:r>
      <w:r>
        <w:rPr>
          <w:rFonts w:ascii="Times New Roman" w:eastAsia="Calibri" w:hAnsi="Times New Roman" w:cs="Times New Roman"/>
          <w:color w:val="000000"/>
          <w:sz w:val="24"/>
          <w:szCs w:val="24"/>
        </w:rPr>
        <w:t xml:space="preserve"> </w:t>
      </w:r>
      <w:r w:rsidRPr="003D448B">
        <w:rPr>
          <w:rFonts w:ascii="Times New Roman" w:eastAsia="Calibri" w:hAnsi="Times New Roman" w:cs="Times New Roman"/>
          <w:color w:val="000000"/>
          <w:sz w:val="24"/>
          <w:szCs w:val="24"/>
        </w:rPr>
        <w:t xml:space="preserve">milj. </w:t>
      </w:r>
      <w:proofErr w:type="spellStart"/>
      <w:r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szCs w:val="24"/>
        </w:rPr>
        <w:t xml:space="preserve"> apmērā, kas vidējā </w:t>
      </w:r>
      <w:r w:rsidR="001F62B6">
        <w:rPr>
          <w:rFonts w:ascii="Times New Roman" w:eastAsia="Calibri" w:hAnsi="Times New Roman" w:cs="Times New Roman"/>
          <w:color w:val="000000"/>
          <w:sz w:val="24"/>
          <w:szCs w:val="24"/>
        </w:rPr>
        <w:t>termiņā</w:t>
      </w:r>
      <w:r w:rsidRPr="003D448B">
        <w:rPr>
          <w:rFonts w:ascii="Times New Roman" w:eastAsia="Calibri" w:hAnsi="Times New Roman" w:cs="Times New Roman"/>
          <w:color w:val="000000"/>
          <w:sz w:val="24"/>
          <w:szCs w:val="24"/>
        </w:rPr>
        <w:t xml:space="preserve"> ļaus ietaupīt valsts budžeta līdzekļus. Kopš </w:t>
      </w:r>
      <w:r>
        <w:rPr>
          <w:rFonts w:ascii="Times New Roman" w:eastAsia="Calibri" w:hAnsi="Times New Roman" w:cs="Times New Roman"/>
          <w:color w:val="000000"/>
          <w:sz w:val="24"/>
          <w:szCs w:val="24"/>
        </w:rPr>
        <w:t>OIK</w:t>
      </w:r>
      <w:r w:rsidRPr="003D448B">
        <w:rPr>
          <w:rFonts w:ascii="Times New Roman" w:eastAsia="Calibri" w:hAnsi="Times New Roman" w:cs="Times New Roman"/>
          <w:color w:val="000000"/>
          <w:sz w:val="24"/>
          <w:szCs w:val="24"/>
        </w:rPr>
        <w:t xml:space="preserve"> ieviešanas maksa par elektroenerģiju nemitīgi auga, kā rezultātā Ekonomikas ministrijai atbilstoši valdības dotajam uzdevumam bija sagatavojusi risinājumu OIK turpmākajai pieauguma ierobežošanai pēc subsidētās elektroenerģijas nod</w:t>
      </w:r>
      <w:r>
        <w:rPr>
          <w:rFonts w:ascii="Times New Roman" w:eastAsia="Calibri" w:hAnsi="Times New Roman" w:cs="Times New Roman"/>
          <w:color w:val="000000"/>
          <w:sz w:val="24"/>
          <w:szCs w:val="24"/>
        </w:rPr>
        <w:t xml:space="preserve">okļa atcelšanas. </w:t>
      </w:r>
      <w:r w:rsidR="006A5EC3" w:rsidRPr="006A5EC3">
        <w:rPr>
          <w:rFonts w:ascii="Times New Roman" w:eastAsia="Calibri" w:hAnsi="Times New Roman" w:cs="Times New Roman"/>
          <w:color w:val="000000"/>
          <w:sz w:val="24"/>
          <w:szCs w:val="24"/>
        </w:rPr>
        <w:t xml:space="preserve">Tādējādi 2017.gadā viens komersants, kurš saņēma garantētu maksu par koģenerācijas elektrostacijā uzstādīto elektrisko jaudu un kura uzstādītā elektriskā jauda bija lielāka par 100 MW, daļēji atteicās no atlikušajā periodā garantētās maksas par koģenerācijas elektrostacijā uzstādīto jaudu, saņemot diskontētu maksājumu, kas tika izteikts kā nākotnē negūto valsts atbalsta ieņēmumu diskontētā vērtība, piemērojot diskontēšanas faktoru 9% apmērā jaudas maksas samazinājumam, un turpmākajā atbalsta periodā ik gadu turpinot saņemt 25% no līdzšinējā atbalsta apmēra. Jāatzīmē, ka diskontētais maksājums (izņemot atlīdzības maksājumu 140 milj. </w:t>
      </w:r>
      <w:proofErr w:type="spellStart"/>
      <w:r w:rsidR="006A5EC3" w:rsidRPr="006A5EC3">
        <w:rPr>
          <w:rFonts w:ascii="Times New Roman" w:eastAsia="Calibri" w:hAnsi="Times New Roman" w:cs="Times New Roman"/>
          <w:i/>
          <w:color w:val="000000"/>
          <w:sz w:val="24"/>
          <w:szCs w:val="24"/>
        </w:rPr>
        <w:t>euro</w:t>
      </w:r>
      <w:proofErr w:type="spellEnd"/>
      <w:r w:rsidR="00E43828">
        <w:rPr>
          <w:rFonts w:ascii="Times New Roman" w:eastAsia="Calibri" w:hAnsi="Times New Roman" w:cs="Times New Roman"/>
          <w:color w:val="000000"/>
          <w:sz w:val="24"/>
          <w:szCs w:val="24"/>
        </w:rPr>
        <w:t xml:space="preserve"> apmērā)</w:t>
      </w:r>
      <w:r w:rsidR="006A5EC3" w:rsidRPr="006A5EC3">
        <w:rPr>
          <w:rFonts w:ascii="Times New Roman" w:eastAsia="Calibri" w:hAnsi="Times New Roman" w:cs="Times New Roman"/>
          <w:color w:val="000000"/>
          <w:sz w:val="24"/>
          <w:szCs w:val="24"/>
        </w:rPr>
        <w:t xml:space="preserve"> tiek proporcionāli atzīts kā vispārējās valdības budžeta izdevumi un attiecīgi komersanta ieņēmumi līdz atbalsta perioda beigām. Savukārt </w:t>
      </w:r>
      <w:r w:rsidR="006A5EC3">
        <w:rPr>
          <w:rFonts w:ascii="Times New Roman" w:eastAsia="Calibri" w:hAnsi="Times New Roman" w:cs="Times New Roman"/>
          <w:color w:val="000000"/>
          <w:sz w:val="24"/>
          <w:szCs w:val="24"/>
        </w:rPr>
        <w:t>2018.</w:t>
      </w:r>
      <w:r w:rsidR="006A5EC3" w:rsidRPr="006A5EC3">
        <w:rPr>
          <w:rFonts w:ascii="Times New Roman" w:eastAsia="Calibri" w:hAnsi="Times New Roman" w:cs="Times New Roman"/>
          <w:color w:val="000000"/>
          <w:sz w:val="24"/>
          <w:szCs w:val="24"/>
        </w:rPr>
        <w:t xml:space="preserve">gadā veiktais darījums 51,7 milj. </w:t>
      </w:r>
      <w:proofErr w:type="spellStart"/>
      <w:r w:rsidR="006A5EC3" w:rsidRPr="006A5EC3">
        <w:rPr>
          <w:rFonts w:ascii="Times New Roman" w:eastAsia="Calibri" w:hAnsi="Times New Roman" w:cs="Times New Roman"/>
          <w:i/>
          <w:color w:val="000000"/>
          <w:sz w:val="24"/>
          <w:szCs w:val="24"/>
        </w:rPr>
        <w:t>euro</w:t>
      </w:r>
      <w:proofErr w:type="spellEnd"/>
      <w:r w:rsidR="006A5EC3" w:rsidRPr="006A5EC3">
        <w:rPr>
          <w:rFonts w:ascii="Times New Roman" w:eastAsia="Calibri" w:hAnsi="Times New Roman" w:cs="Times New Roman"/>
          <w:color w:val="000000"/>
          <w:sz w:val="24"/>
          <w:szCs w:val="24"/>
        </w:rPr>
        <w:t xml:space="preserve"> apmērā samazināja atlikušā vienreizējā maksājuma apjomu, ko līdz atbalsta perioda beigām saņems atjaunojamās elektroenerģijas ražotājs.</w:t>
      </w:r>
      <w:r w:rsidR="006A5EC3">
        <w:t xml:space="preserve"> </w:t>
      </w:r>
    </w:p>
    <w:p w:rsidR="00A34463" w:rsidRPr="005E344C" w:rsidRDefault="00A34463" w:rsidP="005E344C">
      <w:pPr>
        <w:pStyle w:val="Heading2"/>
        <w:numPr>
          <w:ilvl w:val="1"/>
          <w:numId w:val="1"/>
        </w:numPr>
        <w:spacing w:before="240" w:after="120"/>
        <w:ind w:left="993" w:hanging="284"/>
        <w:rPr>
          <w:rFonts w:ascii="Times New Roman" w:hAnsi="Times New Roman" w:cs="Times New Roman"/>
          <w:sz w:val="24"/>
        </w:rPr>
      </w:pPr>
      <w:bookmarkStart w:id="39" w:name="_Toc5627371"/>
      <w:bookmarkStart w:id="40" w:name="_Toc5798626"/>
      <w:r w:rsidRPr="005E344C">
        <w:rPr>
          <w:rFonts w:ascii="Times New Roman" w:hAnsi="Times New Roman" w:cs="Times New Roman"/>
          <w:sz w:val="24"/>
        </w:rPr>
        <w:t>Fiskālās attīstības scenārijs</w:t>
      </w:r>
      <w:bookmarkEnd w:id="36"/>
      <w:bookmarkEnd w:id="39"/>
      <w:bookmarkEnd w:id="40"/>
    </w:p>
    <w:p w:rsidR="003D448B" w:rsidRPr="003D448B" w:rsidRDefault="003D448B" w:rsidP="005379D9">
      <w:pPr>
        <w:spacing w:after="0" w:line="240" w:lineRule="auto"/>
        <w:ind w:firstLine="720"/>
        <w:jc w:val="both"/>
        <w:rPr>
          <w:rFonts w:ascii="Times New Roman" w:eastAsia="Times New Roman" w:hAnsi="Times New Roman" w:cs="Times New Roman"/>
          <w:sz w:val="24"/>
          <w:szCs w:val="24"/>
          <w:highlight w:val="yellow"/>
        </w:rPr>
      </w:pPr>
      <w:r w:rsidRPr="003D448B">
        <w:rPr>
          <w:rFonts w:ascii="Times New Roman" w:eastAsia="Times New Roman" w:hAnsi="Times New Roman" w:cs="Times New Roman"/>
          <w:color w:val="000000"/>
          <w:sz w:val="24"/>
          <w:szCs w:val="20"/>
        </w:rPr>
        <w:t xml:space="preserve">Vispārējās valdības budžeta prognozes </w:t>
      </w:r>
      <w:r w:rsidRPr="003D448B">
        <w:rPr>
          <w:rFonts w:ascii="Times New Roman" w:eastAsia="Times New Roman" w:hAnsi="Times New Roman" w:cs="Times New Roman"/>
          <w:b/>
          <w:color w:val="000000"/>
          <w:sz w:val="24"/>
          <w:szCs w:val="20"/>
        </w:rPr>
        <w:t>pie nemainīgas politikas</w:t>
      </w:r>
      <w:r w:rsidRPr="003D448B">
        <w:rPr>
          <w:rFonts w:ascii="Times New Roman" w:eastAsia="Times New Roman" w:hAnsi="Times New Roman" w:cs="Times New Roman"/>
          <w:color w:val="000000"/>
          <w:sz w:val="24"/>
          <w:szCs w:val="20"/>
        </w:rPr>
        <w:t xml:space="preserve"> vidējam termiņam tika sagatavotas atbilstoši aktualizētajam makroekonomiskās attīstības scenārijam, kas ir pamatā ieņēmumu un izdevumu prognozēm. Tāpat prognozēs tika ņemti vērā apstiprinātie centrālās valdības bāzes izdevumi turpmākajiem trim gadiem, kā arī sagaidāmā attīstība vietējās valdības budžetā, ņemot vērā aktuālās tendences. Sagaidāms, ka vispārējās </w:t>
      </w:r>
      <w:r w:rsidR="00A30C48">
        <w:rPr>
          <w:rFonts w:ascii="Times New Roman" w:eastAsia="Times New Roman" w:hAnsi="Times New Roman" w:cs="Times New Roman"/>
          <w:color w:val="000000"/>
          <w:sz w:val="24"/>
          <w:szCs w:val="20"/>
        </w:rPr>
        <w:t>valdības budžeta deficīts 2019.</w:t>
      </w:r>
      <w:r w:rsidRPr="003D448B">
        <w:rPr>
          <w:rFonts w:ascii="Times New Roman" w:eastAsia="Times New Roman" w:hAnsi="Times New Roman" w:cs="Times New Roman"/>
          <w:color w:val="000000"/>
          <w:sz w:val="24"/>
          <w:szCs w:val="20"/>
        </w:rPr>
        <w:t>gadā būs 0,5% no IKP un tas ir tādā pašā līmenī kā tika prognozēts, sagatavojot budžetu</w:t>
      </w:r>
      <w:r w:rsidR="00A30C48">
        <w:rPr>
          <w:rFonts w:ascii="Times New Roman" w:eastAsia="Times New Roman" w:hAnsi="Times New Roman" w:cs="Times New Roman"/>
          <w:color w:val="000000"/>
          <w:sz w:val="24"/>
          <w:szCs w:val="20"/>
        </w:rPr>
        <w:t xml:space="preserve"> 2019.</w:t>
      </w:r>
      <w:r w:rsidRPr="003D448B">
        <w:rPr>
          <w:rFonts w:ascii="Times New Roman" w:eastAsia="Times New Roman" w:hAnsi="Times New Roman" w:cs="Times New Roman"/>
          <w:color w:val="000000"/>
          <w:sz w:val="24"/>
          <w:szCs w:val="20"/>
        </w:rPr>
        <w:t xml:space="preserve">gadam. Vidējā termiņā vispārējās valdības budžetā scenārijā </w:t>
      </w:r>
      <w:r w:rsidR="00A30C48">
        <w:rPr>
          <w:rFonts w:ascii="Times New Roman" w:eastAsia="Times New Roman" w:hAnsi="Times New Roman" w:cs="Times New Roman"/>
          <w:color w:val="000000"/>
          <w:sz w:val="24"/>
          <w:szCs w:val="20"/>
        </w:rPr>
        <w:t>pie nemainīgas politikas, 2020.</w:t>
      </w:r>
      <w:r w:rsidRPr="003D448B">
        <w:rPr>
          <w:rFonts w:ascii="Times New Roman" w:eastAsia="Times New Roman" w:hAnsi="Times New Roman" w:cs="Times New Roman"/>
          <w:color w:val="000000"/>
          <w:sz w:val="24"/>
          <w:szCs w:val="20"/>
        </w:rPr>
        <w:t>gadā tiek prognozēts deficīts 0,3%</w:t>
      </w:r>
      <w:r w:rsidR="00A30C48">
        <w:rPr>
          <w:rFonts w:ascii="Times New Roman" w:eastAsia="Times New Roman" w:hAnsi="Times New Roman" w:cs="Times New Roman"/>
          <w:color w:val="000000"/>
          <w:sz w:val="24"/>
          <w:szCs w:val="20"/>
        </w:rPr>
        <w:t xml:space="preserve"> no IKP, 2021.</w:t>
      </w:r>
      <w:r w:rsidRPr="003D448B">
        <w:rPr>
          <w:rFonts w:ascii="Times New Roman" w:eastAsia="Times New Roman" w:hAnsi="Times New Roman" w:cs="Times New Roman"/>
          <w:color w:val="000000"/>
          <w:sz w:val="24"/>
          <w:szCs w:val="20"/>
        </w:rPr>
        <w:t>gadā defic</w:t>
      </w:r>
      <w:r w:rsidR="00A30C48">
        <w:rPr>
          <w:rFonts w:ascii="Times New Roman" w:eastAsia="Times New Roman" w:hAnsi="Times New Roman" w:cs="Times New Roman"/>
          <w:color w:val="000000"/>
          <w:sz w:val="24"/>
          <w:szCs w:val="20"/>
        </w:rPr>
        <w:t>īts 0,4% apmērā no IKP un 2022.</w:t>
      </w:r>
      <w:r w:rsidRPr="003D448B">
        <w:rPr>
          <w:rFonts w:ascii="Times New Roman" w:eastAsia="Times New Roman" w:hAnsi="Times New Roman" w:cs="Times New Roman"/>
          <w:color w:val="000000"/>
          <w:sz w:val="24"/>
          <w:szCs w:val="20"/>
        </w:rPr>
        <w:t>gadā pārpalikums 0,2% apmērā no IKP.</w:t>
      </w:r>
      <w:r w:rsidRPr="003D448B">
        <w:rPr>
          <w:rFonts w:ascii="Times New Roman" w:eastAsia="Times New Roman" w:hAnsi="Times New Roman" w:cs="Times New Roman"/>
          <w:sz w:val="24"/>
          <w:szCs w:val="24"/>
          <w:highlight w:val="yellow"/>
        </w:rPr>
        <w:t xml:space="preserve"> </w:t>
      </w:r>
    </w:p>
    <w:p w:rsidR="003D448B" w:rsidRPr="003D448B" w:rsidRDefault="003D448B" w:rsidP="005379D9">
      <w:pPr>
        <w:spacing w:after="0" w:line="240" w:lineRule="auto"/>
        <w:ind w:firstLine="720"/>
        <w:jc w:val="both"/>
        <w:rPr>
          <w:rFonts w:ascii="Times New Roman" w:eastAsia="Times New Roman" w:hAnsi="Times New Roman" w:cs="Times New Roman"/>
          <w:sz w:val="24"/>
          <w:szCs w:val="24"/>
        </w:rPr>
      </w:pPr>
      <w:r w:rsidRPr="003D448B">
        <w:rPr>
          <w:rFonts w:ascii="Times New Roman" w:eastAsia="Times New Roman" w:hAnsi="Times New Roman" w:cs="Times New Roman"/>
          <w:sz w:val="24"/>
          <w:szCs w:val="24"/>
        </w:rPr>
        <w:t>Atbilstoši prognozēm vispārējās valdīb</w:t>
      </w:r>
      <w:r w:rsidR="00A30C48">
        <w:rPr>
          <w:rFonts w:ascii="Times New Roman" w:eastAsia="Times New Roman" w:hAnsi="Times New Roman" w:cs="Times New Roman"/>
          <w:sz w:val="24"/>
          <w:szCs w:val="24"/>
        </w:rPr>
        <w:t>as ieņēmumu īpatsvars IKP 2019.</w:t>
      </w:r>
      <w:r w:rsidRPr="003D448B">
        <w:rPr>
          <w:rFonts w:ascii="Times New Roman" w:eastAsia="Times New Roman" w:hAnsi="Times New Roman" w:cs="Times New Roman"/>
          <w:sz w:val="24"/>
          <w:szCs w:val="24"/>
        </w:rPr>
        <w:t>gadā būs 36,2% no IKP, savu</w:t>
      </w:r>
      <w:r w:rsidR="00A30C48">
        <w:rPr>
          <w:rFonts w:ascii="Times New Roman" w:eastAsia="Times New Roman" w:hAnsi="Times New Roman" w:cs="Times New Roman"/>
          <w:sz w:val="24"/>
          <w:szCs w:val="24"/>
        </w:rPr>
        <w:t>kārt 2020.gadā, 2021. un 2022.</w:t>
      </w:r>
      <w:r w:rsidRPr="003D448B">
        <w:rPr>
          <w:rFonts w:ascii="Times New Roman" w:eastAsia="Times New Roman" w:hAnsi="Times New Roman" w:cs="Times New Roman"/>
          <w:sz w:val="24"/>
          <w:szCs w:val="24"/>
        </w:rPr>
        <w:t>gadā tas samazināsies attiecīgi līdz 35,9%, 35,4% un 34,9% no IKP. Ieņēmumu īpatsvara samazināšanos ietekmēs prognozēto ieņēmumu kritums lauku un zivsaimniecības programmu finansēju</w:t>
      </w:r>
      <w:r w:rsidR="00A30C48">
        <w:rPr>
          <w:rFonts w:ascii="Times New Roman" w:eastAsia="Times New Roman" w:hAnsi="Times New Roman" w:cs="Times New Roman"/>
          <w:sz w:val="24"/>
          <w:szCs w:val="24"/>
        </w:rPr>
        <w:t>mā, kas saistīts ar 2014.</w:t>
      </w:r>
      <w:r w:rsidR="0093176F">
        <w:rPr>
          <w:rFonts w:ascii="Times New Roman" w:eastAsia="Calibri" w:hAnsi="Times New Roman"/>
          <w:color w:val="000000"/>
          <w:szCs w:val="24"/>
        </w:rPr>
        <w:t xml:space="preserve"> – </w:t>
      </w:r>
      <w:r w:rsidR="00A30C48">
        <w:rPr>
          <w:rFonts w:ascii="Times New Roman" w:eastAsia="Times New Roman" w:hAnsi="Times New Roman" w:cs="Times New Roman"/>
          <w:sz w:val="24"/>
          <w:szCs w:val="24"/>
        </w:rPr>
        <w:t>2020.</w:t>
      </w:r>
      <w:r w:rsidRPr="003D448B">
        <w:rPr>
          <w:rFonts w:ascii="Times New Roman" w:eastAsia="Times New Roman" w:hAnsi="Times New Roman" w:cs="Times New Roman"/>
          <w:sz w:val="24"/>
          <w:szCs w:val="24"/>
        </w:rPr>
        <w:t xml:space="preserve">gada plānošanas perioda noslēguma posmu. Tāpat samazinās iedzīvotāju ienākuma nodokļa ieņēmumu īpatsvars attiecībā pret IKP un budžetā plānotais saņemto dividenžu apmērs no publiskā sektora kapitālsabiedrībām. Sagaidāms, ka vispārējās valdības izdevumu īpatsvars IKP līdzīgi kā ieņēmumi vidējā termiņā ik gadu samazināsies, lai gan nominālā izteiksmē gan ieņēmumu, gan izdevumu apjoms pieaugs. </w:t>
      </w:r>
    </w:p>
    <w:p w:rsidR="005379D9" w:rsidRPr="00652E0F" w:rsidRDefault="005379D9" w:rsidP="003D448B">
      <w:pPr>
        <w:spacing w:after="0" w:line="276" w:lineRule="auto"/>
        <w:ind w:firstLine="720"/>
        <w:jc w:val="right"/>
        <w:rPr>
          <w:rFonts w:ascii="Times New Roman" w:eastAsiaTheme="minorHAnsi" w:hAnsi="Times New Roman" w:cs="Times New Roman"/>
          <w:b/>
          <w:sz w:val="16"/>
          <w:szCs w:val="16"/>
        </w:rPr>
      </w:pPr>
    </w:p>
    <w:p w:rsidR="004B1C2A" w:rsidRDefault="004B1C2A">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rsidR="003D448B" w:rsidRPr="003D448B" w:rsidRDefault="003D448B" w:rsidP="003D448B">
      <w:pPr>
        <w:spacing w:after="0" w:line="276" w:lineRule="auto"/>
        <w:ind w:firstLine="720"/>
        <w:jc w:val="right"/>
        <w:rPr>
          <w:rFonts w:ascii="Times New Roman" w:eastAsiaTheme="minorHAnsi" w:hAnsi="Times New Roman" w:cs="Times New Roman"/>
          <w:b/>
          <w:sz w:val="24"/>
          <w:szCs w:val="24"/>
        </w:rPr>
      </w:pPr>
      <w:r w:rsidRPr="003D448B">
        <w:rPr>
          <w:rFonts w:ascii="Times New Roman" w:eastAsiaTheme="minorHAnsi" w:hAnsi="Times New Roman" w:cs="Times New Roman"/>
          <w:b/>
          <w:sz w:val="24"/>
          <w:szCs w:val="24"/>
        </w:rPr>
        <w:lastRenderedPageBreak/>
        <w:t>3.</w:t>
      </w:r>
      <w:r w:rsidR="0040629E">
        <w:rPr>
          <w:rFonts w:ascii="Times New Roman" w:eastAsiaTheme="minorHAnsi" w:hAnsi="Times New Roman" w:cs="Times New Roman"/>
          <w:b/>
          <w:sz w:val="24"/>
          <w:szCs w:val="24"/>
        </w:rPr>
        <w:t>9</w:t>
      </w:r>
      <w:r w:rsidRPr="003D448B">
        <w:rPr>
          <w:rFonts w:ascii="Times New Roman" w:eastAsiaTheme="minorHAnsi" w:hAnsi="Times New Roman" w:cs="Times New Roman"/>
          <w:b/>
          <w:sz w:val="24"/>
          <w:szCs w:val="24"/>
        </w:rPr>
        <w:t>. tabula. Vidējā termiņa budžeta scenārijs pie nemainīgas politikas</w:t>
      </w:r>
    </w:p>
    <w:tbl>
      <w:tblPr>
        <w:tblStyle w:val="TableGrid6"/>
        <w:tblW w:w="8573"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3187"/>
        <w:gridCol w:w="1044"/>
        <w:gridCol w:w="940"/>
        <w:gridCol w:w="851"/>
        <w:gridCol w:w="850"/>
        <w:gridCol w:w="851"/>
        <w:gridCol w:w="850"/>
      </w:tblGrid>
      <w:tr w:rsidR="003D448B" w:rsidRPr="005379D9" w:rsidTr="008325B9">
        <w:trPr>
          <w:jc w:val="center"/>
        </w:trPr>
        <w:tc>
          <w:tcPr>
            <w:tcW w:w="3187" w:type="dxa"/>
            <w:shd w:val="clear" w:color="auto" w:fill="DEEAF6"/>
          </w:tcPr>
          <w:p w:rsidR="003D448B" w:rsidRPr="005379D9" w:rsidRDefault="003D448B" w:rsidP="003D448B">
            <w:pPr>
              <w:jc w:val="center"/>
              <w:rPr>
                <w:rFonts w:eastAsia="Times New Roman" w:cs="Times New Roman"/>
                <w:b/>
                <w:sz w:val="20"/>
                <w:szCs w:val="20"/>
              </w:rPr>
            </w:pPr>
          </w:p>
        </w:tc>
        <w:tc>
          <w:tcPr>
            <w:tcW w:w="1044" w:type="dxa"/>
            <w:shd w:val="clear" w:color="auto" w:fill="DEEAF6"/>
          </w:tcPr>
          <w:p w:rsidR="003D448B" w:rsidRPr="005379D9" w:rsidRDefault="003D448B" w:rsidP="003D448B">
            <w:pPr>
              <w:jc w:val="center"/>
              <w:rPr>
                <w:rFonts w:eastAsia="Times New Roman" w:cs="Times New Roman"/>
                <w:b/>
                <w:sz w:val="20"/>
                <w:szCs w:val="20"/>
              </w:rPr>
            </w:pPr>
          </w:p>
        </w:tc>
        <w:tc>
          <w:tcPr>
            <w:tcW w:w="940" w:type="dxa"/>
            <w:shd w:val="clear" w:color="auto" w:fill="DEEAF6"/>
          </w:tcPr>
          <w:p w:rsidR="003D448B" w:rsidRPr="005379D9" w:rsidRDefault="003D448B" w:rsidP="003D448B">
            <w:pPr>
              <w:jc w:val="center"/>
              <w:rPr>
                <w:rFonts w:eastAsia="Times New Roman" w:cs="Times New Roman"/>
                <w:b/>
                <w:sz w:val="20"/>
                <w:szCs w:val="20"/>
              </w:rPr>
            </w:pPr>
            <w:r w:rsidRPr="005379D9">
              <w:rPr>
                <w:rFonts w:eastAsia="Times New Roman" w:cs="Times New Roman"/>
                <w:b/>
                <w:sz w:val="20"/>
                <w:szCs w:val="20"/>
              </w:rPr>
              <w:t>2018</w:t>
            </w:r>
          </w:p>
        </w:tc>
        <w:tc>
          <w:tcPr>
            <w:tcW w:w="851" w:type="dxa"/>
            <w:shd w:val="clear" w:color="auto" w:fill="DEEAF6"/>
          </w:tcPr>
          <w:p w:rsidR="003D448B" w:rsidRPr="005379D9" w:rsidRDefault="003D448B" w:rsidP="003D448B">
            <w:pPr>
              <w:jc w:val="center"/>
              <w:rPr>
                <w:rFonts w:eastAsia="Times New Roman" w:cs="Times New Roman"/>
                <w:b/>
                <w:sz w:val="20"/>
                <w:szCs w:val="20"/>
              </w:rPr>
            </w:pPr>
            <w:r w:rsidRPr="005379D9">
              <w:rPr>
                <w:rFonts w:eastAsia="Times New Roman" w:cs="Times New Roman"/>
                <w:b/>
                <w:sz w:val="20"/>
                <w:szCs w:val="20"/>
              </w:rPr>
              <w:t>2019</w:t>
            </w:r>
          </w:p>
        </w:tc>
        <w:tc>
          <w:tcPr>
            <w:tcW w:w="850" w:type="dxa"/>
            <w:shd w:val="clear" w:color="auto" w:fill="DEEAF6"/>
          </w:tcPr>
          <w:p w:rsidR="003D448B" w:rsidRPr="005379D9" w:rsidRDefault="003D448B" w:rsidP="003D448B">
            <w:pPr>
              <w:jc w:val="center"/>
              <w:rPr>
                <w:rFonts w:eastAsia="Times New Roman" w:cs="Times New Roman"/>
                <w:b/>
                <w:sz w:val="20"/>
                <w:szCs w:val="20"/>
              </w:rPr>
            </w:pPr>
            <w:r w:rsidRPr="005379D9">
              <w:rPr>
                <w:rFonts w:eastAsia="Times New Roman" w:cs="Times New Roman"/>
                <w:b/>
                <w:sz w:val="20"/>
                <w:szCs w:val="20"/>
              </w:rPr>
              <w:t>2020</w:t>
            </w:r>
          </w:p>
        </w:tc>
        <w:tc>
          <w:tcPr>
            <w:tcW w:w="851" w:type="dxa"/>
            <w:shd w:val="clear" w:color="auto" w:fill="DEEAF6"/>
          </w:tcPr>
          <w:p w:rsidR="003D448B" w:rsidRPr="005379D9" w:rsidRDefault="003D448B" w:rsidP="003D448B">
            <w:pPr>
              <w:jc w:val="center"/>
              <w:rPr>
                <w:rFonts w:eastAsia="Times New Roman" w:cs="Times New Roman"/>
                <w:b/>
                <w:sz w:val="20"/>
                <w:szCs w:val="20"/>
              </w:rPr>
            </w:pPr>
            <w:r w:rsidRPr="005379D9">
              <w:rPr>
                <w:rFonts w:eastAsia="Times New Roman" w:cs="Times New Roman"/>
                <w:b/>
                <w:sz w:val="20"/>
                <w:szCs w:val="20"/>
              </w:rPr>
              <w:t>2021</w:t>
            </w:r>
          </w:p>
        </w:tc>
        <w:tc>
          <w:tcPr>
            <w:tcW w:w="850" w:type="dxa"/>
            <w:shd w:val="clear" w:color="auto" w:fill="DEEAF6"/>
          </w:tcPr>
          <w:p w:rsidR="003D448B" w:rsidRPr="005379D9" w:rsidRDefault="003D448B" w:rsidP="003D448B">
            <w:pPr>
              <w:jc w:val="center"/>
              <w:rPr>
                <w:rFonts w:eastAsia="Times New Roman" w:cs="Times New Roman"/>
                <w:b/>
                <w:sz w:val="20"/>
                <w:szCs w:val="20"/>
              </w:rPr>
            </w:pPr>
            <w:r w:rsidRPr="005379D9">
              <w:rPr>
                <w:rFonts w:eastAsia="Times New Roman" w:cs="Times New Roman"/>
                <w:b/>
                <w:sz w:val="20"/>
                <w:szCs w:val="20"/>
              </w:rPr>
              <w:t>2022</w:t>
            </w:r>
          </w:p>
        </w:tc>
      </w:tr>
      <w:tr w:rsidR="003D448B" w:rsidRPr="005379D9" w:rsidTr="008325B9">
        <w:trPr>
          <w:jc w:val="center"/>
        </w:trPr>
        <w:tc>
          <w:tcPr>
            <w:tcW w:w="3187" w:type="dxa"/>
          </w:tcPr>
          <w:p w:rsidR="003D448B" w:rsidRPr="005379D9" w:rsidRDefault="003D448B" w:rsidP="003D448B">
            <w:pPr>
              <w:rPr>
                <w:rFonts w:eastAsia="Times New Roman" w:cs="Times New Roman"/>
                <w:sz w:val="20"/>
                <w:szCs w:val="20"/>
              </w:rPr>
            </w:pPr>
          </w:p>
        </w:tc>
        <w:tc>
          <w:tcPr>
            <w:tcW w:w="1044" w:type="dxa"/>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EKS kods</w:t>
            </w:r>
          </w:p>
        </w:tc>
        <w:tc>
          <w:tcPr>
            <w:tcW w:w="4342" w:type="dxa"/>
            <w:gridSpan w:val="5"/>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 no IKP</w:t>
            </w:r>
          </w:p>
        </w:tc>
      </w:tr>
      <w:tr w:rsidR="003D448B" w:rsidRPr="005379D9" w:rsidTr="008325B9">
        <w:trPr>
          <w:jc w:val="center"/>
        </w:trPr>
        <w:tc>
          <w:tcPr>
            <w:tcW w:w="8573" w:type="dxa"/>
            <w:gridSpan w:val="7"/>
            <w:shd w:val="clear" w:color="auto" w:fill="DEEAF6"/>
          </w:tcPr>
          <w:p w:rsidR="003D448B" w:rsidRPr="005379D9" w:rsidRDefault="003D448B" w:rsidP="003D448B">
            <w:pPr>
              <w:ind w:firstLine="720"/>
              <w:jc w:val="center"/>
              <w:rPr>
                <w:rFonts w:eastAsia="Times New Roman" w:cs="Times New Roman"/>
                <w:b/>
                <w:noProof/>
                <w:snapToGrid w:val="0"/>
                <w:sz w:val="20"/>
                <w:szCs w:val="20"/>
              </w:rPr>
            </w:pPr>
            <w:r w:rsidRPr="005379D9">
              <w:rPr>
                <w:rFonts w:eastAsia="Times New Roman" w:cs="Times New Roman"/>
                <w:b/>
                <w:snapToGrid w:val="0"/>
                <w:sz w:val="20"/>
                <w:szCs w:val="20"/>
              </w:rPr>
              <w:t xml:space="preserve">Neto aizdevumi (+) vai aizņēmumi (-) (B.9) pa </w:t>
            </w:r>
            <w:r w:rsidRPr="005379D9">
              <w:rPr>
                <w:rFonts w:eastAsia="Times New Roman" w:cs="Times New Roman"/>
                <w:b/>
                <w:noProof/>
                <w:snapToGrid w:val="0"/>
                <w:sz w:val="20"/>
                <w:szCs w:val="20"/>
              </w:rPr>
              <w:t>apakšsektoriem</w:t>
            </w:r>
          </w:p>
        </w:tc>
      </w:tr>
      <w:tr w:rsidR="003D448B" w:rsidRPr="005379D9" w:rsidTr="008325B9">
        <w:trPr>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Vispārējā valdība</w:t>
            </w:r>
          </w:p>
        </w:tc>
        <w:tc>
          <w:tcPr>
            <w:tcW w:w="1044" w:type="dxa"/>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S.13</w:t>
            </w:r>
          </w:p>
        </w:tc>
        <w:tc>
          <w:tcPr>
            <w:tcW w:w="94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-0,7</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-0,5</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-0,3</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-0,4</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0,2</w:t>
            </w:r>
          </w:p>
        </w:tc>
      </w:tr>
      <w:tr w:rsidR="003D448B" w:rsidRPr="005379D9" w:rsidTr="008325B9">
        <w:trPr>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Centrālā valdība</w:t>
            </w:r>
          </w:p>
        </w:tc>
        <w:tc>
          <w:tcPr>
            <w:tcW w:w="1044" w:type="dxa"/>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S.1311</w:t>
            </w:r>
          </w:p>
        </w:tc>
        <w:tc>
          <w:tcPr>
            <w:tcW w:w="94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-0,8</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-0,9</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-0,7</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-0,7</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-0,1</w:t>
            </w:r>
          </w:p>
        </w:tc>
      </w:tr>
      <w:tr w:rsidR="003D448B" w:rsidRPr="005379D9" w:rsidTr="008325B9">
        <w:trPr>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Vietējā valdība</w:t>
            </w:r>
          </w:p>
        </w:tc>
        <w:tc>
          <w:tcPr>
            <w:tcW w:w="1044" w:type="dxa"/>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S.1313</w:t>
            </w:r>
          </w:p>
        </w:tc>
        <w:tc>
          <w:tcPr>
            <w:tcW w:w="94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-0,5</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-0,3</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-0,1</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0,0</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0,0</w:t>
            </w:r>
          </w:p>
        </w:tc>
      </w:tr>
      <w:tr w:rsidR="003D448B" w:rsidRPr="005379D9" w:rsidTr="008325B9">
        <w:trPr>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Sociālās nodrošināšanas fondi</w:t>
            </w:r>
          </w:p>
        </w:tc>
        <w:tc>
          <w:tcPr>
            <w:tcW w:w="1044" w:type="dxa"/>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S.1314</w:t>
            </w:r>
          </w:p>
        </w:tc>
        <w:tc>
          <w:tcPr>
            <w:tcW w:w="94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0,6</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0,7</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0,4</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0,3</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0,3</w:t>
            </w:r>
          </w:p>
        </w:tc>
      </w:tr>
      <w:tr w:rsidR="003D448B" w:rsidRPr="005379D9" w:rsidTr="008325B9">
        <w:trPr>
          <w:jc w:val="center"/>
        </w:trPr>
        <w:tc>
          <w:tcPr>
            <w:tcW w:w="8573" w:type="dxa"/>
            <w:gridSpan w:val="7"/>
            <w:shd w:val="clear" w:color="auto" w:fill="DEEAF6"/>
          </w:tcPr>
          <w:p w:rsidR="003D448B" w:rsidRPr="005379D9" w:rsidRDefault="003D448B" w:rsidP="003D448B">
            <w:pPr>
              <w:ind w:firstLine="720"/>
              <w:jc w:val="center"/>
              <w:rPr>
                <w:rFonts w:eastAsia="Times New Roman" w:cs="Times New Roman"/>
                <w:b/>
                <w:snapToGrid w:val="0"/>
                <w:sz w:val="20"/>
                <w:szCs w:val="20"/>
              </w:rPr>
            </w:pPr>
            <w:r w:rsidRPr="005379D9">
              <w:rPr>
                <w:rFonts w:eastAsia="Times New Roman" w:cs="Times New Roman"/>
                <w:b/>
                <w:snapToGrid w:val="0"/>
                <w:sz w:val="20"/>
                <w:szCs w:val="20"/>
              </w:rPr>
              <w:t>Vispārējā valdība (S.13)</w:t>
            </w:r>
          </w:p>
        </w:tc>
      </w:tr>
      <w:tr w:rsidR="003D448B" w:rsidRPr="005379D9" w:rsidTr="008325B9">
        <w:trPr>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 xml:space="preserve">Kopējie ieņēmumi </w:t>
            </w:r>
          </w:p>
        </w:tc>
        <w:tc>
          <w:tcPr>
            <w:tcW w:w="1044" w:type="dxa"/>
            <w:shd w:val="clear" w:color="auto" w:fill="auto"/>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TR</w:t>
            </w:r>
          </w:p>
        </w:tc>
        <w:tc>
          <w:tcPr>
            <w:tcW w:w="94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37,1</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36,2</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35,9</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35,4</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34,9</w:t>
            </w:r>
          </w:p>
        </w:tc>
      </w:tr>
      <w:tr w:rsidR="003D448B" w:rsidRPr="005379D9" w:rsidTr="008325B9">
        <w:trPr>
          <w:trHeight w:val="158"/>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Kopējie izdevumi</w:t>
            </w:r>
          </w:p>
        </w:tc>
        <w:tc>
          <w:tcPr>
            <w:tcW w:w="1044" w:type="dxa"/>
            <w:shd w:val="clear" w:color="auto" w:fill="auto"/>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TE</w:t>
            </w:r>
          </w:p>
        </w:tc>
        <w:tc>
          <w:tcPr>
            <w:tcW w:w="94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37,7</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36,7</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36,3</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35,8</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34,6</w:t>
            </w:r>
          </w:p>
        </w:tc>
      </w:tr>
      <w:tr w:rsidR="003D448B" w:rsidRPr="005379D9" w:rsidTr="008325B9">
        <w:trPr>
          <w:trHeight w:val="70"/>
          <w:jc w:val="center"/>
        </w:trPr>
        <w:tc>
          <w:tcPr>
            <w:tcW w:w="3187" w:type="dxa"/>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Procentu izdevumi</w:t>
            </w:r>
          </w:p>
        </w:tc>
        <w:tc>
          <w:tcPr>
            <w:tcW w:w="1044" w:type="dxa"/>
          </w:tcPr>
          <w:p w:rsidR="003D448B" w:rsidRPr="005379D9" w:rsidRDefault="003D448B" w:rsidP="003D448B">
            <w:pPr>
              <w:jc w:val="center"/>
              <w:rPr>
                <w:rFonts w:eastAsia="Times New Roman" w:cs="Times New Roman"/>
                <w:sz w:val="20"/>
                <w:szCs w:val="20"/>
              </w:rPr>
            </w:pPr>
            <w:r w:rsidRPr="005379D9">
              <w:rPr>
                <w:rFonts w:eastAsia="Times New Roman" w:cs="Times New Roman"/>
                <w:sz w:val="20"/>
                <w:szCs w:val="20"/>
              </w:rPr>
              <w:t>D.41</w:t>
            </w:r>
          </w:p>
        </w:tc>
        <w:tc>
          <w:tcPr>
            <w:tcW w:w="94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0,8</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0,7</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0,8</w:t>
            </w:r>
          </w:p>
        </w:tc>
        <w:tc>
          <w:tcPr>
            <w:tcW w:w="851"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0,8</w:t>
            </w:r>
          </w:p>
        </w:tc>
        <w:tc>
          <w:tcPr>
            <w:tcW w:w="850" w:type="dxa"/>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color w:val="000000"/>
                <w:sz w:val="20"/>
                <w:szCs w:val="20"/>
              </w:rPr>
              <w:t>0,8</w:t>
            </w:r>
          </w:p>
        </w:tc>
      </w:tr>
      <w:tr w:rsidR="003D448B" w:rsidRPr="005379D9" w:rsidTr="008325B9">
        <w:trPr>
          <w:jc w:val="center"/>
        </w:trPr>
        <w:tc>
          <w:tcPr>
            <w:tcW w:w="8573" w:type="dxa"/>
            <w:gridSpan w:val="7"/>
            <w:shd w:val="clear" w:color="auto" w:fill="DEEAF6"/>
          </w:tcPr>
          <w:p w:rsidR="003D448B" w:rsidRPr="005379D9" w:rsidRDefault="003D448B" w:rsidP="003D448B">
            <w:pPr>
              <w:ind w:firstLine="720"/>
              <w:jc w:val="center"/>
              <w:rPr>
                <w:rFonts w:eastAsia="Times New Roman" w:cs="Times New Roman"/>
                <w:b/>
                <w:snapToGrid w:val="0"/>
                <w:sz w:val="20"/>
                <w:szCs w:val="20"/>
              </w:rPr>
            </w:pPr>
            <w:r w:rsidRPr="005379D9">
              <w:rPr>
                <w:rFonts w:eastAsia="Times New Roman" w:cs="Times New Roman"/>
                <w:b/>
                <w:snapToGrid w:val="0"/>
                <w:sz w:val="20"/>
                <w:szCs w:val="20"/>
              </w:rPr>
              <w:t>Cikliskā attīstība</w:t>
            </w:r>
          </w:p>
        </w:tc>
      </w:tr>
      <w:tr w:rsidR="003D448B" w:rsidRPr="005379D9" w:rsidTr="008325B9">
        <w:trPr>
          <w:jc w:val="center"/>
        </w:trPr>
        <w:tc>
          <w:tcPr>
            <w:tcW w:w="3187" w:type="dxa"/>
            <w:shd w:val="clear" w:color="auto" w:fill="auto"/>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Budžeta bilances cikliskā komponente</w:t>
            </w:r>
            <w:r w:rsidRPr="005379D9">
              <w:rPr>
                <w:rFonts w:ascii="Garamond" w:eastAsia="Times New Roman" w:hAnsi="Garamond" w:cs="Times New Roman"/>
                <w:b/>
                <w:snapToGrid w:val="0"/>
                <w:sz w:val="20"/>
                <w:szCs w:val="20"/>
                <w:vertAlign w:val="superscript"/>
              </w:rPr>
              <w:footnoteReference w:id="18"/>
            </w:r>
          </w:p>
        </w:tc>
        <w:tc>
          <w:tcPr>
            <w:tcW w:w="1044" w:type="dxa"/>
            <w:shd w:val="clear" w:color="auto" w:fill="auto"/>
          </w:tcPr>
          <w:p w:rsidR="003D448B" w:rsidRPr="005379D9" w:rsidRDefault="003D448B" w:rsidP="003D448B">
            <w:pPr>
              <w:rPr>
                <w:rFonts w:eastAsia="Times New Roman" w:cs="Times New Roman"/>
                <w:sz w:val="20"/>
                <w:szCs w:val="20"/>
              </w:rPr>
            </w:pPr>
          </w:p>
        </w:tc>
        <w:tc>
          <w:tcPr>
            <w:tcW w:w="940" w:type="dxa"/>
            <w:shd w:val="clear" w:color="auto" w:fill="auto"/>
            <w:vAlign w:val="bottom"/>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sz w:val="20"/>
                <w:szCs w:val="20"/>
              </w:rPr>
              <w:t>0,7</w:t>
            </w:r>
          </w:p>
        </w:tc>
        <w:tc>
          <w:tcPr>
            <w:tcW w:w="851" w:type="dxa"/>
            <w:shd w:val="clear" w:color="auto" w:fill="auto"/>
            <w:vAlign w:val="bottom"/>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sz w:val="20"/>
                <w:szCs w:val="20"/>
              </w:rPr>
              <w:t>0,5</w:t>
            </w:r>
          </w:p>
        </w:tc>
        <w:tc>
          <w:tcPr>
            <w:tcW w:w="850" w:type="dxa"/>
            <w:shd w:val="clear" w:color="auto" w:fill="auto"/>
            <w:vAlign w:val="bottom"/>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sz w:val="20"/>
                <w:szCs w:val="20"/>
              </w:rPr>
              <w:t>0,4</w:t>
            </w:r>
          </w:p>
        </w:tc>
        <w:tc>
          <w:tcPr>
            <w:tcW w:w="851" w:type="dxa"/>
            <w:shd w:val="clear" w:color="auto" w:fill="auto"/>
            <w:vAlign w:val="bottom"/>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sz w:val="20"/>
                <w:szCs w:val="20"/>
              </w:rPr>
              <w:t>0,3</w:t>
            </w:r>
          </w:p>
        </w:tc>
        <w:tc>
          <w:tcPr>
            <w:tcW w:w="850" w:type="dxa"/>
            <w:shd w:val="clear" w:color="auto" w:fill="auto"/>
            <w:vAlign w:val="bottom"/>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sz w:val="20"/>
                <w:szCs w:val="20"/>
              </w:rPr>
              <w:t>0,2</w:t>
            </w:r>
          </w:p>
        </w:tc>
      </w:tr>
      <w:tr w:rsidR="003D448B" w:rsidRPr="005379D9" w:rsidTr="008325B9">
        <w:trPr>
          <w:jc w:val="center"/>
        </w:trPr>
        <w:tc>
          <w:tcPr>
            <w:tcW w:w="3187" w:type="dxa"/>
            <w:shd w:val="clear" w:color="auto" w:fill="auto"/>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Vienreizējie pasākumi</w:t>
            </w:r>
            <w:r w:rsidR="00CC62E7">
              <w:rPr>
                <w:rStyle w:val="FootnoteReference"/>
                <w:rFonts w:eastAsia="Times New Roman" w:cs="Times New Roman"/>
                <w:b/>
                <w:snapToGrid w:val="0"/>
                <w:szCs w:val="20"/>
              </w:rPr>
              <w:footnoteReference w:id="19"/>
            </w:r>
          </w:p>
        </w:tc>
        <w:tc>
          <w:tcPr>
            <w:tcW w:w="1044" w:type="dxa"/>
            <w:shd w:val="clear" w:color="auto" w:fill="auto"/>
          </w:tcPr>
          <w:p w:rsidR="003D448B" w:rsidRPr="005379D9" w:rsidRDefault="003D448B" w:rsidP="003D448B">
            <w:pPr>
              <w:rPr>
                <w:rFonts w:eastAsia="Times New Roman" w:cs="Times New Roman"/>
                <w:sz w:val="20"/>
                <w:szCs w:val="20"/>
              </w:rPr>
            </w:pPr>
          </w:p>
        </w:tc>
        <w:tc>
          <w:tcPr>
            <w:tcW w:w="940" w:type="dxa"/>
            <w:shd w:val="clear" w:color="auto" w:fill="auto"/>
            <w:vAlign w:val="bottom"/>
          </w:tcPr>
          <w:p w:rsidR="003D448B" w:rsidRPr="005379D9" w:rsidRDefault="003D448B" w:rsidP="00A30C48">
            <w:pPr>
              <w:jc w:val="center"/>
              <w:rPr>
                <w:rFonts w:eastAsia="Times New Roman" w:cs="Times New Roman"/>
                <w:snapToGrid w:val="0"/>
                <w:sz w:val="20"/>
                <w:szCs w:val="20"/>
              </w:rPr>
            </w:pPr>
          </w:p>
        </w:tc>
        <w:tc>
          <w:tcPr>
            <w:tcW w:w="851" w:type="dxa"/>
            <w:shd w:val="clear" w:color="auto" w:fill="auto"/>
            <w:vAlign w:val="center"/>
          </w:tcPr>
          <w:p w:rsidR="003D448B" w:rsidRPr="005379D9" w:rsidRDefault="003D448B" w:rsidP="005379D9">
            <w:pPr>
              <w:jc w:val="center"/>
              <w:rPr>
                <w:rFonts w:eastAsia="Times New Roman" w:cs="Times New Roman"/>
                <w:snapToGrid w:val="0"/>
                <w:sz w:val="20"/>
                <w:szCs w:val="20"/>
              </w:rPr>
            </w:pPr>
            <w:r w:rsidRPr="005379D9">
              <w:rPr>
                <w:rFonts w:eastAsia="Times New Roman" w:cs="Times New Roman"/>
                <w:snapToGrid w:val="0"/>
                <w:sz w:val="20"/>
                <w:szCs w:val="20"/>
              </w:rPr>
              <w:t>0,1</w:t>
            </w:r>
          </w:p>
        </w:tc>
        <w:tc>
          <w:tcPr>
            <w:tcW w:w="850" w:type="dxa"/>
            <w:shd w:val="clear" w:color="auto" w:fill="auto"/>
            <w:vAlign w:val="bottom"/>
          </w:tcPr>
          <w:p w:rsidR="003D448B" w:rsidRPr="005379D9" w:rsidRDefault="003D448B" w:rsidP="00A30C48">
            <w:pPr>
              <w:jc w:val="center"/>
              <w:rPr>
                <w:rFonts w:eastAsia="Times New Roman" w:cs="Times New Roman"/>
                <w:snapToGrid w:val="0"/>
                <w:sz w:val="20"/>
                <w:szCs w:val="20"/>
              </w:rPr>
            </w:pPr>
          </w:p>
        </w:tc>
        <w:tc>
          <w:tcPr>
            <w:tcW w:w="851" w:type="dxa"/>
            <w:shd w:val="clear" w:color="auto" w:fill="auto"/>
            <w:vAlign w:val="bottom"/>
          </w:tcPr>
          <w:p w:rsidR="003D448B" w:rsidRPr="005379D9" w:rsidRDefault="003D448B" w:rsidP="00A30C48">
            <w:pPr>
              <w:jc w:val="center"/>
              <w:rPr>
                <w:rFonts w:eastAsia="Times New Roman" w:cs="Times New Roman"/>
                <w:snapToGrid w:val="0"/>
                <w:sz w:val="20"/>
                <w:szCs w:val="20"/>
              </w:rPr>
            </w:pPr>
          </w:p>
        </w:tc>
        <w:tc>
          <w:tcPr>
            <w:tcW w:w="850" w:type="dxa"/>
            <w:shd w:val="clear" w:color="auto" w:fill="auto"/>
            <w:vAlign w:val="bottom"/>
          </w:tcPr>
          <w:p w:rsidR="003D448B" w:rsidRPr="005379D9" w:rsidRDefault="003D448B" w:rsidP="00A30C48">
            <w:pPr>
              <w:jc w:val="center"/>
              <w:rPr>
                <w:rFonts w:eastAsia="Times New Roman" w:cs="Times New Roman"/>
                <w:snapToGrid w:val="0"/>
                <w:sz w:val="20"/>
                <w:szCs w:val="20"/>
              </w:rPr>
            </w:pPr>
          </w:p>
        </w:tc>
      </w:tr>
      <w:tr w:rsidR="003D448B" w:rsidRPr="005379D9" w:rsidTr="008325B9">
        <w:trPr>
          <w:jc w:val="center"/>
        </w:trPr>
        <w:tc>
          <w:tcPr>
            <w:tcW w:w="3187" w:type="dxa"/>
            <w:shd w:val="clear" w:color="auto" w:fill="auto"/>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Cikliski koriģētā bilance</w:t>
            </w:r>
          </w:p>
        </w:tc>
        <w:tc>
          <w:tcPr>
            <w:tcW w:w="1044" w:type="dxa"/>
            <w:shd w:val="clear" w:color="auto" w:fill="auto"/>
          </w:tcPr>
          <w:p w:rsidR="003D448B" w:rsidRPr="005379D9" w:rsidRDefault="003D448B" w:rsidP="003D448B">
            <w:pPr>
              <w:rPr>
                <w:rFonts w:eastAsia="Times New Roman" w:cs="Times New Roman"/>
                <w:sz w:val="20"/>
                <w:szCs w:val="20"/>
              </w:rPr>
            </w:pPr>
          </w:p>
        </w:tc>
        <w:tc>
          <w:tcPr>
            <w:tcW w:w="94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-1,3</w:t>
            </w:r>
          </w:p>
        </w:tc>
        <w:tc>
          <w:tcPr>
            <w:tcW w:w="851" w:type="dxa"/>
            <w:shd w:val="clear" w:color="auto" w:fill="auto"/>
            <w:vAlign w:val="center"/>
          </w:tcPr>
          <w:p w:rsidR="003D448B" w:rsidRPr="005379D9" w:rsidRDefault="003D448B" w:rsidP="005379D9">
            <w:pPr>
              <w:jc w:val="center"/>
              <w:rPr>
                <w:rFonts w:eastAsia="Times New Roman" w:cs="Times New Roman"/>
                <w:snapToGrid w:val="0"/>
                <w:sz w:val="20"/>
                <w:szCs w:val="20"/>
              </w:rPr>
            </w:pPr>
            <w:r w:rsidRPr="005379D9">
              <w:rPr>
                <w:rFonts w:eastAsia="Times New Roman" w:cs="Times New Roman"/>
                <w:snapToGrid w:val="0"/>
                <w:color w:val="000000"/>
                <w:sz w:val="20"/>
                <w:szCs w:val="20"/>
              </w:rPr>
              <w:t>-1,1</w:t>
            </w:r>
          </w:p>
        </w:tc>
        <w:tc>
          <w:tcPr>
            <w:tcW w:w="85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-0,7</w:t>
            </w:r>
          </w:p>
        </w:tc>
        <w:tc>
          <w:tcPr>
            <w:tcW w:w="851"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-0,6</w:t>
            </w:r>
          </w:p>
        </w:tc>
        <w:tc>
          <w:tcPr>
            <w:tcW w:w="85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0,1</w:t>
            </w:r>
          </w:p>
        </w:tc>
      </w:tr>
      <w:tr w:rsidR="003D448B" w:rsidRPr="005379D9" w:rsidTr="008325B9">
        <w:trPr>
          <w:trHeight w:val="158"/>
          <w:jc w:val="center"/>
        </w:trPr>
        <w:tc>
          <w:tcPr>
            <w:tcW w:w="3187" w:type="dxa"/>
            <w:shd w:val="clear" w:color="auto" w:fill="auto"/>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Cikliski koriģētā primārā bilance</w:t>
            </w:r>
          </w:p>
        </w:tc>
        <w:tc>
          <w:tcPr>
            <w:tcW w:w="1044" w:type="dxa"/>
            <w:shd w:val="clear" w:color="auto" w:fill="auto"/>
          </w:tcPr>
          <w:p w:rsidR="003D448B" w:rsidRPr="005379D9" w:rsidRDefault="003D448B" w:rsidP="003D448B">
            <w:pPr>
              <w:rPr>
                <w:rFonts w:eastAsia="Times New Roman" w:cs="Times New Roman"/>
                <w:sz w:val="20"/>
                <w:szCs w:val="20"/>
              </w:rPr>
            </w:pPr>
          </w:p>
        </w:tc>
        <w:tc>
          <w:tcPr>
            <w:tcW w:w="94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-0,5</w:t>
            </w:r>
          </w:p>
        </w:tc>
        <w:tc>
          <w:tcPr>
            <w:tcW w:w="851" w:type="dxa"/>
            <w:shd w:val="clear" w:color="auto" w:fill="auto"/>
            <w:vAlign w:val="center"/>
          </w:tcPr>
          <w:p w:rsidR="003D448B" w:rsidRPr="005379D9" w:rsidRDefault="003D448B" w:rsidP="005379D9">
            <w:pPr>
              <w:jc w:val="center"/>
              <w:rPr>
                <w:rFonts w:eastAsia="Times New Roman" w:cs="Times New Roman"/>
                <w:snapToGrid w:val="0"/>
                <w:sz w:val="20"/>
                <w:szCs w:val="20"/>
              </w:rPr>
            </w:pPr>
            <w:r w:rsidRPr="005379D9">
              <w:rPr>
                <w:rFonts w:eastAsia="Times New Roman" w:cs="Times New Roman"/>
                <w:snapToGrid w:val="0"/>
                <w:color w:val="000000"/>
                <w:sz w:val="20"/>
                <w:szCs w:val="20"/>
              </w:rPr>
              <w:t>-0,3</w:t>
            </w:r>
          </w:p>
        </w:tc>
        <w:tc>
          <w:tcPr>
            <w:tcW w:w="85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0,1</w:t>
            </w:r>
          </w:p>
        </w:tc>
        <w:tc>
          <w:tcPr>
            <w:tcW w:w="851"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0,1</w:t>
            </w:r>
          </w:p>
        </w:tc>
        <w:tc>
          <w:tcPr>
            <w:tcW w:w="85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0,9</w:t>
            </w:r>
          </w:p>
        </w:tc>
      </w:tr>
      <w:tr w:rsidR="003D448B" w:rsidRPr="005379D9" w:rsidTr="008325B9">
        <w:trPr>
          <w:trHeight w:val="158"/>
          <w:jc w:val="center"/>
        </w:trPr>
        <w:tc>
          <w:tcPr>
            <w:tcW w:w="3187" w:type="dxa"/>
            <w:shd w:val="clear" w:color="auto" w:fill="auto"/>
          </w:tcPr>
          <w:p w:rsidR="003D448B" w:rsidRPr="005379D9" w:rsidRDefault="003D448B" w:rsidP="003D448B">
            <w:pPr>
              <w:rPr>
                <w:rFonts w:eastAsia="Times New Roman" w:cs="Times New Roman"/>
                <w:b/>
                <w:snapToGrid w:val="0"/>
                <w:sz w:val="20"/>
                <w:szCs w:val="20"/>
              </w:rPr>
            </w:pPr>
            <w:r w:rsidRPr="005379D9">
              <w:rPr>
                <w:rFonts w:eastAsia="Times New Roman" w:cs="Times New Roman"/>
                <w:b/>
                <w:snapToGrid w:val="0"/>
                <w:sz w:val="20"/>
                <w:szCs w:val="20"/>
              </w:rPr>
              <w:t>Strukturālā bilance</w:t>
            </w:r>
            <w:r w:rsidR="00CC62E7">
              <w:rPr>
                <w:rStyle w:val="FootnoteReference"/>
                <w:rFonts w:eastAsia="Times New Roman" w:cs="Times New Roman"/>
                <w:b/>
                <w:snapToGrid w:val="0"/>
                <w:szCs w:val="20"/>
              </w:rPr>
              <w:footnoteReference w:id="20"/>
            </w:r>
          </w:p>
        </w:tc>
        <w:tc>
          <w:tcPr>
            <w:tcW w:w="1044" w:type="dxa"/>
            <w:shd w:val="clear" w:color="auto" w:fill="auto"/>
          </w:tcPr>
          <w:p w:rsidR="003D448B" w:rsidRPr="005379D9" w:rsidRDefault="003D448B" w:rsidP="003D448B">
            <w:pPr>
              <w:rPr>
                <w:rFonts w:eastAsia="Times New Roman" w:cs="Times New Roman"/>
                <w:sz w:val="20"/>
                <w:szCs w:val="20"/>
              </w:rPr>
            </w:pPr>
          </w:p>
        </w:tc>
        <w:tc>
          <w:tcPr>
            <w:tcW w:w="94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-1,3</w:t>
            </w:r>
          </w:p>
        </w:tc>
        <w:tc>
          <w:tcPr>
            <w:tcW w:w="851"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-1,1</w:t>
            </w:r>
          </w:p>
        </w:tc>
        <w:tc>
          <w:tcPr>
            <w:tcW w:w="85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-0,7</w:t>
            </w:r>
          </w:p>
        </w:tc>
        <w:tc>
          <w:tcPr>
            <w:tcW w:w="851"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-0,6</w:t>
            </w:r>
          </w:p>
        </w:tc>
        <w:tc>
          <w:tcPr>
            <w:tcW w:w="850" w:type="dxa"/>
            <w:shd w:val="clear" w:color="auto" w:fill="auto"/>
            <w:vAlign w:val="center"/>
          </w:tcPr>
          <w:p w:rsidR="003D448B" w:rsidRPr="005379D9" w:rsidRDefault="003D448B" w:rsidP="00A30C48">
            <w:pPr>
              <w:jc w:val="center"/>
              <w:rPr>
                <w:rFonts w:eastAsia="Times New Roman" w:cs="Times New Roman"/>
                <w:snapToGrid w:val="0"/>
                <w:sz w:val="20"/>
                <w:szCs w:val="20"/>
              </w:rPr>
            </w:pPr>
            <w:r w:rsidRPr="005379D9">
              <w:rPr>
                <w:rFonts w:eastAsia="Times New Roman" w:cs="Times New Roman"/>
                <w:snapToGrid w:val="0"/>
                <w:color w:val="000000"/>
                <w:sz w:val="20"/>
                <w:szCs w:val="20"/>
              </w:rPr>
              <w:t>0,1</w:t>
            </w:r>
          </w:p>
        </w:tc>
      </w:tr>
    </w:tbl>
    <w:p w:rsidR="004B1C2A" w:rsidRDefault="004B1C2A" w:rsidP="003D448B">
      <w:pPr>
        <w:spacing w:before="120" w:after="0" w:line="240" w:lineRule="auto"/>
        <w:ind w:firstLine="720"/>
        <w:jc w:val="both"/>
        <w:rPr>
          <w:rFonts w:ascii="Times New Roman" w:eastAsia="Times New Roman" w:hAnsi="Times New Roman" w:cs="Times New Roman"/>
          <w:b/>
          <w:color w:val="000000"/>
          <w:sz w:val="24"/>
          <w:szCs w:val="20"/>
        </w:rPr>
      </w:pPr>
    </w:p>
    <w:p w:rsidR="003D448B" w:rsidRPr="003D448B" w:rsidRDefault="003D448B" w:rsidP="003D448B">
      <w:pPr>
        <w:spacing w:before="120" w:after="0" w:line="240" w:lineRule="auto"/>
        <w:ind w:firstLine="720"/>
        <w:jc w:val="both"/>
        <w:rPr>
          <w:rFonts w:ascii="Times New Roman" w:eastAsia="Times New Roman" w:hAnsi="Times New Roman" w:cs="Times New Roman"/>
          <w:b/>
          <w:color w:val="000000"/>
          <w:sz w:val="24"/>
          <w:szCs w:val="20"/>
        </w:rPr>
      </w:pPr>
      <w:r w:rsidRPr="003D448B">
        <w:rPr>
          <w:rFonts w:ascii="Times New Roman" w:eastAsia="Times New Roman" w:hAnsi="Times New Roman" w:cs="Times New Roman"/>
          <w:b/>
          <w:color w:val="000000"/>
          <w:sz w:val="24"/>
          <w:szCs w:val="20"/>
        </w:rPr>
        <w:t>Centrālās valdības budžetā:</w:t>
      </w:r>
    </w:p>
    <w:p w:rsidR="003D448B" w:rsidRPr="003D448B" w:rsidRDefault="00EC29FD" w:rsidP="00DA42C2">
      <w:pPr>
        <w:numPr>
          <w:ilvl w:val="0"/>
          <w:numId w:val="15"/>
        </w:numPr>
        <w:spacing w:before="120" w:after="0" w:line="240" w:lineRule="auto"/>
        <w:ind w:left="709" w:hanging="283"/>
        <w:contextualSpacing/>
        <w:jc w:val="both"/>
        <w:rPr>
          <w:rFonts w:ascii="Times New Roman" w:eastAsia="Calibri" w:hAnsi="Times New Roman" w:cs="Times New Roman"/>
          <w:strike/>
          <w:color w:val="000000"/>
          <w:sz w:val="24"/>
        </w:rPr>
      </w:pPr>
      <w:r>
        <w:rPr>
          <w:rFonts w:ascii="Times New Roman" w:eastAsia="Calibri" w:hAnsi="Times New Roman" w:cs="Times New Roman"/>
          <w:color w:val="000000"/>
          <w:sz w:val="24"/>
        </w:rPr>
        <w:t>2019.</w:t>
      </w:r>
      <w:r w:rsidR="003D448B" w:rsidRPr="003D448B">
        <w:rPr>
          <w:rFonts w:ascii="Times New Roman" w:eastAsia="Calibri" w:hAnsi="Times New Roman" w:cs="Times New Roman"/>
          <w:color w:val="000000"/>
          <w:sz w:val="24"/>
        </w:rPr>
        <w:t xml:space="preserve">gadā centrālās valdības budžetā pie nemainīgas politikas tiek plānots deficīts 0,9% apmērā </w:t>
      </w:r>
      <w:r>
        <w:rPr>
          <w:rFonts w:ascii="Times New Roman" w:eastAsia="Calibri" w:hAnsi="Times New Roman" w:cs="Times New Roman"/>
          <w:color w:val="000000"/>
          <w:sz w:val="24"/>
        </w:rPr>
        <w:t>no IKP, savukārt 2020. un 2021.</w:t>
      </w:r>
      <w:r w:rsidR="003D448B" w:rsidRPr="003D448B">
        <w:rPr>
          <w:rFonts w:ascii="Times New Roman" w:eastAsia="Calibri" w:hAnsi="Times New Roman" w:cs="Times New Roman"/>
          <w:color w:val="000000"/>
          <w:sz w:val="24"/>
        </w:rPr>
        <w:t xml:space="preserve">gadā deficīts 0,7% no IKP apmērā, bet 2022.gadā deficīts 0,1% apmērā no IKP. </w:t>
      </w:r>
      <w:r>
        <w:rPr>
          <w:rFonts w:ascii="Times New Roman" w:eastAsia="Calibri" w:hAnsi="Times New Roman" w:cs="Times New Roman"/>
          <w:color w:val="000000" w:themeColor="text1"/>
          <w:sz w:val="24"/>
        </w:rPr>
        <w:t>2019. un 2020.</w:t>
      </w:r>
      <w:r w:rsidR="003D448B" w:rsidRPr="003D448B">
        <w:rPr>
          <w:rFonts w:ascii="Times New Roman" w:eastAsia="Calibri" w:hAnsi="Times New Roman" w:cs="Times New Roman"/>
          <w:color w:val="000000" w:themeColor="text1"/>
          <w:sz w:val="24"/>
        </w:rPr>
        <w:t xml:space="preserve">gadā ieņēmumu pieaugumu nodrošinās ražošanas un importa nodokļi, ko pamatā noteiks pievienotās vērtības nodokļa un akcīzes nodokļa ieņēmumu pieaugums. </w:t>
      </w:r>
    </w:p>
    <w:p w:rsidR="003D448B" w:rsidRPr="003D448B" w:rsidRDefault="008C102F" w:rsidP="00DA42C2">
      <w:pPr>
        <w:numPr>
          <w:ilvl w:val="0"/>
          <w:numId w:val="15"/>
        </w:numPr>
        <w:spacing w:before="120" w:after="0" w:line="240" w:lineRule="auto"/>
        <w:ind w:left="709" w:hanging="283"/>
        <w:contextualSpacing/>
        <w:jc w:val="both"/>
        <w:rPr>
          <w:rFonts w:ascii="Times New Roman" w:eastAsia="Calibri" w:hAnsi="Times New Roman" w:cs="Times New Roman"/>
          <w:color w:val="000000"/>
          <w:sz w:val="24"/>
        </w:rPr>
      </w:pPr>
      <w:r>
        <w:rPr>
          <w:rFonts w:ascii="Times New Roman" w:eastAsia="Calibri" w:hAnsi="Times New Roman" w:cs="Times New Roman"/>
          <w:color w:val="000000"/>
          <w:sz w:val="24"/>
        </w:rPr>
        <w:t>2019.</w:t>
      </w:r>
      <w:r w:rsidR="003D448B" w:rsidRPr="003D448B">
        <w:rPr>
          <w:rFonts w:ascii="Times New Roman" w:eastAsia="Calibri" w:hAnsi="Times New Roman" w:cs="Times New Roman"/>
          <w:color w:val="000000"/>
          <w:sz w:val="24"/>
        </w:rPr>
        <w:t>gadā centrālās valdības budž</w:t>
      </w:r>
      <w:r w:rsidR="00EC29FD">
        <w:rPr>
          <w:rFonts w:ascii="Times New Roman" w:eastAsia="Calibri" w:hAnsi="Times New Roman" w:cs="Times New Roman"/>
          <w:color w:val="000000"/>
          <w:sz w:val="24"/>
        </w:rPr>
        <w:t>etā sagaidāms mērenāks kā 2018.</w:t>
      </w:r>
      <w:r w:rsidR="003D448B" w:rsidRPr="003D448B">
        <w:rPr>
          <w:rFonts w:ascii="Times New Roman" w:eastAsia="Calibri" w:hAnsi="Times New Roman" w:cs="Times New Roman"/>
          <w:color w:val="000000"/>
          <w:sz w:val="24"/>
        </w:rPr>
        <w:t>gadā ieņēmumu un izdevumu pieaugums. Nodokļu ieņēmumu pieauguma apmērs vidējā termiņā ir svārstīgs gadu griezumā, ko nosaka plašās izmaiņas likumdošanā saistībā ar apstiprinātajiem nodokļu reformas pasākumiem. Jāatzīmē, ka uzņēmumu ienākuma nodokļa avansa maksājumu atcelšana būtiski ietekmēs uzņēmumu ienākuma n</w:t>
      </w:r>
      <w:r w:rsidR="00EC29FD">
        <w:rPr>
          <w:rFonts w:ascii="Times New Roman" w:eastAsia="Calibri" w:hAnsi="Times New Roman" w:cs="Times New Roman"/>
          <w:color w:val="000000"/>
          <w:sz w:val="24"/>
        </w:rPr>
        <w:t>odokļa ieņēmumu apjomu 2019.gadā, tiem, salīdzinot ar 2018.</w:t>
      </w:r>
      <w:r w:rsidR="003D448B" w:rsidRPr="003D448B">
        <w:rPr>
          <w:rFonts w:ascii="Times New Roman" w:eastAsia="Calibri" w:hAnsi="Times New Roman" w:cs="Times New Roman"/>
          <w:color w:val="000000"/>
          <w:sz w:val="24"/>
        </w:rPr>
        <w:t xml:space="preserve">gada uzņēmumu ienākuma nodokļa ieņēmumu apjomu, sarūkot par trešdaļu. </w:t>
      </w:r>
      <w:r w:rsidR="003D448B" w:rsidRPr="003D448B">
        <w:rPr>
          <w:rFonts w:ascii="Times New Roman" w:eastAsia="Calibri" w:hAnsi="Times New Roman" w:cs="Times New Roman"/>
          <w:sz w:val="24"/>
          <w:szCs w:val="24"/>
        </w:rPr>
        <w:t>Nodokļu ieņēmumu pieaugumu tempu turpinās ietekmēt prognozētais samazinājums ieņēmumos no īpašuma, ko galvenokārt veido saņemtie maksājumi par valsts kapitāla izmantošanu, kas skaid</w:t>
      </w:r>
      <w:r w:rsidR="00EC29FD">
        <w:rPr>
          <w:rFonts w:ascii="Times New Roman" w:eastAsia="Calibri" w:hAnsi="Times New Roman" w:cs="Times New Roman"/>
          <w:sz w:val="24"/>
          <w:szCs w:val="24"/>
        </w:rPr>
        <w:t>rojams ar to, ka 2021. un 2022.</w:t>
      </w:r>
      <w:r w:rsidR="003D448B" w:rsidRPr="003D448B">
        <w:rPr>
          <w:rFonts w:ascii="Times New Roman" w:eastAsia="Calibri" w:hAnsi="Times New Roman" w:cs="Times New Roman"/>
          <w:sz w:val="24"/>
          <w:szCs w:val="24"/>
        </w:rPr>
        <w:t>gada prognozēs nav ieplānotas dividendes no AS “Latvenergo”.</w:t>
      </w:r>
    </w:p>
    <w:p w:rsidR="003D448B" w:rsidRPr="003D448B" w:rsidRDefault="003D448B" w:rsidP="00DA42C2">
      <w:pPr>
        <w:numPr>
          <w:ilvl w:val="0"/>
          <w:numId w:val="15"/>
        </w:numPr>
        <w:spacing w:before="120" w:after="0" w:line="240" w:lineRule="auto"/>
        <w:ind w:left="709" w:hanging="283"/>
        <w:contextualSpacing/>
        <w:jc w:val="both"/>
        <w:rPr>
          <w:rFonts w:ascii="Times New Roman" w:eastAsia="Calibri" w:hAnsi="Times New Roman" w:cs="Times New Roman"/>
          <w:color w:val="000000"/>
          <w:sz w:val="24"/>
        </w:rPr>
      </w:pPr>
      <w:r w:rsidRPr="003D448B">
        <w:rPr>
          <w:rFonts w:ascii="Times New Roman" w:eastAsia="Calibri" w:hAnsi="Times New Roman" w:cs="Times New Roman"/>
          <w:color w:val="000000"/>
          <w:sz w:val="24"/>
        </w:rPr>
        <w:t>Ārvalstu finanšu palīdzības ieņēmumos pēc relatīvi zemāka</w:t>
      </w:r>
      <w:r w:rsidR="008C102F">
        <w:rPr>
          <w:rFonts w:ascii="Times New Roman" w:eastAsia="Calibri" w:hAnsi="Times New Roman" w:cs="Times New Roman"/>
          <w:color w:val="000000"/>
          <w:sz w:val="24"/>
        </w:rPr>
        <w:t xml:space="preserve"> ieņēmumu līmeņa 2016. un 2017.</w:t>
      </w:r>
      <w:r w:rsidRPr="003D448B">
        <w:rPr>
          <w:rFonts w:ascii="Times New Roman" w:eastAsia="Calibri" w:hAnsi="Times New Roman" w:cs="Times New Roman"/>
          <w:color w:val="000000"/>
          <w:sz w:val="24"/>
        </w:rPr>
        <w:t>gadā, kas skaidroj</w:t>
      </w:r>
      <w:r w:rsidR="00EC29FD">
        <w:rPr>
          <w:rFonts w:ascii="Times New Roman" w:eastAsia="Calibri" w:hAnsi="Times New Roman" w:cs="Times New Roman"/>
          <w:color w:val="000000"/>
          <w:sz w:val="24"/>
        </w:rPr>
        <w:t>ams ar iepriekšējā 2007.</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sidR="00EC29FD">
        <w:rPr>
          <w:rFonts w:ascii="Times New Roman" w:eastAsia="Calibri" w:hAnsi="Times New Roman" w:cs="Times New Roman"/>
          <w:color w:val="000000"/>
          <w:sz w:val="24"/>
        </w:rPr>
        <w:t>2013.</w:t>
      </w:r>
      <w:r w:rsidRPr="003D448B">
        <w:rPr>
          <w:rFonts w:ascii="Times New Roman" w:eastAsia="Calibri" w:hAnsi="Times New Roman" w:cs="Times New Roman"/>
          <w:color w:val="000000"/>
          <w:sz w:val="24"/>
        </w:rPr>
        <w:t>gada ES fondu plānošanas perioda</w:t>
      </w:r>
      <w:r w:rsidR="00EC29FD">
        <w:rPr>
          <w:rFonts w:ascii="Times New Roman" w:eastAsia="Calibri" w:hAnsi="Times New Roman" w:cs="Times New Roman"/>
          <w:color w:val="000000"/>
          <w:sz w:val="24"/>
        </w:rPr>
        <w:t xml:space="preserve"> noslēgumu un jaunā 2014.</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sidR="00EC29FD">
        <w:rPr>
          <w:rFonts w:ascii="Times New Roman" w:eastAsia="Calibri" w:hAnsi="Times New Roman" w:cs="Times New Roman"/>
          <w:color w:val="000000"/>
          <w:sz w:val="24"/>
        </w:rPr>
        <w:t>2020.</w:t>
      </w:r>
      <w:r w:rsidRPr="003D448B">
        <w:rPr>
          <w:rFonts w:ascii="Times New Roman" w:eastAsia="Calibri" w:hAnsi="Times New Roman" w:cs="Times New Roman"/>
          <w:color w:val="000000"/>
          <w:sz w:val="24"/>
        </w:rPr>
        <w:t>gada p</w:t>
      </w:r>
      <w:r w:rsidR="00EC29FD">
        <w:rPr>
          <w:rFonts w:ascii="Times New Roman" w:eastAsia="Calibri" w:hAnsi="Times New Roman" w:cs="Times New Roman"/>
          <w:color w:val="000000"/>
          <w:sz w:val="24"/>
        </w:rPr>
        <w:t>lānošanas perioda sākumu, 2018.</w:t>
      </w:r>
      <w:r w:rsidRPr="003D448B">
        <w:rPr>
          <w:rFonts w:ascii="Times New Roman" w:eastAsia="Calibri" w:hAnsi="Times New Roman" w:cs="Times New Roman"/>
          <w:color w:val="000000"/>
          <w:sz w:val="24"/>
        </w:rPr>
        <w:t xml:space="preserve">gadā </w:t>
      </w:r>
      <w:r w:rsidRPr="003D448B">
        <w:rPr>
          <w:rFonts w:ascii="Times New Roman" w:eastAsia="Calibri" w:hAnsi="Times New Roman" w:cs="Times New Roman"/>
          <w:color w:val="000000"/>
          <w:sz w:val="24"/>
        </w:rPr>
        <w:lastRenderedPageBreak/>
        <w:t>bija vērojams straujāk</w:t>
      </w:r>
      <w:r w:rsidR="00EC29FD">
        <w:rPr>
          <w:rFonts w:ascii="Times New Roman" w:eastAsia="Calibri" w:hAnsi="Times New Roman" w:cs="Times New Roman"/>
          <w:color w:val="000000"/>
          <w:sz w:val="24"/>
        </w:rPr>
        <w:t>s palielinājums. Turpretī 2019.</w:t>
      </w:r>
      <w:r w:rsidRPr="003D448B">
        <w:rPr>
          <w:rFonts w:ascii="Times New Roman" w:eastAsia="Calibri" w:hAnsi="Times New Roman" w:cs="Times New Roman"/>
          <w:color w:val="000000"/>
          <w:sz w:val="24"/>
        </w:rPr>
        <w:t>gadā sagaidāms, ka ārvalstu finanšu palīdzības ieņēmumi būs tika</w:t>
      </w:r>
      <w:r w:rsidR="00EC29FD">
        <w:rPr>
          <w:rFonts w:ascii="Times New Roman" w:eastAsia="Calibri" w:hAnsi="Times New Roman" w:cs="Times New Roman"/>
          <w:color w:val="000000"/>
          <w:sz w:val="24"/>
        </w:rPr>
        <w:t>i nedaudz augstāki kā 2018.</w:t>
      </w:r>
      <w:r w:rsidRPr="003D448B">
        <w:rPr>
          <w:rFonts w:ascii="Times New Roman" w:eastAsia="Calibri" w:hAnsi="Times New Roman" w:cs="Times New Roman"/>
          <w:color w:val="000000"/>
          <w:sz w:val="24"/>
        </w:rPr>
        <w:t>gadā.</w:t>
      </w:r>
      <w:r w:rsidRPr="003D448B">
        <w:rPr>
          <w:rFonts w:ascii="Times New Roman" w:eastAsia="Calibri" w:hAnsi="Times New Roman" w:cs="Times New Roman"/>
          <w:sz w:val="24"/>
          <w:szCs w:val="24"/>
        </w:rPr>
        <w:t xml:space="preserve"> </w:t>
      </w:r>
    </w:p>
    <w:p w:rsidR="003D448B" w:rsidRPr="003D448B" w:rsidRDefault="003D448B" w:rsidP="00DA42C2">
      <w:pPr>
        <w:numPr>
          <w:ilvl w:val="0"/>
          <w:numId w:val="15"/>
        </w:numPr>
        <w:spacing w:before="120" w:after="0" w:line="240" w:lineRule="auto"/>
        <w:ind w:left="709" w:hanging="283"/>
        <w:contextualSpacing/>
        <w:jc w:val="both"/>
        <w:rPr>
          <w:rFonts w:ascii="Times New Roman" w:eastAsia="Calibri" w:hAnsi="Times New Roman" w:cs="Times New Roman"/>
          <w:color w:val="000000"/>
          <w:sz w:val="24"/>
        </w:rPr>
      </w:pPr>
      <w:r w:rsidRPr="003D448B">
        <w:rPr>
          <w:rFonts w:ascii="Times New Roman" w:eastAsia="Calibri" w:hAnsi="Times New Roman" w:cs="Times New Roman"/>
          <w:color w:val="000000"/>
          <w:sz w:val="24"/>
        </w:rPr>
        <w:t>Izdevumu pieaugumu centrālās valdības budžetā sekmē atalgojuma</w:t>
      </w:r>
      <w:r w:rsidR="00EC29FD">
        <w:rPr>
          <w:rFonts w:ascii="Times New Roman" w:eastAsia="Calibri" w:hAnsi="Times New Roman" w:cs="Times New Roman"/>
          <w:color w:val="000000"/>
          <w:sz w:val="24"/>
        </w:rPr>
        <w:t xml:space="preserve"> celšana mediķiem, kā arī 2019.</w:t>
      </w:r>
      <w:r w:rsidRPr="003D448B">
        <w:rPr>
          <w:rFonts w:ascii="Times New Roman" w:eastAsia="Calibri" w:hAnsi="Times New Roman" w:cs="Times New Roman"/>
          <w:color w:val="000000"/>
          <w:sz w:val="24"/>
        </w:rPr>
        <w:t xml:space="preserve">gadā vienreizēju </w:t>
      </w:r>
      <w:r w:rsidRPr="003D448B">
        <w:rPr>
          <w:rFonts w:ascii="Times New Roman" w:eastAsia="Calibri" w:hAnsi="Times New Roman" w:cs="Times New Roman"/>
          <w:sz w:val="24"/>
        </w:rPr>
        <w:t xml:space="preserve">pabalstu </w:t>
      </w:r>
      <w:r w:rsidRPr="003D448B">
        <w:rPr>
          <w:rFonts w:ascii="Times New Roman" w:eastAsia="Calibri" w:hAnsi="Times New Roman" w:cs="Times New Roman"/>
          <w:noProof/>
          <w:sz w:val="24"/>
        </w:rPr>
        <w:t>izmaksa iekšlietu un</w:t>
      </w:r>
      <w:r w:rsidRPr="003D448B">
        <w:rPr>
          <w:rFonts w:ascii="Times New Roman" w:eastAsia="Calibri" w:hAnsi="Times New Roman" w:cs="Times New Roman"/>
          <w:sz w:val="24"/>
        </w:rPr>
        <w:t xml:space="preserve"> arī tieslietu resora amatpersonām ar speciālajām dienesta pakāpēm pēc katriem pieciem nepārtrauktas izdienas gadiem</w:t>
      </w:r>
      <w:r w:rsidRPr="003D448B">
        <w:rPr>
          <w:rFonts w:ascii="Times New Roman" w:eastAsia="Calibri" w:hAnsi="Times New Roman" w:cs="Times New Roman"/>
          <w:color w:val="000000"/>
          <w:sz w:val="24"/>
        </w:rPr>
        <w:t xml:space="preserve">. </w:t>
      </w:r>
      <w:r w:rsidRPr="003D448B">
        <w:rPr>
          <w:rFonts w:ascii="Times New Roman" w:eastAsia="Calibri" w:hAnsi="Times New Roman" w:cs="Times New Roman"/>
          <w:sz w:val="24"/>
          <w:szCs w:val="24"/>
        </w:rPr>
        <w:t xml:space="preserve">Lai nodrošinātu </w:t>
      </w:r>
      <w:r w:rsidRPr="003D448B">
        <w:rPr>
          <w:rFonts w:ascii="Times New Roman" w:eastAsia="Calibri" w:hAnsi="Times New Roman" w:cs="Times New Roman"/>
          <w:color w:val="000000"/>
          <w:sz w:val="24"/>
        </w:rPr>
        <w:t>veselības nozares finansējuma palielinājumu, tostarp mediķ</w:t>
      </w:r>
      <w:r w:rsidR="00EC29FD">
        <w:rPr>
          <w:rFonts w:ascii="Times New Roman" w:eastAsia="Calibri" w:hAnsi="Times New Roman" w:cs="Times New Roman"/>
          <w:color w:val="000000"/>
          <w:sz w:val="24"/>
        </w:rPr>
        <w:t>u atalgojuma celšanai, no 2018.</w:t>
      </w:r>
      <w:r w:rsidRPr="003D448B">
        <w:rPr>
          <w:rFonts w:ascii="Times New Roman" w:eastAsia="Calibri" w:hAnsi="Times New Roman" w:cs="Times New Roman"/>
          <w:color w:val="000000"/>
          <w:sz w:val="24"/>
        </w:rPr>
        <w:t>gada par 1</w:t>
      </w:r>
      <w:r w:rsidR="00EC29FD">
        <w:rPr>
          <w:rFonts w:ascii="Times New Roman" w:eastAsia="Calibri" w:hAnsi="Times New Roman" w:cs="Times New Roman"/>
          <w:color w:val="000000"/>
          <w:sz w:val="24"/>
        </w:rPr>
        <w:t xml:space="preserve"> </w:t>
      </w:r>
      <w:r w:rsidRPr="003D448B">
        <w:rPr>
          <w:rFonts w:ascii="Times New Roman" w:eastAsia="Calibri" w:hAnsi="Times New Roman" w:cs="Times New Roman"/>
          <w:color w:val="000000"/>
          <w:sz w:val="24"/>
        </w:rPr>
        <w:t>procentpunktu tika palielināta VSAOI likme, attiecīgos papildus ieņēmumus novirzot veselības nozares finansēšanai. Tādējādi, no VSAOI likmes palielinā</w:t>
      </w:r>
      <w:r w:rsidR="00EC29FD">
        <w:rPr>
          <w:rFonts w:ascii="Times New Roman" w:eastAsia="Calibri" w:hAnsi="Times New Roman" w:cs="Times New Roman"/>
          <w:color w:val="000000"/>
          <w:sz w:val="24"/>
        </w:rPr>
        <w:t>šanas, papildus ieņēmumos 2018.</w:t>
      </w:r>
      <w:r w:rsidRPr="003D448B">
        <w:rPr>
          <w:rFonts w:ascii="Times New Roman" w:eastAsia="Calibri" w:hAnsi="Times New Roman" w:cs="Times New Roman"/>
          <w:color w:val="000000"/>
          <w:sz w:val="24"/>
        </w:rPr>
        <w:t xml:space="preserve">gadā saņemti un veselības nozarei novirzīti 85,6 milj. </w:t>
      </w:r>
      <w:proofErr w:type="spellStart"/>
      <w:r w:rsidR="00EC29FD" w:rsidRPr="008C102F">
        <w:rPr>
          <w:rFonts w:ascii="Times New Roman" w:eastAsia="Calibri" w:hAnsi="Times New Roman" w:cs="Times New Roman"/>
          <w:i/>
          <w:color w:val="000000"/>
          <w:sz w:val="24"/>
          <w:szCs w:val="24"/>
        </w:rPr>
        <w:t>euro</w:t>
      </w:r>
      <w:proofErr w:type="spellEnd"/>
      <w:r w:rsidR="00EC29FD">
        <w:rPr>
          <w:rFonts w:ascii="Times New Roman" w:eastAsia="Calibri" w:hAnsi="Times New Roman" w:cs="Times New Roman"/>
          <w:color w:val="000000"/>
          <w:sz w:val="24"/>
        </w:rPr>
        <w:t>, bet 2019.</w:t>
      </w:r>
      <w:r w:rsidRPr="003D448B">
        <w:rPr>
          <w:rFonts w:ascii="Times New Roman" w:eastAsia="Calibri" w:hAnsi="Times New Roman" w:cs="Times New Roman"/>
          <w:color w:val="000000"/>
          <w:sz w:val="24"/>
        </w:rPr>
        <w:t xml:space="preserve">gadā pamatbudžetā no VSAOI ieņēmumiem tiks saņemti vēl 97,8 milj. </w:t>
      </w:r>
      <w:proofErr w:type="spellStart"/>
      <w:r w:rsidR="008C102F" w:rsidRPr="008C102F">
        <w:rPr>
          <w:rFonts w:ascii="Times New Roman" w:eastAsia="Calibri" w:hAnsi="Times New Roman" w:cs="Times New Roman"/>
          <w:i/>
          <w:color w:val="000000"/>
          <w:sz w:val="24"/>
          <w:szCs w:val="24"/>
        </w:rPr>
        <w:t>euro</w:t>
      </w:r>
      <w:proofErr w:type="spellEnd"/>
      <w:r w:rsidRPr="003D448B">
        <w:rPr>
          <w:rFonts w:ascii="Times New Roman" w:eastAsia="Calibri" w:hAnsi="Times New Roman" w:cs="Times New Roman"/>
          <w:color w:val="000000"/>
          <w:sz w:val="24"/>
        </w:rPr>
        <w:t xml:space="preserve">. </w:t>
      </w:r>
    </w:p>
    <w:p w:rsidR="003D448B" w:rsidRPr="003D448B" w:rsidRDefault="003D448B" w:rsidP="00DA42C2">
      <w:pPr>
        <w:numPr>
          <w:ilvl w:val="0"/>
          <w:numId w:val="15"/>
        </w:numPr>
        <w:spacing w:before="120" w:after="0" w:line="240" w:lineRule="auto"/>
        <w:ind w:left="709" w:hanging="283"/>
        <w:contextualSpacing/>
        <w:jc w:val="both"/>
        <w:rPr>
          <w:rFonts w:ascii="Times New Roman" w:eastAsia="Calibri" w:hAnsi="Times New Roman" w:cs="Times New Roman"/>
          <w:color w:val="000000"/>
          <w:sz w:val="24"/>
        </w:rPr>
      </w:pPr>
      <w:r w:rsidRPr="003D448B">
        <w:rPr>
          <w:rFonts w:ascii="Times New Roman" w:eastAsia="Calibri" w:hAnsi="Times New Roman" w:cs="Times New Roman"/>
          <w:color w:val="000000"/>
          <w:sz w:val="24"/>
        </w:rPr>
        <w:t>Kapitālie izdevumi centrālās val</w:t>
      </w:r>
      <w:r w:rsidR="00EC29FD">
        <w:rPr>
          <w:rFonts w:ascii="Times New Roman" w:eastAsia="Calibri" w:hAnsi="Times New Roman" w:cs="Times New Roman"/>
          <w:color w:val="000000"/>
          <w:sz w:val="24"/>
        </w:rPr>
        <w:t>dības budžetā 2019.</w:t>
      </w:r>
      <w:r w:rsidRPr="003D448B">
        <w:rPr>
          <w:rFonts w:ascii="Times New Roman" w:eastAsia="Calibri" w:hAnsi="Times New Roman" w:cs="Times New Roman"/>
          <w:color w:val="000000"/>
          <w:sz w:val="24"/>
        </w:rPr>
        <w:t xml:space="preserve">gadā un turpmāk turpinās pieaugt, ko pozitīvi ietekmēs  izdevumu aizsardzībai nodrošināšana 2% no IKP līmenī. Vidējā termiņā palielinās arī izdevumi iemaksām ES budžetā, kas saistāms ar IKP pieauguma </w:t>
      </w:r>
      <w:r w:rsidR="00EC29FD">
        <w:rPr>
          <w:rFonts w:ascii="Times New Roman" w:eastAsia="Calibri" w:hAnsi="Times New Roman" w:cs="Times New Roman"/>
          <w:color w:val="000000"/>
          <w:sz w:val="24"/>
        </w:rPr>
        <w:t>apmēru. Procentu izdevumi 2019.</w:t>
      </w:r>
      <w:r w:rsidRPr="003D448B">
        <w:rPr>
          <w:rFonts w:ascii="Times New Roman" w:eastAsia="Calibri" w:hAnsi="Times New Roman" w:cs="Times New Roman"/>
          <w:color w:val="000000"/>
          <w:sz w:val="24"/>
        </w:rPr>
        <w:t>gadā</w:t>
      </w:r>
      <w:r w:rsidR="00EC29FD">
        <w:rPr>
          <w:rFonts w:ascii="Times New Roman" w:eastAsia="Calibri" w:hAnsi="Times New Roman" w:cs="Times New Roman"/>
          <w:color w:val="000000"/>
          <w:sz w:val="24"/>
        </w:rPr>
        <w:t xml:space="preserve"> samazināsies, ņemot vērā 2018.</w:t>
      </w:r>
      <w:r w:rsidRPr="003D448B">
        <w:rPr>
          <w:rFonts w:ascii="Times New Roman" w:eastAsia="Calibri" w:hAnsi="Times New Roman" w:cs="Times New Roman"/>
          <w:color w:val="000000"/>
          <w:sz w:val="24"/>
        </w:rPr>
        <w:t xml:space="preserve">gadā veikto aizņemšanos, pārfinansējot iepriekš uzņemtās valsts parāda saistības par zemākām procentu likmēm, kā arī aktualizējot vidējā termiņā plānotos aizņemšanās pasākumus finanšu tirgos. </w:t>
      </w:r>
    </w:p>
    <w:p w:rsidR="003D448B" w:rsidRPr="003D448B" w:rsidRDefault="00EC29FD" w:rsidP="00DA42C2">
      <w:pPr>
        <w:numPr>
          <w:ilvl w:val="0"/>
          <w:numId w:val="15"/>
        </w:numPr>
        <w:spacing w:before="120" w:after="0" w:line="240" w:lineRule="auto"/>
        <w:ind w:left="709" w:hanging="283"/>
        <w:contextualSpacing/>
        <w:jc w:val="both"/>
        <w:rPr>
          <w:rFonts w:ascii="Times New Roman" w:eastAsia="Calibri" w:hAnsi="Times New Roman" w:cs="Times New Roman"/>
          <w:color w:val="000000"/>
          <w:sz w:val="24"/>
        </w:rPr>
      </w:pPr>
      <w:r>
        <w:rPr>
          <w:rFonts w:ascii="Times New Roman" w:eastAsia="Calibri" w:hAnsi="Times New Roman" w:cs="Times New Roman"/>
          <w:sz w:val="24"/>
          <w:szCs w:val="24"/>
        </w:rPr>
        <w:t>2018.</w:t>
      </w:r>
      <w:r w:rsidR="003D448B" w:rsidRPr="003D448B">
        <w:rPr>
          <w:rFonts w:ascii="Times New Roman" w:eastAsia="Calibri" w:hAnsi="Times New Roman" w:cs="Times New Roman"/>
          <w:sz w:val="24"/>
          <w:szCs w:val="24"/>
        </w:rPr>
        <w:t xml:space="preserve">gadā </w:t>
      </w:r>
      <w:r w:rsidR="003D448B" w:rsidRPr="003D448B">
        <w:rPr>
          <w:rFonts w:ascii="Times New Roman" w:eastAsia="Calibri" w:hAnsi="Times New Roman" w:cs="Times New Roman"/>
          <w:color w:val="000000"/>
          <w:sz w:val="24"/>
        </w:rPr>
        <w:t>ES fondu investīcijas centrālās valdības budžetā veiktas pēdējos gados augstākajā līmenī (</w:t>
      </w:r>
      <w:r>
        <w:rPr>
          <w:rFonts w:ascii="Times New Roman" w:eastAsia="Calibri" w:hAnsi="Times New Roman" w:cs="Times New Roman"/>
          <w:color w:val="000000"/>
          <w:sz w:val="24"/>
        </w:rPr>
        <w:t xml:space="preserve">719 milj. </w:t>
      </w:r>
      <w:proofErr w:type="spellStart"/>
      <w:r w:rsidR="008C102F" w:rsidRPr="008C102F">
        <w:rPr>
          <w:rFonts w:ascii="Times New Roman" w:eastAsia="Calibri" w:hAnsi="Times New Roman" w:cs="Times New Roman"/>
          <w:i/>
          <w:color w:val="000000"/>
          <w:sz w:val="24"/>
          <w:szCs w:val="24"/>
        </w:rPr>
        <w:t>euro</w:t>
      </w:r>
      <w:proofErr w:type="spellEnd"/>
      <w:r>
        <w:rPr>
          <w:rFonts w:ascii="Times New Roman" w:eastAsia="Calibri" w:hAnsi="Times New Roman" w:cs="Times New Roman"/>
          <w:color w:val="000000"/>
          <w:sz w:val="24"/>
        </w:rPr>
        <w:t>), savukārt 2019.</w:t>
      </w:r>
      <w:r w:rsidR="003D448B" w:rsidRPr="003D448B">
        <w:rPr>
          <w:rFonts w:ascii="Times New Roman" w:eastAsia="Calibri" w:hAnsi="Times New Roman" w:cs="Times New Roman"/>
          <w:color w:val="000000"/>
          <w:sz w:val="24"/>
        </w:rPr>
        <w:t>gadā un visā vidējā termiņā ES fondu investīciju pieaugums netiek prognozēts, to apmēri</w:t>
      </w:r>
      <w:r>
        <w:rPr>
          <w:rFonts w:ascii="Times New Roman" w:eastAsia="Calibri" w:hAnsi="Times New Roman" w:cs="Times New Roman"/>
          <w:color w:val="000000"/>
          <w:sz w:val="24"/>
        </w:rPr>
        <w:t>em saglabājoties aptuveni 2018.</w:t>
      </w:r>
      <w:r w:rsidR="003D448B" w:rsidRPr="003D448B">
        <w:rPr>
          <w:rFonts w:ascii="Times New Roman" w:eastAsia="Calibri" w:hAnsi="Times New Roman" w:cs="Times New Roman"/>
          <w:color w:val="000000"/>
          <w:sz w:val="24"/>
        </w:rPr>
        <w:t>gada līmenī.</w:t>
      </w:r>
    </w:p>
    <w:p w:rsidR="003D448B" w:rsidRPr="003D448B" w:rsidRDefault="00EC29FD" w:rsidP="00DA42C2">
      <w:pPr>
        <w:numPr>
          <w:ilvl w:val="0"/>
          <w:numId w:val="15"/>
        </w:numPr>
        <w:spacing w:before="120" w:after="0" w:line="240" w:lineRule="auto"/>
        <w:ind w:left="709" w:hanging="283"/>
        <w:contextualSpacing/>
        <w:jc w:val="both"/>
        <w:rPr>
          <w:rFonts w:ascii="Times New Roman" w:eastAsia="Calibri" w:hAnsi="Times New Roman" w:cs="Times New Roman"/>
          <w:color w:val="000000"/>
          <w:sz w:val="24"/>
        </w:rPr>
      </w:pPr>
      <w:r>
        <w:rPr>
          <w:rFonts w:ascii="Times New Roman" w:eastAsia="Calibri" w:hAnsi="Times New Roman" w:cs="Times New Roman"/>
          <w:color w:val="000000"/>
          <w:sz w:val="24"/>
        </w:rPr>
        <w:t>2022.</w:t>
      </w:r>
      <w:r w:rsidR="003D448B" w:rsidRPr="003D448B">
        <w:rPr>
          <w:rFonts w:ascii="Times New Roman" w:eastAsia="Calibri" w:hAnsi="Times New Roman" w:cs="Times New Roman"/>
          <w:color w:val="000000"/>
          <w:sz w:val="24"/>
        </w:rPr>
        <w:t>gadā centrālās valdības budžetā tiek plānots, ka kopējais izdevumu apmērs nomināli saglabāsies aptuveni 2021. gada līmenī. Tas skaidroja</w:t>
      </w:r>
      <w:r>
        <w:rPr>
          <w:rFonts w:ascii="Times New Roman" w:eastAsia="Calibri" w:hAnsi="Times New Roman" w:cs="Times New Roman"/>
          <w:color w:val="000000"/>
          <w:sz w:val="24"/>
        </w:rPr>
        <w:t>ms ar to, ka attiecībā uz 2022.</w:t>
      </w:r>
      <w:r w:rsidR="003D448B" w:rsidRPr="003D448B">
        <w:rPr>
          <w:rFonts w:ascii="Times New Roman" w:eastAsia="Calibri" w:hAnsi="Times New Roman" w:cs="Times New Roman"/>
          <w:color w:val="000000"/>
          <w:sz w:val="24"/>
        </w:rPr>
        <w:t>gadu šobrīd nav pieņemti saistoši lēmumi par papildus resursu piešķiršanu. Vienlaikus izdevumi aizsardzī</w:t>
      </w:r>
      <w:r>
        <w:rPr>
          <w:rFonts w:ascii="Times New Roman" w:eastAsia="Calibri" w:hAnsi="Times New Roman" w:cs="Times New Roman"/>
          <w:color w:val="000000"/>
          <w:sz w:val="24"/>
        </w:rPr>
        <w:t>bai arī 2022.</w:t>
      </w:r>
      <w:r w:rsidR="003D448B" w:rsidRPr="003D448B">
        <w:rPr>
          <w:rFonts w:ascii="Times New Roman" w:eastAsia="Calibri" w:hAnsi="Times New Roman" w:cs="Times New Roman"/>
          <w:color w:val="000000"/>
          <w:sz w:val="24"/>
        </w:rPr>
        <w:t>gadā tiek prognozēti 2% no IKP līmenī. Centrālās valdības budžeta bilance pie nemainīgas</w:t>
      </w:r>
      <w:r w:rsidR="008C102F">
        <w:rPr>
          <w:rFonts w:ascii="Times New Roman" w:eastAsia="Calibri" w:hAnsi="Times New Roman" w:cs="Times New Roman"/>
          <w:color w:val="000000"/>
          <w:sz w:val="24"/>
        </w:rPr>
        <w:t xml:space="preserve"> politikas, salīdzinot ar 2021.</w:t>
      </w:r>
      <w:r w:rsidR="003D448B" w:rsidRPr="003D448B">
        <w:rPr>
          <w:rFonts w:ascii="Times New Roman" w:eastAsia="Calibri" w:hAnsi="Times New Roman" w:cs="Times New Roman"/>
          <w:color w:val="000000"/>
          <w:sz w:val="24"/>
        </w:rPr>
        <w:t>gadu, būtiski uzlabosies.</w:t>
      </w:r>
    </w:p>
    <w:p w:rsidR="003D448B" w:rsidRPr="003D448B" w:rsidRDefault="003D448B" w:rsidP="003D448B">
      <w:pPr>
        <w:spacing w:after="120" w:line="240" w:lineRule="auto"/>
        <w:ind w:left="709" w:hanging="283"/>
        <w:jc w:val="both"/>
        <w:rPr>
          <w:rFonts w:ascii="Times New Roman" w:eastAsia="Times New Roman" w:hAnsi="Times New Roman" w:cs="Times New Roman"/>
          <w:b/>
          <w:sz w:val="24"/>
          <w:szCs w:val="24"/>
        </w:rPr>
      </w:pPr>
    </w:p>
    <w:p w:rsidR="003D448B" w:rsidRPr="003D448B" w:rsidRDefault="003D448B" w:rsidP="00512D77">
      <w:pPr>
        <w:spacing w:after="0" w:line="240" w:lineRule="auto"/>
        <w:ind w:left="709"/>
        <w:jc w:val="both"/>
        <w:rPr>
          <w:rFonts w:ascii="Times New Roman" w:eastAsia="Times New Roman" w:hAnsi="Times New Roman" w:cs="Times New Roman"/>
          <w:sz w:val="24"/>
          <w:szCs w:val="24"/>
        </w:rPr>
      </w:pPr>
      <w:r w:rsidRPr="003D448B">
        <w:rPr>
          <w:rFonts w:ascii="Times New Roman" w:eastAsia="Times New Roman" w:hAnsi="Times New Roman" w:cs="Times New Roman"/>
          <w:b/>
          <w:sz w:val="24"/>
          <w:szCs w:val="24"/>
        </w:rPr>
        <w:t>Sociālās nodrošināšanas fondā:</w:t>
      </w:r>
      <w:r w:rsidRPr="003D448B">
        <w:rPr>
          <w:rFonts w:ascii="Times New Roman" w:eastAsia="Times New Roman" w:hAnsi="Times New Roman" w:cs="Times New Roman"/>
          <w:sz w:val="24"/>
          <w:szCs w:val="24"/>
        </w:rPr>
        <w:t xml:space="preserve"> </w:t>
      </w:r>
    </w:p>
    <w:p w:rsidR="003D448B" w:rsidRPr="003D448B" w:rsidRDefault="003D448B" w:rsidP="00DA42C2">
      <w:pPr>
        <w:numPr>
          <w:ilvl w:val="0"/>
          <w:numId w:val="15"/>
        </w:numPr>
        <w:spacing w:after="120" w:line="240" w:lineRule="auto"/>
        <w:ind w:left="709" w:hanging="283"/>
        <w:contextualSpacing/>
        <w:jc w:val="both"/>
        <w:rPr>
          <w:rFonts w:ascii="Times New Roman" w:eastAsia="Calibri" w:hAnsi="Times New Roman" w:cs="Times New Roman"/>
          <w:color w:val="000000" w:themeColor="text1"/>
          <w:sz w:val="24"/>
          <w:szCs w:val="24"/>
        </w:rPr>
      </w:pPr>
      <w:r w:rsidRPr="003D448B">
        <w:rPr>
          <w:rFonts w:ascii="Times New Roman" w:eastAsia="Calibri" w:hAnsi="Times New Roman" w:cs="Times New Roman"/>
          <w:color w:val="000000" w:themeColor="text1"/>
          <w:sz w:val="24"/>
        </w:rPr>
        <w:t>Ieņēmumi, ko pamatā veido sociālās apdrošināšanas iemaksas, tur</w:t>
      </w:r>
      <w:r w:rsidR="00EC29FD">
        <w:rPr>
          <w:rFonts w:ascii="Times New Roman" w:eastAsia="Calibri" w:hAnsi="Times New Roman" w:cs="Times New Roman"/>
          <w:color w:val="000000" w:themeColor="text1"/>
          <w:sz w:val="24"/>
        </w:rPr>
        <w:t>pinās uzrādīt pieaugumu. 2019.</w:t>
      </w:r>
      <w:r w:rsidRPr="003D448B">
        <w:rPr>
          <w:rFonts w:ascii="Times New Roman" w:eastAsia="Calibri" w:hAnsi="Times New Roman" w:cs="Times New Roman"/>
          <w:color w:val="000000" w:themeColor="text1"/>
          <w:sz w:val="24"/>
        </w:rPr>
        <w:t>gadā prognozēts, ka ieņēmumi palielināsies par 7,5%.</w:t>
      </w:r>
    </w:p>
    <w:p w:rsidR="003D448B" w:rsidRPr="003D448B" w:rsidRDefault="003D448B" w:rsidP="00DA42C2">
      <w:pPr>
        <w:numPr>
          <w:ilvl w:val="0"/>
          <w:numId w:val="15"/>
        </w:numPr>
        <w:spacing w:after="120" w:line="240" w:lineRule="auto"/>
        <w:ind w:left="709" w:hanging="283"/>
        <w:contextualSpacing/>
        <w:jc w:val="both"/>
        <w:rPr>
          <w:rFonts w:ascii="Times New Roman" w:eastAsia="Calibri" w:hAnsi="Times New Roman" w:cs="Times New Roman"/>
          <w:color w:val="000000" w:themeColor="text1"/>
          <w:sz w:val="24"/>
          <w:szCs w:val="24"/>
        </w:rPr>
      </w:pPr>
      <w:r w:rsidRPr="003D448B">
        <w:rPr>
          <w:rFonts w:ascii="Times New Roman" w:eastAsia="Calibri" w:hAnsi="Times New Roman" w:cs="Times New Roman"/>
          <w:color w:val="000000" w:themeColor="text1"/>
          <w:sz w:val="24"/>
        </w:rPr>
        <w:t xml:space="preserve">Sociālās </w:t>
      </w:r>
      <w:r w:rsidR="00EC29FD">
        <w:rPr>
          <w:rFonts w:ascii="Times New Roman" w:eastAsia="Calibri" w:hAnsi="Times New Roman" w:cs="Times New Roman"/>
          <w:color w:val="000000" w:themeColor="text1"/>
          <w:sz w:val="24"/>
        </w:rPr>
        <w:t>nodrošināšanas fondā kopš 2014.</w:t>
      </w:r>
      <w:r w:rsidRPr="003D448B">
        <w:rPr>
          <w:rFonts w:ascii="Times New Roman" w:eastAsia="Calibri" w:hAnsi="Times New Roman" w:cs="Times New Roman"/>
          <w:color w:val="000000" w:themeColor="text1"/>
          <w:sz w:val="24"/>
        </w:rPr>
        <w:t>gada katru gadu veidojas pārpalikums un pārpal</w:t>
      </w:r>
      <w:r w:rsidR="00EC29FD">
        <w:rPr>
          <w:rFonts w:ascii="Times New Roman" w:eastAsia="Calibri" w:hAnsi="Times New Roman" w:cs="Times New Roman"/>
          <w:color w:val="000000" w:themeColor="text1"/>
          <w:sz w:val="24"/>
        </w:rPr>
        <w:t>ikums tiek prognozēts arī 2019.</w:t>
      </w:r>
      <w:r w:rsidRPr="003D448B">
        <w:rPr>
          <w:rFonts w:ascii="Times New Roman" w:eastAsia="Calibri" w:hAnsi="Times New Roman" w:cs="Times New Roman"/>
          <w:color w:val="000000" w:themeColor="text1"/>
          <w:sz w:val="24"/>
        </w:rPr>
        <w:t>gadā un vidē</w:t>
      </w:r>
      <w:r w:rsidR="00EC29FD">
        <w:rPr>
          <w:rFonts w:ascii="Times New Roman" w:eastAsia="Calibri" w:hAnsi="Times New Roman" w:cs="Times New Roman"/>
          <w:color w:val="000000" w:themeColor="text1"/>
          <w:sz w:val="24"/>
        </w:rPr>
        <w:t>jā termiņā. Paredzams, ka 2019.</w:t>
      </w:r>
      <w:r w:rsidRPr="003D448B">
        <w:rPr>
          <w:rFonts w:ascii="Times New Roman" w:eastAsia="Calibri" w:hAnsi="Times New Roman" w:cs="Times New Roman"/>
          <w:color w:val="000000" w:themeColor="text1"/>
          <w:sz w:val="24"/>
        </w:rPr>
        <w:t>gadā pārpalikuma apmērs sociālās nodrošināšan</w:t>
      </w:r>
      <w:r w:rsidR="00EC29FD">
        <w:rPr>
          <w:rFonts w:ascii="Times New Roman" w:eastAsia="Calibri" w:hAnsi="Times New Roman" w:cs="Times New Roman"/>
          <w:color w:val="000000" w:themeColor="text1"/>
          <w:sz w:val="24"/>
        </w:rPr>
        <w:t>as fondā būs augstāks par 2018.</w:t>
      </w:r>
      <w:r w:rsidRPr="003D448B">
        <w:rPr>
          <w:rFonts w:ascii="Times New Roman" w:eastAsia="Calibri" w:hAnsi="Times New Roman" w:cs="Times New Roman"/>
          <w:color w:val="000000" w:themeColor="text1"/>
          <w:sz w:val="24"/>
        </w:rPr>
        <w:t xml:space="preserve">gada pārpalikumu, bet vidējā termiņā tā apmērs samazināsies, ko ietekmēs arvien pieaugošie izdevumi pensijām un pārējiem sociālajiem pabalstiem. </w:t>
      </w:r>
    </w:p>
    <w:p w:rsidR="003D448B" w:rsidRPr="003D448B" w:rsidRDefault="00EC29FD" w:rsidP="00DA42C2">
      <w:pPr>
        <w:numPr>
          <w:ilvl w:val="0"/>
          <w:numId w:val="15"/>
        </w:numPr>
        <w:spacing w:after="120" w:line="240" w:lineRule="auto"/>
        <w:ind w:left="709"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themeColor="text1"/>
          <w:sz w:val="24"/>
        </w:rPr>
        <w:t>Izdevumi 2019.</w:t>
      </w:r>
      <w:r w:rsidR="003D448B" w:rsidRPr="003D448B">
        <w:rPr>
          <w:rFonts w:ascii="Times New Roman" w:eastAsia="Calibri" w:hAnsi="Times New Roman" w:cs="Times New Roman"/>
          <w:color w:val="000000" w:themeColor="text1"/>
          <w:sz w:val="24"/>
        </w:rPr>
        <w:t xml:space="preserve">gadā būs par 7,2% augstāki </w:t>
      </w:r>
      <w:r>
        <w:rPr>
          <w:rFonts w:ascii="Times New Roman" w:eastAsia="Calibri" w:hAnsi="Times New Roman" w:cs="Times New Roman"/>
          <w:color w:val="000000" w:themeColor="text1"/>
          <w:sz w:val="24"/>
        </w:rPr>
        <w:t>kā 2018.gadā. No 2020.</w:t>
      </w:r>
      <w:r w:rsidR="003D448B" w:rsidRPr="003D448B">
        <w:rPr>
          <w:rFonts w:ascii="Times New Roman" w:eastAsia="Calibri" w:hAnsi="Times New Roman" w:cs="Times New Roman"/>
          <w:color w:val="000000" w:themeColor="text1"/>
          <w:sz w:val="24"/>
        </w:rPr>
        <w:t>gada ir sagaidāms straujāks izdevumu pieaugums, ņemot vērā vidējās darba samaksas kāpumu, kas ietekmē izmaksāto pensiju un pabalstu vidējā apmēru, prognozētās izmaiņas pensiju un pabalstu saņēmēju skaitā</w:t>
      </w:r>
      <w:r w:rsidR="003D448B" w:rsidRPr="003D448B">
        <w:rPr>
          <w:rFonts w:ascii="Times New Roman" w:eastAsia="Calibri" w:hAnsi="Times New Roman" w:cs="Times New Roman"/>
          <w:sz w:val="24"/>
        </w:rPr>
        <w:t xml:space="preserve"> un ņemot vērā izmaiņas likumdošan</w:t>
      </w:r>
      <w:r>
        <w:rPr>
          <w:rFonts w:ascii="Times New Roman" w:eastAsia="Calibri" w:hAnsi="Times New Roman" w:cs="Times New Roman"/>
          <w:sz w:val="24"/>
        </w:rPr>
        <w:t>ā, kas stājušās spēkā gan 2019.</w:t>
      </w:r>
      <w:r w:rsidR="003D448B" w:rsidRPr="003D448B">
        <w:rPr>
          <w:rFonts w:ascii="Times New Roman" w:eastAsia="Calibri" w:hAnsi="Times New Roman" w:cs="Times New Roman"/>
          <w:sz w:val="24"/>
        </w:rPr>
        <w:t xml:space="preserve">gadā, gan arī pirms tam, un turpinās ietekmēt izdevumu apmēru vidējā termiņā: </w:t>
      </w:r>
    </w:p>
    <w:p w:rsidR="003D448B" w:rsidRPr="003D448B" w:rsidRDefault="00EC29FD"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 2014.</w:t>
      </w:r>
      <w:r w:rsidR="003D448B" w:rsidRPr="003D448B">
        <w:rPr>
          <w:rFonts w:ascii="Times New Roman" w:eastAsia="Calibri" w:hAnsi="Times New Roman" w:cs="Times New Roman"/>
          <w:color w:val="000000"/>
          <w:sz w:val="24"/>
          <w:szCs w:val="24"/>
        </w:rPr>
        <w:t>gada pakāpeniski palielinās pensionēšanās vecums – ik gad</w:t>
      </w:r>
      <w:r w:rsidR="00E43828">
        <w:rPr>
          <w:rFonts w:ascii="Times New Roman" w:eastAsia="Calibri" w:hAnsi="Times New Roman" w:cs="Times New Roman"/>
          <w:color w:val="000000"/>
          <w:sz w:val="24"/>
          <w:szCs w:val="24"/>
        </w:rPr>
        <w:t>u par trim mēnešiem, līdz 2025.</w:t>
      </w:r>
      <w:r w:rsidR="003D448B" w:rsidRPr="003D448B">
        <w:rPr>
          <w:rFonts w:ascii="Times New Roman" w:eastAsia="Calibri" w:hAnsi="Times New Roman" w:cs="Times New Roman"/>
          <w:color w:val="000000"/>
          <w:sz w:val="24"/>
          <w:szCs w:val="24"/>
        </w:rPr>
        <w:t xml:space="preserve">gadā tiks sasniegts 65 gadu vecums. Tiesības uz valsts vecuma </w:t>
      </w:r>
      <w:r w:rsidR="00E43828">
        <w:rPr>
          <w:rFonts w:ascii="Times New Roman" w:eastAsia="Calibri" w:hAnsi="Times New Roman" w:cs="Times New Roman"/>
          <w:color w:val="000000"/>
          <w:sz w:val="24"/>
          <w:szCs w:val="24"/>
        </w:rPr>
        <w:t>pensiju 2019.</w:t>
      </w:r>
      <w:r w:rsidR="003D448B" w:rsidRPr="003D448B">
        <w:rPr>
          <w:rFonts w:ascii="Times New Roman" w:eastAsia="Calibri" w:hAnsi="Times New Roman" w:cs="Times New Roman"/>
          <w:color w:val="000000"/>
          <w:sz w:val="24"/>
          <w:szCs w:val="24"/>
        </w:rPr>
        <w:t xml:space="preserve">gadā būs personām, kuras sasniegušas 63 gadu un 6 mēnešu vecumu. Personām, kuru apdrošināšanas stāžs nav mazāks par 30 gadiem, ir tiesības pensionēties priekšlaicīgi – divus gadus pirms vispārējā </w:t>
      </w:r>
      <w:r w:rsidR="003D448B" w:rsidRPr="003D448B">
        <w:rPr>
          <w:rFonts w:ascii="Times New Roman" w:eastAsia="Calibri" w:hAnsi="Times New Roman" w:cs="Times New Roman"/>
          <w:color w:val="000000"/>
          <w:sz w:val="24"/>
          <w:szCs w:val="24"/>
        </w:rPr>
        <w:lastRenderedPageBreak/>
        <w:t>pensionēšanās vecuma sasni</w:t>
      </w:r>
      <w:r w:rsidR="008C102F">
        <w:rPr>
          <w:rFonts w:ascii="Times New Roman" w:eastAsia="Calibri" w:hAnsi="Times New Roman" w:cs="Times New Roman"/>
          <w:color w:val="000000"/>
          <w:sz w:val="24"/>
          <w:szCs w:val="24"/>
        </w:rPr>
        <w:t>egšanas, tātad 2019.</w:t>
      </w:r>
      <w:r w:rsidR="003D448B" w:rsidRPr="003D448B">
        <w:rPr>
          <w:rFonts w:ascii="Times New Roman" w:eastAsia="Calibri" w:hAnsi="Times New Roman" w:cs="Times New Roman"/>
          <w:color w:val="000000"/>
          <w:sz w:val="24"/>
          <w:szCs w:val="24"/>
        </w:rPr>
        <w:t>gadā pensionēties priekšlaicīgi var personas, kuras sasniegušas 61 gadu un 6 mēnešu vecumu;</w:t>
      </w:r>
    </w:p>
    <w:p w:rsidR="003D448B" w:rsidRPr="003D448B" w:rsidRDefault="003D448B"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sidRPr="003D448B">
        <w:rPr>
          <w:rFonts w:ascii="Times New Roman" w:eastAsia="Calibri" w:hAnsi="Times New Roman" w:cs="Times New Roman"/>
          <w:color w:val="000000"/>
          <w:sz w:val="24"/>
          <w:szCs w:val="24"/>
        </w:rPr>
        <w:t>No 2017.gada ir pagarināts kvalifikācijas period</w:t>
      </w:r>
      <w:r w:rsidR="00793FB7">
        <w:rPr>
          <w:rFonts w:ascii="Times New Roman" w:eastAsia="Calibri" w:hAnsi="Times New Roman" w:cs="Times New Roman"/>
          <w:color w:val="000000"/>
          <w:sz w:val="24"/>
          <w:szCs w:val="24"/>
        </w:rPr>
        <w:t>s</w:t>
      </w:r>
      <w:r w:rsidRPr="003D448B">
        <w:rPr>
          <w:rFonts w:ascii="Times New Roman" w:eastAsia="Calibri" w:hAnsi="Times New Roman" w:cs="Times New Roman"/>
          <w:color w:val="000000"/>
          <w:sz w:val="24"/>
          <w:szCs w:val="24"/>
        </w:rPr>
        <w:t xml:space="preserve"> tiesību noteikšanai uz bezdarbnieka pabalstu no 9 mēnešiem 12 mēnešu periodā uz 12</w:t>
      </w:r>
      <w:r w:rsidR="00EC29FD">
        <w:rPr>
          <w:rFonts w:ascii="Times New Roman" w:eastAsia="Calibri" w:hAnsi="Times New Roman" w:cs="Times New Roman"/>
          <w:color w:val="000000"/>
          <w:sz w:val="24"/>
          <w:szCs w:val="24"/>
        </w:rPr>
        <w:t xml:space="preserve"> </w:t>
      </w:r>
      <w:r w:rsidRPr="003D448B">
        <w:rPr>
          <w:rFonts w:ascii="Times New Roman" w:eastAsia="Calibri" w:hAnsi="Times New Roman" w:cs="Times New Roman"/>
          <w:color w:val="000000"/>
          <w:sz w:val="24"/>
          <w:szCs w:val="24"/>
        </w:rPr>
        <w:t>mēnešiem 16 mēnešu periodā, ieviešot kvalifikācijas periodu tiesību noteikšanai uz slimības pabalstu, kā arī citas izmaiņas, lai ierobežotu bezdarbnieku un slimības pabalstu izmaksu kārtības sistemātisku negodprātīgu izmantošanu;</w:t>
      </w:r>
    </w:p>
    <w:p w:rsidR="003D448B" w:rsidRPr="003D448B" w:rsidRDefault="008C102F"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 2018.g</w:t>
      </w:r>
      <w:r w:rsidR="003D448B" w:rsidRPr="003D448B">
        <w:rPr>
          <w:rFonts w:ascii="Times New Roman" w:eastAsia="Calibri" w:hAnsi="Times New Roman" w:cs="Times New Roman"/>
          <w:color w:val="000000"/>
          <w:sz w:val="24"/>
          <w:szCs w:val="24"/>
        </w:rPr>
        <w:t>ada personām, kuru apdroši</w:t>
      </w:r>
      <w:r>
        <w:rPr>
          <w:rFonts w:ascii="Times New Roman" w:eastAsia="Calibri" w:hAnsi="Times New Roman" w:cs="Times New Roman"/>
          <w:color w:val="000000"/>
          <w:sz w:val="24"/>
          <w:szCs w:val="24"/>
        </w:rPr>
        <w:t xml:space="preserve">nāšanas stāžs ir mazāks par 15 </w:t>
      </w:r>
      <w:r w:rsidR="003D448B" w:rsidRPr="003D448B">
        <w:rPr>
          <w:rFonts w:ascii="Times New Roman" w:eastAsia="Calibri" w:hAnsi="Times New Roman" w:cs="Times New Roman"/>
          <w:color w:val="000000"/>
          <w:sz w:val="24"/>
          <w:szCs w:val="24"/>
        </w:rPr>
        <w:t xml:space="preserve">gadiem un kurām nav tiesību uz valsts vecuma pensiju, saskaņā ar Valsts sociālo pabalstu likumu, sasniedzot noteikto pensionēšanās vecumu, tiek piešķirts un no valsts pamatbudžeta līdzekļiem izmaksāts valsts sociālā nodrošinājuma pabalsts; </w:t>
      </w:r>
    </w:p>
    <w:p w:rsidR="003D448B" w:rsidRPr="003D448B" w:rsidRDefault="00EC29FD"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2018.gada 1.</w:t>
      </w:r>
      <w:r w:rsidR="003D448B" w:rsidRPr="003D448B">
        <w:rPr>
          <w:rFonts w:ascii="Times New Roman" w:eastAsia="Calibri" w:hAnsi="Times New Roman" w:cs="Times New Roman"/>
          <w:color w:val="000000"/>
          <w:sz w:val="24"/>
          <w:szCs w:val="24"/>
        </w:rPr>
        <w:t>oktobrī tika pārskatītas (indeksētas) vecuma, invaliditātes, izdienas, apgādnieka zaudējuma pensijas un apdrošināšanas atlīdzības, kuras piešķirtas (pā</w:t>
      </w:r>
      <w:r>
        <w:rPr>
          <w:rFonts w:ascii="Times New Roman" w:eastAsia="Calibri" w:hAnsi="Times New Roman" w:cs="Times New Roman"/>
          <w:color w:val="000000"/>
          <w:sz w:val="24"/>
          <w:szCs w:val="24"/>
        </w:rPr>
        <w:t>rrēķinātas) līdz 2018.gada 30.</w:t>
      </w:r>
      <w:r w:rsidR="003D448B" w:rsidRPr="003D448B">
        <w:rPr>
          <w:rFonts w:ascii="Times New Roman" w:eastAsia="Calibri" w:hAnsi="Times New Roman" w:cs="Times New Roman"/>
          <w:color w:val="000000"/>
          <w:sz w:val="24"/>
          <w:szCs w:val="24"/>
        </w:rPr>
        <w:t xml:space="preserve">septembrim un kuru apmērs nepārsniedz 382 </w:t>
      </w:r>
      <w:proofErr w:type="spellStart"/>
      <w:r w:rsidR="008C102F" w:rsidRPr="008C102F">
        <w:rPr>
          <w:rFonts w:ascii="Times New Roman" w:eastAsia="Calibri" w:hAnsi="Times New Roman" w:cs="Times New Roman"/>
          <w:i/>
          <w:color w:val="000000"/>
          <w:sz w:val="24"/>
          <w:szCs w:val="24"/>
        </w:rPr>
        <w:t>euro</w:t>
      </w:r>
      <w:proofErr w:type="spellEnd"/>
      <w:r w:rsidR="003D448B" w:rsidRPr="003D448B">
        <w:rPr>
          <w:rFonts w:ascii="Times New Roman" w:eastAsia="Calibri" w:hAnsi="Times New Roman" w:cs="Times New Roman"/>
          <w:color w:val="000000"/>
          <w:sz w:val="24"/>
          <w:szCs w:val="24"/>
        </w:rPr>
        <w:t xml:space="preserve">, bet tām pensijām un apdrošināšanas atlīdzībām, kuru apmērs pārsniedz 382 </w:t>
      </w:r>
      <w:proofErr w:type="spellStart"/>
      <w:r w:rsidR="008C102F" w:rsidRPr="008C102F">
        <w:rPr>
          <w:rFonts w:ascii="Times New Roman" w:eastAsia="Calibri" w:hAnsi="Times New Roman" w:cs="Times New Roman"/>
          <w:i/>
          <w:color w:val="000000"/>
          <w:sz w:val="24"/>
          <w:szCs w:val="24"/>
        </w:rPr>
        <w:t>euro</w:t>
      </w:r>
      <w:proofErr w:type="spellEnd"/>
      <w:r>
        <w:rPr>
          <w:rFonts w:ascii="Times New Roman" w:eastAsia="Calibri" w:hAnsi="Times New Roman" w:cs="Times New Roman"/>
          <w:color w:val="000000"/>
          <w:sz w:val="24"/>
          <w:szCs w:val="24"/>
        </w:rPr>
        <w:t xml:space="preserve">, indeksē tikai tās daļu – 382 </w:t>
      </w:r>
      <w:proofErr w:type="spellStart"/>
      <w:r w:rsidR="003D448B" w:rsidRPr="009F516D">
        <w:rPr>
          <w:rFonts w:ascii="Times New Roman" w:eastAsia="Calibri" w:hAnsi="Times New Roman" w:cs="Times New Roman"/>
          <w:i/>
          <w:color w:val="000000"/>
          <w:sz w:val="24"/>
          <w:szCs w:val="24"/>
        </w:rPr>
        <w:t>e</w:t>
      </w:r>
      <w:r w:rsidRPr="009F516D">
        <w:rPr>
          <w:rFonts w:ascii="Times New Roman" w:eastAsia="Calibri" w:hAnsi="Times New Roman" w:cs="Times New Roman"/>
          <w:i/>
          <w:color w:val="000000"/>
          <w:sz w:val="24"/>
          <w:szCs w:val="24"/>
        </w:rPr>
        <w:t>u</w:t>
      </w:r>
      <w:r w:rsidR="003D448B" w:rsidRPr="009F516D">
        <w:rPr>
          <w:rFonts w:ascii="Times New Roman" w:eastAsia="Calibri" w:hAnsi="Times New Roman" w:cs="Times New Roman"/>
          <w:i/>
          <w:color w:val="000000"/>
          <w:sz w:val="24"/>
          <w:szCs w:val="24"/>
        </w:rPr>
        <w:t>ro</w:t>
      </w:r>
      <w:proofErr w:type="spellEnd"/>
      <w:r w:rsidR="003D448B" w:rsidRPr="003D448B">
        <w:rPr>
          <w:rFonts w:ascii="Times New Roman" w:eastAsia="Calibri" w:hAnsi="Times New Roman" w:cs="Times New Roman"/>
          <w:color w:val="000000"/>
          <w:sz w:val="24"/>
          <w:szCs w:val="24"/>
        </w:rPr>
        <w:t xml:space="preserve">. Vienlaikus indeksa aprēķina formulā, kuru veido faktiskais </w:t>
      </w:r>
      <w:r w:rsidR="009F516D" w:rsidRPr="009F516D">
        <w:rPr>
          <w:rFonts w:ascii="Times New Roman" w:hAnsi="Times New Roman"/>
          <w:sz w:val="24"/>
        </w:rPr>
        <w:t>PCI</w:t>
      </w:r>
      <w:r w:rsidR="003D448B" w:rsidRPr="003D448B">
        <w:rPr>
          <w:rFonts w:ascii="Times New Roman" w:eastAsia="Calibri" w:hAnsi="Times New Roman" w:cs="Times New Roman"/>
          <w:color w:val="000000"/>
          <w:sz w:val="24"/>
          <w:szCs w:val="24"/>
        </w:rPr>
        <w:t xml:space="preserve"> un apdrošināšanas iemaksu algu summas reālā pieauguma procenti, ņemtas vērā šādas izmaiņas. Ja personas apdrošināšanas stāžs ir no 30 līdz 39 gadiem, tad aprēķina formulā tiek ņemti 60% algas pieauguma (iepriekš 50%), savukārt, ja apdrošināšanas stāžs ir 40 un vairāk darba gadi, tad 70% no reālā algu pieauguma (iepriekš 50%);</w:t>
      </w:r>
    </w:p>
    <w:p w:rsidR="003D448B" w:rsidRPr="003D448B" w:rsidRDefault="00C62844"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 2019.gada 1.</w:t>
      </w:r>
      <w:r w:rsidR="003D448B" w:rsidRPr="003D448B">
        <w:rPr>
          <w:rFonts w:ascii="Times New Roman" w:eastAsia="Calibri" w:hAnsi="Times New Roman" w:cs="Times New Roman"/>
          <w:color w:val="000000"/>
          <w:sz w:val="24"/>
          <w:szCs w:val="24"/>
        </w:rPr>
        <w:t>oktobra vecuma pensijām, kas aprēķinātas par 45 un vairāk gadu apdrošināšanas stāžu, pensiju indeksācijā piemēros faktisko patēriņa cenu indeksu un 80% (iepriekš 70%) no apdrošināšanas iemaksu algu summas reālā pieauguma procentiem;</w:t>
      </w:r>
    </w:p>
    <w:p w:rsidR="003D448B" w:rsidRPr="003D448B" w:rsidRDefault="003A4105"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 2019.gada 1.</w:t>
      </w:r>
      <w:r w:rsidR="003D448B" w:rsidRPr="003D448B">
        <w:rPr>
          <w:rFonts w:ascii="Times New Roman" w:eastAsia="Calibri" w:hAnsi="Times New Roman" w:cs="Times New Roman"/>
          <w:color w:val="000000"/>
          <w:sz w:val="24"/>
          <w:szCs w:val="24"/>
        </w:rPr>
        <w:t>oktobra piemaksas apmēru par vienu apdrošināšanas stā</w:t>
      </w:r>
      <w:r>
        <w:rPr>
          <w:rFonts w:ascii="Times New Roman" w:eastAsia="Calibri" w:hAnsi="Times New Roman" w:cs="Times New Roman"/>
          <w:color w:val="000000"/>
          <w:sz w:val="24"/>
          <w:szCs w:val="24"/>
        </w:rPr>
        <w:t>ža gadu, kas uzkrāts līdz 1995.gada 31.</w:t>
      </w:r>
      <w:r w:rsidR="003D448B" w:rsidRPr="003D448B">
        <w:rPr>
          <w:rFonts w:ascii="Times New Roman" w:eastAsia="Calibri" w:hAnsi="Times New Roman" w:cs="Times New Roman"/>
          <w:color w:val="000000"/>
          <w:sz w:val="24"/>
          <w:szCs w:val="24"/>
        </w:rPr>
        <w:t xml:space="preserve">decembrim (1,50 </w:t>
      </w:r>
      <w:proofErr w:type="spellStart"/>
      <w:r w:rsidR="008C102F" w:rsidRPr="008C102F">
        <w:rPr>
          <w:rFonts w:ascii="Times New Roman" w:eastAsia="Calibri" w:hAnsi="Times New Roman" w:cs="Times New Roman"/>
          <w:i/>
          <w:color w:val="000000"/>
          <w:sz w:val="24"/>
          <w:szCs w:val="24"/>
        </w:rPr>
        <w:t>euro</w:t>
      </w:r>
      <w:proofErr w:type="spellEnd"/>
      <w:r w:rsidR="003D448B" w:rsidRPr="003D448B">
        <w:rPr>
          <w:rFonts w:ascii="Times New Roman" w:eastAsia="Calibri" w:hAnsi="Times New Roman" w:cs="Times New Roman"/>
          <w:color w:val="000000"/>
          <w:sz w:val="24"/>
          <w:szCs w:val="24"/>
        </w:rPr>
        <w:t xml:space="preserve"> pens</w:t>
      </w:r>
      <w:r>
        <w:rPr>
          <w:rFonts w:ascii="Times New Roman" w:eastAsia="Calibri" w:hAnsi="Times New Roman" w:cs="Times New Roman"/>
          <w:color w:val="000000"/>
          <w:sz w:val="24"/>
          <w:szCs w:val="24"/>
        </w:rPr>
        <w:t>ijām, kas piešķirtas līdz 1996.</w:t>
      </w:r>
      <w:r w:rsidR="003D448B" w:rsidRPr="003D448B">
        <w:rPr>
          <w:rFonts w:ascii="Times New Roman" w:eastAsia="Calibri" w:hAnsi="Times New Roman" w:cs="Times New Roman"/>
          <w:color w:val="000000"/>
          <w:sz w:val="24"/>
          <w:szCs w:val="24"/>
        </w:rPr>
        <w:t xml:space="preserve">gadam, un 1 </w:t>
      </w:r>
      <w:proofErr w:type="spellStart"/>
      <w:r w:rsidR="00636713" w:rsidRPr="00917436">
        <w:rPr>
          <w:rFonts w:ascii="Times New Roman" w:eastAsia="Calibri" w:hAnsi="Times New Roman" w:cs="Times New Roman"/>
          <w:i/>
          <w:color w:val="000000"/>
          <w:sz w:val="24"/>
          <w:szCs w:val="24"/>
        </w:rPr>
        <w:t>euro</w:t>
      </w:r>
      <w:proofErr w:type="spellEnd"/>
      <w:r w:rsidR="003D448B" w:rsidRPr="003D448B">
        <w:rPr>
          <w:rFonts w:ascii="Times New Roman" w:eastAsia="Calibri" w:hAnsi="Times New Roman" w:cs="Times New Roman"/>
          <w:color w:val="000000"/>
          <w:sz w:val="24"/>
          <w:szCs w:val="24"/>
        </w:rPr>
        <w:t xml:space="preserve"> pe</w:t>
      </w:r>
      <w:r>
        <w:rPr>
          <w:rFonts w:ascii="Times New Roman" w:eastAsia="Calibri" w:hAnsi="Times New Roman" w:cs="Times New Roman"/>
          <w:color w:val="000000"/>
          <w:sz w:val="24"/>
          <w:szCs w:val="24"/>
        </w:rPr>
        <w:t>nsijām, kas piešķirtas no 1997.</w:t>
      </w:r>
      <w:r w:rsidR="003D448B" w:rsidRPr="003D448B">
        <w:rPr>
          <w:rFonts w:ascii="Times New Roman" w:eastAsia="Calibri" w:hAnsi="Times New Roman" w:cs="Times New Roman"/>
          <w:color w:val="000000"/>
          <w:sz w:val="24"/>
          <w:szCs w:val="24"/>
        </w:rPr>
        <w:t>gada), pārskatīs, ņemot vērā faktisko patēriņa cenu indeksu un 50% no apdrošināšanas iemaksu algu summas reālā pieauguma procentiem;</w:t>
      </w:r>
    </w:p>
    <w:p w:rsidR="003D448B" w:rsidRPr="003D448B" w:rsidRDefault="003A4105" w:rsidP="005379D9">
      <w:pPr>
        <w:numPr>
          <w:ilvl w:val="1"/>
          <w:numId w:val="15"/>
        </w:numPr>
        <w:spacing w:after="120" w:line="240" w:lineRule="auto"/>
        <w:ind w:left="1418" w:hanging="283"/>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 2019.</w:t>
      </w:r>
      <w:r w:rsidR="003D448B" w:rsidRPr="003D448B">
        <w:rPr>
          <w:rFonts w:ascii="Times New Roman" w:eastAsia="Calibri" w:hAnsi="Times New Roman" w:cs="Times New Roman"/>
          <w:color w:val="000000"/>
          <w:sz w:val="24"/>
          <w:szCs w:val="24"/>
        </w:rPr>
        <w:t>gada pensijas saņēmēja nāves gadījumā pārdzīvojušajam laulātajam, kurš ir Latvijas Republikas vecuma, invaliditātes, izdienas vai speciālās valsts pensijas saņēmējs, piešķir pabalstu 50% apmērā no mirušajam laulātajam piešķirtās pensijas (ieskaitot piemaksu pie pensijas par apdrošināšana</w:t>
      </w:r>
      <w:r>
        <w:rPr>
          <w:rFonts w:ascii="Times New Roman" w:eastAsia="Calibri" w:hAnsi="Times New Roman" w:cs="Times New Roman"/>
          <w:color w:val="000000"/>
          <w:sz w:val="24"/>
          <w:szCs w:val="24"/>
        </w:rPr>
        <w:t>s stāžu, kas uzkrāts līdz 1995.gada 31.</w:t>
      </w:r>
      <w:r w:rsidR="003D448B" w:rsidRPr="003D448B">
        <w:rPr>
          <w:rFonts w:ascii="Times New Roman" w:eastAsia="Calibri" w:hAnsi="Times New Roman" w:cs="Times New Roman"/>
          <w:color w:val="000000"/>
          <w:sz w:val="24"/>
          <w:szCs w:val="24"/>
        </w:rPr>
        <w:t xml:space="preserve">decembrim), un ir tiesības saņemt pabalstu 12 mēnešus no pensijas saņēmēja nāves dienas; </w:t>
      </w:r>
    </w:p>
    <w:p w:rsidR="003D448B" w:rsidRPr="003D448B" w:rsidRDefault="003A4105" w:rsidP="005379D9">
      <w:pPr>
        <w:numPr>
          <w:ilvl w:val="1"/>
          <w:numId w:val="15"/>
        </w:numPr>
        <w:spacing w:after="120" w:line="240" w:lineRule="auto"/>
        <w:ind w:left="1418"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No 2020.</w:t>
      </w:r>
      <w:r w:rsidR="003D448B" w:rsidRPr="003D448B">
        <w:rPr>
          <w:rFonts w:ascii="Times New Roman" w:eastAsia="Calibri" w:hAnsi="Times New Roman" w:cs="Times New Roman"/>
          <w:sz w:val="24"/>
          <w:szCs w:val="24"/>
        </w:rPr>
        <w:t xml:space="preserve">gada tiek paredzēta </w:t>
      </w:r>
      <w:r w:rsidR="003D448B" w:rsidRPr="003D448B">
        <w:rPr>
          <w:rFonts w:ascii="Times New Roman" w:eastAsia="Calibri" w:hAnsi="Times New Roman" w:cs="Times New Roman"/>
          <w:noProof/>
          <w:sz w:val="24"/>
          <w:szCs w:val="24"/>
        </w:rPr>
        <w:t>fondēto pensiju kapitāla mantošana. Fondēto pensiju shēmas dalībniekam būs tiesības izvēlēties, kā tiks izmantots viņa fondētās pensijas kapitāls, ja šis dalībnieks nomirst pirms vecuma pensijas pieprasīšanas dienas. Uzkrāto fondēto pensiju kapitālu varēs ieskaitīt valsts pensiju speciālajā budžetā vai pievienot fondēto pensiju shēmas dalībnieka norādītās personas fondētās pensijas kapitālam, vai to varēs mantot</w:t>
      </w:r>
      <w:r w:rsidR="003D448B" w:rsidRPr="003D448B">
        <w:rPr>
          <w:rFonts w:ascii="Times New Roman" w:eastAsia="Calibri" w:hAnsi="Times New Roman" w:cs="Times New Roman"/>
          <w:sz w:val="24"/>
          <w:szCs w:val="24"/>
        </w:rPr>
        <w:t xml:space="preserve"> Civillikumā noteiktajā kārtībā. </w:t>
      </w:r>
      <w:r w:rsidR="003D448B" w:rsidRPr="003D448B">
        <w:rPr>
          <w:rFonts w:ascii="PT Serif" w:eastAsia="Calibri" w:hAnsi="PT Serif" w:cs="Times New Roman"/>
          <w:sz w:val="24"/>
          <w:shd w:val="clear" w:color="auto" w:fill="FFFFFF"/>
        </w:rPr>
        <w:t>Vienlaikus ar šiem grozījumiem stāsies spēkā izmaiņas, kad par personām, kuras saņem maternitātes, paternitātes, bezdarbnieka, slimības pabalstu, un personām ar invaliditāti no valsts speciālā budžeta veiktās pensiju apd</w:t>
      </w:r>
      <w:r>
        <w:rPr>
          <w:rFonts w:ascii="PT Serif" w:eastAsia="Calibri" w:hAnsi="PT Serif" w:cs="Times New Roman"/>
          <w:sz w:val="24"/>
          <w:shd w:val="clear" w:color="auto" w:fill="FFFFFF"/>
        </w:rPr>
        <w:t>rošināšanas iemaksas pensiju 2.</w:t>
      </w:r>
      <w:r w:rsidR="003D448B" w:rsidRPr="003D448B">
        <w:rPr>
          <w:rFonts w:ascii="PT Serif" w:eastAsia="Calibri" w:hAnsi="PT Serif" w:cs="Times New Roman"/>
          <w:sz w:val="24"/>
          <w:shd w:val="clear" w:color="auto" w:fill="FFFFFF"/>
        </w:rPr>
        <w:t>līmenī turpmāk ti</w:t>
      </w:r>
      <w:r>
        <w:rPr>
          <w:rFonts w:ascii="PT Serif" w:eastAsia="Calibri" w:hAnsi="PT Serif" w:cs="Times New Roman"/>
          <w:sz w:val="24"/>
          <w:shd w:val="clear" w:color="auto" w:fill="FFFFFF"/>
        </w:rPr>
        <w:t>ks novirzītas uz 1.</w:t>
      </w:r>
      <w:r w:rsidR="003D448B" w:rsidRPr="003D448B">
        <w:rPr>
          <w:rFonts w:ascii="PT Serif" w:eastAsia="Calibri" w:hAnsi="PT Serif" w:cs="Times New Roman"/>
          <w:sz w:val="24"/>
          <w:shd w:val="clear" w:color="auto" w:fill="FFFFFF"/>
        </w:rPr>
        <w:t>līmeni.</w:t>
      </w:r>
    </w:p>
    <w:p w:rsidR="003D448B" w:rsidRPr="003D448B" w:rsidRDefault="003D448B" w:rsidP="003D448B">
      <w:pPr>
        <w:spacing w:before="120" w:after="0" w:line="240" w:lineRule="auto"/>
        <w:ind w:left="709" w:hanging="283"/>
        <w:jc w:val="both"/>
        <w:rPr>
          <w:rFonts w:ascii="Times New Roman" w:eastAsia="Times New Roman" w:hAnsi="Times New Roman" w:cs="Times New Roman"/>
          <w:color w:val="000000"/>
          <w:sz w:val="24"/>
          <w:szCs w:val="20"/>
          <w:highlight w:val="yellow"/>
        </w:rPr>
      </w:pPr>
    </w:p>
    <w:p w:rsidR="006F0EBF" w:rsidRDefault="006F0EBF" w:rsidP="00652E0F">
      <w:pPr>
        <w:spacing w:before="120" w:after="0" w:line="240" w:lineRule="auto"/>
        <w:ind w:left="709"/>
        <w:jc w:val="both"/>
        <w:rPr>
          <w:rFonts w:ascii="Times New Roman" w:eastAsia="Times New Roman" w:hAnsi="Times New Roman" w:cs="Times New Roman"/>
          <w:b/>
          <w:color w:val="000000"/>
          <w:sz w:val="24"/>
          <w:szCs w:val="20"/>
        </w:rPr>
      </w:pPr>
    </w:p>
    <w:p w:rsidR="003D448B" w:rsidRPr="003D448B" w:rsidRDefault="003D448B" w:rsidP="00652E0F">
      <w:pPr>
        <w:spacing w:before="120" w:after="0" w:line="240" w:lineRule="auto"/>
        <w:ind w:left="709"/>
        <w:jc w:val="both"/>
        <w:rPr>
          <w:rFonts w:ascii="Times New Roman" w:eastAsia="Times New Roman" w:hAnsi="Times New Roman" w:cs="Times New Roman"/>
          <w:color w:val="000000"/>
          <w:sz w:val="24"/>
          <w:szCs w:val="20"/>
        </w:rPr>
      </w:pPr>
      <w:r w:rsidRPr="003D448B">
        <w:rPr>
          <w:rFonts w:ascii="Times New Roman" w:eastAsia="Times New Roman" w:hAnsi="Times New Roman" w:cs="Times New Roman"/>
          <w:b/>
          <w:color w:val="000000"/>
          <w:sz w:val="24"/>
          <w:szCs w:val="20"/>
        </w:rPr>
        <w:lastRenderedPageBreak/>
        <w:t>Vietējās valdības budžetā</w:t>
      </w:r>
      <w:r w:rsidRPr="003D448B">
        <w:rPr>
          <w:rFonts w:ascii="Times New Roman" w:eastAsia="Times New Roman" w:hAnsi="Times New Roman" w:cs="Times New Roman"/>
          <w:color w:val="000000"/>
          <w:sz w:val="24"/>
          <w:szCs w:val="20"/>
        </w:rPr>
        <w:t>:</w:t>
      </w:r>
    </w:p>
    <w:p w:rsidR="003D448B" w:rsidRPr="003D448B" w:rsidRDefault="003A4105" w:rsidP="005379D9">
      <w:pPr>
        <w:numPr>
          <w:ilvl w:val="0"/>
          <w:numId w:val="14"/>
        </w:numPr>
        <w:spacing w:after="0" w:line="240" w:lineRule="auto"/>
        <w:ind w:left="709" w:hanging="284"/>
        <w:jc w:val="both"/>
        <w:rPr>
          <w:rFonts w:ascii="Times New Roman" w:eastAsia="Calibri" w:hAnsi="Times New Roman" w:cs="Times New Roman"/>
          <w:color w:val="000000"/>
          <w:sz w:val="24"/>
        </w:rPr>
      </w:pPr>
      <w:r>
        <w:rPr>
          <w:rFonts w:ascii="Times New Roman" w:eastAsia="Calibri" w:hAnsi="Times New Roman" w:cs="Times New Roman"/>
          <w:sz w:val="24"/>
        </w:rPr>
        <w:t>2019.</w:t>
      </w:r>
      <w:r w:rsidR="003D448B" w:rsidRPr="003D448B">
        <w:rPr>
          <w:rFonts w:ascii="Times New Roman" w:eastAsia="Calibri" w:hAnsi="Times New Roman" w:cs="Times New Roman"/>
          <w:sz w:val="24"/>
        </w:rPr>
        <w:t>gadā tiek prognozēts, ka vietējās valdības budžetā veidosies 0,3% no IKP deficīts. Ņemot vērā neapliekamā minimuma un atvieglojumu par apg</w:t>
      </w:r>
      <w:r>
        <w:rPr>
          <w:rFonts w:ascii="Times New Roman" w:eastAsia="Calibri" w:hAnsi="Times New Roman" w:cs="Times New Roman"/>
          <w:sz w:val="24"/>
        </w:rPr>
        <w:t>ādājamajiem palielināšanu 2019.</w:t>
      </w:r>
      <w:r w:rsidR="003D448B" w:rsidRPr="003D448B">
        <w:rPr>
          <w:rFonts w:ascii="Times New Roman" w:eastAsia="Calibri" w:hAnsi="Times New Roman" w:cs="Times New Roman"/>
          <w:sz w:val="24"/>
        </w:rPr>
        <w:t>gadā, iedzīvotāju ienākuma nodokļu ieņēmumi vietējās valdības budžetā, kas ir galvenais ieņēmumu avots, pieau</w:t>
      </w:r>
      <w:r>
        <w:rPr>
          <w:rFonts w:ascii="Times New Roman" w:eastAsia="Calibri" w:hAnsi="Times New Roman" w:cs="Times New Roman"/>
          <w:sz w:val="24"/>
        </w:rPr>
        <w:t>gs mēreni un būs aptuveni 2018.</w:t>
      </w:r>
      <w:r w:rsidR="003D448B" w:rsidRPr="003D448B">
        <w:rPr>
          <w:rFonts w:ascii="Times New Roman" w:eastAsia="Calibri" w:hAnsi="Times New Roman" w:cs="Times New Roman"/>
          <w:sz w:val="24"/>
        </w:rPr>
        <w:t>gada l</w:t>
      </w:r>
      <w:r>
        <w:rPr>
          <w:rFonts w:ascii="Times New Roman" w:eastAsia="Calibri" w:hAnsi="Times New Roman" w:cs="Times New Roman"/>
          <w:sz w:val="24"/>
        </w:rPr>
        <w:t>īmenī. Zemāku deficītu kā 2018.</w:t>
      </w:r>
      <w:r w:rsidR="003D448B" w:rsidRPr="003D448B">
        <w:rPr>
          <w:rFonts w:ascii="Times New Roman" w:eastAsia="Calibri" w:hAnsi="Times New Roman" w:cs="Times New Roman"/>
          <w:sz w:val="24"/>
        </w:rPr>
        <w:t xml:space="preserve">gadā nodrošinās straujāks centrālās valdības </w:t>
      </w:r>
      <w:r w:rsidR="003D448B" w:rsidRPr="003D448B">
        <w:rPr>
          <w:rFonts w:ascii="Times New Roman" w:eastAsia="Calibri" w:hAnsi="Times New Roman" w:cs="Times New Roman"/>
          <w:noProof/>
          <w:sz w:val="24"/>
        </w:rPr>
        <w:t xml:space="preserve">transfertu </w:t>
      </w:r>
      <w:r w:rsidR="003D448B" w:rsidRPr="003D448B">
        <w:rPr>
          <w:rFonts w:ascii="Times New Roman" w:eastAsia="Calibri" w:hAnsi="Times New Roman" w:cs="Times New Roman"/>
          <w:sz w:val="24"/>
        </w:rPr>
        <w:t>apjoma palielinājums, tai skaitā speciālā dotācija no valsts pamatbudžeta</w:t>
      </w:r>
      <w:r w:rsidR="009023BA" w:rsidRPr="00E53D87">
        <w:rPr>
          <w:rFonts w:ascii="Times New Roman" w:eastAsia="Calibri" w:hAnsi="Times New Roman" w:cs="Times New Roman"/>
          <w:sz w:val="24"/>
        </w:rPr>
        <w:t xml:space="preserve"> – </w:t>
      </w:r>
      <w:r w:rsidR="003D448B" w:rsidRPr="003D448B">
        <w:rPr>
          <w:rFonts w:ascii="Times New Roman" w:eastAsia="Calibri" w:hAnsi="Times New Roman" w:cs="Times New Roman"/>
          <w:sz w:val="24"/>
        </w:rPr>
        <w:t xml:space="preserve">kompensācija par nodokļu reformas negatīvo efektu uz iedzīvotāju ienākuma nodokļa ieņēmumiem. Kompensācijas apmērs nodrošinās </w:t>
      </w:r>
      <w:r w:rsidR="003D448B" w:rsidRPr="003D448B">
        <w:rPr>
          <w:rFonts w:ascii="Times New Roman" w:eastAsia="Calibri" w:hAnsi="Times New Roman" w:cs="Times New Roman"/>
          <w:color w:val="000000"/>
          <w:sz w:val="24"/>
        </w:rPr>
        <w:t>pašvaldību nodokļu ieņēmu</w:t>
      </w:r>
      <w:r>
        <w:rPr>
          <w:rFonts w:ascii="Times New Roman" w:eastAsia="Calibri" w:hAnsi="Times New Roman" w:cs="Times New Roman"/>
          <w:color w:val="000000"/>
          <w:sz w:val="24"/>
        </w:rPr>
        <w:t>mus 19,6% apmērā (19,4%</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Pr>
          <w:rFonts w:ascii="Times New Roman" w:eastAsia="Calibri" w:hAnsi="Times New Roman" w:cs="Times New Roman"/>
          <w:color w:val="000000"/>
          <w:sz w:val="24"/>
        </w:rPr>
        <w:t>2019.</w:t>
      </w:r>
      <w:r w:rsidR="003D448B" w:rsidRPr="003D448B">
        <w:rPr>
          <w:rFonts w:ascii="Times New Roman" w:eastAsia="Calibri" w:hAnsi="Times New Roman" w:cs="Times New Roman"/>
          <w:color w:val="000000"/>
          <w:sz w:val="24"/>
        </w:rPr>
        <w:t xml:space="preserve">gadā) no faktiskajiem kopbudžeta nodokļu ieņēmumiem, </w:t>
      </w:r>
      <w:r w:rsidR="003D448B" w:rsidRPr="003D448B">
        <w:rPr>
          <w:rFonts w:ascii="Times New Roman" w:eastAsia="Calibri" w:hAnsi="Times New Roman" w:cs="Times New Roman"/>
          <w:sz w:val="24"/>
        </w:rPr>
        <w:t xml:space="preserve">neieskaitot </w:t>
      </w:r>
      <w:r w:rsidR="006A570D" w:rsidRPr="006A570D">
        <w:rPr>
          <w:rFonts w:ascii="Times New Roman" w:hAnsi="Times New Roman" w:cs="Times New Roman"/>
          <w:color w:val="000000"/>
          <w:sz w:val="24"/>
        </w:rPr>
        <w:t>VSAOI</w:t>
      </w:r>
      <w:r w:rsidR="003D448B" w:rsidRPr="003D448B">
        <w:rPr>
          <w:rFonts w:ascii="Times New Roman" w:eastAsia="Calibri" w:hAnsi="Times New Roman" w:cs="Times New Roman"/>
          <w:sz w:val="24"/>
        </w:rPr>
        <w:t xml:space="preserve"> valsts pamatbudžetā veselības aprūpes finansēšanai.</w:t>
      </w:r>
    </w:p>
    <w:p w:rsidR="003D448B" w:rsidRPr="003D448B" w:rsidRDefault="003D448B" w:rsidP="005379D9">
      <w:pPr>
        <w:numPr>
          <w:ilvl w:val="0"/>
          <w:numId w:val="14"/>
        </w:numPr>
        <w:spacing w:after="0" w:line="240" w:lineRule="auto"/>
        <w:ind w:left="782" w:hanging="357"/>
        <w:jc w:val="both"/>
        <w:rPr>
          <w:rFonts w:ascii="Times New Roman" w:eastAsia="Calibri" w:hAnsi="Times New Roman" w:cs="Times New Roman"/>
          <w:color w:val="000000"/>
          <w:sz w:val="24"/>
        </w:rPr>
      </w:pPr>
      <w:r w:rsidRPr="003D448B">
        <w:rPr>
          <w:rFonts w:ascii="Times New Roman" w:eastAsia="Calibri" w:hAnsi="Times New Roman" w:cs="Times New Roman"/>
          <w:sz w:val="24"/>
        </w:rPr>
        <w:t xml:space="preserve">Kapitālo </w:t>
      </w:r>
      <w:r w:rsidR="003A4105">
        <w:rPr>
          <w:rFonts w:ascii="Times New Roman" w:eastAsia="Calibri" w:hAnsi="Times New Roman" w:cs="Times New Roman"/>
          <w:sz w:val="24"/>
        </w:rPr>
        <w:t>izdevumu augstais līmenis 2018.</w:t>
      </w:r>
      <w:r w:rsidRPr="003D448B">
        <w:rPr>
          <w:rFonts w:ascii="Times New Roman" w:eastAsia="Calibri" w:hAnsi="Times New Roman" w:cs="Times New Roman"/>
          <w:sz w:val="24"/>
        </w:rPr>
        <w:t>gadā nozīmē, ka ES fondu 2014.</w:t>
      </w:r>
      <w:r w:rsidR="00382EED" w:rsidRPr="00382EED">
        <w:rPr>
          <w:rFonts w:ascii="Times New Roman" w:eastAsia="Calibri" w:hAnsi="Times New Roman"/>
          <w:color w:val="000000"/>
          <w:szCs w:val="24"/>
        </w:rPr>
        <w:t xml:space="preserve"> </w:t>
      </w:r>
      <w:r w:rsidR="00382EED">
        <w:rPr>
          <w:rFonts w:ascii="Times New Roman" w:eastAsia="Calibri" w:hAnsi="Times New Roman"/>
          <w:color w:val="000000"/>
          <w:szCs w:val="24"/>
        </w:rPr>
        <w:t xml:space="preserve">– </w:t>
      </w:r>
      <w:r w:rsidRPr="003D448B">
        <w:rPr>
          <w:rFonts w:ascii="Times New Roman" w:eastAsia="Calibri" w:hAnsi="Times New Roman" w:cs="Times New Roman"/>
          <w:sz w:val="24"/>
        </w:rPr>
        <w:t xml:space="preserve">2020.gada plānošanas perioda vidus posms ir sasniegts un turpmākajos gados vietējās valdības budžetā kapitālie izdevumi tiek </w:t>
      </w:r>
      <w:r w:rsidR="003A4105">
        <w:rPr>
          <w:rFonts w:ascii="Times New Roman" w:eastAsia="Calibri" w:hAnsi="Times New Roman" w:cs="Times New Roman"/>
          <w:sz w:val="24"/>
        </w:rPr>
        <w:t>prognozēti zemākā līmenī. 2018.</w:t>
      </w:r>
      <w:r w:rsidRPr="003D448B">
        <w:rPr>
          <w:rFonts w:ascii="Times New Roman" w:eastAsia="Calibri" w:hAnsi="Times New Roman" w:cs="Times New Roman"/>
          <w:sz w:val="24"/>
        </w:rPr>
        <w:t xml:space="preserve">gadā </w:t>
      </w:r>
      <w:r w:rsidRPr="003D448B">
        <w:rPr>
          <w:rFonts w:ascii="Times New Roman" w:eastAsia="Calibri" w:hAnsi="Times New Roman" w:cs="Times New Roman"/>
          <w:color w:val="000000"/>
          <w:sz w:val="24"/>
        </w:rPr>
        <w:t>pašvaldību kapitālie izdevumi palielinājās gan pamatfunkcijām, gan ES līdzfinansētajiem pro</w:t>
      </w:r>
      <w:r w:rsidR="003A4105">
        <w:rPr>
          <w:rFonts w:ascii="Times New Roman" w:eastAsia="Calibri" w:hAnsi="Times New Roman" w:cs="Times New Roman"/>
          <w:color w:val="000000"/>
          <w:sz w:val="24"/>
        </w:rPr>
        <w:t>jektiem, un sagaidāms, ka 2019.</w:t>
      </w:r>
      <w:r w:rsidRPr="003D448B">
        <w:rPr>
          <w:rFonts w:ascii="Times New Roman" w:eastAsia="Calibri" w:hAnsi="Times New Roman" w:cs="Times New Roman"/>
          <w:color w:val="000000"/>
          <w:sz w:val="24"/>
        </w:rPr>
        <w:t xml:space="preserve">gadā un vidējā termiņā kopumā kapitālie izdevumi samazināsies, ņemot vērā gan mazāku ES fondu projektu īstenošanas intensitāti, gan stingrākus līdzfinansējuma nosacījumus pašvaldībām pārējo projektu īstenošanai. Pašvaldību budžeta </w:t>
      </w:r>
      <w:r w:rsidR="003A4105">
        <w:rPr>
          <w:rFonts w:ascii="Times New Roman" w:eastAsia="Calibri" w:hAnsi="Times New Roman" w:cs="Times New Roman"/>
          <w:color w:val="000000"/>
          <w:sz w:val="24"/>
        </w:rPr>
        <w:t>līdzfinansējumam sākot ar 2019.</w:t>
      </w:r>
      <w:r w:rsidRPr="003D448B">
        <w:rPr>
          <w:rFonts w:ascii="Times New Roman" w:eastAsia="Calibri" w:hAnsi="Times New Roman" w:cs="Times New Roman"/>
          <w:color w:val="000000"/>
          <w:sz w:val="24"/>
        </w:rPr>
        <w:t xml:space="preserve">gadu projektiem, kas nav ES fondu projekti un izglītības iestāžu investīciju projekti, kur tiek piemēroti īpaši nosacījumi, ir jābūt ne mazākam kā 25%. </w:t>
      </w:r>
    </w:p>
    <w:p w:rsidR="003D448B" w:rsidRPr="003D448B" w:rsidRDefault="003A4105" w:rsidP="005379D9">
      <w:pPr>
        <w:numPr>
          <w:ilvl w:val="0"/>
          <w:numId w:val="14"/>
        </w:numPr>
        <w:spacing w:after="0" w:line="240" w:lineRule="auto"/>
        <w:ind w:left="709" w:hanging="283"/>
        <w:jc w:val="both"/>
        <w:rPr>
          <w:rFonts w:ascii="Times New Roman" w:eastAsia="Calibri" w:hAnsi="Times New Roman" w:cs="Times New Roman"/>
          <w:color w:val="000000"/>
          <w:sz w:val="24"/>
        </w:rPr>
      </w:pPr>
      <w:r>
        <w:rPr>
          <w:rFonts w:ascii="Times New Roman" w:eastAsia="Calibri" w:hAnsi="Times New Roman" w:cs="Times New Roman"/>
          <w:sz w:val="24"/>
        </w:rPr>
        <w:t>Atbilstoši prognozēm 2019.</w:t>
      </w:r>
      <w:r w:rsidR="003D448B" w:rsidRPr="003D448B">
        <w:rPr>
          <w:rFonts w:ascii="Times New Roman" w:eastAsia="Calibri" w:hAnsi="Times New Roman" w:cs="Times New Roman"/>
          <w:sz w:val="24"/>
        </w:rPr>
        <w:t>gadā un vidējā termiņā turpinās pieaugt izdevumi atlīdzībai, precēm un pakalpojumiem, kā arī subsīdijām un dotācijām. Savukārt izdevumi sociālajiem pabalstiem lielākoties būs bez ievēro</w:t>
      </w:r>
      <w:r>
        <w:rPr>
          <w:rFonts w:ascii="Times New Roman" w:eastAsia="Calibri" w:hAnsi="Times New Roman" w:cs="Times New Roman"/>
          <w:sz w:val="24"/>
        </w:rPr>
        <w:t>jamām pārmaiņām, aptuveni 2018.</w:t>
      </w:r>
      <w:r w:rsidR="003D448B" w:rsidRPr="003D448B">
        <w:rPr>
          <w:rFonts w:ascii="Times New Roman" w:eastAsia="Calibri" w:hAnsi="Times New Roman" w:cs="Times New Roman"/>
          <w:sz w:val="24"/>
        </w:rPr>
        <w:t xml:space="preserve">gada līmenī. </w:t>
      </w:r>
      <w:r w:rsidR="008C102F">
        <w:rPr>
          <w:rFonts w:ascii="Times New Roman" w:eastAsia="Calibri" w:hAnsi="Times New Roman" w:cs="Times New Roman"/>
          <w:color w:val="000000"/>
          <w:sz w:val="24"/>
        </w:rPr>
        <w:t>Vienlaikus, 2019.</w:t>
      </w:r>
      <w:r w:rsidR="003D448B" w:rsidRPr="003D448B">
        <w:rPr>
          <w:rFonts w:ascii="Times New Roman" w:eastAsia="Calibri" w:hAnsi="Times New Roman" w:cs="Times New Roman"/>
          <w:color w:val="000000"/>
          <w:sz w:val="24"/>
        </w:rPr>
        <w:t>gadā un vidējā termiņā vietējās valdības budžeta izdevumus, pēc EKS 2010 metodoloģijas, samazina maksājumi par Dienvidu tilta būvniecību, jo izdevumi tika atzīti iepriekšējos gados objekta faktiskās būvniecības laikā.</w:t>
      </w:r>
    </w:p>
    <w:p w:rsidR="007A117B" w:rsidRPr="00DB1AEB" w:rsidRDefault="007A117B" w:rsidP="00DB1AEB">
      <w:pPr>
        <w:spacing w:after="0" w:line="240" w:lineRule="auto"/>
        <w:jc w:val="both"/>
        <w:rPr>
          <w:rFonts w:ascii="Times New Roman" w:hAnsi="Times New Roman"/>
          <w:color w:val="000000"/>
          <w:sz w:val="24"/>
        </w:rPr>
      </w:pPr>
    </w:p>
    <w:p w:rsidR="00D640E8" w:rsidRPr="00D640E8" w:rsidRDefault="00D640E8" w:rsidP="00D640E8">
      <w:pPr>
        <w:spacing w:before="120" w:after="0" w:line="240" w:lineRule="auto"/>
        <w:ind w:firstLine="720"/>
        <w:jc w:val="both"/>
        <w:rPr>
          <w:rFonts w:ascii="Times New Roman" w:hAnsi="Times New Roman" w:cs="Times New Roman"/>
          <w:color w:val="000000"/>
          <w:sz w:val="24"/>
          <w:szCs w:val="24"/>
          <w:highlight w:val="yellow"/>
        </w:rPr>
      </w:pPr>
      <w:r w:rsidRPr="00FD6750">
        <w:rPr>
          <w:rFonts w:ascii="Times New Roman" w:hAnsi="Times New Roman" w:cs="Times New Roman"/>
          <w:color w:val="000000"/>
          <w:sz w:val="24"/>
          <w:szCs w:val="24"/>
        </w:rPr>
        <w:t xml:space="preserve">Atbilstoši fiskālās disciplīnas nosacījumiem, maksimāli pieļaujamais vispārējās valdības budžeta strukturālais deficīts un no tā izrietošais nominālais deficīts tiek noteikts izmantojot lejupvērsto budžeta plānošanas metodi, kas nodrošina tādu bilances mērķu noteikšanu, kas atbilst </w:t>
      </w:r>
      <w:r w:rsidR="00793FB7">
        <w:rPr>
          <w:rFonts w:ascii="Times New Roman" w:hAnsi="Times New Roman" w:cs="Times New Roman"/>
          <w:color w:val="000000"/>
          <w:sz w:val="24"/>
          <w:szCs w:val="24"/>
        </w:rPr>
        <w:t xml:space="preserve">gan FDL, gan </w:t>
      </w:r>
      <w:r w:rsidRPr="00FD6750">
        <w:rPr>
          <w:rFonts w:ascii="Times New Roman" w:hAnsi="Times New Roman" w:cs="Times New Roman"/>
          <w:color w:val="000000"/>
          <w:sz w:val="24"/>
          <w:szCs w:val="24"/>
        </w:rPr>
        <w:t>SIP prasībām. Saskaņā ar šiem nosacījumiem uz Stabilitātes pro</w:t>
      </w:r>
      <w:r w:rsidR="00FD6750" w:rsidRPr="00FD6750">
        <w:rPr>
          <w:rFonts w:ascii="Times New Roman" w:hAnsi="Times New Roman" w:cs="Times New Roman"/>
          <w:color w:val="000000"/>
          <w:sz w:val="24"/>
          <w:szCs w:val="24"/>
        </w:rPr>
        <w:t>grammas sagatavošanas brīdi 2020</w:t>
      </w:r>
      <w:r w:rsidRPr="00FD6750">
        <w:rPr>
          <w:rFonts w:ascii="Times New Roman" w:hAnsi="Times New Roman" w:cs="Times New Roman"/>
          <w:color w:val="000000"/>
          <w:sz w:val="24"/>
          <w:szCs w:val="24"/>
        </w:rPr>
        <w:t>. un 202</w:t>
      </w:r>
      <w:r w:rsidR="00FD6750" w:rsidRPr="00FD6750">
        <w:rPr>
          <w:rFonts w:ascii="Times New Roman" w:hAnsi="Times New Roman" w:cs="Times New Roman"/>
          <w:color w:val="000000"/>
          <w:sz w:val="24"/>
          <w:szCs w:val="24"/>
        </w:rPr>
        <w:t>1</w:t>
      </w:r>
      <w:r w:rsidRPr="00FD6750">
        <w:rPr>
          <w:rFonts w:ascii="Times New Roman" w:hAnsi="Times New Roman" w:cs="Times New Roman"/>
          <w:color w:val="000000"/>
          <w:sz w:val="24"/>
          <w:szCs w:val="24"/>
        </w:rPr>
        <w:t>.gadā vispārējās valdības budžetā ir pieļaujam</w:t>
      </w:r>
      <w:r w:rsidR="00FD6750" w:rsidRPr="00FD6750">
        <w:rPr>
          <w:rFonts w:ascii="Times New Roman" w:hAnsi="Times New Roman" w:cs="Times New Roman"/>
          <w:color w:val="000000"/>
          <w:sz w:val="24"/>
          <w:szCs w:val="24"/>
        </w:rPr>
        <w:t>s mazāks deficīts, savukārt 2022</w:t>
      </w:r>
      <w:r w:rsidRPr="00FD6750">
        <w:rPr>
          <w:rFonts w:ascii="Times New Roman" w:hAnsi="Times New Roman" w:cs="Times New Roman"/>
          <w:color w:val="000000"/>
          <w:sz w:val="24"/>
          <w:szCs w:val="24"/>
        </w:rPr>
        <w:t xml:space="preserve">.gadā – lielāks deficīts </w:t>
      </w:r>
      <w:r w:rsidRPr="00FD6750">
        <w:rPr>
          <w:rFonts w:ascii="Times New Roman" w:eastAsia="Times New Roman" w:hAnsi="Times New Roman" w:cs="Times New Roman"/>
          <w:color w:val="000000"/>
          <w:sz w:val="24"/>
          <w:szCs w:val="20"/>
        </w:rPr>
        <w:t xml:space="preserve">nekā tiek paredzēts scenārijā pie nemainīgas politikas, proti, </w:t>
      </w:r>
      <w:r w:rsidR="00FD6750" w:rsidRPr="00FD6750">
        <w:rPr>
          <w:rFonts w:ascii="Times New Roman" w:eastAsia="Times New Roman" w:hAnsi="Times New Roman" w:cs="Times New Roman"/>
          <w:color w:val="000000"/>
          <w:sz w:val="24"/>
          <w:szCs w:val="20"/>
        </w:rPr>
        <w:t>2020. un 2021</w:t>
      </w:r>
      <w:r w:rsidRPr="00FD6750">
        <w:rPr>
          <w:rFonts w:ascii="Times New Roman" w:eastAsia="Times New Roman" w:hAnsi="Times New Roman" w:cs="Times New Roman"/>
          <w:color w:val="000000"/>
          <w:sz w:val="24"/>
          <w:szCs w:val="20"/>
        </w:rPr>
        <w:t xml:space="preserve">. gadā fiskālā </w:t>
      </w:r>
      <w:r w:rsidR="00FD6750" w:rsidRPr="00FD6750">
        <w:rPr>
          <w:rFonts w:ascii="Times New Roman" w:eastAsia="Times New Roman" w:hAnsi="Times New Roman" w:cs="Times New Roman"/>
          <w:color w:val="000000"/>
          <w:sz w:val="24"/>
          <w:szCs w:val="20"/>
        </w:rPr>
        <w:t>telpa ir negatīva, turpretī 2022</w:t>
      </w:r>
      <w:r w:rsidR="00E43828">
        <w:rPr>
          <w:rFonts w:ascii="Times New Roman" w:eastAsia="Times New Roman" w:hAnsi="Times New Roman" w:cs="Times New Roman"/>
          <w:color w:val="000000"/>
          <w:sz w:val="24"/>
          <w:szCs w:val="20"/>
        </w:rPr>
        <w:t>.</w:t>
      </w:r>
      <w:r w:rsidRPr="00FD6750">
        <w:rPr>
          <w:rFonts w:ascii="Times New Roman" w:eastAsia="Times New Roman" w:hAnsi="Times New Roman" w:cs="Times New Roman"/>
          <w:color w:val="000000"/>
          <w:sz w:val="24"/>
          <w:szCs w:val="20"/>
        </w:rPr>
        <w:t>gadā –</w:t>
      </w:r>
      <w:r w:rsidR="00FD6750" w:rsidRPr="00FD6750">
        <w:rPr>
          <w:rFonts w:ascii="Times New Roman" w:eastAsia="Times New Roman" w:hAnsi="Times New Roman" w:cs="Times New Roman"/>
          <w:color w:val="000000"/>
          <w:sz w:val="24"/>
          <w:szCs w:val="20"/>
        </w:rPr>
        <w:t xml:space="preserve"> </w:t>
      </w:r>
      <w:r w:rsidRPr="00FD6750">
        <w:rPr>
          <w:rFonts w:ascii="Times New Roman" w:eastAsia="Times New Roman" w:hAnsi="Times New Roman" w:cs="Times New Roman"/>
          <w:color w:val="000000"/>
          <w:sz w:val="24"/>
          <w:szCs w:val="20"/>
        </w:rPr>
        <w:t xml:space="preserve">pozitīva. Līdz ar to, ja pašreizējā brīdī tiktu izstrādāts nākamais gadskārtējais valsts budžeta likums </w:t>
      </w:r>
      <w:r w:rsidR="00FD6750" w:rsidRPr="00FD6750">
        <w:rPr>
          <w:rFonts w:ascii="Times New Roman" w:eastAsia="Times New Roman" w:hAnsi="Times New Roman" w:cs="Times New Roman"/>
          <w:color w:val="000000"/>
          <w:sz w:val="24"/>
          <w:szCs w:val="20"/>
        </w:rPr>
        <w:t xml:space="preserve">un Ietvara likums, </w:t>
      </w:r>
      <w:r w:rsidR="00793FB7">
        <w:rPr>
          <w:rFonts w:ascii="Times New Roman" w:eastAsia="Times New Roman" w:hAnsi="Times New Roman" w:cs="Times New Roman"/>
          <w:color w:val="000000"/>
          <w:sz w:val="24"/>
          <w:szCs w:val="20"/>
        </w:rPr>
        <w:t>MK</w:t>
      </w:r>
      <w:r w:rsidR="00FD6750" w:rsidRPr="00FD6750">
        <w:rPr>
          <w:rFonts w:ascii="Times New Roman" w:eastAsia="Times New Roman" w:hAnsi="Times New Roman" w:cs="Times New Roman"/>
          <w:color w:val="000000"/>
          <w:sz w:val="24"/>
          <w:szCs w:val="20"/>
        </w:rPr>
        <w:t xml:space="preserve"> 2020. un 2021</w:t>
      </w:r>
      <w:r w:rsidR="00E43828">
        <w:rPr>
          <w:rFonts w:ascii="Times New Roman" w:eastAsia="Times New Roman" w:hAnsi="Times New Roman" w:cs="Times New Roman"/>
          <w:color w:val="000000"/>
          <w:sz w:val="24"/>
          <w:szCs w:val="20"/>
        </w:rPr>
        <w:t>.</w:t>
      </w:r>
      <w:r w:rsidRPr="00FD6750">
        <w:rPr>
          <w:rFonts w:ascii="Times New Roman" w:eastAsia="Times New Roman" w:hAnsi="Times New Roman" w:cs="Times New Roman"/>
          <w:color w:val="000000"/>
          <w:sz w:val="24"/>
          <w:szCs w:val="20"/>
        </w:rPr>
        <w:t xml:space="preserve">gadā būtu jāpieņem </w:t>
      </w:r>
      <w:proofErr w:type="spellStart"/>
      <w:r w:rsidRPr="00FD6750">
        <w:rPr>
          <w:rFonts w:ascii="Times New Roman" w:eastAsia="Times New Roman" w:hAnsi="Times New Roman" w:cs="Times New Roman"/>
          <w:color w:val="000000"/>
          <w:sz w:val="24"/>
          <w:szCs w:val="20"/>
        </w:rPr>
        <w:t>diskrecionārie</w:t>
      </w:r>
      <w:proofErr w:type="spellEnd"/>
      <w:r w:rsidRPr="00FD6750">
        <w:rPr>
          <w:rFonts w:ascii="Times New Roman" w:eastAsia="Times New Roman" w:hAnsi="Times New Roman" w:cs="Times New Roman"/>
          <w:color w:val="000000"/>
          <w:sz w:val="24"/>
          <w:szCs w:val="20"/>
        </w:rPr>
        <w:t xml:space="preserve"> lēmumi samazinot vispārējās valdības budžeta izdevumus un/vai palielinot ieņēmumus, att</w:t>
      </w:r>
      <w:r w:rsidR="00FD6750" w:rsidRPr="00FD6750">
        <w:rPr>
          <w:rFonts w:ascii="Times New Roman" w:eastAsia="Times New Roman" w:hAnsi="Times New Roman" w:cs="Times New Roman"/>
          <w:color w:val="000000"/>
          <w:sz w:val="24"/>
          <w:szCs w:val="20"/>
        </w:rPr>
        <w:t>iecīgi par 0,04% no IKP un 0,23% no IKP. Savukārt 2022</w:t>
      </w:r>
      <w:r w:rsidR="00E43828">
        <w:rPr>
          <w:rFonts w:ascii="Times New Roman" w:eastAsia="Times New Roman" w:hAnsi="Times New Roman" w:cs="Times New Roman"/>
          <w:color w:val="000000"/>
          <w:sz w:val="24"/>
          <w:szCs w:val="20"/>
        </w:rPr>
        <w:t>.</w:t>
      </w:r>
      <w:r w:rsidRPr="00FD6750">
        <w:rPr>
          <w:rFonts w:ascii="Times New Roman" w:eastAsia="Times New Roman" w:hAnsi="Times New Roman" w:cs="Times New Roman"/>
          <w:color w:val="000000"/>
          <w:sz w:val="24"/>
          <w:szCs w:val="20"/>
        </w:rPr>
        <w:t xml:space="preserve">gadā valdības rīcībā būtu pieejami </w:t>
      </w:r>
      <w:r w:rsidR="00FD6750" w:rsidRPr="00FD6750">
        <w:rPr>
          <w:rFonts w:ascii="Times New Roman" w:eastAsia="Times New Roman" w:hAnsi="Times New Roman" w:cs="Times New Roman"/>
          <w:color w:val="000000"/>
          <w:sz w:val="24"/>
          <w:szCs w:val="20"/>
        </w:rPr>
        <w:t>resursi 0,48</w:t>
      </w:r>
      <w:r w:rsidRPr="00FD6750">
        <w:rPr>
          <w:rFonts w:ascii="Times New Roman" w:eastAsia="Times New Roman" w:hAnsi="Times New Roman" w:cs="Times New Roman"/>
          <w:color w:val="000000"/>
          <w:sz w:val="24"/>
          <w:szCs w:val="20"/>
        </w:rPr>
        <w:t>% no IKP apmērā budžeta prioritāšu finansēšanai. Visos gados nosakot fiskālo telpu tiek ņemta vērā FDL definētā minimālā fiskālā nodrošinājuma rezerve 0,1% no IKP apmērā.</w:t>
      </w:r>
    </w:p>
    <w:p w:rsidR="00D640E8" w:rsidRPr="002422EE" w:rsidRDefault="00D640E8" w:rsidP="00D640E8">
      <w:pPr>
        <w:spacing w:after="0" w:line="240" w:lineRule="auto"/>
        <w:ind w:firstLine="720"/>
        <w:jc w:val="both"/>
        <w:rPr>
          <w:rFonts w:ascii="Times New Roman" w:hAnsi="Times New Roman" w:cs="Times New Roman"/>
          <w:b/>
          <w:color w:val="000000"/>
          <w:sz w:val="24"/>
          <w:szCs w:val="24"/>
        </w:rPr>
      </w:pPr>
      <w:r w:rsidRPr="002422EE">
        <w:rPr>
          <w:rFonts w:ascii="Times New Roman" w:hAnsi="Times New Roman" w:cs="Times New Roman"/>
          <w:b/>
          <w:sz w:val="24"/>
          <w:szCs w:val="24"/>
        </w:rPr>
        <w:t>Attiecīgi fiskālās attīstības scenārijs paredz vispārējā</w:t>
      </w:r>
      <w:r w:rsidR="002422EE" w:rsidRPr="002422EE">
        <w:rPr>
          <w:rFonts w:ascii="Times New Roman" w:hAnsi="Times New Roman" w:cs="Times New Roman"/>
          <w:b/>
          <w:sz w:val="24"/>
          <w:szCs w:val="24"/>
        </w:rPr>
        <w:t>s valdības budžeta deficītu 2019.gadā 0,5% no IKP, 2020.gadā 0,4% no IKP, 2021.gadā 0,2% no IKP un 2022.gadā 0,3</w:t>
      </w:r>
      <w:r w:rsidRPr="002422EE">
        <w:rPr>
          <w:rFonts w:ascii="Times New Roman" w:hAnsi="Times New Roman" w:cs="Times New Roman"/>
          <w:b/>
          <w:sz w:val="24"/>
          <w:szCs w:val="24"/>
        </w:rPr>
        <w:t>% no IKP.</w:t>
      </w:r>
    </w:p>
    <w:p w:rsidR="003463F3" w:rsidRDefault="003463F3">
      <w:pPr>
        <w:rPr>
          <w:rFonts w:ascii="Times New Roman" w:eastAsiaTheme="minorHAnsi" w:hAnsi="Times New Roman" w:cs="Times New Roman"/>
          <w:b/>
          <w:sz w:val="24"/>
          <w:szCs w:val="24"/>
        </w:rPr>
      </w:pPr>
      <w:r>
        <w:rPr>
          <w:rFonts w:ascii="Times New Roman" w:eastAsiaTheme="minorHAnsi" w:hAnsi="Times New Roman"/>
          <w:b/>
          <w:szCs w:val="24"/>
        </w:rPr>
        <w:br w:type="page"/>
      </w:r>
    </w:p>
    <w:p w:rsidR="00D640E8" w:rsidRPr="002422EE" w:rsidRDefault="00FD6750" w:rsidP="00D640E8">
      <w:pPr>
        <w:pStyle w:val="teksts"/>
        <w:spacing w:before="120" w:after="0" w:line="276" w:lineRule="auto"/>
        <w:ind w:firstLine="720"/>
        <w:jc w:val="right"/>
        <w:rPr>
          <w:rFonts w:ascii="Times New Roman" w:eastAsiaTheme="minorHAnsi" w:hAnsi="Times New Roman"/>
          <w:b/>
          <w:szCs w:val="24"/>
        </w:rPr>
      </w:pPr>
      <w:r w:rsidRPr="002422EE">
        <w:rPr>
          <w:rFonts w:ascii="Times New Roman" w:eastAsiaTheme="minorHAnsi" w:hAnsi="Times New Roman"/>
          <w:b/>
          <w:szCs w:val="24"/>
        </w:rPr>
        <w:lastRenderedPageBreak/>
        <w:t>3.1</w:t>
      </w:r>
      <w:r w:rsidR="0040629E">
        <w:rPr>
          <w:rFonts w:ascii="Times New Roman" w:eastAsiaTheme="minorHAnsi" w:hAnsi="Times New Roman"/>
          <w:b/>
          <w:szCs w:val="24"/>
        </w:rPr>
        <w:t>0</w:t>
      </w:r>
      <w:r w:rsidR="00D640E8" w:rsidRPr="002422EE">
        <w:rPr>
          <w:rFonts w:ascii="Times New Roman" w:eastAsiaTheme="minorHAnsi" w:hAnsi="Times New Roman"/>
          <w:b/>
          <w:szCs w:val="24"/>
        </w:rPr>
        <w:t>. tabula. Vidējā termiņa fiskālās attīstības scenārijs, % no IKP</w:t>
      </w:r>
    </w:p>
    <w:tbl>
      <w:tblPr>
        <w:tblStyle w:val="TableGrid6"/>
        <w:tblW w:w="8573"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3187"/>
        <w:gridCol w:w="1044"/>
        <w:gridCol w:w="940"/>
        <w:gridCol w:w="851"/>
        <w:gridCol w:w="850"/>
        <w:gridCol w:w="851"/>
        <w:gridCol w:w="850"/>
      </w:tblGrid>
      <w:tr w:rsidR="007714C8" w:rsidRPr="005379D9" w:rsidTr="008325B9">
        <w:trPr>
          <w:jc w:val="center"/>
        </w:trPr>
        <w:tc>
          <w:tcPr>
            <w:tcW w:w="3187" w:type="dxa"/>
            <w:shd w:val="clear" w:color="auto" w:fill="DEEAF6"/>
          </w:tcPr>
          <w:p w:rsidR="007714C8" w:rsidRPr="005379D9" w:rsidRDefault="007714C8" w:rsidP="006035A7">
            <w:pPr>
              <w:jc w:val="center"/>
              <w:rPr>
                <w:rFonts w:eastAsia="Times New Roman" w:cs="Times New Roman"/>
                <w:b/>
                <w:sz w:val="20"/>
                <w:szCs w:val="20"/>
              </w:rPr>
            </w:pPr>
          </w:p>
        </w:tc>
        <w:tc>
          <w:tcPr>
            <w:tcW w:w="1044" w:type="dxa"/>
            <w:shd w:val="clear" w:color="auto" w:fill="DEEAF6"/>
          </w:tcPr>
          <w:p w:rsidR="007714C8" w:rsidRPr="005379D9" w:rsidRDefault="007714C8" w:rsidP="006035A7">
            <w:pPr>
              <w:jc w:val="center"/>
              <w:rPr>
                <w:rFonts w:eastAsia="Times New Roman" w:cs="Times New Roman"/>
                <w:b/>
                <w:sz w:val="20"/>
                <w:szCs w:val="20"/>
              </w:rPr>
            </w:pPr>
          </w:p>
        </w:tc>
        <w:tc>
          <w:tcPr>
            <w:tcW w:w="940" w:type="dxa"/>
            <w:shd w:val="clear" w:color="auto" w:fill="DEEAF6"/>
          </w:tcPr>
          <w:p w:rsidR="007714C8" w:rsidRPr="005379D9" w:rsidRDefault="007714C8" w:rsidP="006035A7">
            <w:pPr>
              <w:jc w:val="center"/>
              <w:rPr>
                <w:rFonts w:eastAsia="Times New Roman" w:cs="Times New Roman"/>
                <w:b/>
                <w:sz w:val="20"/>
                <w:szCs w:val="20"/>
              </w:rPr>
            </w:pPr>
            <w:r w:rsidRPr="005379D9">
              <w:rPr>
                <w:rFonts w:eastAsia="Times New Roman" w:cs="Times New Roman"/>
                <w:b/>
                <w:sz w:val="20"/>
                <w:szCs w:val="20"/>
              </w:rPr>
              <w:t>2018</w:t>
            </w:r>
          </w:p>
        </w:tc>
        <w:tc>
          <w:tcPr>
            <w:tcW w:w="851" w:type="dxa"/>
            <w:shd w:val="clear" w:color="auto" w:fill="DEEAF6"/>
          </w:tcPr>
          <w:p w:rsidR="007714C8" w:rsidRPr="005379D9" w:rsidRDefault="007714C8" w:rsidP="006035A7">
            <w:pPr>
              <w:jc w:val="center"/>
              <w:rPr>
                <w:rFonts w:eastAsia="Times New Roman" w:cs="Times New Roman"/>
                <w:b/>
                <w:sz w:val="20"/>
                <w:szCs w:val="20"/>
              </w:rPr>
            </w:pPr>
            <w:r w:rsidRPr="005379D9">
              <w:rPr>
                <w:rFonts w:eastAsia="Times New Roman" w:cs="Times New Roman"/>
                <w:b/>
                <w:sz w:val="20"/>
                <w:szCs w:val="20"/>
              </w:rPr>
              <w:t>2019</w:t>
            </w:r>
          </w:p>
        </w:tc>
        <w:tc>
          <w:tcPr>
            <w:tcW w:w="850" w:type="dxa"/>
            <w:shd w:val="clear" w:color="auto" w:fill="DEEAF6"/>
          </w:tcPr>
          <w:p w:rsidR="007714C8" w:rsidRPr="005379D9" w:rsidRDefault="007714C8" w:rsidP="006035A7">
            <w:pPr>
              <w:jc w:val="center"/>
              <w:rPr>
                <w:rFonts w:eastAsia="Times New Roman" w:cs="Times New Roman"/>
                <w:b/>
                <w:sz w:val="20"/>
                <w:szCs w:val="20"/>
              </w:rPr>
            </w:pPr>
            <w:r w:rsidRPr="005379D9">
              <w:rPr>
                <w:rFonts w:eastAsia="Times New Roman" w:cs="Times New Roman"/>
                <w:b/>
                <w:sz w:val="20"/>
                <w:szCs w:val="20"/>
              </w:rPr>
              <w:t>2020</w:t>
            </w:r>
          </w:p>
        </w:tc>
        <w:tc>
          <w:tcPr>
            <w:tcW w:w="851" w:type="dxa"/>
            <w:shd w:val="clear" w:color="auto" w:fill="DEEAF6"/>
          </w:tcPr>
          <w:p w:rsidR="007714C8" w:rsidRPr="005379D9" w:rsidRDefault="007714C8" w:rsidP="006035A7">
            <w:pPr>
              <w:jc w:val="center"/>
              <w:rPr>
                <w:rFonts w:eastAsia="Times New Roman" w:cs="Times New Roman"/>
                <w:b/>
                <w:sz w:val="20"/>
                <w:szCs w:val="20"/>
              </w:rPr>
            </w:pPr>
            <w:r w:rsidRPr="005379D9">
              <w:rPr>
                <w:rFonts w:eastAsia="Times New Roman" w:cs="Times New Roman"/>
                <w:b/>
                <w:sz w:val="20"/>
                <w:szCs w:val="20"/>
              </w:rPr>
              <w:t>2021</w:t>
            </w:r>
          </w:p>
        </w:tc>
        <w:tc>
          <w:tcPr>
            <w:tcW w:w="850" w:type="dxa"/>
            <w:shd w:val="clear" w:color="auto" w:fill="DEEAF6"/>
          </w:tcPr>
          <w:p w:rsidR="007714C8" w:rsidRPr="005379D9" w:rsidRDefault="007714C8" w:rsidP="006035A7">
            <w:pPr>
              <w:jc w:val="center"/>
              <w:rPr>
                <w:rFonts w:eastAsia="Times New Roman" w:cs="Times New Roman"/>
                <w:b/>
                <w:sz w:val="20"/>
                <w:szCs w:val="20"/>
              </w:rPr>
            </w:pPr>
            <w:r w:rsidRPr="005379D9">
              <w:rPr>
                <w:rFonts w:eastAsia="Times New Roman" w:cs="Times New Roman"/>
                <w:b/>
                <w:sz w:val="20"/>
                <w:szCs w:val="20"/>
              </w:rPr>
              <w:t>2022</w:t>
            </w:r>
          </w:p>
        </w:tc>
      </w:tr>
      <w:tr w:rsidR="007714C8" w:rsidRPr="005379D9" w:rsidTr="008325B9">
        <w:trPr>
          <w:jc w:val="center"/>
        </w:trPr>
        <w:tc>
          <w:tcPr>
            <w:tcW w:w="3187" w:type="dxa"/>
          </w:tcPr>
          <w:p w:rsidR="007714C8" w:rsidRPr="005379D9" w:rsidRDefault="007714C8" w:rsidP="006035A7">
            <w:pPr>
              <w:rPr>
                <w:rFonts w:eastAsia="Times New Roman" w:cs="Times New Roman"/>
                <w:sz w:val="20"/>
                <w:szCs w:val="20"/>
              </w:rPr>
            </w:pPr>
          </w:p>
        </w:tc>
        <w:tc>
          <w:tcPr>
            <w:tcW w:w="1044" w:type="dxa"/>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EKS kods</w:t>
            </w:r>
          </w:p>
        </w:tc>
        <w:tc>
          <w:tcPr>
            <w:tcW w:w="4342" w:type="dxa"/>
            <w:gridSpan w:val="5"/>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 no IKP</w:t>
            </w:r>
          </w:p>
        </w:tc>
      </w:tr>
      <w:tr w:rsidR="007714C8" w:rsidRPr="005379D9" w:rsidTr="008325B9">
        <w:trPr>
          <w:jc w:val="center"/>
        </w:trPr>
        <w:tc>
          <w:tcPr>
            <w:tcW w:w="8573" w:type="dxa"/>
            <w:gridSpan w:val="7"/>
            <w:shd w:val="clear" w:color="auto" w:fill="DEEAF6"/>
          </w:tcPr>
          <w:p w:rsidR="007714C8" w:rsidRPr="005379D9" w:rsidRDefault="007714C8" w:rsidP="006035A7">
            <w:pPr>
              <w:ind w:firstLine="720"/>
              <w:jc w:val="center"/>
              <w:rPr>
                <w:rFonts w:eastAsia="Times New Roman" w:cs="Times New Roman"/>
                <w:b/>
                <w:noProof/>
                <w:snapToGrid w:val="0"/>
                <w:sz w:val="20"/>
                <w:szCs w:val="20"/>
              </w:rPr>
            </w:pPr>
            <w:r w:rsidRPr="005379D9">
              <w:rPr>
                <w:rFonts w:eastAsia="Times New Roman" w:cs="Times New Roman"/>
                <w:b/>
                <w:snapToGrid w:val="0"/>
                <w:sz w:val="20"/>
                <w:szCs w:val="20"/>
              </w:rPr>
              <w:t xml:space="preserve">Neto aizdevumi (+) vai aizņēmumi (-) (B.9) pa </w:t>
            </w:r>
            <w:r w:rsidRPr="005379D9">
              <w:rPr>
                <w:rFonts w:eastAsia="Times New Roman" w:cs="Times New Roman"/>
                <w:b/>
                <w:noProof/>
                <w:snapToGrid w:val="0"/>
                <w:sz w:val="20"/>
                <w:szCs w:val="20"/>
              </w:rPr>
              <w:t>apakšsektoriem</w:t>
            </w:r>
          </w:p>
        </w:tc>
      </w:tr>
      <w:tr w:rsidR="007714C8" w:rsidRPr="005379D9" w:rsidTr="008325B9">
        <w:trPr>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Vispārējā valdība</w:t>
            </w:r>
          </w:p>
        </w:tc>
        <w:tc>
          <w:tcPr>
            <w:tcW w:w="1044" w:type="dxa"/>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S.13</w:t>
            </w:r>
          </w:p>
        </w:tc>
        <w:tc>
          <w:tcPr>
            <w:tcW w:w="940"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-0,7</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-0,5</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-0,4</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-0,2</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-0,3</w:t>
            </w:r>
          </w:p>
        </w:tc>
      </w:tr>
      <w:tr w:rsidR="007714C8" w:rsidRPr="005379D9" w:rsidTr="008325B9">
        <w:trPr>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Centrālā valdība</w:t>
            </w:r>
          </w:p>
        </w:tc>
        <w:tc>
          <w:tcPr>
            <w:tcW w:w="1044" w:type="dxa"/>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S.1311</w:t>
            </w:r>
          </w:p>
        </w:tc>
        <w:tc>
          <w:tcPr>
            <w:tcW w:w="940"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-0,8</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-0,9</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-0,8</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-0,5</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-0,6</w:t>
            </w:r>
          </w:p>
        </w:tc>
      </w:tr>
      <w:tr w:rsidR="007714C8" w:rsidRPr="005379D9" w:rsidTr="008325B9">
        <w:trPr>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Vietējā valdība</w:t>
            </w:r>
          </w:p>
        </w:tc>
        <w:tc>
          <w:tcPr>
            <w:tcW w:w="1044" w:type="dxa"/>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S.1313</w:t>
            </w:r>
          </w:p>
        </w:tc>
        <w:tc>
          <w:tcPr>
            <w:tcW w:w="940"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-0,5</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-0,3</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-0,1</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0,0</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0,0</w:t>
            </w:r>
          </w:p>
        </w:tc>
      </w:tr>
      <w:tr w:rsidR="007714C8" w:rsidRPr="005379D9" w:rsidTr="008325B9">
        <w:trPr>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Sociālās nodrošināšanas fondi</w:t>
            </w:r>
          </w:p>
        </w:tc>
        <w:tc>
          <w:tcPr>
            <w:tcW w:w="1044" w:type="dxa"/>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S.1314</w:t>
            </w:r>
          </w:p>
        </w:tc>
        <w:tc>
          <w:tcPr>
            <w:tcW w:w="940"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0,6</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0,7</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0,4</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0,3</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0,3</w:t>
            </w:r>
          </w:p>
        </w:tc>
      </w:tr>
      <w:tr w:rsidR="007714C8" w:rsidRPr="005379D9" w:rsidTr="008325B9">
        <w:trPr>
          <w:jc w:val="center"/>
        </w:trPr>
        <w:tc>
          <w:tcPr>
            <w:tcW w:w="8573" w:type="dxa"/>
            <w:gridSpan w:val="7"/>
            <w:shd w:val="clear" w:color="auto" w:fill="DEEAF6"/>
          </w:tcPr>
          <w:p w:rsidR="007714C8" w:rsidRPr="005379D9" w:rsidRDefault="007714C8" w:rsidP="006035A7">
            <w:pPr>
              <w:ind w:firstLine="720"/>
              <w:jc w:val="center"/>
              <w:rPr>
                <w:rFonts w:eastAsia="Times New Roman" w:cs="Times New Roman"/>
                <w:b/>
                <w:snapToGrid w:val="0"/>
                <w:sz w:val="20"/>
                <w:szCs w:val="20"/>
              </w:rPr>
            </w:pPr>
            <w:r w:rsidRPr="005379D9">
              <w:rPr>
                <w:rFonts w:eastAsia="Times New Roman" w:cs="Times New Roman"/>
                <w:b/>
                <w:snapToGrid w:val="0"/>
                <w:sz w:val="20"/>
                <w:szCs w:val="20"/>
              </w:rPr>
              <w:t>Vispārējā valdība (S.13)</w:t>
            </w:r>
          </w:p>
        </w:tc>
      </w:tr>
      <w:tr w:rsidR="007714C8" w:rsidRPr="005379D9" w:rsidTr="008325B9">
        <w:trPr>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 xml:space="preserve">Kopējie ieņēmumi </w:t>
            </w:r>
          </w:p>
        </w:tc>
        <w:tc>
          <w:tcPr>
            <w:tcW w:w="1044" w:type="dxa"/>
            <w:shd w:val="clear" w:color="auto" w:fill="auto"/>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TR</w:t>
            </w:r>
          </w:p>
        </w:tc>
        <w:tc>
          <w:tcPr>
            <w:tcW w:w="940" w:type="dxa"/>
            <w:shd w:val="clear" w:color="auto" w:fill="auto"/>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37,1</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36,2</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35,9</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35,4</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34,9</w:t>
            </w:r>
          </w:p>
        </w:tc>
      </w:tr>
      <w:tr w:rsidR="007714C8" w:rsidRPr="005379D9" w:rsidTr="008325B9">
        <w:trPr>
          <w:trHeight w:val="158"/>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Kopējie izdevumi</w:t>
            </w:r>
          </w:p>
        </w:tc>
        <w:tc>
          <w:tcPr>
            <w:tcW w:w="1044" w:type="dxa"/>
            <w:shd w:val="clear" w:color="auto" w:fill="auto"/>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TE</w:t>
            </w:r>
          </w:p>
        </w:tc>
        <w:tc>
          <w:tcPr>
            <w:tcW w:w="940" w:type="dxa"/>
            <w:shd w:val="clear" w:color="auto" w:fill="auto"/>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37,7</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36,7</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36,4</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35,6</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35,2</w:t>
            </w:r>
          </w:p>
        </w:tc>
      </w:tr>
      <w:tr w:rsidR="007714C8" w:rsidRPr="005379D9" w:rsidTr="008325B9">
        <w:trPr>
          <w:trHeight w:val="70"/>
          <w:jc w:val="center"/>
        </w:trPr>
        <w:tc>
          <w:tcPr>
            <w:tcW w:w="3187" w:type="dxa"/>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Procentu izdevumi</w:t>
            </w:r>
          </w:p>
        </w:tc>
        <w:tc>
          <w:tcPr>
            <w:tcW w:w="1044" w:type="dxa"/>
          </w:tcPr>
          <w:p w:rsidR="007714C8" w:rsidRPr="005379D9" w:rsidRDefault="007714C8" w:rsidP="006035A7">
            <w:pPr>
              <w:jc w:val="center"/>
              <w:rPr>
                <w:rFonts w:eastAsia="Times New Roman" w:cs="Times New Roman"/>
                <w:sz w:val="20"/>
                <w:szCs w:val="20"/>
              </w:rPr>
            </w:pPr>
            <w:r w:rsidRPr="005379D9">
              <w:rPr>
                <w:rFonts w:eastAsia="Times New Roman" w:cs="Times New Roman"/>
                <w:sz w:val="20"/>
                <w:szCs w:val="20"/>
              </w:rPr>
              <w:t>D.41</w:t>
            </w:r>
          </w:p>
        </w:tc>
        <w:tc>
          <w:tcPr>
            <w:tcW w:w="940"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0,8</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362E0A">
              <w:rPr>
                <w:rFonts w:eastAsia="Times New Roman" w:cs="Times New Roman"/>
                <w:bCs/>
                <w:sz w:val="20"/>
                <w:szCs w:val="20"/>
                <w:lang w:eastAsia="lv-LV"/>
              </w:rPr>
              <w:t>0,7</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0,8</w:t>
            </w:r>
          </w:p>
        </w:tc>
        <w:tc>
          <w:tcPr>
            <w:tcW w:w="851"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0,8</w:t>
            </w:r>
          </w:p>
        </w:tc>
        <w:tc>
          <w:tcPr>
            <w:tcW w:w="850" w:type="dxa"/>
            <w:vAlign w:val="center"/>
          </w:tcPr>
          <w:p w:rsidR="007714C8" w:rsidRPr="00362E0A" w:rsidRDefault="007714C8" w:rsidP="006035A7">
            <w:pPr>
              <w:jc w:val="center"/>
              <w:rPr>
                <w:rFonts w:eastAsia="Times New Roman" w:cs="Times New Roman"/>
                <w:bCs/>
                <w:sz w:val="20"/>
                <w:szCs w:val="20"/>
                <w:lang w:eastAsia="lv-LV"/>
              </w:rPr>
            </w:pPr>
            <w:r w:rsidRPr="00270363">
              <w:rPr>
                <w:rFonts w:eastAsia="Times New Roman" w:cs="Times New Roman"/>
                <w:bCs/>
                <w:sz w:val="20"/>
                <w:szCs w:val="20"/>
                <w:lang w:eastAsia="lv-LV"/>
              </w:rPr>
              <w:t>0,8</w:t>
            </w:r>
          </w:p>
        </w:tc>
      </w:tr>
      <w:tr w:rsidR="007714C8" w:rsidRPr="005379D9" w:rsidTr="008325B9">
        <w:trPr>
          <w:jc w:val="center"/>
        </w:trPr>
        <w:tc>
          <w:tcPr>
            <w:tcW w:w="8573" w:type="dxa"/>
            <w:gridSpan w:val="7"/>
            <w:shd w:val="clear" w:color="auto" w:fill="DEEAF6"/>
          </w:tcPr>
          <w:p w:rsidR="007714C8" w:rsidRPr="005379D9" w:rsidRDefault="007714C8" w:rsidP="006035A7">
            <w:pPr>
              <w:ind w:firstLine="720"/>
              <w:jc w:val="center"/>
              <w:rPr>
                <w:rFonts w:eastAsia="Times New Roman" w:cs="Times New Roman"/>
                <w:b/>
                <w:snapToGrid w:val="0"/>
                <w:sz w:val="20"/>
                <w:szCs w:val="20"/>
              </w:rPr>
            </w:pPr>
            <w:r w:rsidRPr="005379D9">
              <w:rPr>
                <w:rFonts w:eastAsia="Times New Roman" w:cs="Times New Roman"/>
                <w:b/>
                <w:snapToGrid w:val="0"/>
                <w:sz w:val="20"/>
                <w:szCs w:val="20"/>
              </w:rPr>
              <w:t>Cikliskā attīstība</w:t>
            </w:r>
          </w:p>
        </w:tc>
      </w:tr>
      <w:tr w:rsidR="007714C8" w:rsidRPr="005379D9" w:rsidTr="008325B9">
        <w:trPr>
          <w:jc w:val="center"/>
        </w:trPr>
        <w:tc>
          <w:tcPr>
            <w:tcW w:w="3187" w:type="dxa"/>
            <w:shd w:val="clear" w:color="auto" w:fill="auto"/>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Budžeta bilances cikliskā komponente</w:t>
            </w:r>
            <w:r>
              <w:rPr>
                <w:rStyle w:val="FootnoteReference"/>
                <w:rFonts w:eastAsia="Times New Roman" w:cs="Times New Roman"/>
                <w:b/>
                <w:snapToGrid w:val="0"/>
                <w:szCs w:val="20"/>
              </w:rPr>
              <w:footnoteReference w:id="21"/>
            </w:r>
          </w:p>
        </w:tc>
        <w:tc>
          <w:tcPr>
            <w:tcW w:w="1044" w:type="dxa"/>
            <w:shd w:val="clear" w:color="auto" w:fill="auto"/>
          </w:tcPr>
          <w:p w:rsidR="007714C8" w:rsidRPr="005379D9" w:rsidRDefault="007714C8" w:rsidP="006035A7">
            <w:pPr>
              <w:rPr>
                <w:rFonts w:eastAsia="Times New Roman" w:cs="Times New Roman"/>
                <w:sz w:val="20"/>
                <w:szCs w:val="20"/>
              </w:rPr>
            </w:pPr>
          </w:p>
        </w:tc>
        <w:tc>
          <w:tcPr>
            <w:tcW w:w="940"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0,7</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0,5</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0,4</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0,3</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0,2</w:t>
            </w:r>
          </w:p>
        </w:tc>
      </w:tr>
      <w:tr w:rsidR="007714C8" w:rsidRPr="005379D9" w:rsidTr="008325B9">
        <w:trPr>
          <w:jc w:val="center"/>
        </w:trPr>
        <w:tc>
          <w:tcPr>
            <w:tcW w:w="3187" w:type="dxa"/>
            <w:shd w:val="clear" w:color="auto" w:fill="auto"/>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Vienreizējie pasākumi</w:t>
            </w:r>
            <w:r w:rsidR="00120ED6">
              <w:rPr>
                <w:rStyle w:val="FootnoteReference"/>
                <w:rFonts w:eastAsia="Times New Roman" w:cs="Times New Roman"/>
                <w:b/>
                <w:snapToGrid w:val="0"/>
                <w:szCs w:val="20"/>
              </w:rPr>
              <w:footnoteReference w:id="22"/>
            </w:r>
          </w:p>
        </w:tc>
        <w:tc>
          <w:tcPr>
            <w:tcW w:w="1044" w:type="dxa"/>
            <w:shd w:val="clear" w:color="auto" w:fill="auto"/>
          </w:tcPr>
          <w:p w:rsidR="007714C8" w:rsidRPr="005379D9" w:rsidRDefault="007714C8" w:rsidP="006035A7">
            <w:pPr>
              <w:rPr>
                <w:rFonts w:eastAsia="Times New Roman" w:cs="Times New Roman"/>
                <w:sz w:val="20"/>
                <w:szCs w:val="20"/>
              </w:rPr>
            </w:pPr>
          </w:p>
        </w:tc>
        <w:tc>
          <w:tcPr>
            <w:tcW w:w="940" w:type="dxa"/>
            <w:shd w:val="clear" w:color="auto" w:fill="auto"/>
            <w:vAlign w:val="bottom"/>
          </w:tcPr>
          <w:p w:rsidR="007714C8" w:rsidRPr="005379D9" w:rsidRDefault="007714C8" w:rsidP="006035A7">
            <w:pPr>
              <w:jc w:val="center"/>
              <w:rPr>
                <w:rFonts w:eastAsia="Times New Roman" w:cs="Times New Roman"/>
                <w:snapToGrid w:val="0"/>
                <w:sz w:val="20"/>
                <w:szCs w:val="20"/>
              </w:rPr>
            </w:pPr>
          </w:p>
        </w:tc>
        <w:tc>
          <w:tcPr>
            <w:tcW w:w="851" w:type="dxa"/>
            <w:shd w:val="clear" w:color="auto" w:fill="auto"/>
            <w:vAlign w:val="center"/>
          </w:tcPr>
          <w:p w:rsidR="007714C8" w:rsidRPr="005379D9" w:rsidRDefault="007714C8" w:rsidP="006035A7">
            <w:pPr>
              <w:jc w:val="center"/>
              <w:rPr>
                <w:rFonts w:eastAsia="Times New Roman" w:cs="Times New Roman"/>
                <w:snapToGrid w:val="0"/>
                <w:sz w:val="20"/>
                <w:szCs w:val="20"/>
              </w:rPr>
            </w:pPr>
            <w:r w:rsidRPr="00112DB6">
              <w:rPr>
                <w:rFonts w:cs="Times New Roman"/>
                <w:color w:val="000000" w:themeColor="text1"/>
                <w:sz w:val="20"/>
                <w:szCs w:val="20"/>
              </w:rPr>
              <w:t>0,1</w:t>
            </w:r>
          </w:p>
        </w:tc>
        <w:tc>
          <w:tcPr>
            <w:tcW w:w="850" w:type="dxa"/>
            <w:shd w:val="clear" w:color="auto" w:fill="auto"/>
            <w:vAlign w:val="bottom"/>
          </w:tcPr>
          <w:p w:rsidR="007714C8" w:rsidRPr="005379D9" w:rsidRDefault="007714C8" w:rsidP="006035A7">
            <w:pPr>
              <w:jc w:val="center"/>
              <w:rPr>
                <w:rFonts w:eastAsia="Times New Roman" w:cs="Times New Roman"/>
                <w:snapToGrid w:val="0"/>
                <w:sz w:val="20"/>
                <w:szCs w:val="20"/>
              </w:rPr>
            </w:pPr>
          </w:p>
        </w:tc>
        <w:tc>
          <w:tcPr>
            <w:tcW w:w="851" w:type="dxa"/>
            <w:shd w:val="clear" w:color="auto" w:fill="auto"/>
            <w:vAlign w:val="bottom"/>
          </w:tcPr>
          <w:p w:rsidR="007714C8" w:rsidRPr="005379D9" w:rsidRDefault="007714C8" w:rsidP="006035A7">
            <w:pPr>
              <w:jc w:val="center"/>
              <w:rPr>
                <w:rFonts w:eastAsia="Times New Roman" w:cs="Times New Roman"/>
                <w:snapToGrid w:val="0"/>
                <w:sz w:val="20"/>
                <w:szCs w:val="20"/>
              </w:rPr>
            </w:pPr>
          </w:p>
        </w:tc>
        <w:tc>
          <w:tcPr>
            <w:tcW w:w="850" w:type="dxa"/>
            <w:shd w:val="clear" w:color="auto" w:fill="auto"/>
            <w:vAlign w:val="bottom"/>
          </w:tcPr>
          <w:p w:rsidR="007714C8" w:rsidRPr="005379D9" w:rsidRDefault="007714C8" w:rsidP="006035A7">
            <w:pPr>
              <w:jc w:val="center"/>
              <w:rPr>
                <w:rFonts w:eastAsia="Times New Roman" w:cs="Times New Roman"/>
                <w:snapToGrid w:val="0"/>
                <w:sz w:val="20"/>
                <w:szCs w:val="20"/>
              </w:rPr>
            </w:pPr>
          </w:p>
        </w:tc>
      </w:tr>
      <w:tr w:rsidR="007714C8" w:rsidRPr="005379D9" w:rsidTr="008325B9">
        <w:trPr>
          <w:jc w:val="center"/>
        </w:trPr>
        <w:tc>
          <w:tcPr>
            <w:tcW w:w="3187" w:type="dxa"/>
            <w:shd w:val="clear" w:color="auto" w:fill="auto"/>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Cikliski koriģētā bilance</w:t>
            </w:r>
          </w:p>
        </w:tc>
        <w:tc>
          <w:tcPr>
            <w:tcW w:w="1044" w:type="dxa"/>
            <w:shd w:val="clear" w:color="auto" w:fill="auto"/>
          </w:tcPr>
          <w:p w:rsidR="007714C8" w:rsidRPr="005379D9" w:rsidRDefault="007714C8" w:rsidP="006035A7">
            <w:pPr>
              <w:rPr>
                <w:rFonts w:eastAsia="Times New Roman" w:cs="Times New Roman"/>
                <w:sz w:val="20"/>
                <w:szCs w:val="20"/>
              </w:rPr>
            </w:pPr>
          </w:p>
        </w:tc>
        <w:tc>
          <w:tcPr>
            <w:tcW w:w="940"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-1,3</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-1,1</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-0,8</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-0,5</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-0,5</w:t>
            </w:r>
          </w:p>
        </w:tc>
      </w:tr>
      <w:tr w:rsidR="007714C8" w:rsidRPr="005379D9" w:rsidTr="008325B9">
        <w:trPr>
          <w:trHeight w:val="158"/>
          <w:jc w:val="center"/>
        </w:trPr>
        <w:tc>
          <w:tcPr>
            <w:tcW w:w="3187" w:type="dxa"/>
            <w:shd w:val="clear" w:color="auto" w:fill="auto"/>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Cikliski koriģētā primārā bilance</w:t>
            </w:r>
          </w:p>
        </w:tc>
        <w:tc>
          <w:tcPr>
            <w:tcW w:w="1044" w:type="dxa"/>
            <w:shd w:val="clear" w:color="auto" w:fill="auto"/>
          </w:tcPr>
          <w:p w:rsidR="007714C8" w:rsidRPr="005379D9" w:rsidRDefault="007714C8" w:rsidP="006035A7">
            <w:pPr>
              <w:rPr>
                <w:rFonts w:eastAsia="Times New Roman" w:cs="Times New Roman"/>
                <w:sz w:val="20"/>
                <w:szCs w:val="20"/>
              </w:rPr>
            </w:pPr>
          </w:p>
        </w:tc>
        <w:tc>
          <w:tcPr>
            <w:tcW w:w="940"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-0,5</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-0,3</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0,0</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0,3</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0,3</w:t>
            </w:r>
          </w:p>
        </w:tc>
      </w:tr>
      <w:tr w:rsidR="007714C8" w:rsidRPr="005379D9" w:rsidTr="008325B9">
        <w:trPr>
          <w:trHeight w:val="158"/>
          <w:jc w:val="center"/>
        </w:trPr>
        <w:tc>
          <w:tcPr>
            <w:tcW w:w="3187" w:type="dxa"/>
            <w:shd w:val="clear" w:color="auto" w:fill="auto"/>
          </w:tcPr>
          <w:p w:rsidR="007714C8" w:rsidRPr="005379D9" w:rsidRDefault="007714C8" w:rsidP="006035A7">
            <w:pPr>
              <w:rPr>
                <w:rFonts w:eastAsia="Times New Roman" w:cs="Times New Roman"/>
                <w:b/>
                <w:snapToGrid w:val="0"/>
                <w:sz w:val="20"/>
                <w:szCs w:val="20"/>
              </w:rPr>
            </w:pPr>
            <w:r w:rsidRPr="005379D9">
              <w:rPr>
                <w:rFonts w:eastAsia="Times New Roman" w:cs="Times New Roman"/>
                <w:b/>
                <w:snapToGrid w:val="0"/>
                <w:sz w:val="20"/>
                <w:szCs w:val="20"/>
              </w:rPr>
              <w:t>Strukturālā bilance</w:t>
            </w:r>
            <w:r w:rsidR="00120ED6">
              <w:rPr>
                <w:rStyle w:val="FootnoteReference"/>
                <w:rFonts w:eastAsia="Times New Roman" w:cs="Times New Roman"/>
                <w:b/>
                <w:snapToGrid w:val="0"/>
                <w:szCs w:val="20"/>
              </w:rPr>
              <w:footnoteReference w:id="23"/>
            </w:r>
          </w:p>
        </w:tc>
        <w:tc>
          <w:tcPr>
            <w:tcW w:w="1044" w:type="dxa"/>
            <w:shd w:val="clear" w:color="auto" w:fill="auto"/>
          </w:tcPr>
          <w:p w:rsidR="007714C8" w:rsidRPr="005379D9" w:rsidRDefault="007714C8" w:rsidP="006035A7">
            <w:pPr>
              <w:rPr>
                <w:rFonts w:eastAsia="Times New Roman" w:cs="Times New Roman"/>
                <w:sz w:val="20"/>
                <w:szCs w:val="20"/>
              </w:rPr>
            </w:pPr>
          </w:p>
        </w:tc>
        <w:tc>
          <w:tcPr>
            <w:tcW w:w="940"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-1,3</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112DB6">
              <w:rPr>
                <w:rFonts w:cs="Times New Roman"/>
                <w:color w:val="000000" w:themeColor="text1"/>
                <w:sz w:val="20"/>
                <w:szCs w:val="20"/>
              </w:rPr>
              <w:t>-1,1</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-0,8</w:t>
            </w:r>
          </w:p>
        </w:tc>
        <w:tc>
          <w:tcPr>
            <w:tcW w:w="851"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-0,5</w:t>
            </w:r>
          </w:p>
        </w:tc>
        <w:tc>
          <w:tcPr>
            <w:tcW w:w="850" w:type="dxa"/>
            <w:shd w:val="clear" w:color="auto" w:fill="auto"/>
            <w:vAlign w:val="bottom"/>
          </w:tcPr>
          <w:p w:rsidR="007714C8" w:rsidRPr="00112DB6" w:rsidRDefault="007714C8" w:rsidP="006035A7">
            <w:pPr>
              <w:jc w:val="center"/>
              <w:rPr>
                <w:rFonts w:cs="Times New Roman"/>
                <w:color w:val="000000" w:themeColor="text1"/>
                <w:sz w:val="20"/>
                <w:szCs w:val="20"/>
              </w:rPr>
            </w:pPr>
            <w:r w:rsidRPr="00395636">
              <w:rPr>
                <w:rFonts w:cs="Times New Roman"/>
                <w:color w:val="000000" w:themeColor="text1"/>
                <w:sz w:val="20"/>
                <w:szCs w:val="20"/>
              </w:rPr>
              <w:t>-0,5</w:t>
            </w:r>
          </w:p>
        </w:tc>
      </w:tr>
    </w:tbl>
    <w:p w:rsidR="007714C8" w:rsidRDefault="007714C8" w:rsidP="00D640E8">
      <w:pPr>
        <w:pStyle w:val="T"/>
        <w:spacing w:after="0"/>
        <w:ind w:left="0"/>
        <w:jc w:val="both"/>
        <w:rPr>
          <w:rFonts w:ascii="Times New Roman" w:hAnsi="Times New Roman"/>
          <w:b w:val="0"/>
          <w:color w:val="000000"/>
          <w:sz w:val="20"/>
          <w:szCs w:val="24"/>
        </w:rPr>
      </w:pPr>
    </w:p>
    <w:p w:rsidR="00D640E8" w:rsidRDefault="00D640E8" w:rsidP="00D640E8">
      <w:pPr>
        <w:spacing w:before="120" w:after="0" w:line="240" w:lineRule="auto"/>
        <w:ind w:firstLine="720"/>
        <w:jc w:val="both"/>
        <w:rPr>
          <w:rFonts w:ascii="Times New Roman" w:eastAsia="Times New Roman" w:hAnsi="Times New Roman" w:cs="Times New Roman"/>
          <w:sz w:val="24"/>
          <w:szCs w:val="24"/>
          <w:highlight w:val="yellow"/>
        </w:rPr>
      </w:pPr>
      <w:r w:rsidRPr="004B41E5">
        <w:rPr>
          <w:rFonts w:ascii="Times New Roman" w:eastAsia="Times New Roman" w:hAnsi="Times New Roman" w:cs="Times New Roman"/>
          <w:sz w:val="24"/>
          <w:szCs w:val="24"/>
        </w:rPr>
        <w:t xml:space="preserve">Fiskālās attīstības </w:t>
      </w:r>
      <w:r w:rsidR="004B41E5" w:rsidRPr="004B41E5">
        <w:rPr>
          <w:rFonts w:ascii="Times New Roman" w:eastAsia="Times New Roman" w:hAnsi="Times New Roman" w:cs="Times New Roman"/>
          <w:sz w:val="24"/>
          <w:szCs w:val="24"/>
        </w:rPr>
        <w:t>scenārijā tiek pieņemts, ka 2020. un 2021</w:t>
      </w:r>
      <w:r w:rsidR="00E43828">
        <w:rPr>
          <w:rFonts w:ascii="Times New Roman" w:eastAsia="Times New Roman" w:hAnsi="Times New Roman" w:cs="Times New Roman"/>
          <w:sz w:val="24"/>
          <w:szCs w:val="24"/>
        </w:rPr>
        <w:t>.</w:t>
      </w:r>
      <w:r w:rsidRPr="004B41E5">
        <w:rPr>
          <w:rFonts w:ascii="Times New Roman" w:eastAsia="Times New Roman" w:hAnsi="Times New Roman" w:cs="Times New Roman"/>
          <w:sz w:val="24"/>
          <w:szCs w:val="24"/>
        </w:rPr>
        <w:t>gadā nepieciešamā budžeta konsolidācija tiek veikta uz centrālās valdības izdevumu sam</w:t>
      </w:r>
      <w:r w:rsidR="004B41E5" w:rsidRPr="004B41E5">
        <w:rPr>
          <w:rFonts w:ascii="Times New Roman" w:eastAsia="Times New Roman" w:hAnsi="Times New Roman" w:cs="Times New Roman"/>
          <w:sz w:val="24"/>
          <w:szCs w:val="24"/>
        </w:rPr>
        <w:t>azināšanas rēķina, savukārt 2022</w:t>
      </w:r>
      <w:r w:rsidR="00E43828">
        <w:rPr>
          <w:rFonts w:ascii="Times New Roman" w:eastAsia="Times New Roman" w:hAnsi="Times New Roman" w:cs="Times New Roman"/>
          <w:sz w:val="24"/>
          <w:szCs w:val="24"/>
        </w:rPr>
        <w:t>.</w:t>
      </w:r>
      <w:r w:rsidRPr="004B41E5">
        <w:rPr>
          <w:rFonts w:ascii="Times New Roman" w:eastAsia="Times New Roman" w:hAnsi="Times New Roman" w:cs="Times New Roman"/>
          <w:sz w:val="24"/>
          <w:szCs w:val="24"/>
        </w:rPr>
        <w:t>gadā pieejamā fiskālā telpa tiek izmantota centrālās valdības papildus izdevumiem. Tiek pieņemts, ka fiskālā nodrošinājuma rezerve tiek izlietota – t.i., iestājas fiskālie riski 0,1% no IKP apmērā. Tā kā lēmumi par budžeta attīstības sadaļu tiek pieņemti budžeta veidošanas procesā un pašlaik tie nav zināmi, nepiecieš</w:t>
      </w:r>
      <w:r w:rsidR="004B41E5" w:rsidRPr="004B41E5">
        <w:rPr>
          <w:rFonts w:ascii="Times New Roman" w:eastAsia="Times New Roman" w:hAnsi="Times New Roman" w:cs="Times New Roman"/>
          <w:sz w:val="24"/>
          <w:szCs w:val="24"/>
        </w:rPr>
        <w:t>amais izdevumu samazinājums 2020. un 2021</w:t>
      </w:r>
      <w:r w:rsidR="00E43828">
        <w:rPr>
          <w:rFonts w:ascii="Times New Roman" w:eastAsia="Times New Roman" w:hAnsi="Times New Roman" w:cs="Times New Roman"/>
          <w:sz w:val="24"/>
          <w:szCs w:val="24"/>
        </w:rPr>
        <w:t>.</w:t>
      </w:r>
      <w:r w:rsidRPr="004B41E5">
        <w:rPr>
          <w:rFonts w:ascii="Times New Roman" w:eastAsia="Times New Roman" w:hAnsi="Times New Roman" w:cs="Times New Roman"/>
          <w:sz w:val="24"/>
          <w:szCs w:val="24"/>
        </w:rPr>
        <w:t>gadā un izdevumu palielinājums 202</w:t>
      </w:r>
      <w:r w:rsidR="004B41E5" w:rsidRPr="004B41E5">
        <w:rPr>
          <w:rFonts w:ascii="Times New Roman" w:eastAsia="Times New Roman" w:hAnsi="Times New Roman" w:cs="Times New Roman"/>
          <w:sz w:val="24"/>
          <w:szCs w:val="24"/>
        </w:rPr>
        <w:t>2</w:t>
      </w:r>
      <w:r w:rsidR="00E43828">
        <w:rPr>
          <w:rFonts w:ascii="Times New Roman" w:eastAsia="Times New Roman" w:hAnsi="Times New Roman" w:cs="Times New Roman"/>
          <w:sz w:val="24"/>
          <w:szCs w:val="24"/>
        </w:rPr>
        <w:t>.</w:t>
      </w:r>
      <w:r w:rsidRPr="004B41E5">
        <w:rPr>
          <w:rFonts w:ascii="Times New Roman" w:eastAsia="Times New Roman" w:hAnsi="Times New Roman" w:cs="Times New Roman"/>
          <w:sz w:val="24"/>
          <w:szCs w:val="24"/>
        </w:rPr>
        <w:t xml:space="preserve">gadā tiek veikts proporcionāli pa izdevumu kategorijām attiecīgajos gados, par pamatu pieņemot atsevišķu izdevumu kategoriju proporciju pret kopējiem izdevumiem pie nemainīgas politikas scenārija. Aprēķinot atsevišķu izdevumu kategoriju proporciju pret kopējiem izdevumiem pie nemainīgas politikas scenārija, no aprēķina tiek izslēgtas sekojošas izdevumu kategorijas: procentu izdevumi un kapitālo izdevumu </w:t>
      </w:r>
      <w:proofErr w:type="spellStart"/>
      <w:r w:rsidRPr="004B41E5">
        <w:rPr>
          <w:rFonts w:ascii="Times New Roman" w:eastAsia="Times New Roman" w:hAnsi="Times New Roman" w:cs="Times New Roman"/>
          <w:sz w:val="24"/>
          <w:szCs w:val="24"/>
        </w:rPr>
        <w:t>transferti</w:t>
      </w:r>
      <w:proofErr w:type="spellEnd"/>
      <w:r w:rsidRPr="004B41E5">
        <w:rPr>
          <w:rFonts w:ascii="Times New Roman" w:eastAsia="Times New Roman" w:hAnsi="Times New Roman" w:cs="Times New Roman"/>
          <w:sz w:val="24"/>
          <w:szCs w:val="24"/>
        </w:rPr>
        <w:t>. Šāda pieeja tiek izmantota, jo tiek pieņemts, ka budžeta attīstības daļas lēmumi uz šīs izdevumu kategorijas neskar.</w:t>
      </w:r>
    </w:p>
    <w:p w:rsidR="003463F3" w:rsidRDefault="003463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type="page"/>
      </w:r>
    </w:p>
    <w:p w:rsidR="00FD6750" w:rsidRPr="00D640E8" w:rsidRDefault="00FD6750" w:rsidP="00D640E8">
      <w:pPr>
        <w:spacing w:before="120" w:after="0" w:line="240" w:lineRule="auto"/>
        <w:ind w:firstLine="720"/>
        <w:jc w:val="both"/>
        <w:rPr>
          <w:rFonts w:ascii="Times New Roman" w:eastAsia="Times New Roman" w:hAnsi="Times New Roman" w:cs="Times New Roman"/>
          <w:sz w:val="24"/>
          <w:szCs w:val="24"/>
          <w:highlight w:val="yellow"/>
        </w:rPr>
      </w:pPr>
    </w:p>
    <w:p w:rsidR="00D640E8" w:rsidRPr="009F4FDB" w:rsidRDefault="00D640E8" w:rsidP="00D640E8">
      <w:pPr>
        <w:spacing w:before="120" w:after="0" w:line="240" w:lineRule="auto"/>
        <w:ind w:firstLine="720"/>
        <w:jc w:val="right"/>
        <w:rPr>
          <w:rFonts w:ascii="Times New Roman" w:eastAsiaTheme="minorHAnsi" w:hAnsi="Times New Roman" w:cs="Times New Roman"/>
          <w:b/>
          <w:sz w:val="24"/>
          <w:szCs w:val="24"/>
        </w:rPr>
      </w:pPr>
      <w:r w:rsidRPr="009F4FDB">
        <w:rPr>
          <w:rFonts w:ascii="Times New Roman" w:eastAsiaTheme="minorHAnsi" w:hAnsi="Times New Roman" w:cs="Times New Roman"/>
          <w:b/>
          <w:sz w:val="24"/>
          <w:szCs w:val="24"/>
        </w:rPr>
        <w:t>3.</w:t>
      </w:r>
      <w:r w:rsidR="00FD6750" w:rsidRPr="009F4FDB">
        <w:rPr>
          <w:rFonts w:ascii="Times New Roman" w:eastAsiaTheme="minorHAnsi" w:hAnsi="Times New Roman" w:cs="Times New Roman"/>
          <w:b/>
          <w:sz w:val="24"/>
          <w:szCs w:val="24"/>
        </w:rPr>
        <w:t>1</w:t>
      </w:r>
      <w:r w:rsidR="0040629E">
        <w:rPr>
          <w:rFonts w:ascii="Times New Roman" w:eastAsiaTheme="minorHAnsi" w:hAnsi="Times New Roman" w:cs="Times New Roman"/>
          <w:b/>
          <w:sz w:val="24"/>
          <w:szCs w:val="24"/>
        </w:rPr>
        <w:t>1</w:t>
      </w:r>
      <w:r w:rsidRPr="009F4FDB">
        <w:rPr>
          <w:rFonts w:ascii="Times New Roman" w:eastAsiaTheme="minorHAnsi" w:hAnsi="Times New Roman" w:cs="Times New Roman"/>
          <w:b/>
          <w:sz w:val="24"/>
          <w:szCs w:val="24"/>
        </w:rPr>
        <w:t>.tabula. Fiskālā telpa</w:t>
      </w:r>
    </w:p>
    <w:tbl>
      <w:tblPr>
        <w:tblW w:w="9072" w:type="dxa"/>
        <w:jc w:val="center"/>
        <w:tblLayout w:type="fixed"/>
        <w:tblCellMar>
          <w:left w:w="0" w:type="dxa"/>
          <w:right w:w="0" w:type="dxa"/>
        </w:tblCellMar>
        <w:tblLook w:val="0600" w:firstRow="0" w:lastRow="0" w:firstColumn="0" w:lastColumn="0" w:noHBand="1" w:noVBand="1"/>
      </w:tblPr>
      <w:tblGrid>
        <w:gridCol w:w="5660"/>
        <w:gridCol w:w="1134"/>
        <w:gridCol w:w="1134"/>
        <w:gridCol w:w="1144"/>
      </w:tblGrid>
      <w:tr w:rsidR="00D640E8" w:rsidRPr="009F4FDB" w:rsidTr="006035A7">
        <w:trPr>
          <w:trHeight w:val="261"/>
          <w:jc w:val="center"/>
        </w:trPr>
        <w:tc>
          <w:tcPr>
            <w:tcW w:w="5660"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D640E8" w:rsidRPr="009F4FDB" w:rsidRDefault="00D640E8" w:rsidP="006035A7">
            <w:pPr>
              <w:spacing w:after="0" w:line="240" w:lineRule="auto"/>
              <w:ind w:firstLine="720"/>
              <w:rPr>
                <w:rFonts w:ascii="Times New Roman" w:eastAsiaTheme="minorHAnsi" w:hAnsi="Times New Roman" w:cs="Times New Roman"/>
                <w:b/>
                <w:szCs w:val="24"/>
              </w:rPr>
            </w:pPr>
          </w:p>
        </w:tc>
        <w:tc>
          <w:tcPr>
            <w:tcW w:w="1134"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D640E8" w:rsidRPr="009F4FDB" w:rsidRDefault="009F4FDB" w:rsidP="006035A7">
            <w:pPr>
              <w:spacing w:after="0" w:line="240" w:lineRule="auto"/>
              <w:jc w:val="center"/>
              <w:rPr>
                <w:rFonts w:ascii="Times New Roman" w:eastAsiaTheme="minorHAnsi" w:hAnsi="Times New Roman" w:cs="Times New Roman"/>
                <w:b/>
                <w:szCs w:val="24"/>
              </w:rPr>
            </w:pPr>
            <w:r w:rsidRPr="009F4FDB">
              <w:rPr>
                <w:rFonts w:ascii="Times New Roman" w:eastAsiaTheme="minorHAnsi" w:hAnsi="Times New Roman" w:cs="Times New Roman"/>
                <w:b/>
                <w:bCs/>
                <w:szCs w:val="24"/>
              </w:rPr>
              <w:t>2020</w:t>
            </w:r>
          </w:p>
        </w:tc>
        <w:tc>
          <w:tcPr>
            <w:tcW w:w="1134"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D640E8" w:rsidRPr="009F4FDB" w:rsidRDefault="009F4FDB" w:rsidP="006035A7">
            <w:pPr>
              <w:spacing w:after="0" w:line="240" w:lineRule="auto"/>
              <w:jc w:val="center"/>
              <w:rPr>
                <w:rFonts w:ascii="Times New Roman" w:eastAsiaTheme="minorHAnsi" w:hAnsi="Times New Roman" w:cs="Times New Roman"/>
                <w:b/>
                <w:szCs w:val="24"/>
              </w:rPr>
            </w:pPr>
            <w:r w:rsidRPr="009F4FDB">
              <w:rPr>
                <w:rFonts w:ascii="Times New Roman" w:eastAsiaTheme="minorHAnsi" w:hAnsi="Times New Roman" w:cs="Times New Roman"/>
                <w:b/>
                <w:bCs/>
                <w:szCs w:val="24"/>
              </w:rPr>
              <w:t>2021</w:t>
            </w:r>
          </w:p>
        </w:tc>
        <w:tc>
          <w:tcPr>
            <w:tcW w:w="1144"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D640E8" w:rsidRPr="009F4FDB" w:rsidRDefault="009F4FDB" w:rsidP="006035A7">
            <w:pPr>
              <w:spacing w:after="0" w:line="240" w:lineRule="auto"/>
              <w:jc w:val="center"/>
              <w:rPr>
                <w:rFonts w:ascii="Times New Roman" w:eastAsiaTheme="minorHAnsi" w:hAnsi="Times New Roman" w:cs="Times New Roman"/>
                <w:b/>
                <w:szCs w:val="24"/>
              </w:rPr>
            </w:pPr>
            <w:r w:rsidRPr="009F4FDB">
              <w:rPr>
                <w:rFonts w:ascii="Times New Roman" w:eastAsiaTheme="minorHAnsi" w:hAnsi="Times New Roman" w:cs="Times New Roman"/>
                <w:b/>
                <w:bCs/>
                <w:szCs w:val="24"/>
              </w:rPr>
              <w:t>2021</w:t>
            </w:r>
          </w:p>
        </w:tc>
      </w:tr>
      <w:tr w:rsidR="00ED574B" w:rsidRPr="009F4FDB" w:rsidTr="009F4FDB">
        <w:trPr>
          <w:trHeight w:val="555"/>
          <w:jc w:val="center"/>
        </w:trPr>
        <w:tc>
          <w:tcPr>
            <w:tcW w:w="5660"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ED574B" w:rsidRPr="009F4FDB" w:rsidRDefault="00ED574B" w:rsidP="00ED574B">
            <w:pPr>
              <w:spacing w:after="0" w:line="240" w:lineRule="auto"/>
              <w:rPr>
                <w:rFonts w:ascii="Times New Roman" w:eastAsiaTheme="minorHAnsi" w:hAnsi="Times New Roman" w:cs="Times New Roman"/>
                <w:szCs w:val="24"/>
              </w:rPr>
            </w:pPr>
            <w:r w:rsidRPr="009F4FDB">
              <w:rPr>
                <w:rFonts w:ascii="Times New Roman" w:eastAsiaTheme="minorHAnsi" w:hAnsi="Times New Roman" w:cs="Times New Roman"/>
                <w:szCs w:val="24"/>
              </w:rPr>
              <w:t>Vispārējās valdības budžeta bilances mērķis, % no IKP</w:t>
            </w:r>
          </w:p>
        </w:tc>
        <w:tc>
          <w:tcPr>
            <w:tcW w:w="1134"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sidRPr="00ED574B">
              <w:rPr>
                <w:rFonts w:ascii="Times New Roman" w:eastAsiaTheme="minorHAnsi" w:hAnsi="Times New Roman" w:cs="Times New Roman"/>
                <w:szCs w:val="24"/>
              </w:rPr>
              <w:t>-0,4</w:t>
            </w:r>
          </w:p>
        </w:tc>
        <w:tc>
          <w:tcPr>
            <w:tcW w:w="1134"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sidRPr="00ED574B">
              <w:rPr>
                <w:rFonts w:ascii="Times New Roman" w:eastAsiaTheme="minorHAnsi" w:hAnsi="Times New Roman" w:cs="Times New Roman"/>
                <w:szCs w:val="24"/>
              </w:rPr>
              <w:t>-0,2</w:t>
            </w:r>
          </w:p>
        </w:tc>
        <w:tc>
          <w:tcPr>
            <w:tcW w:w="1144"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sidRPr="00ED574B">
              <w:rPr>
                <w:rFonts w:ascii="Times New Roman" w:eastAsiaTheme="minorHAnsi" w:hAnsi="Times New Roman" w:cs="Times New Roman"/>
                <w:szCs w:val="24"/>
              </w:rPr>
              <w:t>-0,3</w:t>
            </w:r>
          </w:p>
        </w:tc>
      </w:tr>
      <w:tr w:rsidR="00ED574B" w:rsidRPr="009F4FDB" w:rsidTr="009F4FDB">
        <w:trPr>
          <w:trHeight w:val="178"/>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ED574B" w:rsidRPr="009F4FDB" w:rsidRDefault="00ED574B" w:rsidP="00ED574B">
            <w:pPr>
              <w:spacing w:after="0" w:line="240" w:lineRule="auto"/>
              <w:rPr>
                <w:rFonts w:ascii="Times New Roman" w:eastAsiaTheme="minorHAnsi" w:hAnsi="Times New Roman" w:cs="Times New Roman"/>
                <w:szCs w:val="24"/>
              </w:rPr>
            </w:pPr>
            <w:r w:rsidRPr="009F4FDB">
              <w:rPr>
                <w:rFonts w:ascii="Times New Roman" w:eastAsiaTheme="minorHAnsi" w:hAnsi="Times New Roman" w:cs="Times New Roman"/>
                <w:szCs w:val="24"/>
              </w:rPr>
              <w:t>Vispārējās valdības budžeta bilance pie nemainīgas politikas, % no IKP</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sidRPr="00ED574B">
              <w:rPr>
                <w:rFonts w:ascii="Times New Roman" w:eastAsiaTheme="minorHAnsi" w:hAnsi="Times New Roman" w:cs="Times New Roman"/>
                <w:szCs w:val="24"/>
              </w:rPr>
              <w:t>-0,3</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sidRPr="00ED574B">
              <w:rPr>
                <w:rFonts w:ascii="Times New Roman" w:eastAsiaTheme="minorHAnsi" w:hAnsi="Times New Roman" w:cs="Times New Roman"/>
                <w:szCs w:val="24"/>
              </w:rPr>
              <w:t>-0,4</w:t>
            </w:r>
          </w:p>
        </w:tc>
        <w:tc>
          <w:tcPr>
            <w:tcW w:w="114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sidRPr="00ED574B">
              <w:rPr>
                <w:rFonts w:ascii="Times New Roman" w:eastAsiaTheme="minorHAnsi" w:hAnsi="Times New Roman" w:cs="Times New Roman"/>
                <w:szCs w:val="24"/>
              </w:rPr>
              <w:t>0,2</w:t>
            </w:r>
          </w:p>
        </w:tc>
      </w:tr>
      <w:tr w:rsidR="00ED574B" w:rsidRPr="009F4FDB" w:rsidTr="009F4FDB">
        <w:trPr>
          <w:trHeight w:val="91"/>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ED574B" w:rsidRPr="009F4FDB" w:rsidRDefault="00ED574B" w:rsidP="00ED574B">
            <w:pPr>
              <w:spacing w:after="0" w:line="240" w:lineRule="auto"/>
              <w:rPr>
                <w:rFonts w:ascii="Times New Roman" w:eastAsiaTheme="minorHAnsi" w:hAnsi="Times New Roman" w:cs="Times New Roman"/>
                <w:szCs w:val="24"/>
              </w:rPr>
            </w:pPr>
            <w:r w:rsidRPr="009F4FDB">
              <w:rPr>
                <w:rFonts w:ascii="Times New Roman" w:eastAsiaTheme="minorHAnsi" w:hAnsi="Times New Roman" w:cs="Times New Roman"/>
                <w:szCs w:val="24"/>
              </w:rPr>
              <w:t>Fiskālā nodrošinājuma rezerve, % no IKP</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Pr>
                <w:rFonts w:ascii="Times New Roman" w:eastAsiaTheme="minorHAnsi" w:hAnsi="Times New Roman" w:cs="Times New Roman"/>
                <w:szCs w:val="24"/>
              </w:rPr>
              <w:t>0,1</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Pr>
                <w:rFonts w:ascii="Times New Roman" w:eastAsiaTheme="minorHAnsi" w:hAnsi="Times New Roman" w:cs="Times New Roman"/>
                <w:szCs w:val="24"/>
              </w:rPr>
              <w:t>0,1</w:t>
            </w:r>
          </w:p>
        </w:tc>
        <w:tc>
          <w:tcPr>
            <w:tcW w:w="114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szCs w:val="24"/>
              </w:rPr>
            </w:pPr>
            <w:r>
              <w:rPr>
                <w:rFonts w:ascii="Times New Roman" w:eastAsiaTheme="minorHAnsi" w:hAnsi="Times New Roman" w:cs="Times New Roman"/>
                <w:szCs w:val="24"/>
              </w:rPr>
              <w:t>0,1</w:t>
            </w:r>
          </w:p>
        </w:tc>
      </w:tr>
      <w:tr w:rsidR="00ED574B" w:rsidRPr="009F4FDB" w:rsidTr="009F4FDB">
        <w:trPr>
          <w:trHeight w:val="124"/>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ED574B" w:rsidRPr="009F4FDB" w:rsidRDefault="00ED574B" w:rsidP="00ED574B">
            <w:pPr>
              <w:spacing w:after="0" w:line="240" w:lineRule="auto"/>
              <w:rPr>
                <w:rFonts w:ascii="Times New Roman" w:eastAsiaTheme="minorHAnsi" w:hAnsi="Times New Roman" w:cs="Times New Roman"/>
                <w:b/>
                <w:szCs w:val="24"/>
              </w:rPr>
            </w:pPr>
            <w:r w:rsidRPr="009F4FDB">
              <w:rPr>
                <w:rFonts w:ascii="Times New Roman" w:eastAsiaTheme="minorHAnsi" w:hAnsi="Times New Roman" w:cs="Times New Roman"/>
                <w:b/>
                <w:bCs/>
                <w:szCs w:val="24"/>
              </w:rPr>
              <w:t>Fiskālā telpa, % no IKP</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b/>
                <w:szCs w:val="24"/>
              </w:rPr>
            </w:pPr>
            <w:r>
              <w:rPr>
                <w:rFonts w:ascii="Times New Roman" w:eastAsiaTheme="minorHAnsi" w:hAnsi="Times New Roman" w:cs="Times New Roman"/>
                <w:b/>
                <w:szCs w:val="24"/>
              </w:rPr>
              <w:t>-0,04</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b/>
                <w:szCs w:val="24"/>
              </w:rPr>
            </w:pPr>
            <w:r>
              <w:rPr>
                <w:rFonts w:ascii="Times New Roman" w:eastAsiaTheme="minorHAnsi" w:hAnsi="Times New Roman" w:cs="Times New Roman"/>
                <w:b/>
                <w:szCs w:val="24"/>
              </w:rPr>
              <w:t>-0,23</w:t>
            </w:r>
          </w:p>
        </w:tc>
        <w:tc>
          <w:tcPr>
            <w:tcW w:w="114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b/>
                <w:szCs w:val="24"/>
              </w:rPr>
            </w:pPr>
            <w:r>
              <w:rPr>
                <w:rFonts w:ascii="Times New Roman" w:eastAsiaTheme="minorHAnsi" w:hAnsi="Times New Roman" w:cs="Times New Roman"/>
                <w:b/>
                <w:szCs w:val="24"/>
              </w:rPr>
              <w:t>0,48</w:t>
            </w:r>
          </w:p>
        </w:tc>
      </w:tr>
      <w:tr w:rsidR="00ED574B" w:rsidRPr="0093439A" w:rsidTr="009F4FDB">
        <w:trPr>
          <w:trHeight w:val="130"/>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ED574B" w:rsidRPr="009F4FDB" w:rsidRDefault="00ED574B" w:rsidP="00ED574B">
            <w:pPr>
              <w:spacing w:after="0" w:line="240" w:lineRule="auto"/>
              <w:rPr>
                <w:rFonts w:ascii="Times New Roman" w:eastAsiaTheme="minorHAnsi" w:hAnsi="Times New Roman" w:cs="Times New Roman"/>
                <w:b/>
                <w:szCs w:val="24"/>
              </w:rPr>
            </w:pPr>
            <w:r w:rsidRPr="009F4FDB">
              <w:rPr>
                <w:rFonts w:ascii="Times New Roman" w:eastAsiaTheme="minorHAnsi" w:hAnsi="Times New Roman" w:cs="Times New Roman"/>
                <w:b/>
                <w:bCs/>
                <w:szCs w:val="24"/>
              </w:rPr>
              <w:t xml:space="preserve">Fiskālā telpa, milj. </w:t>
            </w:r>
            <w:proofErr w:type="spellStart"/>
            <w:r w:rsidRPr="009F4FDB">
              <w:rPr>
                <w:rFonts w:ascii="Times New Roman" w:eastAsiaTheme="minorHAnsi" w:hAnsi="Times New Roman" w:cs="Times New Roman"/>
                <w:b/>
                <w:bCs/>
                <w:i/>
                <w:iCs/>
                <w:szCs w:val="24"/>
              </w:rPr>
              <w:t>euro</w:t>
            </w:r>
            <w:proofErr w:type="spellEnd"/>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b/>
                <w:szCs w:val="24"/>
              </w:rPr>
            </w:pPr>
            <w:r>
              <w:rPr>
                <w:rFonts w:ascii="Times New Roman" w:eastAsiaTheme="minorHAnsi" w:hAnsi="Times New Roman" w:cs="Times New Roman"/>
                <w:b/>
                <w:szCs w:val="24"/>
              </w:rPr>
              <w:t>-11,9</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9F4FDB" w:rsidRDefault="00ED574B" w:rsidP="00ED574B">
            <w:pPr>
              <w:spacing w:after="0" w:line="240" w:lineRule="auto"/>
              <w:jc w:val="center"/>
              <w:rPr>
                <w:rFonts w:ascii="Times New Roman" w:eastAsiaTheme="minorHAnsi" w:hAnsi="Times New Roman" w:cs="Times New Roman"/>
                <w:b/>
                <w:szCs w:val="24"/>
              </w:rPr>
            </w:pPr>
            <w:r>
              <w:rPr>
                <w:rFonts w:ascii="Times New Roman" w:eastAsiaTheme="minorHAnsi" w:hAnsi="Times New Roman" w:cs="Times New Roman"/>
                <w:b/>
                <w:szCs w:val="24"/>
              </w:rPr>
              <w:t>-81,1</w:t>
            </w:r>
          </w:p>
        </w:tc>
        <w:tc>
          <w:tcPr>
            <w:tcW w:w="114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tcPr>
          <w:p w:rsidR="00ED574B" w:rsidRPr="00B534AF" w:rsidRDefault="00ED574B" w:rsidP="00ED574B">
            <w:pPr>
              <w:spacing w:after="0" w:line="240" w:lineRule="auto"/>
              <w:jc w:val="center"/>
              <w:rPr>
                <w:rFonts w:ascii="Times New Roman" w:eastAsiaTheme="minorHAnsi" w:hAnsi="Times New Roman" w:cs="Times New Roman"/>
                <w:b/>
                <w:szCs w:val="24"/>
              </w:rPr>
            </w:pPr>
            <w:r>
              <w:rPr>
                <w:rFonts w:ascii="Times New Roman" w:eastAsiaTheme="minorHAnsi" w:hAnsi="Times New Roman" w:cs="Times New Roman"/>
                <w:b/>
                <w:szCs w:val="24"/>
              </w:rPr>
              <w:t>176,3</w:t>
            </w:r>
          </w:p>
        </w:tc>
      </w:tr>
    </w:tbl>
    <w:p w:rsidR="00D640E8" w:rsidRDefault="00D640E8" w:rsidP="00D640E8">
      <w:pPr>
        <w:spacing w:after="0" w:line="240" w:lineRule="auto"/>
        <w:jc w:val="both"/>
        <w:rPr>
          <w:rFonts w:ascii="Times New Roman" w:eastAsia="Calibri" w:hAnsi="Times New Roman" w:cs="Times New Roman"/>
          <w:color w:val="000000"/>
          <w:sz w:val="24"/>
        </w:rPr>
      </w:pPr>
    </w:p>
    <w:p w:rsidR="00A34463" w:rsidRPr="0012337B" w:rsidRDefault="00A34463" w:rsidP="005E344C">
      <w:pPr>
        <w:pStyle w:val="Heading2"/>
        <w:numPr>
          <w:ilvl w:val="1"/>
          <w:numId w:val="34"/>
        </w:numPr>
        <w:spacing w:before="0" w:after="120"/>
        <w:ind w:left="1418"/>
        <w:rPr>
          <w:rFonts w:ascii="Times New Roman" w:hAnsi="Times New Roman" w:cs="Times New Roman"/>
          <w:sz w:val="24"/>
        </w:rPr>
      </w:pPr>
      <w:bookmarkStart w:id="41" w:name="_Toc510790665"/>
      <w:bookmarkStart w:id="42" w:name="_Toc5627372"/>
      <w:bookmarkStart w:id="43" w:name="_Toc5798627"/>
      <w:r w:rsidRPr="0012337B">
        <w:rPr>
          <w:rFonts w:ascii="Times New Roman" w:hAnsi="Times New Roman" w:cs="Times New Roman"/>
          <w:sz w:val="24"/>
        </w:rPr>
        <w:t>Valdības parāda vidēja termiņa attīstības tendences</w:t>
      </w:r>
      <w:bookmarkEnd w:id="41"/>
      <w:bookmarkEnd w:id="42"/>
      <w:bookmarkEnd w:id="43"/>
    </w:p>
    <w:p w:rsidR="00341704" w:rsidRPr="00341704" w:rsidRDefault="00602382" w:rsidP="00652E0F">
      <w:pPr>
        <w:spacing w:after="0" w:line="240" w:lineRule="auto"/>
        <w:ind w:firstLine="709"/>
        <w:jc w:val="both"/>
        <w:rPr>
          <w:rFonts w:ascii="Times New Roman" w:hAnsi="Times New Roman" w:cs="Times New Roman"/>
          <w:sz w:val="24"/>
          <w:szCs w:val="24"/>
        </w:rPr>
      </w:pPr>
      <w:r w:rsidRPr="00602382">
        <w:rPr>
          <w:rFonts w:ascii="Times New Roman" w:hAnsi="Times New Roman" w:cs="Times New Roman"/>
          <w:sz w:val="24"/>
          <w:szCs w:val="24"/>
        </w:rPr>
        <w:t xml:space="preserve">Saskaņā ar operatīvo novērtējumu vispārējās valdības parāds atbilstoši </w:t>
      </w:r>
      <w:r>
        <w:rPr>
          <w:rFonts w:ascii="Times New Roman" w:hAnsi="Times New Roman" w:cs="Times New Roman"/>
          <w:sz w:val="24"/>
          <w:szCs w:val="24"/>
        </w:rPr>
        <w:t>EKS 2010</w:t>
      </w:r>
      <w:r w:rsidRPr="00602382">
        <w:rPr>
          <w:rFonts w:ascii="Times New Roman" w:hAnsi="Times New Roman" w:cs="Times New Roman"/>
          <w:sz w:val="24"/>
          <w:szCs w:val="24"/>
        </w:rPr>
        <w:t xml:space="preserve"> metodoloģijai 2018.gada beigās sasniedza 36% no </w:t>
      </w:r>
      <w:r w:rsidR="00C24C54">
        <w:rPr>
          <w:rFonts w:ascii="Times New Roman" w:hAnsi="Times New Roman" w:cs="Times New Roman"/>
          <w:sz w:val="24"/>
          <w:szCs w:val="24"/>
        </w:rPr>
        <w:t>IKP</w:t>
      </w:r>
      <w:r w:rsidRPr="00602382">
        <w:rPr>
          <w:rFonts w:ascii="Times New Roman" w:hAnsi="Times New Roman" w:cs="Times New Roman"/>
          <w:sz w:val="24"/>
          <w:szCs w:val="24"/>
        </w:rPr>
        <w:t xml:space="preserve">. Vispārējās valdības parāda līmeni galvenokārt ietekmē valsts parāds, kas 2018.gada beigās bija 10,0 </w:t>
      </w:r>
      <w:proofErr w:type="spellStart"/>
      <w:r w:rsidRPr="00602382">
        <w:rPr>
          <w:rFonts w:ascii="Times New Roman" w:hAnsi="Times New Roman" w:cs="Times New Roman"/>
          <w:sz w:val="24"/>
          <w:szCs w:val="24"/>
        </w:rPr>
        <w:t>mljrd.</w:t>
      </w:r>
      <w:r w:rsidRPr="00602382">
        <w:rPr>
          <w:rFonts w:ascii="Times New Roman" w:hAnsi="Times New Roman" w:cs="Times New Roman"/>
          <w:i/>
          <w:sz w:val="24"/>
          <w:szCs w:val="24"/>
        </w:rPr>
        <w:t>euro</w:t>
      </w:r>
      <w:proofErr w:type="spellEnd"/>
      <w:r w:rsidRPr="00602382">
        <w:rPr>
          <w:rFonts w:ascii="Times New Roman" w:hAnsi="Times New Roman" w:cs="Times New Roman"/>
          <w:sz w:val="16"/>
          <w:szCs w:val="16"/>
        </w:rPr>
        <w:footnoteReference w:id="24"/>
      </w:r>
      <w:r w:rsidR="00341704" w:rsidRPr="00602382">
        <w:rPr>
          <w:rFonts w:ascii="Times New Roman" w:hAnsi="Times New Roman" w:cs="Times New Roman"/>
          <w:sz w:val="16"/>
          <w:szCs w:val="16"/>
        </w:rPr>
        <w:t>,</w:t>
      </w:r>
      <w:r w:rsidR="00341704" w:rsidRPr="00341704">
        <w:rPr>
          <w:rFonts w:ascii="Times New Roman" w:hAnsi="Times New Roman" w:cs="Times New Roman"/>
          <w:sz w:val="24"/>
          <w:szCs w:val="24"/>
        </w:rPr>
        <w:t xml:space="preserve"> kopš 2017.gada beigām pieaugot par 0,5 mljrd. </w:t>
      </w:r>
      <w:proofErr w:type="spellStart"/>
      <w:r w:rsidR="00341704" w:rsidRPr="00602382">
        <w:rPr>
          <w:rFonts w:ascii="Times New Roman" w:hAnsi="Times New Roman" w:cs="Times New Roman"/>
          <w:i/>
          <w:sz w:val="24"/>
          <w:szCs w:val="24"/>
        </w:rPr>
        <w:t>euro</w:t>
      </w:r>
      <w:proofErr w:type="spellEnd"/>
      <w:r w:rsidR="00341704" w:rsidRPr="00341704">
        <w:rPr>
          <w:rFonts w:ascii="Times New Roman" w:hAnsi="Times New Roman" w:cs="Times New Roman"/>
          <w:sz w:val="24"/>
          <w:szCs w:val="24"/>
        </w:rPr>
        <w:t xml:space="preserve">. 2018.gadā veikta 2008.gadā emitēto eiroobligāciju atmaksa 400 milj. </w:t>
      </w:r>
      <w:proofErr w:type="spellStart"/>
      <w:r w:rsidR="00341704" w:rsidRPr="00341704">
        <w:rPr>
          <w:rFonts w:ascii="Times New Roman" w:hAnsi="Times New Roman" w:cs="Times New Roman"/>
          <w:i/>
          <w:sz w:val="24"/>
          <w:szCs w:val="24"/>
        </w:rPr>
        <w:t>euro</w:t>
      </w:r>
      <w:proofErr w:type="spellEnd"/>
      <w:r w:rsidR="00341704" w:rsidRPr="00341704">
        <w:rPr>
          <w:rFonts w:ascii="Times New Roman" w:hAnsi="Times New Roman" w:cs="Times New Roman"/>
          <w:sz w:val="24"/>
          <w:szCs w:val="24"/>
        </w:rPr>
        <w:t xml:space="preserve"> apmērā un iekšējā aizņēmuma obligāciju dzēšana 220,9 milj. </w:t>
      </w:r>
      <w:proofErr w:type="spellStart"/>
      <w:r w:rsidR="00341704" w:rsidRPr="00341704">
        <w:rPr>
          <w:rFonts w:ascii="Times New Roman" w:hAnsi="Times New Roman" w:cs="Times New Roman"/>
          <w:i/>
          <w:sz w:val="24"/>
          <w:szCs w:val="24"/>
        </w:rPr>
        <w:t>euro</w:t>
      </w:r>
      <w:proofErr w:type="spellEnd"/>
      <w:r w:rsidR="00341704" w:rsidRPr="00341704">
        <w:rPr>
          <w:rFonts w:ascii="Times New Roman" w:hAnsi="Times New Roman" w:cs="Times New Roman"/>
          <w:sz w:val="24"/>
          <w:szCs w:val="24"/>
        </w:rPr>
        <w:t xml:space="preserve"> apmērā, izmantojot 2017.gadā starptautiskajos finanšu tirgos emitēto eiroobligāciju resursus. 2018.gadā tika veiktas eiroobligāciju emisijas par kopējo summu 1,0 mljrd. </w:t>
      </w:r>
      <w:proofErr w:type="spellStart"/>
      <w:r w:rsidR="00341704" w:rsidRPr="00341704">
        <w:rPr>
          <w:rFonts w:ascii="Times New Roman" w:hAnsi="Times New Roman" w:cs="Times New Roman"/>
          <w:i/>
          <w:sz w:val="24"/>
          <w:szCs w:val="24"/>
        </w:rPr>
        <w:t>euro</w:t>
      </w:r>
      <w:proofErr w:type="spellEnd"/>
      <w:r w:rsidR="00341704" w:rsidRPr="00341704">
        <w:rPr>
          <w:rFonts w:ascii="Times New Roman" w:hAnsi="Times New Roman" w:cs="Times New Roman"/>
          <w:sz w:val="24"/>
          <w:szCs w:val="24"/>
        </w:rPr>
        <w:t xml:space="preserve">, nodrošinot resursus gan kārtējā, gan nākamā gada finansēšanas vajadzībām, t.sk. 2019.gada pirmajā pusē plānotajai valsts parāda atmaksai (iekšējā aizņēmuma obligāciju dzēšanai februārī 229,8 milj. </w:t>
      </w:r>
      <w:proofErr w:type="spellStart"/>
      <w:r w:rsidR="00341704" w:rsidRPr="00341704">
        <w:rPr>
          <w:rFonts w:ascii="Times New Roman" w:hAnsi="Times New Roman" w:cs="Times New Roman"/>
          <w:i/>
          <w:sz w:val="24"/>
          <w:szCs w:val="24"/>
        </w:rPr>
        <w:t>euro</w:t>
      </w:r>
      <w:proofErr w:type="spellEnd"/>
      <w:r w:rsidR="00341704" w:rsidRPr="00341704">
        <w:rPr>
          <w:rFonts w:ascii="Times New Roman" w:hAnsi="Times New Roman" w:cs="Times New Roman"/>
          <w:sz w:val="24"/>
          <w:szCs w:val="24"/>
        </w:rPr>
        <w:t xml:space="preserve"> apmērā un EK aizdevuma atmaksai aprīlī 500 milj. </w:t>
      </w:r>
      <w:proofErr w:type="spellStart"/>
      <w:r w:rsidR="00341704" w:rsidRPr="00341704">
        <w:rPr>
          <w:rFonts w:ascii="Times New Roman" w:hAnsi="Times New Roman" w:cs="Times New Roman"/>
          <w:i/>
          <w:sz w:val="24"/>
          <w:szCs w:val="24"/>
        </w:rPr>
        <w:t>euro</w:t>
      </w:r>
      <w:proofErr w:type="spellEnd"/>
      <w:r w:rsidR="00341704" w:rsidRPr="00341704">
        <w:rPr>
          <w:rFonts w:ascii="Times New Roman" w:hAnsi="Times New Roman" w:cs="Times New Roman"/>
          <w:sz w:val="24"/>
          <w:szCs w:val="24"/>
        </w:rPr>
        <w:t xml:space="preserve"> apmērā).</w:t>
      </w:r>
    </w:p>
    <w:p w:rsidR="00341704" w:rsidRPr="00341704" w:rsidRDefault="00341704" w:rsidP="00652E0F">
      <w:pPr>
        <w:spacing w:after="0" w:line="240" w:lineRule="auto"/>
        <w:ind w:firstLine="709"/>
        <w:jc w:val="both"/>
        <w:rPr>
          <w:rFonts w:ascii="Times New Roman" w:hAnsi="Times New Roman" w:cs="Times New Roman"/>
          <w:sz w:val="24"/>
          <w:szCs w:val="24"/>
        </w:rPr>
      </w:pPr>
      <w:r w:rsidRPr="00341704">
        <w:rPr>
          <w:rFonts w:ascii="Times New Roman" w:hAnsi="Times New Roman" w:cs="Times New Roman"/>
          <w:sz w:val="24"/>
          <w:szCs w:val="24"/>
        </w:rPr>
        <w:t>Valsts parāda vadības pamatprincipus un uzdevumus vidējam termiņam nosaka Valsts parāda un naudas līdzekļu vadības stratēģija, kuru apstiprina finanšu ministrs. Saskaņā ar Valsts parāda un naudas līdzekļu vadības stratēģiju valsts parāda un naudas līdzekļu vadības mērķis ir savlaicīgi nodrošināt finanšu resursu pieejamību finansēšanas nepieciešamības segšanai ar zemām valsts parāda apkalpošanas izmaksām, ierobežojot finanšu riskus un vienlaikus sekmējot iekšējā finanšu tirgus attīstību. Valsts parāda un budžeta saistību izpildē tiek izmantota stratēģiska pieeja valsts aizņemšanās un parāda vadības procesa nodrošināšanā, saglabājot pēc iespējas lielāku elastību finanšu tirgos veicamo aizņēmumu nosacījumu (aizņemšanās laiks, valūta, apjoms, termiņš) izvēlē. Tas ļauj ierobežot finanšu riskus vidējā termiņā, kā arī nodrošināt kopējās finansēšanas nepieciešamības segšanai nepieciešamos resursus ar pēc iespējas labvēlīgākiem un izdevīgākiem nosacījumiem.</w:t>
      </w:r>
    </w:p>
    <w:p w:rsidR="00341704" w:rsidRPr="00341704" w:rsidRDefault="00341704" w:rsidP="00652E0F">
      <w:pPr>
        <w:spacing w:after="0" w:line="240" w:lineRule="auto"/>
        <w:ind w:firstLine="709"/>
        <w:jc w:val="both"/>
        <w:rPr>
          <w:rFonts w:ascii="Times New Roman" w:hAnsi="Times New Roman" w:cs="Times New Roman"/>
          <w:sz w:val="24"/>
          <w:szCs w:val="24"/>
        </w:rPr>
      </w:pPr>
      <w:r w:rsidRPr="00341704">
        <w:rPr>
          <w:rFonts w:ascii="Times New Roman" w:hAnsi="Times New Roman" w:cs="Times New Roman"/>
          <w:sz w:val="24"/>
          <w:szCs w:val="24"/>
        </w:rPr>
        <w:t xml:space="preserve">Valsts kredītreitinga stabilizēšanās A reitinga grupā, investoru augstais novērtējums par paveikto Latvijas valsts ekonomikā iepriekšējos gados un pārliecība par Latvijas attīstību ilgtermiņā ļauj valstij aizņemties finanšu resursus starptautiskajos tirgos ar labvēlīgiem nosacījumiem. To apliecina arī 2018.gadā veiktie aizņēmuma darījumi starptautiskajos finanšu tirgos, maijā un septembrī emitējot eiroobligācijas par kopējo summu 1,0 mljrd.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t.sk. 10 gadu eiroobligācijas ar dzēšanas termiņu 2028.gadā 500 milj.</w:t>
      </w:r>
      <w:r w:rsidRPr="00341704">
        <w:rPr>
          <w:rFonts w:ascii="Times New Roman" w:hAnsi="Times New Roman" w:cs="Times New Roman"/>
          <w:i/>
          <w:sz w:val="24"/>
          <w:szCs w:val="24"/>
        </w:rPr>
        <w:t xml:space="preserve">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xml:space="preserve"> apmērā, fiksējot kupona likmi 1,125%, un divi papildu laidieni 30 gadu obligācijām ar dzēšanas termiņu 2047.gadā 500 milj.</w:t>
      </w:r>
      <w:r w:rsidRPr="00341704">
        <w:rPr>
          <w:rFonts w:ascii="Times New Roman" w:hAnsi="Times New Roman" w:cs="Times New Roman"/>
          <w:i/>
          <w:sz w:val="24"/>
          <w:szCs w:val="24"/>
        </w:rPr>
        <w:t xml:space="preserve">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xml:space="preserve"> apmērā un iepriekš fiksētu kupona likmi 2,250%.</w:t>
      </w:r>
    </w:p>
    <w:p w:rsidR="00341704" w:rsidRPr="00341704" w:rsidRDefault="00341704" w:rsidP="00652E0F">
      <w:pPr>
        <w:spacing w:after="0" w:line="240" w:lineRule="auto"/>
        <w:ind w:firstLine="709"/>
        <w:jc w:val="both"/>
        <w:rPr>
          <w:rFonts w:ascii="Times New Roman" w:hAnsi="Times New Roman" w:cs="Times New Roman"/>
          <w:sz w:val="24"/>
          <w:szCs w:val="24"/>
        </w:rPr>
      </w:pPr>
      <w:r w:rsidRPr="00341704">
        <w:rPr>
          <w:rFonts w:ascii="Times New Roman" w:hAnsi="Times New Roman" w:cs="Times New Roman"/>
          <w:sz w:val="24"/>
          <w:szCs w:val="24"/>
        </w:rPr>
        <w:t>Iekšējā tirgū 2018.gadā tika uzsāktas divas jaunas 5 gadu obligāciju programmas. Janvārī uzsāktā 5 gadu obligāciju programma 2018.gada beigās bija likvīdākā apgrozībā esošā valsts iekšējo vērtspapīru p</w:t>
      </w:r>
      <w:r>
        <w:rPr>
          <w:rFonts w:ascii="Times New Roman" w:hAnsi="Times New Roman" w:cs="Times New Roman"/>
          <w:sz w:val="24"/>
          <w:szCs w:val="24"/>
        </w:rPr>
        <w:t xml:space="preserve">rogramma, sasniedzot 250 milj.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xml:space="preserve">, bet novembrī uzsāktā jauna 5 gadu obligāciju programma, kas turpinās arī 2019.gadā, 2018.gada beigās sasniedza 80 milj. </w:t>
      </w:r>
      <w:proofErr w:type="spellStart"/>
      <w:r w:rsidRPr="00341704">
        <w:rPr>
          <w:rFonts w:ascii="Times New Roman" w:hAnsi="Times New Roman" w:cs="Times New Roman"/>
          <w:i/>
          <w:sz w:val="24"/>
          <w:szCs w:val="24"/>
        </w:rPr>
        <w:lastRenderedPageBreak/>
        <w:t>euro</w:t>
      </w:r>
      <w:proofErr w:type="spellEnd"/>
      <w:r w:rsidRPr="00341704">
        <w:rPr>
          <w:rFonts w:ascii="Times New Roman" w:hAnsi="Times New Roman" w:cs="Times New Roman"/>
          <w:sz w:val="24"/>
          <w:szCs w:val="24"/>
        </w:rPr>
        <w:t>. Likvīda apjoma vērtspapīru programma sekmē vērtspapīru apgrozību otrreizējā tirgū, kas, savukārt, pozitīvi ietekmē vērtspapīru izcenošanu sākotnējā tirgū. Pieprasījums pēc Latvijas valsts iekšējā aizņēmuma vērtspapīriem 2018.gadā saglabājās augsts, līdz ar to investoru konkurence visās izsolēs nodrošināja resursu piesaisti ar finansiāli izdevīgiem nosacījumiem. Vērtspapīru likmes izsolēs saglabājās tuvu vēsturiski zemākajiem līmeņiem, kas skaidrojams gan ar primāro dīleru aktīvu piedalīšanos izsolēs, gan Latvijas kredītiestāžu augsto likviditāti, kā arī Eiropas Centrālās bankas vērtspapīru uzpirkšanas programmas turpināšanu līdz 2018.gada beigām.</w:t>
      </w:r>
    </w:p>
    <w:p w:rsidR="00341704" w:rsidRDefault="00341704" w:rsidP="00652E0F">
      <w:pPr>
        <w:spacing w:after="0" w:line="240" w:lineRule="auto"/>
        <w:ind w:firstLine="709"/>
        <w:jc w:val="both"/>
        <w:rPr>
          <w:rFonts w:ascii="Times New Roman" w:hAnsi="Times New Roman" w:cs="Times New Roman"/>
          <w:sz w:val="24"/>
          <w:szCs w:val="24"/>
        </w:rPr>
      </w:pPr>
      <w:r w:rsidRPr="00341704">
        <w:rPr>
          <w:rFonts w:ascii="Times New Roman" w:hAnsi="Times New Roman" w:cs="Times New Roman"/>
          <w:sz w:val="24"/>
          <w:szCs w:val="24"/>
        </w:rPr>
        <w:t>Ņemot vērā līdz 2019.gada 31.martam uzņemtās valsts parāda saistības, saskaņā ar valsts parāda atmaksas grafiku, 2019.gada aprīlī – 2022.gada decembrī pārfinansējamo valsts parāda saistību apjoms ir 3,8 mljrd.</w:t>
      </w:r>
      <w:r w:rsidRPr="00341704">
        <w:rPr>
          <w:rFonts w:ascii="Times New Roman" w:hAnsi="Times New Roman" w:cs="Times New Roman"/>
          <w:i/>
          <w:sz w:val="24"/>
          <w:szCs w:val="24"/>
        </w:rPr>
        <w:t xml:space="preserve">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xml:space="preserve"> (</w:t>
      </w:r>
      <w:r w:rsidRPr="005379D9">
        <w:rPr>
          <w:rFonts w:ascii="Times New Roman" w:hAnsi="Times New Roman" w:cs="Times New Roman"/>
          <w:sz w:val="24"/>
          <w:szCs w:val="24"/>
        </w:rPr>
        <w:t>sk</w:t>
      </w:r>
      <w:r w:rsidR="00E43828">
        <w:rPr>
          <w:rFonts w:ascii="Times New Roman" w:hAnsi="Times New Roman" w:cs="Times New Roman"/>
          <w:sz w:val="24"/>
          <w:szCs w:val="24"/>
        </w:rPr>
        <w:t>at</w:t>
      </w:r>
      <w:r w:rsidRPr="005379D9">
        <w:rPr>
          <w:rFonts w:ascii="Times New Roman" w:hAnsi="Times New Roman" w:cs="Times New Roman"/>
          <w:sz w:val="24"/>
          <w:szCs w:val="24"/>
        </w:rPr>
        <w:t xml:space="preserve">. </w:t>
      </w:r>
      <w:r w:rsidR="005379D9" w:rsidRPr="005379D9">
        <w:rPr>
          <w:rFonts w:ascii="Times New Roman" w:hAnsi="Times New Roman" w:cs="Times New Roman"/>
          <w:sz w:val="24"/>
          <w:szCs w:val="24"/>
        </w:rPr>
        <w:t>3.5</w:t>
      </w:r>
      <w:r w:rsidRPr="005379D9">
        <w:rPr>
          <w:rFonts w:ascii="Times New Roman" w:hAnsi="Times New Roman" w:cs="Times New Roman"/>
          <w:sz w:val="24"/>
          <w:szCs w:val="24"/>
        </w:rPr>
        <w:t>.attēlu</w:t>
      </w:r>
      <w:r w:rsidRPr="00341704">
        <w:rPr>
          <w:rFonts w:ascii="Times New Roman" w:hAnsi="Times New Roman" w:cs="Times New Roman"/>
          <w:sz w:val="24"/>
          <w:szCs w:val="24"/>
        </w:rPr>
        <w:t xml:space="preserve">). Ievērojamu daļu no pārfinansējamā parāda apjoma veido starptautiskajos finanšu tirgos emitētās eiroobligācijas, kā arī starptautiskā aizņēmuma programmas ietvaros saņemtais finansējums no Pasaules Bankas un EK, kura atmaksai resursi jau ir nodrošināti. </w:t>
      </w:r>
    </w:p>
    <w:p w:rsidR="00512D77" w:rsidRPr="00341704" w:rsidRDefault="00512D77" w:rsidP="00652E0F">
      <w:pPr>
        <w:spacing w:after="0" w:line="240" w:lineRule="auto"/>
        <w:ind w:firstLine="709"/>
        <w:jc w:val="both"/>
        <w:rPr>
          <w:rFonts w:ascii="Times New Roman" w:hAnsi="Times New Roman" w:cs="Times New Roman"/>
          <w:sz w:val="24"/>
          <w:szCs w:val="24"/>
        </w:rPr>
      </w:pPr>
    </w:p>
    <w:p w:rsidR="00341704" w:rsidRPr="00341704" w:rsidRDefault="00341704" w:rsidP="00341704">
      <w:pPr>
        <w:spacing w:after="0"/>
        <w:jc w:val="both"/>
        <w:rPr>
          <w:rFonts w:ascii="Times New Roman" w:hAnsi="Times New Roman" w:cs="Times New Roman"/>
          <w:sz w:val="24"/>
          <w:szCs w:val="24"/>
        </w:rPr>
      </w:pPr>
      <w:r>
        <w:rPr>
          <w:b/>
          <w:noProof/>
          <w:sz w:val="26"/>
          <w:szCs w:val="26"/>
          <w:lang w:eastAsia="lv-LV"/>
        </w:rPr>
        <w:drawing>
          <wp:inline distT="0" distB="0" distL="0" distR="0" wp14:anchorId="7CE669C8" wp14:editId="75A17B87">
            <wp:extent cx="5760085" cy="17902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1790288"/>
                    </a:xfrm>
                    <a:prstGeom prst="rect">
                      <a:avLst/>
                    </a:prstGeom>
                    <a:noFill/>
                  </pic:spPr>
                </pic:pic>
              </a:graphicData>
            </a:graphic>
          </wp:inline>
        </w:drawing>
      </w:r>
    </w:p>
    <w:p w:rsidR="00341704" w:rsidRPr="005379D9" w:rsidRDefault="005379D9" w:rsidP="005379D9">
      <w:pPr>
        <w:spacing w:after="0"/>
        <w:jc w:val="center"/>
        <w:rPr>
          <w:rFonts w:ascii="Times New Roman" w:hAnsi="Times New Roman" w:cs="Times New Roman"/>
          <w:b/>
          <w:sz w:val="24"/>
          <w:szCs w:val="24"/>
        </w:rPr>
      </w:pPr>
      <w:r w:rsidRPr="005379D9">
        <w:rPr>
          <w:rFonts w:ascii="Times New Roman" w:hAnsi="Times New Roman" w:cs="Times New Roman"/>
          <w:b/>
          <w:sz w:val="24"/>
          <w:szCs w:val="24"/>
        </w:rPr>
        <w:t>3.5</w:t>
      </w:r>
      <w:r w:rsidR="00341704" w:rsidRPr="005379D9">
        <w:rPr>
          <w:rFonts w:ascii="Times New Roman" w:hAnsi="Times New Roman" w:cs="Times New Roman"/>
          <w:b/>
          <w:sz w:val="24"/>
          <w:szCs w:val="24"/>
        </w:rPr>
        <w:t>.attēls. Centrālās valdības aizņēmumu atmaksas grafiks</w:t>
      </w:r>
    </w:p>
    <w:p w:rsidR="00341704" w:rsidRPr="005379D9" w:rsidRDefault="00341704" w:rsidP="005379D9">
      <w:pPr>
        <w:spacing w:after="0"/>
        <w:jc w:val="center"/>
        <w:rPr>
          <w:rFonts w:ascii="Times New Roman" w:hAnsi="Times New Roman" w:cs="Times New Roman"/>
          <w:sz w:val="24"/>
          <w:szCs w:val="24"/>
        </w:rPr>
      </w:pPr>
      <w:r w:rsidRPr="005379D9">
        <w:rPr>
          <w:rFonts w:ascii="Times New Roman" w:hAnsi="Times New Roman" w:cs="Times New Roman"/>
          <w:sz w:val="24"/>
          <w:szCs w:val="24"/>
        </w:rPr>
        <w:t>(līdz 2019.gada 31.martam uzņemtās saistības, nominālvērtībā)</w:t>
      </w:r>
    </w:p>
    <w:p w:rsidR="005379D9" w:rsidRPr="005379D9" w:rsidRDefault="005379D9" w:rsidP="005379D9">
      <w:pPr>
        <w:spacing w:after="0"/>
        <w:jc w:val="center"/>
        <w:rPr>
          <w:rFonts w:ascii="Times New Roman" w:hAnsi="Times New Roman" w:cs="Times New Roman"/>
          <w:sz w:val="24"/>
          <w:szCs w:val="24"/>
        </w:rPr>
      </w:pPr>
    </w:p>
    <w:p w:rsidR="00341704" w:rsidRPr="00341704" w:rsidRDefault="00341704" w:rsidP="00341704">
      <w:pPr>
        <w:spacing w:after="0"/>
        <w:jc w:val="both"/>
        <w:rPr>
          <w:rFonts w:ascii="Times New Roman" w:hAnsi="Times New Roman" w:cs="Times New Roman"/>
          <w:sz w:val="20"/>
          <w:szCs w:val="20"/>
        </w:rPr>
      </w:pPr>
      <w:r w:rsidRPr="005379D9">
        <w:rPr>
          <w:rFonts w:ascii="Times New Roman" w:hAnsi="Times New Roman" w:cs="Times New Roman"/>
          <w:sz w:val="20"/>
          <w:szCs w:val="20"/>
        </w:rPr>
        <w:t>* nav iekļauti sektori S130130, S130140, S130330, S130340, kā arī pieprasījuma un īstermiņa noguldījumi; aprēķinos izmantoti ECB 29.03.2019. noteiktie valūtu kursi</w:t>
      </w:r>
    </w:p>
    <w:p w:rsidR="00341704" w:rsidRPr="00341704" w:rsidRDefault="00341704" w:rsidP="00341704">
      <w:pPr>
        <w:spacing w:after="0"/>
        <w:jc w:val="both"/>
        <w:rPr>
          <w:rFonts w:ascii="Times New Roman" w:hAnsi="Times New Roman" w:cs="Times New Roman"/>
          <w:sz w:val="24"/>
          <w:szCs w:val="24"/>
        </w:rPr>
      </w:pPr>
    </w:p>
    <w:p w:rsidR="00341704" w:rsidRPr="00341704" w:rsidRDefault="00341704" w:rsidP="005379D9">
      <w:pPr>
        <w:spacing w:after="0" w:line="240" w:lineRule="auto"/>
        <w:ind w:firstLine="720"/>
        <w:jc w:val="both"/>
        <w:rPr>
          <w:rFonts w:ascii="Times New Roman" w:hAnsi="Times New Roman" w:cs="Times New Roman"/>
          <w:sz w:val="24"/>
          <w:szCs w:val="24"/>
        </w:rPr>
      </w:pPr>
      <w:r w:rsidRPr="00341704">
        <w:rPr>
          <w:rFonts w:ascii="Times New Roman" w:hAnsi="Times New Roman" w:cs="Times New Roman"/>
          <w:sz w:val="24"/>
          <w:szCs w:val="24"/>
        </w:rPr>
        <w:t xml:space="preserve">Kopējās finansēšanas nepieciešamības segšanai 2019. – 2021.gadā plānots veikt savlaicīgu aizņemšanos finanšu tirgos, lai, nodrošinot valsts parāda pārfinansēšanas riska vadību atbilstoši Valsts parāda un naudas līdzekļu vadības stratēģijai, pārfinansētu uzņemtās valsts parāda saistības ar aizņēmumu likmju un termiņu ziņā labvēlīgiem nosacījumiem. Investoru uzticība Latvijas valsts kredītspējai un stabils investīciju kategorijas valsts kredītreitings nodrošina stabilu pamatu uzņemto parāda saistību sekmīgai pārfinansēšanai turpmākajos gados. </w:t>
      </w:r>
    </w:p>
    <w:p w:rsidR="00341704" w:rsidRPr="00341704" w:rsidRDefault="00341704" w:rsidP="005379D9">
      <w:pPr>
        <w:spacing w:after="0" w:line="240" w:lineRule="auto"/>
        <w:ind w:firstLine="720"/>
        <w:jc w:val="both"/>
        <w:rPr>
          <w:rFonts w:ascii="Times New Roman" w:hAnsi="Times New Roman" w:cs="Times New Roman"/>
          <w:sz w:val="24"/>
          <w:szCs w:val="24"/>
        </w:rPr>
      </w:pPr>
      <w:r w:rsidRPr="00341704">
        <w:rPr>
          <w:rFonts w:ascii="Times New Roman" w:hAnsi="Times New Roman" w:cs="Times New Roman"/>
          <w:sz w:val="24"/>
          <w:szCs w:val="24"/>
        </w:rPr>
        <w:t>Ņemot vērā stratēģisku pieeju aizņemšanās pasākumu organizēšanā, lai nodrošinātu valsts parāda pārfinansēšanas riska novēršanu un valsts parāda vadības izdevumu optimizēšanu vidējā termiņā un ilgtermiņā, tuvākajos gados ārējā aizņēmuma instrumenti joprojām veidos būtiskāko daļu no kopējā piesaistāmā finanšu resursu apjoma. V</w:t>
      </w:r>
      <w:r w:rsidR="00457767">
        <w:rPr>
          <w:rFonts w:ascii="Times New Roman" w:hAnsi="Times New Roman" w:cs="Times New Roman"/>
          <w:sz w:val="24"/>
          <w:szCs w:val="24"/>
        </w:rPr>
        <w:t>K</w:t>
      </w:r>
      <w:r w:rsidRPr="00341704">
        <w:rPr>
          <w:rFonts w:ascii="Times New Roman" w:hAnsi="Times New Roman" w:cs="Times New Roman"/>
          <w:sz w:val="24"/>
          <w:szCs w:val="24"/>
        </w:rPr>
        <w:t xml:space="preserve">, 2019.gada februārī emitējot jaunas 30 gadu obligācijas 700 milj.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xml:space="preserve"> apmērā ar fiksētu kupona (procentu) likmi 1,875%, labvēlīgā finanšu tirgus situācijā ar izdevīgiem nosacījumiem ir piesaistījusi lielāko daļu no 2019.gada plānotā aizņemšanās apjoma starptautiskajos finanšu tirgos, nodrošinot resursus gan kārtējā gada finansēšanas vajadzībām, gan 2020.gada janvārī plānotajai ASV dolāros </w:t>
      </w:r>
      <w:proofErr w:type="spellStart"/>
      <w:r w:rsidRPr="00341704">
        <w:rPr>
          <w:rFonts w:ascii="Times New Roman" w:hAnsi="Times New Roman" w:cs="Times New Roman"/>
          <w:sz w:val="24"/>
          <w:szCs w:val="24"/>
        </w:rPr>
        <w:t>denominētu</w:t>
      </w:r>
      <w:proofErr w:type="spellEnd"/>
      <w:r w:rsidRPr="00341704">
        <w:rPr>
          <w:rFonts w:ascii="Times New Roman" w:hAnsi="Times New Roman" w:cs="Times New Roman"/>
          <w:sz w:val="24"/>
          <w:szCs w:val="24"/>
        </w:rPr>
        <w:t xml:space="preserve"> eiroobligāciju dzēšanai 533,5 milj. </w:t>
      </w:r>
      <w:proofErr w:type="spellStart"/>
      <w:r w:rsidRPr="00341704">
        <w:rPr>
          <w:rFonts w:ascii="Times New Roman" w:hAnsi="Times New Roman" w:cs="Times New Roman"/>
          <w:i/>
          <w:sz w:val="24"/>
          <w:szCs w:val="24"/>
        </w:rPr>
        <w:t>euro</w:t>
      </w:r>
      <w:proofErr w:type="spellEnd"/>
      <w:r w:rsidRPr="00341704">
        <w:rPr>
          <w:rFonts w:ascii="Times New Roman" w:hAnsi="Times New Roman" w:cs="Times New Roman"/>
          <w:sz w:val="24"/>
          <w:szCs w:val="24"/>
        </w:rPr>
        <w:t xml:space="preserve"> ekvivalentā. Aizņēmumus starptautiskajos tirgos arī turpmāk plānots balstīt uz publiskiem darījumiem globālajos finanšu tirgos, veicot vidēja termiņa un ilgtermiņa etalona eiroobligāciju emisijas galvenokārt Eiropas finanšu tirgū, </w:t>
      </w:r>
      <w:r w:rsidRPr="00341704">
        <w:rPr>
          <w:rFonts w:ascii="Times New Roman" w:hAnsi="Times New Roman" w:cs="Times New Roman"/>
          <w:sz w:val="24"/>
          <w:szCs w:val="24"/>
        </w:rPr>
        <w:lastRenderedPageBreak/>
        <w:t>kā arī vēršoties pie citu reģionu investoriem. Iekšējā finanšu tirgū arī turpmāk plānots uzturēt pieprasījumam atbilstošu vērtspapīru piedāvājumu primāro dīleru sistēmas ietvaros, sekmējot valsts vērtspapīru tirgus aktivitāti un likviditāti.</w:t>
      </w:r>
    </w:p>
    <w:p w:rsidR="00341704" w:rsidRDefault="00341704" w:rsidP="005379D9">
      <w:pPr>
        <w:spacing w:after="0" w:line="240" w:lineRule="auto"/>
        <w:ind w:firstLine="720"/>
        <w:jc w:val="both"/>
        <w:rPr>
          <w:rFonts w:ascii="Times New Roman" w:hAnsi="Times New Roman" w:cs="Times New Roman"/>
          <w:sz w:val="24"/>
          <w:szCs w:val="24"/>
        </w:rPr>
      </w:pPr>
      <w:r w:rsidRPr="00341704">
        <w:rPr>
          <w:rFonts w:ascii="Times New Roman" w:hAnsi="Times New Roman" w:cs="Times New Roman"/>
          <w:sz w:val="24"/>
          <w:szCs w:val="24"/>
        </w:rPr>
        <w:t xml:space="preserve">2018.gadā ir iezīmējusies vispārējās valdības parāda samazināšanās tendence, ko sekmēja gan </w:t>
      </w:r>
      <w:r w:rsidR="00A4120C" w:rsidRPr="003C7327">
        <w:rPr>
          <w:rFonts w:ascii="Times New Roman" w:hAnsi="Times New Roman" w:cs="Times New Roman"/>
          <w:color w:val="000000"/>
          <w:sz w:val="24"/>
          <w:szCs w:val="24"/>
          <w:lang w:eastAsia="lv-LV"/>
        </w:rPr>
        <w:t>IKP</w:t>
      </w:r>
      <w:r w:rsidR="00A4120C" w:rsidRPr="00341704">
        <w:rPr>
          <w:rFonts w:ascii="Times New Roman" w:hAnsi="Times New Roman" w:cs="Times New Roman"/>
          <w:sz w:val="24"/>
          <w:szCs w:val="24"/>
        </w:rPr>
        <w:t xml:space="preserve"> </w:t>
      </w:r>
      <w:r w:rsidRPr="00341704">
        <w:rPr>
          <w:rFonts w:ascii="Times New Roman" w:hAnsi="Times New Roman" w:cs="Times New Roman"/>
          <w:sz w:val="24"/>
          <w:szCs w:val="24"/>
        </w:rPr>
        <w:t>izaugsme, gan valsts parāda tendences, gan pie vispārējās valdības pieklasificēto uzņēmumu parādsaistību samazinājums. Turpinot ilgtspējīgas fiskālās politikas īstenošanu, vidējā termiņā prognozējama vispārējās valdības parāda līmeņa stabilizēšanās un turpmākā samazināšanās attiecībā pret IKP, pārliecinoši ievērojot Fiskālās disciplīnas likumā noteikto parāda nosacījumu (</w:t>
      </w:r>
      <w:r w:rsidRPr="005379D9">
        <w:rPr>
          <w:rFonts w:ascii="Times New Roman" w:hAnsi="Times New Roman" w:cs="Times New Roman"/>
          <w:sz w:val="24"/>
          <w:szCs w:val="24"/>
        </w:rPr>
        <w:t>sk</w:t>
      </w:r>
      <w:r w:rsidR="00E43828">
        <w:rPr>
          <w:rFonts w:ascii="Times New Roman" w:hAnsi="Times New Roman" w:cs="Times New Roman"/>
          <w:sz w:val="24"/>
          <w:szCs w:val="24"/>
        </w:rPr>
        <w:t>at</w:t>
      </w:r>
      <w:r w:rsidRPr="005379D9">
        <w:rPr>
          <w:rFonts w:ascii="Times New Roman" w:hAnsi="Times New Roman" w:cs="Times New Roman"/>
          <w:sz w:val="24"/>
          <w:szCs w:val="24"/>
        </w:rPr>
        <w:t xml:space="preserve">. </w:t>
      </w:r>
      <w:r w:rsidR="005379D9" w:rsidRPr="005379D9">
        <w:rPr>
          <w:rFonts w:ascii="Times New Roman" w:hAnsi="Times New Roman" w:cs="Times New Roman"/>
          <w:sz w:val="24"/>
          <w:szCs w:val="24"/>
        </w:rPr>
        <w:t>3.6</w:t>
      </w:r>
      <w:r w:rsidRPr="005379D9">
        <w:rPr>
          <w:rFonts w:ascii="Times New Roman" w:hAnsi="Times New Roman" w:cs="Times New Roman"/>
          <w:sz w:val="24"/>
          <w:szCs w:val="24"/>
        </w:rPr>
        <w:t>.attēlu</w:t>
      </w:r>
      <w:r w:rsidRPr="00341704">
        <w:rPr>
          <w:rFonts w:ascii="Times New Roman" w:hAnsi="Times New Roman" w:cs="Times New Roman"/>
          <w:sz w:val="24"/>
          <w:szCs w:val="24"/>
        </w:rPr>
        <w:t>).</w:t>
      </w:r>
    </w:p>
    <w:p w:rsidR="005379D9" w:rsidRPr="00341704" w:rsidRDefault="005379D9" w:rsidP="005379D9">
      <w:pPr>
        <w:spacing w:after="0" w:line="240" w:lineRule="auto"/>
        <w:ind w:firstLine="720"/>
        <w:jc w:val="both"/>
        <w:rPr>
          <w:rFonts w:ascii="Times New Roman" w:hAnsi="Times New Roman" w:cs="Times New Roman"/>
          <w:sz w:val="24"/>
          <w:szCs w:val="24"/>
        </w:rPr>
      </w:pPr>
    </w:p>
    <w:p w:rsidR="00341704" w:rsidRPr="00341704" w:rsidRDefault="00341704" w:rsidP="00341704">
      <w:pPr>
        <w:jc w:val="center"/>
        <w:rPr>
          <w:rFonts w:ascii="Times New Roman" w:hAnsi="Times New Roman" w:cs="Times New Roman"/>
          <w:sz w:val="24"/>
          <w:szCs w:val="24"/>
        </w:rPr>
      </w:pPr>
      <w:r w:rsidRPr="00906D6B">
        <w:rPr>
          <w:rFonts w:ascii="Times New Roman" w:hAnsi="Times New Roman" w:cs="Times New Roman"/>
          <w:b/>
          <w:bCs/>
          <w:noProof/>
          <w:sz w:val="24"/>
          <w:szCs w:val="24"/>
          <w:lang w:eastAsia="lv-LV"/>
        </w:rPr>
        <w:drawing>
          <wp:inline distT="0" distB="0" distL="0" distR="0" wp14:anchorId="19E18616" wp14:editId="7BE1B029">
            <wp:extent cx="4849978" cy="289855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6018" cy="2908143"/>
                    </a:xfrm>
                    <a:prstGeom prst="rect">
                      <a:avLst/>
                    </a:prstGeom>
                    <a:noFill/>
                  </pic:spPr>
                </pic:pic>
              </a:graphicData>
            </a:graphic>
          </wp:inline>
        </w:drawing>
      </w:r>
    </w:p>
    <w:p w:rsidR="00341704" w:rsidRPr="00341704" w:rsidRDefault="005379D9" w:rsidP="005379D9">
      <w:pPr>
        <w:spacing w:after="0"/>
        <w:jc w:val="center"/>
        <w:rPr>
          <w:rFonts w:ascii="Times New Roman" w:hAnsi="Times New Roman" w:cs="Times New Roman"/>
          <w:b/>
          <w:sz w:val="24"/>
          <w:szCs w:val="24"/>
        </w:rPr>
      </w:pPr>
      <w:r>
        <w:rPr>
          <w:rFonts w:ascii="Times New Roman" w:hAnsi="Times New Roman" w:cs="Times New Roman"/>
          <w:b/>
          <w:sz w:val="24"/>
          <w:szCs w:val="24"/>
        </w:rPr>
        <w:t>3.6</w:t>
      </w:r>
      <w:r w:rsidR="00341704" w:rsidRPr="00341704">
        <w:rPr>
          <w:rFonts w:ascii="Times New Roman" w:hAnsi="Times New Roman" w:cs="Times New Roman"/>
          <w:b/>
          <w:sz w:val="24"/>
          <w:szCs w:val="24"/>
        </w:rPr>
        <w:t>.attēls. Vispārējās valdības parāda attīstības tendences (% no IKP)</w:t>
      </w:r>
    </w:p>
    <w:p w:rsidR="009D2D01" w:rsidRPr="00782778" w:rsidRDefault="00341704" w:rsidP="005379D9">
      <w:pPr>
        <w:spacing w:after="0"/>
        <w:jc w:val="center"/>
        <w:rPr>
          <w:rFonts w:ascii="Times New Roman" w:eastAsiaTheme="majorEastAsia" w:hAnsi="Times New Roman" w:cs="Times New Roman"/>
          <w:b/>
          <w:bCs/>
          <w:smallCaps/>
          <w:color w:val="000000" w:themeColor="text1"/>
          <w:sz w:val="32"/>
          <w:szCs w:val="36"/>
          <w:highlight w:val="yellow"/>
        </w:rPr>
      </w:pPr>
      <w:r w:rsidRPr="00341704">
        <w:rPr>
          <w:rFonts w:ascii="Times New Roman" w:hAnsi="Times New Roman" w:cs="Times New Roman"/>
          <w:sz w:val="24"/>
          <w:szCs w:val="24"/>
        </w:rPr>
        <w:t>p -prognoze</w:t>
      </w:r>
      <w:r w:rsidR="009D2D01" w:rsidRPr="00782778">
        <w:rPr>
          <w:rFonts w:ascii="Times New Roman" w:hAnsi="Times New Roman" w:cs="Times New Roman"/>
          <w:sz w:val="32"/>
          <w:highlight w:val="yellow"/>
        </w:rPr>
        <w:br w:type="page"/>
      </w:r>
    </w:p>
    <w:p w:rsidR="005536A9" w:rsidRPr="00691C52" w:rsidRDefault="005536A9" w:rsidP="00906D6B">
      <w:pPr>
        <w:pStyle w:val="Heading1"/>
        <w:numPr>
          <w:ilvl w:val="0"/>
          <w:numId w:val="34"/>
        </w:numPr>
        <w:ind w:left="284" w:hanging="283"/>
        <w:jc w:val="center"/>
        <w:rPr>
          <w:rFonts w:ascii="Times New Roman" w:hAnsi="Times New Roman" w:cs="Times New Roman"/>
          <w:sz w:val="32"/>
        </w:rPr>
      </w:pPr>
      <w:bookmarkStart w:id="44" w:name="_Toc510790666"/>
      <w:bookmarkStart w:id="45" w:name="_Toc5627373"/>
      <w:bookmarkStart w:id="46" w:name="_Toc5798628"/>
      <w:r w:rsidRPr="00691C52">
        <w:rPr>
          <w:rFonts w:ascii="Times New Roman" w:hAnsi="Times New Roman" w:cs="Times New Roman"/>
          <w:sz w:val="32"/>
        </w:rPr>
        <w:lastRenderedPageBreak/>
        <w:t>Jutīguma analīze un salīdzinājums</w:t>
      </w:r>
      <w:bookmarkEnd w:id="44"/>
      <w:bookmarkEnd w:id="45"/>
      <w:bookmarkEnd w:id="46"/>
    </w:p>
    <w:p w:rsidR="00095171" w:rsidRPr="00691C52" w:rsidRDefault="00A307A3" w:rsidP="00A307A3">
      <w:pPr>
        <w:pStyle w:val="Heading2"/>
        <w:numPr>
          <w:ilvl w:val="0"/>
          <w:numId w:val="0"/>
        </w:numPr>
        <w:spacing w:after="240" w:line="240" w:lineRule="auto"/>
        <w:ind w:left="709"/>
        <w:rPr>
          <w:rFonts w:ascii="Times New Roman" w:hAnsi="Times New Roman" w:cs="Times New Roman"/>
          <w:sz w:val="24"/>
        </w:rPr>
      </w:pPr>
      <w:bookmarkStart w:id="47" w:name="_Toc510790667"/>
      <w:bookmarkStart w:id="48" w:name="_Toc5627374"/>
      <w:bookmarkStart w:id="49" w:name="_Toc5798629"/>
      <w:r>
        <w:rPr>
          <w:rFonts w:ascii="Times New Roman" w:hAnsi="Times New Roman" w:cs="Times New Roman"/>
          <w:sz w:val="24"/>
        </w:rPr>
        <w:t xml:space="preserve">4.1. </w:t>
      </w:r>
      <w:r w:rsidR="00095171" w:rsidRPr="00691C52">
        <w:rPr>
          <w:rFonts w:ascii="Times New Roman" w:hAnsi="Times New Roman" w:cs="Times New Roman"/>
          <w:sz w:val="24"/>
        </w:rPr>
        <w:t>Makroekonomiskā scenārija riski</w:t>
      </w:r>
      <w:bookmarkEnd w:id="47"/>
      <w:bookmarkEnd w:id="48"/>
      <w:bookmarkEnd w:id="49"/>
    </w:p>
    <w:p w:rsidR="00691C52" w:rsidRPr="007731F8"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7731F8">
        <w:rPr>
          <w:rFonts w:ascii="Times New Roman" w:eastAsia="Times New Roman" w:hAnsi="Times New Roman" w:cs="Times New Roman"/>
          <w:sz w:val="24"/>
          <w:szCs w:val="24"/>
          <w:lang w:eastAsia="lv-LV"/>
        </w:rPr>
        <w:t xml:space="preserve">Makroekonomiskās attīstības vidējā termiņa scenārija pamatā ir konservatīvi pieņēmumi par ekonomisko attīstību vidējā </w:t>
      </w:r>
      <w:r>
        <w:rPr>
          <w:rFonts w:ascii="Times New Roman" w:eastAsia="Times New Roman" w:hAnsi="Times New Roman" w:cs="Times New Roman"/>
          <w:sz w:val="24"/>
          <w:szCs w:val="24"/>
          <w:lang w:eastAsia="lv-LV"/>
        </w:rPr>
        <w:t>termiņā</w:t>
      </w:r>
      <w:r w:rsidRPr="007731F8">
        <w:rPr>
          <w:rFonts w:ascii="Times New Roman" w:eastAsia="Times New Roman" w:hAnsi="Times New Roman" w:cs="Times New Roman"/>
          <w:sz w:val="24"/>
          <w:szCs w:val="24"/>
          <w:lang w:eastAsia="lv-LV"/>
        </w:rPr>
        <w:t>, ņemot vērā, ka ekonomika</w:t>
      </w:r>
      <w:r>
        <w:rPr>
          <w:rFonts w:ascii="Times New Roman" w:eastAsia="Times New Roman" w:hAnsi="Times New Roman" w:cs="Times New Roman"/>
          <w:sz w:val="24"/>
          <w:szCs w:val="24"/>
          <w:lang w:eastAsia="lv-LV"/>
        </w:rPr>
        <w:t xml:space="preserve"> pašlaik ir biznesa cikla</w:t>
      </w:r>
      <w:r w:rsidRPr="007731F8">
        <w:rPr>
          <w:rFonts w:ascii="Times New Roman" w:eastAsia="Times New Roman" w:hAnsi="Times New Roman" w:cs="Times New Roman"/>
          <w:sz w:val="24"/>
          <w:szCs w:val="24"/>
          <w:lang w:eastAsia="lv-LV"/>
        </w:rPr>
        <w:t xml:space="preserve"> augstākajā punktā. Makroekonomiskās attīstības scenārija augšup un lejupvērstie riski kopumā ir sabalansēti.</w:t>
      </w:r>
    </w:p>
    <w:p w:rsidR="00691C52" w:rsidRPr="007731F8" w:rsidRDefault="009F516D"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FM</w:t>
      </w:r>
      <w:r w:rsidR="00691C52" w:rsidRPr="007731F8">
        <w:rPr>
          <w:rFonts w:ascii="Times New Roman" w:eastAsia="Times New Roman" w:hAnsi="Times New Roman" w:cs="Times New Roman"/>
          <w:sz w:val="24"/>
          <w:szCs w:val="24"/>
          <w:lang w:eastAsia="lv-LV"/>
        </w:rPr>
        <w:t>, izstrādājot savas makroekonomisko rādītāju prognozes vidējam termiņam, ir identificējusi un izvērtējusi vairāku iekšējās un ārējās vides riskus, kuriem īstenojoties, ekonomikas izaugsme Latvijā var izrādīties straujāka vai lēnāka, nekā paredzēts bāzes scenārijā. Balstoties uz zemāk apskatītajiem makroekonomiskajiem riskiem, ir izstrādāti divi alternatīvie makroekonomiskās attīstības scenāriji 2019. – 2022.gadam. Tie</w:t>
      </w:r>
      <w:r w:rsidR="00691C52">
        <w:rPr>
          <w:rFonts w:ascii="Times New Roman" w:eastAsia="Times New Roman" w:hAnsi="Times New Roman" w:cs="Times New Roman"/>
          <w:sz w:val="24"/>
          <w:szCs w:val="24"/>
          <w:lang w:eastAsia="lv-LV"/>
        </w:rPr>
        <w:t>k pieņemts, ka scenāriji</w:t>
      </w:r>
      <w:r w:rsidR="00691C52" w:rsidRPr="007731F8">
        <w:rPr>
          <w:rFonts w:ascii="Times New Roman" w:eastAsia="Times New Roman" w:hAnsi="Times New Roman" w:cs="Times New Roman"/>
          <w:sz w:val="24"/>
          <w:szCs w:val="24"/>
          <w:lang w:eastAsia="lv-LV"/>
        </w:rPr>
        <w:t xml:space="preserve"> sāk </w:t>
      </w:r>
      <w:r w:rsidR="00691C52">
        <w:rPr>
          <w:rFonts w:ascii="Times New Roman" w:eastAsia="Times New Roman" w:hAnsi="Times New Roman" w:cs="Times New Roman"/>
          <w:sz w:val="24"/>
          <w:szCs w:val="24"/>
          <w:lang w:eastAsia="lv-LV"/>
        </w:rPr>
        <w:t>īstenoties 2019.gada otrajā pusgadā, jo 2019.</w:t>
      </w:r>
      <w:r w:rsidR="00691C52" w:rsidRPr="007731F8">
        <w:rPr>
          <w:rFonts w:ascii="Times New Roman" w:eastAsia="Times New Roman" w:hAnsi="Times New Roman" w:cs="Times New Roman"/>
          <w:sz w:val="24"/>
          <w:szCs w:val="24"/>
          <w:lang w:eastAsia="lv-LV"/>
        </w:rPr>
        <w:t>gadā turpinās 2018.gad</w:t>
      </w:r>
      <w:r w:rsidR="00691C52">
        <w:rPr>
          <w:rFonts w:ascii="Times New Roman" w:eastAsia="Times New Roman" w:hAnsi="Times New Roman" w:cs="Times New Roman"/>
          <w:sz w:val="24"/>
          <w:szCs w:val="24"/>
          <w:lang w:eastAsia="lv-LV"/>
        </w:rPr>
        <w:t xml:space="preserve">a ekonomikas attīstības trends. </w:t>
      </w:r>
      <w:r w:rsidR="00691C52" w:rsidRPr="007731F8">
        <w:rPr>
          <w:rFonts w:ascii="Times New Roman" w:eastAsia="Times New Roman" w:hAnsi="Times New Roman" w:cs="Times New Roman"/>
          <w:sz w:val="24"/>
          <w:szCs w:val="24"/>
          <w:lang w:eastAsia="lv-LV"/>
        </w:rPr>
        <w:t>Tādējādi risku maksimālā ietekme tiek</w:t>
      </w:r>
      <w:r w:rsidR="00691C52">
        <w:rPr>
          <w:rFonts w:ascii="Times New Roman" w:eastAsia="Times New Roman" w:hAnsi="Times New Roman" w:cs="Times New Roman"/>
          <w:sz w:val="24"/>
          <w:szCs w:val="24"/>
          <w:lang w:eastAsia="lv-LV"/>
        </w:rPr>
        <w:t xml:space="preserve"> prognozēta 2020.gadā, savukārt</w:t>
      </w:r>
      <w:r w:rsidR="00691C52" w:rsidRPr="007731F8">
        <w:rPr>
          <w:rFonts w:ascii="Times New Roman" w:eastAsia="Times New Roman" w:hAnsi="Times New Roman" w:cs="Times New Roman"/>
          <w:sz w:val="24"/>
          <w:szCs w:val="24"/>
          <w:lang w:eastAsia="lv-LV"/>
        </w:rPr>
        <w:t xml:space="preserve"> 2022.gadā ekonomiskā izaugsme atgrieztos prognozēto tempu </w:t>
      </w:r>
      <w:r w:rsidR="00691C52">
        <w:rPr>
          <w:rFonts w:ascii="Times New Roman" w:eastAsia="Times New Roman" w:hAnsi="Times New Roman" w:cs="Times New Roman"/>
          <w:sz w:val="24"/>
          <w:szCs w:val="24"/>
          <w:lang w:eastAsia="lv-LV"/>
        </w:rPr>
        <w:t>apmērā.</w:t>
      </w:r>
      <w:r w:rsidR="00691C52" w:rsidRPr="007731F8">
        <w:rPr>
          <w:rFonts w:ascii="Times New Roman" w:eastAsia="Times New Roman" w:hAnsi="Times New Roman" w:cs="Times New Roman"/>
          <w:sz w:val="24"/>
          <w:szCs w:val="24"/>
          <w:lang w:eastAsia="lv-LV"/>
        </w:rPr>
        <w:t xml:space="preserve"> </w:t>
      </w:r>
    </w:p>
    <w:p w:rsidR="00691C52" w:rsidRPr="007731F8"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7731F8">
        <w:rPr>
          <w:rFonts w:ascii="Times New Roman" w:eastAsia="Times New Roman" w:hAnsi="Times New Roman" w:cs="Times New Roman"/>
          <w:b/>
          <w:sz w:val="24"/>
          <w:szCs w:val="24"/>
          <w:lang w:eastAsia="lv-LV"/>
        </w:rPr>
        <w:t>Pozitīvie riski</w:t>
      </w:r>
      <w:r w:rsidRPr="007731F8">
        <w:rPr>
          <w:rFonts w:ascii="Times New Roman" w:eastAsia="Times New Roman" w:hAnsi="Times New Roman" w:cs="Times New Roman"/>
          <w:sz w:val="24"/>
          <w:szCs w:val="24"/>
          <w:lang w:eastAsia="lv-LV"/>
        </w:rPr>
        <w:t xml:space="preserve"> pašlaik vairāk attiecas uz vidējo termiņu. Starp ārējiem </w:t>
      </w:r>
      <w:r>
        <w:rPr>
          <w:rFonts w:ascii="Times New Roman" w:eastAsia="Times New Roman" w:hAnsi="Times New Roman" w:cs="Times New Roman"/>
          <w:sz w:val="24"/>
          <w:szCs w:val="24"/>
          <w:lang w:eastAsia="lv-LV"/>
        </w:rPr>
        <w:t>faktoriem</w:t>
      </w:r>
      <w:r w:rsidRPr="007731F8">
        <w:rPr>
          <w:rFonts w:ascii="Times New Roman" w:eastAsia="Times New Roman" w:hAnsi="Times New Roman" w:cs="Times New Roman"/>
          <w:sz w:val="24"/>
          <w:szCs w:val="24"/>
          <w:lang w:eastAsia="lv-LV"/>
        </w:rPr>
        <w:t xml:space="preserve"> ir straujāka, nekā prognozēts, ekonomiskās situācijas uzlabošanās ES un Latvijas tirdzniecības partnervalstīs. Iekšējie pozitīvie riski ir saistīti ar investīciju straujāku attīstību Latvijā, balstoties uz uzņēmumu pašu resursiem un uzņēmējdarbības kreditēšanas atveseļošanos, kā arī ar labvēlīgāku, nekā prognozēts, uzņēmumu ienākuma nodokļa atbrīvojuma </w:t>
      </w:r>
      <w:proofErr w:type="spellStart"/>
      <w:r w:rsidRPr="007731F8">
        <w:rPr>
          <w:rFonts w:ascii="Times New Roman" w:eastAsia="Times New Roman" w:hAnsi="Times New Roman" w:cs="Times New Roman"/>
          <w:sz w:val="24"/>
          <w:szCs w:val="24"/>
          <w:lang w:eastAsia="lv-LV"/>
        </w:rPr>
        <w:t>reinvestētajai</w:t>
      </w:r>
      <w:proofErr w:type="spellEnd"/>
      <w:r w:rsidRPr="007731F8">
        <w:rPr>
          <w:rFonts w:ascii="Times New Roman" w:eastAsia="Times New Roman" w:hAnsi="Times New Roman" w:cs="Times New Roman"/>
          <w:sz w:val="24"/>
          <w:szCs w:val="24"/>
          <w:lang w:eastAsia="lv-LV"/>
        </w:rPr>
        <w:t xml:space="preserve"> peļņai ietekmi uz investīciju dinamiku.</w:t>
      </w:r>
    </w:p>
    <w:p w:rsidR="00691C52" w:rsidRPr="007731F8"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7731F8">
        <w:rPr>
          <w:rFonts w:ascii="Times New Roman" w:eastAsia="Times New Roman" w:hAnsi="Times New Roman" w:cs="Times New Roman"/>
          <w:b/>
          <w:sz w:val="24"/>
          <w:szCs w:val="24"/>
          <w:lang w:eastAsia="lv-LV"/>
        </w:rPr>
        <w:t>Negatīvie riski</w:t>
      </w:r>
      <w:r w:rsidRPr="007731F8">
        <w:rPr>
          <w:rFonts w:ascii="Times New Roman" w:eastAsia="Times New Roman" w:hAnsi="Times New Roman" w:cs="Times New Roman"/>
          <w:sz w:val="24"/>
          <w:szCs w:val="24"/>
          <w:lang w:eastAsia="lv-LV"/>
        </w:rPr>
        <w:t xml:space="preserve"> Latvijai pašlaik ir saistīti ar joprojām augsto ģeopolitisko nenoteiktību reģionā un augošajām protekcionisma tendencēm pasaulē, kas var ierobežot globālās ekonomikas attīstību. Starp pasaulei kopumā aktuālākajiem vispārējiem riskiem varētu pieminēt arī augošās kredītu izmaksas, ASV pakāpeniski paaugstinot bāzes procentu likmes, kas īpaši nelabvēlīgi var skart attīstības valstis ar augstiem parādu līmeņiem ASV dolāros, kas piemēram jau izpaudās finanšu krīzē Turcijā, un augsto svārstīgumu pasaules finanšu tirgos. No iekšējiem riskiem jāmin ilgstoši zemais investīciju līmenis Latvijā, īpaši apstrādes rūpniecībā, kas ierobežo ekonomikas kopējās produktivitātes pieaugumu un ekonomikas potenciāla izaugsmi, kā arī iedzīvotāju skaita samazināšanās, kas ierobežo strādājošo resursus un kopā ar investīciju trūkumu veicina produktivitātes pieaugumam neatbilstošu darba samaksas kāpumu. </w:t>
      </w:r>
    </w:p>
    <w:p w:rsidR="0049031F" w:rsidRPr="00782778" w:rsidRDefault="0049031F" w:rsidP="00044EB5">
      <w:pPr>
        <w:autoSpaceDE w:val="0"/>
        <w:autoSpaceDN w:val="0"/>
        <w:adjustRightInd w:val="0"/>
        <w:spacing w:after="0" w:line="240" w:lineRule="auto"/>
        <w:jc w:val="both"/>
        <w:rPr>
          <w:rFonts w:ascii="Times New Roman" w:hAnsi="Times New Roman" w:cs="Times New Roman"/>
          <w:sz w:val="24"/>
          <w:szCs w:val="24"/>
          <w:highlight w:val="yellow"/>
        </w:rPr>
      </w:pPr>
    </w:p>
    <w:p w:rsidR="00095171" w:rsidRPr="00691C52" w:rsidRDefault="00A307A3" w:rsidP="00A307A3">
      <w:pPr>
        <w:pStyle w:val="Heading2"/>
        <w:numPr>
          <w:ilvl w:val="1"/>
          <w:numId w:val="35"/>
        </w:numPr>
        <w:spacing w:before="0" w:after="240" w:line="240" w:lineRule="auto"/>
        <w:ind w:left="1134" w:hanging="425"/>
        <w:rPr>
          <w:rFonts w:ascii="Times New Roman" w:hAnsi="Times New Roman" w:cs="Times New Roman"/>
          <w:sz w:val="24"/>
        </w:rPr>
      </w:pPr>
      <w:bookmarkStart w:id="50" w:name="_Toc510790668"/>
      <w:bookmarkStart w:id="51" w:name="_Toc5627375"/>
      <w:r>
        <w:rPr>
          <w:rFonts w:ascii="Times New Roman" w:hAnsi="Times New Roman" w:cs="Times New Roman"/>
          <w:sz w:val="24"/>
        </w:rPr>
        <w:t xml:space="preserve"> </w:t>
      </w:r>
      <w:bookmarkStart w:id="52" w:name="_Toc5798630"/>
      <w:r w:rsidR="00095171" w:rsidRPr="00691C52">
        <w:rPr>
          <w:rFonts w:ascii="Times New Roman" w:hAnsi="Times New Roman" w:cs="Times New Roman"/>
          <w:sz w:val="24"/>
        </w:rPr>
        <w:t>Jutīguma analīze</w:t>
      </w:r>
      <w:bookmarkEnd w:id="50"/>
      <w:bookmarkEnd w:id="51"/>
      <w:bookmarkEnd w:id="52"/>
    </w:p>
    <w:p w:rsidR="00095171" w:rsidRPr="00E82396" w:rsidRDefault="00095171" w:rsidP="00A307A3">
      <w:pPr>
        <w:pStyle w:val="Heading3"/>
        <w:numPr>
          <w:ilvl w:val="2"/>
          <w:numId w:val="36"/>
        </w:numPr>
        <w:ind w:left="1418"/>
        <w:rPr>
          <w:rFonts w:ascii="Times New Roman" w:hAnsi="Times New Roman" w:cs="Times New Roman"/>
          <w:sz w:val="24"/>
          <w:szCs w:val="24"/>
        </w:rPr>
      </w:pPr>
      <w:bookmarkStart w:id="53" w:name="_Toc510790669"/>
      <w:bookmarkStart w:id="54" w:name="_Toc5627376"/>
      <w:bookmarkStart w:id="55" w:name="_Toc5798631"/>
      <w:r w:rsidRPr="00E82396">
        <w:rPr>
          <w:rFonts w:ascii="Times New Roman" w:hAnsi="Times New Roman" w:cs="Times New Roman"/>
          <w:sz w:val="24"/>
          <w:szCs w:val="24"/>
        </w:rPr>
        <w:t>Optimistiskais scenārijs</w:t>
      </w:r>
      <w:bookmarkEnd w:id="53"/>
      <w:bookmarkEnd w:id="54"/>
      <w:bookmarkEnd w:id="55"/>
    </w:p>
    <w:p w:rsidR="00691C52" w:rsidRDefault="00691C52" w:rsidP="00691C52">
      <w:pPr>
        <w:autoSpaceDE w:val="0"/>
        <w:autoSpaceDN w:val="0"/>
        <w:adjustRightInd w:val="0"/>
        <w:spacing w:after="0" w:line="240" w:lineRule="auto"/>
        <w:ind w:firstLine="556"/>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b/>
          <w:sz w:val="24"/>
          <w:szCs w:val="23"/>
          <w:lang w:eastAsia="lv-LV"/>
        </w:rPr>
        <w:t>Ietekme uz ekonomiku.</w:t>
      </w:r>
      <w:r w:rsidRPr="0026769D">
        <w:rPr>
          <w:rFonts w:ascii="Times New Roman" w:eastAsia="Times New Roman" w:hAnsi="Times New Roman" w:cs="Times New Roman"/>
          <w:sz w:val="24"/>
          <w:szCs w:val="23"/>
          <w:lang w:eastAsia="lv-LV"/>
        </w:rPr>
        <w:t xml:space="preserve"> </w:t>
      </w:r>
      <w:r w:rsidRPr="005E77C2">
        <w:rPr>
          <w:rFonts w:ascii="Times New Roman" w:eastAsia="Times New Roman" w:hAnsi="Times New Roman" w:cs="Times New Roman"/>
          <w:sz w:val="24"/>
          <w:szCs w:val="23"/>
          <w:lang w:eastAsia="lv-LV"/>
        </w:rPr>
        <w:t>F</w:t>
      </w:r>
      <w:r w:rsidR="009F516D">
        <w:rPr>
          <w:rFonts w:ascii="Times New Roman" w:eastAsia="Times New Roman" w:hAnsi="Times New Roman" w:cs="Times New Roman"/>
          <w:sz w:val="24"/>
          <w:szCs w:val="23"/>
          <w:lang w:eastAsia="lv-LV"/>
        </w:rPr>
        <w:t xml:space="preserve">M </w:t>
      </w:r>
      <w:r w:rsidRPr="005E77C2">
        <w:rPr>
          <w:rFonts w:ascii="Times New Roman" w:eastAsia="Times New Roman" w:hAnsi="Times New Roman" w:cs="Times New Roman"/>
          <w:sz w:val="24"/>
          <w:szCs w:val="23"/>
          <w:lang w:eastAsia="lv-LV"/>
        </w:rPr>
        <w:t xml:space="preserve">prognozes </w:t>
      </w:r>
      <w:proofErr w:type="spellStart"/>
      <w:r w:rsidRPr="005E77C2">
        <w:rPr>
          <w:rFonts w:ascii="Times New Roman" w:eastAsia="Times New Roman" w:hAnsi="Times New Roman" w:cs="Times New Roman"/>
          <w:sz w:val="24"/>
          <w:szCs w:val="23"/>
          <w:lang w:eastAsia="lv-LV"/>
        </w:rPr>
        <w:t>tradiciomāli</w:t>
      </w:r>
      <w:proofErr w:type="spellEnd"/>
      <w:r w:rsidRPr="005E77C2">
        <w:rPr>
          <w:rFonts w:ascii="Times New Roman" w:eastAsia="Times New Roman" w:hAnsi="Times New Roman" w:cs="Times New Roman"/>
          <w:sz w:val="24"/>
          <w:szCs w:val="23"/>
          <w:lang w:eastAsia="lv-LV"/>
        </w:rPr>
        <w:t xml:space="preserve"> ir piesardzīgas</w:t>
      </w:r>
      <w:r>
        <w:rPr>
          <w:rFonts w:ascii="Times New Roman" w:eastAsia="Times New Roman" w:hAnsi="Times New Roman" w:cs="Times New Roman"/>
          <w:sz w:val="24"/>
          <w:szCs w:val="23"/>
          <w:lang w:eastAsia="lv-LV"/>
        </w:rPr>
        <w:t>,</w:t>
      </w:r>
      <w:r w:rsidRPr="005E77C2">
        <w:rPr>
          <w:rFonts w:ascii="Times New Roman" w:eastAsia="Times New Roman" w:hAnsi="Times New Roman" w:cs="Times New Roman"/>
          <w:sz w:val="24"/>
          <w:szCs w:val="23"/>
          <w:lang w:eastAsia="lv-LV"/>
        </w:rPr>
        <w:t xml:space="preserve"> un pēdējos </w:t>
      </w:r>
      <w:r w:rsidRPr="005E77C2">
        <w:rPr>
          <w:rFonts w:ascii="Times New Roman" w:eastAsia="Times New Roman" w:hAnsi="Times New Roman" w:cs="Times New Roman"/>
          <w:sz w:val="24"/>
          <w:szCs w:val="24"/>
          <w:lang w:eastAsia="lv-LV"/>
        </w:rPr>
        <w:t>divos gados ekonomikas izaugsme bija straujāka nekā prognozēts.</w:t>
      </w:r>
      <w:r>
        <w:rPr>
          <w:rFonts w:ascii="Times New Roman" w:eastAsia="Times New Roman" w:hAnsi="Times New Roman" w:cs="Times New Roman"/>
          <w:sz w:val="24"/>
          <w:szCs w:val="24"/>
          <w:lang w:eastAsia="lv-LV"/>
        </w:rPr>
        <w:t xml:space="preserve"> Papildus tam, i</w:t>
      </w:r>
      <w:r w:rsidRPr="0026769D">
        <w:rPr>
          <w:rFonts w:ascii="Times New Roman" w:eastAsia="Times New Roman" w:hAnsi="Times New Roman" w:cs="Times New Roman"/>
          <w:sz w:val="24"/>
          <w:szCs w:val="24"/>
          <w:lang w:eastAsia="lv-LV"/>
        </w:rPr>
        <w:t>epriekš prognozētie ekonomikas</w:t>
      </w:r>
      <w:r>
        <w:rPr>
          <w:rFonts w:ascii="Times New Roman" w:eastAsia="Times New Roman" w:hAnsi="Times New Roman" w:cs="Times New Roman"/>
          <w:sz w:val="24"/>
          <w:szCs w:val="24"/>
          <w:lang w:eastAsia="lv-LV"/>
        </w:rPr>
        <w:t xml:space="preserve"> izaugsmi</w:t>
      </w:r>
      <w:r w:rsidRPr="0026769D">
        <w:rPr>
          <w:rFonts w:ascii="Times New Roman" w:eastAsia="Times New Roman" w:hAnsi="Times New Roman" w:cs="Times New Roman"/>
          <w:sz w:val="24"/>
          <w:szCs w:val="24"/>
          <w:lang w:eastAsia="lv-LV"/>
        </w:rPr>
        <w:t xml:space="preserve"> bremzējošie faktori nepiepildījās, piemēram, finanšu sektora reorganizācijas negatīvā ietekme 2018.gadā nebija tik spēcīga kā </w:t>
      </w:r>
      <w:r>
        <w:rPr>
          <w:rFonts w:ascii="Times New Roman" w:eastAsia="Times New Roman" w:hAnsi="Times New Roman" w:cs="Times New Roman"/>
          <w:sz w:val="24"/>
          <w:szCs w:val="24"/>
          <w:lang w:eastAsia="lv-LV"/>
        </w:rPr>
        <w:t>prognozēts</w:t>
      </w:r>
      <w:r w:rsidRPr="0026769D">
        <w:rPr>
          <w:rFonts w:ascii="Times New Roman" w:eastAsia="Times New Roman" w:hAnsi="Times New Roman" w:cs="Times New Roman"/>
          <w:sz w:val="24"/>
          <w:szCs w:val="24"/>
          <w:lang w:eastAsia="lv-LV"/>
        </w:rPr>
        <w:t>. Līdz ar to pastāv iespēja, ka ekonomiskā izaugsme arī 2019.gadā varētu būt straujāka nekā prognozēts. Arī vidējā termiņā, lai arī</w:t>
      </w:r>
      <w:r>
        <w:rPr>
          <w:rFonts w:ascii="Times New Roman" w:eastAsia="Times New Roman" w:hAnsi="Times New Roman" w:cs="Times New Roman"/>
          <w:sz w:val="24"/>
          <w:szCs w:val="24"/>
          <w:lang w:eastAsia="lv-LV"/>
        </w:rPr>
        <w:t xml:space="preserve"> ar</w:t>
      </w:r>
      <w:r w:rsidRPr="0026769D">
        <w:rPr>
          <w:rFonts w:ascii="Times New Roman" w:eastAsia="Times New Roman" w:hAnsi="Times New Roman" w:cs="Times New Roman"/>
          <w:sz w:val="24"/>
          <w:szCs w:val="24"/>
          <w:lang w:eastAsia="lv-LV"/>
        </w:rPr>
        <w:t xml:space="preserve"> maz</w:t>
      </w:r>
      <w:r>
        <w:rPr>
          <w:rFonts w:ascii="Times New Roman" w:eastAsia="Times New Roman" w:hAnsi="Times New Roman" w:cs="Times New Roman"/>
          <w:sz w:val="24"/>
          <w:szCs w:val="24"/>
          <w:lang w:eastAsia="lv-LV"/>
        </w:rPr>
        <w:t>u</w:t>
      </w:r>
      <w:r w:rsidRPr="0026769D">
        <w:rPr>
          <w:rFonts w:ascii="Times New Roman" w:eastAsia="Times New Roman" w:hAnsi="Times New Roman" w:cs="Times New Roman"/>
          <w:sz w:val="24"/>
          <w:szCs w:val="24"/>
          <w:lang w:eastAsia="lv-LV"/>
        </w:rPr>
        <w:t xml:space="preserve"> varbūtīb</w:t>
      </w:r>
      <w:r>
        <w:rPr>
          <w:rFonts w:ascii="Times New Roman" w:eastAsia="Times New Roman" w:hAnsi="Times New Roman" w:cs="Times New Roman"/>
          <w:sz w:val="24"/>
          <w:szCs w:val="24"/>
          <w:lang w:eastAsia="lv-LV"/>
        </w:rPr>
        <w:t>u</w:t>
      </w:r>
      <w:r w:rsidRPr="0026769D">
        <w:rPr>
          <w:rFonts w:ascii="Times New Roman" w:eastAsia="Times New Roman" w:hAnsi="Times New Roman" w:cs="Times New Roman"/>
          <w:sz w:val="24"/>
          <w:szCs w:val="24"/>
          <w:lang w:eastAsia="lv-LV"/>
        </w:rPr>
        <w:t>, tomēr pastāv iespēja, ka ekonomiskā izaugsme ES un Latvijas tirdzniecības partnervalstīs ir straujāka nekā prognozēts.</w:t>
      </w:r>
    </w:p>
    <w:p w:rsidR="00DC3136" w:rsidRPr="0026769D" w:rsidRDefault="00DC3136" w:rsidP="00691C52">
      <w:pPr>
        <w:autoSpaceDE w:val="0"/>
        <w:autoSpaceDN w:val="0"/>
        <w:adjustRightInd w:val="0"/>
        <w:spacing w:after="0" w:line="240" w:lineRule="auto"/>
        <w:ind w:firstLine="556"/>
        <w:jc w:val="both"/>
        <w:rPr>
          <w:rFonts w:ascii="Times New Roman" w:eastAsia="Times New Roman" w:hAnsi="Times New Roman" w:cs="Times New Roman"/>
          <w:sz w:val="24"/>
          <w:szCs w:val="24"/>
          <w:lang w:eastAsia="lv-LV"/>
        </w:rPr>
      </w:pPr>
    </w:p>
    <w:p w:rsidR="00051F48" w:rsidRDefault="00051F4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91C52" w:rsidRPr="0026769D" w:rsidRDefault="00691C52" w:rsidP="00691C52">
      <w:pPr>
        <w:spacing w:after="0" w:line="240" w:lineRule="auto"/>
        <w:jc w:val="right"/>
        <w:rPr>
          <w:rFonts w:ascii="Times New Roman" w:eastAsia="Times New Roman" w:hAnsi="Times New Roman" w:cs="Times New Roman"/>
          <w:b/>
          <w:sz w:val="24"/>
        </w:rPr>
      </w:pPr>
      <w:r w:rsidRPr="0026769D">
        <w:rPr>
          <w:rFonts w:ascii="Times New Roman" w:eastAsia="Times New Roman" w:hAnsi="Times New Roman" w:cs="Times New Roman"/>
          <w:b/>
          <w:sz w:val="24"/>
          <w:szCs w:val="24"/>
        </w:rPr>
        <w:lastRenderedPageBreak/>
        <w:t>4.1.tabula. Optimistiskais makroekonomiskais scenārijs</w:t>
      </w:r>
    </w:p>
    <w:tbl>
      <w:tblPr>
        <w:tblStyle w:val="GridTable6Colorful-Accent12"/>
        <w:tblW w:w="9351" w:type="dxa"/>
        <w:jc w:val="center"/>
        <w:tblLayout w:type="fixed"/>
        <w:tblLook w:val="04A0" w:firstRow="1" w:lastRow="0" w:firstColumn="1" w:lastColumn="0" w:noHBand="0" w:noVBand="1"/>
      </w:tblPr>
      <w:tblGrid>
        <w:gridCol w:w="3397"/>
        <w:gridCol w:w="744"/>
        <w:gridCol w:w="744"/>
        <w:gridCol w:w="744"/>
        <w:gridCol w:w="745"/>
        <w:gridCol w:w="744"/>
        <w:gridCol w:w="744"/>
        <w:gridCol w:w="744"/>
        <w:gridCol w:w="745"/>
      </w:tblGrid>
      <w:tr w:rsidR="00691C52" w:rsidRPr="0026769D" w:rsidTr="00792B82">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8005BF" w:rsidRDefault="00691C52" w:rsidP="00792B82">
            <w:pPr>
              <w:spacing w:before="100" w:beforeAutospacing="1" w:after="100" w:afterAutospacing="1"/>
              <w:rPr>
                <w:rFonts w:ascii="Times New Roman" w:eastAsia="Times New Roman" w:hAnsi="Times New Roman" w:cs="Times New Roman"/>
                <w:color w:val="auto"/>
                <w:sz w:val="20"/>
                <w:szCs w:val="20"/>
              </w:rPr>
            </w:pPr>
          </w:p>
        </w:tc>
        <w:tc>
          <w:tcPr>
            <w:tcW w:w="2977" w:type="dxa"/>
            <w:gridSpan w:val="4"/>
            <w:tcBorders>
              <w:right w:val="double" w:sz="4" w:space="0" w:color="95B3D7"/>
            </w:tcBorders>
            <w:noWrap/>
            <w:vAlign w:val="center"/>
          </w:tcPr>
          <w:p w:rsidR="00691C52" w:rsidRPr="008005BF" w:rsidRDefault="00691C52" w:rsidP="00792B8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005BF">
              <w:rPr>
                <w:rFonts w:ascii="Times New Roman" w:eastAsia="Times New Roman" w:hAnsi="Times New Roman" w:cs="Times New Roman"/>
                <w:color w:val="auto"/>
                <w:sz w:val="20"/>
                <w:szCs w:val="20"/>
              </w:rPr>
              <w:t>Optimistiskais scenārijs</w:t>
            </w:r>
          </w:p>
        </w:tc>
        <w:tc>
          <w:tcPr>
            <w:tcW w:w="2977" w:type="dxa"/>
            <w:gridSpan w:val="4"/>
            <w:tcBorders>
              <w:left w:val="double" w:sz="4" w:space="0" w:color="95B3D7"/>
            </w:tcBorders>
            <w:noWrap/>
            <w:vAlign w:val="center"/>
          </w:tcPr>
          <w:p w:rsidR="00691C52" w:rsidRPr="008005BF" w:rsidRDefault="00691C52" w:rsidP="00792B8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005BF">
              <w:rPr>
                <w:rFonts w:ascii="Times New Roman" w:eastAsia="Times New Roman" w:hAnsi="Times New Roman" w:cs="Times New Roman"/>
                <w:color w:val="auto"/>
                <w:sz w:val="20"/>
                <w:szCs w:val="20"/>
              </w:rPr>
              <w:t>Novirze no bāzes scenārija</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8005BF" w:rsidRDefault="00691C52" w:rsidP="00792B82">
            <w:pPr>
              <w:spacing w:before="100" w:beforeAutospacing="1" w:after="100" w:afterAutospacing="1"/>
              <w:rPr>
                <w:rFonts w:ascii="Times New Roman" w:eastAsia="Times New Roman" w:hAnsi="Times New Roman" w:cs="Times New Roman"/>
                <w:color w:val="auto"/>
                <w:sz w:val="20"/>
                <w:szCs w:val="20"/>
              </w:rPr>
            </w:pPr>
          </w:p>
        </w:tc>
        <w:tc>
          <w:tcPr>
            <w:tcW w:w="744" w:type="dxa"/>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2019</w:t>
            </w:r>
          </w:p>
        </w:tc>
        <w:tc>
          <w:tcPr>
            <w:tcW w:w="744" w:type="dxa"/>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2020</w:t>
            </w:r>
          </w:p>
        </w:tc>
        <w:tc>
          <w:tcPr>
            <w:tcW w:w="744" w:type="dxa"/>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2021</w:t>
            </w:r>
          </w:p>
        </w:tc>
        <w:tc>
          <w:tcPr>
            <w:tcW w:w="745" w:type="dxa"/>
            <w:tcBorders>
              <w:right w:val="double" w:sz="4" w:space="0" w:color="95B3D7"/>
            </w:tcBorders>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2022</w:t>
            </w:r>
          </w:p>
        </w:tc>
        <w:tc>
          <w:tcPr>
            <w:tcW w:w="744" w:type="dxa"/>
            <w:tcBorders>
              <w:left w:val="double" w:sz="4" w:space="0" w:color="95B3D7"/>
            </w:tcBorders>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2019</w:t>
            </w:r>
          </w:p>
        </w:tc>
        <w:tc>
          <w:tcPr>
            <w:tcW w:w="744" w:type="dxa"/>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2020</w:t>
            </w:r>
          </w:p>
        </w:tc>
        <w:tc>
          <w:tcPr>
            <w:tcW w:w="744" w:type="dxa"/>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2021</w:t>
            </w:r>
          </w:p>
        </w:tc>
        <w:tc>
          <w:tcPr>
            <w:tcW w:w="745" w:type="dxa"/>
            <w:noWrap/>
            <w:vAlign w:val="center"/>
          </w:tcPr>
          <w:p w:rsidR="00691C52" w:rsidRPr="008005BF"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8005BF">
              <w:rPr>
                <w:rFonts w:ascii="Times New Roman" w:eastAsia="Times New Roman" w:hAnsi="Times New Roman" w:cs="Times New Roman"/>
                <w:b/>
                <w:color w:val="auto"/>
                <w:sz w:val="20"/>
                <w:szCs w:val="20"/>
              </w:rPr>
              <w:t>2022</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IKP pieaugums faktiskajās cenās, %</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7,7</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7,0</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5,9</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5,5</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1,3</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1,2</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0,4</w:t>
            </w:r>
          </w:p>
        </w:tc>
        <w:tc>
          <w:tcPr>
            <w:tcW w:w="745"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IKP pieaugums salīdzināmās cenās, %</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4,0</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3,6</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3,1</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2,9</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0,8</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0,6</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45"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Privātais patēriņš, pieaugums salīdzināmās cenās, %</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4,5</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4,3</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4,0</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3,6</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0,7</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0,4</w:t>
            </w:r>
          </w:p>
        </w:tc>
        <w:tc>
          <w:tcPr>
            <w:tcW w:w="745"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 xml:space="preserve">Sabiedriskais patēriņš, pieaugums salīdzināmās cenās, % </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4,0</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3,5</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3,0</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3,0</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0,4</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c>
          <w:tcPr>
            <w:tcW w:w="745"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Kopējā pamatkapitāla veidošana, pieaugums salīdzināmās cenās, %</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9,0</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7,0</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5,2</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5,0</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1,3</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45"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Preču un pakalpojumu eksports, pieaugums salīdzināmās cenās, %</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4,1</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4,4</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4,4</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3,9</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0,9</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0,3</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0,4</w:t>
            </w:r>
          </w:p>
        </w:tc>
        <w:tc>
          <w:tcPr>
            <w:tcW w:w="745"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ind w:left="26"/>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Preču un pakalpojumu imports, pieaugums salīdzināmās cenās, %</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6,0</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5,9</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5,8</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4,9</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0,3</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0,7</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0,8</w:t>
            </w:r>
          </w:p>
        </w:tc>
        <w:tc>
          <w:tcPr>
            <w:tcW w:w="745"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2F52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EEAF6"/>
            <w:noWrap/>
            <w:vAlign w:val="center"/>
            <w:hideMark/>
          </w:tcPr>
          <w:p w:rsidR="00691C52" w:rsidRPr="00051F48" w:rsidRDefault="00691C52" w:rsidP="00051F48">
            <w:pPr>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Vidējās darba samaksas tautsaimniecībā pieaugums faktiskajās cenās, %</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7,5</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7,0</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6,5</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6,0</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1,5</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1,5</w:t>
            </w:r>
          </w:p>
        </w:tc>
        <w:tc>
          <w:tcPr>
            <w:tcW w:w="745"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rsidR="00691C52" w:rsidRPr="00051F48" w:rsidRDefault="00691C52" w:rsidP="00051F48">
            <w:pPr>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Nodarbinātības pieaugums, %</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0,8</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0,3</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c>
          <w:tcPr>
            <w:tcW w:w="744"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c>
          <w:tcPr>
            <w:tcW w:w="745"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051F48" w:rsidRDefault="00691C52" w:rsidP="00051F48">
            <w:pPr>
              <w:jc w:val="both"/>
              <w:rPr>
                <w:rFonts w:ascii="Times New Roman" w:eastAsia="Times New Roman" w:hAnsi="Times New Roman" w:cs="Times New Roman"/>
                <w:color w:val="auto"/>
                <w:sz w:val="20"/>
                <w:szCs w:val="20"/>
              </w:rPr>
            </w:pPr>
            <w:r w:rsidRPr="00051F48">
              <w:rPr>
                <w:rFonts w:ascii="Times New Roman" w:eastAsia="Times New Roman" w:hAnsi="Times New Roman" w:cs="Times New Roman"/>
                <w:color w:val="auto"/>
                <w:sz w:val="20"/>
                <w:szCs w:val="20"/>
              </w:rPr>
              <w:t>Bezdarba līmenis, %</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6,7</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6,3</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6,2</w:t>
            </w:r>
          </w:p>
        </w:tc>
        <w:tc>
          <w:tcPr>
            <w:tcW w:w="745"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5,5</w:t>
            </w:r>
          </w:p>
        </w:tc>
        <w:tc>
          <w:tcPr>
            <w:tcW w:w="744"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-0,3</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44"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c>
          <w:tcPr>
            <w:tcW w:w="745"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r>
    </w:tbl>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p>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sz w:val="24"/>
          <w:szCs w:val="24"/>
          <w:lang w:eastAsia="lv-LV"/>
        </w:rPr>
        <w:t xml:space="preserve">Straujāka nekā prognozēts, ekonomiskās situācijas uzlabošanās ES un Latvijas tirdzniecības partnervalstīs nodrošinās straujāku eksporta pieaugumu no 2019.gada līdz 2021.gadam, kas varētu būt par attiecīgi 0,9 procentpunktiem, 0,3 procentpunktiem un 0,4 procentpunktiem </w:t>
      </w:r>
      <w:r>
        <w:rPr>
          <w:rFonts w:ascii="Times New Roman" w:eastAsia="Times New Roman" w:hAnsi="Times New Roman" w:cs="Times New Roman"/>
          <w:sz w:val="24"/>
          <w:szCs w:val="24"/>
          <w:lang w:eastAsia="lv-LV"/>
        </w:rPr>
        <w:t>augstāks</w:t>
      </w:r>
      <w:r w:rsidRPr="0026769D">
        <w:rPr>
          <w:rFonts w:ascii="Times New Roman" w:eastAsia="Times New Roman" w:hAnsi="Times New Roman" w:cs="Times New Roman"/>
          <w:sz w:val="24"/>
          <w:szCs w:val="24"/>
          <w:lang w:eastAsia="lv-LV"/>
        </w:rPr>
        <w:t xml:space="preserve"> nekā bāzes scenārijā.</w:t>
      </w:r>
    </w:p>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sz w:val="24"/>
          <w:szCs w:val="24"/>
          <w:lang w:eastAsia="lv-LV"/>
        </w:rPr>
        <w:t xml:space="preserve">Scenārijs paredz arī kreditēšanās atjaunošanos, ņemot vērā to, ka uzņēmumiem izsniegto kredītu apjoms ir nepārtraukti samazinājies kopš 2007.gada. Kopš pēdējās </w:t>
      </w:r>
      <w:r w:rsidRPr="004F5062">
        <w:rPr>
          <w:rFonts w:ascii="Times New Roman" w:eastAsia="Times New Roman" w:hAnsi="Times New Roman" w:cs="Times New Roman"/>
          <w:sz w:val="24"/>
          <w:szCs w:val="24"/>
          <w:lang w:eastAsia="lv-LV"/>
        </w:rPr>
        <w:t xml:space="preserve">ekonomiskās recesijas Latvijā izsniegto kredītu apjoms samazinās un </w:t>
      </w:r>
      <w:r>
        <w:rPr>
          <w:rFonts w:ascii="Times New Roman" w:eastAsia="Times New Roman" w:hAnsi="Times New Roman" w:cs="Times New Roman"/>
          <w:sz w:val="24"/>
          <w:szCs w:val="24"/>
          <w:lang w:eastAsia="lv-LV"/>
        </w:rPr>
        <w:t>neveicina ekonomikas</w:t>
      </w:r>
      <w:r w:rsidRPr="004F5062">
        <w:rPr>
          <w:rFonts w:ascii="Times New Roman" w:eastAsia="Times New Roman" w:hAnsi="Times New Roman" w:cs="Times New Roman"/>
          <w:sz w:val="24"/>
          <w:szCs w:val="24"/>
          <w:lang w:eastAsia="lv-LV"/>
        </w:rPr>
        <w:t xml:space="preserve"> izaugsmi. Taču 2018.gadā izsniegto kredītu apjoma kritums būtiski </w:t>
      </w:r>
      <w:r>
        <w:rPr>
          <w:rFonts w:ascii="Times New Roman" w:eastAsia="Times New Roman" w:hAnsi="Times New Roman" w:cs="Times New Roman"/>
          <w:sz w:val="24"/>
          <w:szCs w:val="24"/>
          <w:lang w:eastAsia="lv-LV"/>
        </w:rPr>
        <w:t>palēninās</w:t>
      </w:r>
      <w:r w:rsidRPr="004F5062">
        <w:rPr>
          <w:rFonts w:ascii="Times New Roman" w:eastAsia="Times New Roman" w:hAnsi="Times New Roman" w:cs="Times New Roman"/>
          <w:sz w:val="24"/>
          <w:szCs w:val="24"/>
          <w:lang w:eastAsia="lv-LV"/>
        </w:rPr>
        <w:t>, un atbilstoši šim scenārijam izsniegto kredītu apjoms uzņēmumiem varētu pieaugt straujāk nekā prognozēts bāzes scenārijā.</w:t>
      </w:r>
    </w:p>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sz w:val="24"/>
          <w:szCs w:val="24"/>
          <w:lang w:eastAsia="lv-LV"/>
        </w:rPr>
        <w:t>Tādējādi investīciju pieaugums 2019.gadā varētu būt par 1,3 procentpunktiem augstāks, 2020.gadā par 1</w:t>
      </w:r>
      <w:r w:rsidR="00DC3136">
        <w:rPr>
          <w:rFonts w:ascii="Times New Roman" w:eastAsia="Times New Roman" w:hAnsi="Times New Roman" w:cs="Times New Roman"/>
          <w:sz w:val="24"/>
          <w:szCs w:val="24"/>
          <w:lang w:eastAsia="lv-LV"/>
        </w:rPr>
        <w:t xml:space="preserve"> </w:t>
      </w:r>
      <w:r w:rsidRPr="0026769D">
        <w:rPr>
          <w:rFonts w:ascii="Times New Roman" w:eastAsia="Times New Roman" w:hAnsi="Times New Roman" w:cs="Times New Roman"/>
          <w:sz w:val="24"/>
          <w:szCs w:val="24"/>
          <w:lang w:eastAsia="lv-LV"/>
        </w:rPr>
        <w:t>procentpunktu un 2021.gadā par 0,2 procentpunktiem augstāks nekā bāzes scenārijā. Turklāt uzņēmumu ienākuma nodokļa atbrīvojum</w:t>
      </w:r>
      <w:r>
        <w:rPr>
          <w:rFonts w:ascii="Times New Roman" w:eastAsia="Times New Roman" w:hAnsi="Times New Roman" w:cs="Times New Roman"/>
          <w:sz w:val="24"/>
          <w:szCs w:val="24"/>
          <w:lang w:eastAsia="lv-LV"/>
        </w:rPr>
        <w:t>s</w:t>
      </w:r>
      <w:r w:rsidRPr="0026769D">
        <w:rPr>
          <w:rFonts w:ascii="Times New Roman" w:eastAsia="Times New Roman" w:hAnsi="Times New Roman" w:cs="Times New Roman"/>
          <w:sz w:val="24"/>
          <w:szCs w:val="24"/>
          <w:lang w:eastAsia="lv-LV"/>
        </w:rPr>
        <w:t xml:space="preserve"> </w:t>
      </w:r>
      <w:proofErr w:type="spellStart"/>
      <w:r w:rsidRPr="0026769D">
        <w:rPr>
          <w:rFonts w:ascii="Times New Roman" w:eastAsia="Times New Roman" w:hAnsi="Times New Roman" w:cs="Times New Roman"/>
          <w:sz w:val="24"/>
          <w:szCs w:val="24"/>
          <w:lang w:eastAsia="lv-LV"/>
        </w:rPr>
        <w:t>reinvestētajai</w:t>
      </w:r>
      <w:proofErr w:type="spellEnd"/>
      <w:r w:rsidRPr="0026769D">
        <w:rPr>
          <w:rFonts w:ascii="Times New Roman" w:eastAsia="Times New Roman" w:hAnsi="Times New Roman" w:cs="Times New Roman"/>
          <w:sz w:val="24"/>
          <w:szCs w:val="24"/>
          <w:lang w:eastAsia="lv-LV"/>
        </w:rPr>
        <w:t xml:space="preserve"> peļņai var pozitīvāk ietekmē</w:t>
      </w:r>
      <w:r>
        <w:rPr>
          <w:rFonts w:ascii="Times New Roman" w:eastAsia="Times New Roman" w:hAnsi="Times New Roman" w:cs="Times New Roman"/>
          <w:sz w:val="24"/>
          <w:szCs w:val="24"/>
          <w:lang w:eastAsia="lv-LV"/>
        </w:rPr>
        <w:t>t</w:t>
      </w:r>
      <w:r w:rsidRPr="0026769D">
        <w:rPr>
          <w:rFonts w:ascii="Times New Roman" w:eastAsia="Times New Roman" w:hAnsi="Times New Roman" w:cs="Times New Roman"/>
          <w:sz w:val="24"/>
          <w:szCs w:val="24"/>
          <w:lang w:eastAsia="lv-LV"/>
        </w:rPr>
        <w:t xml:space="preserve"> investīciju dinamiku, t.sk. balstoties uz uzņēmumu pašu resursiem.</w:t>
      </w:r>
    </w:p>
    <w:p w:rsidR="00691C52" w:rsidRPr="002957BB"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sz w:val="24"/>
          <w:szCs w:val="24"/>
          <w:lang w:eastAsia="lv-LV"/>
        </w:rPr>
        <w:t xml:space="preserve">Straujāka ekonomiskā aktivitāte veicinās darba algu un nodarbinātības pieaugumu, bezdarbam samazinoties straujāk nekā bāzes scenārijā un </w:t>
      </w:r>
      <w:r>
        <w:rPr>
          <w:rFonts w:ascii="Times New Roman" w:eastAsia="Times New Roman" w:hAnsi="Times New Roman" w:cs="Times New Roman"/>
          <w:sz w:val="24"/>
          <w:szCs w:val="24"/>
          <w:lang w:eastAsia="lv-LV"/>
        </w:rPr>
        <w:t>sasniedzot</w:t>
      </w:r>
      <w:r w:rsidRPr="0026769D">
        <w:rPr>
          <w:rFonts w:ascii="Times New Roman" w:eastAsia="Times New Roman" w:hAnsi="Times New Roman" w:cs="Times New Roman"/>
          <w:sz w:val="24"/>
          <w:szCs w:val="24"/>
          <w:lang w:eastAsia="lv-LV"/>
        </w:rPr>
        <w:t xml:space="preserve"> 5,5% 2022.gadā. Ņemot vērā </w:t>
      </w:r>
      <w:r>
        <w:rPr>
          <w:rFonts w:ascii="Times New Roman" w:eastAsia="Times New Roman" w:hAnsi="Times New Roman" w:cs="Times New Roman"/>
          <w:sz w:val="24"/>
          <w:szCs w:val="24"/>
          <w:lang w:eastAsia="lv-LV"/>
        </w:rPr>
        <w:t xml:space="preserve">augošo </w:t>
      </w:r>
      <w:r w:rsidRPr="0026769D">
        <w:rPr>
          <w:rFonts w:ascii="Times New Roman" w:eastAsia="Times New Roman" w:hAnsi="Times New Roman" w:cs="Times New Roman"/>
          <w:sz w:val="24"/>
          <w:szCs w:val="24"/>
          <w:lang w:eastAsia="lv-LV"/>
        </w:rPr>
        <w:t xml:space="preserve">vidējās </w:t>
      </w:r>
      <w:r w:rsidRPr="002957BB">
        <w:rPr>
          <w:rFonts w:ascii="Times New Roman" w:eastAsia="Times New Roman" w:hAnsi="Times New Roman" w:cs="Times New Roman"/>
          <w:sz w:val="24"/>
          <w:szCs w:val="24"/>
          <w:lang w:eastAsia="lv-LV"/>
        </w:rPr>
        <w:t>algas lielumu, nevar izslēgt arī būtisku emigrācijas samazināšanos. Šo faktoru ietekmē privātais patēriņš varētu augt straujāk vidēji par 0,5 procentpunktiem.</w:t>
      </w:r>
    </w:p>
    <w:p w:rsidR="00691C52" w:rsidRPr="002957BB"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957BB">
        <w:rPr>
          <w:rFonts w:ascii="Times New Roman" w:eastAsia="Times New Roman" w:hAnsi="Times New Roman" w:cs="Times New Roman"/>
          <w:sz w:val="24"/>
          <w:szCs w:val="24"/>
          <w:lang w:eastAsia="lv-LV"/>
        </w:rPr>
        <w:t>Rezultātā optimistiskā scenārija gadījumā Latvijas IKP izaugsme salīdzināmās cenās 2019.gadā būtu par 0,8 procentpunktiem, 2020.gadā par 0,6 un 2021.gadā par 0,2 procentpunktiem straujāka nekā bāzes scenārijā.</w:t>
      </w:r>
    </w:p>
    <w:p w:rsidR="00691C52" w:rsidRPr="0059271D" w:rsidRDefault="00691C52" w:rsidP="00691C52">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highlight w:val="yellow"/>
          <w:lang w:eastAsia="lv-LV"/>
        </w:rPr>
      </w:pPr>
      <w:r w:rsidRPr="002957BB">
        <w:rPr>
          <w:rFonts w:ascii="Times New Roman" w:eastAsia="Times New Roman" w:hAnsi="Times New Roman" w:cs="Times New Roman"/>
          <w:b/>
          <w:color w:val="000000"/>
          <w:sz w:val="24"/>
          <w:szCs w:val="24"/>
          <w:lang w:eastAsia="lv-LV"/>
        </w:rPr>
        <w:t>Ietekme uz vispārējās valdības budžetu.</w:t>
      </w:r>
      <w:r w:rsidRPr="002957BB">
        <w:rPr>
          <w:rFonts w:ascii="Times New Roman" w:eastAsia="Times New Roman" w:hAnsi="Times New Roman" w:cs="Times New Roman"/>
          <w:color w:val="000000"/>
          <w:sz w:val="24"/>
          <w:szCs w:val="24"/>
          <w:lang w:eastAsia="lv-LV"/>
        </w:rPr>
        <w:t xml:space="preserve"> Īstenojoties optimistiskajam scenārijam, kurā palielinās nodokļu un ne-nodokļu ieņēmumi</w:t>
      </w:r>
      <w:r w:rsidRPr="0059271D">
        <w:rPr>
          <w:rFonts w:ascii="Times New Roman" w:eastAsia="Times New Roman" w:hAnsi="Times New Roman" w:cs="Times New Roman"/>
          <w:color w:val="000000"/>
          <w:sz w:val="24"/>
          <w:szCs w:val="24"/>
          <w:lang w:eastAsia="lv-LV"/>
        </w:rPr>
        <w:t xml:space="preserve">, kā arī samazinās procentu izdevumi, uzlabotos vispārējās valdības budžeta bilance. Salīdzinājumā ar </w:t>
      </w:r>
      <w:r>
        <w:rPr>
          <w:rFonts w:ascii="Times New Roman" w:eastAsia="Times New Roman" w:hAnsi="Times New Roman" w:cs="Times New Roman"/>
          <w:color w:val="000000"/>
          <w:sz w:val="24"/>
          <w:szCs w:val="24"/>
          <w:lang w:eastAsia="lv-LV"/>
        </w:rPr>
        <w:t>bāzes</w:t>
      </w:r>
      <w:r w:rsidRPr="0059271D">
        <w:rPr>
          <w:rFonts w:ascii="Times New Roman" w:eastAsia="Times New Roman" w:hAnsi="Times New Roman" w:cs="Times New Roman"/>
          <w:color w:val="000000"/>
          <w:sz w:val="24"/>
          <w:szCs w:val="24"/>
          <w:lang w:eastAsia="lv-LV"/>
        </w:rPr>
        <w:t xml:space="preserve"> scenāriju optimistiskā scenārija gadījumā vispārējās valdības deficīts 2019.gadā samazinātos par 144,9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jeb 0,5 procentpunktu no IKP. Savukārt 2020., 2021. un 2022.gadā vispārējās valdības bilance uzlabotos attiecīgi par 0,8 (263,9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0,9 (320,9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un 0,9 (349,1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procentpunktiem no IKP salīdzinājumā ar </w:t>
      </w:r>
      <w:r>
        <w:rPr>
          <w:rFonts w:ascii="Times New Roman" w:eastAsia="Times New Roman" w:hAnsi="Times New Roman" w:cs="Times New Roman"/>
          <w:color w:val="000000"/>
          <w:sz w:val="24"/>
          <w:szCs w:val="24"/>
          <w:lang w:eastAsia="lv-LV"/>
        </w:rPr>
        <w:t>bāzes</w:t>
      </w:r>
      <w:r w:rsidRPr="0059271D">
        <w:rPr>
          <w:rFonts w:ascii="Times New Roman" w:eastAsia="Times New Roman" w:hAnsi="Times New Roman" w:cs="Times New Roman"/>
          <w:color w:val="000000"/>
          <w:sz w:val="24"/>
          <w:szCs w:val="24"/>
          <w:lang w:eastAsia="lv-LV"/>
        </w:rPr>
        <w:t xml:space="preserve"> scenāriju. Galvenokārt izmaiņas būtu vērojamas nodokļu ieņēmumos, kur tie nozīmīgākajā apmērā palielinātos valsts pamatbudžetā.</w:t>
      </w:r>
    </w:p>
    <w:p w:rsidR="00691C52" w:rsidRPr="0059271D" w:rsidRDefault="00691C52" w:rsidP="00691C52">
      <w:pPr>
        <w:spacing w:before="120" w:after="60" w:line="240" w:lineRule="auto"/>
        <w:jc w:val="right"/>
        <w:rPr>
          <w:rFonts w:ascii="Times New Roman" w:hAnsi="Times New Roman" w:cs="Times New Roman"/>
          <w:b/>
          <w:sz w:val="24"/>
          <w:szCs w:val="24"/>
        </w:rPr>
      </w:pPr>
      <w:r w:rsidRPr="0059271D">
        <w:rPr>
          <w:rFonts w:ascii="Times New Roman" w:hAnsi="Times New Roman" w:cs="Times New Roman"/>
          <w:b/>
          <w:sz w:val="24"/>
          <w:szCs w:val="24"/>
        </w:rPr>
        <w:lastRenderedPageBreak/>
        <w:t>4.2.tabula. Optimistiskā scenārija ietekme</w:t>
      </w:r>
      <w:r w:rsidRPr="0059271D">
        <w:rPr>
          <w:rFonts w:ascii="Times New Roman" w:hAnsi="Times New Roman" w:cs="Times New Roman"/>
          <w:b/>
          <w:sz w:val="24"/>
          <w:szCs w:val="24"/>
        </w:rPr>
        <w:br/>
        <w:t xml:space="preserve">uz vispārējās valdības budžetu, </w:t>
      </w:r>
      <w:r w:rsidRPr="0059271D">
        <w:rPr>
          <w:rFonts w:ascii="Times New Roman" w:hAnsi="Times New Roman" w:cs="Times New Roman"/>
          <w:b/>
          <w:noProof/>
          <w:sz w:val="24"/>
          <w:szCs w:val="24"/>
        </w:rPr>
        <w:t xml:space="preserve">milj. </w:t>
      </w:r>
      <w:r w:rsidRPr="0059271D">
        <w:rPr>
          <w:rFonts w:ascii="Times New Roman" w:hAnsi="Times New Roman" w:cs="Times New Roman"/>
          <w:b/>
          <w:i/>
          <w:noProof/>
          <w:sz w:val="24"/>
          <w:szCs w:val="24"/>
        </w:rPr>
        <w:t>euro</w:t>
      </w:r>
    </w:p>
    <w:tbl>
      <w:tblPr>
        <w:tblW w:w="9073"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836"/>
        <w:gridCol w:w="851"/>
        <w:gridCol w:w="844"/>
        <w:gridCol w:w="851"/>
        <w:gridCol w:w="850"/>
        <w:gridCol w:w="709"/>
        <w:gridCol w:w="709"/>
        <w:gridCol w:w="709"/>
        <w:gridCol w:w="704"/>
        <w:gridCol w:w="10"/>
      </w:tblGrid>
      <w:tr w:rsidR="00691C52" w:rsidRPr="0059271D" w:rsidTr="005E344C">
        <w:trPr>
          <w:trHeight w:val="340"/>
          <w:tblHeader/>
          <w:jc w:val="center"/>
        </w:trPr>
        <w:tc>
          <w:tcPr>
            <w:tcW w:w="2836" w:type="dxa"/>
            <w:shd w:val="clear" w:color="auto" w:fill="auto"/>
            <w:vAlign w:val="center"/>
            <w:hideMark/>
          </w:tcPr>
          <w:p w:rsidR="00691C52" w:rsidRPr="0059271D" w:rsidRDefault="00691C52" w:rsidP="00792B82">
            <w:pPr>
              <w:spacing w:after="0" w:line="240" w:lineRule="auto"/>
              <w:rPr>
                <w:rFonts w:ascii="Times New Roman" w:eastAsia="Times New Roman" w:hAnsi="Times New Roman" w:cs="Times New Roman"/>
                <w:sz w:val="20"/>
                <w:szCs w:val="20"/>
                <w:lang w:eastAsia="lv-LV"/>
              </w:rPr>
            </w:pPr>
          </w:p>
        </w:tc>
        <w:tc>
          <w:tcPr>
            <w:tcW w:w="3396" w:type="dxa"/>
            <w:gridSpan w:val="4"/>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Optimistiskais scenārijs</w:t>
            </w:r>
          </w:p>
        </w:tc>
        <w:tc>
          <w:tcPr>
            <w:tcW w:w="2841" w:type="dxa"/>
            <w:gridSpan w:val="5"/>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Novirze no bāzes scenārija</w:t>
            </w:r>
          </w:p>
        </w:tc>
      </w:tr>
      <w:tr w:rsidR="00691C52" w:rsidRPr="0059271D" w:rsidTr="005E344C">
        <w:trPr>
          <w:gridAfter w:val="1"/>
          <w:wAfter w:w="10" w:type="dxa"/>
          <w:trHeight w:val="340"/>
          <w:jc w:val="center"/>
        </w:trPr>
        <w:tc>
          <w:tcPr>
            <w:tcW w:w="2836" w:type="dxa"/>
            <w:shd w:val="clear" w:color="auto" w:fill="auto"/>
            <w:vAlign w:val="center"/>
            <w:hideMark/>
          </w:tcPr>
          <w:p w:rsidR="00691C52" w:rsidRPr="0059271D" w:rsidRDefault="00691C52" w:rsidP="00792B82">
            <w:pPr>
              <w:spacing w:after="0" w:line="240" w:lineRule="auto"/>
              <w:rPr>
                <w:rFonts w:ascii="Times New Roman" w:eastAsia="Times New Roman" w:hAnsi="Times New Roman" w:cs="Times New Roman"/>
                <w:sz w:val="20"/>
                <w:szCs w:val="20"/>
                <w:lang w:eastAsia="lv-LV"/>
              </w:rPr>
            </w:pPr>
          </w:p>
        </w:tc>
        <w:tc>
          <w:tcPr>
            <w:tcW w:w="851" w:type="dxa"/>
            <w:shd w:val="clear" w:color="auto" w:fill="auto"/>
            <w:tcMar>
              <w:left w:w="57" w:type="dxa"/>
              <w:right w:w="57" w:type="dxa"/>
            </w:tcMar>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2019</w:t>
            </w:r>
          </w:p>
        </w:tc>
        <w:tc>
          <w:tcPr>
            <w:tcW w:w="844" w:type="dxa"/>
            <w:shd w:val="clear" w:color="auto" w:fill="auto"/>
            <w:tcMar>
              <w:left w:w="57" w:type="dxa"/>
              <w:right w:w="57" w:type="dxa"/>
            </w:tcMar>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2020</w:t>
            </w:r>
          </w:p>
        </w:tc>
        <w:tc>
          <w:tcPr>
            <w:tcW w:w="851" w:type="dxa"/>
            <w:tcMar>
              <w:left w:w="57" w:type="dxa"/>
              <w:right w:w="57" w:type="dxa"/>
            </w:tcMar>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2021</w:t>
            </w:r>
          </w:p>
        </w:tc>
        <w:tc>
          <w:tcPr>
            <w:tcW w:w="850" w:type="dxa"/>
            <w:shd w:val="clear" w:color="auto" w:fill="auto"/>
            <w:tcMar>
              <w:left w:w="57" w:type="dxa"/>
              <w:right w:w="57" w:type="dxa"/>
            </w:tcMar>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2022</w:t>
            </w:r>
          </w:p>
        </w:tc>
        <w:tc>
          <w:tcPr>
            <w:tcW w:w="709" w:type="dxa"/>
            <w:shd w:val="clear" w:color="auto" w:fill="auto"/>
            <w:tcMar>
              <w:left w:w="57" w:type="dxa"/>
              <w:right w:w="57" w:type="dxa"/>
            </w:tcMar>
            <w:vAlign w:val="center"/>
            <w:hideMark/>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2019</w:t>
            </w:r>
          </w:p>
        </w:tc>
        <w:tc>
          <w:tcPr>
            <w:tcW w:w="709" w:type="dxa"/>
            <w:shd w:val="clear" w:color="auto" w:fill="auto"/>
            <w:tcMar>
              <w:left w:w="57" w:type="dxa"/>
              <w:right w:w="57" w:type="dxa"/>
            </w:tcMar>
            <w:vAlign w:val="center"/>
            <w:hideMark/>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2020</w:t>
            </w:r>
          </w:p>
        </w:tc>
        <w:tc>
          <w:tcPr>
            <w:tcW w:w="709" w:type="dxa"/>
            <w:tcMar>
              <w:left w:w="57" w:type="dxa"/>
              <w:right w:w="57" w:type="dxa"/>
            </w:tcMar>
            <w:vAlign w:val="center"/>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2021</w:t>
            </w:r>
          </w:p>
        </w:tc>
        <w:tc>
          <w:tcPr>
            <w:tcW w:w="704" w:type="dxa"/>
            <w:shd w:val="clear" w:color="auto" w:fill="auto"/>
            <w:tcMar>
              <w:left w:w="57" w:type="dxa"/>
              <w:right w:w="57" w:type="dxa"/>
            </w:tcMar>
            <w:vAlign w:val="center"/>
            <w:hideMark/>
          </w:tcPr>
          <w:p w:rsidR="00691C52" w:rsidRPr="0059271D" w:rsidRDefault="00691C52" w:rsidP="00792B82">
            <w:pPr>
              <w:spacing w:after="0" w:line="240" w:lineRule="auto"/>
              <w:jc w:val="center"/>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2022</w:t>
            </w:r>
          </w:p>
        </w:tc>
      </w:tr>
      <w:tr w:rsidR="001E6B2D" w:rsidRPr="0059271D" w:rsidTr="002F52B4">
        <w:trPr>
          <w:gridAfter w:val="1"/>
          <w:wAfter w:w="10" w:type="dxa"/>
          <w:trHeight w:val="340"/>
          <w:jc w:val="center"/>
        </w:trPr>
        <w:tc>
          <w:tcPr>
            <w:tcW w:w="2836" w:type="dxa"/>
            <w:shd w:val="clear" w:color="auto" w:fill="DEEAF6" w:themeFill="accent1" w:themeFillTint="33"/>
            <w:vAlign w:val="center"/>
          </w:tcPr>
          <w:p w:rsidR="001E6B2D" w:rsidRPr="0059271D" w:rsidRDefault="001E6B2D" w:rsidP="001E6B2D">
            <w:pPr>
              <w:spacing w:after="0" w:line="240" w:lineRule="auto"/>
              <w:rPr>
                <w:rFonts w:ascii="Times New Roman" w:eastAsia="Times New Roman" w:hAnsi="Times New Roman" w:cs="Times New Roman"/>
                <w:b/>
                <w:sz w:val="20"/>
                <w:szCs w:val="20"/>
                <w:lang w:eastAsia="lv-LV"/>
              </w:rPr>
            </w:pPr>
            <w:r w:rsidRPr="0059271D">
              <w:rPr>
                <w:rFonts w:ascii="Times New Roman" w:eastAsia="Times New Roman" w:hAnsi="Times New Roman" w:cs="Times New Roman"/>
                <w:b/>
                <w:sz w:val="20"/>
                <w:szCs w:val="20"/>
                <w:lang w:eastAsia="lv-LV"/>
              </w:rPr>
              <w:t>Vispārējās valdības budžeta bilance, % no IKP</w:t>
            </w:r>
          </w:p>
        </w:tc>
        <w:tc>
          <w:tcPr>
            <w:tcW w:w="851"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-0,1</w:t>
            </w:r>
          </w:p>
        </w:tc>
        <w:tc>
          <w:tcPr>
            <w:tcW w:w="844"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w:t>
            </w:r>
            <w:r>
              <w:rPr>
                <w:rFonts w:ascii="Times New Roman" w:hAnsi="Times New Roman" w:cs="Times New Roman"/>
                <w:b/>
                <w:sz w:val="20"/>
                <w:szCs w:val="20"/>
              </w:rPr>
              <w:t>4</w:t>
            </w:r>
          </w:p>
        </w:tc>
        <w:tc>
          <w:tcPr>
            <w:tcW w:w="851"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w:t>
            </w:r>
            <w:r>
              <w:rPr>
                <w:rFonts w:ascii="Times New Roman" w:hAnsi="Times New Roman" w:cs="Times New Roman"/>
                <w:b/>
                <w:sz w:val="20"/>
                <w:szCs w:val="20"/>
              </w:rPr>
              <w:t>7</w:t>
            </w:r>
          </w:p>
        </w:tc>
        <w:tc>
          <w:tcPr>
            <w:tcW w:w="850"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color w:val="FF0000"/>
                <w:sz w:val="20"/>
                <w:szCs w:val="20"/>
              </w:rPr>
            </w:pPr>
            <w:r w:rsidRPr="0059271D">
              <w:rPr>
                <w:rFonts w:ascii="Times New Roman" w:hAnsi="Times New Roman" w:cs="Times New Roman"/>
                <w:b/>
                <w:sz w:val="20"/>
                <w:szCs w:val="20"/>
              </w:rPr>
              <w:t>0,</w:t>
            </w:r>
            <w:r>
              <w:rPr>
                <w:rFonts w:ascii="Times New Roman" w:hAnsi="Times New Roman" w:cs="Times New Roman"/>
                <w:b/>
                <w:sz w:val="20"/>
                <w:szCs w:val="20"/>
              </w:rPr>
              <w:t>6</w:t>
            </w:r>
          </w:p>
        </w:tc>
        <w:tc>
          <w:tcPr>
            <w:tcW w:w="709"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0,5</w:t>
            </w:r>
          </w:p>
        </w:tc>
        <w:tc>
          <w:tcPr>
            <w:tcW w:w="709"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0,8</w:t>
            </w:r>
          </w:p>
        </w:tc>
        <w:tc>
          <w:tcPr>
            <w:tcW w:w="709"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0,9</w:t>
            </w:r>
          </w:p>
        </w:tc>
        <w:tc>
          <w:tcPr>
            <w:tcW w:w="704" w:type="dxa"/>
            <w:shd w:val="clear" w:color="auto" w:fill="DEEAF6" w:themeFill="accent1" w:themeFillTint="33"/>
            <w:tcMar>
              <w:left w:w="57" w:type="dxa"/>
              <w:right w:w="57" w:type="dxa"/>
            </w:tcMar>
            <w:vAlign w:val="center"/>
          </w:tcPr>
          <w:p w:rsidR="001E6B2D" w:rsidRPr="0059271D" w:rsidRDefault="001E6B2D" w:rsidP="001E6B2D">
            <w:pPr>
              <w:spacing w:after="0"/>
              <w:ind w:right="5"/>
              <w:jc w:val="center"/>
              <w:rPr>
                <w:rFonts w:ascii="Times New Roman" w:hAnsi="Times New Roman" w:cs="Times New Roman"/>
                <w:b/>
                <w:sz w:val="20"/>
                <w:szCs w:val="20"/>
              </w:rPr>
            </w:pPr>
            <w:r w:rsidRPr="0059271D">
              <w:rPr>
                <w:rFonts w:ascii="Times New Roman" w:hAnsi="Times New Roman" w:cs="Times New Roman"/>
                <w:b/>
                <w:sz w:val="20"/>
                <w:szCs w:val="20"/>
              </w:rPr>
              <w:t>0,9</w:t>
            </w:r>
          </w:p>
        </w:tc>
      </w:tr>
      <w:tr w:rsidR="001E6B2D" w:rsidRPr="0059271D" w:rsidTr="002F52B4">
        <w:trPr>
          <w:gridAfter w:val="1"/>
          <w:wAfter w:w="10" w:type="dxa"/>
          <w:trHeight w:val="340"/>
          <w:jc w:val="center"/>
        </w:trPr>
        <w:tc>
          <w:tcPr>
            <w:tcW w:w="2836" w:type="dxa"/>
            <w:shd w:val="clear" w:color="auto" w:fill="auto"/>
            <w:vAlign w:val="center"/>
          </w:tcPr>
          <w:p w:rsidR="001E6B2D" w:rsidRPr="00051F48" w:rsidRDefault="001E6B2D" w:rsidP="001E6B2D">
            <w:pPr>
              <w:spacing w:after="0" w:line="240" w:lineRule="auto"/>
              <w:rPr>
                <w:rFonts w:ascii="Times New Roman" w:eastAsia="Times New Roman" w:hAnsi="Times New Roman" w:cs="Times New Roman"/>
                <w:b/>
                <w:sz w:val="20"/>
                <w:szCs w:val="20"/>
                <w:lang w:eastAsia="lv-LV"/>
              </w:rPr>
            </w:pPr>
            <w:r w:rsidRPr="00051F48">
              <w:rPr>
                <w:rFonts w:ascii="Times New Roman" w:eastAsia="Times New Roman" w:hAnsi="Times New Roman" w:cs="Times New Roman"/>
                <w:b/>
                <w:sz w:val="20"/>
                <w:szCs w:val="20"/>
                <w:lang w:eastAsia="lv-LV"/>
              </w:rPr>
              <w:t>Vispārējās valdības budžeta bilance</w:t>
            </w:r>
          </w:p>
        </w:tc>
        <w:tc>
          <w:tcPr>
            <w:tcW w:w="851" w:type="dxa"/>
            <w:shd w:val="clear" w:color="auto" w:fill="auto"/>
            <w:tcMar>
              <w:left w:w="57" w:type="dxa"/>
              <w:right w:w="57" w:type="dxa"/>
            </w:tcMar>
            <w:vAlign w:val="center"/>
          </w:tcPr>
          <w:p w:rsidR="001E6B2D" w:rsidRPr="0059271D" w:rsidRDefault="001E6B2D" w:rsidP="001E6B2D">
            <w:pPr>
              <w:spacing w:after="0" w:line="240" w:lineRule="auto"/>
              <w:jc w:val="center"/>
              <w:rPr>
                <w:rFonts w:ascii="Times New Roman" w:eastAsia="Times New Roman" w:hAnsi="Times New Roman" w:cs="Times New Roman"/>
                <w:sz w:val="20"/>
                <w:szCs w:val="20"/>
                <w:lang w:eastAsia="lv-LV"/>
              </w:rPr>
            </w:pPr>
            <w:r w:rsidRPr="0059271D">
              <w:rPr>
                <w:rFonts w:ascii="Times New Roman" w:eastAsia="Times New Roman" w:hAnsi="Times New Roman" w:cs="Times New Roman"/>
                <w:sz w:val="20"/>
                <w:szCs w:val="20"/>
                <w:lang w:eastAsia="lv-LV"/>
              </w:rPr>
              <w:t>-23,5</w:t>
            </w:r>
          </w:p>
        </w:tc>
        <w:tc>
          <w:tcPr>
            <w:tcW w:w="844" w:type="dxa"/>
            <w:shd w:val="clear" w:color="auto" w:fill="auto"/>
            <w:tcMar>
              <w:left w:w="57" w:type="dxa"/>
              <w:right w:w="57" w:type="dxa"/>
            </w:tcMar>
            <w:vAlign w:val="center"/>
          </w:tcPr>
          <w:p w:rsidR="001E6B2D" w:rsidRPr="0059271D" w:rsidRDefault="001E6B2D" w:rsidP="001E6B2D">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130,6</w:t>
            </w:r>
          </w:p>
        </w:tc>
        <w:tc>
          <w:tcPr>
            <w:tcW w:w="851" w:type="dxa"/>
            <w:tcMar>
              <w:left w:w="57" w:type="dxa"/>
              <w:right w:w="57" w:type="dxa"/>
            </w:tcMar>
            <w:vAlign w:val="center"/>
          </w:tcPr>
          <w:p w:rsidR="001E6B2D" w:rsidRPr="0059271D" w:rsidRDefault="001E6B2D" w:rsidP="001E6B2D">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239,5</w:t>
            </w:r>
          </w:p>
        </w:tc>
        <w:tc>
          <w:tcPr>
            <w:tcW w:w="850" w:type="dxa"/>
            <w:shd w:val="clear" w:color="auto" w:fill="auto"/>
            <w:tcMar>
              <w:left w:w="57" w:type="dxa"/>
              <w:right w:w="57" w:type="dxa"/>
            </w:tcMar>
            <w:vAlign w:val="center"/>
          </w:tcPr>
          <w:p w:rsidR="001E6B2D" w:rsidRPr="0059271D" w:rsidRDefault="001E6B2D" w:rsidP="001E6B2D">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226,7</w:t>
            </w:r>
          </w:p>
        </w:tc>
        <w:tc>
          <w:tcPr>
            <w:tcW w:w="709" w:type="dxa"/>
            <w:shd w:val="clear" w:color="auto" w:fill="auto"/>
            <w:tcMar>
              <w:left w:w="57" w:type="dxa"/>
              <w:right w:w="57" w:type="dxa"/>
            </w:tcMar>
            <w:vAlign w:val="center"/>
          </w:tcPr>
          <w:p w:rsidR="001E6B2D" w:rsidRPr="0059271D" w:rsidRDefault="001E6B2D" w:rsidP="001E6B2D">
            <w:pPr>
              <w:spacing w:after="0" w:line="240" w:lineRule="auto"/>
              <w:jc w:val="center"/>
              <w:rPr>
                <w:rFonts w:ascii="Times New Roman" w:eastAsia="Times New Roman" w:hAnsi="Times New Roman" w:cs="Times New Roman"/>
                <w:sz w:val="20"/>
                <w:szCs w:val="20"/>
                <w:lang w:eastAsia="lv-LV"/>
              </w:rPr>
            </w:pPr>
            <w:r w:rsidRPr="0059271D">
              <w:rPr>
                <w:rFonts w:ascii="Times New Roman" w:eastAsia="Times New Roman" w:hAnsi="Times New Roman" w:cs="Times New Roman"/>
                <w:sz w:val="20"/>
                <w:szCs w:val="20"/>
                <w:lang w:eastAsia="lv-LV"/>
              </w:rPr>
              <w:t>144,9</w:t>
            </w:r>
          </w:p>
        </w:tc>
        <w:tc>
          <w:tcPr>
            <w:tcW w:w="709" w:type="dxa"/>
            <w:shd w:val="clear" w:color="auto" w:fill="auto"/>
            <w:tcMar>
              <w:left w:w="57" w:type="dxa"/>
              <w:right w:w="57" w:type="dxa"/>
            </w:tcMar>
            <w:vAlign w:val="center"/>
          </w:tcPr>
          <w:p w:rsidR="001E6B2D" w:rsidRPr="0059271D" w:rsidRDefault="001E6B2D" w:rsidP="001E6B2D">
            <w:pPr>
              <w:spacing w:after="0"/>
              <w:jc w:val="center"/>
              <w:rPr>
                <w:rFonts w:ascii="Times New Roman" w:eastAsia="Times New Roman" w:hAnsi="Times New Roman" w:cs="Times New Roman"/>
                <w:sz w:val="20"/>
                <w:szCs w:val="20"/>
                <w:lang w:eastAsia="lv-LV"/>
              </w:rPr>
            </w:pPr>
            <w:r w:rsidRPr="0059271D">
              <w:rPr>
                <w:rFonts w:ascii="Times New Roman" w:eastAsia="Times New Roman" w:hAnsi="Times New Roman" w:cs="Times New Roman"/>
                <w:sz w:val="20"/>
                <w:szCs w:val="20"/>
                <w:lang w:eastAsia="lv-LV"/>
              </w:rPr>
              <w:t>263,9</w:t>
            </w:r>
          </w:p>
        </w:tc>
        <w:tc>
          <w:tcPr>
            <w:tcW w:w="709" w:type="dxa"/>
            <w:tcMar>
              <w:left w:w="57" w:type="dxa"/>
              <w:right w:w="57" w:type="dxa"/>
            </w:tcMar>
            <w:vAlign w:val="center"/>
          </w:tcPr>
          <w:p w:rsidR="001E6B2D" w:rsidRPr="0059271D" w:rsidRDefault="001E6B2D" w:rsidP="001E6B2D">
            <w:pPr>
              <w:spacing w:after="0"/>
              <w:jc w:val="center"/>
              <w:rPr>
                <w:rFonts w:ascii="Times New Roman" w:eastAsia="Times New Roman" w:hAnsi="Times New Roman" w:cs="Times New Roman"/>
                <w:sz w:val="20"/>
                <w:szCs w:val="20"/>
                <w:lang w:eastAsia="lv-LV"/>
              </w:rPr>
            </w:pPr>
            <w:r w:rsidRPr="0059271D">
              <w:rPr>
                <w:rFonts w:ascii="Times New Roman" w:eastAsia="Times New Roman" w:hAnsi="Times New Roman" w:cs="Times New Roman"/>
                <w:sz w:val="20"/>
                <w:szCs w:val="20"/>
                <w:lang w:eastAsia="lv-LV"/>
              </w:rPr>
              <w:t>320,9</w:t>
            </w:r>
          </w:p>
        </w:tc>
        <w:tc>
          <w:tcPr>
            <w:tcW w:w="704" w:type="dxa"/>
            <w:shd w:val="clear" w:color="auto" w:fill="auto"/>
            <w:tcMar>
              <w:left w:w="57" w:type="dxa"/>
              <w:right w:w="57" w:type="dxa"/>
            </w:tcMar>
            <w:vAlign w:val="center"/>
          </w:tcPr>
          <w:p w:rsidR="001E6B2D" w:rsidRPr="0059271D" w:rsidRDefault="001E6B2D" w:rsidP="001E6B2D">
            <w:pPr>
              <w:spacing w:after="0"/>
              <w:jc w:val="center"/>
              <w:rPr>
                <w:rFonts w:ascii="Times New Roman" w:eastAsia="Times New Roman" w:hAnsi="Times New Roman" w:cs="Times New Roman"/>
                <w:sz w:val="20"/>
                <w:szCs w:val="20"/>
                <w:lang w:eastAsia="lv-LV"/>
              </w:rPr>
            </w:pPr>
            <w:r w:rsidRPr="0059271D">
              <w:rPr>
                <w:rFonts w:ascii="Times New Roman" w:eastAsia="Times New Roman" w:hAnsi="Times New Roman" w:cs="Times New Roman"/>
                <w:sz w:val="20"/>
                <w:szCs w:val="20"/>
                <w:lang w:eastAsia="lv-LV"/>
              </w:rPr>
              <w:t>349,1</w:t>
            </w:r>
          </w:p>
        </w:tc>
      </w:tr>
      <w:tr w:rsidR="00691C52" w:rsidRPr="0059271D" w:rsidTr="002F52B4">
        <w:trPr>
          <w:gridAfter w:val="1"/>
          <w:wAfter w:w="10" w:type="dxa"/>
          <w:trHeight w:val="340"/>
          <w:jc w:val="center"/>
        </w:trPr>
        <w:tc>
          <w:tcPr>
            <w:tcW w:w="2836" w:type="dxa"/>
            <w:shd w:val="clear" w:color="auto" w:fill="DEEAF6"/>
            <w:vAlign w:val="center"/>
          </w:tcPr>
          <w:p w:rsidR="00691C52" w:rsidRPr="00051F48" w:rsidRDefault="00691C52" w:rsidP="00792B82">
            <w:pPr>
              <w:spacing w:after="0" w:line="240" w:lineRule="auto"/>
              <w:ind w:left="166"/>
              <w:rPr>
                <w:rFonts w:ascii="Times New Roman" w:eastAsia="Times New Roman" w:hAnsi="Times New Roman" w:cs="Times New Roman"/>
                <w:b/>
                <w:sz w:val="20"/>
                <w:szCs w:val="20"/>
                <w:lang w:eastAsia="lv-LV"/>
              </w:rPr>
            </w:pPr>
            <w:r w:rsidRPr="00051F48">
              <w:rPr>
                <w:rFonts w:ascii="Times New Roman" w:eastAsia="Times New Roman" w:hAnsi="Times New Roman" w:cs="Times New Roman"/>
                <w:b/>
                <w:sz w:val="20"/>
                <w:szCs w:val="20"/>
                <w:lang w:eastAsia="lv-LV"/>
              </w:rPr>
              <w:t>Nodokļu ieņēmumi</w:t>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9</w:t>
            </w:r>
            <w:r w:rsidR="00051F48">
              <w:rPr>
                <w:rFonts w:ascii="Times New Roman" w:hAnsi="Times New Roman" w:cs="Times New Roman"/>
                <w:sz w:val="20"/>
                <w:szCs w:val="20"/>
              </w:rPr>
              <w:t> </w:t>
            </w:r>
            <w:r w:rsidRPr="0059271D">
              <w:rPr>
                <w:rFonts w:ascii="Times New Roman" w:hAnsi="Times New Roman" w:cs="Times New Roman"/>
                <w:sz w:val="20"/>
                <w:szCs w:val="20"/>
              </w:rPr>
              <w:t>183,9</w:t>
            </w:r>
          </w:p>
        </w:tc>
        <w:tc>
          <w:tcPr>
            <w:tcW w:w="84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9</w:t>
            </w:r>
            <w:r w:rsidR="00051F48">
              <w:rPr>
                <w:rFonts w:ascii="Times New Roman" w:hAnsi="Times New Roman" w:cs="Times New Roman"/>
                <w:sz w:val="20"/>
                <w:szCs w:val="20"/>
              </w:rPr>
              <w:t> </w:t>
            </w:r>
            <w:r w:rsidRPr="0059271D">
              <w:rPr>
                <w:rFonts w:ascii="Times New Roman" w:hAnsi="Times New Roman" w:cs="Times New Roman"/>
                <w:sz w:val="20"/>
                <w:szCs w:val="20"/>
              </w:rPr>
              <w:t>919,5</w:t>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10</w:t>
            </w:r>
            <w:r w:rsidR="00051F48">
              <w:rPr>
                <w:rFonts w:ascii="Times New Roman" w:hAnsi="Times New Roman" w:cs="Times New Roman"/>
                <w:sz w:val="20"/>
                <w:szCs w:val="20"/>
              </w:rPr>
              <w:t> </w:t>
            </w:r>
            <w:r w:rsidRPr="0059271D">
              <w:rPr>
                <w:rFonts w:ascii="Times New Roman" w:hAnsi="Times New Roman" w:cs="Times New Roman"/>
                <w:sz w:val="20"/>
                <w:szCs w:val="20"/>
              </w:rPr>
              <w:t>496,4</w:t>
            </w:r>
          </w:p>
        </w:tc>
        <w:tc>
          <w:tcPr>
            <w:tcW w:w="850"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11</w:t>
            </w:r>
            <w:r w:rsidR="00051F48">
              <w:rPr>
                <w:rFonts w:ascii="Times New Roman" w:hAnsi="Times New Roman" w:cs="Times New Roman"/>
                <w:sz w:val="20"/>
                <w:szCs w:val="20"/>
              </w:rPr>
              <w:t> </w:t>
            </w:r>
            <w:r w:rsidRPr="0059271D">
              <w:rPr>
                <w:rFonts w:ascii="Times New Roman" w:hAnsi="Times New Roman" w:cs="Times New Roman"/>
                <w:sz w:val="20"/>
                <w:szCs w:val="20"/>
              </w:rPr>
              <w:t>033,2</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136,9</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248,0</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298,2</w:t>
            </w:r>
          </w:p>
        </w:tc>
        <w:tc>
          <w:tcPr>
            <w:tcW w:w="70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313,6</w:t>
            </w:r>
          </w:p>
        </w:tc>
      </w:tr>
      <w:tr w:rsidR="00691C52" w:rsidRPr="0059271D" w:rsidTr="002F52B4">
        <w:trPr>
          <w:gridAfter w:val="1"/>
          <w:wAfter w:w="10" w:type="dxa"/>
          <w:trHeight w:val="340"/>
          <w:jc w:val="center"/>
        </w:trPr>
        <w:tc>
          <w:tcPr>
            <w:tcW w:w="2836" w:type="dxa"/>
            <w:shd w:val="clear" w:color="auto" w:fill="auto"/>
          </w:tcPr>
          <w:p w:rsidR="00691C52" w:rsidRPr="0059271D" w:rsidRDefault="00691C52" w:rsidP="00792B82">
            <w:pPr>
              <w:spacing w:after="0"/>
              <w:jc w:val="right"/>
              <w:rPr>
                <w:rFonts w:ascii="Times New Roman" w:hAnsi="Times New Roman" w:cs="Times New Roman"/>
                <w:b/>
                <w:i/>
                <w:sz w:val="20"/>
                <w:szCs w:val="20"/>
              </w:rPr>
            </w:pPr>
            <w:r w:rsidRPr="0059271D">
              <w:rPr>
                <w:rFonts w:ascii="Times New Roman" w:hAnsi="Times New Roman" w:cs="Times New Roman"/>
                <w:i/>
                <w:sz w:val="20"/>
                <w:szCs w:val="20"/>
              </w:rPr>
              <w:t>Iedzīvotāju ienākuma nodoklis</w:t>
            </w:r>
          </w:p>
        </w:tc>
        <w:tc>
          <w:tcPr>
            <w:tcW w:w="851"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770,3</w:t>
            </w:r>
          </w:p>
        </w:tc>
        <w:tc>
          <w:tcPr>
            <w:tcW w:w="84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769,5</w:t>
            </w:r>
          </w:p>
        </w:tc>
        <w:tc>
          <w:tcPr>
            <w:tcW w:w="851"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852,6</w:t>
            </w:r>
          </w:p>
        </w:tc>
        <w:tc>
          <w:tcPr>
            <w:tcW w:w="850"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948,3</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27,9</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46,7</w:t>
            </w:r>
          </w:p>
        </w:tc>
        <w:tc>
          <w:tcPr>
            <w:tcW w:w="709"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55,4</w:t>
            </w:r>
          </w:p>
        </w:tc>
        <w:tc>
          <w:tcPr>
            <w:tcW w:w="70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57,3</w:t>
            </w:r>
          </w:p>
        </w:tc>
      </w:tr>
      <w:tr w:rsidR="00691C52" w:rsidRPr="0059271D" w:rsidTr="002F52B4">
        <w:trPr>
          <w:gridAfter w:val="1"/>
          <w:wAfter w:w="10" w:type="dxa"/>
          <w:trHeight w:val="340"/>
          <w:jc w:val="center"/>
        </w:trPr>
        <w:tc>
          <w:tcPr>
            <w:tcW w:w="2836" w:type="dxa"/>
            <w:shd w:val="clear" w:color="auto" w:fill="DEEAF6"/>
          </w:tcPr>
          <w:p w:rsidR="00691C52" w:rsidRPr="0059271D" w:rsidRDefault="00691C52" w:rsidP="00792B82">
            <w:pPr>
              <w:spacing w:after="0"/>
              <w:jc w:val="right"/>
              <w:rPr>
                <w:rFonts w:ascii="Times New Roman" w:hAnsi="Times New Roman" w:cs="Times New Roman"/>
                <w:b/>
                <w:i/>
                <w:sz w:val="20"/>
                <w:szCs w:val="20"/>
              </w:rPr>
            </w:pPr>
            <w:r w:rsidRPr="0059271D">
              <w:rPr>
                <w:rFonts w:ascii="Times New Roman" w:hAnsi="Times New Roman" w:cs="Times New Roman"/>
                <w:i/>
                <w:sz w:val="20"/>
                <w:szCs w:val="20"/>
              </w:rPr>
              <w:t>Uzņēmuma ienākuma nodoklis</w:t>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194,5</w:t>
            </w:r>
          </w:p>
        </w:tc>
        <w:tc>
          <w:tcPr>
            <w:tcW w:w="84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359,8</w:t>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381,7</w:t>
            </w:r>
          </w:p>
        </w:tc>
        <w:tc>
          <w:tcPr>
            <w:tcW w:w="850"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403,5</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3,1</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9,5</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11,4</w:t>
            </w:r>
          </w:p>
        </w:tc>
        <w:tc>
          <w:tcPr>
            <w:tcW w:w="70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12,1</w:t>
            </w:r>
          </w:p>
        </w:tc>
      </w:tr>
      <w:tr w:rsidR="00691C52" w:rsidRPr="0059271D" w:rsidTr="002F52B4">
        <w:trPr>
          <w:gridAfter w:val="1"/>
          <w:wAfter w:w="10" w:type="dxa"/>
          <w:trHeight w:val="340"/>
          <w:jc w:val="center"/>
        </w:trPr>
        <w:tc>
          <w:tcPr>
            <w:tcW w:w="2836" w:type="dxa"/>
            <w:shd w:val="clear" w:color="auto" w:fill="auto"/>
          </w:tcPr>
          <w:p w:rsidR="00691C52" w:rsidRPr="0059271D" w:rsidRDefault="006A570D" w:rsidP="00792B82">
            <w:pPr>
              <w:spacing w:after="0"/>
              <w:jc w:val="right"/>
              <w:rPr>
                <w:rFonts w:ascii="Times New Roman" w:hAnsi="Times New Roman" w:cs="Times New Roman"/>
                <w:b/>
                <w:i/>
                <w:sz w:val="20"/>
                <w:szCs w:val="20"/>
              </w:rPr>
            </w:pPr>
            <w:r>
              <w:rPr>
                <w:rFonts w:ascii="Times New Roman" w:hAnsi="Times New Roman" w:cs="Times New Roman"/>
                <w:i/>
                <w:sz w:val="20"/>
                <w:szCs w:val="20"/>
              </w:rPr>
              <w:t>PVN</w:t>
            </w:r>
          </w:p>
        </w:tc>
        <w:tc>
          <w:tcPr>
            <w:tcW w:w="851"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w:t>
            </w:r>
            <w:r w:rsidR="00051F48">
              <w:rPr>
                <w:rFonts w:ascii="Times New Roman" w:hAnsi="Times New Roman" w:cs="Times New Roman"/>
                <w:sz w:val="20"/>
                <w:szCs w:val="20"/>
              </w:rPr>
              <w:t> </w:t>
            </w:r>
            <w:r w:rsidRPr="0059271D">
              <w:rPr>
                <w:rFonts w:ascii="Times New Roman" w:hAnsi="Times New Roman" w:cs="Times New Roman"/>
                <w:sz w:val="20"/>
                <w:szCs w:val="20"/>
              </w:rPr>
              <w:t>703,0</w:t>
            </w:r>
          </w:p>
        </w:tc>
        <w:tc>
          <w:tcPr>
            <w:tcW w:w="84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w:t>
            </w:r>
            <w:r w:rsidR="00051F48">
              <w:rPr>
                <w:rFonts w:ascii="Times New Roman" w:hAnsi="Times New Roman" w:cs="Times New Roman"/>
                <w:sz w:val="20"/>
                <w:szCs w:val="20"/>
              </w:rPr>
              <w:t> </w:t>
            </w:r>
            <w:r w:rsidRPr="0059271D">
              <w:rPr>
                <w:rFonts w:ascii="Times New Roman" w:hAnsi="Times New Roman" w:cs="Times New Roman"/>
                <w:sz w:val="20"/>
                <w:szCs w:val="20"/>
              </w:rPr>
              <w:t>919,8</w:t>
            </w:r>
          </w:p>
        </w:tc>
        <w:tc>
          <w:tcPr>
            <w:tcW w:w="851"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w:t>
            </w:r>
            <w:r w:rsidR="00051F48">
              <w:rPr>
                <w:rFonts w:ascii="Times New Roman" w:hAnsi="Times New Roman" w:cs="Times New Roman"/>
                <w:sz w:val="20"/>
                <w:szCs w:val="20"/>
              </w:rPr>
              <w:t> </w:t>
            </w:r>
            <w:r w:rsidRPr="0059271D">
              <w:rPr>
                <w:rFonts w:ascii="Times New Roman" w:hAnsi="Times New Roman" w:cs="Times New Roman"/>
                <w:sz w:val="20"/>
                <w:szCs w:val="20"/>
              </w:rPr>
              <w:t>133,6</w:t>
            </w:r>
          </w:p>
        </w:tc>
        <w:tc>
          <w:tcPr>
            <w:tcW w:w="850"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w:t>
            </w:r>
            <w:r w:rsidR="00051F48">
              <w:rPr>
                <w:rFonts w:ascii="Times New Roman" w:hAnsi="Times New Roman" w:cs="Times New Roman"/>
                <w:sz w:val="20"/>
                <w:szCs w:val="20"/>
              </w:rPr>
              <w:t> </w:t>
            </w:r>
            <w:r w:rsidRPr="0059271D">
              <w:rPr>
                <w:rFonts w:ascii="Times New Roman" w:hAnsi="Times New Roman" w:cs="Times New Roman"/>
                <w:sz w:val="20"/>
                <w:szCs w:val="20"/>
              </w:rPr>
              <w:t>326,8</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42,6</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77,0</w:t>
            </w:r>
          </w:p>
        </w:tc>
        <w:tc>
          <w:tcPr>
            <w:tcW w:w="709"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93,8</w:t>
            </w:r>
          </w:p>
        </w:tc>
        <w:tc>
          <w:tcPr>
            <w:tcW w:w="70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99,6</w:t>
            </w:r>
          </w:p>
        </w:tc>
      </w:tr>
      <w:tr w:rsidR="00691C52" w:rsidRPr="0059271D" w:rsidTr="002F52B4">
        <w:trPr>
          <w:gridAfter w:val="1"/>
          <w:wAfter w:w="10" w:type="dxa"/>
          <w:trHeight w:val="340"/>
          <w:jc w:val="center"/>
        </w:trPr>
        <w:tc>
          <w:tcPr>
            <w:tcW w:w="2836" w:type="dxa"/>
            <w:shd w:val="clear" w:color="auto" w:fill="DEEAF6"/>
          </w:tcPr>
          <w:p w:rsidR="00691C52" w:rsidRPr="0059271D" w:rsidRDefault="00691C52" w:rsidP="00792B82">
            <w:pPr>
              <w:spacing w:after="0"/>
              <w:jc w:val="right"/>
              <w:rPr>
                <w:rFonts w:ascii="Times New Roman" w:hAnsi="Times New Roman" w:cs="Times New Roman"/>
                <w:b/>
                <w:i/>
                <w:sz w:val="20"/>
                <w:szCs w:val="20"/>
              </w:rPr>
            </w:pPr>
            <w:r w:rsidRPr="0059271D">
              <w:rPr>
                <w:rFonts w:ascii="Times New Roman" w:hAnsi="Times New Roman" w:cs="Times New Roman"/>
                <w:i/>
                <w:sz w:val="20"/>
                <w:szCs w:val="20"/>
              </w:rPr>
              <w:t>Valsts sociālās apdrošināšanas obligātās  iemaksas</w:t>
            </w:r>
            <w:r w:rsidRPr="0059271D">
              <w:rPr>
                <w:rFonts w:ascii="Times New Roman" w:hAnsi="Times New Roman" w:cs="Times New Roman"/>
                <w:i/>
                <w:sz w:val="20"/>
                <w:szCs w:val="20"/>
                <w:vertAlign w:val="superscript"/>
              </w:rPr>
              <w:footnoteReference w:id="25"/>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w:t>
            </w:r>
            <w:r w:rsidR="00051F48">
              <w:rPr>
                <w:rFonts w:ascii="Times New Roman" w:hAnsi="Times New Roman" w:cs="Times New Roman"/>
                <w:sz w:val="20"/>
                <w:szCs w:val="20"/>
              </w:rPr>
              <w:t> </w:t>
            </w:r>
            <w:r w:rsidRPr="0059271D">
              <w:rPr>
                <w:rFonts w:ascii="Times New Roman" w:hAnsi="Times New Roman" w:cs="Times New Roman"/>
                <w:sz w:val="20"/>
                <w:szCs w:val="20"/>
              </w:rPr>
              <w:t>874,8</w:t>
            </w:r>
          </w:p>
        </w:tc>
        <w:tc>
          <w:tcPr>
            <w:tcW w:w="84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w:t>
            </w:r>
            <w:r w:rsidR="00051F48">
              <w:rPr>
                <w:rFonts w:ascii="Times New Roman" w:hAnsi="Times New Roman" w:cs="Times New Roman"/>
                <w:sz w:val="20"/>
                <w:szCs w:val="20"/>
              </w:rPr>
              <w:t> </w:t>
            </w:r>
            <w:r w:rsidRPr="0059271D">
              <w:rPr>
                <w:rFonts w:ascii="Times New Roman" w:hAnsi="Times New Roman" w:cs="Times New Roman"/>
                <w:sz w:val="20"/>
                <w:szCs w:val="20"/>
              </w:rPr>
              <w:t>089,8</w:t>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w:t>
            </w:r>
            <w:r w:rsidR="00051F48">
              <w:rPr>
                <w:rFonts w:ascii="Times New Roman" w:hAnsi="Times New Roman" w:cs="Times New Roman"/>
                <w:sz w:val="20"/>
                <w:szCs w:val="20"/>
              </w:rPr>
              <w:t> </w:t>
            </w:r>
            <w:r w:rsidRPr="0059271D">
              <w:rPr>
                <w:rFonts w:ascii="Times New Roman" w:hAnsi="Times New Roman" w:cs="Times New Roman"/>
                <w:sz w:val="20"/>
                <w:szCs w:val="20"/>
              </w:rPr>
              <w:t>285,3</w:t>
            </w:r>
          </w:p>
        </w:tc>
        <w:tc>
          <w:tcPr>
            <w:tcW w:w="850"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w:t>
            </w:r>
            <w:r w:rsidR="00051F48">
              <w:rPr>
                <w:rFonts w:ascii="Times New Roman" w:hAnsi="Times New Roman" w:cs="Times New Roman"/>
                <w:sz w:val="20"/>
                <w:szCs w:val="20"/>
              </w:rPr>
              <w:t> </w:t>
            </w:r>
            <w:r w:rsidRPr="0059271D">
              <w:rPr>
                <w:rFonts w:ascii="Times New Roman" w:hAnsi="Times New Roman" w:cs="Times New Roman"/>
                <w:sz w:val="20"/>
                <w:szCs w:val="20"/>
              </w:rPr>
              <w:t>458,9</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45,3</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81,5</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98,3</w:t>
            </w:r>
          </w:p>
        </w:tc>
        <w:tc>
          <w:tcPr>
            <w:tcW w:w="70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103,6</w:t>
            </w:r>
          </w:p>
        </w:tc>
      </w:tr>
      <w:tr w:rsidR="00691C52" w:rsidRPr="0059271D" w:rsidTr="002F52B4">
        <w:trPr>
          <w:gridAfter w:val="1"/>
          <w:wAfter w:w="10" w:type="dxa"/>
          <w:trHeight w:val="340"/>
          <w:jc w:val="center"/>
        </w:trPr>
        <w:tc>
          <w:tcPr>
            <w:tcW w:w="2836" w:type="dxa"/>
            <w:shd w:val="clear" w:color="auto" w:fill="auto"/>
          </w:tcPr>
          <w:p w:rsidR="00691C52" w:rsidRPr="0059271D" w:rsidRDefault="00691C52" w:rsidP="00792B82">
            <w:pPr>
              <w:spacing w:after="0"/>
              <w:ind w:left="26"/>
              <w:jc w:val="right"/>
              <w:rPr>
                <w:rFonts w:ascii="Times New Roman" w:hAnsi="Times New Roman" w:cs="Times New Roman"/>
                <w:i/>
                <w:sz w:val="20"/>
                <w:szCs w:val="20"/>
              </w:rPr>
            </w:pPr>
            <w:r w:rsidRPr="0059271D">
              <w:rPr>
                <w:rFonts w:ascii="Times New Roman" w:hAnsi="Times New Roman" w:cs="Times New Roman"/>
                <w:sz w:val="20"/>
                <w:szCs w:val="20"/>
              </w:rPr>
              <w:t xml:space="preserve">          </w:t>
            </w:r>
            <w:r w:rsidRPr="0059271D">
              <w:rPr>
                <w:rFonts w:ascii="Times New Roman" w:hAnsi="Times New Roman" w:cs="Times New Roman"/>
                <w:i/>
                <w:sz w:val="20"/>
                <w:szCs w:val="20"/>
              </w:rPr>
              <w:t>Akcīzes nodoklis</w:t>
            </w:r>
          </w:p>
        </w:tc>
        <w:tc>
          <w:tcPr>
            <w:tcW w:w="851"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142,4</w:t>
            </w:r>
          </w:p>
        </w:tc>
        <w:tc>
          <w:tcPr>
            <w:tcW w:w="84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264,3</w:t>
            </w:r>
          </w:p>
        </w:tc>
        <w:tc>
          <w:tcPr>
            <w:tcW w:w="851"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313,5</w:t>
            </w:r>
          </w:p>
        </w:tc>
        <w:tc>
          <w:tcPr>
            <w:tcW w:w="850"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w:t>
            </w:r>
            <w:r w:rsidR="00051F48">
              <w:rPr>
                <w:rFonts w:ascii="Times New Roman" w:hAnsi="Times New Roman" w:cs="Times New Roman"/>
                <w:sz w:val="20"/>
                <w:szCs w:val="20"/>
              </w:rPr>
              <w:t> </w:t>
            </w:r>
            <w:r w:rsidRPr="0059271D">
              <w:rPr>
                <w:rFonts w:ascii="Times New Roman" w:hAnsi="Times New Roman" w:cs="Times New Roman"/>
                <w:sz w:val="20"/>
                <w:szCs w:val="20"/>
              </w:rPr>
              <w:t>351,5</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18,0</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33,3</w:t>
            </w:r>
          </w:p>
        </w:tc>
        <w:tc>
          <w:tcPr>
            <w:tcW w:w="709"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39,3</w:t>
            </w:r>
          </w:p>
        </w:tc>
        <w:tc>
          <w:tcPr>
            <w:tcW w:w="70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40,0</w:t>
            </w:r>
          </w:p>
        </w:tc>
      </w:tr>
      <w:tr w:rsidR="00691C52" w:rsidRPr="0059271D" w:rsidTr="002F52B4">
        <w:trPr>
          <w:gridAfter w:val="1"/>
          <w:wAfter w:w="10" w:type="dxa"/>
          <w:trHeight w:val="340"/>
          <w:jc w:val="center"/>
        </w:trPr>
        <w:tc>
          <w:tcPr>
            <w:tcW w:w="2836" w:type="dxa"/>
            <w:shd w:val="clear" w:color="auto" w:fill="DEEAF6"/>
            <w:vAlign w:val="center"/>
          </w:tcPr>
          <w:p w:rsidR="00691C52" w:rsidRPr="00051F48" w:rsidRDefault="00691C52" w:rsidP="00792B82">
            <w:pPr>
              <w:spacing w:after="0" w:line="240" w:lineRule="auto"/>
              <w:ind w:left="166"/>
              <w:rPr>
                <w:rFonts w:ascii="Times New Roman" w:eastAsia="Times New Roman" w:hAnsi="Times New Roman" w:cs="Times New Roman"/>
                <w:b/>
                <w:noProof/>
                <w:sz w:val="20"/>
                <w:szCs w:val="20"/>
                <w:lang w:eastAsia="lv-LV"/>
              </w:rPr>
            </w:pPr>
            <w:r w:rsidRPr="00051F48">
              <w:rPr>
                <w:rFonts w:ascii="Times New Roman" w:eastAsia="Times New Roman" w:hAnsi="Times New Roman" w:cs="Times New Roman"/>
                <w:b/>
                <w:noProof/>
                <w:sz w:val="20"/>
                <w:szCs w:val="20"/>
                <w:lang w:eastAsia="lv-LV"/>
              </w:rPr>
              <w:t>Nenodokļu ieņēmumi</w:t>
            </w:r>
          </w:p>
        </w:tc>
        <w:tc>
          <w:tcPr>
            <w:tcW w:w="851"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506,5</w:t>
            </w:r>
          </w:p>
        </w:tc>
        <w:tc>
          <w:tcPr>
            <w:tcW w:w="844"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495,4</w:t>
            </w:r>
          </w:p>
        </w:tc>
        <w:tc>
          <w:tcPr>
            <w:tcW w:w="851"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336,9</w:t>
            </w:r>
          </w:p>
        </w:tc>
        <w:tc>
          <w:tcPr>
            <w:tcW w:w="850"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338,0</w:t>
            </w:r>
          </w:p>
        </w:tc>
        <w:tc>
          <w:tcPr>
            <w:tcW w:w="709"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8,0</w:t>
            </w:r>
          </w:p>
        </w:tc>
        <w:tc>
          <w:tcPr>
            <w:tcW w:w="709"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13,1</w:t>
            </w:r>
          </w:p>
        </w:tc>
        <w:tc>
          <w:tcPr>
            <w:tcW w:w="709"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10,1</w:t>
            </w:r>
          </w:p>
        </w:tc>
        <w:tc>
          <w:tcPr>
            <w:tcW w:w="704" w:type="dxa"/>
            <w:shd w:val="clear" w:color="auto" w:fill="DEEAF6"/>
            <w:tcMar>
              <w:left w:w="57" w:type="dxa"/>
              <w:right w:w="57" w:type="dxa"/>
            </w:tcMar>
            <w:vAlign w:val="center"/>
          </w:tcPr>
          <w:p w:rsidR="00691C52" w:rsidRPr="0059271D" w:rsidRDefault="00691C52" w:rsidP="002F52B4">
            <w:pPr>
              <w:spacing w:after="0"/>
              <w:ind w:right="6"/>
              <w:jc w:val="center"/>
              <w:rPr>
                <w:rFonts w:ascii="Times New Roman" w:hAnsi="Times New Roman" w:cs="Times New Roman"/>
                <w:sz w:val="20"/>
                <w:szCs w:val="20"/>
              </w:rPr>
            </w:pPr>
            <w:r w:rsidRPr="0059271D">
              <w:rPr>
                <w:rFonts w:ascii="Times New Roman" w:hAnsi="Times New Roman" w:cs="Times New Roman"/>
                <w:sz w:val="20"/>
                <w:szCs w:val="20"/>
              </w:rPr>
              <w:t>10,1</w:t>
            </w:r>
          </w:p>
        </w:tc>
      </w:tr>
      <w:tr w:rsidR="00691C52" w:rsidRPr="0059271D" w:rsidTr="002F52B4">
        <w:trPr>
          <w:gridAfter w:val="1"/>
          <w:wAfter w:w="10" w:type="dxa"/>
          <w:trHeight w:val="340"/>
          <w:jc w:val="center"/>
        </w:trPr>
        <w:tc>
          <w:tcPr>
            <w:tcW w:w="2836" w:type="dxa"/>
            <w:shd w:val="clear" w:color="auto" w:fill="auto"/>
            <w:vAlign w:val="center"/>
          </w:tcPr>
          <w:p w:rsidR="00691C52" w:rsidRPr="00051F48" w:rsidRDefault="00691C52" w:rsidP="00792B82">
            <w:pPr>
              <w:spacing w:after="0" w:line="240" w:lineRule="auto"/>
              <w:ind w:left="166"/>
              <w:rPr>
                <w:rFonts w:ascii="Times New Roman" w:eastAsia="Times New Roman" w:hAnsi="Times New Roman" w:cs="Times New Roman"/>
                <w:b/>
                <w:noProof/>
                <w:sz w:val="20"/>
                <w:szCs w:val="20"/>
                <w:lang w:eastAsia="lv-LV"/>
              </w:rPr>
            </w:pPr>
            <w:r w:rsidRPr="00051F48">
              <w:rPr>
                <w:rFonts w:ascii="Times New Roman" w:eastAsia="Times New Roman" w:hAnsi="Times New Roman" w:cs="Times New Roman"/>
                <w:b/>
                <w:noProof/>
                <w:sz w:val="20"/>
                <w:szCs w:val="20"/>
                <w:lang w:eastAsia="lv-LV"/>
              </w:rPr>
              <w:t>Procentu izdevumi</w:t>
            </w:r>
          </w:p>
        </w:tc>
        <w:tc>
          <w:tcPr>
            <w:tcW w:w="851"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224,4</w:t>
            </w:r>
          </w:p>
        </w:tc>
        <w:tc>
          <w:tcPr>
            <w:tcW w:w="84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252,7</w:t>
            </w:r>
          </w:p>
        </w:tc>
        <w:tc>
          <w:tcPr>
            <w:tcW w:w="851"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263,1</w:t>
            </w:r>
          </w:p>
        </w:tc>
        <w:tc>
          <w:tcPr>
            <w:tcW w:w="850"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250,3</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0,0</w:t>
            </w:r>
          </w:p>
        </w:tc>
        <w:tc>
          <w:tcPr>
            <w:tcW w:w="709"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-2,8</w:t>
            </w:r>
          </w:p>
        </w:tc>
        <w:tc>
          <w:tcPr>
            <w:tcW w:w="709" w:type="dxa"/>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-12,6</w:t>
            </w:r>
          </w:p>
        </w:tc>
        <w:tc>
          <w:tcPr>
            <w:tcW w:w="704" w:type="dxa"/>
            <w:shd w:val="clear" w:color="auto" w:fill="auto"/>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-25,4</w:t>
            </w:r>
          </w:p>
        </w:tc>
      </w:tr>
      <w:tr w:rsidR="00691C52" w:rsidRPr="0059271D" w:rsidTr="002F52B4">
        <w:trPr>
          <w:gridAfter w:val="1"/>
          <w:wAfter w:w="10" w:type="dxa"/>
          <w:trHeight w:val="340"/>
          <w:jc w:val="center"/>
        </w:trPr>
        <w:tc>
          <w:tcPr>
            <w:tcW w:w="2836" w:type="dxa"/>
            <w:shd w:val="clear" w:color="auto" w:fill="DEEAF6"/>
            <w:vAlign w:val="center"/>
          </w:tcPr>
          <w:p w:rsidR="00691C52" w:rsidRPr="00051F48" w:rsidRDefault="00691C52" w:rsidP="00792B82">
            <w:pPr>
              <w:spacing w:after="0" w:line="240" w:lineRule="auto"/>
              <w:rPr>
                <w:rFonts w:ascii="Times New Roman" w:eastAsia="Times New Roman" w:hAnsi="Times New Roman" w:cs="Times New Roman"/>
                <w:b/>
                <w:noProof/>
                <w:sz w:val="20"/>
                <w:szCs w:val="20"/>
                <w:lang w:eastAsia="lv-LV"/>
              </w:rPr>
            </w:pPr>
            <w:r w:rsidRPr="00051F48">
              <w:rPr>
                <w:rFonts w:ascii="Times New Roman" w:eastAsia="Times New Roman" w:hAnsi="Times New Roman" w:cs="Times New Roman"/>
                <w:b/>
                <w:noProof/>
                <w:sz w:val="20"/>
                <w:szCs w:val="20"/>
                <w:lang w:eastAsia="lv-LV"/>
              </w:rPr>
              <w:t>Vispārējās valdības parāds</w:t>
            </w:r>
            <w:r w:rsidRPr="00051F48">
              <w:rPr>
                <w:rFonts w:ascii="Times New Roman" w:hAnsi="Times New Roman" w:cs="Times New Roman"/>
                <w:b/>
                <w:sz w:val="20"/>
                <w:szCs w:val="20"/>
                <w:vertAlign w:val="superscript"/>
              </w:rPr>
              <w:footnoteReference w:id="26"/>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w:t>
            </w:r>
          </w:p>
        </w:tc>
        <w:tc>
          <w:tcPr>
            <w:tcW w:w="84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w:t>
            </w:r>
          </w:p>
        </w:tc>
        <w:tc>
          <w:tcPr>
            <w:tcW w:w="851"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w:t>
            </w:r>
          </w:p>
        </w:tc>
        <w:tc>
          <w:tcPr>
            <w:tcW w:w="850"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-1,3%</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-3,5%</w:t>
            </w:r>
          </w:p>
        </w:tc>
        <w:tc>
          <w:tcPr>
            <w:tcW w:w="709"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-6,3%</w:t>
            </w:r>
          </w:p>
        </w:tc>
        <w:tc>
          <w:tcPr>
            <w:tcW w:w="704" w:type="dxa"/>
            <w:shd w:val="clear" w:color="auto" w:fill="DEEAF6"/>
            <w:tcMar>
              <w:left w:w="57" w:type="dxa"/>
              <w:right w:w="57" w:type="dxa"/>
            </w:tcMar>
            <w:vAlign w:val="center"/>
          </w:tcPr>
          <w:p w:rsidR="00691C52" w:rsidRPr="0059271D" w:rsidRDefault="00691C52" w:rsidP="002F52B4">
            <w:pPr>
              <w:spacing w:after="0"/>
              <w:ind w:right="5"/>
              <w:jc w:val="center"/>
              <w:rPr>
                <w:rFonts w:ascii="Times New Roman" w:hAnsi="Times New Roman" w:cs="Times New Roman"/>
                <w:sz w:val="20"/>
                <w:szCs w:val="20"/>
              </w:rPr>
            </w:pPr>
            <w:r w:rsidRPr="0059271D">
              <w:rPr>
                <w:rFonts w:ascii="Times New Roman" w:hAnsi="Times New Roman" w:cs="Times New Roman"/>
                <w:sz w:val="20"/>
                <w:szCs w:val="20"/>
              </w:rPr>
              <w:t>-8,9%</w:t>
            </w:r>
          </w:p>
        </w:tc>
      </w:tr>
    </w:tbl>
    <w:p w:rsidR="00691C52" w:rsidRPr="0059271D" w:rsidRDefault="00691C52" w:rsidP="00691C52">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691C52" w:rsidRPr="0059271D" w:rsidRDefault="00691C52" w:rsidP="00691C52">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59271D">
        <w:rPr>
          <w:rFonts w:ascii="Times New Roman" w:eastAsia="Times New Roman" w:hAnsi="Times New Roman" w:cs="Times New Roman"/>
          <w:color w:val="000000"/>
          <w:sz w:val="24"/>
          <w:szCs w:val="24"/>
          <w:lang w:eastAsia="lv-LV"/>
        </w:rPr>
        <w:t xml:space="preserve">Īstenojoties ekonomiskās attīstības optimistiskajam scenārijam, nodokļu ieņēmumu palielināšanās ietekmē uzlabotos valsts budžeta finansiālā bilance, kā rezultātā samazinātos kopējā finansēšanas nepieciešamība un attiecīgi arī aizņemšanās apjoms attiecīgajā periodā, salīdzinot ar bāzes scenāriju. Mazāki aizņēmumi izraisītu ietaupījumu procentu izdevumos. Optimistiskā scenārija gadījumā procentu izdevumi 2020.gadā būtu par 2,8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jeb 0,008% no IKP mazāki, 2021.gadā par 12,6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jeb 0,035% no IKP un 2022.gadā attiecīgi par 25,4 milj. </w:t>
      </w:r>
      <w:proofErr w:type="spellStart"/>
      <w:r w:rsidRPr="0059271D">
        <w:rPr>
          <w:rFonts w:ascii="Times New Roman" w:eastAsia="Times New Roman" w:hAnsi="Times New Roman" w:cs="Times New Roman"/>
          <w:i/>
          <w:color w:val="000000"/>
          <w:sz w:val="24"/>
          <w:szCs w:val="24"/>
          <w:lang w:eastAsia="lv-LV"/>
        </w:rPr>
        <w:t>euro</w:t>
      </w:r>
      <w:proofErr w:type="spellEnd"/>
      <w:r w:rsidRPr="0059271D">
        <w:rPr>
          <w:rFonts w:ascii="Times New Roman" w:eastAsia="Times New Roman" w:hAnsi="Times New Roman" w:cs="Times New Roman"/>
          <w:color w:val="000000"/>
          <w:sz w:val="24"/>
          <w:szCs w:val="24"/>
          <w:lang w:eastAsia="lv-LV"/>
        </w:rPr>
        <w:t xml:space="preserve"> jeb 0,067% no IKP mazāki nekā bāzes scenārijā.</w:t>
      </w:r>
    </w:p>
    <w:p w:rsidR="00691C52" w:rsidRPr="00E82396" w:rsidRDefault="00691C52" w:rsidP="008270E0">
      <w:pPr>
        <w:pStyle w:val="Heading3"/>
        <w:numPr>
          <w:ilvl w:val="2"/>
          <w:numId w:val="36"/>
        </w:numPr>
        <w:ind w:left="1418"/>
        <w:rPr>
          <w:rFonts w:ascii="Times New Roman" w:hAnsi="Times New Roman" w:cs="Times New Roman"/>
          <w:sz w:val="24"/>
          <w:szCs w:val="24"/>
        </w:rPr>
      </w:pPr>
      <w:bookmarkStart w:id="56" w:name="_Toc510790670"/>
      <w:bookmarkStart w:id="57" w:name="_Toc5196201"/>
      <w:bookmarkStart w:id="58" w:name="_Toc5627377"/>
      <w:bookmarkStart w:id="59" w:name="_Toc5798632"/>
      <w:r w:rsidRPr="00E82396">
        <w:rPr>
          <w:rFonts w:ascii="Times New Roman" w:hAnsi="Times New Roman" w:cs="Times New Roman"/>
          <w:sz w:val="24"/>
          <w:szCs w:val="24"/>
        </w:rPr>
        <w:t>Pesimistiskais scenārijs</w:t>
      </w:r>
      <w:bookmarkEnd w:id="56"/>
      <w:bookmarkEnd w:id="57"/>
      <w:bookmarkEnd w:id="58"/>
      <w:bookmarkEnd w:id="59"/>
    </w:p>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b/>
          <w:sz w:val="24"/>
          <w:szCs w:val="24"/>
          <w:lang w:eastAsia="lv-LV"/>
        </w:rPr>
        <w:t>Ietekme uz ekonomiku.</w:t>
      </w:r>
      <w:r w:rsidRPr="0026769D">
        <w:rPr>
          <w:rFonts w:ascii="Times New Roman" w:eastAsia="Times New Roman" w:hAnsi="Times New Roman" w:cs="Times New Roman"/>
          <w:sz w:val="24"/>
          <w:szCs w:val="24"/>
          <w:lang w:eastAsia="lv-LV"/>
        </w:rPr>
        <w:t xml:space="preserve"> Atbilstoši pesimistiskajam scenārijam Latvijas ekonomika var piedzīvot straujāku pieauguma tempu kritumu, kas ir saistīts ar būtiski lēnāku ekonomikas izaugsmi tirdzniecības partnervalstīs. Tādēļ eksporta pieauguma tempi 2019. un 2020.gados varētu mazināties </w:t>
      </w:r>
      <w:r>
        <w:rPr>
          <w:rFonts w:ascii="Times New Roman" w:eastAsia="Times New Roman" w:hAnsi="Times New Roman" w:cs="Times New Roman"/>
          <w:sz w:val="24"/>
          <w:szCs w:val="24"/>
          <w:lang w:eastAsia="lv-LV"/>
        </w:rPr>
        <w:t xml:space="preserve">attiecīgi par 0,7 un 0,8 procentpunktiem. </w:t>
      </w:r>
      <w:r w:rsidRPr="0026769D">
        <w:rPr>
          <w:rFonts w:ascii="Times New Roman" w:eastAsia="Times New Roman" w:hAnsi="Times New Roman" w:cs="Times New Roman"/>
          <w:sz w:val="24"/>
          <w:szCs w:val="24"/>
          <w:lang w:eastAsia="lv-LV"/>
        </w:rPr>
        <w:t>Eksporta pieaugumu bremzēs arī eksporta p</w:t>
      </w:r>
      <w:r>
        <w:rPr>
          <w:rFonts w:ascii="Times New Roman" w:eastAsia="Times New Roman" w:hAnsi="Times New Roman" w:cs="Times New Roman"/>
          <w:sz w:val="24"/>
          <w:szCs w:val="24"/>
          <w:lang w:eastAsia="lv-LV"/>
        </w:rPr>
        <w:t xml:space="preserve">reču konkurētspējas mazināšanās, </w:t>
      </w:r>
      <w:r w:rsidRPr="0026769D">
        <w:rPr>
          <w:rFonts w:ascii="Times New Roman" w:eastAsia="Times New Roman" w:hAnsi="Times New Roman" w:cs="Times New Roman"/>
          <w:sz w:val="24"/>
          <w:szCs w:val="24"/>
          <w:lang w:eastAsia="lv-LV"/>
        </w:rPr>
        <w:t>un varētu samazināties arī eksporta tirgus daļas.</w:t>
      </w:r>
    </w:p>
    <w:p w:rsidR="00691C52" w:rsidRPr="00663D8C"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Neskatoties uz samērā augsto </w:t>
      </w:r>
      <w:r w:rsidRPr="0026769D">
        <w:rPr>
          <w:rFonts w:ascii="Times New Roman" w:eastAsia="Times New Roman" w:hAnsi="Times New Roman" w:cs="Times New Roman"/>
          <w:sz w:val="24"/>
          <w:szCs w:val="24"/>
          <w:lang w:eastAsia="lv-LV"/>
        </w:rPr>
        <w:t>ES struk</w:t>
      </w:r>
      <w:r>
        <w:rPr>
          <w:rFonts w:ascii="Times New Roman" w:eastAsia="Times New Roman" w:hAnsi="Times New Roman" w:cs="Times New Roman"/>
          <w:sz w:val="24"/>
          <w:szCs w:val="24"/>
          <w:lang w:eastAsia="lv-LV"/>
        </w:rPr>
        <w:t xml:space="preserve">tūrfondu investīciju līmeni, privāto investīciju pieaugums ekonomikā var vājināties, kas </w:t>
      </w:r>
      <w:r w:rsidRPr="0026769D">
        <w:rPr>
          <w:rFonts w:ascii="Times New Roman" w:eastAsia="Times New Roman" w:hAnsi="Times New Roman" w:cs="Times New Roman"/>
          <w:sz w:val="24"/>
          <w:szCs w:val="24"/>
          <w:lang w:eastAsia="lv-LV"/>
        </w:rPr>
        <w:t>nozīmētu, ka kopējā</w:t>
      </w:r>
      <w:r>
        <w:rPr>
          <w:rFonts w:ascii="Times New Roman" w:eastAsia="Times New Roman" w:hAnsi="Times New Roman" w:cs="Times New Roman"/>
          <w:sz w:val="24"/>
          <w:szCs w:val="24"/>
          <w:lang w:eastAsia="lv-LV"/>
        </w:rPr>
        <w:t>s</w:t>
      </w:r>
      <w:r w:rsidRPr="0026769D">
        <w:rPr>
          <w:rFonts w:ascii="Times New Roman" w:eastAsia="Times New Roman" w:hAnsi="Times New Roman" w:cs="Times New Roman"/>
          <w:sz w:val="24"/>
          <w:szCs w:val="24"/>
          <w:lang w:eastAsia="lv-LV"/>
        </w:rPr>
        <w:t xml:space="preserve"> pamatkapitāla veidošana</w:t>
      </w:r>
      <w:r>
        <w:rPr>
          <w:rFonts w:ascii="Times New Roman" w:eastAsia="Times New Roman" w:hAnsi="Times New Roman" w:cs="Times New Roman"/>
          <w:sz w:val="24"/>
          <w:szCs w:val="24"/>
          <w:lang w:eastAsia="lv-LV"/>
        </w:rPr>
        <w:t>s pieaugums</w:t>
      </w:r>
      <w:r w:rsidRPr="0026769D">
        <w:rPr>
          <w:rFonts w:ascii="Times New Roman" w:eastAsia="Times New Roman" w:hAnsi="Times New Roman" w:cs="Times New Roman"/>
          <w:sz w:val="24"/>
          <w:szCs w:val="24"/>
          <w:lang w:eastAsia="lv-LV"/>
        </w:rPr>
        <w:t xml:space="preserve"> laikā no 2019.gada līdz 2020.gadam v</w:t>
      </w:r>
      <w:r>
        <w:rPr>
          <w:rFonts w:ascii="Times New Roman" w:eastAsia="Times New Roman" w:hAnsi="Times New Roman" w:cs="Times New Roman"/>
          <w:sz w:val="24"/>
          <w:szCs w:val="24"/>
          <w:lang w:eastAsia="lv-LV"/>
        </w:rPr>
        <w:t xml:space="preserve">arētu būt attiecīgi par 1,7 un </w:t>
      </w:r>
      <w:r w:rsidRPr="0026769D">
        <w:rPr>
          <w:rFonts w:ascii="Times New Roman" w:eastAsia="Times New Roman" w:hAnsi="Times New Roman" w:cs="Times New Roman"/>
          <w:sz w:val="24"/>
          <w:szCs w:val="24"/>
          <w:lang w:eastAsia="lv-LV"/>
        </w:rPr>
        <w:t xml:space="preserve">1,0 </w:t>
      </w:r>
      <w:r w:rsidRPr="00663D8C">
        <w:rPr>
          <w:rFonts w:ascii="Times New Roman" w:eastAsia="Times New Roman" w:hAnsi="Times New Roman" w:cs="Times New Roman"/>
          <w:sz w:val="24"/>
          <w:szCs w:val="24"/>
          <w:lang w:eastAsia="lv-LV"/>
        </w:rPr>
        <w:t>procentpunktiem lēnāks nekā bāzes scenārijā.</w:t>
      </w:r>
    </w:p>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663D8C">
        <w:rPr>
          <w:rFonts w:ascii="Times New Roman" w:eastAsia="Times New Roman" w:hAnsi="Times New Roman" w:cs="Times New Roman"/>
          <w:sz w:val="24"/>
          <w:szCs w:val="24"/>
          <w:lang w:eastAsia="lv-LV"/>
        </w:rPr>
        <w:t>Vienlaikus pastāv risks, ka atsevišķās nozarēs, tostarp finanšu pakalpojumos un transporta nozarēs attīstība ir nelabvēlīgāka, nekā sākotnēji prognozēts, radot nevēlamu spriedzi, vājinot patērētāju konfidenci un privāto patēriņu, kā arī samazinot pakalpojumu eksporta apjomus.</w:t>
      </w:r>
      <w:r>
        <w:rPr>
          <w:rFonts w:ascii="Times New Roman" w:eastAsia="Times New Roman" w:hAnsi="Times New Roman" w:cs="Times New Roman"/>
          <w:sz w:val="24"/>
          <w:szCs w:val="24"/>
          <w:lang w:eastAsia="lv-LV"/>
        </w:rPr>
        <w:t xml:space="preserve"> </w:t>
      </w:r>
    </w:p>
    <w:p w:rsidR="008325B9" w:rsidRDefault="008325B9" w:rsidP="001D07D9">
      <w:pPr>
        <w:autoSpaceDE w:val="0"/>
        <w:autoSpaceDN w:val="0"/>
        <w:adjustRightInd w:val="0"/>
        <w:spacing w:before="120" w:after="60" w:line="240" w:lineRule="auto"/>
        <w:jc w:val="right"/>
        <w:rPr>
          <w:rFonts w:ascii="Times New Roman" w:eastAsia="Times New Roman" w:hAnsi="Times New Roman" w:cs="Times New Roman"/>
          <w:b/>
          <w:sz w:val="24"/>
          <w:szCs w:val="24"/>
        </w:rPr>
      </w:pPr>
    </w:p>
    <w:p w:rsidR="008325B9" w:rsidRDefault="008325B9" w:rsidP="001D07D9">
      <w:pPr>
        <w:autoSpaceDE w:val="0"/>
        <w:autoSpaceDN w:val="0"/>
        <w:adjustRightInd w:val="0"/>
        <w:spacing w:before="120" w:after="60" w:line="240" w:lineRule="auto"/>
        <w:jc w:val="right"/>
        <w:rPr>
          <w:rFonts w:ascii="Times New Roman" w:eastAsia="Times New Roman" w:hAnsi="Times New Roman" w:cs="Times New Roman"/>
          <w:b/>
          <w:sz w:val="24"/>
          <w:szCs w:val="24"/>
        </w:rPr>
      </w:pPr>
    </w:p>
    <w:p w:rsidR="00691C52" w:rsidRPr="0026769D" w:rsidRDefault="00691C52" w:rsidP="001D07D9">
      <w:pPr>
        <w:autoSpaceDE w:val="0"/>
        <w:autoSpaceDN w:val="0"/>
        <w:adjustRightInd w:val="0"/>
        <w:spacing w:before="120" w:after="60" w:line="240" w:lineRule="auto"/>
        <w:jc w:val="right"/>
        <w:rPr>
          <w:rFonts w:ascii="Times New Roman" w:eastAsia="Times New Roman" w:hAnsi="Times New Roman" w:cs="Times New Roman"/>
          <w:b/>
          <w:sz w:val="24"/>
        </w:rPr>
      </w:pPr>
      <w:r w:rsidRPr="0026769D">
        <w:rPr>
          <w:rFonts w:ascii="Times New Roman" w:eastAsia="Times New Roman" w:hAnsi="Times New Roman" w:cs="Times New Roman"/>
          <w:b/>
          <w:sz w:val="24"/>
          <w:szCs w:val="24"/>
        </w:rPr>
        <w:lastRenderedPageBreak/>
        <w:t>4.3.tabula. Pesimistiskais makroekonomiskais scenārijs</w:t>
      </w:r>
    </w:p>
    <w:tbl>
      <w:tblPr>
        <w:tblStyle w:val="GridTable6Colorful-Accent12"/>
        <w:tblW w:w="9208" w:type="dxa"/>
        <w:jc w:val="center"/>
        <w:tblLayout w:type="fixed"/>
        <w:tblLook w:val="04A0" w:firstRow="1" w:lastRow="0" w:firstColumn="1" w:lastColumn="0" w:noHBand="0" w:noVBand="1"/>
      </w:tblPr>
      <w:tblGrid>
        <w:gridCol w:w="3397"/>
        <w:gridCol w:w="726"/>
        <w:gridCol w:w="726"/>
        <w:gridCol w:w="727"/>
        <w:gridCol w:w="726"/>
        <w:gridCol w:w="726"/>
        <w:gridCol w:w="727"/>
        <w:gridCol w:w="726"/>
        <w:gridCol w:w="727"/>
      </w:tblGrid>
      <w:tr w:rsidR="00691C52" w:rsidRPr="0026769D" w:rsidTr="00792B82">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286894" w:rsidRDefault="00691C52" w:rsidP="00792B82">
            <w:pPr>
              <w:spacing w:before="100" w:beforeAutospacing="1" w:after="100" w:afterAutospacing="1"/>
              <w:rPr>
                <w:rFonts w:ascii="Times New Roman" w:eastAsia="Times New Roman" w:hAnsi="Times New Roman" w:cs="Times New Roman"/>
                <w:color w:val="auto"/>
                <w:sz w:val="20"/>
                <w:szCs w:val="20"/>
              </w:rPr>
            </w:pPr>
          </w:p>
        </w:tc>
        <w:tc>
          <w:tcPr>
            <w:tcW w:w="2905" w:type="dxa"/>
            <w:gridSpan w:val="4"/>
            <w:tcBorders>
              <w:right w:val="double" w:sz="4" w:space="0" w:color="95B3D7"/>
            </w:tcBorders>
            <w:noWrap/>
            <w:vAlign w:val="center"/>
          </w:tcPr>
          <w:p w:rsidR="00691C52" w:rsidRPr="00286894" w:rsidRDefault="00691C52" w:rsidP="00792B82">
            <w:pPr>
              <w:spacing w:before="100" w:beforeAutospacing="1" w:after="100" w:afterAutospacing="1"/>
              <w:ind w:right="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6894">
              <w:rPr>
                <w:rFonts w:ascii="Times New Roman" w:eastAsia="Times New Roman" w:hAnsi="Times New Roman" w:cs="Times New Roman"/>
                <w:color w:val="auto"/>
                <w:sz w:val="20"/>
                <w:szCs w:val="20"/>
              </w:rPr>
              <w:t>Riska scenārijs</w:t>
            </w:r>
          </w:p>
        </w:tc>
        <w:tc>
          <w:tcPr>
            <w:tcW w:w="2906" w:type="dxa"/>
            <w:gridSpan w:val="4"/>
            <w:tcBorders>
              <w:left w:val="double" w:sz="4" w:space="0" w:color="95B3D7"/>
            </w:tcBorders>
            <w:noWrap/>
            <w:vAlign w:val="center"/>
          </w:tcPr>
          <w:p w:rsidR="00691C52" w:rsidRPr="00286894" w:rsidRDefault="00691C52" w:rsidP="00792B82">
            <w:pPr>
              <w:spacing w:before="100" w:beforeAutospacing="1" w:after="100" w:afterAutospacing="1"/>
              <w:ind w:right="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6894">
              <w:rPr>
                <w:rFonts w:ascii="Times New Roman" w:eastAsia="Times New Roman" w:hAnsi="Times New Roman" w:cs="Times New Roman"/>
                <w:color w:val="auto"/>
                <w:sz w:val="20"/>
                <w:szCs w:val="20"/>
              </w:rPr>
              <w:t>Novirze no bāzes scenārija</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286894" w:rsidRDefault="00691C52" w:rsidP="00792B82">
            <w:pPr>
              <w:spacing w:before="100" w:beforeAutospacing="1" w:after="100" w:afterAutospacing="1"/>
              <w:rPr>
                <w:rFonts w:ascii="Times New Roman" w:eastAsia="Times New Roman" w:hAnsi="Times New Roman" w:cs="Times New Roman"/>
                <w:color w:val="auto"/>
                <w:sz w:val="20"/>
                <w:szCs w:val="20"/>
              </w:rPr>
            </w:pPr>
          </w:p>
        </w:tc>
        <w:tc>
          <w:tcPr>
            <w:tcW w:w="726" w:type="dxa"/>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2019</w:t>
            </w:r>
          </w:p>
        </w:tc>
        <w:tc>
          <w:tcPr>
            <w:tcW w:w="726" w:type="dxa"/>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2020</w:t>
            </w:r>
          </w:p>
        </w:tc>
        <w:tc>
          <w:tcPr>
            <w:tcW w:w="727" w:type="dxa"/>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2021</w:t>
            </w:r>
          </w:p>
        </w:tc>
        <w:tc>
          <w:tcPr>
            <w:tcW w:w="726" w:type="dxa"/>
            <w:tcBorders>
              <w:right w:val="double" w:sz="4" w:space="0" w:color="95B3D7"/>
            </w:tcBorders>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2022</w:t>
            </w:r>
          </w:p>
        </w:tc>
        <w:tc>
          <w:tcPr>
            <w:tcW w:w="726" w:type="dxa"/>
            <w:tcBorders>
              <w:left w:val="double" w:sz="4" w:space="0" w:color="95B3D7"/>
            </w:tcBorders>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2019</w:t>
            </w:r>
          </w:p>
        </w:tc>
        <w:tc>
          <w:tcPr>
            <w:tcW w:w="727" w:type="dxa"/>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2020</w:t>
            </w:r>
          </w:p>
        </w:tc>
        <w:tc>
          <w:tcPr>
            <w:tcW w:w="726" w:type="dxa"/>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2021</w:t>
            </w:r>
          </w:p>
        </w:tc>
        <w:tc>
          <w:tcPr>
            <w:tcW w:w="727" w:type="dxa"/>
            <w:noWrap/>
            <w:vAlign w:val="center"/>
          </w:tcPr>
          <w:p w:rsidR="00691C52" w:rsidRPr="00286894" w:rsidRDefault="00691C52" w:rsidP="00792B8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6894">
              <w:rPr>
                <w:rFonts w:ascii="Times New Roman" w:eastAsia="Times New Roman" w:hAnsi="Times New Roman" w:cs="Times New Roman"/>
                <w:b/>
                <w:color w:val="auto"/>
                <w:sz w:val="20"/>
                <w:szCs w:val="20"/>
              </w:rPr>
              <w:t>2022</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IKP pieaugums faktiskajās cenās, %</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5,4</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4,9</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5,0</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5,5</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-0,9</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IKP pieaugums salīdzināmās cenās, %</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2,7</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2,4</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2,7</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2,9</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-0,6</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Privātais patēriņš, pieaugums salīdzināmās cenās, %</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3,8</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3,0</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3,5</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3,6</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-0,6</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 xml:space="preserve">Sabiedriskais patēriņš, pieaugums salīdzināmās cenās, % </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3,2</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2,5</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2,7</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3,0</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-0,4</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-0,3</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Kopējā pamatkapitāla veidošana, pieaugums salīdzināmās cenās, %</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5,1</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4,1</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2,9</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4,1</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-1,7</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Preču un pakalpojumu eksports, pieaugums salīdzināmās cenās, %</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2,5</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3,0</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3,2</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3,9</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-0,7</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-1,1</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-0,8</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ind w:left="26"/>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Preču un pakalpojumu imports, pieaugums salīdzināmās cenās, %</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4,6</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4,2</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4,0</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4,9</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-1,1</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rsidR="00691C52" w:rsidRPr="001D07D9" w:rsidRDefault="00691C52" w:rsidP="001D07D9">
            <w:pPr>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Vidējās darba samaksas tautsaimniecībā pieaugums faktiskajās cenās, %</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5,0</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4,2</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4,0</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5,0</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-1,5</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-1,3</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-1,0</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r>
      <w:tr w:rsidR="00691C52" w:rsidRPr="0026769D" w:rsidTr="00792B82">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rsidR="00691C52" w:rsidRPr="001D07D9" w:rsidRDefault="00691C52" w:rsidP="001D07D9">
            <w:pPr>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Nodarbinātības pieaugums, %</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0,0</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-0,7</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-0,3</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-0,8</w:t>
            </w:r>
          </w:p>
        </w:tc>
        <w:tc>
          <w:tcPr>
            <w:tcW w:w="726"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-0,2</w:t>
            </w:r>
          </w:p>
        </w:tc>
        <w:tc>
          <w:tcPr>
            <w:tcW w:w="727" w:type="dxa"/>
            <w:noWrap/>
            <w:tcMar>
              <w:left w:w="57" w:type="dxa"/>
              <w:right w:w="57" w:type="dxa"/>
            </w:tcMar>
            <w:vAlign w:val="center"/>
          </w:tcPr>
          <w:p w:rsidR="00691C52" w:rsidRPr="0026769D" w:rsidRDefault="00691C52" w:rsidP="00792B82">
            <w:pPr>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-0,1</w:t>
            </w:r>
          </w:p>
        </w:tc>
      </w:tr>
      <w:tr w:rsidR="00691C52" w:rsidRPr="0026769D" w:rsidTr="00792B8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rsidR="00691C52" w:rsidRPr="001D07D9" w:rsidRDefault="00691C52" w:rsidP="001D07D9">
            <w:pPr>
              <w:jc w:val="both"/>
              <w:rPr>
                <w:rFonts w:ascii="Times New Roman" w:eastAsia="Times New Roman" w:hAnsi="Times New Roman" w:cs="Times New Roman"/>
                <w:color w:val="auto"/>
                <w:sz w:val="20"/>
                <w:szCs w:val="20"/>
              </w:rPr>
            </w:pPr>
            <w:r w:rsidRPr="001D07D9">
              <w:rPr>
                <w:rFonts w:ascii="Times New Roman" w:eastAsia="Times New Roman" w:hAnsi="Times New Roman" w:cs="Times New Roman"/>
                <w:color w:val="auto"/>
                <w:sz w:val="20"/>
                <w:szCs w:val="20"/>
              </w:rPr>
              <w:t>Bezdarba līmenis, %</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7,4</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7,9</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7,7</w:t>
            </w:r>
          </w:p>
        </w:tc>
        <w:tc>
          <w:tcPr>
            <w:tcW w:w="726" w:type="dxa"/>
            <w:tcBorders>
              <w:righ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7,0</w:t>
            </w:r>
          </w:p>
        </w:tc>
        <w:tc>
          <w:tcPr>
            <w:tcW w:w="726" w:type="dxa"/>
            <w:tcBorders>
              <w:left w:val="double" w:sz="4" w:space="0" w:color="95B3D7"/>
            </w:tcBorders>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0,5</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1,4</w:t>
            </w:r>
          </w:p>
        </w:tc>
        <w:tc>
          <w:tcPr>
            <w:tcW w:w="726"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1,4</w:t>
            </w:r>
          </w:p>
        </w:tc>
        <w:tc>
          <w:tcPr>
            <w:tcW w:w="727" w:type="dxa"/>
            <w:noWrap/>
            <w:tcMar>
              <w:left w:w="57" w:type="dxa"/>
              <w:right w:w="57" w:type="dxa"/>
            </w:tcMar>
            <w:vAlign w:val="center"/>
          </w:tcPr>
          <w:p w:rsidR="00691C52" w:rsidRPr="0026769D" w:rsidRDefault="00691C52" w:rsidP="00792B82">
            <w:pPr>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6769D">
              <w:rPr>
                <w:rFonts w:ascii="Times New Roman" w:eastAsia="Times New Roman" w:hAnsi="Times New Roman" w:cs="Times New Roman"/>
                <w:color w:val="auto"/>
                <w:sz w:val="20"/>
                <w:szCs w:val="20"/>
              </w:rPr>
              <w:t>1,4</w:t>
            </w:r>
          </w:p>
        </w:tc>
      </w:tr>
    </w:tbl>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p>
    <w:p w:rsidR="00691C52" w:rsidRPr="0026769D"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sz w:val="24"/>
          <w:szCs w:val="24"/>
          <w:lang w:eastAsia="lv-LV"/>
        </w:rPr>
        <w:t>Kopumā atbilstoši pesimistiskajam scenārijam, mazinoties iedzīvotāju ienākumiem, nodarbinā</w:t>
      </w:r>
      <w:r>
        <w:rPr>
          <w:rFonts w:ascii="Times New Roman" w:eastAsia="Times New Roman" w:hAnsi="Times New Roman" w:cs="Times New Roman"/>
          <w:sz w:val="24"/>
          <w:szCs w:val="24"/>
          <w:lang w:eastAsia="lv-LV"/>
        </w:rPr>
        <w:t>to darba samaksas pieaugums 2019</w:t>
      </w:r>
      <w:r w:rsidRPr="0026769D">
        <w:rPr>
          <w:rFonts w:ascii="Times New Roman" w:eastAsia="Times New Roman" w:hAnsi="Times New Roman" w:cs="Times New Roman"/>
          <w:sz w:val="24"/>
          <w:szCs w:val="24"/>
          <w:lang w:eastAsia="lv-LV"/>
        </w:rPr>
        <w:t>. un 2020.gadā būtu vidēji par 1,2 procentpunktiem mazāks. Līdz ar to arī privātā patēriņa pieaugums 2019. un 2020.gadā būtu vidēji par 0,5 procentpunktiem mazāks nekā paredzēts bāzes scenārijā.</w:t>
      </w:r>
    </w:p>
    <w:p w:rsidR="00691C52" w:rsidRPr="002957BB" w:rsidRDefault="00691C52" w:rsidP="00691C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26769D">
        <w:rPr>
          <w:rFonts w:ascii="Times New Roman" w:eastAsia="Times New Roman" w:hAnsi="Times New Roman" w:cs="Times New Roman"/>
          <w:sz w:val="24"/>
          <w:szCs w:val="24"/>
          <w:lang w:eastAsia="lv-LV"/>
        </w:rPr>
        <w:t xml:space="preserve">Pesimistiskā scenārija gadījumā reālā IKP izaugsme 2019.gadā būtu par 0,5 </w:t>
      </w:r>
      <w:r w:rsidRPr="002957BB">
        <w:rPr>
          <w:rFonts w:ascii="Times New Roman" w:eastAsia="Times New Roman" w:hAnsi="Times New Roman" w:cs="Times New Roman"/>
          <w:sz w:val="24"/>
          <w:szCs w:val="24"/>
          <w:lang w:eastAsia="lv-LV"/>
        </w:rPr>
        <w:t>procentpunktiem lēnāka nekā pamata scenārijā un 2020.gadā par 0,6 procentpunktiem lēnāka.</w:t>
      </w:r>
    </w:p>
    <w:p w:rsidR="00691C52" w:rsidRPr="00C10744" w:rsidRDefault="00691C52" w:rsidP="00691C52">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highlight w:val="yellow"/>
          <w:lang w:eastAsia="lv-LV"/>
        </w:rPr>
      </w:pPr>
      <w:r w:rsidRPr="002957BB">
        <w:rPr>
          <w:rFonts w:ascii="Times New Roman" w:eastAsia="Times New Roman" w:hAnsi="Times New Roman" w:cs="Times New Roman"/>
          <w:b/>
          <w:color w:val="000000"/>
          <w:sz w:val="24"/>
          <w:szCs w:val="24"/>
          <w:lang w:eastAsia="lv-LV"/>
        </w:rPr>
        <w:t xml:space="preserve">Ietekme uz vispārējās valdības budžetu. </w:t>
      </w:r>
      <w:r w:rsidRPr="002957BB">
        <w:rPr>
          <w:rFonts w:ascii="Times New Roman" w:eastAsia="Times New Roman" w:hAnsi="Times New Roman" w:cs="Times New Roman"/>
          <w:color w:val="000000"/>
          <w:sz w:val="24"/>
          <w:szCs w:val="24"/>
          <w:lang w:eastAsia="lv-LV"/>
        </w:rPr>
        <w:t>Īstenojoties pesimistiskajam scenārijam, būtiski samazinātos nodokļu ieņēmumi, pasliktinātos vispārējās valdības budžeta bilance</w:t>
      </w:r>
      <w:r w:rsidRPr="00C10744">
        <w:rPr>
          <w:rFonts w:ascii="Times New Roman" w:eastAsia="Times New Roman" w:hAnsi="Times New Roman" w:cs="Times New Roman"/>
          <w:color w:val="000000"/>
          <w:sz w:val="24"/>
          <w:szCs w:val="24"/>
          <w:lang w:eastAsia="lv-LV"/>
        </w:rPr>
        <w:t xml:space="preserve">. Salīdzinājumā ar </w:t>
      </w:r>
      <w:r>
        <w:rPr>
          <w:rFonts w:ascii="Times New Roman" w:eastAsia="Times New Roman" w:hAnsi="Times New Roman" w:cs="Times New Roman"/>
          <w:color w:val="000000"/>
          <w:sz w:val="24"/>
          <w:szCs w:val="24"/>
          <w:lang w:eastAsia="lv-LV"/>
        </w:rPr>
        <w:t>bāzes</w:t>
      </w:r>
      <w:r w:rsidRPr="00C10744">
        <w:rPr>
          <w:rFonts w:ascii="Times New Roman" w:eastAsia="Times New Roman" w:hAnsi="Times New Roman" w:cs="Times New Roman"/>
          <w:color w:val="000000"/>
          <w:sz w:val="24"/>
          <w:szCs w:val="24"/>
          <w:lang w:eastAsia="lv-LV"/>
        </w:rPr>
        <w:t xml:space="preserve"> scenāriju pesimistiskā scenārija gadījumā vispārējās valdības deficīts 2019.gadā pieaugtu par 48,1 milj. </w:t>
      </w:r>
      <w:proofErr w:type="spellStart"/>
      <w:r w:rsidRPr="00C10744">
        <w:rPr>
          <w:rFonts w:ascii="Times New Roman" w:eastAsia="Times New Roman" w:hAnsi="Times New Roman" w:cs="Times New Roman"/>
          <w:i/>
          <w:color w:val="000000"/>
          <w:sz w:val="24"/>
          <w:szCs w:val="24"/>
          <w:lang w:eastAsia="lv-LV"/>
        </w:rPr>
        <w:t>euro</w:t>
      </w:r>
      <w:proofErr w:type="spellEnd"/>
      <w:r w:rsidRPr="00C10744">
        <w:rPr>
          <w:rFonts w:ascii="Times New Roman" w:eastAsia="Times New Roman" w:hAnsi="Times New Roman" w:cs="Times New Roman"/>
          <w:color w:val="000000"/>
          <w:sz w:val="24"/>
          <w:szCs w:val="24"/>
          <w:lang w:eastAsia="lv-LV"/>
        </w:rPr>
        <w:t xml:space="preserve"> jeb 0,2 procentpunktiem no IKP. Savukārt 2020., 2021. un 2022.gadā vispārējās valdības bilance pasliktinātos attiecīgi par 0,4 (138,3 milj. </w:t>
      </w:r>
      <w:proofErr w:type="spellStart"/>
      <w:r w:rsidRPr="00C10744">
        <w:rPr>
          <w:rFonts w:ascii="Times New Roman" w:eastAsia="Times New Roman" w:hAnsi="Times New Roman" w:cs="Times New Roman"/>
          <w:i/>
          <w:color w:val="000000"/>
          <w:sz w:val="24"/>
          <w:szCs w:val="24"/>
          <w:lang w:eastAsia="lv-LV"/>
        </w:rPr>
        <w:t>euro</w:t>
      </w:r>
      <w:proofErr w:type="spellEnd"/>
      <w:r w:rsidRPr="00C10744">
        <w:rPr>
          <w:rFonts w:ascii="Times New Roman" w:eastAsia="Times New Roman" w:hAnsi="Times New Roman" w:cs="Times New Roman"/>
          <w:color w:val="000000"/>
          <w:sz w:val="24"/>
          <w:szCs w:val="24"/>
          <w:lang w:eastAsia="lv-LV"/>
        </w:rPr>
        <w:t xml:space="preserve">), 0,6 (192,8 milj. </w:t>
      </w:r>
      <w:proofErr w:type="spellStart"/>
      <w:r w:rsidRPr="00C10744">
        <w:rPr>
          <w:rFonts w:ascii="Times New Roman" w:eastAsia="Times New Roman" w:hAnsi="Times New Roman" w:cs="Times New Roman"/>
          <w:i/>
          <w:color w:val="000000"/>
          <w:sz w:val="24"/>
          <w:szCs w:val="24"/>
          <w:lang w:eastAsia="lv-LV"/>
        </w:rPr>
        <w:t>euro</w:t>
      </w:r>
      <w:proofErr w:type="spellEnd"/>
      <w:r w:rsidRPr="00C10744">
        <w:rPr>
          <w:rFonts w:ascii="Times New Roman" w:eastAsia="Times New Roman" w:hAnsi="Times New Roman" w:cs="Times New Roman"/>
          <w:color w:val="000000"/>
          <w:sz w:val="24"/>
          <w:szCs w:val="24"/>
          <w:lang w:eastAsia="lv-LV"/>
        </w:rPr>
        <w:t xml:space="preserve">) un 0,6 (209,8 milj. </w:t>
      </w:r>
      <w:proofErr w:type="spellStart"/>
      <w:r w:rsidRPr="00C10744">
        <w:rPr>
          <w:rFonts w:ascii="Times New Roman" w:eastAsia="Times New Roman" w:hAnsi="Times New Roman" w:cs="Times New Roman"/>
          <w:i/>
          <w:color w:val="000000"/>
          <w:sz w:val="24"/>
          <w:szCs w:val="24"/>
          <w:lang w:eastAsia="lv-LV"/>
        </w:rPr>
        <w:t>euro</w:t>
      </w:r>
      <w:proofErr w:type="spellEnd"/>
      <w:r w:rsidRPr="00C10744">
        <w:rPr>
          <w:rFonts w:ascii="Times New Roman" w:eastAsia="Times New Roman" w:hAnsi="Times New Roman" w:cs="Times New Roman"/>
          <w:color w:val="000000"/>
          <w:sz w:val="24"/>
          <w:szCs w:val="24"/>
          <w:lang w:eastAsia="lv-LV"/>
        </w:rPr>
        <w:t>) procentpunktiem no IKP salīdzinājumā ar pamata scenāriju. Nomināli vispārējās valdības deficīts 2019.</w:t>
      </w:r>
      <w:r w:rsidR="001E6B2D" w:rsidRPr="00190089">
        <w:rPr>
          <w:rFonts w:ascii="Times New Roman" w:hAnsi="Times New Roman" w:cs="Times New Roman"/>
          <w:sz w:val="24"/>
          <w:szCs w:val="24"/>
        </w:rPr>
        <w:t>gadā pieaugtu</w:t>
      </w:r>
      <w:r w:rsidR="001E6B2D">
        <w:rPr>
          <w:rFonts w:ascii="Times New Roman" w:hAnsi="Times New Roman" w:cs="Times New Roman"/>
          <w:sz w:val="24"/>
          <w:szCs w:val="24"/>
        </w:rPr>
        <w:t xml:space="preserve"> līdz 0,7% no IKP</w:t>
      </w:r>
      <w:r w:rsidRPr="00C10744">
        <w:rPr>
          <w:rFonts w:ascii="Times New Roman" w:eastAsia="Times New Roman" w:hAnsi="Times New Roman" w:cs="Times New Roman"/>
          <w:color w:val="000000"/>
          <w:sz w:val="24"/>
          <w:szCs w:val="24"/>
          <w:lang w:eastAsia="lv-LV"/>
        </w:rPr>
        <w:t>, 2020. un 2021.gadā līdz 0,</w:t>
      </w:r>
      <w:r w:rsidR="001E6B2D">
        <w:rPr>
          <w:rFonts w:ascii="Times New Roman" w:eastAsia="Times New Roman" w:hAnsi="Times New Roman" w:cs="Times New Roman"/>
          <w:color w:val="000000"/>
          <w:sz w:val="24"/>
          <w:szCs w:val="24"/>
          <w:lang w:eastAsia="lv-LV"/>
        </w:rPr>
        <w:t>8</w:t>
      </w:r>
      <w:r w:rsidRPr="00C10744">
        <w:rPr>
          <w:rFonts w:ascii="Times New Roman" w:eastAsia="Times New Roman" w:hAnsi="Times New Roman" w:cs="Times New Roman"/>
          <w:color w:val="000000"/>
          <w:sz w:val="24"/>
          <w:szCs w:val="24"/>
          <w:lang w:eastAsia="lv-LV"/>
        </w:rPr>
        <w:t>% no IKP, bet 2022.gadā līdz 0,</w:t>
      </w:r>
      <w:r w:rsidR="001E6B2D">
        <w:rPr>
          <w:rFonts w:ascii="Times New Roman" w:eastAsia="Times New Roman" w:hAnsi="Times New Roman" w:cs="Times New Roman"/>
          <w:color w:val="000000"/>
          <w:sz w:val="24"/>
          <w:szCs w:val="24"/>
          <w:lang w:eastAsia="lv-LV"/>
        </w:rPr>
        <w:t>9</w:t>
      </w:r>
      <w:r w:rsidRPr="00C10744">
        <w:rPr>
          <w:rFonts w:ascii="Times New Roman" w:eastAsia="Times New Roman" w:hAnsi="Times New Roman" w:cs="Times New Roman"/>
          <w:color w:val="000000"/>
          <w:sz w:val="24"/>
          <w:szCs w:val="24"/>
          <w:lang w:eastAsia="lv-LV"/>
        </w:rPr>
        <w:t>% no IKP.</w:t>
      </w:r>
    </w:p>
    <w:p w:rsidR="00691C52" w:rsidRPr="00C10744" w:rsidRDefault="00691C52" w:rsidP="00691C52">
      <w:pPr>
        <w:spacing w:before="120" w:after="60" w:line="240" w:lineRule="auto"/>
        <w:jc w:val="right"/>
        <w:rPr>
          <w:rFonts w:ascii="Times New Roman" w:hAnsi="Times New Roman" w:cs="Times New Roman"/>
          <w:b/>
          <w:sz w:val="24"/>
          <w:szCs w:val="24"/>
        </w:rPr>
      </w:pPr>
      <w:r w:rsidRPr="00C10744">
        <w:rPr>
          <w:rFonts w:ascii="Times New Roman" w:hAnsi="Times New Roman" w:cs="Times New Roman"/>
          <w:b/>
          <w:sz w:val="24"/>
          <w:szCs w:val="24"/>
        </w:rPr>
        <w:t>4.4.tabula. Pesimistiskā scenārija ietekme</w:t>
      </w:r>
      <w:r w:rsidRPr="00C10744">
        <w:rPr>
          <w:rFonts w:ascii="Times New Roman" w:hAnsi="Times New Roman" w:cs="Times New Roman"/>
          <w:b/>
          <w:sz w:val="24"/>
          <w:szCs w:val="24"/>
        </w:rPr>
        <w:br/>
        <w:t xml:space="preserve">uz vispārējās valdības budžetu, </w:t>
      </w:r>
      <w:r w:rsidRPr="00C10744">
        <w:rPr>
          <w:rFonts w:ascii="Times New Roman" w:hAnsi="Times New Roman" w:cs="Times New Roman"/>
          <w:b/>
          <w:noProof/>
          <w:sz w:val="24"/>
          <w:szCs w:val="24"/>
        </w:rPr>
        <w:t xml:space="preserve">milj. </w:t>
      </w:r>
      <w:r w:rsidRPr="00C10744">
        <w:rPr>
          <w:rFonts w:ascii="Times New Roman" w:hAnsi="Times New Roman" w:cs="Times New Roman"/>
          <w:b/>
          <w:i/>
          <w:noProof/>
          <w:sz w:val="24"/>
          <w:szCs w:val="24"/>
        </w:rPr>
        <w:t>euro</w:t>
      </w:r>
    </w:p>
    <w:tbl>
      <w:tblPr>
        <w:tblW w:w="9073"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2553"/>
        <w:gridCol w:w="850"/>
        <w:gridCol w:w="993"/>
        <w:gridCol w:w="986"/>
        <w:gridCol w:w="850"/>
        <w:gridCol w:w="709"/>
        <w:gridCol w:w="709"/>
        <w:gridCol w:w="709"/>
        <w:gridCol w:w="704"/>
        <w:gridCol w:w="10"/>
      </w:tblGrid>
      <w:tr w:rsidR="00691C52" w:rsidRPr="00C10744" w:rsidTr="008325B9">
        <w:trPr>
          <w:trHeight w:val="319"/>
          <w:tblHeader/>
          <w:jc w:val="center"/>
        </w:trPr>
        <w:tc>
          <w:tcPr>
            <w:tcW w:w="2553" w:type="dxa"/>
            <w:shd w:val="clear" w:color="auto" w:fill="auto"/>
            <w:vAlign w:val="center"/>
            <w:hideMark/>
          </w:tcPr>
          <w:p w:rsidR="00691C52" w:rsidRPr="00C10744" w:rsidRDefault="00691C52" w:rsidP="00792B82">
            <w:pPr>
              <w:spacing w:after="0" w:line="240" w:lineRule="auto"/>
              <w:rPr>
                <w:rFonts w:ascii="Times New Roman" w:eastAsia="Times New Roman" w:hAnsi="Times New Roman" w:cs="Times New Roman"/>
                <w:sz w:val="20"/>
                <w:szCs w:val="20"/>
                <w:lang w:eastAsia="lv-LV"/>
              </w:rPr>
            </w:pPr>
          </w:p>
        </w:tc>
        <w:tc>
          <w:tcPr>
            <w:tcW w:w="3679" w:type="dxa"/>
            <w:gridSpan w:val="4"/>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Pesimistiskais scenārijs</w:t>
            </w:r>
          </w:p>
        </w:tc>
        <w:tc>
          <w:tcPr>
            <w:tcW w:w="2841" w:type="dxa"/>
            <w:gridSpan w:val="5"/>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Novirze no bāzes scenārija</w:t>
            </w:r>
          </w:p>
        </w:tc>
      </w:tr>
      <w:tr w:rsidR="00691C52" w:rsidRPr="00C10744" w:rsidTr="008325B9">
        <w:trPr>
          <w:gridAfter w:val="1"/>
          <w:wAfter w:w="10" w:type="dxa"/>
          <w:trHeight w:val="119"/>
          <w:jc w:val="center"/>
        </w:trPr>
        <w:tc>
          <w:tcPr>
            <w:tcW w:w="2553" w:type="dxa"/>
            <w:shd w:val="clear" w:color="auto" w:fill="auto"/>
            <w:vAlign w:val="center"/>
            <w:hideMark/>
          </w:tcPr>
          <w:p w:rsidR="00691C52" w:rsidRPr="00C10744" w:rsidRDefault="00691C52" w:rsidP="00792B82">
            <w:pPr>
              <w:spacing w:after="0" w:line="240" w:lineRule="auto"/>
              <w:rPr>
                <w:rFonts w:ascii="Times New Roman" w:eastAsia="Times New Roman" w:hAnsi="Times New Roman" w:cs="Times New Roman"/>
                <w:sz w:val="20"/>
                <w:szCs w:val="20"/>
                <w:lang w:eastAsia="lv-LV"/>
              </w:rPr>
            </w:pPr>
          </w:p>
        </w:tc>
        <w:tc>
          <w:tcPr>
            <w:tcW w:w="850" w:type="dxa"/>
            <w:shd w:val="clear" w:color="auto" w:fill="auto"/>
            <w:tcMar>
              <w:left w:w="57" w:type="dxa"/>
              <w:right w:w="57" w:type="dxa"/>
            </w:tcMar>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2019</w:t>
            </w:r>
          </w:p>
        </w:tc>
        <w:tc>
          <w:tcPr>
            <w:tcW w:w="993" w:type="dxa"/>
            <w:shd w:val="clear" w:color="auto" w:fill="auto"/>
            <w:tcMar>
              <w:left w:w="57" w:type="dxa"/>
              <w:right w:w="57" w:type="dxa"/>
            </w:tcMar>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2020</w:t>
            </w:r>
          </w:p>
        </w:tc>
        <w:tc>
          <w:tcPr>
            <w:tcW w:w="986" w:type="dxa"/>
            <w:tcMar>
              <w:left w:w="57" w:type="dxa"/>
              <w:right w:w="57" w:type="dxa"/>
            </w:tcMar>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2021</w:t>
            </w:r>
          </w:p>
        </w:tc>
        <w:tc>
          <w:tcPr>
            <w:tcW w:w="850" w:type="dxa"/>
            <w:shd w:val="clear" w:color="auto" w:fill="auto"/>
            <w:tcMar>
              <w:left w:w="57" w:type="dxa"/>
              <w:right w:w="57" w:type="dxa"/>
            </w:tcMar>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2022</w:t>
            </w:r>
          </w:p>
        </w:tc>
        <w:tc>
          <w:tcPr>
            <w:tcW w:w="709" w:type="dxa"/>
            <w:shd w:val="clear" w:color="auto" w:fill="auto"/>
            <w:tcMar>
              <w:left w:w="57" w:type="dxa"/>
              <w:right w:w="57" w:type="dxa"/>
            </w:tcMar>
            <w:vAlign w:val="center"/>
            <w:hideMark/>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2019</w:t>
            </w:r>
          </w:p>
        </w:tc>
        <w:tc>
          <w:tcPr>
            <w:tcW w:w="709" w:type="dxa"/>
            <w:shd w:val="clear" w:color="auto" w:fill="auto"/>
            <w:tcMar>
              <w:left w:w="57" w:type="dxa"/>
              <w:right w:w="57" w:type="dxa"/>
            </w:tcMar>
            <w:vAlign w:val="center"/>
            <w:hideMark/>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2020</w:t>
            </w:r>
          </w:p>
        </w:tc>
        <w:tc>
          <w:tcPr>
            <w:tcW w:w="709" w:type="dxa"/>
            <w:tcMar>
              <w:left w:w="57" w:type="dxa"/>
              <w:right w:w="57" w:type="dxa"/>
            </w:tcMar>
            <w:vAlign w:val="center"/>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2021</w:t>
            </w:r>
          </w:p>
        </w:tc>
        <w:tc>
          <w:tcPr>
            <w:tcW w:w="704" w:type="dxa"/>
            <w:shd w:val="clear" w:color="auto" w:fill="auto"/>
            <w:tcMar>
              <w:left w:w="57" w:type="dxa"/>
              <w:right w:w="57" w:type="dxa"/>
            </w:tcMar>
            <w:vAlign w:val="center"/>
            <w:hideMark/>
          </w:tcPr>
          <w:p w:rsidR="00691C52" w:rsidRPr="00C10744" w:rsidRDefault="00691C52" w:rsidP="00DC3136">
            <w:pPr>
              <w:spacing w:after="0" w:line="240" w:lineRule="auto"/>
              <w:jc w:val="center"/>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2022</w:t>
            </w:r>
          </w:p>
        </w:tc>
      </w:tr>
      <w:tr w:rsidR="001E6B2D" w:rsidRPr="00C10744" w:rsidTr="008325B9">
        <w:trPr>
          <w:gridAfter w:val="1"/>
          <w:wAfter w:w="10" w:type="dxa"/>
          <w:trHeight w:val="198"/>
          <w:jc w:val="center"/>
        </w:trPr>
        <w:tc>
          <w:tcPr>
            <w:tcW w:w="2553" w:type="dxa"/>
            <w:shd w:val="clear" w:color="auto" w:fill="DEEAF6" w:themeFill="accent1" w:themeFillTint="33"/>
            <w:vAlign w:val="center"/>
          </w:tcPr>
          <w:p w:rsidR="001E6B2D" w:rsidRPr="00C10744" w:rsidRDefault="001E6B2D" w:rsidP="001E6B2D">
            <w:pPr>
              <w:spacing w:after="0" w:line="240" w:lineRule="auto"/>
              <w:rPr>
                <w:rFonts w:ascii="Times New Roman" w:eastAsia="Times New Roman" w:hAnsi="Times New Roman" w:cs="Times New Roman"/>
                <w:b/>
                <w:sz w:val="20"/>
                <w:szCs w:val="20"/>
                <w:lang w:eastAsia="lv-LV"/>
              </w:rPr>
            </w:pPr>
            <w:r w:rsidRPr="00C10744">
              <w:rPr>
                <w:rFonts w:ascii="Times New Roman" w:eastAsia="Times New Roman" w:hAnsi="Times New Roman" w:cs="Times New Roman"/>
                <w:b/>
                <w:sz w:val="20"/>
                <w:szCs w:val="20"/>
                <w:lang w:eastAsia="lv-LV"/>
              </w:rPr>
              <w:t>Vispārējās valdības budžeta bilance, % no IKP</w:t>
            </w:r>
          </w:p>
        </w:tc>
        <w:tc>
          <w:tcPr>
            <w:tcW w:w="850"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-0,7</w:t>
            </w:r>
          </w:p>
        </w:tc>
        <w:tc>
          <w:tcPr>
            <w:tcW w:w="993"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w:t>
            </w:r>
            <w:r>
              <w:rPr>
                <w:rFonts w:ascii="Times New Roman" w:hAnsi="Times New Roman" w:cs="Times New Roman"/>
                <w:b/>
                <w:sz w:val="20"/>
                <w:szCs w:val="20"/>
              </w:rPr>
              <w:t>8</w:t>
            </w:r>
          </w:p>
        </w:tc>
        <w:tc>
          <w:tcPr>
            <w:tcW w:w="986"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w:t>
            </w:r>
            <w:r>
              <w:rPr>
                <w:rFonts w:ascii="Times New Roman" w:hAnsi="Times New Roman" w:cs="Times New Roman"/>
                <w:b/>
                <w:sz w:val="20"/>
                <w:szCs w:val="20"/>
              </w:rPr>
              <w:t>8</w:t>
            </w:r>
          </w:p>
        </w:tc>
        <w:tc>
          <w:tcPr>
            <w:tcW w:w="850"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w:t>
            </w:r>
            <w:r>
              <w:rPr>
                <w:rFonts w:ascii="Times New Roman" w:hAnsi="Times New Roman" w:cs="Times New Roman"/>
                <w:b/>
                <w:sz w:val="20"/>
                <w:szCs w:val="20"/>
              </w:rPr>
              <w:t>9</w:t>
            </w:r>
          </w:p>
        </w:tc>
        <w:tc>
          <w:tcPr>
            <w:tcW w:w="709"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-0,2</w:t>
            </w:r>
          </w:p>
        </w:tc>
        <w:tc>
          <w:tcPr>
            <w:tcW w:w="709"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-0,4</w:t>
            </w:r>
          </w:p>
        </w:tc>
        <w:tc>
          <w:tcPr>
            <w:tcW w:w="709"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-0,6</w:t>
            </w:r>
          </w:p>
        </w:tc>
        <w:tc>
          <w:tcPr>
            <w:tcW w:w="704" w:type="dxa"/>
            <w:shd w:val="clear" w:color="auto" w:fill="DEEAF6" w:themeFill="accent1" w:themeFillTint="33"/>
            <w:tcMar>
              <w:left w:w="57" w:type="dxa"/>
              <w:right w:w="57" w:type="dxa"/>
            </w:tcMar>
            <w:vAlign w:val="center"/>
          </w:tcPr>
          <w:p w:rsidR="001E6B2D" w:rsidRPr="00C10744" w:rsidRDefault="001E6B2D" w:rsidP="001E6B2D">
            <w:pPr>
              <w:spacing w:after="0"/>
              <w:ind w:right="5"/>
              <w:jc w:val="center"/>
              <w:rPr>
                <w:rFonts w:ascii="Times New Roman" w:hAnsi="Times New Roman" w:cs="Times New Roman"/>
                <w:b/>
                <w:sz w:val="20"/>
                <w:szCs w:val="20"/>
              </w:rPr>
            </w:pPr>
            <w:r w:rsidRPr="00C10744">
              <w:rPr>
                <w:rFonts w:ascii="Times New Roman" w:hAnsi="Times New Roman" w:cs="Times New Roman"/>
                <w:b/>
                <w:sz w:val="20"/>
                <w:szCs w:val="20"/>
              </w:rPr>
              <w:t>-0,6</w:t>
            </w:r>
          </w:p>
        </w:tc>
      </w:tr>
      <w:tr w:rsidR="001E6B2D" w:rsidRPr="00C10744" w:rsidTr="008325B9">
        <w:trPr>
          <w:gridAfter w:val="1"/>
          <w:wAfter w:w="10" w:type="dxa"/>
          <w:trHeight w:val="198"/>
          <w:jc w:val="center"/>
        </w:trPr>
        <w:tc>
          <w:tcPr>
            <w:tcW w:w="2553" w:type="dxa"/>
            <w:shd w:val="clear" w:color="auto" w:fill="auto"/>
            <w:vAlign w:val="center"/>
          </w:tcPr>
          <w:p w:rsidR="001E6B2D" w:rsidRPr="001D07D9" w:rsidRDefault="001E6B2D" w:rsidP="001E6B2D">
            <w:pPr>
              <w:spacing w:after="0" w:line="240" w:lineRule="auto"/>
              <w:rPr>
                <w:rFonts w:ascii="Times New Roman" w:eastAsia="Times New Roman" w:hAnsi="Times New Roman" w:cs="Times New Roman"/>
                <w:b/>
                <w:sz w:val="20"/>
                <w:szCs w:val="20"/>
                <w:lang w:eastAsia="lv-LV"/>
              </w:rPr>
            </w:pPr>
            <w:r w:rsidRPr="001D07D9">
              <w:rPr>
                <w:rFonts w:ascii="Times New Roman" w:eastAsia="Times New Roman" w:hAnsi="Times New Roman" w:cs="Times New Roman"/>
                <w:b/>
                <w:sz w:val="20"/>
                <w:szCs w:val="20"/>
                <w:lang w:eastAsia="lv-LV"/>
              </w:rPr>
              <w:t>Vispārējās valdības budžeta bilance</w:t>
            </w:r>
          </w:p>
        </w:tc>
        <w:tc>
          <w:tcPr>
            <w:tcW w:w="850" w:type="dxa"/>
            <w:shd w:val="clear" w:color="auto" w:fill="auto"/>
            <w:tcMar>
              <w:left w:w="57" w:type="dxa"/>
              <w:right w:w="57" w:type="dxa"/>
            </w:tcMar>
            <w:vAlign w:val="center"/>
          </w:tcPr>
          <w:p w:rsidR="001E6B2D" w:rsidRPr="00C10744" w:rsidRDefault="001E6B2D" w:rsidP="001E6B2D">
            <w:pPr>
              <w:spacing w:after="0" w:line="240" w:lineRule="auto"/>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-216,5</w:t>
            </w:r>
          </w:p>
        </w:tc>
        <w:tc>
          <w:tcPr>
            <w:tcW w:w="993" w:type="dxa"/>
            <w:shd w:val="clear" w:color="auto" w:fill="auto"/>
            <w:tcMar>
              <w:left w:w="57" w:type="dxa"/>
              <w:right w:w="57" w:type="dxa"/>
            </w:tcMar>
            <w:vAlign w:val="center"/>
          </w:tcPr>
          <w:p w:rsidR="001E6B2D" w:rsidRPr="00C10744" w:rsidRDefault="001E6B2D" w:rsidP="001E6B2D">
            <w:pPr>
              <w:spacing w:after="0" w:line="240" w:lineRule="auto"/>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271,6</w:t>
            </w:r>
          </w:p>
        </w:tc>
        <w:tc>
          <w:tcPr>
            <w:tcW w:w="986" w:type="dxa"/>
            <w:tcMar>
              <w:left w:w="57" w:type="dxa"/>
              <w:right w:w="57" w:type="dxa"/>
            </w:tcMar>
            <w:vAlign w:val="center"/>
          </w:tcPr>
          <w:p w:rsidR="001E6B2D" w:rsidRPr="00C10744" w:rsidRDefault="001E6B2D" w:rsidP="001E6B2D">
            <w:pPr>
              <w:spacing w:after="0" w:line="240" w:lineRule="auto"/>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274,2</w:t>
            </w:r>
          </w:p>
        </w:tc>
        <w:tc>
          <w:tcPr>
            <w:tcW w:w="850" w:type="dxa"/>
            <w:shd w:val="clear" w:color="auto" w:fill="auto"/>
            <w:tcMar>
              <w:left w:w="57" w:type="dxa"/>
              <w:right w:w="57" w:type="dxa"/>
            </w:tcMar>
            <w:vAlign w:val="center"/>
          </w:tcPr>
          <w:p w:rsidR="001E6B2D" w:rsidRPr="00C10744" w:rsidRDefault="001E6B2D" w:rsidP="001E6B2D">
            <w:pPr>
              <w:spacing w:after="0" w:line="240" w:lineRule="auto"/>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332,2</w:t>
            </w:r>
          </w:p>
        </w:tc>
        <w:tc>
          <w:tcPr>
            <w:tcW w:w="709" w:type="dxa"/>
            <w:shd w:val="clear" w:color="auto" w:fill="auto"/>
            <w:tcMar>
              <w:left w:w="57" w:type="dxa"/>
              <w:right w:w="57" w:type="dxa"/>
            </w:tcMar>
            <w:vAlign w:val="center"/>
          </w:tcPr>
          <w:p w:rsidR="001E6B2D" w:rsidRPr="00C10744" w:rsidRDefault="001E6B2D" w:rsidP="001E6B2D">
            <w:pPr>
              <w:spacing w:after="0" w:line="240" w:lineRule="auto"/>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-48,1</w:t>
            </w:r>
          </w:p>
        </w:tc>
        <w:tc>
          <w:tcPr>
            <w:tcW w:w="709" w:type="dxa"/>
            <w:shd w:val="clear" w:color="auto" w:fill="auto"/>
            <w:tcMar>
              <w:left w:w="57" w:type="dxa"/>
              <w:right w:w="57" w:type="dxa"/>
            </w:tcMar>
            <w:vAlign w:val="center"/>
          </w:tcPr>
          <w:p w:rsidR="001E6B2D" w:rsidRPr="00C10744" w:rsidRDefault="001E6B2D" w:rsidP="001E6B2D">
            <w:pPr>
              <w:spacing w:after="0"/>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-138,3</w:t>
            </w:r>
          </w:p>
        </w:tc>
        <w:tc>
          <w:tcPr>
            <w:tcW w:w="709" w:type="dxa"/>
            <w:tcMar>
              <w:left w:w="57" w:type="dxa"/>
              <w:right w:w="57" w:type="dxa"/>
            </w:tcMar>
            <w:vAlign w:val="center"/>
          </w:tcPr>
          <w:p w:rsidR="001E6B2D" w:rsidRPr="00C10744" w:rsidRDefault="001E6B2D" w:rsidP="001E6B2D">
            <w:pPr>
              <w:spacing w:after="0"/>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-192,8</w:t>
            </w:r>
          </w:p>
        </w:tc>
        <w:tc>
          <w:tcPr>
            <w:tcW w:w="704" w:type="dxa"/>
            <w:shd w:val="clear" w:color="auto" w:fill="auto"/>
            <w:tcMar>
              <w:left w:w="57" w:type="dxa"/>
              <w:right w:w="57" w:type="dxa"/>
            </w:tcMar>
            <w:vAlign w:val="center"/>
          </w:tcPr>
          <w:p w:rsidR="001E6B2D" w:rsidRPr="00C10744" w:rsidRDefault="001E6B2D" w:rsidP="001E6B2D">
            <w:pPr>
              <w:spacing w:after="0"/>
              <w:jc w:val="center"/>
              <w:rPr>
                <w:rFonts w:ascii="Times New Roman" w:eastAsia="Times New Roman" w:hAnsi="Times New Roman" w:cs="Times New Roman"/>
                <w:sz w:val="20"/>
                <w:szCs w:val="20"/>
                <w:lang w:eastAsia="lv-LV"/>
              </w:rPr>
            </w:pPr>
            <w:r w:rsidRPr="00C10744">
              <w:rPr>
                <w:rFonts w:ascii="Times New Roman" w:eastAsia="Times New Roman" w:hAnsi="Times New Roman" w:cs="Times New Roman"/>
                <w:sz w:val="20"/>
                <w:szCs w:val="20"/>
                <w:lang w:eastAsia="lv-LV"/>
              </w:rPr>
              <w:t>-209,8</w:t>
            </w:r>
          </w:p>
        </w:tc>
      </w:tr>
      <w:tr w:rsidR="00691C52" w:rsidRPr="00C10744" w:rsidTr="008325B9">
        <w:trPr>
          <w:gridAfter w:val="1"/>
          <w:wAfter w:w="10" w:type="dxa"/>
          <w:trHeight w:val="215"/>
          <w:jc w:val="center"/>
        </w:trPr>
        <w:tc>
          <w:tcPr>
            <w:tcW w:w="2553" w:type="dxa"/>
            <w:shd w:val="clear" w:color="auto" w:fill="DEEAF6"/>
            <w:vAlign w:val="center"/>
          </w:tcPr>
          <w:p w:rsidR="00691C52" w:rsidRPr="001D07D9" w:rsidRDefault="00691C52" w:rsidP="00792B82">
            <w:pPr>
              <w:spacing w:after="0" w:line="240" w:lineRule="auto"/>
              <w:ind w:left="166"/>
              <w:rPr>
                <w:rFonts w:ascii="Times New Roman" w:eastAsia="Times New Roman" w:hAnsi="Times New Roman" w:cs="Times New Roman"/>
                <w:b/>
                <w:sz w:val="20"/>
                <w:szCs w:val="20"/>
                <w:lang w:eastAsia="lv-LV"/>
              </w:rPr>
            </w:pPr>
            <w:r w:rsidRPr="001D07D9">
              <w:rPr>
                <w:rFonts w:ascii="Times New Roman" w:eastAsia="Times New Roman" w:hAnsi="Times New Roman" w:cs="Times New Roman"/>
                <w:b/>
                <w:sz w:val="20"/>
                <w:szCs w:val="20"/>
                <w:lang w:eastAsia="lv-LV"/>
              </w:rPr>
              <w:t>Nodokļu ieņēmumi</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9</w:t>
            </w:r>
            <w:r w:rsidR="00DC3136">
              <w:rPr>
                <w:rFonts w:ascii="Times New Roman" w:hAnsi="Times New Roman" w:cs="Times New Roman"/>
                <w:sz w:val="20"/>
                <w:szCs w:val="20"/>
              </w:rPr>
              <w:t> </w:t>
            </w:r>
            <w:r w:rsidRPr="00C10744">
              <w:rPr>
                <w:rFonts w:ascii="Times New Roman" w:hAnsi="Times New Roman" w:cs="Times New Roman"/>
                <w:sz w:val="20"/>
                <w:szCs w:val="20"/>
              </w:rPr>
              <w:t>001,6</w:t>
            </w:r>
          </w:p>
        </w:tc>
        <w:tc>
          <w:tcPr>
            <w:tcW w:w="993"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9</w:t>
            </w:r>
            <w:r w:rsidR="00DC3136">
              <w:rPr>
                <w:rFonts w:ascii="Times New Roman" w:hAnsi="Times New Roman" w:cs="Times New Roman"/>
                <w:sz w:val="20"/>
                <w:szCs w:val="20"/>
              </w:rPr>
              <w:t> </w:t>
            </w:r>
            <w:r w:rsidRPr="00C10744">
              <w:rPr>
                <w:rFonts w:ascii="Times New Roman" w:hAnsi="Times New Roman" w:cs="Times New Roman"/>
                <w:sz w:val="20"/>
                <w:szCs w:val="20"/>
              </w:rPr>
              <w:t>541,0</w:t>
            </w:r>
          </w:p>
        </w:tc>
        <w:tc>
          <w:tcPr>
            <w:tcW w:w="986"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10</w:t>
            </w:r>
            <w:r w:rsidR="00DC3136">
              <w:rPr>
                <w:rFonts w:ascii="Times New Roman" w:hAnsi="Times New Roman" w:cs="Times New Roman"/>
                <w:sz w:val="20"/>
                <w:szCs w:val="20"/>
              </w:rPr>
              <w:t> </w:t>
            </w:r>
            <w:r w:rsidRPr="00C10744">
              <w:rPr>
                <w:rFonts w:ascii="Times New Roman" w:hAnsi="Times New Roman" w:cs="Times New Roman"/>
                <w:sz w:val="20"/>
                <w:szCs w:val="20"/>
              </w:rPr>
              <w:t>017,7</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10</w:t>
            </w:r>
            <w:r w:rsidR="00DC3136">
              <w:rPr>
                <w:rFonts w:ascii="Times New Roman" w:hAnsi="Times New Roman" w:cs="Times New Roman"/>
                <w:sz w:val="20"/>
                <w:szCs w:val="20"/>
              </w:rPr>
              <w:t> </w:t>
            </w:r>
            <w:r w:rsidRPr="00C10744">
              <w:rPr>
                <w:rFonts w:ascii="Times New Roman" w:hAnsi="Times New Roman" w:cs="Times New Roman"/>
                <w:sz w:val="20"/>
                <w:szCs w:val="20"/>
              </w:rPr>
              <w:t>529,8</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-45,4</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-130,5</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-180,5</w:t>
            </w:r>
          </w:p>
        </w:tc>
        <w:tc>
          <w:tcPr>
            <w:tcW w:w="704"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-189,8</w:t>
            </w:r>
          </w:p>
        </w:tc>
      </w:tr>
      <w:tr w:rsidR="00691C52" w:rsidRPr="00C10744" w:rsidTr="008325B9">
        <w:trPr>
          <w:gridAfter w:val="1"/>
          <w:wAfter w:w="10" w:type="dxa"/>
          <w:trHeight w:val="215"/>
          <w:jc w:val="center"/>
        </w:trPr>
        <w:tc>
          <w:tcPr>
            <w:tcW w:w="2553" w:type="dxa"/>
            <w:shd w:val="clear" w:color="auto" w:fill="auto"/>
          </w:tcPr>
          <w:p w:rsidR="00691C52" w:rsidRPr="00C10744" w:rsidRDefault="00691C52" w:rsidP="00792B82">
            <w:pPr>
              <w:spacing w:after="0"/>
              <w:jc w:val="right"/>
              <w:rPr>
                <w:rFonts w:ascii="Times New Roman" w:hAnsi="Times New Roman" w:cs="Times New Roman"/>
                <w:b/>
                <w:i/>
                <w:sz w:val="20"/>
                <w:szCs w:val="20"/>
              </w:rPr>
            </w:pPr>
            <w:r w:rsidRPr="00C10744">
              <w:rPr>
                <w:rFonts w:ascii="Times New Roman" w:hAnsi="Times New Roman" w:cs="Times New Roman"/>
                <w:i/>
                <w:sz w:val="20"/>
                <w:szCs w:val="20"/>
              </w:rPr>
              <w:t>Iedzīvotāju ienākuma nodoklis</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733,1</w:t>
            </w:r>
          </w:p>
        </w:tc>
        <w:tc>
          <w:tcPr>
            <w:tcW w:w="993"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698,2</w:t>
            </w:r>
          </w:p>
        </w:tc>
        <w:tc>
          <w:tcPr>
            <w:tcW w:w="986"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763,6</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854,7</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-9,3</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-24,6</w:t>
            </w:r>
          </w:p>
        </w:tc>
        <w:tc>
          <w:tcPr>
            <w:tcW w:w="709"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-33,6</w:t>
            </w:r>
          </w:p>
        </w:tc>
        <w:tc>
          <w:tcPr>
            <w:tcW w:w="704"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-35,3</w:t>
            </w:r>
          </w:p>
        </w:tc>
      </w:tr>
      <w:tr w:rsidR="00691C52" w:rsidRPr="00C10744" w:rsidTr="008325B9">
        <w:trPr>
          <w:gridAfter w:val="1"/>
          <w:wAfter w:w="10" w:type="dxa"/>
          <w:trHeight w:val="215"/>
          <w:jc w:val="center"/>
        </w:trPr>
        <w:tc>
          <w:tcPr>
            <w:tcW w:w="2553" w:type="dxa"/>
            <w:shd w:val="clear" w:color="auto" w:fill="DEEAF6"/>
          </w:tcPr>
          <w:p w:rsidR="00691C52" w:rsidRPr="00C10744" w:rsidRDefault="00691C52" w:rsidP="00792B82">
            <w:pPr>
              <w:spacing w:after="0"/>
              <w:jc w:val="right"/>
              <w:rPr>
                <w:rFonts w:ascii="Times New Roman" w:hAnsi="Times New Roman" w:cs="Times New Roman"/>
                <w:b/>
                <w:i/>
                <w:sz w:val="20"/>
                <w:szCs w:val="20"/>
              </w:rPr>
            </w:pPr>
            <w:r w:rsidRPr="00C10744">
              <w:rPr>
                <w:rFonts w:ascii="Times New Roman" w:hAnsi="Times New Roman" w:cs="Times New Roman"/>
                <w:i/>
                <w:sz w:val="20"/>
                <w:szCs w:val="20"/>
              </w:rPr>
              <w:t>Uzņēmuma ienākuma nodoklis</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190,4</w:t>
            </w:r>
          </w:p>
        </w:tc>
        <w:tc>
          <w:tcPr>
            <w:tcW w:w="993"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345,3</w:t>
            </w:r>
          </w:p>
        </w:tc>
        <w:tc>
          <w:tcPr>
            <w:tcW w:w="986"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363,4</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384,1</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-1,0</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-5,0</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-6,9</w:t>
            </w:r>
          </w:p>
        </w:tc>
        <w:tc>
          <w:tcPr>
            <w:tcW w:w="704"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-7,3</w:t>
            </w:r>
          </w:p>
        </w:tc>
      </w:tr>
      <w:tr w:rsidR="00691C52" w:rsidRPr="00C10744" w:rsidTr="008325B9">
        <w:trPr>
          <w:gridAfter w:val="1"/>
          <w:wAfter w:w="10" w:type="dxa"/>
          <w:trHeight w:val="215"/>
          <w:jc w:val="center"/>
        </w:trPr>
        <w:tc>
          <w:tcPr>
            <w:tcW w:w="2553" w:type="dxa"/>
            <w:shd w:val="clear" w:color="auto" w:fill="auto"/>
          </w:tcPr>
          <w:p w:rsidR="00691C52" w:rsidRPr="00C10744" w:rsidRDefault="006A570D" w:rsidP="00792B82">
            <w:pPr>
              <w:spacing w:after="0"/>
              <w:jc w:val="right"/>
              <w:rPr>
                <w:rFonts w:ascii="Times New Roman" w:hAnsi="Times New Roman" w:cs="Times New Roman"/>
                <w:b/>
                <w:i/>
                <w:sz w:val="20"/>
                <w:szCs w:val="20"/>
              </w:rPr>
            </w:pPr>
            <w:r>
              <w:rPr>
                <w:rFonts w:ascii="Times New Roman" w:hAnsi="Times New Roman" w:cs="Times New Roman"/>
                <w:i/>
                <w:sz w:val="20"/>
                <w:szCs w:val="20"/>
              </w:rPr>
              <w:t>PVN</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w:t>
            </w:r>
            <w:r w:rsidR="00DC3136">
              <w:rPr>
                <w:rFonts w:ascii="Times New Roman" w:hAnsi="Times New Roman" w:cs="Times New Roman"/>
                <w:sz w:val="20"/>
                <w:szCs w:val="20"/>
              </w:rPr>
              <w:t> </w:t>
            </w:r>
            <w:r w:rsidRPr="00C10744">
              <w:rPr>
                <w:rFonts w:ascii="Times New Roman" w:hAnsi="Times New Roman" w:cs="Times New Roman"/>
                <w:sz w:val="20"/>
                <w:szCs w:val="20"/>
              </w:rPr>
              <w:t>646,3</w:t>
            </w:r>
          </w:p>
        </w:tc>
        <w:tc>
          <w:tcPr>
            <w:tcW w:w="993"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w:t>
            </w:r>
            <w:r w:rsidR="00DC3136">
              <w:rPr>
                <w:rFonts w:ascii="Times New Roman" w:hAnsi="Times New Roman" w:cs="Times New Roman"/>
                <w:sz w:val="20"/>
                <w:szCs w:val="20"/>
              </w:rPr>
              <w:t> </w:t>
            </w:r>
            <w:r w:rsidRPr="00C10744">
              <w:rPr>
                <w:rFonts w:ascii="Times New Roman" w:hAnsi="Times New Roman" w:cs="Times New Roman"/>
                <w:sz w:val="20"/>
                <w:szCs w:val="20"/>
              </w:rPr>
              <w:t>802,3</w:t>
            </w:r>
          </w:p>
        </w:tc>
        <w:tc>
          <w:tcPr>
            <w:tcW w:w="986"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w:t>
            </w:r>
            <w:r w:rsidR="00DC3136">
              <w:rPr>
                <w:rFonts w:ascii="Times New Roman" w:hAnsi="Times New Roman" w:cs="Times New Roman"/>
                <w:sz w:val="20"/>
                <w:szCs w:val="20"/>
              </w:rPr>
              <w:t> </w:t>
            </w:r>
            <w:r w:rsidRPr="00C10744">
              <w:rPr>
                <w:rFonts w:ascii="Times New Roman" w:hAnsi="Times New Roman" w:cs="Times New Roman"/>
                <w:sz w:val="20"/>
                <w:szCs w:val="20"/>
              </w:rPr>
              <w:t>983,1</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w:t>
            </w:r>
            <w:r w:rsidR="00DC3136">
              <w:rPr>
                <w:rFonts w:ascii="Times New Roman" w:hAnsi="Times New Roman" w:cs="Times New Roman"/>
                <w:sz w:val="20"/>
                <w:szCs w:val="20"/>
              </w:rPr>
              <w:t> </w:t>
            </w:r>
            <w:r w:rsidRPr="00C10744">
              <w:rPr>
                <w:rFonts w:ascii="Times New Roman" w:hAnsi="Times New Roman" w:cs="Times New Roman"/>
                <w:sz w:val="20"/>
                <w:szCs w:val="20"/>
              </w:rPr>
              <w:t>167,0</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-14,1</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-40,5</w:t>
            </w:r>
          </w:p>
        </w:tc>
        <w:tc>
          <w:tcPr>
            <w:tcW w:w="709"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-56,8</w:t>
            </w:r>
          </w:p>
        </w:tc>
        <w:tc>
          <w:tcPr>
            <w:tcW w:w="704"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-60,2</w:t>
            </w:r>
          </w:p>
        </w:tc>
      </w:tr>
      <w:tr w:rsidR="00691C52" w:rsidRPr="00C10744" w:rsidTr="008325B9">
        <w:trPr>
          <w:gridAfter w:val="1"/>
          <w:wAfter w:w="10" w:type="dxa"/>
          <w:trHeight w:val="215"/>
          <w:jc w:val="center"/>
        </w:trPr>
        <w:tc>
          <w:tcPr>
            <w:tcW w:w="2553" w:type="dxa"/>
            <w:shd w:val="clear" w:color="auto" w:fill="DEEAF6"/>
          </w:tcPr>
          <w:p w:rsidR="00691C52" w:rsidRPr="00C10744" w:rsidRDefault="00691C52" w:rsidP="00792B82">
            <w:pPr>
              <w:spacing w:after="0"/>
              <w:jc w:val="right"/>
              <w:rPr>
                <w:rFonts w:ascii="Times New Roman" w:hAnsi="Times New Roman" w:cs="Times New Roman"/>
                <w:b/>
                <w:i/>
                <w:sz w:val="20"/>
                <w:szCs w:val="20"/>
              </w:rPr>
            </w:pPr>
            <w:r w:rsidRPr="00C10744">
              <w:rPr>
                <w:rFonts w:ascii="Times New Roman" w:hAnsi="Times New Roman" w:cs="Times New Roman"/>
                <w:i/>
                <w:sz w:val="20"/>
                <w:szCs w:val="20"/>
              </w:rPr>
              <w:lastRenderedPageBreak/>
              <w:t>Valsts sociālās apdrošināšanas obligātās  iemaksas</w:t>
            </w:r>
            <w:r w:rsidRPr="00C10744">
              <w:rPr>
                <w:rFonts w:ascii="Times New Roman" w:hAnsi="Times New Roman" w:cs="Times New Roman"/>
                <w:i/>
                <w:sz w:val="20"/>
                <w:szCs w:val="20"/>
                <w:vertAlign w:val="superscript"/>
              </w:rPr>
              <w:footnoteReference w:id="27"/>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color w:val="FF0000"/>
                <w:sz w:val="20"/>
                <w:szCs w:val="20"/>
              </w:rPr>
            </w:pPr>
            <w:r w:rsidRPr="00C10744">
              <w:rPr>
                <w:rFonts w:ascii="Times New Roman" w:hAnsi="Times New Roman" w:cs="Times New Roman"/>
                <w:sz w:val="20"/>
                <w:szCs w:val="20"/>
              </w:rPr>
              <w:t>2</w:t>
            </w:r>
            <w:r w:rsidR="00DC3136">
              <w:rPr>
                <w:rFonts w:ascii="Times New Roman" w:hAnsi="Times New Roman" w:cs="Times New Roman"/>
                <w:sz w:val="20"/>
                <w:szCs w:val="20"/>
              </w:rPr>
              <w:t> </w:t>
            </w:r>
            <w:r w:rsidRPr="00C10744">
              <w:rPr>
                <w:rFonts w:ascii="Times New Roman" w:hAnsi="Times New Roman" w:cs="Times New Roman"/>
                <w:sz w:val="20"/>
                <w:szCs w:val="20"/>
              </w:rPr>
              <w:t>814,5</w:t>
            </w:r>
          </w:p>
        </w:tc>
        <w:tc>
          <w:tcPr>
            <w:tcW w:w="993"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w:t>
            </w:r>
            <w:r w:rsidR="00DC3136">
              <w:rPr>
                <w:rFonts w:ascii="Times New Roman" w:hAnsi="Times New Roman" w:cs="Times New Roman"/>
                <w:sz w:val="20"/>
                <w:szCs w:val="20"/>
              </w:rPr>
              <w:t> </w:t>
            </w:r>
            <w:r w:rsidRPr="00C10744">
              <w:rPr>
                <w:rFonts w:ascii="Times New Roman" w:hAnsi="Times New Roman" w:cs="Times New Roman"/>
                <w:sz w:val="20"/>
                <w:szCs w:val="20"/>
              </w:rPr>
              <w:t>965,5</w:t>
            </w:r>
          </w:p>
        </w:tc>
        <w:tc>
          <w:tcPr>
            <w:tcW w:w="986"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w:t>
            </w:r>
            <w:r w:rsidR="00DC3136">
              <w:rPr>
                <w:rFonts w:ascii="Times New Roman" w:hAnsi="Times New Roman" w:cs="Times New Roman"/>
                <w:sz w:val="20"/>
                <w:szCs w:val="20"/>
              </w:rPr>
              <w:t> </w:t>
            </w:r>
            <w:r w:rsidRPr="00C10744">
              <w:rPr>
                <w:rFonts w:ascii="Times New Roman" w:hAnsi="Times New Roman" w:cs="Times New Roman"/>
                <w:sz w:val="20"/>
                <w:szCs w:val="20"/>
              </w:rPr>
              <w:t>127,5</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w:t>
            </w:r>
            <w:r w:rsidR="00DC3136">
              <w:rPr>
                <w:rFonts w:ascii="Times New Roman" w:hAnsi="Times New Roman" w:cs="Times New Roman"/>
                <w:sz w:val="20"/>
                <w:szCs w:val="20"/>
              </w:rPr>
              <w:t> </w:t>
            </w:r>
            <w:r w:rsidRPr="00C10744">
              <w:rPr>
                <w:rFonts w:ascii="Times New Roman" w:hAnsi="Times New Roman" w:cs="Times New Roman"/>
                <w:sz w:val="20"/>
                <w:szCs w:val="20"/>
              </w:rPr>
              <w:t>293,0</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-15,0</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-42,9</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-59,5</w:t>
            </w:r>
          </w:p>
        </w:tc>
        <w:tc>
          <w:tcPr>
            <w:tcW w:w="704"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-62,4</w:t>
            </w:r>
          </w:p>
        </w:tc>
      </w:tr>
      <w:tr w:rsidR="00691C52" w:rsidRPr="00C10744" w:rsidTr="008325B9">
        <w:trPr>
          <w:gridAfter w:val="1"/>
          <w:wAfter w:w="10" w:type="dxa"/>
          <w:trHeight w:val="215"/>
          <w:jc w:val="center"/>
        </w:trPr>
        <w:tc>
          <w:tcPr>
            <w:tcW w:w="2553" w:type="dxa"/>
            <w:shd w:val="clear" w:color="auto" w:fill="auto"/>
          </w:tcPr>
          <w:p w:rsidR="00691C52" w:rsidRPr="00C10744" w:rsidRDefault="00691C52" w:rsidP="00792B82">
            <w:pPr>
              <w:spacing w:after="0"/>
              <w:ind w:left="26"/>
              <w:jc w:val="right"/>
              <w:rPr>
                <w:rFonts w:ascii="Times New Roman" w:hAnsi="Times New Roman" w:cs="Times New Roman"/>
                <w:i/>
                <w:sz w:val="20"/>
                <w:szCs w:val="20"/>
              </w:rPr>
            </w:pPr>
            <w:r w:rsidRPr="00C10744">
              <w:rPr>
                <w:rFonts w:ascii="Times New Roman" w:hAnsi="Times New Roman" w:cs="Times New Roman"/>
                <w:sz w:val="20"/>
                <w:szCs w:val="20"/>
              </w:rPr>
              <w:t xml:space="preserve">          </w:t>
            </w:r>
            <w:r w:rsidRPr="00C10744">
              <w:rPr>
                <w:rFonts w:ascii="Times New Roman" w:hAnsi="Times New Roman" w:cs="Times New Roman"/>
                <w:i/>
                <w:sz w:val="20"/>
                <w:szCs w:val="20"/>
              </w:rPr>
              <w:t>Akcīzes nodoklis</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119,4</w:t>
            </w:r>
          </w:p>
        </w:tc>
        <w:tc>
          <w:tcPr>
            <w:tcW w:w="993"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213,4</w:t>
            </w:r>
          </w:p>
        </w:tc>
        <w:tc>
          <w:tcPr>
            <w:tcW w:w="986"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250,4</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w:t>
            </w:r>
            <w:r w:rsidR="00DC3136">
              <w:rPr>
                <w:rFonts w:ascii="Times New Roman" w:hAnsi="Times New Roman" w:cs="Times New Roman"/>
                <w:sz w:val="20"/>
                <w:szCs w:val="20"/>
              </w:rPr>
              <w:t> </w:t>
            </w:r>
            <w:r w:rsidRPr="00C10744">
              <w:rPr>
                <w:rFonts w:ascii="Times New Roman" w:hAnsi="Times New Roman" w:cs="Times New Roman"/>
                <w:sz w:val="20"/>
                <w:szCs w:val="20"/>
              </w:rPr>
              <w:t>287,2</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-6,0</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-17,6</w:t>
            </w:r>
          </w:p>
        </w:tc>
        <w:tc>
          <w:tcPr>
            <w:tcW w:w="709"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-23,8</w:t>
            </w:r>
          </w:p>
        </w:tc>
        <w:tc>
          <w:tcPr>
            <w:tcW w:w="704"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-24,4</w:t>
            </w:r>
          </w:p>
        </w:tc>
      </w:tr>
      <w:tr w:rsidR="00691C52" w:rsidRPr="00C10744" w:rsidTr="008325B9">
        <w:trPr>
          <w:gridAfter w:val="1"/>
          <w:wAfter w:w="10" w:type="dxa"/>
          <w:trHeight w:val="71"/>
          <w:jc w:val="center"/>
        </w:trPr>
        <w:tc>
          <w:tcPr>
            <w:tcW w:w="2553" w:type="dxa"/>
            <w:shd w:val="clear" w:color="auto" w:fill="DEEAF6"/>
            <w:vAlign w:val="center"/>
          </w:tcPr>
          <w:p w:rsidR="00691C52" w:rsidRPr="001D07D9" w:rsidRDefault="00691C52" w:rsidP="00792B82">
            <w:pPr>
              <w:spacing w:after="0" w:line="240" w:lineRule="auto"/>
              <w:ind w:left="166"/>
              <w:rPr>
                <w:rFonts w:ascii="Times New Roman" w:eastAsia="Times New Roman" w:hAnsi="Times New Roman" w:cs="Times New Roman"/>
                <w:b/>
                <w:noProof/>
                <w:sz w:val="20"/>
                <w:szCs w:val="20"/>
                <w:lang w:eastAsia="lv-LV"/>
              </w:rPr>
            </w:pPr>
            <w:r w:rsidRPr="001D07D9">
              <w:rPr>
                <w:rFonts w:ascii="Times New Roman" w:eastAsia="Times New Roman" w:hAnsi="Times New Roman" w:cs="Times New Roman"/>
                <w:b/>
                <w:noProof/>
                <w:sz w:val="20"/>
                <w:szCs w:val="20"/>
                <w:lang w:eastAsia="lv-LV"/>
              </w:rPr>
              <w:t>Nenodokļu ieņēmumi</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495,9</w:t>
            </w:r>
          </w:p>
        </w:tc>
        <w:tc>
          <w:tcPr>
            <w:tcW w:w="993"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475,4</w:t>
            </w:r>
          </w:p>
        </w:tc>
        <w:tc>
          <w:tcPr>
            <w:tcW w:w="986"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320,7</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321,8</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-2,6</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-6,9</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-6,1</w:t>
            </w:r>
          </w:p>
        </w:tc>
        <w:tc>
          <w:tcPr>
            <w:tcW w:w="704"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-6,1</w:t>
            </w:r>
          </w:p>
        </w:tc>
      </w:tr>
      <w:tr w:rsidR="00691C52" w:rsidRPr="00C10744" w:rsidTr="008325B9">
        <w:trPr>
          <w:gridAfter w:val="1"/>
          <w:wAfter w:w="10" w:type="dxa"/>
          <w:trHeight w:val="71"/>
          <w:jc w:val="center"/>
        </w:trPr>
        <w:tc>
          <w:tcPr>
            <w:tcW w:w="2553" w:type="dxa"/>
            <w:shd w:val="clear" w:color="auto" w:fill="auto"/>
            <w:vAlign w:val="center"/>
          </w:tcPr>
          <w:p w:rsidR="00691C52" w:rsidRPr="001D07D9" w:rsidRDefault="00691C52" w:rsidP="00792B82">
            <w:pPr>
              <w:spacing w:after="0" w:line="240" w:lineRule="auto"/>
              <w:ind w:left="166"/>
              <w:rPr>
                <w:rFonts w:ascii="Times New Roman" w:eastAsia="Times New Roman" w:hAnsi="Times New Roman" w:cs="Times New Roman"/>
                <w:b/>
                <w:noProof/>
                <w:sz w:val="20"/>
                <w:szCs w:val="20"/>
                <w:lang w:eastAsia="lv-LV"/>
              </w:rPr>
            </w:pPr>
            <w:r w:rsidRPr="001D07D9">
              <w:rPr>
                <w:rFonts w:ascii="Times New Roman" w:eastAsia="Times New Roman" w:hAnsi="Times New Roman" w:cs="Times New Roman"/>
                <w:b/>
                <w:noProof/>
                <w:sz w:val="20"/>
                <w:szCs w:val="20"/>
                <w:lang w:eastAsia="lv-LV"/>
              </w:rPr>
              <w:t>Procentu izdevumi</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224,1</w:t>
            </w:r>
          </w:p>
        </w:tc>
        <w:tc>
          <w:tcPr>
            <w:tcW w:w="993"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256,4</w:t>
            </w:r>
          </w:p>
        </w:tc>
        <w:tc>
          <w:tcPr>
            <w:tcW w:w="986"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281,9</w:t>
            </w:r>
          </w:p>
        </w:tc>
        <w:tc>
          <w:tcPr>
            <w:tcW w:w="850"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289,6</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0,0</w:t>
            </w:r>
          </w:p>
        </w:tc>
        <w:tc>
          <w:tcPr>
            <w:tcW w:w="709"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0,9</w:t>
            </w:r>
          </w:p>
        </w:tc>
        <w:tc>
          <w:tcPr>
            <w:tcW w:w="709" w:type="dxa"/>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6,2</w:t>
            </w:r>
          </w:p>
        </w:tc>
        <w:tc>
          <w:tcPr>
            <w:tcW w:w="704" w:type="dxa"/>
            <w:shd w:val="clear" w:color="auto" w:fill="auto"/>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13,9</w:t>
            </w:r>
          </w:p>
        </w:tc>
      </w:tr>
      <w:tr w:rsidR="00691C52" w:rsidRPr="00C10744" w:rsidTr="008325B9">
        <w:trPr>
          <w:gridAfter w:val="1"/>
          <w:wAfter w:w="10" w:type="dxa"/>
          <w:trHeight w:val="51"/>
          <w:jc w:val="center"/>
        </w:trPr>
        <w:tc>
          <w:tcPr>
            <w:tcW w:w="2553" w:type="dxa"/>
            <w:shd w:val="clear" w:color="auto" w:fill="DEEAF6"/>
            <w:vAlign w:val="center"/>
          </w:tcPr>
          <w:p w:rsidR="00691C52" w:rsidRPr="001D07D9" w:rsidRDefault="00691C52" w:rsidP="00792B82">
            <w:pPr>
              <w:spacing w:after="0" w:line="240" w:lineRule="auto"/>
              <w:rPr>
                <w:rFonts w:ascii="Times New Roman" w:eastAsia="Times New Roman" w:hAnsi="Times New Roman" w:cs="Times New Roman"/>
                <w:b/>
                <w:noProof/>
                <w:sz w:val="20"/>
                <w:szCs w:val="20"/>
                <w:lang w:eastAsia="lv-LV"/>
              </w:rPr>
            </w:pPr>
            <w:r w:rsidRPr="001D07D9">
              <w:rPr>
                <w:rFonts w:ascii="Times New Roman" w:eastAsia="Times New Roman" w:hAnsi="Times New Roman" w:cs="Times New Roman"/>
                <w:b/>
                <w:noProof/>
                <w:sz w:val="20"/>
                <w:szCs w:val="20"/>
                <w:lang w:eastAsia="lv-LV"/>
              </w:rPr>
              <w:t>Vispārējās valdības parāds</w:t>
            </w:r>
            <w:r w:rsidRPr="001D07D9">
              <w:rPr>
                <w:rFonts w:ascii="Times New Roman" w:hAnsi="Times New Roman" w:cs="Times New Roman"/>
                <w:b/>
                <w:sz w:val="20"/>
                <w:szCs w:val="20"/>
                <w:vertAlign w:val="superscript"/>
              </w:rPr>
              <w:footnoteReference w:id="28"/>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w:t>
            </w:r>
          </w:p>
        </w:tc>
        <w:tc>
          <w:tcPr>
            <w:tcW w:w="993"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w:t>
            </w:r>
          </w:p>
        </w:tc>
        <w:tc>
          <w:tcPr>
            <w:tcW w:w="986"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w:t>
            </w:r>
          </w:p>
        </w:tc>
        <w:tc>
          <w:tcPr>
            <w:tcW w:w="850"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0,4%</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1,6%</w:t>
            </w:r>
          </w:p>
        </w:tc>
        <w:tc>
          <w:tcPr>
            <w:tcW w:w="709"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3,3%</w:t>
            </w:r>
          </w:p>
        </w:tc>
        <w:tc>
          <w:tcPr>
            <w:tcW w:w="704" w:type="dxa"/>
            <w:shd w:val="clear" w:color="auto" w:fill="DEEAF6"/>
            <w:tcMar>
              <w:left w:w="57" w:type="dxa"/>
              <w:right w:w="57" w:type="dxa"/>
            </w:tcMar>
            <w:vAlign w:val="center"/>
          </w:tcPr>
          <w:p w:rsidR="00691C52" w:rsidRPr="00C10744" w:rsidRDefault="00691C52" w:rsidP="00DC3136">
            <w:pPr>
              <w:spacing w:after="0"/>
              <w:ind w:right="5"/>
              <w:jc w:val="center"/>
              <w:rPr>
                <w:rFonts w:ascii="Times New Roman" w:hAnsi="Times New Roman" w:cs="Times New Roman"/>
                <w:sz w:val="20"/>
                <w:szCs w:val="20"/>
              </w:rPr>
            </w:pPr>
            <w:r w:rsidRPr="00C10744">
              <w:rPr>
                <w:rFonts w:ascii="Times New Roman" w:hAnsi="Times New Roman" w:cs="Times New Roman"/>
                <w:sz w:val="20"/>
                <w:szCs w:val="20"/>
              </w:rPr>
              <w:t>4,9%</w:t>
            </w:r>
          </w:p>
        </w:tc>
      </w:tr>
    </w:tbl>
    <w:p w:rsidR="00D562FF" w:rsidRDefault="00D562FF" w:rsidP="00D562FF">
      <w:pPr>
        <w:spacing w:after="0" w:line="240" w:lineRule="auto"/>
        <w:ind w:firstLine="720"/>
        <w:jc w:val="both"/>
        <w:rPr>
          <w:rFonts w:ascii="Times New Roman" w:hAnsi="Times New Roman" w:cs="Times New Roman"/>
          <w:sz w:val="24"/>
          <w:szCs w:val="24"/>
        </w:rPr>
      </w:pPr>
    </w:p>
    <w:p w:rsidR="00691C52" w:rsidRPr="00C10744" w:rsidRDefault="00691C52" w:rsidP="00D562FF">
      <w:pPr>
        <w:spacing w:after="0" w:line="240" w:lineRule="auto"/>
        <w:ind w:firstLine="720"/>
        <w:jc w:val="both"/>
        <w:rPr>
          <w:rFonts w:ascii="Times New Roman" w:hAnsi="Times New Roman" w:cs="Times New Roman"/>
          <w:sz w:val="24"/>
          <w:szCs w:val="24"/>
        </w:rPr>
      </w:pPr>
      <w:r w:rsidRPr="00C10744">
        <w:rPr>
          <w:rFonts w:ascii="Times New Roman" w:hAnsi="Times New Roman" w:cs="Times New Roman"/>
          <w:sz w:val="24"/>
          <w:szCs w:val="24"/>
        </w:rPr>
        <w:t xml:space="preserve">Īstenojoties ekonomiskās attīstības pesimistiskākajam scenārijam, nodokļu ieņēmumu samazināšanās ietekmē pieaugtu valsts budžeta deficīts, kā rezultātā palielinātos kopējā finansēšanas nepieciešamība un attiecīgi arī aizņemšanās apjoms attiecīgajā periodā, salīdzinot ar bāzes scenāriju. Papildus aizņemšanās izraisītu procentu izdevumu pieaugumu. Pesimistiskā scenārija gadījumā procentu izdevumi 2020.gadā būtu par 0,9 milj. </w:t>
      </w:r>
      <w:proofErr w:type="spellStart"/>
      <w:r w:rsidRPr="00C10744">
        <w:rPr>
          <w:rFonts w:ascii="Times New Roman" w:hAnsi="Times New Roman" w:cs="Times New Roman"/>
          <w:i/>
          <w:sz w:val="24"/>
          <w:szCs w:val="24"/>
        </w:rPr>
        <w:t>euro</w:t>
      </w:r>
      <w:proofErr w:type="spellEnd"/>
      <w:r w:rsidRPr="00C10744">
        <w:rPr>
          <w:rFonts w:ascii="Times New Roman" w:hAnsi="Times New Roman" w:cs="Times New Roman"/>
          <w:sz w:val="24"/>
          <w:szCs w:val="24"/>
        </w:rPr>
        <w:t xml:space="preserve"> jeb 0,003% no IKP lielāki, 2021.gadā par 6,2 milj. </w:t>
      </w:r>
      <w:proofErr w:type="spellStart"/>
      <w:r w:rsidRPr="00C10744">
        <w:rPr>
          <w:rFonts w:ascii="Times New Roman" w:hAnsi="Times New Roman" w:cs="Times New Roman"/>
          <w:i/>
          <w:sz w:val="24"/>
          <w:szCs w:val="24"/>
        </w:rPr>
        <w:t>euro</w:t>
      </w:r>
      <w:proofErr w:type="spellEnd"/>
      <w:r w:rsidRPr="00C10744">
        <w:rPr>
          <w:rFonts w:ascii="Times New Roman" w:hAnsi="Times New Roman" w:cs="Times New Roman"/>
          <w:sz w:val="24"/>
          <w:szCs w:val="24"/>
        </w:rPr>
        <w:t xml:space="preserve"> jeb 0,018% no IKP un 2022.gadā attiecīgi par 13,9 milj. </w:t>
      </w:r>
      <w:proofErr w:type="spellStart"/>
      <w:r w:rsidRPr="00C10744">
        <w:rPr>
          <w:rFonts w:ascii="Times New Roman" w:hAnsi="Times New Roman" w:cs="Times New Roman"/>
          <w:i/>
          <w:sz w:val="24"/>
          <w:szCs w:val="24"/>
        </w:rPr>
        <w:t>euro</w:t>
      </w:r>
      <w:proofErr w:type="spellEnd"/>
      <w:r w:rsidRPr="00C10744">
        <w:rPr>
          <w:rFonts w:ascii="Times New Roman" w:hAnsi="Times New Roman" w:cs="Times New Roman"/>
          <w:sz w:val="24"/>
          <w:szCs w:val="24"/>
        </w:rPr>
        <w:t xml:space="preserve"> jeb 0,039% no IKP lielāki nekā bāzes scenārijā.</w:t>
      </w:r>
    </w:p>
    <w:p w:rsidR="00691C52" w:rsidRPr="00C10744" w:rsidRDefault="00691C52" w:rsidP="00D562FF">
      <w:pPr>
        <w:autoSpaceDE w:val="0"/>
        <w:autoSpaceDN w:val="0"/>
        <w:adjustRightInd w:val="0"/>
        <w:spacing w:after="0" w:line="240" w:lineRule="auto"/>
        <w:ind w:firstLine="720"/>
        <w:jc w:val="both"/>
        <w:rPr>
          <w:rFonts w:ascii="Times New Roman" w:eastAsia="Times New Roman" w:hAnsi="Times New Roman" w:cs="Times New Roman"/>
          <w:sz w:val="24"/>
          <w:szCs w:val="20"/>
          <w:lang w:eastAsia="lv-LV"/>
        </w:rPr>
      </w:pPr>
      <w:r w:rsidRPr="00C10744">
        <w:rPr>
          <w:rFonts w:ascii="Times New Roman" w:eastAsia="Times New Roman" w:hAnsi="Times New Roman" w:cs="Times New Roman"/>
          <w:color w:val="000000"/>
          <w:sz w:val="24"/>
          <w:szCs w:val="24"/>
          <w:lang w:eastAsia="lv-LV"/>
        </w:rPr>
        <w:t>Saskaņā ar LBFV 25.panta (2</w:t>
      </w:r>
      <w:r w:rsidRPr="00C10744">
        <w:rPr>
          <w:rFonts w:ascii="Times New Roman" w:eastAsia="Times New Roman" w:hAnsi="Times New Roman" w:cs="Times New Roman"/>
          <w:color w:val="000000"/>
          <w:sz w:val="24"/>
          <w:szCs w:val="24"/>
          <w:vertAlign w:val="superscript"/>
          <w:lang w:eastAsia="lv-LV"/>
        </w:rPr>
        <w:t>2</w:t>
      </w:r>
      <w:r w:rsidRPr="00C10744">
        <w:rPr>
          <w:rFonts w:ascii="Times New Roman" w:eastAsia="Times New Roman" w:hAnsi="Times New Roman" w:cs="Times New Roman"/>
          <w:color w:val="000000"/>
          <w:sz w:val="24"/>
          <w:szCs w:val="24"/>
          <w:lang w:eastAsia="lv-LV"/>
        </w:rPr>
        <w:t xml:space="preserve">) daļu, gadījumā, ja triju mēnešu </w:t>
      </w:r>
      <w:r w:rsidRPr="00C10744">
        <w:rPr>
          <w:rFonts w:ascii="Times New Roman" w:eastAsia="Times New Roman" w:hAnsi="Times New Roman" w:cs="Times New Roman"/>
          <w:sz w:val="24"/>
          <w:szCs w:val="20"/>
          <w:lang w:eastAsia="lv-LV"/>
        </w:rPr>
        <w:t>periodā valsts budžeta nodokļu un ne-nodokļu faktiskie ieņēmumi attiecībā pret attiecīgajā periodā paredzētajiem ieņēmumiem samazinās vairāk nekā par 0,5 procentiem no gadskārtējā valsts budžeta likumā noteiktās IKP prognozes vai faktiskais uzkrātais valsts budžeta finansiālais deficīts triju mēnešu periodā pārsniedz attiecīgajam periodam paredzēto valsts budžeta finansiālo deficītu vairāk nekā par 0,5 procentiem no gadskārtējā valsts budžeta likumā noteiktās IKP prognozes, vai VK budžeta kontos nav pietiekama līdzekļu apjoma, lai segtu nākamajam mēnesim plānotās maksājumu saistības, finanšu ministram ir tiesības dot rīkojumu VK noteiktam periodam aizkavēt vai samazināt asignējumus, ja šāda darbība nav pretrunā ar Satversmi, likumiem un MK noteikumiem. Tādējādi normatīvos tiek paredzēts regulējums gadījumiem, kas var iestāties pesimistiskā scenārijā.</w:t>
      </w:r>
    </w:p>
    <w:p w:rsidR="00691C52" w:rsidRPr="00C10744" w:rsidRDefault="00691C52" w:rsidP="00691C52">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C10744">
        <w:rPr>
          <w:rFonts w:ascii="Times New Roman" w:eastAsia="Times New Roman" w:hAnsi="Times New Roman" w:cs="Times New Roman"/>
          <w:sz w:val="24"/>
          <w:szCs w:val="20"/>
          <w:lang w:eastAsia="lv-LV"/>
        </w:rPr>
        <w:t>Pes</w:t>
      </w:r>
      <w:r>
        <w:rPr>
          <w:rFonts w:ascii="Times New Roman" w:eastAsia="Times New Roman" w:hAnsi="Times New Roman" w:cs="Times New Roman"/>
          <w:sz w:val="24"/>
          <w:szCs w:val="20"/>
          <w:lang w:eastAsia="lv-LV"/>
        </w:rPr>
        <w:t>imistiskā scenārija iestāšanās gadījumā ekonomiskās izaugsmes tempi samazinātos</w:t>
      </w:r>
      <w:r w:rsidRPr="00C10744">
        <w:rPr>
          <w:rFonts w:ascii="Times New Roman" w:eastAsia="Times New Roman" w:hAnsi="Times New Roman" w:cs="Times New Roman"/>
          <w:sz w:val="24"/>
          <w:szCs w:val="20"/>
          <w:lang w:eastAsia="lv-LV"/>
        </w:rPr>
        <w:t xml:space="preserve">, kas </w:t>
      </w:r>
      <w:r>
        <w:rPr>
          <w:rFonts w:ascii="Times New Roman" w:eastAsia="Times New Roman" w:hAnsi="Times New Roman" w:cs="Times New Roman"/>
          <w:sz w:val="24"/>
          <w:szCs w:val="20"/>
          <w:lang w:eastAsia="lv-LV"/>
        </w:rPr>
        <w:t xml:space="preserve">vienlaikus </w:t>
      </w:r>
      <w:r w:rsidRPr="00C10744">
        <w:rPr>
          <w:rFonts w:ascii="Times New Roman" w:eastAsia="Times New Roman" w:hAnsi="Times New Roman" w:cs="Times New Roman"/>
          <w:sz w:val="24"/>
          <w:szCs w:val="20"/>
          <w:lang w:eastAsia="lv-LV"/>
        </w:rPr>
        <w:t>nozīmētu arī samazinājumu atsevišķās izdevumu pozīcijās,</w:t>
      </w:r>
      <w:r>
        <w:rPr>
          <w:rFonts w:ascii="Times New Roman" w:eastAsia="Times New Roman" w:hAnsi="Times New Roman" w:cs="Times New Roman"/>
          <w:sz w:val="24"/>
          <w:szCs w:val="20"/>
          <w:lang w:eastAsia="lv-LV"/>
        </w:rPr>
        <w:t xml:space="preserve"> kuras piesaistītas IKP,</w:t>
      </w:r>
      <w:r w:rsidRPr="00C10744">
        <w:rPr>
          <w:rFonts w:ascii="Times New Roman" w:eastAsia="Times New Roman" w:hAnsi="Times New Roman" w:cs="Times New Roman"/>
          <w:sz w:val="24"/>
          <w:szCs w:val="20"/>
          <w:lang w:eastAsia="lv-LV"/>
        </w:rPr>
        <w:t xml:space="preserve"> piemēram, zemāki IKP</w:t>
      </w:r>
      <w:r>
        <w:rPr>
          <w:rFonts w:ascii="Times New Roman" w:eastAsia="Times New Roman" w:hAnsi="Times New Roman" w:cs="Times New Roman"/>
          <w:sz w:val="24"/>
          <w:szCs w:val="20"/>
          <w:lang w:eastAsia="lv-LV"/>
        </w:rPr>
        <w:t xml:space="preserve"> pieauguma tempi nozīmētu zemāka</w:t>
      </w:r>
      <w:r w:rsidRPr="00C10744">
        <w:rPr>
          <w:rFonts w:ascii="Times New Roman" w:eastAsia="Times New Roman" w:hAnsi="Times New Roman" w:cs="Times New Roman"/>
          <w:sz w:val="24"/>
          <w:szCs w:val="20"/>
          <w:lang w:eastAsia="lv-LV"/>
        </w:rPr>
        <w:t xml:space="preserve">s iemaksas ES budžetā, </w:t>
      </w:r>
      <w:r>
        <w:rPr>
          <w:rFonts w:ascii="Times New Roman" w:eastAsia="Times New Roman" w:hAnsi="Times New Roman" w:cs="Times New Roman"/>
          <w:sz w:val="24"/>
          <w:szCs w:val="20"/>
          <w:lang w:eastAsia="lv-LV"/>
        </w:rPr>
        <w:t>tāpat arī mazākus izdevumus aizsardzības resorā.</w:t>
      </w:r>
    </w:p>
    <w:p w:rsidR="009D2D01" w:rsidRPr="00782778" w:rsidRDefault="009D2D01">
      <w:pPr>
        <w:rPr>
          <w:rFonts w:ascii="Times New Roman" w:eastAsiaTheme="majorEastAsia" w:hAnsi="Times New Roman" w:cs="Times New Roman"/>
          <w:b/>
          <w:bCs/>
          <w:smallCaps/>
          <w:color w:val="000000" w:themeColor="text1"/>
          <w:sz w:val="32"/>
          <w:szCs w:val="36"/>
          <w:highlight w:val="yellow"/>
        </w:rPr>
      </w:pPr>
    </w:p>
    <w:p w:rsidR="005536A9" w:rsidRPr="003D448B" w:rsidRDefault="005536A9" w:rsidP="005E344C">
      <w:pPr>
        <w:pStyle w:val="Heading2"/>
        <w:numPr>
          <w:ilvl w:val="1"/>
          <w:numId w:val="36"/>
        </w:numPr>
        <w:spacing w:before="0" w:after="240" w:line="240" w:lineRule="auto"/>
        <w:ind w:left="0" w:firstLine="709"/>
        <w:jc w:val="both"/>
        <w:rPr>
          <w:rFonts w:ascii="Times New Roman" w:hAnsi="Times New Roman" w:cs="Times New Roman"/>
          <w:sz w:val="24"/>
        </w:rPr>
      </w:pPr>
      <w:bookmarkStart w:id="60" w:name="_Toc510790671"/>
      <w:bookmarkStart w:id="61" w:name="_Toc5627378"/>
      <w:bookmarkStart w:id="62" w:name="_Toc5798633"/>
      <w:r w:rsidRPr="003D448B">
        <w:rPr>
          <w:rFonts w:ascii="Times New Roman" w:hAnsi="Times New Roman" w:cs="Times New Roman"/>
          <w:sz w:val="24"/>
        </w:rPr>
        <w:t>Vispārējās valdības budžeta bilances un parāda prognožu salīdzinājums ar Latvijas Stabilitātes programmu 201</w:t>
      </w:r>
      <w:r w:rsidR="00BD0130" w:rsidRPr="003D448B">
        <w:rPr>
          <w:rFonts w:ascii="Times New Roman" w:hAnsi="Times New Roman" w:cs="Times New Roman"/>
          <w:sz w:val="24"/>
        </w:rPr>
        <w:t>8</w:t>
      </w:r>
      <w:r w:rsidRPr="003D448B">
        <w:rPr>
          <w:rFonts w:ascii="Times New Roman" w:hAnsi="Times New Roman" w:cs="Times New Roman"/>
          <w:sz w:val="24"/>
        </w:rPr>
        <w:t>.</w:t>
      </w:r>
      <w:r w:rsidR="000C3005" w:rsidRPr="003D448B">
        <w:rPr>
          <w:rFonts w:ascii="Times New Roman" w:hAnsi="Times New Roman" w:cs="Times New Roman"/>
          <w:sz w:val="24"/>
        </w:rPr>
        <w:t xml:space="preserve"> – </w:t>
      </w:r>
      <w:r w:rsidRPr="003D448B">
        <w:rPr>
          <w:rFonts w:ascii="Times New Roman" w:hAnsi="Times New Roman" w:cs="Times New Roman"/>
          <w:sz w:val="24"/>
        </w:rPr>
        <w:t>20</w:t>
      </w:r>
      <w:r w:rsidR="00FD5100" w:rsidRPr="003D448B">
        <w:rPr>
          <w:rFonts w:ascii="Times New Roman" w:hAnsi="Times New Roman" w:cs="Times New Roman"/>
          <w:sz w:val="24"/>
        </w:rPr>
        <w:t>2</w:t>
      </w:r>
      <w:r w:rsidR="00BD0130" w:rsidRPr="003D448B">
        <w:rPr>
          <w:rFonts w:ascii="Times New Roman" w:hAnsi="Times New Roman" w:cs="Times New Roman"/>
          <w:sz w:val="24"/>
        </w:rPr>
        <w:t>1</w:t>
      </w:r>
      <w:r w:rsidRPr="003D448B">
        <w:rPr>
          <w:rFonts w:ascii="Times New Roman" w:hAnsi="Times New Roman" w:cs="Times New Roman"/>
          <w:sz w:val="24"/>
        </w:rPr>
        <w:t>.gadam</w:t>
      </w:r>
      <w:bookmarkEnd w:id="60"/>
      <w:bookmarkEnd w:id="61"/>
      <w:bookmarkEnd w:id="62"/>
    </w:p>
    <w:p w:rsidR="003D448B" w:rsidRDefault="003D448B" w:rsidP="00E43828">
      <w:pPr>
        <w:pStyle w:val="teksts"/>
        <w:spacing w:after="0"/>
        <w:ind w:firstLine="720"/>
        <w:rPr>
          <w:rFonts w:ascii="Times New Roman" w:eastAsia="Calibri" w:hAnsi="Times New Roman"/>
          <w:szCs w:val="24"/>
        </w:rPr>
      </w:pPr>
      <w:r>
        <w:rPr>
          <w:rFonts w:ascii="Times New Roman" w:eastAsia="Calibri" w:hAnsi="Times New Roman"/>
          <w:szCs w:val="24"/>
        </w:rPr>
        <w:t>IKP pieaugums 2018</w:t>
      </w:r>
      <w:r w:rsidRPr="00A07882">
        <w:rPr>
          <w:rFonts w:ascii="Times New Roman" w:eastAsia="Calibri" w:hAnsi="Times New Roman"/>
          <w:szCs w:val="24"/>
        </w:rPr>
        <w:t xml:space="preserve">.gadā bija </w:t>
      </w:r>
      <w:r>
        <w:rPr>
          <w:rFonts w:ascii="Times New Roman" w:eastAsia="Calibri" w:hAnsi="Times New Roman"/>
          <w:szCs w:val="24"/>
        </w:rPr>
        <w:t>būtiski</w:t>
      </w:r>
      <w:r w:rsidRPr="00A07882">
        <w:rPr>
          <w:rFonts w:ascii="Times New Roman" w:eastAsia="Calibri" w:hAnsi="Times New Roman"/>
          <w:szCs w:val="24"/>
        </w:rPr>
        <w:t xml:space="preserve"> straujāks, nekā to paredzēja Latvijas Stabilitātes programmas 201</w:t>
      </w:r>
      <w:r>
        <w:rPr>
          <w:rFonts w:ascii="Times New Roman" w:eastAsia="Calibri" w:hAnsi="Times New Roman"/>
          <w:szCs w:val="24"/>
        </w:rPr>
        <w:t>8</w:t>
      </w:r>
      <w:r w:rsidRPr="00A07882">
        <w:rPr>
          <w:rFonts w:ascii="Times New Roman" w:eastAsia="Calibri" w:hAnsi="Times New Roman"/>
          <w:szCs w:val="24"/>
        </w:rPr>
        <w:t>.</w:t>
      </w:r>
      <w:r w:rsidRPr="000C3005">
        <w:rPr>
          <w:rFonts w:ascii="Times New Roman" w:eastAsia="Calibri" w:hAnsi="Times New Roman"/>
          <w:szCs w:val="24"/>
        </w:rPr>
        <w:t xml:space="preserve"> </w:t>
      </w:r>
      <w:r w:rsidRPr="00F14E08">
        <w:rPr>
          <w:rFonts w:ascii="Times New Roman" w:eastAsia="Calibri" w:hAnsi="Times New Roman"/>
          <w:szCs w:val="24"/>
        </w:rPr>
        <w:t>–</w:t>
      </w:r>
      <w:r>
        <w:rPr>
          <w:rFonts w:ascii="Times New Roman" w:eastAsia="Calibri" w:hAnsi="Times New Roman"/>
          <w:szCs w:val="24"/>
        </w:rPr>
        <w:t xml:space="preserve"> </w:t>
      </w:r>
      <w:r w:rsidRPr="00A07882">
        <w:rPr>
          <w:rFonts w:ascii="Times New Roman" w:eastAsia="Calibri" w:hAnsi="Times New Roman"/>
          <w:szCs w:val="24"/>
        </w:rPr>
        <w:t>202</w:t>
      </w:r>
      <w:r>
        <w:rPr>
          <w:rFonts w:ascii="Times New Roman" w:eastAsia="Calibri" w:hAnsi="Times New Roman"/>
          <w:szCs w:val="24"/>
        </w:rPr>
        <w:t>1</w:t>
      </w:r>
      <w:r w:rsidRPr="00A07882">
        <w:rPr>
          <w:rFonts w:ascii="Times New Roman" w:eastAsia="Calibri" w:hAnsi="Times New Roman"/>
          <w:szCs w:val="24"/>
        </w:rPr>
        <w:t xml:space="preserve">.gadam scenārijs. Straujāka ekonomikas izaugsme </w:t>
      </w:r>
      <w:r w:rsidR="00D562FF">
        <w:rPr>
          <w:rFonts w:ascii="Times New Roman" w:eastAsia="Calibri" w:hAnsi="Times New Roman"/>
          <w:szCs w:val="24"/>
        </w:rPr>
        <w:t>2018.</w:t>
      </w:r>
      <w:r>
        <w:rPr>
          <w:rFonts w:ascii="Times New Roman" w:eastAsia="Calibri" w:hAnsi="Times New Roman"/>
          <w:szCs w:val="24"/>
        </w:rPr>
        <w:t xml:space="preserve">gadā </w:t>
      </w:r>
      <w:r w:rsidRPr="00A07882">
        <w:rPr>
          <w:rFonts w:ascii="Times New Roman" w:eastAsia="Calibri" w:hAnsi="Times New Roman"/>
          <w:szCs w:val="24"/>
        </w:rPr>
        <w:t xml:space="preserve">bija saistīta </w:t>
      </w:r>
      <w:r>
        <w:rPr>
          <w:rFonts w:ascii="Times New Roman" w:eastAsia="Calibri" w:hAnsi="Times New Roman"/>
          <w:szCs w:val="24"/>
        </w:rPr>
        <w:t xml:space="preserve">galvenokārt </w:t>
      </w:r>
      <w:r w:rsidRPr="00A07882">
        <w:rPr>
          <w:rFonts w:ascii="Times New Roman" w:eastAsia="Calibri" w:hAnsi="Times New Roman"/>
          <w:szCs w:val="24"/>
        </w:rPr>
        <w:t xml:space="preserve">ar </w:t>
      </w:r>
      <w:r>
        <w:rPr>
          <w:rFonts w:ascii="Times New Roman" w:eastAsia="Calibri" w:hAnsi="Times New Roman"/>
          <w:szCs w:val="24"/>
        </w:rPr>
        <w:t>spēcīgāku</w:t>
      </w:r>
      <w:r w:rsidRPr="00A07882">
        <w:rPr>
          <w:rFonts w:ascii="Times New Roman" w:eastAsia="Calibri" w:hAnsi="Times New Roman"/>
          <w:szCs w:val="24"/>
        </w:rPr>
        <w:t xml:space="preserve">, nekā prognozēts, investīciju aktivitātes </w:t>
      </w:r>
      <w:r>
        <w:rPr>
          <w:rFonts w:ascii="Times New Roman" w:eastAsia="Calibri" w:hAnsi="Times New Roman"/>
          <w:szCs w:val="24"/>
        </w:rPr>
        <w:t>pieaugumu, bruto pamatkapitāla veidošanai palielinoties par 16,4%, kā ar labvēlīgāku, nekā prognozēts, attīstību atsevišķās ekonomikas nozarēs, tostarp transportā un finanšu pakalpojumos. Arī sabie</w:t>
      </w:r>
      <w:r w:rsidR="00D562FF">
        <w:rPr>
          <w:rFonts w:ascii="Times New Roman" w:eastAsia="Calibri" w:hAnsi="Times New Roman"/>
          <w:szCs w:val="24"/>
        </w:rPr>
        <w:t>driskā patēriņa pieaugums 2018.</w:t>
      </w:r>
      <w:r>
        <w:rPr>
          <w:rFonts w:ascii="Times New Roman" w:eastAsia="Calibri" w:hAnsi="Times New Roman"/>
          <w:szCs w:val="24"/>
        </w:rPr>
        <w:t xml:space="preserve">gadā bija nedaudz straujāks, nekā paredzēja </w:t>
      </w:r>
      <w:r w:rsidRPr="00A07882">
        <w:rPr>
          <w:rFonts w:ascii="Times New Roman" w:eastAsia="Calibri" w:hAnsi="Times New Roman"/>
          <w:szCs w:val="24"/>
        </w:rPr>
        <w:t>Latvijas Stabilitātes programmas 201</w:t>
      </w:r>
      <w:r>
        <w:rPr>
          <w:rFonts w:ascii="Times New Roman" w:eastAsia="Calibri" w:hAnsi="Times New Roman"/>
          <w:szCs w:val="24"/>
        </w:rPr>
        <w:t>8</w:t>
      </w:r>
      <w:r w:rsidRPr="00A07882">
        <w:rPr>
          <w:rFonts w:ascii="Times New Roman" w:eastAsia="Calibri" w:hAnsi="Times New Roman"/>
          <w:szCs w:val="24"/>
        </w:rPr>
        <w:t>.</w:t>
      </w:r>
      <w:r w:rsidRPr="000C3005">
        <w:rPr>
          <w:rFonts w:ascii="Times New Roman" w:eastAsia="Calibri" w:hAnsi="Times New Roman"/>
          <w:szCs w:val="24"/>
        </w:rPr>
        <w:t xml:space="preserve"> </w:t>
      </w:r>
      <w:r w:rsidRPr="00F14E08">
        <w:rPr>
          <w:rFonts w:ascii="Times New Roman" w:eastAsia="Calibri" w:hAnsi="Times New Roman"/>
          <w:szCs w:val="24"/>
        </w:rPr>
        <w:t>–</w:t>
      </w:r>
      <w:r>
        <w:rPr>
          <w:rFonts w:ascii="Times New Roman" w:eastAsia="Calibri" w:hAnsi="Times New Roman"/>
          <w:szCs w:val="24"/>
        </w:rPr>
        <w:t xml:space="preserve"> </w:t>
      </w:r>
      <w:r w:rsidRPr="00A07882">
        <w:rPr>
          <w:rFonts w:ascii="Times New Roman" w:eastAsia="Calibri" w:hAnsi="Times New Roman"/>
          <w:szCs w:val="24"/>
        </w:rPr>
        <w:t>202</w:t>
      </w:r>
      <w:r>
        <w:rPr>
          <w:rFonts w:ascii="Times New Roman" w:eastAsia="Calibri" w:hAnsi="Times New Roman"/>
          <w:szCs w:val="24"/>
        </w:rPr>
        <w:t>1</w:t>
      </w:r>
      <w:r w:rsidRPr="00A07882">
        <w:rPr>
          <w:rFonts w:ascii="Times New Roman" w:eastAsia="Calibri" w:hAnsi="Times New Roman"/>
          <w:szCs w:val="24"/>
        </w:rPr>
        <w:t>.gadam scenārijs</w:t>
      </w:r>
      <w:r>
        <w:rPr>
          <w:rFonts w:ascii="Times New Roman" w:eastAsia="Calibri" w:hAnsi="Times New Roman"/>
          <w:szCs w:val="24"/>
        </w:rPr>
        <w:t>. Savukārt privātā patēriņa un eksporta pieauguma tempi bija nedaudz zemāki nekā bija prognozēts iepriekšējās Stabilitātes programmas scenārijā.</w:t>
      </w:r>
    </w:p>
    <w:p w:rsidR="003D448B" w:rsidRDefault="003D448B" w:rsidP="00E43828">
      <w:pPr>
        <w:pStyle w:val="teksts"/>
        <w:spacing w:after="0"/>
        <w:ind w:firstLine="720"/>
        <w:rPr>
          <w:rFonts w:ascii="Times New Roman" w:eastAsia="Calibri" w:hAnsi="Times New Roman"/>
          <w:szCs w:val="24"/>
        </w:rPr>
      </w:pPr>
      <w:r w:rsidRPr="00A07882">
        <w:rPr>
          <w:rFonts w:ascii="Times New Roman" w:eastAsia="Calibri" w:hAnsi="Times New Roman"/>
          <w:szCs w:val="24"/>
        </w:rPr>
        <w:t>Atbilstoši jaunākajam izaugsmes scenāri</w:t>
      </w:r>
      <w:r>
        <w:rPr>
          <w:rFonts w:ascii="Times New Roman" w:eastAsia="Calibri" w:hAnsi="Times New Roman"/>
          <w:szCs w:val="24"/>
        </w:rPr>
        <w:t>jam IKP pieauguma prognoze 2019</w:t>
      </w:r>
      <w:r w:rsidRPr="00A07882">
        <w:rPr>
          <w:rFonts w:ascii="Times New Roman" w:eastAsia="Calibri" w:hAnsi="Times New Roman"/>
          <w:szCs w:val="24"/>
        </w:rPr>
        <w:t xml:space="preserve">.gadam ir </w:t>
      </w:r>
      <w:r>
        <w:rPr>
          <w:rFonts w:ascii="Times New Roman" w:eastAsia="Calibri" w:hAnsi="Times New Roman"/>
          <w:szCs w:val="24"/>
        </w:rPr>
        <w:t>3,2%, kas ir par 0,2</w:t>
      </w:r>
      <w:r w:rsidR="00D562FF">
        <w:rPr>
          <w:rFonts w:ascii="Times New Roman" w:eastAsia="Calibri" w:hAnsi="Times New Roman"/>
          <w:szCs w:val="24"/>
        </w:rPr>
        <w:t xml:space="preserve"> </w:t>
      </w:r>
      <w:r w:rsidRPr="00A07882">
        <w:rPr>
          <w:rFonts w:ascii="Times New Roman" w:eastAsia="Calibri" w:hAnsi="Times New Roman"/>
          <w:szCs w:val="24"/>
        </w:rPr>
        <w:t xml:space="preserve">procentpunktiem </w:t>
      </w:r>
      <w:r>
        <w:rPr>
          <w:rFonts w:ascii="Times New Roman" w:eastAsia="Calibri" w:hAnsi="Times New Roman"/>
          <w:szCs w:val="24"/>
        </w:rPr>
        <w:t>mazāk</w:t>
      </w:r>
      <w:r w:rsidRPr="00A07882">
        <w:rPr>
          <w:rFonts w:ascii="Times New Roman" w:eastAsia="Calibri" w:hAnsi="Times New Roman"/>
          <w:szCs w:val="24"/>
        </w:rPr>
        <w:t xml:space="preserve">, nekā paredzēja </w:t>
      </w:r>
      <w:r>
        <w:rPr>
          <w:rFonts w:ascii="Times New Roman" w:eastAsia="Calibri" w:hAnsi="Times New Roman"/>
          <w:szCs w:val="24"/>
        </w:rPr>
        <w:t xml:space="preserve">iepriekšējās </w:t>
      </w:r>
      <w:r w:rsidRPr="00A07882">
        <w:rPr>
          <w:rFonts w:ascii="Times New Roman" w:eastAsia="Calibri" w:hAnsi="Times New Roman"/>
          <w:szCs w:val="24"/>
        </w:rPr>
        <w:t>Stab</w:t>
      </w:r>
      <w:r>
        <w:rPr>
          <w:rFonts w:ascii="Times New Roman" w:eastAsia="Calibri" w:hAnsi="Times New Roman"/>
          <w:szCs w:val="24"/>
        </w:rPr>
        <w:t xml:space="preserve">ilitātes </w:t>
      </w:r>
      <w:r>
        <w:rPr>
          <w:rFonts w:ascii="Times New Roman" w:eastAsia="Calibri" w:hAnsi="Times New Roman"/>
          <w:szCs w:val="24"/>
        </w:rPr>
        <w:lastRenderedPageBreak/>
        <w:t xml:space="preserve">programmas </w:t>
      </w:r>
      <w:r w:rsidRPr="00A07882">
        <w:rPr>
          <w:rFonts w:ascii="Times New Roman" w:eastAsia="Calibri" w:hAnsi="Times New Roman"/>
          <w:szCs w:val="24"/>
        </w:rPr>
        <w:t xml:space="preserve">scenārijs. </w:t>
      </w:r>
      <w:r>
        <w:rPr>
          <w:rFonts w:ascii="Times New Roman" w:eastAsia="Calibri" w:hAnsi="Times New Roman"/>
          <w:szCs w:val="24"/>
        </w:rPr>
        <w:t xml:space="preserve">IKP pieauguma prognozes samazinājums saistīts galvenokārt ar ekonomiskās izaugsmes palēnināšanos pasaulē un Latvijas galvenajos ārējos tirgos, kā arī </w:t>
      </w:r>
      <w:r w:rsidR="00D562FF">
        <w:rPr>
          <w:rFonts w:ascii="Times New Roman" w:eastAsia="Calibri" w:hAnsi="Times New Roman"/>
          <w:szCs w:val="24"/>
        </w:rPr>
        <w:t>ar augsto 2018</w:t>
      </w:r>
      <w:r w:rsidR="00124554">
        <w:rPr>
          <w:rFonts w:ascii="Times New Roman" w:eastAsia="Calibri" w:hAnsi="Times New Roman"/>
          <w:szCs w:val="24"/>
        </w:rPr>
        <w:t>.</w:t>
      </w:r>
      <w:r>
        <w:rPr>
          <w:rFonts w:ascii="Times New Roman" w:eastAsia="Calibri" w:hAnsi="Times New Roman"/>
          <w:szCs w:val="24"/>
        </w:rPr>
        <w:t xml:space="preserve">gadā sasniegto bāzi. </w:t>
      </w:r>
      <w:r w:rsidRPr="00A07882">
        <w:rPr>
          <w:rFonts w:ascii="Times New Roman" w:eastAsia="Calibri" w:hAnsi="Times New Roman"/>
          <w:szCs w:val="24"/>
        </w:rPr>
        <w:t>IKP pieauguma prognoze</w:t>
      </w:r>
      <w:r>
        <w:rPr>
          <w:rFonts w:ascii="Times New Roman" w:eastAsia="Calibri" w:hAnsi="Times New Roman"/>
          <w:szCs w:val="24"/>
        </w:rPr>
        <w:t>s</w:t>
      </w:r>
      <w:r w:rsidRPr="00A07882">
        <w:rPr>
          <w:rFonts w:ascii="Times New Roman" w:eastAsia="Calibri" w:hAnsi="Times New Roman"/>
          <w:szCs w:val="24"/>
        </w:rPr>
        <w:t xml:space="preserve"> </w:t>
      </w:r>
      <w:r w:rsidR="00D562FF">
        <w:rPr>
          <w:rFonts w:ascii="Times New Roman" w:eastAsia="Calibri" w:hAnsi="Times New Roman"/>
          <w:szCs w:val="24"/>
        </w:rPr>
        <w:t>2020. un 2021.</w:t>
      </w:r>
      <w:r>
        <w:rPr>
          <w:rFonts w:ascii="Times New Roman" w:eastAsia="Calibri" w:hAnsi="Times New Roman"/>
          <w:szCs w:val="24"/>
        </w:rPr>
        <w:t>gadam nav mainītas un saglabājas attiecīgi 3,0% un 2,9% līmenī.</w:t>
      </w:r>
    </w:p>
    <w:p w:rsidR="00E43828" w:rsidRPr="00A07882" w:rsidRDefault="00E43828" w:rsidP="00E43828">
      <w:pPr>
        <w:pStyle w:val="teksts"/>
        <w:spacing w:after="0"/>
        <w:ind w:firstLine="720"/>
        <w:rPr>
          <w:rFonts w:ascii="Times New Roman" w:eastAsia="Calibri" w:hAnsi="Times New Roman"/>
          <w:szCs w:val="24"/>
        </w:rPr>
      </w:pPr>
    </w:p>
    <w:p w:rsidR="003D448B" w:rsidRPr="00DC70E8" w:rsidRDefault="001D07D9" w:rsidP="003D448B">
      <w:pPr>
        <w:pStyle w:val="T"/>
        <w:ind w:left="0"/>
        <w:jc w:val="right"/>
        <w:rPr>
          <w:rFonts w:ascii="Times New Roman" w:hAnsi="Times New Roman"/>
        </w:rPr>
      </w:pPr>
      <w:r w:rsidRPr="001D07D9">
        <w:rPr>
          <w:rFonts w:ascii="Times New Roman" w:hAnsi="Times New Roman"/>
        </w:rPr>
        <w:t>4.5</w:t>
      </w:r>
      <w:r w:rsidR="003D448B" w:rsidRPr="001D07D9">
        <w:rPr>
          <w:rFonts w:ascii="Times New Roman" w:hAnsi="Times New Roman"/>
        </w:rPr>
        <w:t>.tabula.</w:t>
      </w:r>
      <w:r w:rsidR="003D448B" w:rsidRPr="0056485D">
        <w:rPr>
          <w:rFonts w:ascii="Times New Roman" w:hAnsi="Times New Roman"/>
        </w:rPr>
        <w:t xml:space="preserve"> Salīdzinājums </w:t>
      </w:r>
      <w:r w:rsidR="003D448B">
        <w:rPr>
          <w:rFonts w:ascii="Times New Roman" w:hAnsi="Times New Roman"/>
        </w:rPr>
        <w:t>ar 2018. – 2021.</w:t>
      </w:r>
      <w:r w:rsidR="003D448B" w:rsidRPr="00DC70E8">
        <w:rPr>
          <w:rFonts w:ascii="Times New Roman" w:hAnsi="Times New Roman"/>
        </w:rPr>
        <w:t>gada Stabilitātes programmas prognozēm</w:t>
      </w:r>
    </w:p>
    <w:tbl>
      <w:tblPr>
        <w:tblW w:w="8065"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3119"/>
        <w:gridCol w:w="694"/>
        <w:gridCol w:w="850"/>
        <w:gridCol w:w="851"/>
        <w:gridCol w:w="850"/>
        <w:gridCol w:w="851"/>
        <w:gridCol w:w="850"/>
      </w:tblGrid>
      <w:tr w:rsidR="003D448B" w:rsidRPr="006C3F86" w:rsidTr="008325B9">
        <w:trPr>
          <w:jc w:val="center"/>
        </w:trPr>
        <w:tc>
          <w:tcPr>
            <w:tcW w:w="3119" w:type="dxa"/>
            <w:shd w:val="clear" w:color="auto" w:fill="auto"/>
          </w:tcPr>
          <w:p w:rsidR="003D448B" w:rsidRPr="006C3F86" w:rsidRDefault="003D448B" w:rsidP="003D448B">
            <w:pPr>
              <w:spacing w:after="0" w:line="240" w:lineRule="auto"/>
              <w:rPr>
                <w:rFonts w:ascii="Times New Roman" w:hAnsi="Times New Roman"/>
                <w:b/>
                <w:bCs/>
                <w:sz w:val="20"/>
                <w:szCs w:val="20"/>
              </w:rPr>
            </w:pPr>
          </w:p>
        </w:tc>
        <w:tc>
          <w:tcPr>
            <w:tcW w:w="694" w:type="dxa"/>
            <w:shd w:val="clear" w:color="auto" w:fill="auto"/>
            <w:vAlign w:val="center"/>
          </w:tcPr>
          <w:p w:rsidR="003D448B" w:rsidRPr="006C3F86" w:rsidRDefault="003D448B" w:rsidP="00D562FF">
            <w:pPr>
              <w:spacing w:after="0" w:line="240" w:lineRule="auto"/>
              <w:jc w:val="center"/>
              <w:rPr>
                <w:rFonts w:ascii="Times New Roman" w:hAnsi="Times New Roman"/>
                <w:b/>
                <w:bCs/>
                <w:sz w:val="20"/>
                <w:szCs w:val="20"/>
              </w:rPr>
            </w:pPr>
            <w:r w:rsidRPr="00A07882">
              <w:rPr>
                <w:rFonts w:ascii="Times New Roman" w:hAnsi="Times New Roman"/>
                <w:b/>
                <w:bCs/>
                <w:sz w:val="20"/>
                <w:szCs w:val="20"/>
              </w:rPr>
              <w:t>EKS kods</w:t>
            </w:r>
          </w:p>
        </w:tc>
        <w:tc>
          <w:tcPr>
            <w:tcW w:w="850" w:type="dxa"/>
            <w:shd w:val="clear" w:color="auto" w:fill="auto"/>
            <w:vAlign w:val="center"/>
          </w:tcPr>
          <w:p w:rsidR="003D448B" w:rsidRPr="006C3F86" w:rsidRDefault="003D448B" w:rsidP="00D562FF">
            <w:pPr>
              <w:spacing w:after="0" w:line="240" w:lineRule="auto"/>
              <w:jc w:val="center"/>
              <w:rPr>
                <w:rFonts w:ascii="Times New Roman" w:hAnsi="Times New Roman"/>
                <w:b/>
                <w:bCs/>
                <w:sz w:val="20"/>
                <w:szCs w:val="20"/>
              </w:rPr>
            </w:pPr>
            <w:r>
              <w:rPr>
                <w:rFonts w:ascii="Times New Roman" w:hAnsi="Times New Roman"/>
                <w:b/>
                <w:bCs/>
                <w:sz w:val="20"/>
                <w:szCs w:val="20"/>
              </w:rPr>
              <w:t>2018</w:t>
            </w:r>
          </w:p>
        </w:tc>
        <w:tc>
          <w:tcPr>
            <w:tcW w:w="851" w:type="dxa"/>
            <w:shd w:val="clear" w:color="auto" w:fill="auto"/>
            <w:vAlign w:val="center"/>
          </w:tcPr>
          <w:p w:rsidR="003D448B" w:rsidRPr="006C3F86" w:rsidRDefault="003D448B" w:rsidP="00D562FF">
            <w:pPr>
              <w:spacing w:after="0" w:line="240" w:lineRule="auto"/>
              <w:jc w:val="center"/>
              <w:rPr>
                <w:rFonts w:ascii="Times New Roman" w:hAnsi="Times New Roman"/>
                <w:b/>
                <w:bCs/>
                <w:sz w:val="20"/>
                <w:szCs w:val="20"/>
              </w:rPr>
            </w:pPr>
            <w:r w:rsidRPr="00A07882">
              <w:rPr>
                <w:rFonts w:ascii="Times New Roman" w:hAnsi="Times New Roman"/>
                <w:b/>
                <w:bCs/>
                <w:sz w:val="20"/>
                <w:szCs w:val="20"/>
              </w:rPr>
              <w:t>201</w:t>
            </w:r>
            <w:r>
              <w:rPr>
                <w:rFonts w:ascii="Times New Roman" w:hAnsi="Times New Roman"/>
                <w:b/>
                <w:bCs/>
                <w:sz w:val="20"/>
                <w:szCs w:val="20"/>
              </w:rPr>
              <w:t>9</w:t>
            </w:r>
          </w:p>
        </w:tc>
        <w:tc>
          <w:tcPr>
            <w:tcW w:w="850" w:type="dxa"/>
            <w:shd w:val="clear" w:color="auto" w:fill="auto"/>
            <w:vAlign w:val="center"/>
          </w:tcPr>
          <w:p w:rsidR="003D448B" w:rsidRPr="006C3F86" w:rsidRDefault="003D448B" w:rsidP="00D562FF">
            <w:pPr>
              <w:spacing w:after="0" w:line="240" w:lineRule="auto"/>
              <w:jc w:val="center"/>
              <w:rPr>
                <w:rFonts w:ascii="Times New Roman" w:hAnsi="Times New Roman"/>
                <w:b/>
                <w:bCs/>
                <w:sz w:val="20"/>
                <w:szCs w:val="20"/>
              </w:rPr>
            </w:pPr>
            <w:r>
              <w:rPr>
                <w:rFonts w:ascii="Times New Roman" w:hAnsi="Times New Roman"/>
                <w:b/>
                <w:bCs/>
                <w:sz w:val="20"/>
                <w:szCs w:val="20"/>
              </w:rPr>
              <w:t>2020</w:t>
            </w:r>
          </w:p>
        </w:tc>
        <w:tc>
          <w:tcPr>
            <w:tcW w:w="851" w:type="dxa"/>
            <w:shd w:val="clear" w:color="auto" w:fill="auto"/>
            <w:vAlign w:val="center"/>
          </w:tcPr>
          <w:p w:rsidR="003D448B" w:rsidRPr="006C3F86" w:rsidRDefault="003D448B" w:rsidP="00D562FF">
            <w:pPr>
              <w:spacing w:after="0" w:line="240" w:lineRule="auto"/>
              <w:jc w:val="center"/>
              <w:rPr>
                <w:rFonts w:ascii="Times New Roman" w:hAnsi="Times New Roman"/>
                <w:b/>
                <w:bCs/>
                <w:sz w:val="20"/>
                <w:szCs w:val="20"/>
              </w:rPr>
            </w:pPr>
            <w:r>
              <w:rPr>
                <w:rFonts w:ascii="Times New Roman" w:hAnsi="Times New Roman"/>
                <w:b/>
                <w:bCs/>
                <w:sz w:val="20"/>
                <w:szCs w:val="20"/>
              </w:rPr>
              <w:t>2021</w:t>
            </w:r>
          </w:p>
        </w:tc>
        <w:tc>
          <w:tcPr>
            <w:tcW w:w="850" w:type="dxa"/>
            <w:shd w:val="clear" w:color="auto" w:fill="auto"/>
            <w:vAlign w:val="center"/>
          </w:tcPr>
          <w:p w:rsidR="003D448B" w:rsidRPr="006C3F86" w:rsidRDefault="003D448B" w:rsidP="00D562FF">
            <w:pPr>
              <w:spacing w:after="0" w:line="240" w:lineRule="auto"/>
              <w:jc w:val="center"/>
              <w:rPr>
                <w:rFonts w:ascii="Times New Roman" w:hAnsi="Times New Roman"/>
                <w:b/>
                <w:bCs/>
                <w:sz w:val="20"/>
                <w:szCs w:val="20"/>
              </w:rPr>
            </w:pPr>
            <w:r>
              <w:rPr>
                <w:rFonts w:ascii="Times New Roman" w:hAnsi="Times New Roman"/>
                <w:b/>
                <w:bCs/>
                <w:sz w:val="20"/>
                <w:szCs w:val="20"/>
              </w:rPr>
              <w:t>2022</w:t>
            </w:r>
          </w:p>
        </w:tc>
      </w:tr>
      <w:tr w:rsidR="003D448B" w:rsidRPr="006C3F86" w:rsidTr="008325B9">
        <w:trPr>
          <w:jc w:val="center"/>
        </w:trPr>
        <w:tc>
          <w:tcPr>
            <w:tcW w:w="3119" w:type="dxa"/>
            <w:shd w:val="clear" w:color="auto" w:fill="DEEAF6"/>
          </w:tcPr>
          <w:p w:rsidR="003D448B" w:rsidRPr="001D07D9" w:rsidRDefault="003D448B" w:rsidP="003D448B">
            <w:pPr>
              <w:spacing w:after="0" w:line="240" w:lineRule="auto"/>
              <w:rPr>
                <w:rFonts w:ascii="Times New Roman" w:hAnsi="Times New Roman"/>
                <w:b/>
                <w:bCs/>
                <w:snapToGrid w:val="0"/>
                <w:sz w:val="20"/>
                <w:szCs w:val="20"/>
              </w:rPr>
            </w:pPr>
            <w:r w:rsidRPr="001D07D9">
              <w:rPr>
                <w:rFonts w:ascii="Times New Roman" w:hAnsi="Times New Roman"/>
                <w:b/>
                <w:bCs/>
                <w:sz w:val="20"/>
                <w:szCs w:val="20"/>
              </w:rPr>
              <w:t>IKP pieaugums (%)</w:t>
            </w:r>
          </w:p>
        </w:tc>
        <w:tc>
          <w:tcPr>
            <w:tcW w:w="694"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r w:rsidRPr="00A07882">
              <w:rPr>
                <w:rFonts w:ascii="Times New Roman" w:hAnsi="Times New Roman"/>
                <w:sz w:val="20"/>
                <w:szCs w:val="20"/>
              </w:rPr>
              <w:t>B1g</w:t>
            </w:r>
          </w:p>
        </w:tc>
        <w:tc>
          <w:tcPr>
            <w:tcW w:w="850"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c>
          <w:tcPr>
            <w:tcW w:w="851"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DEEAF6"/>
            <w:vAlign w:val="center"/>
          </w:tcPr>
          <w:p w:rsidR="003D448B" w:rsidRPr="006C3F86" w:rsidRDefault="003D448B" w:rsidP="00D562FF">
            <w:pPr>
              <w:spacing w:after="0" w:line="240" w:lineRule="auto"/>
              <w:jc w:val="center"/>
              <w:rPr>
                <w:rFonts w:ascii="Times New Roman" w:eastAsia="Arial Unicode MS" w:hAnsi="Times New Roman"/>
                <w:sz w:val="20"/>
                <w:szCs w:val="20"/>
              </w:rPr>
            </w:pPr>
          </w:p>
        </w:tc>
        <w:tc>
          <w:tcPr>
            <w:tcW w:w="851"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r>
      <w:tr w:rsidR="003D448B" w:rsidRPr="006C3F86" w:rsidTr="008325B9">
        <w:trPr>
          <w:jc w:val="center"/>
        </w:trPr>
        <w:tc>
          <w:tcPr>
            <w:tcW w:w="3119" w:type="dxa"/>
            <w:shd w:val="clear" w:color="auto" w:fill="auto"/>
          </w:tcPr>
          <w:p w:rsidR="003D448B" w:rsidRPr="006C3F86" w:rsidRDefault="003D448B" w:rsidP="003D448B">
            <w:pPr>
              <w:spacing w:after="0" w:line="240" w:lineRule="auto"/>
              <w:jc w:val="right"/>
              <w:rPr>
                <w:rFonts w:ascii="Times New Roman" w:hAnsi="Times New Roman"/>
                <w:bCs/>
                <w:sz w:val="20"/>
                <w:szCs w:val="20"/>
              </w:rPr>
            </w:pPr>
            <w:r>
              <w:rPr>
                <w:rFonts w:ascii="Times New Roman" w:hAnsi="Times New Roman"/>
                <w:bCs/>
                <w:sz w:val="20"/>
                <w:szCs w:val="20"/>
              </w:rPr>
              <w:t>2018.</w:t>
            </w:r>
            <w:r w:rsidRPr="00A07882">
              <w:rPr>
                <w:rFonts w:ascii="Times New Roman" w:hAnsi="Times New Roman"/>
                <w:bCs/>
                <w:sz w:val="20"/>
                <w:szCs w:val="20"/>
              </w:rPr>
              <w:t>gads</w:t>
            </w:r>
          </w:p>
        </w:tc>
        <w:tc>
          <w:tcPr>
            <w:tcW w:w="694" w:type="dxa"/>
            <w:shd w:val="clear" w:color="auto" w:fill="auto"/>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4,0</w:t>
            </w:r>
          </w:p>
        </w:tc>
        <w:tc>
          <w:tcPr>
            <w:tcW w:w="851"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3,4</w:t>
            </w:r>
          </w:p>
        </w:tc>
        <w:tc>
          <w:tcPr>
            <w:tcW w:w="850"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3,0</w:t>
            </w:r>
          </w:p>
        </w:tc>
        <w:tc>
          <w:tcPr>
            <w:tcW w:w="851"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2,9</w:t>
            </w:r>
          </w:p>
        </w:tc>
        <w:tc>
          <w:tcPr>
            <w:tcW w:w="850"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w:t>
            </w:r>
          </w:p>
        </w:tc>
      </w:tr>
      <w:tr w:rsidR="003D448B" w:rsidRPr="006C3F86" w:rsidTr="008325B9">
        <w:trPr>
          <w:jc w:val="center"/>
        </w:trPr>
        <w:tc>
          <w:tcPr>
            <w:tcW w:w="3119" w:type="dxa"/>
            <w:shd w:val="clear" w:color="auto" w:fill="DEEAF6"/>
          </w:tcPr>
          <w:p w:rsidR="003D448B" w:rsidRPr="006C3F86" w:rsidRDefault="003D448B" w:rsidP="003D448B">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DEEAF6"/>
            <w:vAlign w:val="center"/>
          </w:tcPr>
          <w:p w:rsidR="003D448B" w:rsidRPr="006C3F86"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4,8</w:t>
            </w:r>
          </w:p>
        </w:tc>
        <w:tc>
          <w:tcPr>
            <w:tcW w:w="851" w:type="dxa"/>
            <w:shd w:val="clear" w:color="auto" w:fill="DEEAF6"/>
            <w:vAlign w:val="center"/>
          </w:tcPr>
          <w:p w:rsidR="003D448B" w:rsidRPr="006C3F86"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3,2</w:t>
            </w:r>
          </w:p>
        </w:tc>
        <w:tc>
          <w:tcPr>
            <w:tcW w:w="850" w:type="dxa"/>
            <w:shd w:val="clear" w:color="auto" w:fill="DEEAF6"/>
            <w:vAlign w:val="center"/>
          </w:tcPr>
          <w:p w:rsidR="003D448B" w:rsidRPr="006C3F86"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3,0</w:t>
            </w:r>
          </w:p>
        </w:tc>
        <w:tc>
          <w:tcPr>
            <w:tcW w:w="851" w:type="dxa"/>
            <w:shd w:val="clear" w:color="auto" w:fill="DEEAF6"/>
            <w:vAlign w:val="center"/>
          </w:tcPr>
          <w:p w:rsidR="003D448B" w:rsidRPr="006C3F86"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2,9</w:t>
            </w:r>
          </w:p>
        </w:tc>
        <w:tc>
          <w:tcPr>
            <w:tcW w:w="850" w:type="dxa"/>
            <w:shd w:val="clear" w:color="auto" w:fill="DEEAF6"/>
            <w:vAlign w:val="center"/>
          </w:tcPr>
          <w:p w:rsidR="003D448B" w:rsidRPr="006C3F86"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2,9</w:t>
            </w:r>
          </w:p>
        </w:tc>
      </w:tr>
      <w:tr w:rsidR="003D448B" w:rsidRPr="006C3F86" w:rsidTr="008325B9">
        <w:trPr>
          <w:jc w:val="center"/>
        </w:trPr>
        <w:tc>
          <w:tcPr>
            <w:tcW w:w="3119" w:type="dxa"/>
            <w:shd w:val="clear" w:color="auto" w:fill="auto"/>
          </w:tcPr>
          <w:p w:rsidR="003D448B" w:rsidRPr="006C3F86" w:rsidRDefault="003D448B" w:rsidP="003D448B">
            <w:pPr>
              <w:spacing w:after="0" w:line="240" w:lineRule="auto"/>
              <w:jc w:val="right"/>
              <w:rPr>
                <w:rFonts w:ascii="Times New Roman" w:hAnsi="Times New Roman"/>
                <w:bCs/>
                <w:snapToGrid w:val="0"/>
                <w:sz w:val="20"/>
                <w:szCs w:val="20"/>
              </w:rPr>
            </w:pPr>
            <w:r w:rsidRPr="00A07882">
              <w:rPr>
                <w:rFonts w:ascii="Times New Roman" w:hAnsi="Times New Roman"/>
                <w:bCs/>
                <w:snapToGrid w:val="0"/>
                <w:sz w:val="20"/>
                <w:szCs w:val="20"/>
              </w:rPr>
              <w:t>Izmaiņas</w:t>
            </w:r>
          </w:p>
        </w:tc>
        <w:tc>
          <w:tcPr>
            <w:tcW w:w="694" w:type="dxa"/>
            <w:shd w:val="clear" w:color="auto" w:fill="auto"/>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0,8</w:t>
            </w:r>
          </w:p>
        </w:tc>
        <w:tc>
          <w:tcPr>
            <w:tcW w:w="851"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w:t>
            </w:r>
            <w:r w:rsidRPr="00A07882">
              <w:rPr>
                <w:rFonts w:ascii="Times New Roman" w:eastAsia="Calibri" w:hAnsi="Times New Roman"/>
                <w:sz w:val="20"/>
                <w:szCs w:val="20"/>
              </w:rPr>
              <w:t>0,</w:t>
            </w:r>
            <w:r>
              <w:rPr>
                <w:rFonts w:ascii="Times New Roman" w:eastAsia="Calibri" w:hAnsi="Times New Roman"/>
                <w:sz w:val="20"/>
                <w:szCs w:val="20"/>
              </w:rPr>
              <w:t>2</w:t>
            </w:r>
          </w:p>
        </w:tc>
        <w:tc>
          <w:tcPr>
            <w:tcW w:w="850"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0,</w:t>
            </w:r>
            <w:r>
              <w:rPr>
                <w:rFonts w:ascii="Times New Roman" w:eastAsia="Calibri" w:hAnsi="Times New Roman"/>
                <w:sz w:val="20"/>
                <w:szCs w:val="20"/>
              </w:rPr>
              <w:t>0</w:t>
            </w:r>
          </w:p>
        </w:tc>
        <w:tc>
          <w:tcPr>
            <w:tcW w:w="851"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0,0</w:t>
            </w:r>
          </w:p>
        </w:tc>
        <w:tc>
          <w:tcPr>
            <w:tcW w:w="850" w:type="dxa"/>
            <w:shd w:val="clear" w:color="auto" w:fill="auto"/>
            <w:vAlign w:val="center"/>
          </w:tcPr>
          <w:p w:rsidR="003D448B" w:rsidRPr="006C3F86" w:rsidRDefault="003D448B" w:rsidP="00D562FF">
            <w:pPr>
              <w:spacing w:after="0" w:line="240" w:lineRule="auto"/>
              <w:jc w:val="center"/>
              <w:rPr>
                <w:rFonts w:ascii="Times New Roman" w:eastAsia="Calibri" w:hAnsi="Times New Roman"/>
                <w:sz w:val="20"/>
                <w:szCs w:val="20"/>
              </w:rPr>
            </w:pPr>
            <w:r w:rsidRPr="00A07882">
              <w:rPr>
                <w:rFonts w:ascii="Times New Roman" w:eastAsia="Calibri" w:hAnsi="Times New Roman"/>
                <w:sz w:val="20"/>
                <w:szCs w:val="20"/>
              </w:rPr>
              <w:t>-</w:t>
            </w:r>
          </w:p>
        </w:tc>
      </w:tr>
      <w:tr w:rsidR="003D448B" w:rsidRPr="006C3F86" w:rsidTr="008325B9">
        <w:trPr>
          <w:jc w:val="center"/>
        </w:trPr>
        <w:tc>
          <w:tcPr>
            <w:tcW w:w="3119" w:type="dxa"/>
            <w:shd w:val="clear" w:color="auto" w:fill="DEEAF6"/>
          </w:tcPr>
          <w:p w:rsidR="003D448B" w:rsidRPr="001D07D9" w:rsidRDefault="003D448B" w:rsidP="003D448B">
            <w:pPr>
              <w:spacing w:after="0" w:line="240" w:lineRule="auto"/>
              <w:jc w:val="both"/>
              <w:rPr>
                <w:rFonts w:ascii="Times New Roman" w:hAnsi="Times New Roman"/>
                <w:b/>
                <w:bCs/>
                <w:sz w:val="20"/>
                <w:szCs w:val="20"/>
              </w:rPr>
            </w:pPr>
            <w:r w:rsidRPr="001D07D9">
              <w:rPr>
                <w:rFonts w:ascii="Times New Roman" w:hAnsi="Times New Roman"/>
                <w:b/>
                <w:bCs/>
                <w:sz w:val="20"/>
                <w:szCs w:val="20"/>
              </w:rPr>
              <w:t>Faktiskā budžeta bilance</w:t>
            </w:r>
          </w:p>
          <w:p w:rsidR="003D448B" w:rsidRPr="006C3F86" w:rsidRDefault="003D448B" w:rsidP="003D448B">
            <w:pPr>
              <w:spacing w:after="0" w:line="240" w:lineRule="auto"/>
              <w:rPr>
                <w:rFonts w:ascii="Times New Roman" w:hAnsi="Times New Roman"/>
                <w:b/>
                <w:bCs/>
                <w:snapToGrid w:val="0"/>
                <w:sz w:val="20"/>
                <w:szCs w:val="20"/>
              </w:rPr>
            </w:pPr>
            <w:r w:rsidRPr="001D07D9">
              <w:rPr>
                <w:rFonts w:ascii="Times New Roman" w:hAnsi="Times New Roman"/>
                <w:b/>
                <w:bCs/>
                <w:sz w:val="20"/>
                <w:szCs w:val="20"/>
              </w:rPr>
              <w:t>(% no IKP)</w:t>
            </w:r>
          </w:p>
        </w:tc>
        <w:tc>
          <w:tcPr>
            <w:tcW w:w="694"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r w:rsidRPr="00A07882">
              <w:rPr>
                <w:rFonts w:ascii="Times New Roman" w:hAnsi="Times New Roman"/>
                <w:sz w:val="20"/>
                <w:szCs w:val="20"/>
              </w:rPr>
              <w:t>B.9</w:t>
            </w:r>
          </w:p>
        </w:tc>
        <w:tc>
          <w:tcPr>
            <w:tcW w:w="850" w:type="dxa"/>
            <w:shd w:val="clear" w:color="auto" w:fill="DEEAF6"/>
            <w:vAlign w:val="center"/>
          </w:tcPr>
          <w:p w:rsidR="003D448B" w:rsidRPr="006C3F86" w:rsidRDefault="003D448B" w:rsidP="00D562FF">
            <w:pPr>
              <w:tabs>
                <w:tab w:val="decimal" w:pos="330"/>
              </w:tabs>
              <w:spacing w:after="0" w:line="240" w:lineRule="auto"/>
              <w:jc w:val="center"/>
              <w:rPr>
                <w:rFonts w:ascii="Times New Roman" w:hAnsi="Times New Roman"/>
                <w:sz w:val="20"/>
                <w:szCs w:val="20"/>
              </w:rPr>
            </w:pPr>
          </w:p>
        </w:tc>
        <w:tc>
          <w:tcPr>
            <w:tcW w:w="851" w:type="dxa"/>
            <w:shd w:val="clear" w:color="auto" w:fill="DEEAF6"/>
            <w:vAlign w:val="center"/>
          </w:tcPr>
          <w:p w:rsidR="003D448B" w:rsidRPr="006C3F86" w:rsidRDefault="003D448B" w:rsidP="00D562FF">
            <w:pPr>
              <w:tabs>
                <w:tab w:val="decimal" w:pos="330"/>
              </w:tabs>
              <w:spacing w:after="0" w:line="240" w:lineRule="auto"/>
              <w:jc w:val="center"/>
              <w:rPr>
                <w:rFonts w:ascii="Times New Roman" w:hAnsi="Times New Roman"/>
                <w:sz w:val="20"/>
                <w:szCs w:val="20"/>
              </w:rPr>
            </w:pPr>
          </w:p>
        </w:tc>
        <w:tc>
          <w:tcPr>
            <w:tcW w:w="850" w:type="dxa"/>
            <w:shd w:val="clear" w:color="auto" w:fill="DEEAF6"/>
            <w:vAlign w:val="center"/>
          </w:tcPr>
          <w:p w:rsidR="003D448B" w:rsidRPr="006C3F86" w:rsidRDefault="003D448B" w:rsidP="00D562FF">
            <w:pPr>
              <w:tabs>
                <w:tab w:val="decimal" w:pos="330"/>
              </w:tabs>
              <w:spacing w:after="0" w:line="240" w:lineRule="auto"/>
              <w:jc w:val="center"/>
              <w:rPr>
                <w:rFonts w:ascii="Times New Roman" w:hAnsi="Times New Roman"/>
                <w:sz w:val="20"/>
                <w:szCs w:val="20"/>
              </w:rPr>
            </w:pPr>
          </w:p>
        </w:tc>
        <w:tc>
          <w:tcPr>
            <w:tcW w:w="851" w:type="dxa"/>
            <w:shd w:val="clear" w:color="auto" w:fill="DEEAF6"/>
            <w:vAlign w:val="center"/>
          </w:tcPr>
          <w:p w:rsidR="003D448B" w:rsidRPr="006C3F86" w:rsidRDefault="003D448B" w:rsidP="00D562FF">
            <w:pPr>
              <w:tabs>
                <w:tab w:val="decimal" w:pos="330"/>
              </w:tabs>
              <w:spacing w:after="0" w:line="240" w:lineRule="auto"/>
              <w:jc w:val="center"/>
              <w:rPr>
                <w:rFonts w:ascii="Times New Roman" w:eastAsia="Arial Unicode MS" w:hAnsi="Times New Roman"/>
                <w:sz w:val="20"/>
                <w:szCs w:val="20"/>
              </w:rPr>
            </w:pPr>
          </w:p>
        </w:tc>
        <w:tc>
          <w:tcPr>
            <w:tcW w:w="850" w:type="dxa"/>
            <w:shd w:val="clear" w:color="auto" w:fill="DEEAF6"/>
            <w:vAlign w:val="center"/>
          </w:tcPr>
          <w:p w:rsidR="003D448B" w:rsidRPr="006C3F86" w:rsidRDefault="003D448B" w:rsidP="00D562FF">
            <w:pPr>
              <w:tabs>
                <w:tab w:val="decimal" w:pos="330"/>
              </w:tabs>
              <w:spacing w:after="0" w:line="240" w:lineRule="auto"/>
              <w:jc w:val="center"/>
              <w:rPr>
                <w:rFonts w:ascii="Times New Roman" w:hAnsi="Times New Roman"/>
                <w:sz w:val="20"/>
                <w:szCs w:val="20"/>
              </w:rPr>
            </w:pPr>
          </w:p>
        </w:tc>
      </w:tr>
      <w:tr w:rsidR="003D448B" w:rsidRPr="006C3F86" w:rsidTr="008325B9">
        <w:trPr>
          <w:jc w:val="center"/>
        </w:trPr>
        <w:tc>
          <w:tcPr>
            <w:tcW w:w="3119" w:type="dxa"/>
            <w:shd w:val="clear" w:color="auto" w:fill="auto"/>
          </w:tcPr>
          <w:p w:rsidR="003D448B" w:rsidRPr="006C3F86" w:rsidRDefault="003D448B" w:rsidP="003D448B">
            <w:pPr>
              <w:spacing w:after="0" w:line="240" w:lineRule="auto"/>
              <w:jc w:val="right"/>
              <w:rPr>
                <w:rFonts w:ascii="Times New Roman" w:hAnsi="Times New Roman"/>
                <w:bCs/>
                <w:sz w:val="20"/>
                <w:szCs w:val="20"/>
              </w:rPr>
            </w:pPr>
            <w:r>
              <w:rPr>
                <w:rFonts w:ascii="Times New Roman" w:hAnsi="Times New Roman"/>
                <w:bCs/>
                <w:sz w:val="20"/>
                <w:szCs w:val="20"/>
              </w:rPr>
              <w:t>2018.</w:t>
            </w:r>
            <w:r w:rsidRPr="00A07882">
              <w:rPr>
                <w:rFonts w:ascii="Times New Roman" w:hAnsi="Times New Roman"/>
                <w:bCs/>
                <w:sz w:val="20"/>
                <w:szCs w:val="20"/>
              </w:rPr>
              <w:t>gads</w:t>
            </w:r>
          </w:p>
        </w:tc>
        <w:tc>
          <w:tcPr>
            <w:tcW w:w="694" w:type="dxa"/>
            <w:shd w:val="clear" w:color="auto" w:fill="auto"/>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-0,9</w:t>
            </w:r>
          </w:p>
        </w:tc>
        <w:tc>
          <w:tcPr>
            <w:tcW w:w="851"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-0,9</w:t>
            </w:r>
          </w:p>
        </w:tc>
        <w:tc>
          <w:tcPr>
            <w:tcW w:w="850"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-0,4</w:t>
            </w:r>
          </w:p>
        </w:tc>
        <w:tc>
          <w:tcPr>
            <w:tcW w:w="851"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-0,4</w:t>
            </w:r>
          </w:p>
        </w:tc>
        <w:tc>
          <w:tcPr>
            <w:tcW w:w="850"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w:t>
            </w:r>
          </w:p>
        </w:tc>
      </w:tr>
      <w:tr w:rsidR="003D448B" w:rsidRPr="006C3F86" w:rsidTr="008325B9">
        <w:trPr>
          <w:jc w:val="center"/>
        </w:trPr>
        <w:tc>
          <w:tcPr>
            <w:tcW w:w="3119" w:type="dxa"/>
            <w:shd w:val="clear" w:color="auto" w:fill="DEEAF6"/>
          </w:tcPr>
          <w:p w:rsidR="003D448B" w:rsidRPr="006C3F86" w:rsidRDefault="003D448B" w:rsidP="003D448B">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DEEAF6"/>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-0,7</w:t>
            </w:r>
          </w:p>
        </w:tc>
        <w:tc>
          <w:tcPr>
            <w:tcW w:w="851" w:type="dxa"/>
            <w:shd w:val="clear" w:color="auto" w:fill="DEEAF6"/>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-0,5</w:t>
            </w:r>
          </w:p>
        </w:tc>
        <w:tc>
          <w:tcPr>
            <w:tcW w:w="850" w:type="dxa"/>
            <w:shd w:val="clear" w:color="auto" w:fill="DEEAF6"/>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w:t>
            </w:r>
            <w:r w:rsidR="00AA5923" w:rsidRPr="00FB275C">
              <w:rPr>
                <w:rFonts w:ascii="Times New Roman" w:eastAsia="Calibri" w:hAnsi="Times New Roman"/>
                <w:sz w:val="20"/>
                <w:szCs w:val="20"/>
              </w:rPr>
              <w:t>4</w:t>
            </w:r>
          </w:p>
        </w:tc>
        <w:tc>
          <w:tcPr>
            <w:tcW w:w="851" w:type="dxa"/>
            <w:shd w:val="clear" w:color="auto" w:fill="DEEAF6"/>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w:t>
            </w:r>
            <w:r w:rsidR="00AA5923" w:rsidRPr="00FB275C">
              <w:rPr>
                <w:rFonts w:ascii="Times New Roman" w:eastAsia="Calibri" w:hAnsi="Times New Roman"/>
                <w:sz w:val="20"/>
                <w:szCs w:val="20"/>
              </w:rPr>
              <w:t>2</w:t>
            </w:r>
          </w:p>
        </w:tc>
        <w:tc>
          <w:tcPr>
            <w:tcW w:w="850" w:type="dxa"/>
            <w:shd w:val="clear" w:color="auto" w:fill="DEEAF6"/>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w:t>
            </w:r>
            <w:r w:rsidR="00AA5923" w:rsidRPr="00FB275C">
              <w:rPr>
                <w:rFonts w:ascii="Times New Roman" w:eastAsia="Calibri" w:hAnsi="Times New Roman"/>
                <w:sz w:val="20"/>
                <w:szCs w:val="20"/>
              </w:rPr>
              <w:t>3</w:t>
            </w:r>
          </w:p>
        </w:tc>
      </w:tr>
      <w:tr w:rsidR="003D448B" w:rsidRPr="006C3F86" w:rsidTr="008325B9">
        <w:trPr>
          <w:jc w:val="center"/>
        </w:trPr>
        <w:tc>
          <w:tcPr>
            <w:tcW w:w="3119" w:type="dxa"/>
            <w:shd w:val="clear" w:color="auto" w:fill="auto"/>
          </w:tcPr>
          <w:p w:rsidR="003D448B" w:rsidRPr="006C3F86" w:rsidRDefault="003D448B" w:rsidP="003D448B">
            <w:pPr>
              <w:spacing w:after="0" w:line="240" w:lineRule="auto"/>
              <w:jc w:val="right"/>
              <w:rPr>
                <w:rFonts w:ascii="Times New Roman" w:hAnsi="Times New Roman"/>
                <w:bCs/>
                <w:snapToGrid w:val="0"/>
                <w:sz w:val="20"/>
                <w:szCs w:val="20"/>
              </w:rPr>
            </w:pPr>
            <w:r w:rsidRPr="00A07882">
              <w:rPr>
                <w:rFonts w:ascii="Times New Roman" w:hAnsi="Times New Roman"/>
                <w:bCs/>
                <w:snapToGrid w:val="0"/>
                <w:sz w:val="20"/>
                <w:szCs w:val="20"/>
              </w:rPr>
              <w:t>Izmaiņas</w:t>
            </w:r>
          </w:p>
        </w:tc>
        <w:tc>
          <w:tcPr>
            <w:tcW w:w="694" w:type="dxa"/>
            <w:shd w:val="clear" w:color="auto" w:fill="auto"/>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Pr>
                <w:rFonts w:ascii="Times New Roman" w:eastAsia="Calibri" w:hAnsi="Times New Roman"/>
                <w:sz w:val="20"/>
                <w:szCs w:val="20"/>
              </w:rPr>
              <w:t>0,27</w:t>
            </w:r>
          </w:p>
        </w:tc>
        <w:tc>
          <w:tcPr>
            <w:tcW w:w="851"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0,4</w:t>
            </w:r>
          </w:p>
        </w:tc>
        <w:tc>
          <w:tcPr>
            <w:tcW w:w="850"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w:t>
            </w:r>
            <w:r w:rsidR="00AA5923">
              <w:rPr>
                <w:rFonts w:ascii="Times New Roman" w:eastAsia="Calibri" w:hAnsi="Times New Roman"/>
                <w:sz w:val="20"/>
                <w:szCs w:val="20"/>
              </w:rPr>
              <w:t>0</w:t>
            </w:r>
          </w:p>
        </w:tc>
        <w:tc>
          <w:tcPr>
            <w:tcW w:w="851"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0,</w:t>
            </w:r>
            <w:r w:rsidR="00AA5923">
              <w:rPr>
                <w:rFonts w:ascii="Times New Roman" w:eastAsia="Calibri" w:hAnsi="Times New Roman"/>
                <w:sz w:val="20"/>
                <w:szCs w:val="20"/>
              </w:rPr>
              <w:t>14</w:t>
            </w:r>
          </w:p>
        </w:tc>
        <w:tc>
          <w:tcPr>
            <w:tcW w:w="850" w:type="dxa"/>
            <w:shd w:val="clear" w:color="auto" w:fill="auto"/>
            <w:vAlign w:val="bottom"/>
          </w:tcPr>
          <w:p w:rsidR="003D448B" w:rsidRPr="00AC5954" w:rsidRDefault="003D448B" w:rsidP="00D562FF">
            <w:pPr>
              <w:spacing w:after="0" w:line="240" w:lineRule="auto"/>
              <w:jc w:val="center"/>
              <w:rPr>
                <w:rFonts w:ascii="Times New Roman" w:eastAsia="Calibri" w:hAnsi="Times New Roman"/>
                <w:sz w:val="20"/>
                <w:szCs w:val="20"/>
              </w:rPr>
            </w:pPr>
            <w:r w:rsidRPr="00AC5954">
              <w:rPr>
                <w:rFonts w:ascii="Times New Roman" w:eastAsia="Calibri" w:hAnsi="Times New Roman"/>
                <w:sz w:val="20"/>
                <w:szCs w:val="20"/>
              </w:rPr>
              <w:t>-</w:t>
            </w:r>
          </w:p>
        </w:tc>
      </w:tr>
      <w:tr w:rsidR="003D448B" w:rsidRPr="006C3F86" w:rsidTr="008325B9">
        <w:trPr>
          <w:jc w:val="center"/>
        </w:trPr>
        <w:tc>
          <w:tcPr>
            <w:tcW w:w="3119" w:type="dxa"/>
            <w:shd w:val="clear" w:color="auto" w:fill="DEEAF6"/>
          </w:tcPr>
          <w:p w:rsidR="003D448B" w:rsidRPr="001D07D9" w:rsidRDefault="003D448B" w:rsidP="003D448B">
            <w:pPr>
              <w:spacing w:after="0" w:line="240" w:lineRule="auto"/>
              <w:rPr>
                <w:rFonts w:ascii="Times New Roman" w:hAnsi="Times New Roman"/>
                <w:b/>
                <w:bCs/>
                <w:snapToGrid w:val="0"/>
                <w:sz w:val="20"/>
                <w:szCs w:val="20"/>
              </w:rPr>
            </w:pPr>
            <w:r w:rsidRPr="001D07D9">
              <w:rPr>
                <w:rFonts w:ascii="Times New Roman" w:hAnsi="Times New Roman"/>
                <w:b/>
                <w:bCs/>
                <w:sz w:val="20"/>
                <w:szCs w:val="20"/>
              </w:rPr>
              <w:t>Vispārējās valdības kopējais parāds (% no IKP)</w:t>
            </w:r>
          </w:p>
        </w:tc>
        <w:tc>
          <w:tcPr>
            <w:tcW w:w="694" w:type="dxa"/>
            <w:shd w:val="clear" w:color="auto" w:fill="DEEAF6"/>
            <w:vAlign w:val="center"/>
          </w:tcPr>
          <w:p w:rsidR="003D448B" w:rsidRPr="006C3F86" w:rsidRDefault="003D448B" w:rsidP="00D562FF">
            <w:pPr>
              <w:spacing w:after="0" w:line="240" w:lineRule="auto"/>
              <w:jc w:val="center"/>
              <w:rPr>
                <w:rFonts w:ascii="Times New Roman" w:hAnsi="Times New Roman"/>
                <w:sz w:val="20"/>
                <w:szCs w:val="20"/>
              </w:rPr>
            </w:pPr>
          </w:p>
        </w:tc>
        <w:tc>
          <w:tcPr>
            <w:tcW w:w="850" w:type="dxa"/>
            <w:shd w:val="clear" w:color="auto" w:fill="DEEAF6"/>
            <w:vAlign w:val="center"/>
          </w:tcPr>
          <w:p w:rsidR="003D448B" w:rsidRPr="00CA0D60" w:rsidRDefault="003D448B" w:rsidP="00D562FF">
            <w:pPr>
              <w:tabs>
                <w:tab w:val="decimal" w:pos="330"/>
              </w:tabs>
              <w:spacing w:after="0" w:line="240" w:lineRule="auto"/>
              <w:jc w:val="center"/>
              <w:rPr>
                <w:rFonts w:ascii="Times New Roman" w:hAnsi="Times New Roman"/>
                <w:sz w:val="20"/>
                <w:szCs w:val="20"/>
                <w:highlight w:val="yellow"/>
              </w:rPr>
            </w:pPr>
          </w:p>
        </w:tc>
        <w:tc>
          <w:tcPr>
            <w:tcW w:w="851" w:type="dxa"/>
            <w:shd w:val="clear" w:color="auto" w:fill="DEEAF6"/>
            <w:vAlign w:val="center"/>
          </w:tcPr>
          <w:p w:rsidR="003D448B" w:rsidRPr="00CA0D60" w:rsidRDefault="003D448B" w:rsidP="00D562FF">
            <w:pPr>
              <w:tabs>
                <w:tab w:val="decimal" w:pos="330"/>
              </w:tabs>
              <w:spacing w:after="0" w:line="240" w:lineRule="auto"/>
              <w:jc w:val="center"/>
              <w:rPr>
                <w:rFonts w:ascii="Times New Roman" w:hAnsi="Times New Roman"/>
                <w:sz w:val="20"/>
                <w:szCs w:val="20"/>
                <w:highlight w:val="yellow"/>
              </w:rPr>
            </w:pPr>
          </w:p>
        </w:tc>
        <w:tc>
          <w:tcPr>
            <w:tcW w:w="850" w:type="dxa"/>
            <w:shd w:val="clear" w:color="auto" w:fill="DEEAF6"/>
            <w:vAlign w:val="center"/>
          </w:tcPr>
          <w:p w:rsidR="003D448B" w:rsidRPr="00CA0D60" w:rsidRDefault="003D448B" w:rsidP="00D562FF">
            <w:pPr>
              <w:tabs>
                <w:tab w:val="decimal" w:pos="330"/>
              </w:tabs>
              <w:spacing w:after="0" w:line="240" w:lineRule="auto"/>
              <w:jc w:val="center"/>
              <w:rPr>
                <w:rFonts w:ascii="Times New Roman" w:hAnsi="Times New Roman"/>
                <w:sz w:val="20"/>
                <w:szCs w:val="20"/>
                <w:highlight w:val="yellow"/>
              </w:rPr>
            </w:pPr>
          </w:p>
        </w:tc>
        <w:tc>
          <w:tcPr>
            <w:tcW w:w="851" w:type="dxa"/>
            <w:shd w:val="clear" w:color="auto" w:fill="DEEAF6"/>
            <w:vAlign w:val="center"/>
          </w:tcPr>
          <w:p w:rsidR="003D448B" w:rsidRPr="00CA0D60" w:rsidRDefault="003D448B" w:rsidP="00D562FF">
            <w:pPr>
              <w:tabs>
                <w:tab w:val="decimal" w:pos="330"/>
              </w:tabs>
              <w:spacing w:after="0" w:line="240" w:lineRule="auto"/>
              <w:jc w:val="center"/>
              <w:rPr>
                <w:rFonts w:ascii="Times New Roman" w:eastAsia="Arial Unicode MS" w:hAnsi="Times New Roman"/>
                <w:sz w:val="20"/>
                <w:szCs w:val="20"/>
                <w:highlight w:val="yellow"/>
              </w:rPr>
            </w:pPr>
          </w:p>
        </w:tc>
        <w:tc>
          <w:tcPr>
            <w:tcW w:w="850" w:type="dxa"/>
            <w:shd w:val="clear" w:color="auto" w:fill="DEEAF6"/>
            <w:vAlign w:val="center"/>
          </w:tcPr>
          <w:p w:rsidR="003D448B" w:rsidRPr="00CA0D60" w:rsidRDefault="003D448B" w:rsidP="00D562FF">
            <w:pPr>
              <w:spacing w:after="0" w:line="240" w:lineRule="auto"/>
              <w:jc w:val="center"/>
              <w:rPr>
                <w:rFonts w:ascii="Times New Roman" w:hAnsi="Times New Roman"/>
                <w:sz w:val="20"/>
                <w:szCs w:val="20"/>
                <w:highlight w:val="yellow"/>
              </w:rPr>
            </w:pPr>
          </w:p>
        </w:tc>
      </w:tr>
      <w:tr w:rsidR="0012337B" w:rsidRPr="00C10F9A" w:rsidTr="008325B9">
        <w:trPr>
          <w:jc w:val="center"/>
        </w:trPr>
        <w:tc>
          <w:tcPr>
            <w:tcW w:w="3119" w:type="dxa"/>
            <w:shd w:val="clear" w:color="auto" w:fill="auto"/>
          </w:tcPr>
          <w:p w:rsidR="0012337B" w:rsidRPr="00C10F9A" w:rsidRDefault="0012337B" w:rsidP="0012337B">
            <w:pPr>
              <w:spacing w:after="0" w:line="240" w:lineRule="auto"/>
              <w:jc w:val="right"/>
              <w:rPr>
                <w:rFonts w:ascii="Times New Roman" w:hAnsi="Times New Roman"/>
                <w:bCs/>
                <w:sz w:val="20"/>
                <w:szCs w:val="20"/>
              </w:rPr>
            </w:pPr>
            <w:r>
              <w:rPr>
                <w:rFonts w:ascii="Times New Roman" w:hAnsi="Times New Roman"/>
                <w:bCs/>
                <w:sz w:val="20"/>
                <w:szCs w:val="20"/>
              </w:rPr>
              <w:t>2018.</w:t>
            </w:r>
            <w:r w:rsidRPr="00A07882">
              <w:rPr>
                <w:rFonts w:ascii="Times New Roman" w:hAnsi="Times New Roman"/>
                <w:bCs/>
                <w:sz w:val="20"/>
                <w:szCs w:val="20"/>
              </w:rPr>
              <w:t>gads</w:t>
            </w:r>
          </w:p>
        </w:tc>
        <w:tc>
          <w:tcPr>
            <w:tcW w:w="694" w:type="dxa"/>
            <w:shd w:val="clear" w:color="auto" w:fill="auto"/>
            <w:vAlign w:val="center"/>
          </w:tcPr>
          <w:p w:rsidR="0012337B" w:rsidRPr="00C10F9A" w:rsidRDefault="0012337B" w:rsidP="0012337B">
            <w:pPr>
              <w:spacing w:after="0" w:line="240" w:lineRule="auto"/>
              <w:jc w:val="center"/>
              <w:rPr>
                <w:rFonts w:ascii="Times New Roman" w:hAnsi="Times New Roman"/>
                <w:sz w:val="20"/>
                <w:szCs w:val="20"/>
              </w:rPr>
            </w:pPr>
          </w:p>
        </w:tc>
        <w:tc>
          <w:tcPr>
            <w:tcW w:w="850"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38,4</w:t>
            </w:r>
          </w:p>
        </w:tc>
        <w:tc>
          <w:tcPr>
            <w:tcW w:w="851"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37,4</w:t>
            </w:r>
          </w:p>
        </w:tc>
        <w:tc>
          <w:tcPr>
            <w:tcW w:w="850"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38,0</w:t>
            </w:r>
          </w:p>
        </w:tc>
        <w:tc>
          <w:tcPr>
            <w:tcW w:w="851"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35,6</w:t>
            </w:r>
          </w:p>
        </w:tc>
        <w:tc>
          <w:tcPr>
            <w:tcW w:w="850" w:type="dxa"/>
            <w:shd w:val="clear" w:color="auto" w:fill="auto"/>
          </w:tcPr>
          <w:p w:rsidR="0012337B" w:rsidRPr="0012337B" w:rsidRDefault="0012337B" w:rsidP="0012337B">
            <w:pPr>
              <w:tabs>
                <w:tab w:val="decimal" w:pos="330"/>
              </w:tabs>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w:t>
            </w:r>
          </w:p>
        </w:tc>
      </w:tr>
      <w:tr w:rsidR="0012337B" w:rsidRPr="00C10F9A" w:rsidTr="008325B9">
        <w:trPr>
          <w:trHeight w:val="70"/>
          <w:jc w:val="center"/>
        </w:trPr>
        <w:tc>
          <w:tcPr>
            <w:tcW w:w="3119" w:type="dxa"/>
            <w:shd w:val="clear" w:color="auto" w:fill="DEEAF6"/>
          </w:tcPr>
          <w:p w:rsidR="0012337B" w:rsidRPr="00C10F9A" w:rsidRDefault="0012337B" w:rsidP="0012337B">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vAlign w:val="center"/>
          </w:tcPr>
          <w:p w:rsidR="0012337B" w:rsidRPr="00C10F9A" w:rsidRDefault="0012337B" w:rsidP="0012337B">
            <w:pPr>
              <w:spacing w:after="0" w:line="240" w:lineRule="auto"/>
              <w:jc w:val="center"/>
              <w:rPr>
                <w:rFonts w:ascii="Times New Roman" w:hAnsi="Times New Roman"/>
                <w:sz w:val="20"/>
                <w:szCs w:val="20"/>
              </w:rPr>
            </w:pPr>
          </w:p>
        </w:tc>
        <w:tc>
          <w:tcPr>
            <w:tcW w:w="850" w:type="dxa"/>
            <w:shd w:val="clear" w:color="auto" w:fill="DEEAF6"/>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36,1</w:t>
            </w:r>
          </w:p>
        </w:tc>
        <w:tc>
          <w:tcPr>
            <w:tcW w:w="851" w:type="dxa"/>
            <w:shd w:val="clear" w:color="auto" w:fill="DEEAF6"/>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37,4</w:t>
            </w:r>
          </w:p>
        </w:tc>
        <w:tc>
          <w:tcPr>
            <w:tcW w:w="850" w:type="dxa"/>
            <w:shd w:val="clear" w:color="auto" w:fill="DEEAF6"/>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36,1</w:t>
            </w:r>
          </w:p>
        </w:tc>
        <w:tc>
          <w:tcPr>
            <w:tcW w:w="851" w:type="dxa"/>
            <w:shd w:val="clear" w:color="auto" w:fill="DEEAF6"/>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33,5</w:t>
            </w:r>
          </w:p>
        </w:tc>
        <w:tc>
          <w:tcPr>
            <w:tcW w:w="850" w:type="dxa"/>
            <w:shd w:val="clear" w:color="auto" w:fill="DEEAF6"/>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33,1</w:t>
            </w:r>
          </w:p>
        </w:tc>
      </w:tr>
      <w:tr w:rsidR="0012337B" w:rsidRPr="00C10F9A" w:rsidTr="008325B9">
        <w:trPr>
          <w:jc w:val="center"/>
        </w:trPr>
        <w:tc>
          <w:tcPr>
            <w:tcW w:w="3119" w:type="dxa"/>
            <w:shd w:val="clear" w:color="auto" w:fill="auto"/>
          </w:tcPr>
          <w:p w:rsidR="0012337B" w:rsidRPr="00C10F9A" w:rsidRDefault="0012337B" w:rsidP="0012337B">
            <w:pPr>
              <w:spacing w:after="0" w:line="240" w:lineRule="auto"/>
              <w:jc w:val="right"/>
              <w:rPr>
                <w:rFonts w:ascii="Times New Roman" w:hAnsi="Times New Roman"/>
                <w:bCs/>
                <w:snapToGrid w:val="0"/>
                <w:sz w:val="20"/>
                <w:szCs w:val="20"/>
              </w:rPr>
            </w:pPr>
            <w:r w:rsidRPr="001361E8">
              <w:rPr>
                <w:rFonts w:ascii="Times New Roman" w:hAnsi="Times New Roman"/>
                <w:sz w:val="20"/>
              </w:rPr>
              <w:t>Izmaiņas</w:t>
            </w:r>
          </w:p>
        </w:tc>
        <w:tc>
          <w:tcPr>
            <w:tcW w:w="694" w:type="dxa"/>
            <w:shd w:val="clear" w:color="auto" w:fill="auto"/>
            <w:vAlign w:val="center"/>
          </w:tcPr>
          <w:p w:rsidR="0012337B" w:rsidRPr="00C10F9A" w:rsidRDefault="0012337B" w:rsidP="0012337B">
            <w:pPr>
              <w:spacing w:after="0" w:line="240" w:lineRule="auto"/>
              <w:jc w:val="center"/>
              <w:rPr>
                <w:rFonts w:ascii="Times New Roman" w:hAnsi="Times New Roman"/>
                <w:sz w:val="20"/>
                <w:szCs w:val="20"/>
              </w:rPr>
            </w:pPr>
          </w:p>
        </w:tc>
        <w:tc>
          <w:tcPr>
            <w:tcW w:w="850"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-2,3</w:t>
            </w:r>
          </w:p>
        </w:tc>
        <w:tc>
          <w:tcPr>
            <w:tcW w:w="851"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-0,0</w:t>
            </w:r>
          </w:p>
        </w:tc>
        <w:tc>
          <w:tcPr>
            <w:tcW w:w="850"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-1,9</w:t>
            </w:r>
          </w:p>
        </w:tc>
        <w:tc>
          <w:tcPr>
            <w:tcW w:w="851"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-2,1</w:t>
            </w:r>
          </w:p>
        </w:tc>
        <w:tc>
          <w:tcPr>
            <w:tcW w:w="850" w:type="dxa"/>
            <w:shd w:val="clear" w:color="auto" w:fill="auto"/>
          </w:tcPr>
          <w:p w:rsidR="0012337B" w:rsidRPr="0012337B" w:rsidRDefault="0012337B" w:rsidP="0012337B">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w:t>
            </w:r>
          </w:p>
        </w:tc>
      </w:tr>
    </w:tbl>
    <w:p w:rsidR="00E408A6" w:rsidRDefault="00E408A6" w:rsidP="00124554">
      <w:pPr>
        <w:pStyle w:val="teksts"/>
        <w:spacing w:after="0"/>
        <w:ind w:firstLine="720"/>
        <w:rPr>
          <w:rFonts w:ascii="Times New Roman" w:eastAsia="Calibri" w:hAnsi="Times New Roman"/>
          <w:szCs w:val="24"/>
        </w:rPr>
      </w:pPr>
    </w:p>
    <w:p w:rsidR="003D448B" w:rsidRDefault="003D448B" w:rsidP="00124554">
      <w:pPr>
        <w:pStyle w:val="teksts"/>
        <w:spacing w:after="0"/>
        <w:ind w:firstLine="720"/>
        <w:rPr>
          <w:rFonts w:ascii="Times New Roman" w:eastAsia="Calibri" w:hAnsi="Times New Roman"/>
          <w:szCs w:val="24"/>
        </w:rPr>
      </w:pPr>
      <w:r>
        <w:rPr>
          <w:rFonts w:ascii="Times New Roman" w:eastAsia="Calibri" w:hAnsi="Times New Roman"/>
          <w:szCs w:val="24"/>
        </w:rPr>
        <w:t>A</w:t>
      </w:r>
      <w:r w:rsidR="00124554">
        <w:rPr>
          <w:rFonts w:ascii="Times New Roman" w:eastAsia="Calibri" w:hAnsi="Times New Roman"/>
          <w:szCs w:val="24"/>
        </w:rPr>
        <w:t>tbilstoši FM novērtējumam 2018.</w:t>
      </w:r>
      <w:r>
        <w:rPr>
          <w:rFonts w:ascii="Times New Roman" w:eastAsia="Calibri" w:hAnsi="Times New Roman"/>
          <w:szCs w:val="24"/>
        </w:rPr>
        <w:t>gadā vispārējās valdības budžeta deficīts bija 0,7% no IKP, kas ir par 0,27% no IKP mazāks nekā prognozēts iepriekšējā Stabilitātes programmā. Zemāku deficītu noteica augstāki nodokļu ieņēmumi nekā prognozēts, īpaši uzņēmumu ienākuma nodoklis, kur ieņēmumi kāpuši straujāk nekā prognozēts, ņemot v</w:t>
      </w:r>
      <w:r w:rsidR="001D07D9">
        <w:rPr>
          <w:rFonts w:ascii="Times New Roman" w:eastAsia="Calibri" w:hAnsi="Times New Roman"/>
          <w:szCs w:val="24"/>
        </w:rPr>
        <w:t>ērā deklarāciju datus par 2017.</w:t>
      </w:r>
      <w:r>
        <w:rPr>
          <w:rFonts w:ascii="Times New Roman" w:eastAsia="Calibri" w:hAnsi="Times New Roman"/>
          <w:szCs w:val="24"/>
        </w:rPr>
        <w:t xml:space="preserve">gada rezultātiem. Kā arī, salīdzinot ar iepriekšējo Stabilitātes programmu, izdevumi sociālajiem pabalstiem tika veikti mazākā apjomā, ņemot vērā, ka faktiskais slimības, bezdarbnieku un vecāku pabalstu saņēmēju skaits bija mazāks par prognozēto. </w:t>
      </w:r>
    </w:p>
    <w:p w:rsidR="003D448B" w:rsidRPr="00816EAB" w:rsidRDefault="003D448B" w:rsidP="00124554">
      <w:pPr>
        <w:pStyle w:val="teksts"/>
        <w:spacing w:after="60"/>
        <w:ind w:firstLine="720"/>
        <w:rPr>
          <w:rFonts w:ascii="Times New Roman" w:eastAsia="Calibri" w:hAnsi="Times New Roman"/>
          <w:szCs w:val="24"/>
        </w:rPr>
      </w:pPr>
      <w:r w:rsidRPr="00816EAB">
        <w:rPr>
          <w:rFonts w:ascii="Times New Roman" w:eastAsia="Calibri" w:hAnsi="Times New Roman"/>
          <w:szCs w:val="24"/>
        </w:rPr>
        <w:t xml:space="preserve">Aktualizētās </w:t>
      </w:r>
      <w:r>
        <w:rPr>
          <w:rFonts w:ascii="Times New Roman" w:eastAsia="Calibri" w:hAnsi="Times New Roman"/>
          <w:szCs w:val="24"/>
        </w:rPr>
        <w:t xml:space="preserve">vidēja termiņa prognozes </w:t>
      </w:r>
      <w:r w:rsidRPr="00816EAB">
        <w:rPr>
          <w:rFonts w:ascii="Times New Roman" w:eastAsia="Calibri" w:hAnsi="Times New Roman"/>
          <w:szCs w:val="24"/>
        </w:rPr>
        <w:t xml:space="preserve">paredz </w:t>
      </w:r>
      <w:r>
        <w:rPr>
          <w:rFonts w:ascii="Times New Roman" w:eastAsia="Calibri" w:hAnsi="Times New Roman"/>
          <w:szCs w:val="24"/>
        </w:rPr>
        <w:t xml:space="preserve">budžeta </w:t>
      </w:r>
      <w:r w:rsidR="00D562FF">
        <w:rPr>
          <w:rFonts w:ascii="Times New Roman" w:eastAsia="Calibri" w:hAnsi="Times New Roman"/>
          <w:szCs w:val="24"/>
        </w:rPr>
        <w:t xml:space="preserve">deficītu </w:t>
      </w:r>
      <w:r w:rsidR="00E408A6">
        <w:rPr>
          <w:rFonts w:ascii="Times New Roman" w:eastAsia="Calibri" w:hAnsi="Times New Roman"/>
          <w:szCs w:val="24"/>
        </w:rPr>
        <w:t>2019.</w:t>
      </w:r>
      <w:r w:rsidRPr="00816EAB">
        <w:rPr>
          <w:rFonts w:ascii="Times New Roman" w:eastAsia="Calibri" w:hAnsi="Times New Roman"/>
          <w:szCs w:val="24"/>
        </w:rPr>
        <w:t xml:space="preserve">gadā </w:t>
      </w:r>
      <w:r>
        <w:rPr>
          <w:rFonts w:ascii="Times New Roman" w:eastAsia="Calibri" w:hAnsi="Times New Roman"/>
          <w:szCs w:val="24"/>
        </w:rPr>
        <w:t>0,5</w:t>
      </w:r>
      <w:r w:rsidR="00D562FF">
        <w:rPr>
          <w:rFonts w:ascii="Times New Roman" w:eastAsia="Calibri" w:hAnsi="Times New Roman"/>
          <w:szCs w:val="24"/>
        </w:rPr>
        <w:t>% no IKP, 2020.</w:t>
      </w:r>
      <w:r w:rsidRPr="00816EAB">
        <w:rPr>
          <w:rFonts w:ascii="Times New Roman" w:eastAsia="Calibri" w:hAnsi="Times New Roman"/>
          <w:szCs w:val="24"/>
        </w:rPr>
        <w:t xml:space="preserve">gadā </w:t>
      </w:r>
      <w:r w:rsidR="00AC4752">
        <w:rPr>
          <w:rFonts w:ascii="Times New Roman" w:eastAsia="Calibri" w:hAnsi="Times New Roman"/>
          <w:szCs w:val="24"/>
        </w:rPr>
        <w:t>0,4</w:t>
      </w:r>
      <w:r w:rsidRPr="00816EAB">
        <w:rPr>
          <w:rFonts w:ascii="Times New Roman" w:eastAsia="Calibri" w:hAnsi="Times New Roman"/>
          <w:szCs w:val="24"/>
        </w:rPr>
        <w:t>% no IKP</w:t>
      </w:r>
      <w:r>
        <w:rPr>
          <w:rFonts w:ascii="Times New Roman" w:eastAsia="Calibri" w:hAnsi="Times New Roman"/>
          <w:szCs w:val="24"/>
        </w:rPr>
        <w:t xml:space="preserve">, </w:t>
      </w:r>
      <w:r w:rsidR="00D562FF">
        <w:rPr>
          <w:rFonts w:ascii="Times New Roman" w:eastAsia="Calibri" w:hAnsi="Times New Roman"/>
          <w:szCs w:val="24"/>
        </w:rPr>
        <w:t>2021.</w:t>
      </w:r>
      <w:r w:rsidRPr="00816EAB">
        <w:rPr>
          <w:rFonts w:ascii="Times New Roman" w:eastAsia="Calibri" w:hAnsi="Times New Roman"/>
          <w:szCs w:val="24"/>
        </w:rPr>
        <w:t>gadā 0,</w:t>
      </w:r>
      <w:r w:rsidR="00AC4752">
        <w:rPr>
          <w:rFonts w:ascii="Times New Roman" w:eastAsia="Calibri" w:hAnsi="Times New Roman"/>
          <w:szCs w:val="24"/>
        </w:rPr>
        <w:t>2</w:t>
      </w:r>
      <w:r w:rsidRPr="00816EAB">
        <w:rPr>
          <w:rFonts w:ascii="Times New Roman" w:eastAsia="Calibri" w:hAnsi="Times New Roman"/>
          <w:szCs w:val="24"/>
        </w:rPr>
        <w:t>% no IKP</w:t>
      </w:r>
      <w:r w:rsidR="00D562FF">
        <w:rPr>
          <w:rFonts w:ascii="Times New Roman" w:eastAsia="Calibri" w:hAnsi="Times New Roman"/>
          <w:szCs w:val="24"/>
        </w:rPr>
        <w:t xml:space="preserve"> un 2022.</w:t>
      </w:r>
      <w:r w:rsidR="00AC4752">
        <w:rPr>
          <w:rFonts w:ascii="Times New Roman" w:eastAsia="Calibri" w:hAnsi="Times New Roman"/>
          <w:szCs w:val="24"/>
        </w:rPr>
        <w:t>gadā 0,3</w:t>
      </w:r>
      <w:r>
        <w:rPr>
          <w:rFonts w:ascii="Times New Roman" w:eastAsia="Calibri" w:hAnsi="Times New Roman"/>
          <w:szCs w:val="24"/>
        </w:rPr>
        <w:t xml:space="preserve">% no IKP. </w:t>
      </w:r>
      <w:r w:rsidRPr="00816EAB">
        <w:rPr>
          <w:rFonts w:ascii="Times New Roman" w:eastAsia="Calibri" w:hAnsi="Times New Roman"/>
          <w:szCs w:val="24"/>
        </w:rPr>
        <w:t xml:space="preserve">Vispārējās valdības budžeta deficīta prognozes ir balstītas uz aktualizētajiem strukturālās budžeta bilances mērķiem, kā arī ņemot vērā izmaiņas budžeta bilances cikliskajā komponentē. </w:t>
      </w:r>
    </w:p>
    <w:p w:rsidR="000B788C" w:rsidRPr="00782778" w:rsidRDefault="000B788C" w:rsidP="00824FFC">
      <w:pPr>
        <w:pStyle w:val="teksts"/>
        <w:spacing w:after="0"/>
        <w:ind w:firstLine="720"/>
        <w:rPr>
          <w:rFonts w:ascii="Times New Roman" w:eastAsia="Calibri" w:hAnsi="Times New Roman"/>
          <w:szCs w:val="24"/>
          <w:highlight w:val="yellow"/>
        </w:rPr>
      </w:pPr>
      <w:r w:rsidRPr="00782778">
        <w:rPr>
          <w:rFonts w:ascii="Times New Roman" w:hAnsi="Times New Roman"/>
          <w:szCs w:val="24"/>
          <w:highlight w:val="yellow"/>
        </w:rPr>
        <w:br w:type="page"/>
      </w:r>
    </w:p>
    <w:p w:rsidR="005536A9" w:rsidRPr="004B6362" w:rsidRDefault="005536A9" w:rsidP="008270E0">
      <w:pPr>
        <w:pStyle w:val="Heading1"/>
        <w:numPr>
          <w:ilvl w:val="0"/>
          <w:numId w:val="36"/>
        </w:numPr>
        <w:ind w:left="284" w:hanging="283"/>
        <w:jc w:val="center"/>
        <w:rPr>
          <w:rFonts w:ascii="Times New Roman" w:hAnsi="Times New Roman" w:cs="Times New Roman"/>
          <w:sz w:val="32"/>
        </w:rPr>
      </w:pPr>
      <w:bookmarkStart w:id="63" w:name="_Toc510790672"/>
      <w:bookmarkStart w:id="64" w:name="_Toc5627379"/>
      <w:bookmarkStart w:id="65" w:name="_Toc5798634"/>
      <w:r w:rsidRPr="004B6362">
        <w:rPr>
          <w:rFonts w:ascii="Times New Roman" w:hAnsi="Times New Roman" w:cs="Times New Roman"/>
          <w:sz w:val="32"/>
        </w:rPr>
        <w:lastRenderedPageBreak/>
        <w:t>Valsts finanšu kvalitāte</w:t>
      </w:r>
      <w:bookmarkEnd w:id="63"/>
      <w:bookmarkEnd w:id="64"/>
      <w:bookmarkEnd w:id="65"/>
    </w:p>
    <w:p w:rsidR="00A34463" w:rsidRPr="005E344C" w:rsidRDefault="00A34463" w:rsidP="005E344C">
      <w:pPr>
        <w:pStyle w:val="Heading2"/>
        <w:numPr>
          <w:ilvl w:val="1"/>
          <w:numId w:val="32"/>
        </w:numPr>
        <w:spacing w:before="120" w:after="120" w:line="240" w:lineRule="auto"/>
        <w:ind w:left="1134"/>
        <w:jc w:val="both"/>
        <w:rPr>
          <w:rFonts w:ascii="Times New Roman" w:hAnsi="Times New Roman" w:cs="Times New Roman"/>
          <w:sz w:val="24"/>
          <w:szCs w:val="24"/>
        </w:rPr>
      </w:pPr>
      <w:bookmarkStart w:id="66" w:name="_Toc510790673"/>
      <w:bookmarkStart w:id="67" w:name="_Toc5627380"/>
      <w:bookmarkStart w:id="68" w:name="_Toc5798635"/>
      <w:r w:rsidRPr="005E344C">
        <w:rPr>
          <w:rFonts w:ascii="Times New Roman" w:hAnsi="Times New Roman" w:cs="Times New Roman"/>
          <w:sz w:val="24"/>
          <w:szCs w:val="24"/>
        </w:rPr>
        <w:t>Valsts budžeta līdzekļu efektivitāte un izlietojuma kontrole</w:t>
      </w:r>
      <w:bookmarkEnd w:id="66"/>
      <w:bookmarkEnd w:id="67"/>
      <w:bookmarkEnd w:id="68"/>
    </w:p>
    <w:p w:rsidR="007D4AE9" w:rsidRPr="007D4AE9" w:rsidRDefault="007D4AE9" w:rsidP="007D4AE9">
      <w:pPr>
        <w:pStyle w:val="Default"/>
        <w:ind w:firstLine="720"/>
        <w:jc w:val="both"/>
        <w:rPr>
          <w:color w:val="auto"/>
        </w:rPr>
      </w:pPr>
      <w:r w:rsidRPr="007D4AE9">
        <w:t>Valsts budžeta izstrādāšanas, apstiprināšanas un izpildes kārtību un atbildību budžeta procesā nosaka LBFV.</w:t>
      </w:r>
    </w:p>
    <w:p w:rsidR="007D4AE9" w:rsidRPr="007D4AE9" w:rsidRDefault="007D4AE9" w:rsidP="007D4AE9">
      <w:pPr>
        <w:pStyle w:val="Default"/>
        <w:ind w:firstLine="720"/>
        <w:jc w:val="both"/>
      </w:pPr>
      <w:r w:rsidRPr="007D4AE9">
        <w:t xml:space="preserve">Saskaņā ar LBFV finanšu ministrs nodrošina gadskārtējā valsts budžeta likuma projekta izstrādi, </w:t>
      </w:r>
      <w:r w:rsidRPr="007D4AE9">
        <w:rPr>
          <w:color w:val="auto"/>
        </w:rPr>
        <w:t xml:space="preserve">pamatojoties uz </w:t>
      </w:r>
      <w:r w:rsidR="00304153" w:rsidRPr="003C7327">
        <w:rPr>
          <w:color w:val="000000" w:themeColor="text1"/>
        </w:rPr>
        <w:t>Ietvara</w:t>
      </w:r>
      <w:r w:rsidR="00304153" w:rsidRPr="007D4AE9">
        <w:rPr>
          <w:color w:val="auto"/>
        </w:rPr>
        <w:t xml:space="preserve"> </w:t>
      </w:r>
      <w:r w:rsidRPr="007D4AE9">
        <w:rPr>
          <w:color w:val="auto"/>
        </w:rPr>
        <w:t xml:space="preserve">likumu un budžeta pieprasījumiem. Finanšu ministrs izvērtē budžeta pieprasījumu atbilstību </w:t>
      </w:r>
      <w:r w:rsidR="00304153" w:rsidRPr="003C7327">
        <w:rPr>
          <w:color w:val="000000" w:themeColor="text1"/>
        </w:rPr>
        <w:t>Ietvara</w:t>
      </w:r>
      <w:r w:rsidR="00304153" w:rsidRPr="007D4AE9">
        <w:rPr>
          <w:color w:val="auto"/>
        </w:rPr>
        <w:t xml:space="preserve"> </w:t>
      </w:r>
      <w:r w:rsidRPr="007D4AE9">
        <w:rPr>
          <w:color w:val="auto"/>
        </w:rPr>
        <w:t xml:space="preserve">likumā noteiktajiem budžeta mērķiem un prioritārajiem attīstības virzieniem, kā arī ekonomiskuma un efektivitātes principiem un, ja nepieciešams, pieprasa papildu informāciju. Pamatojoties uz </w:t>
      </w:r>
      <w:proofErr w:type="spellStart"/>
      <w:r w:rsidRPr="007D4AE9">
        <w:rPr>
          <w:color w:val="auto"/>
        </w:rPr>
        <w:t>izvērtējumu</w:t>
      </w:r>
      <w:proofErr w:type="spellEnd"/>
      <w:r w:rsidRPr="007D4AE9">
        <w:t xml:space="preserve"> un sniegto informāciju, finanšu ministrs līdz gadskārtējā valsts budžeta likuma projekta iesniegšanai MK pieņem lēmumu par budžeta pieprasījumu iekļaušanu gadskārtējā valsts budžeta likuma projektā. Finanšu ministrs jebkurā valsts budžeta likuma projekta izskatīšanas stadijā var izteikt savu viedokli, pievienot nepieciešamos atzinumus, kā arī atsevišķu revīziju rezultātus.</w:t>
      </w:r>
    </w:p>
    <w:p w:rsidR="007D4AE9" w:rsidRPr="007D4AE9" w:rsidRDefault="007D4AE9" w:rsidP="007D4AE9">
      <w:pPr>
        <w:pStyle w:val="Default"/>
        <w:ind w:firstLine="720"/>
        <w:jc w:val="both"/>
        <w:rPr>
          <w:color w:val="auto"/>
        </w:rPr>
      </w:pPr>
      <w:r w:rsidRPr="007D4AE9">
        <w:rPr>
          <w:color w:val="auto"/>
        </w:rPr>
        <w:t>Finanšu ministrs</w:t>
      </w:r>
      <w:r w:rsidRPr="007D4AE9">
        <w:t xml:space="preserve"> arī </w:t>
      </w:r>
      <w:r w:rsidRPr="007D4AE9">
        <w:rPr>
          <w:color w:val="auto"/>
        </w:rPr>
        <w:t>ir atbildīgs</w:t>
      </w:r>
      <w:r w:rsidRPr="007D4AE9">
        <w:t xml:space="preserve"> par valsts budžeta izpildes procesa organizāciju un vadību, </w:t>
      </w:r>
      <w:r w:rsidRPr="007D4AE9">
        <w:rPr>
          <w:color w:val="auto"/>
        </w:rPr>
        <w:t>kā arī VK darbības uzraudzību atbilstoši LBFV prasībām.</w:t>
      </w:r>
    </w:p>
    <w:p w:rsidR="007D4AE9" w:rsidRPr="007D4AE9" w:rsidRDefault="007D4AE9" w:rsidP="007D4AE9">
      <w:pPr>
        <w:pStyle w:val="Default"/>
        <w:ind w:firstLine="720"/>
        <w:jc w:val="both"/>
      </w:pPr>
      <w:r w:rsidRPr="007D4AE9">
        <w:t>Finanšu ministrs gadskārtējā valsts budžeta likumprojekta vai tā grozījumu izstrādes procesa laikā informē Saeimas Budžeta un finanšu (nodokļu) komisiju par valsts budžeta plānošanas gaitu, kā arī ne retāk kā reizi ceturksnī</w:t>
      </w:r>
      <w:r w:rsidR="00FD6F02" w:rsidRPr="007D4AE9">
        <w:t xml:space="preserve"> – </w:t>
      </w:r>
      <w:r w:rsidRPr="007D4AE9">
        <w:t>par valsts budžeta izpildes gaitu.</w:t>
      </w:r>
    </w:p>
    <w:p w:rsidR="007D4AE9" w:rsidRPr="007D4AE9" w:rsidRDefault="007D4AE9" w:rsidP="007D4AE9">
      <w:pPr>
        <w:pStyle w:val="Default"/>
        <w:ind w:firstLine="720"/>
        <w:jc w:val="both"/>
      </w:pPr>
      <w:r w:rsidRPr="007D4AE9">
        <w:rPr>
          <w:color w:val="auto"/>
        </w:rPr>
        <w:t>Sa</w:t>
      </w:r>
      <w:r w:rsidRPr="007D4AE9">
        <w:t xml:space="preserve">skaņā ar LBFV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 </w:t>
      </w:r>
    </w:p>
    <w:p w:rsidR="007D4AE9" w:rsidRPr="007D4AE9" w:rsidRDefault="007D4AE9" w:rsidP="007D4AE9">
      <w:pPr>
        <w:pStyle w:val="Default"/>
        <w:ind w:firstLine="720"/>
        <w:jc w:val="both"/>
      </w:pPr>
      <w:r w:rsidRPr="007D4AE9">
        <w:rPr>
          <w:color w:val="auto"/>
        </w:rPr>
        <w:t xml:space="preserve">Sākot ar 2016.gada 1.janvāri LBFV ir iekļauta norma, kas paredz MK nodrošināt pastāvīgu un sistemātisku valsts budžeta izdevumu pārskatīšanu, ļaujot efektīvāk un ekonomiskāk īstenot valsts politiku, kā arī optimizēt budžeta izdevumus un izvērtēt to atbilstību attīstības plānošanas dokumentos noteiktajām prioritātēm un mērķiem. </w:t>
      </w:r>
      <w:r w:rsidRPr="007D4AE9">
        <w:t xml:space="preserve">MK ik gadu pieņem lēmumu par valsts budžeta izdevumu pārskatīšanas tvērumu vienlaikus ar budžeta sagatavošanas grafika apstiprināšanu. Savukārt finanšu ministrs atbilstoši minētajam grafikam iesniedz MK valsts budžeta izdevumu pārskatīšanas rezultātus un priekšlikumus par šo rezultātu izmantošanu </w:t>
      </w:r>
      <w:r w:rsidR="00304153" w:rsidRPr="003C7327">
        <w:rPr>
          <w:color w:val="000000" w:themeColor="text1"/>
        </w:rPr>
        <w:t>Ietvara</w:t>
      </w:r>
      <w:r w:rsidR="00304153" w:rsidRPr="007D4AE9">
        <w:t xml:space="preserve"> </w:t>
      </w:r>
      <w:r w:rsidRPr="007D4AE9">
        <w:t>likuma projekta un gadskārtējā valsts budžeta likuma projekta izstrādes procesā.</w:t>
      </w:r>
    </w:p>
    <w:p w:rsidR="000774C9" w:rsidRPr="000774C9" w:rsidRDefault="000774C9" w:rsidP="000774C9">
      <w:pPr>
        <w:pStyle w:val="Default"/>
        <w:ind w:firstLine="720"/>
        <w:jc w:val="both"/>
      </w:pPr>
      <w:r w:rsidRPr="000774C9">
        <w:t>Tvērumā 2019.gadam ietverti trīs tematiskie bloki, kas paredz valsts budžeta programmu horizontālu pārskatīšanu, nozaru finansēšanas politiku pārskatīšanu un procesu un sistēmu pilnveidošanu (skat</w:t>
      </w:r>
      <w:r w:rsidR="00E43828">
        <w:t>.</w:t>
      </w:r>
      <w:r w:rsidRPr="000774C9">
        <w:t xml:space="preserve"> </w:t>
      </w:r>
      <w:r>
        <w:t>5.1.</w:t>
      </w:r>
      <w:r w:rsidRPr="000774C9">
        <w:t>attēlā).</w:t>
      </w:r>
    </w:p>
    <w:p w:rsidR="000774C9" w:rsidRDefault="000774C9" w:rsidP="000774C9">
      <w:pPr>
        <w:pStyle w:val="Default"/>
        <w:jc w:val="center"/>
        <w:rPr>
          <w:sz w:val="28"/>
          <w:szCs w:val="28"/>
        </w:rPr>
      </w:pPr>
      <w:r w:rsidRPr="00264CE5">
        <w:rPr>
          <w:noProof/>
        </w:rPr>
        <w:lastRenderedPageBreak/>
        <w:drawing>
          <wp:inline distT="0" distB="0" distL="0" distR="0" wp14:anchorId="5C53DA8E" wp14:editId="17F46CFA">
            <wp:extent cx="5760085" cy="356552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760085" cy="3565525"/>
                    </a:xfrm>
                    <a:prstGeom prst="rect">
                      <a:avLst/>
                    </a:prstGeom>
                  </pic:spPr>
                </pic:pic>
              </a:graphicData>
            </a:graphic>
          </wp:inline>
        </w:drawing>
      </w:r>
    </w:p>
    <w:p w:rsidR="000774C9" w:rsidRPr="000774C9" w:rsidRDefault="000774C9" w:rsidP="000774C9">
      <w:pPr>
        <w:pStyle w:val="Default"/>
        <w:ind w:firstLine="720"/>
        <w:jc w:val="center"/>
        <w:rPr>
          <w:b/>
        </w:rPr>
      </w:pPr>
      <w:r w:rsidRPr="000774C9">
        <w:rPr>
          <w:b/>
        </w:rPr>
        <w:t>5.1.</w:t>
      </w:r>
      <w:r w:rsidR="00A26FA5">
        <w:rPr>
          <w:b/>
        </w:rPr>
        <w:t>a</w:t>
      </w:r>
      <w:r w:rsidRPr="000774C9">
        <w:rPr>
          <w:b/>
        </w:rPr>
        <w:t>ttēls: Izdevumu pārskatīšanas tvērums 2019.gadam.</w:t>
      </w:r>
    </w:p>
    <w:p w:rsidR="000774C9" w:rsidRDefault="000774C9" w:rsidP="000774C9">
      <w:pPr>
        <w:pStyle w:val="Default"/>
        <w:ind w:firstLine="720"/>
        <w:jc w:val="both"/>
        <w:rPr>
          <w:sz w:val="28"/>
          <w:szCs w:val="28"/>
        </w:rPr>
      </w:pPr>
    </w:p>
    <w:p w:rsidR="007D4AE9" w:rsidRPr="007D4AE9" w:rsidRDefault="007D4AE9" w:rsidP="007D4AE9">
      <w:pPr>
        <w:pStyle w:val="Default"/>
        <w:ind w:firstLine="720"/>
        <w:jc w:val="both"/>
        <w:rPr>
          <w:color w:val="auto"/>
        </w:rPr>
      </w:pPr>
      <w:r w:rsidRPr="007D4AE9">
        <w:t>Valsts budžetu veido</w:t>
      </w:r>
      <w:r w:rsidRPr="007D4AE9">
        <w:rPr>
          <w:color w:val="auto"/>
        </w:rPr>
        <w:t xml:space="preserve"> budžeta programmas, kuru struktūru nosaka institūcijas darbības stratēģijā definētie darbības (rīcības) virzieni vai ministrijas vai citas centrālās valsts iestādes nolikumā noteiktās funkcijas. Tādējādi tiek veidota sasaiste budžeta izstrādei ar politikas plānošanu, jo viens no institūciju darbības stratēģijas uzdevumiem vidējā termiņā ir panākt, ka budžeta programmas nodrošina attīstības plānošanas dokumentos izvirzīto mērķu un plānoto rezultātu un to rezultatīvo rādītāju sasniegšanu. Ministrijas un citas centrālās valsts iestādes katru gadu iekļauj budžeta pieprasījumos valsts budžeta programmu darbības rezultātus, kurus</w:t>
      </w:r>
      <w:r w:rsidRPr="007D4AE9">
        <w:t xml:space="preserve"> </w:t>
      </w:r>
      <w:r w:rsidRPr="007D4AE9">
        <w:rPr>
          <w:color w:val="auto"/>
        </w:rPr>
        <w:t>pēc iespējas veido attīstības plānošanas dokumentos plānotie darbības rezultāti un to rezultatīvie rādītāji. Jāatzīmē, ka 2017. un 2018.gadā ir veiktas izmaiņas, kas pilnveido budžeta paskaidrojumu saturu ar mērķi sniegt informāciju par valsts budžetu kā politikas realizācijas instrumentu, kā arī palielina budžeta paskaidrojumos esošās informācijas uztveramību. Būtiskākais jauninājums ir Politikas un resursu vadības karšu ieviešana, ar kuru palīdzību tiek sniegts priekšstats par nozaru politiku rezultātu sasniegšanā ieguldītajiem resursiem (finanšu un cilvēkresursiem) un par nozares darbības rezultātā sniegto labumu sabiedrībai.</w:t>
      </w:r>
    </w:p>
    <w:p w:rsidR="007D4AE9" w:rsidRPr="007D4AE9" w:rsidRDefault="007D4AE9" w:rsidP="007D4AE9">
      <w:pPr>
        <w:pStyle w:val="Default"/>
        <w:ind w:firstLine="720"/>
        <w:jc w:val="both"/>
        <w:rPr>
          <w:color w:val="auto"/>
        </w:rPr>
      </w:pPr>
      <w:r w:rsidRPr="007D4AE9">
        <w:rPr>
          <w:color w:val="auto"/>
        </w:rPr>
        <w:t xml:space="preserve">Papildus jaunais budžeta formāts ir devis iespēju interaktīvā un uzskatāmā veidā informēt Latvijas iedzīvotājus par to, kādās jomās un kādā apmērā tiek ieguldīta nodokļu maksātāju nauda un kādi rezultāti sagaidāmi. Ikvienam interesentam FM tīmekļvietnē ir pieejama: </w:t>
      </w:r>
    </w:p>
    <w:p w:rsidR="007D4AE9" w:rsidRPr="007D4AE9" w:rsidRDefault="007D4AE9" w:rsidP="00DA42C2">
      <w:pPr>
        <w:pStyle w:val="Default"/>
        <w:numPr>
          <w:ilvl w:val="0"/>
          <w:numId w:val="9"/>
        </w:numPr>
        <w:ind w:left="993"/>
        <w:jc w:val="both"/>
      </w:pPr>
      <w:r w:rsidRPr="007D4AE9">
        <w:t xml:space="preserve">interaktīvā budžeta </w:t>
      </w:r>
      <w:proofErr w:type="spellStart"/>
      <w:r w:rsidRPr="007D4AE9">
        <w:t>infografika</w:t>
      </w:r>
      <w:proofErr w:type="spellEnd"/>
      <w:r w:rsidRPr="007D4AE9">
        <w:t>, kas ļauj lietotājam iepazīties ar deviņām budžeta ieguldījuma jomām (piemēram, veselība, izglītība, sociālā aizsardzība u.c.) un tām novirzīto finansējumu, kā arī uzzināt detalizētu informāciju par ieguldījuma virzieniem katrā no nozarēm un finansējuma avotiem. Papildus tiek sniegta informācija par rezultātiem, kuri sagaidāmi no valsts budžeta finansējuma ieguldīšanas attiecīgajā jomā;</w:t>
      </w:r>
    </w:p>
    <w:p w:rsidR="007D4AE9" w:rsidRPr="007D4AE9" w:rsidRDefault="007D4AE9" w:rsidP="00DA42C2">
      <w:pPr>
        <w:pStyle w:val="Default"/>
        <w:numPr>
          <w:ilvl w:val="0"/>
          <w:numId w:val="9"/>
        </w:numPr>
        <w:ind w:left="993"/>
        <w:jc w:val="both"/>
      </w:pPr>
      <w:r w:rsidRPr="007D4AE9">
        <w:t xml:space="preserve">vizualizēti ministriju un citu centrālo valsts iestāžu budžeti gan kopsavilkumā, gan detalizēti. Lietotājs var iepazīties ar ministriju un citu centrālo valsts iestāžu darbības </w:t>
      </w:r>
      <w:r w:rsidRPr="007D4AE9">
        <w:lastRenderedPageBreak/>
        <w:t xml:space="preserve">jomām un tām novirzīto finansējumu, kā arī gūt priekšstatu par nozares darbības rezultātā sniegto labumu sabiedrībai. Tas tiek atspoguļots politikas un resursu vadības kartēs, kurās vienkopus ir sniegta iespējami aptveroša un raksturojoša informācija par nozares darbu attiecīgajā jomā – mērķis, tā sasniegšanā ieguldāmie resursi (angļu val. – </w:t>
      </w:r>
      <w:proofErr w:type="spellStart"/>
      <w:r w:rsidRPr="007D4AE9">
        <w:rPr>
          <w:i/>
        </w:rPr>
        <w:t>inputs</w:t>
      </w:r>
      <w:proofErr w:type="spellEnd"/>
      <w:r w:rsidRPr="007D4AE9">
        <w:t xml:space="preserve">), sagaidāmie darbības rezultāti (angļu val. – </w:t>
      </w:r>
      <w:proofErr w:type="spellStart"/>
      <w:r w:rsidRPr="007D4AE9">
        <w:rPr>
          <w:i/>
        </w:rPr>
        <w:t>outputs</w:t>
      </w:r>
      <w:proofErr w:type="spellEnd"/>
      <w:r w:rsidRPr="007D4AE9">
        <w:t xml:space="preserve">) un augstākā līmeņa sasniedzamie nozaru politikas un kvalitātes rādītāji (angļu val. – </w:t>
      </w:r>
      <w:proofErr w:type="spellStart"/>
      <w:r w:rsidRPr="007D4AE9">
        <w:rPr>
          <w:i/>
        </w:rPr>
        <w:t>outcomes</w:t>
      </w:r>
      <w:proofErr w:type="spellEnd"/>
      <w:r w:rsidRPr="007D4AE9">
        <w:t>).</w:t>
      </w:r>
    </w:p>
    <w:p w:rsidR="007D4AE9" w:rsidRPr="007D4AE9" w:rsidRDefault="007D4AE9" w:rsidP="007D4AE9">
      <w:pPr>
        <w:pStyle w:val="Default"/>
        <w:ind w:firstLine="720"/>
        <w:jc w:val="both"/>
        <w:rPr>
          <w:color w:val="auto"/>
        </w:rPr>
      </w:pPr>
      <w:r w:rsidRPr="007D4AE9">
        <w:rPr>
          <w:color w:val="auto"/>
        </w:rPr>
        <w:t>Sagatavojot pārskatu par valsts budžeta izpildes analīzi, ministrijas un citas centrālās valsts iestādes sniedz skaidrojumus par iepriekš plānotajiem rezultātiem un to rezultatīvajiem rādītājiem, to izpildi gada laikā, kā arī par rezultatīvo rādītāju vērtību izpildes novirzēm no plānotajām rezultatīvo rādītāju vērtībām, kas pārsniedz 15</w:t>
      </w:r>
      <w:r w:rsidR="00DA41CA">
        <w:rPr>
          <w:color w:val="auto"/>
        </w:rPr>
        <w:t xml:space="preserve"> </w:t>
      </w:r>
      <w:r w:rsidRPr="007D4AE9">
        <w:rPr>
          <w:color w:val="auto"/>
        </w:rPr>
        <w:t>procentus (gan pozitīvā, gan negatīvā nozīmē). FM apkopo, izvērtē un nodrošina gan Politikas un resursu vadības kartēs norādīto rezultātu un to rezultatīvo rādītāju, gan valsts budžeta programmu (apakšprogrammu) darbības rezultātu un to rezultatīvo rādītāju uzkrāšanu.</w:t>
      </w:r>
    </w:p>
    <w:p w:rsidR="007D4AE9" w:rsidRPr="007D4AE9" w:rsidRDefault="007D4AE9" w:rsidP="007D4AE9">
      <w:pPr>
        <w:pStyle w:val="Default"/>
        <w:ind w:firstLine="720"/>
        <w:jc w:val="both"/>
      </w:pPr>
      <w:r w:rsidRPr="007D4AE9">
        <w:t>LBFV nosaka sekojošus valsts budžeta izpildes organizatoriskos aspektus:</w:t>
      </w:r>
    </w:p>
    <w:p w:rsidR="007D4AE9" w:rsidRPr="007D4AE9" w:rsidRDefault="007D4AE9" w:rsidP="00DA42C2">
      <w:pPr>
        <w:pStyle w:val="Default"/>
        <w:numPr>
          <w:ilvl w:val="0"/>
          <w:numId w:val="9"/>
        </w:numPr>
        <w:ind w:left="993"/>
        <w:jc w:val="both"/>
        <w:rPr>
          <w:color w:val="auto"/>
        </w:rPr>
      </w:pPr>
      <w:r w:rsidRPr="007D4AE9">
        <w:t xml:space="preserve">valsts budžeta izpildītāji var veikt valsts budžeta izdevumus vai uzņemties īstermiņa saistības tikai to finansēšanas plānos noteikto asignējumu ietvaros, kurus izsniedz VK. Savukārt VK piešķir asignējumus izdevumiem saskaņā ar gadskārtējā valsts budžeta likumā noteikto apropriāciju un nodrošina to izpildi MK noteiktajā kārtībā. </w:t>
      </w:r>
      <w:r w:rsidRPr="007D4AE9">
        <w:rPr>
          <w:color w:val="auto"/>
        </w:rPr>
        <w:t>Ministrijas un citas centrālās valsts iestādes ir atbildīgas par gadskārtējā valsts budžeta likumā noteiktās apropriācijas izpildes kontroles sistēmas izveidi un par VK norēķinu kontos ieskaitīto valsts budžeta līdzekļu izlietojuma kontroli atbilstoši paredzētajiem mērķiem;</w:t>
      </w:r>
    </w:p>
    <w:p w:rsidR="007D4AE9" w:rsidRPr="007D4AE9" w:rsidRDefault="007D4AE9" w:rsidP="00DA42C2">
      <w:pPr>
        <w:pStyle w:val="Default"/>
        <w:numPr>
          <w:ilvl w:val="0"/>
          <w:numId w:val="9"/>
        </w:numPr>
        <w:ind w:left="993"/>
        <w:jc w:val="both"/>
      </w:pPr>
      <w:r w:rsidRPr="007D4AE9">
        <w:t>budžeta iestādes var uzņemties valsts budžeta ilgtermiņa saistības, nepārsniedzot saimnieciskā gada valsts budžeta likumā noteiktos valsts budžeta ilgtermiņa saistību maksimāli pieļaujamos apjomus;</w:t>
      </w:r>
    </w:p>
    <w:p w:rsidR="007D4AE9" w:rsidRPr="007D4AE9" w:rsidRDefault="007D4AE9" w:rsidP="00DA42C2">
      <w:pPr>
        <w:pStyle w:val="Default"/>
        <w:numPr>
          <w:ilvl w:val="0"/>
          <w:numId w:val="9"/>
        </w:numPr>
        <w:ind w:left="993"/>
        <w:jc w:val="both"/>
        <w:rPr>
          <w:color w:val="auto"/>
        </w:rPr>
      </w:pPr>
      <w:r w:rsidRPr="007D4AE9">
        <w:rPr>
          <w:color w:val="auto"/>
        </w:rPr>
        <w:t>valsts budžeta iestādes asignējumu saņemšanai un izdevumu veikšanai no valsts budžeta līdzekļiem atver valsts pamatbudžeta un valsts speciālā budžeta kontus tikai VK. Budžeta nefinansētas iestādes atver norēķinu kontus tikai VK. Valsts budžeta līdzekļu saņemšanai un no tiem finansēto izdevumu izdarīšanai budžeta finansētas institūcijas (izņemot valsts budžeta iestādes) atver norēķinu kontus tikai VK, ja citos normatīvajos aktos nav noteikts citādi. Pašvaldības, no valsts budžeta daļēji finansētas atvasinātas publiskas personas un kapitālsabiedrības, kurās ieguldīta valsts vai pašvaldību kapitāla daļa, var atvērt norēķinu kontus VK naudas līdzekļiem, kuri nav saņemti no valsts budžeta;</w:t>
      </w:r>
    </w:p>
    <w:p w:rsidR="007D4AE9" w:rsidRPr="007D4AE9" w:rsidRDefault="007D4AE9" w:rsidP="00DA42C2">
      <w:pPr>
        <w:pStyle w:val="Default"/>
        <w:numPr>
          <w:ilvl w:val="0"/>
          <w:numId w:val="9"/>
        </w:numPr>
        <w:ind w:left="993"/>
        <w:jc w:val="both"/>
      </w:pPr>
      <w:r w:rsidRPr="007D4AE9">
        <w:t>ministrijas un citas centrālās valsts budžeta iestādes un pašvaldības MK noteiktajā kārtībā sagatavo un iesniedz VK ceturkšņa pārskatus, savukārt, VK kārto valsts budžeta finanšu uzskaiti. VK sagatavo regulārus oficiālos un operatīvos pārskatus un sniedz informāciju par valsts un pašvaldību budžetu izpildi, nodrošinot FM, citu iestāžu, kā arī sabiedrības informēšanu par budžeta izpildes gaitu.</w:t>
      </w:r>
    </w:p>
    <w:p w:rsidR="007D4AE9" w:rsidRPr="007D4AE9" w:rsidRDefault="007D4AE9" w:rsidP="007D4AE9">
      <w:pPr>
        <w:pStyle w:val="Default"/>
        <w:jc w:val="both"/>
      </w:pPr>
    </w:p>
    <w:p w:rsidR="007D4AE9" w:rsidRPr="007D4AE9" w:rsidRDefault="007D4AE9" w:rsidP="007D4AE9">
      <w:pPr>
        <w:pStyle w:val="Default"/>
        <w:ind w:firstLine="720"/>
        <w:jc w:val="both"/>
        <w:rPr>
          <w:color w:val="auto"/>
        </w:rPr>
      </w:pPr>
      <w:r w:rsidRPr="007D4AE9">
        <w:rPr>
          <w:color w:val="auto"/>
        </w:rPr>
        <w:t>Lai stiprinātu līdzekļu izlietojuma kontroles iespējas, LBFV ir ietverta norma, kas nosaka, ka finanšu ministram ir tiesības dot rīkojumu VK aizkavēt vai samazināt asignējumu noteiktam periodam, ja finanšu ministrs ir saņēmis rakstveida ziņojumu par vismaz viena šāda nosacījuma iestāšanos:</w:t>
      </w:r>
    </w:p>
    <w:p w:rsidR="007D4AE9" w:rsidRPr="007D4AE9" w:rsidRDefault="007D4AE9" w:rsidP="00DA42C2">
      <w:pPr>
        <w:pStyle w:val="Default"/>
        <w:numPr>
          <w:ilvl w:val="0"/>
          <w:numId w:val="23"/>
        </w:numPr>
        <w:ind w:left="993"/>
        <w:jc w:val="both"/>
        <w:rPr>
          <w:color w:val="auto"/>
        </w:rPr>
      </w:pPr>
      <w:r w:rsidRPr="007D4AE9">
        <w:rPr>
          <w:color w:val="auto"/>
        </w:rPr>
        <w:t xml:space="preserve">triju mēnešu periodā valsts budžeta nodokļu un </w:t>
      </w:r>
      <w:proofErr w:type="spellStart"/>
      <w:r w:rsidRPr="007D4AE9">
        <w:rPr>
          <w:color w:val="auto"/>
        </w:rPr>
        <w:t>nenodokļu</w:t>
      </w:r>
      <w:proofErr w:type="spellEnd"/>
      <w:r w:rsidRPr="007D4AE9">
        <w:rPr>
          <w:color w:val="auto"/>
        </w:rPr>
        <w:t xml:space="preserve"> faktiskie ieņēmumi attiecībā pret attiecīgajā periodā paredzētajiem ieņēmumie</w:t>
      </w:r>
      <w:r w:rsidR="00D562FF">
        <w:rPr>
          <w:color w:val="auto"/>
        </w:rPr>
        <w:t>m samazinās vairāk nekā par 0,5</w:t>
      </w:r>
      <w:r w:rsidRPr="007D4AE9">
        <w:rPr>
          <w:color w:val="auto"/>
        </w:rPr>
        <w:t xml:space="preserve">% no gadskārtējā valsts budžeta likumā noteiktās IKP prognozes vai faktiskais uzkrātais valsts budžeta finansiālais deficīts triju mēnešu periodā pārsniedz </w:t>
      </w:r>
      <w:r w:rsidRPr="007D4AE9">
        <w:rPr>
          <w:color w:val="auto"/>
        </w:rPr>
        <w:lastRenderedPageBreak/>
        <w:t>attiecīgajam periodam paredzēto valsts budžeta finansiā</w:t>
      </w:r>
      <w:r w:rsidR="00D562FF">
        <w:rPr>
          <w:color w:val="auto"/>
        </w:rPr>
        <w:t>lo deficītu vairāk nekā par 0,5</w:t>
      </w:r>
      <w:r w:rsidRPr="007D4AE9">
        <w:rPr>
          <w:color w:val="auto"/>
        </w:rPr>
        <w:t>% no gadskārtējā valsts budžeta likumā noteiktās IKP prognozes, vai VK budžeta kontos nav pietiekama līdzekļu apjoma, lai segtu nākamajam mēnesim plānotās maksājumu saistības;</w:t>
      </w:r>
    </w:p>
    <w:p w:rsidR="007D4AE9" w:rsidRPr="007D4AE9" w:rsidRDefault="007D4AE9" w:rsidP="00DA42C2">
      <w:pPr>
        <w:pStyle w:val="Default"/>
        <w:numPr>
          <w:ilvl w:val="0"/>
          <w:numId w:val="23"/>
        </w:numPr>
        <w:ind w:left="993"/>
        <w:jc w:val="both"/>
        <w:rPr>
          <w:color w:val="auto"/>
        </w:rPr>
      </w:pPr>
      <w:r w:rsidRPr="007D4AE9">
        <w:rPr>
          <w:color w:val="auto"/>
        </w:rPr>
        <w:t>ja finanšu ministrs ir saņēmis rakstveida ziņojumu par šīs daļas 1.punktā minētā nosacījuma iestāšanos.</w:t>
      </w:r>
    </w:p>
    <w:p w:rsidR="007D4AE9" w:rsidRPr="007D4AE9" w:rsidRDefault="007D4AE9" w:rsidP="007D4AE9">
      <w:pPr>
        <w:pStyle w:val="Default"/>
        <w:ind w:left="993"/>
        <w:jc w:val="both"/>
        <w:rPr>
          <w:color w:val="auto"/>
        </w:rPr>
      </w:pPr>
    </w:p>
    <w:p w:rsidR="007D4AE9" w:rsidRPr="007D4AE9" w:rsidRDefault="007D4AE9" w:rsidP="007D4AE9">
      <w:pPr>
        <w:pStyle w:val="Default"/>
        <w:ind w:firstLine="720"/>
        <w:jc w:val="both"/>
        <w:rPr>
          <w:color w:val="auto"/>
        </w:rPr>
      </w:pPr>
      <w:r w:rsidRPr="007D4AE9">
        <w:rPr>
          <w:color w:val="auto"/>
        </w:rPr>
        <w:t xml:space="preserve">Galvenās LBFV noteiktās sankcijas par neatbilstošu rīcību ar budžeta līdzekļiem: </w:t>
      </w:r>
    </w:p>
    <w:p w:rsidR="007D4AE9" w:rsidRPr="007D4AE9" w:rsidRDefault="007D4AE9" w:rsidP="00DA42C2">
      <w:pPr>
        <w:pStyle w:val="Default"/>
        <w:numPr>
          <w:ilvl w:val="0"/>
          <w:numId w:val="6"/>
        </w:numPr>
        <w:ind w:left="993" w:hanging="357"/>
        <w:jc w:val="both"/>
        <w:rPr>
          <w:color w:val="auto"/>
        </w:rPr>
      </w:pPr>
      <w:r w:rsidRPr="007D4AE9">
        <w:rPr>
          <w:color w:val="auto"/>
        </w:rPr>
        <w:t>par valsts budžetam pienākošos summu nesavlaicīgu vai nepilnīgu iemaksu VK budžeta kontos – VK (ja tas nav paredzēts citas valsts institūcijas kompetencē) piedzen iemaksāšanai pamatbudžeta ieņēmumos neiemaksāto summu un v</w:t>
      </w:r>
      <w:r w:rsidR="00D562FF">
        <w:rPr>
          <w:color w:val="auto"/>
        </w:rPr>
        <w:t>ar piedzīt nokavējuma naudu 0,1</w:t>
      </w:r>
      <w:r w:rsidRPr="007D4AE9">
        <w:rPr>
          <w:color w:val="auto"/>
        </w:rPr>
        <w:t>%</w:t>
      </w:r>
      <w:r w:rsidR="00D562FF">
        <w:rPr>
          <w:color w:val="auto"/>
        </w:rPr>
        <w:t xml:space="preserve"> </w:t>
      </w:r>
      <w:r w:rsidRPr="007D4AE9">
        <w:rPr>
          <w:color w:val="auto"/>
        </w:rPr>
        <w:t xml:space="preserve">apmērā no laikā nenomaksātās summas par katru nokavēto maksājuma dienu, ja normatīvajos aktos nav noteikta cita kārtība; </w:t>
      </w:r>
    </w:p>
    <w:p w:rsidR="007D4AE9" w:rsidRPr="007D4AE9" w:rsidRDefault="007D4AE9" w:rsidP="00DA42C2">
      <w:pPr>
        <w:pStyle w:val="Default"/>
        <w:numPr>
          <w:ilvl w:val="0"/>
          <w:numId w:val="6"/>
        </w:numPr>
        <w:ind w:left="993"/>
        <w:jc w:val="both"/>
        <w:rPr>
          <w:color w:val="auto"/>
        </w:rPr>
      </w:pPr>
      <w:r w:rsidRPr="007D4AE9">
        <w:rPr>
          <w:color w:val="auto"/>
        </w:rPr>
        <w:t xml:space="preserve">lai segtu budžetam radušos zaudējumus, VK var ieskaitīt summas pamatbudžeta ieņēmumos, atsaukt vai apturēt asignējumus, ja: nav laikā iesniegti vai ir nepilnīgi ziņojumi par budžetu un finanšu vadību; ja likumā noteiktajā kārtībā nav reģistrēti budžeta līdzekļi un darījumi ar šiem līdzekļiem, kā arī nav ziņots par tiem; ja uzskaite neatbilst noteiktajai kārtībai un tādējādi tiek slēpti budžetam pienākošie līdzekļi; ja budžeta finansētas institūcijas vadītājs ir uzņēmies saistības, pārsniedzot VK sniegto asignējumu; </w:t>
      </w:r>
    </w:p>
    <w:p w:rsidR="007D4AE9" w:rsidRPr="007D4AE9" w:rsidRDefault="007D4AE9" w:rsidP="00DA42C2">
      <w:pPr>
        <w:pStyle w:val="Default"/>
        <w:numPr>
          <w:ilvl w:val="0"/>
          <w:numId w:val="6"/>
        </w:numPr>
        <w:ind w:left="993"/>
        <w:jc w:val="both"/>
        <w:rPr>
          <w:color w:val="auto"/>
        </w:rPr>
      </w:pPr>
      <w:r w:rsidRPr="007D4AE9">
        <w:rPr>
          <w:color w:val="auto"/>
        </w:rPr>
        <w:t xml:space="preserve">ja budžeta finansētas institūcijas, budžeta nefinansētas iestādes un pašvaldības, kā arī kapitālsabiedrības, kurās ir ieguldīta valsts vai pašvaldību kapitāla daļa, ir pārkāpušas LBFV paredzētos finanšu vadības noteikumus, finanšu ministrs, VK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materiālus kompetentajām amatpersonām jautājuma par kriminālprocesa uzsākšanu izlemšanai, kā arī atsaukt vai apturēt maksājumus; </w:t>
      </w:r>
    </w:p>
    <w:p w:rsidR="007D4AE9" w:rsidRPr="007D4AE9" w:rsidRDefault="007D4AE9" w:rsidP="00DA42C2">
      <w:pPr>
        <w:pStyle w:val="Default"/>
        <w:numPr>
          <w:ilvl w:val="0"/>
          <w:numId w:val="6"/>
        </w:numPr>
        <w:ind w:left="993"/>
        <w:jc w:val="both"/>
        <w:rPr>
          <w:color w:val="auto"/>
        </w:rPr>
      </w:pPr>
      <w:r w:rsidRPr="007D4AE9">
        <w:rPr>
          <w:color w:val="auto"/>
        </w:rPr>
        <w:t xml:space="preserve">VK atbilstoši Pašvaldību finanšu izlīdzināšanas likumam ir tiesības bezstrīdus kārtībā piedzīt no pašvaldības budžeta līdzekļiem naudas summas, ko attiecīgā pašvaldība nav savlaicīgi vai pilnā apmērā ieskaitījusi pašvaldību finanšu izlīdzināšanas fondā, norakstot šīs summas no attiecīgās pašvaldības budžeta. </w:t>
      </w:r>
    </w:p>
    <w:p w:rsidR="007D4AE9" w:rsidRPr="007D4AE9" w:rsidRDefault="007D4AE9" w:rsidP="007D4AE9">
      <w:pPr>
        <w:pStyle w:val="Default"/>
        <w:jc w:val="both"/>
        <w:rPr>
          <w:color w:val="auto"/>
        </w:rPr>
      </w:pPr>
    </w:p>
    <w:p w:rsidR="007D4AE9" w:rsidRPr="007D4AE9" w:rsidRDefault="007D4AE9" w:rsidP="007D4AE9">
      <w:pPr>
        <w:pStyle w:val="Default"/>
        <w:ind w:firstLine="720"/>
        <w:jc w:val="both"/>
        <w:rPr>
          <w:color w:val="auto"/>
        </w:rPr>
      </w:pPr>
      <w:r w:rsidRPr="007D4AE9">
        <w:rPr>
          <w:color w:val="auto"/>
        </w:rPr>
        <w:t>Lai saglabātu vispārējo ekonomisko līdzsvaru un nodrošinātu vienotu valsts finansiālo politiku, gadskārtējā valsts budžeta likumā atsevišķi tiek noteikti pašvaldību aizņēmumu un galvojumu kopējā palielinājuma apjomi.</w:t>
      </w:r>
    </w:p>
    <w:p w:rsidR="007D4AE9" w:rsidRPr="007D4AE9" w:rsidRDefault="007D4AE9" w:rsidP="007D4AE9">
      <w:pPr>
        <w:pStyle w:val="Default"/>
        <w:ind w:firstLine="720"/>
        <w:jc w:val="both"/>
        <w:rPr>
          <w:color w:val="auto"/>
        </w:rPr>
      </w:pPr>
      <w:r w:rsidRPr="007D4AE9">
        <w:rPr>
          <w:color w:val="auto"/>
        </w:rPr>
        <w:t xml:space="preserve">No summas, kas pašvaldībai pienākas no iedzīvotāju ienākuma nodokļa vai no pašvaldību finanšu izlīdzināšanas fonda dotācijas, VK ir tiesības ieturēt summas šādos gadījumos un šādā apmērā: </w:t>
      </w:r>
    </w:p>
    <w:p w:rsidR="007D4AE9" w:rsidRPr="007D4AE9" w:rsidRDefault="007D4AE9" w:rsidP="00DA42C2">
      <w:pPr>
        <w:pStyle w:val="Default"/>
        <w:numPr>
          <w:ilvl w:val="0"/>
          <w:numId w:val="8"/>
        </w:numPr>
        <w:ind w:left="993" w:hanging="357"/>
        <w:jc w:val="both"/>
        <w:rPr>
          <w:color w:val="auto"/>
        </w:rPr>
      </w:pPr>
      <w:r w:rsidRPr="007D4AE9">
        <w:rPr>
          <w:color w:val="auto"/>
        </w:rPr>
        <w:t xml:space="preserve">ja pašvaldība nenodrošina valsts aizdevumu līgumos noteikto saistību savlaicīgu izpildi – savlaicīgi nesamaksātās summas apmērā; </w:t>
      </w:r>
    </w:p>
    <w:p w:rsidR="007D4AE9" w:rsidRPr="007D4AE9" w:rsidRDefault="007D4AE9" w:rsidP="00DA42C2">
      <w:pPr>
        <w:pStyle w:val="Default"/>
        <w:numPr>
          <w:ilvl w:val="0"/>
          <w:numId w:val="7"/>
        </w:numPr>
        <w:ind w:left="993"/>
        <w:jc w:val="both"/>
        <w:rPr>
          <w:color w:val="auto"/>
        </w:rPr>
      </w:pPr>
      <w:r w:rsidRPr="007D4AE9">
        <w:rPr>
          <w:color w:val="auto"/>
        </w:rPr>
        <w:t>ja pašvaldība nenodrošina valsts aizdevuma izmantošanu atbilstoši aizdevumu līgumā noteiktajam mērķim – pēc finanšu ministra rīkojuma neatbilstoši līgumā noteiktajam mērķim izmantotās aizdevuma summas apmērā.</w:t>
      </w:r>
    </w:p>
    <w:p w:rsidR="00E10BBE" w:rsidRPr="00782778" w:rsidRDefault="00E10BBE" w:rsidP="00824FFC">
      <w:pPr>
        <w:spacing w:after="0"/>
        <w:rPr>
          <w:highlight w:val="yellow"/>
        </w:rPr>
      </w:pPr>
    </w:p>
    <w:p w:rsidR="00A34463" w:rsidRPr="005E344C" w:rsidRDefault="00A34463" w:rsidP="005E344C">
      <w:pPr>
        <w:pStyle w:val="Heading2"/>
        <w:numPr>
          <w:ilvl w:val="1"/>
          <w:numId w:val="32"/>
        </w:numPr>
        <w:spacing w:before="0"/>
        <w:ind w:left="709" w:firstLine="0"/>
        <w:rPr>
          <w:rFonts w:ascii="Times New Roman" w:hAnsi="Times New Roman" w:cs="Times New Roman"/>
          <w:sz w:val="24"/>
          <w:szCs w:val="24"/>
        </w:rPr>
      </w:pPr>
      <w:bookmarkStart w:id="69" w:name="_Toc510790674"/>
      <w:bookmarkStart w:id="70" w:name="_Toc5627381"/>
      <w:bookmarkStart w:id="71" w:name="_Toc5798636"/>
      <w:r w:rsidRPr="005E344C">
        <w:rPr>
          <w:rFonts w:ascii="Times New Roman" w:hAnsi="Times New Roman" w:cs="Times New Roman"/>
          <w:sz w:val="24"/>
          <w:szCs w:val="24"/>
        </w:rPr>
        <w:lastRenderedPageBreak/>
        <w:t>Ieņēmumu struktūras un sistēmas efektivitāte</w:t>
      </w:r>
      <w:bookmarkEnd w:id="69"/>
      <w:bookmarkEnd w:id="70"/>
      <w:bookmarkEnd w:id="71"/>
    </w:p>
    <w:p w:rsidR="005E7359" w:rsidRPr="00782778" w:rsidRDefault="005E7359" w:rsidP="00747DC7">
      <w:pPr>
        <w:spacing w:after="0" w:line="240" w:lineRule="auto"/>
        <w:ind w:firstLine="720"/>
        <w:jc w:val="both"/>
        <w:rPr>
          <w:rFonts w:ascii="Times New Roman" w:eastAsia="Times New Roman" w:hAnsi="Times New Roman" w:cs="Times New Roman"/>
          <w:sz w:val="24"/>
          <w:szCs w:val="20"/>
          <w:highlight w:val="yellow"/>
        </w:rPr>
      </w:pPr>
    </w:p>
    <w:p w:rsidR="00D91646" w:rsidRPr="00D91646" w:rsidRDefault="004B6362" w:rsidP="00D91646">
      <w:pPr>
        <w:spacing w:after="0" w:line="240" w:lineRule="auto"/>
        <w:ind w:firstLine="709"/>
        <w:jc w:val="both"/>
        <w:rPr>
          <w:rFonts w:ascii="Times New Roman" w:eastAsia="Times New Roman" w:hAnsi="Times New Roman" w:cs="Times New Roman"/>
          <w:sz w:val="24"/>
          <w:szCs w:val="28"/>
          <w:lang w:eastAsia="lv-LV"/>
        </w:rPr>
      </w:pPr>
      <w:r>
        <w:rPr>
          <w:rFonts w:ascii="Times New Roman" w:eastAsia="Times New Roman" w:hAnsi="Times New Roman" w:cs="Times New Roman"/>
          <w:sz w:val="24"/>
          <w:szCs w:val="28"/>
          <w:lang w:eastAsia="lv-LV"/>
        </w:rPr>
        <w:t>Ar 2018.gada 1.</w:t>
      </w:r>
      <w:r w:rsidR="00D91646" w:rsidRPr="00D91646">
        <w:rPr>
          <w:rFonts w:ascii="Times New Roman" w:eastAsia="Times New Roman" w:hAnsi="Times New Roman" w:cs="Times New Roman"/>
          <w:sz w:val="24"/>
          <w:szCs w:val="28"/>
          <w:lang w:eastAsia="lv-LV"/>
        </w:rPr>
        <w:t xml:space="preserve">janvāri stājās spēkā </w:t>
      </w:r>
      <w:r w:rsidR="00D91646" w:rsidRPr="00D91646">
        <w:rPr>
          <w:rFonts w:ascii="Times New Roman" w:eastAsia="Times New Roman" w:hAnsi="Times New Roman" w:cs="Times New Roman"/>
          <w:i/>
          <w:sz w:val="24"/>
          <w:szCs w:val="28"/>
          <w:lang w:eastAsia="lv-LV"/>
        </w:rPr>
        <w:t>Nodokļu reforma</w:t>
      </w:r>
      <w:r w:rsidR="00D91646" w:rsidRPr="00D91646">
        <w:rPr>
          <w:rFonts w:ascii="Times New Roman" w:eastAsia="Times New Roman" w:hAnsi="Times New Roman" w:cs="Times New Roman"/>
          <w:sz w:val="24"/>
          <w:szCs w:val="28"/>
          <w:lang w:eastAsia="lv-LV"/>
        </w:rPr>
        <w:t xml:space="preserve">. </w:t>
      </w:r>
      <w:r w:rsidR="00D91646" w:rsidRPr="00D91646">
        <w:rPr>
          <w:rFonts w:ascii="Times New Roman" w:eastAsia="Times New Roman" w:hAnsi="Times New Roman" w:cs="Times New Roman"/>
          <w:i/>
          <w:sz w:val="24"/>
          <w:szCs w:val="28"/>
          <w:lang w:eastAsia="lv-LV"/>
        </w:rPr>
        <w:t>Nodokļu reformas</w:t>
      </w:r>
      <w:r w:rsidR="00D91646" w:rsidRPr="00D91646">
        <w:rPr>
          <w:rFonts w:ascii="Times New Roman" w:eastAsia="Times New Roman" w:hAnsi="Times New Roman" w:cs="Times New Roman"/>
          <w:sz w:val="24"/>
          <w:szCs w:val="28"/>
          <w:lang w:eastAsia="lv-LV"/>
        </w:rPr>
        <w:t xml:space="preserve"> mērķis ir nodrošināt stabilu un prognozējamu nod</w:t>
      </w:r>
      <w:r>
        <w:rPr>
          <w:rFonts w:ascii="Times New Roman" w:eastAsia="Times New Roman" w:hAnsi="Times New Roman" w:cs="Times New Roman"/>
          <w:sz w:val="24"/>
          <w:szCs w:val="28"/>
          <w:lang w:eastAsia="lv-LV"/>
        </w:rPr>
        <w:t>okļu politiku vismaz līdz 2021.</w:t>
      </w:r>
      <w:r w:rsidR="00D91646" w:rsidRPr="00D91646">
        <w:rPr>
          <w:rFonts w:ascii="Times New Roman" w:eastAsia="Times New Roman" w:hAnsi="Times New Roman" w:cs="Times New Roman"/>
          <w:sz w:val="24"/>
          <w:szCs w:val="28"/>
          <w:lang w:eastAsia="lv-LV"/>
        </w:rPr>
        <w:t>gadam, līdz ar to nozīmīgas papildu izmaiņas nodokļu politikā nav veiktas. Savukā</w:t>
      </w:r>
      <w:r>
        <w:rPr>
          <w:rFonts w:ascii="Times New Roman" w:eastAsia="Times New Roman" w:hAnsi="Times New Roman" w:cs="Times New Roman"/>
          <w:sz w:val="24"/>
          <w:szCs w:val="28"/>
          <w:lang w:eastAsia="lv-LV"/>
        </w:rPr>
        <w:t xml:space="preserve">rt tās nedaudzās izmaiņas, kas </w:t>
      </w:r>
      <w:r w:rsidR="00D91646" w:rsidRPr="00D91646">
        <w:rPr>
          <w:rFonts w:ascii="Times New Roman" w:eastAsia="Times New Roman" w:hAnsi="Times New Roman" w:cs="Times New Roman"/>
          <w:sz w:val="24"/>
          <w:szCs w:val="28"/>
          <w:lang w:eastAsia="lv-LV"/>
        </w:rPr>
        <w:t xml:space="preserve">veiktas pēc </w:t>
      </w:r>
      <w:r w:rsidR="00D91646" w:rsidRPr="00D91646">
        <w:rPr>
          <w:rFonts w:ascii="Times New Roman" w:eastAsia="Times New Roman" w:hAnsi="Times New Roman" w:cs="Times New Roman"/>
          <w:i/>
          <w:sz w:val="24"/>
          <w:szCs w:val="28"/>
          <w:lang w:eastAsia="lv-LV"/>
        </w:rPr>
        <w:t>Nodokļu reformas</w:t>
      </w:r>
      <w:r w:rsidR="00D91646" w:rsidRPr="00D91646">
        <w:rPr>
          <w:rFonts w:ascii="Times New Roman" w:eastAsia="Times New Roman" w:hAnsi="Times New Roman" w:cs="Times New Roman"/>
          <w:sz w:val="24"/>
          <w:szCs w:val="28"/>
          <w:lang w:eastAsia="lv-LV"/>
        </w:rPr>
        <w:t xml:space="preserve"> apstiprināšanas, klasificējamas kā uzlabošanas un pilnveidošanas pasākumi. </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p>
    <w:p w:rsidR="00D91646" w:rsidRPr="00D91646" w:rsidRDefault="001D07D9" w:rsidP="004B6362">
      <w:pPr>
        <w:spacing w:after="0" w:line="240" w:lineRule="auto"/>
        <w:jc w:val="right"/>
        <w:rPr>
          <w:rFonts w:ascii="Times New Roman" w:eastAsia="Times New Roman" w:hAnsi="Times New Roman" w:cs="Times New Roman"/>
          <w:sz w:val="24"/>
          <w:szCs w:val="20"/>
        </w:rPr>
      </w:pPr>
      <w:r w:rsidRPr="001D07D9">
        <w:rPr>
          <w:rFonts w:ascii="Times New Roman" w:eastAsia="Times New Roman" w:hAnsi="Times New Roman" w:cs="Times New Roman"/>
          <w:b/>
          <w:sz w:val="24"/>
          <w:szCs w:val="24"/>
        </w:rPr>
        <w:t>5.1</w:t>
      </w:r>
      <w:r w:rsidR="00D91646" w:rsidRPr="001D07D9">
        <w:rPr>
          <w:rFonts w:ascii="Times New Roman" w:eastAsia="Times New Roman" w:hAnsi="Times New Roman" w:cs="Times New Roman"/>
          <w:b/>
          <w:sz w:val="24"/>
          <w:szCs w:val="24"/>
        </w:rPr>
        <w:t>.</w:t>
      </w:r>
      <w:r w:rsidR="00D91646" w:rsidRPr="00D91646">
        <w:rPr>
          <w:rFonts w:ascii="Times New Roman" w:eastAsia="Times New Roman" w:hAnsi="Times New Roman" w:cs="Times New Roman"/>
          <w:b/>
          <w:sz w:val="24"/>
          <w:szCs w:val="24"/>
        </w:rPr>
        <w:t>tabula. Nodokļu ieņēmumi vispārējās valdības budžetā (S.13), milj.</w:t>
      </w:r>
      <w:r w:rsidR="004B6362">
        <w:rPr>
          <w:rFonts w:ascii="Times New Roman" w:eastAsia="Times New Roman" w:hAnsi="Times New Roman" w:cs="Times New Roman"/>
          <w:b/>
          <w:sz w:val="24"/>
          <w:szCs w:val="24"/>
        </w:rPr>
        <w:t xml:space="preserve"> </w:t>
      </w:r>
      <w:proofErr w:type="spellStart"/>
      <w:r w:rsidR="00D91646" w:rsidRPr="00D91646">
        <w:rPr>
          <w:rFonts w:ascii="Times New Roman" w:eastAsia="Times New Roman" w:hAnsi="Times New Roman" w:cs="Times New Roman"/>
          <w:b/>
          <w:i/>
          <w:sz w:val="24"/>
          <w:szCs w:val="24"/>
        </w:rPr>
        <w:t>euro</w:t>
      </w:r>
      <w:proofErr w:type="spellEnd"/>
    </w:p>
    <w:tbl>
      <w:tblPr>
        <w:tblStyle w:val="GridTable6Colorful-Accent16"/>
        <w:tblW w:w="8911" w:type="dxa"/>
        <w:jc w:val="center"/>
        <w:tblLayout w:type="fixed"/>
        <w:tblLook w:val="04A0" w:firstRow="1" w:lastRow="0" w:firstColumn="1" w:lastColumn="0" w:noHBand="0" w:noVBand="1"/>
      </w:tblPr>
      <w:tblGrid>
        <w:gridCol w:w="3275"/>
        <w:gridCol w:w="1275"/>
        <w:gridCol w:w="851"/>
        <w:gridCol w:w="850"/>
        <w:gridCol w:w="981"/>
        <w:gridCol w:w="839"/>
        <w:gridCol w:w="840"/>
      </w:tblGrid>
      <w:tr w:rsidR="004B6362" w:rsidRPr="004B6362" w:rsidTr="001D07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rPr>
                <w:rFonts w:ascii="Times New Roman" w:eastAsia="Times New Roman" w:hAnsi="Times New Roman" w:cs="Times New Roman"/>
                <w:color w:val="000000" w:themeColor="text1"/>
                <w:sz w:val="20"/>
                <w:szCs w:val="20"/>
              </w:rPr>
            </w:pPr>
          </w:p>
        </w:tc>
        <w:tc>
          <w:tcPr>
            <w:tcW w:w="1275" w:type="dxa"/>
          </w:tcPr>
          <w:p w:rsidR="00D91646" w:rsidRPr="004B6362" w:rsidRDefault="00D91646" w:rsidP="00D9164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Kods (EKS)</w:t>
            </w:r>
          </w:p>
        </w:tc>
        <w:tc>
          <w:tcPr>
            <w:tcW w:w="851" w:type="dxa"/>
          </w:tcPr>
          <w:p w:rsidR="00D91646" w:rsidRPr="004B6362"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2018</w:t>
            </w:r>
          </w:p>
        </w:tc>
        <w:tc>
          <w:tcPr>
            <w:tcW w:w="850" w:type="dxa"/>
          </w:tcPr>
          <w:p w:rsidR="00D91646" w:rsidRPr="004B6362"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2019</w:t>
            </w:r>
          </w:p>
        </w:tc>
        <w:tc>
          <w:tcPr>
            <w:tcW w:w="981" w:type="dxa"/>
          </w:tcPr>
          <w:p w:rsidR="00D91646" w:rsidRPr="004B6362"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2020</w:t>
            </w:r>
          </w:p>
        </w:tc>
        <w:tc>
          <w:tcPr>
            <w:tcW w:w="839" w:type="dxa"/>
          </w:tcPr>
          <w:p w:rsidR="00D91646" w:rsidRPr="004B6362"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2021</w:t>
            </w:r>
          </w:p>
        </w:tc>
        <w:tc>
          <w:tcPr>
            <w:tcW w:w="840" w:type="dxa"/>
          </w:tcPr>
          <w:p w:rsidR="00D91646" w:rsidRPr="004B6362"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2022</w:t>
            </w:r>
          </w:p>
        </w:tc>
      </w:tr>
      <w:tr w:rsidR="004B6362" w:rsidRPr="004B6362" w:rsidTr="001D0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Nodokļu ieņēmumi</w:t>
            </w:r>
          </w:p>
        </w:tc>
        <w:tc>
          <w:tcPr>
            <w:tcW w:w="1275" w:type="dxa"/>
          </w:tcPr>
          <w:p w:rsidR="00D91646" w:rsidRPr="004B6362" w:rsidRDefault="00D91646" w:rsidP="00D9164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851" w:type="dxa"/>
          </w:tcPr>
          <w:p w:rsidR="00D91646" w:rsidRPr="004B6362" w:rsidRDefault="00D91646" w:rsidP="00D91646">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850" w:type="dxa"/>
          </w:tcPr>
          <w:p w:rsidR="00D91646" w:rsidRPr="004B6362" w:rsidRDefault="00D91646" w:rsidP="00D91646">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981" w:type="dxa"/>
          </w:tcPr>
          <w:p w:rsidR="00D91646" w:rsidRPr="004B6362" w:rsidRDefault="00D91646" w:rsidP="00D91646">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839" w:type="dxa"/>
          </w:tcPr>
          <w:p w:rsidR="00D91646" w:rsidRPr="004B6362" w:rsidRDefault="00D91646" w:rsidP="00D91646">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840" w:type="dxa"/>
          </w:tcPr>
          <w:p w:rsidR="00D91646" w:rsidRPr="004B6362" w:rsidRDefault="00D91646" w:rsidP="00D91646">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r>
      <w:tr w:rsidR="004B6362" w:rsidRPr="004B6362" w:rsidTr="001D07D9">
        <w:trPr>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1. Ražošanas un importa nodokļi</w:t>
            </w:r>
          </w:p>
        </w:tc>
        <w:tc>
          <w:tcPr>
            <w:tcW w:w="1275" w:type="dxa"/>
            <w:vAlign w:val="center"/>
          </w:tcPr>
          <w:p w:rsidR="00D91646" w:rsidRPr="004B6362"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D.2</w:t>
            </w:r>
          </w:p>
        </w:tc>
        <w:tc>
          <w:tcPr>
            <w:tcW w:w="851"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4</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063,5</w:t>
            </w:r>
          </w:p>
        </w:tc>
        <w:tc>
          <w:tcPr>
            <w:tcW w:w="850"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4</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427,1</w:t>
            </w:r>
          </w:p>
        </w:tc>
        <w:tc>
          <w:tcPr>
            <w:tcW w:w="981"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4</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722,0</w:t>
            </w:r>
          </w:p>
        </w:tc>
        <w:tc>
          <w:tcPr>
            <w:tcW w:w="839"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4</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958,6</w:t>
            </w:r>
          </w:p>
        </w:tc>
        <w:tc>
          <w:tcPr>
            <w:tcW w:w="840"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5</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161,8</w:t>
            </w:r>
          </w:p>
        </w:tc>
      </w:tr>
      <w:tr w:rsidR="004B6362" w:rsidRPr="004B6362" w:rsidTr="001D0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 xml:space="preserve">2. </w:t>
            </w:r>
            <w:r w:rsidRPr="004B6362">
              <w:rPr>
                <w:rFonts w:ascii="Times New Roman" w:eastAsia="Times New Roman" w:hAnsi="Times New Roman" w:cs="Times New Roman"/>
                <w:snapToGrid w:val="0"/>
                <w:color w:val="000000" w:themeColor="text1"/>
                <w:sz w:val="20"/>
                <w:szCs w:val="20"/>
              </w:rPr>
              <w:t>Ienākuma un mantas kārtējie nodokļi</w:t>
            </w:r>
          </w:p>
        </w:tc>
        <w:tc>
          <w:tcPr>
            <w:tcW w:w="1275" w:type="dxa"/>
            <w:vAlign w:val="center"/>
          </w:tcPr>
          <w:p w:rsidR="00D91646" w:rsidRPr="004B6362"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D.5</w:t>
            </w:r>
          </w:p>
        </w:tc>
        <w:tc>
          <w:tcPr>
            <w:tcW w:w="851"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157,7</w:t>
            </w:r>
          </w:p>
        </w:tc>
        <w:tc>
          <w:tcPr>
            <w:tcW w:w="850"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047,4</w:t>
            </w:r>
          </w:p>
        </w:tc>
        <w:tc>
          <w:tcPr>
            <w:tcW w:w="981"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193,0</w:t>
            </w:r>
          </w:p>
        </w:tc>
        <w:tc>
          <w:tcPr>
            <w:tcW w:w="839"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297,4</w:t>
            </w:r>
          </w:p>
        </w:tc>
        <w:tc>
          <w:tcPr>
            <w:tcW w:w="840"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422,1</w:t>
            </w:r>
          </w:p>
        </w:tc>
      </w:tr>
      <w:tr w:rsidR="004B6362" w:rsidRPr="004B6362" w:rsidTr="001D07D9">
        <w:trPr>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 Kapitāla nodokļi</w:t>
            </w:r>
          </w:p>
        </w:tc>
        <w:tc>
          <w:tcPr>
            <w:tcW w:w="1275" w:type="dxa"/>
            <w:vAlign w:val="center"/>
          </w:tcPr>
          <w:p w:rsidR="00D91646" w:rsidRPr="004B6362"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D.91</w:t>
            </w:r>
          </w:p>
        </w:tc>
        <w:tc>
          <w:tcPr>
            <w:tcW w:w="851"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12,9</w:t>
            </w:r>
          </w:p>
        </w:tc>
        <w:tc>
          <w:tcPr>
            <w:tcW w:w="850"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15,5</w:t>
            </w:r>
          </w:p>
        </w:tc>
        <w:tc>
          <w:tcPr>
            <w:tcW w:w="981"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6,2</w:t>
            </w:r>
          </w:p>
        </w:tc>
        <w:tc>
          <w:tcPr>
            <w:tcW w:w="839"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7,0</w:t>
            </w:r>
          </w:p>
        </w:tc>
        <w:tc>
          <w:tcPr>
            <w:tcW w:w="840"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7,8</w:t>
            </w:r>
          </w:p>
        </w:tc>
      </w:tr>
      <w:tr w:rsidR="004B6362" w:rsidRPr="004B6362" w:rsidTr="001D0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4. Sociālās iemaksas</w:t>
            </w:r>
          </w:p>
        </w:tc>
        <w:tc>
          <w:tcPr>
            <w:tcW w:w="1275" w:type="dxa"/>
            <w:vAlign w:val="center"/>
          </w:tcPr>
          <w:p w:rsidR="00D91646" w:rsidRPr="004B6362"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D.61</w:t>
            </w:r>
          </w:p>
        </w:tc>
        <w:tc>
          <w:tcPr>
            <w:tcW w:w="851"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750,1</w:t>
            </w:r>
          </w:p>
        </w:tc>
        <w:tc>
          <w:tcPr>
            <w:tcW w:w="850"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945,3</w:t>
            </w:r>
          </w:p>
        </w:tc>
        <w:tc>
          <w:tcPr>
            <w:tcW w:w="981"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123,9</w:t>
            </w:r>
          </w:p>
        </w:tc>
        <w:tc>
          <w:tcPr>
            <w:tcW w:w="839"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288,7</w:t>
            </w:r>
          </w:p>
        </w:tc>
        <w:tc>
          <w:tcPr>
            <w:tcW w:w="840" w:type="dxa"/>
          </w:tcPr>
          <w:p w:rsidR="00D91646" w:rsidRPr="004B6362"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464,7</w:t>
            </w:r>
          </w:p>
        </w:tc>
      </w:tr>
      <w:tr w:rsidR="004B6362" w:rsidRPr="004B6362" w:rsidTr="001D07D9">
        <w:trPr>
          <w:trHeight w:val="191"/>
          <w:jc w:val="center"/>
        </w:trPr>
        <w:tc>
          <w:tcPr>
            <w:cnfStyle w:val="001000000000" w:firstRow="0" w:lastRow="0" w:firstColumn="1" w:lastColumn="0" w:oddVBand="0" w:evenVBand="0" w:oddHBand="0" w:evenHBand="0" w:firstRowFirstColumn="0" w:firstRowLastColumn="0" w:lastRowFirstColumn="0" w:lastRowLastColumn="0"/>
            <w:tcW w:w="3275" w:type="dxa"/>
          </w:tcPr>
          <w:p w:rsidR="00D91646" w:rsidRPr="004B6362" w:rsidRDefault="00D91646" w:rsidP="00D91646">
            <w:pPr>
              <w:jc w:val="right"/>
              <w:rPr>
                <w:rFonts w:ascii="Times New Roman" w:eastAsia="Times New Roman" w:hAnsi="Times New Roman" w:cs="Times New Roman"/>
                <w:i/>
                <w:color w:val="000000" w:themeColor="text1"/>
                <w:sz w:val="20"/>
                <w:szCs w:val="20"/>
              </w:rPr>
            </w:pPr>
            <w:r w:rsidRPr="004B6362">
              <w:rPr>
                <w:rFonts w:ascii="Times New Roman" w:eastAsia="Times New Roman" w:hAnsi="Times New Roman" w:cs="Times New Roman"/>
                <w:i/>
                <w:color w:val="000000" w:themeColor="text1"/>
                <w:sz w:val="20"/>
                <w:szCs w:val="20"/>
              </w:rPr>
              <w:t xml:space="preserve">   No tā faktiskās sociālās iemaksas</w:t>
            </w:r>
          </w:p>
        </w:tc>
        <w:tc>
          <w:tcPr>
            <w:tcW w:w="1275" w:type="dxa"/>
            <w:vAlign w:val="center"/>
          </w:tcPr>
          <w:p w:rsidR="00D91646" w:rsidRPr="004B6362"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sz w:val="20"/>
                <w:szCs w:val="20"/>
              </w:rPr>
            </w:pPr>
            <w:r w:rsidRPr="004B6362">
              <w:rPr>
                <w:rFonts w:ascii="Times New Roman" w:eastAsia="Times New Roman" w:hAnsi="Times New Roman" w:cs="Times New Roman"/>
                <w:i/>
                <w:color w:val="000000" w:themeColor="text1"/>
                <w:sz w:val="20"/>
                <w:szCs w:val="20"/>
              </w:rPr>
              <w:t>D.611 un D.613</w:t>
            </w:r>
          </w:p>
        </w:tc>
        <w:tc>
          <w:tcPr>
            <w:tcW w:w="851"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653,5</w:t>
            </w:r>
          </w:p>
        </w:tc>
        <w:tc>
          <w:tcPr>
            <w:tcW w:w="850"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2</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848,6</w:t>
            </w:r>
          </w:p>
        </w:tc>
        <w:tc>
          <w:tcPr>
            <w:tcW w:w="981"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027,3</w:t>
            </w:r>
          </w:p>
        </w:tc>
        <w:tc>
          <w:tcPr>
            <w:tcW w:w="839"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192,1</w:t>
            </w:r>
          </w:p>
        </w:tc>
        <w:tc>
          <w:tcPr>
            <w:tcW w:w="840" w:type="dxa"/>
          </w:tcPr>
          <w:p w:rsidR="00D91646" w:rsidRPr="004B6362"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B6362">
              <w:rPr>
                <w:rFonts w:ascii="Times New Roman" w:eastAsia="Times New Roman" w:hAnsi="Times New Roman" w:cs="Times New Roman"/>
                <w:color w:val="000000" w:themeColor="text1"/>
                <w:sz w:val="20"/>
                <w:szCs w:val="20"/>
              </w:rPr>
              <w:t>3</w:t>
            </w:r>
            <w:r w:rsidR="004B6362">
              <w:rPr>
                <w:rFonts w:ascii="Times New Roman" w:eastAsia="Times New Roman" w:hAnsi="Times New Roman" w:cs="Times New Roman"/>
                <w:color w:val="000000" w:themeColor="text1"/>
                <w:sz w:val="20"/>
                <w:szCs w:val="20"/>
              </w:rPr>
              <w:t> </w:t>
            </w:r>
            <w:r w:rsidRPr="004B6362">
              <w:rPr>
                <w:rFonts w:ascii="Times New Roman" w:eastAsia="Times New Roman" w:hAnsi="Times New Roman" w:cs="Times New Roman"/>
                <w:color w:val="000000" w:themeColor="text1"/>
                <w:sz w:val="20"/>
                <w:szCs w:val="20"/>
              </w:rPr>
              <w:t>368,0</w:t>
            </w:r>
          </w:p>
        </w:tc>
      </w:tr>
    </w:tbl>
    <w:p w:rsidR="00D91646" w:rsidRPr="00D91646" w:rsidRDefault="00D91646" w:rsidP="00D91646">
      <w:pPr>
        <w:spacing w:after="0" w:line="240" w:lineRule="auto"/>
        <w:rPr>
          <w:rFonts w:ascii="Times New Roman" w:eastAsia="Calibri" w:hAnsi="Times New Roman" w:cs="Times New Roman"/>
          <w:sz w:val="24"/>
        </w:rPr>
      </w:pPr>
    </w:p>
    <w:p w:rsidR="00D91646" w:rsidRPr="00D91646" w:rsidRDefault="00D91646" w:rsidP="00D91646">
      <w:pPr>
        <w:spacing w:after="0" w:line="240" w:lineRule="auto"/>
        <w:ind w:firstLine="709"/>
        <w:jc w:val="both"/>
        <w:rPr>
          <w:rFonts w:ascii="Times New Roman" w:eastAsia="Times New Roman" w:hAnsi="Times New Roman" w:cs="Times New Roman"/>
          <w:sz w:val="24"/>
          <w:szCs w:val="20"/>
        </w:rPr>
      </w:pPr>
      <w:r w:rsidRPr="00D91646">
        <w:rPr>
          <w:rFonts w:ascii="Times New Roman" w:eastAsia="Times New Roman" w:hAnsi="Times New Roman" w:cs="Times New Roman"/>
          <w:sz w:val="24"/>
          <w:szCs w:val="20"/>
        </w:rPr>
        <w:t xml:space="preserve">Pēdējos gados nodokļu politika tika vērsta </w:t>
      </w:r>
      <w:r w:rsidRPr="00D91646">
        <w:rPr>
          <w:rFonts w:ascii="Times New Roman" w:eastAsia="Times New Roman" w:hAnsi="Times New Roman" w:cs="Times New Roman"/>
          <w:sz w:val="24"/>
          <w:szCs w:val="24"/>
          <w:lang w:val="x-none" w:eastAsia="x-none"/>
        </w:rPr>
        <w:t>uz darbaspēka nodokļu sloga un ienākumu nevienlīdzības samazināšanu</w:t>
      </w:r>
      <w:r w:rsidR="001D07D9">
        <w:rPr>
          <w:rFonts w:ascii="Times New Roman" w:eastAsia="Times New Roman" w:hAnsi="Times New Roman" w:cs="Times New Roman"/>
          <w:sz w:val="24"/>
          <w:szCs w:val="24"/>
          <w:lang w:eastAsia="x-none"/>
        </w:rPr>
        <w:t>.</w:t>
      </w:r>
    </w:p>
    <w:p w:rsidR="00D91646" w:rsidRPr="00D91646" w:rsidRDefault="00D91646" w:rsidP="004B6362">
      <w:pPr>
        <w:spacing w:after="0" w:line="240" w:lineRule="auto"/>
        <w:ind w:firstLine="709"/>
        <w:jc w:val="both"/>
        <w:rPr>
          <w:rFonts w:ascii="Times New Roman" w:eastAsia="Times New Roman" w:hAnsi="Times New Roman" w:cs="Times New Roman"/>
          <w:sz w:val="24"/>
          <w:szCs w:val="20"/>
        </w:rPr>
      </w:pPr>
      <w:r w:rsidRPr="00D91646">
        <w:rPr>
          <w:rFonts w:ascii="Times New Roman" w:eastAsia="Times New Roman" w:hAnsi="Times New Roman" w:cs="Times New Roman"/>
          <w:sz w:val="24"/>
          <w:szCs w:val="20"/>
        </w:rPr>
        <w:t>Veikto izmaiņu rezultātā, darba nodokļu īpatsvars samazināsies no 47,5% 2018.gadā līdz 46,3% 2022.gadā, līdz ar to patēriņa un kapitāla nodokļu ieņēmumu īpatsvars kopējos nodokļu ieņēmumos pakāpeniski palielināsies no 52,5% 2018.gadā līdz 53,7% 2022.gadā.</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4"/>
          <w:lang w:val="x-none" w:eastAsia="x-none"/>
        </w:rPr>
      </w:pPr>
      <w:r w:rsidRPr="00D91646">
        <w:rPr>
          <w:rFonts w:ascii="Times New Roman" w:eastAsia="Times New Roman" w:hAnsi="Times New Roman" w:cs="Times New Roman"/>
          <w:sz w:val="24"/>
          <w:szCs w:val="24"/>
          <w:lang w:val="x-none" w:eastAsia="x-none"/>
        </w:rPr>
        <w:t xml:space="preserve">Līdz ar to arī darbaspēka nodokļu ieņēmumu </w:t>
      </w:r>
      <w:r w:rsidRPr="00D91646">
        <w:rPr>
          <w:rFonts w:ascii="Times New Roman" w:eastAsia="Times New Roman" w:hAnsi="Times New Roman" w:cs="Times New Roman"/>
          <w:sz w:val="24"/>
          <w:szCs w:val="24"/>
          <w:lang w:eastAsia="x-none"/>
        </w:rPr>
        <w:t>īpatsvars</w:t>
      </w:r>
      <w:r w:rsidRPr="00D91646">
        <w:rPr>
          <w:rFonts w:ascii="Times New Roman" w:eastAsia="Times New Roman" w:hAnsi="Times New Roman" w:cs="Times New Roman"/>
          <w:sz w:val="24"/>
          <w:szCs w:val="24"/>
          <w:lang w:val="x-none" w:eastAsia="x-none"/>
        </w:rPr>
        <w:t xml:space="preserve"> IKP 2022.gadā, salīdzinot ar 201</w:t>
      </w:r>
      <w:r w:rsidRPr="00D91646">
        <w:rPr>
          <w:rFonts w:ascii="Times New Roman" w:eastAsia="Times New Roman" w:hAnsi="Times New Roman" w:cs="Times New Roman"/>
          <w:sz w:val="24"/>
          <w:szCs w:val="24"/>
          <w:lang w:eastAsia="x-none"/>
        </w:rPr>
        <w:t>8</w:t>
      </w:r>
      <w:r w:rsidRPr="00D91646">
        <w:rPr>
          <w:rFonts w:ascii="Times New Roman" w:eastAsia="Times New Roman" w:hAnsi="Times New Roman" w:cs="Times New Roman"/>
          <w:sz w:val="24"/>
          <w:szCs w:val="24"/>
          <w:lang w:val="x-none" w:eastAsia="x-none"/>
        </w:rPr>
        <w:t xml:space="preserve">.gadu, būs </w:t>
      </w:r>
      <w:r w:rsidRPr="00D91646">
        <w:rPr>
          <w:rFonts w:ascii="Times New Roman" w:eastAsia="Times New Roman" w:hAnsi="Times New Roman" w:cs="Times New Roman"/>
          <w:sz w:val="24"/>
          <w:szCs w:val="24"/>
          <w:lang w:eastAsia="x-none"/>
        </w:rPr>
        <w:t>mazā</w:t>
      </w:r>
      <w:proofErr w:type="spellStart"/>
      <w:r w:rsidRPr="00D91646">
        <w:rPr>
          <w:rFonts w:ascii="Times New Roman" w:eastAsia="Times New Roman" w:hAnsi="Times New Roman" w:cs="Times New Roman"/>
          <w:sz w:val="24"/>
          <w:szCs w:val="24"/>
          <w:lang w:val="x-none" w:eastAsia="x-none"/>
        </w:rPr>
        <w:t>k</w:t>
      </w:r>
      <w:r w:rsidRPr="00D91646">
        <w:rPr>
          <w:rFonts w:ascii="Times New Roman" w:eastAsia="Times New Roman" w:hAnsi="Times New Roman" w:cs="Times New Roman"/>
          <w:sz w:val="24"/>
          <w:szCs w:val="24"/>
          <w:lang w:eastAsia="x-none"/>
        </w:rPr>
        <w:t>s</w:t>
      </w:r>
      <w:proofErr w:type="spellEnd"/>
      <w:r w:rsidRPr="00D91646">
        <w:rPr>
          <w:rFonts w:ascii="Times New Roman" w:eastAsia="Times New Roman" w:hAnsi="Times New Roman" w:cs="Times New Roman"/>
          <w:sz w:val="24"/>
          <w:szCs w:val="24"/>
          <w:lang w:val="x-none" w:eastAsia="x-none"/>
        </w:rPr>
        <w:t xml:space="preserve"> nekā patēriņa un kapitāla nodokļu ieņēmumu īpatsvars no IKP. Darba nodokļu ieņēmumi no IKP attiecīgajā periodā samazin</w:t>
      </w:r>
      <w:r w:rsidRPr="00D91646">
        <w:rPr>
          <w:rFonts w:ascii="Times New Roman" w:eastAsia="Times New Roman" w:hAnsi="Times New Roman" w:cs="Times New Roman"/>
          <w:sz w:val="24"/>
          <w:szCs w:val="24"/>
          <w:lang w:eastAsia="x-none"/>
        </w:rPr>
        <w:t>āsies</w:t>
      </w:r>
      <w:r w:rsidRPr="00D91646">
        <w:rPr>
          <w:rFonts w:ascii="Times New Roman" w:eastAsia="Times New Roman" w:hAnsi="Times New Roman" w:cs="Times New Roman"/>
          <w:sz w:val="24"/>
          <w:szCs w:val="24"/>
          <w:lang w:val="x-none" w:eastAsia="x-none"/>
        </w:rPr>
        <w:t xml:space="preserve"> par </w:t>
      </w:r>
      <w:r w:rsidRPr="00D91646">
        <w:rPr>
          <w:rFonts w:ascii="Times New Roman" w:eastAsia="Times New Roman" w:hAnsi="Times New Roman" w:cs="Times New Roman"/>
          <w:sz w:val="24"/>
          <w:szCs w:val="24"/>
          <w:lang w:eastAsia="x-none"/>
        </w:rPr>
        <w:t>0,6</w:t>
      </w:r>
      <w:r w:rsidR="004B6362">
        <w:rPr>
          <w:rFonts w:ascii="Times New Roman" w:eastAsia="Times New Roman" w:hAnsi="Times New Roman" w:cs="Times New Roman"/>
          <w:sz w:val="24"/>
          <w:szCs w:val="24"/>
          <w:lang w:eastAsia="x-none"/>
        </w:rPr>
        <w:t xml:space="preserve"> </w:t>
      </w:r>
      <w:r w:rsidRPr="00D91646">
        <w:rPr>
          <w:rFonts w:ascii="Times New Roman" w:eastAsia="Times New Roman" w:hAnsi="Times New Roman" w:cs="Times New Roman"/>
          <w:sz w:val="24"/>
          <w:szCs w:val="24"/>
          <w:lang w:val="x-none" w:eastAsia="x-none"/>
        </w:rPr>
        <w:t xml:space="preserve">procentpunktiem, bet patēriņa un kapitāla nodokļu ieņēmumi no IKP </w:t>
      </w:r>
      <w:r w:rsidRPr="00D91646">
        <w:rPr>
          <w:rFonts w:ascii="Times New Roman" w:eastAsia="Times New Roman" w:hAnsi="Times New Roman" w:cs="Times New Roman"/>
          <w:sz w:val="24"/>
          <w:szCs w:val="24"/>
          <w:lang w:eastAsia="x-none"/>
        </w:rPr>
        <w:t>palielināsies par 0,1</w:t>
      </w:r>
      <w:r w:rsidR="004B6362">
        <w:rPr>
          <w:rFonts w:ascii="Times New Roman" w:eastAsia="Times New Roman" w:hAnsi="Times New Roman" w:cs="Times New Roman"/>
          <w:sz w:val="24"/>
          <w:szCs w:val="24"/>
          <w:lang w:eastAsia="x-none"/>
        </w:rPr>
        <w:t xml:space="preserve"> </w:t>
      </w:r>
      <w:r w:rsidRPr="00D91646">
        <w:rPr>
          <w:rFonts w:ascii="Times New Roman" w:eastAsia="Times New Roman" w:hAnsi="Times New Roman" w:cs="Times New Roman"/>
          <w:sz w:val="24"/>
          <w:szCs w:val="24"/>
          <w:lang w:eastAsia="x-none"/>
        </w:rPr>
        <w:t>procentpunktu</w:t>
      </w:r>
      <w:r w:rsidRPr="00D91646">
        <w:rPr>
          <w:rFonts w:ascii="Times New Roman" w:eastAsia="Times New Roman" w:hAnsi="Times New Roman" w:cs="Times New Roman"/>
          <w:sz w:val="24"/>
          <w:szCs w:val="24"/>
          <w:lang w:val="x-none" w:eastAsia="x-none"/>
        </w:rPr>
        <w:t>.</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4"/>
          <w:lang w:val="x-none" w:eastAsia="x-none"/>
        </w:rPr>
      </w:pPr>
    </w:p>
    <w:p w:rsidR="00D91646" w:rsidRPr="00D91646" w:rsidRDefault="00D91646" w:rsidP="00D91646">
      <w:pPr>
        <w:spacing w:after="0" w:line="240" w:lineRule="auto"/>
        <w:jc w:val="center"/>
        <w:rPr>
          <w:rFonts w:ascii="Times New Roman" w:eastAsia="Calibri" w:hAnsi="Times New Roman" w:cs="Times New Roman"/>
          <w:sz w:val="24"/>
        </w:rPr>
      </w:pPr>
      <w:r w:rsidRPr="00D91646">
        <w:rPr>
          <w:rFonts w:ascii="Times New Roman" w:eastAsia="Calibri" w:hAnsi="Times New Roman" w:cs="Times New Roman"/>
          <w:noProof/>
          <w:sz w:val="24"/>
          <w:lang w:eastAsia="lv-LV"/>
        </w:rPr>
        <w:drawing>
          <wp:inline distT="0" distB="0" distL="0" distR="0" wp14:anchorId="57BDABC2" wp14:editId="6CDCC046">
            <wp:extent cx="4770120" cy="2594344"/>
            <wp:effectExtent l="0" t="0" r="1143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1646" w:rsidRPr="00D91646" w:rsidRDefault="001D07D9" w:rsidP="00D91646">
      <w:pPr>
        <w:spacing w:before="60" w:after="120" w:line="240" w:lineRule="auto"/>
        <w:ind w:firstLine="567"/>
        <w:jc w:val="center"/>
        <w:rPr>
          <w:rFonts w:ascii="Times New Roman" w:eastAsia="Times New Roman" w:hAnsi="Times New Roman" w:cs="Times New Roman"/>
          <w:sz w:val="24"/>
          <w:szCs w:val="20"/>
        </w:rPr>
      </w:pPr>
      <w:r w:rsidRPr="001D07D9">
        <w:rPr>
          <w:rFonts w:ascii="Times New Roman" w:eastAsia="Times New Roman" w:hAnsi="Times New Roman" w:cs="Times New Roman"/>
          <w:b/>
          <w:sz w:val="24"/>
          <w:szCs w:val="24"/>
        </w:rPr>
        <w:t>5.</w:t>
      </w:r>
      <w:r w:rsidR="000774C9">
        <w:rPr>
          <w:rFonts w:ascii="Times New Roman" w:eastAsia="Times New Roman" w:hAnsi="Times New Roman" w:cs="Times New Roman"/>
          <w:b/>
          <w:sz w:val="24"/>
          <w:szCs w:val="24"/>
        </w:rPr>
        <w:t>2</w:t>
      </w:r>
      <w:r w:rsidR="00D91646" w:rsidRPr="001D07D9">
        <w:rPr>
          <w:rFonts w:ascii="Times New Roman" w:eastAsia="Times New Roman" w:hAnsi="Times New Roman" w:cs="Times New Roman"/>
          <w:b/>
          <w:sz w:val="24"/>
          <w:szCs w:val="24"/>
        </w:rPr>
        <w:t>.</w:t>
      </w:r>
      <w:r w:rsidR="00D91646" w:rsidRPr="00D91646">
        <w:rPr>
          <w:rFonts w:ascii="Times New Roman" w:eastAsia="Times New Roman" w:hAnsi="Times New Roman" w:cs="Times New Roman"/>
          <w:b/>
          <w:sz w:val="24"/>
          <w:szCs w:val="24"/>
        </w:rPr>
        <w:t>attēls. Nodokļu ieņēmumi atbilstoši ekonomiskajām funkcijām, % no IKP</w:t>
      </w:r>
    </w:p>
    <w:p w:rsidR="00D91646" w:rsidRDefault="00D91646" w:rsidP="00DC41EC">
      <w:pPr>
        <w:spacing w:after="0" w:line="240" w:lineRule="auto"/>
        <w:ind w:firstLine="709"/>
        <w:jc w:val="both"/>
        <w:rPr>
          <w:rFonts w:ascii="Times New Roman" w:eastAsia="Calibri" w:hAnsi="Times New Roman" w:cs="Times New Roman"/>
          <w:sz w:val="24"/>
        </w:rPr>
      </w:pPr>
      <w:r w:rsidRPr="00D91646">
        <w:rPr>
          <w:rFonts w:ascii="Times New Roman" w:eastAsia="Calibri" w:hAnsi="Times New Roman" w:cs="Times New Roman"/>
          <w:sz w:val="24"/>
        </w:rPr>
        <w:t xml:space="preserve">Lai uzsvērtu </w:t>
      </w:r>
      <w:r w:rsidRPr="00D91646">
        <w:rPr>
          <w:rFonts w:ascii="Times New Roman" w:eastAsia="Calibri" w:hAnsi="Times New Roman" w:cs="Times New Roman"/>
          <w:i/>
          <w:sz w:val="24"/>
        </w:rPr>
        <w:t>Nodokļu reformas</w:t>
      </w:r>
      <w:r w:rsidRPr="00D91646">
        <w:rPr>
          <w:rFonts w:ascii="Times New Roman" w:eastAsia="Calibri" w:hAnsi="Times New Roman" w:cs="Times New Roman"/>
          <w:sz w:val="24"/>
        </w:rPr>
        <w:t xml:space="preserve"> ietvaros pieņemto politikas izmaiņu nozīmīgumu, šī ziņojuma sadaļā tie tiek nodalīti no turpmākajā periodā pieņemtajiem lēmumiem. Taču arī tie tiek sadalīti divos blokos – 1) starpposmā starp </w:t>
      </w:r>
      <w:r w:rsidRPr="00D91646">
        <w:rPr>
          <w:rFonts w:ascii="Times New Roman" w:eastAsia="Calibri" w:hAnsi="Times New Roman" w:cs="Times New Roman"/>
          <w:i/>
          <w:sz w:val="24"/>
        </w:rPr>
        <w:t>Nodokļu reformu</w:t>
      </w:r>
      <w:r w:rsidRPr="00D91646">
        <w:rPr>
          <w:rFonts w:ascii="Times New Roman" w:eastAsia="Calibri" w:hAnsi="Times New Roman" w:cs="Times New Roman"/>
          <w:sz w:val="24"/>
        </w:rPr>
        <w:t xml:space="preserve"> un 2019.gada budžetu pielemtie pasākumi un 2) 2019.gada budžeta pakā virzītie pasākumi.</w:t>
      </w:r>
    </w:p>
    <w:p w:rsidR="00D91646" w:rsidRPr="00D91646" w:rsidRDefault="00D91646" w:rsidP="000774C9">
      <w:pPr>
        <w:pStyle w:val="Heading3"/>
        <w:numPr>
          <w:ilvl w:val="2"/>
          <w:numId w:val="32"/>
        </w:numPr>
        <w:ind w:left="1418"/>
        <w:jc w:val="both"/>
        <w:rPr>
          <w:rFonts w:ascii="Times New Roman" w:eastAsia="Times New Roman" w:hAnsi="Times New Roman" w:cs="Times New Roman"/>
          <w:sz w:val="24"/>
          <w:szCs w:val="24"/>
        </w:rPr>
      </w:pPr>
      <w:bookmarkStart w:id="72" w:name="_Toc5627382"/>
      <w:bookmarkStart w:id="73" w:name="_Toc5798637"/>
      <w:r w:rsidRPr="00D91646">
        <w:rPr>
          <w:rFonts w:ascii="Times New Roman" w:eastAsia="Times New Roman" w:hAnsi="Times New Roman" w:cs="Times New Roman"/>
          <w:sz w:val="24"/>
          <w:szCs w:val="24"/>
        </w:rPr>
        <w:lastRenderedPageBreak/>
        <w:t>Nodokļu reformas pasākumi</w:t>
      </w:r>
      <w:bookmarkEnd w:id="72"/>
      <w:bookmarkEnd w:id="73"/>
    </w:p>
    <w:p w:rsidR="001D07D9" w:rsidRPr="001D07D9" w:rsidRDefault="001D07D9" w:rsidP="00D91646">
      <w:pPr>
        <w:spacing w:after="0" w:line="240" w:lineRule="auto"/>
        <w:ind w:firstLine="567"/>
        <w:jc w:val="right"/>
        <w:rPr>
          <w:rFonts w:ascii="Times New Roman" w:eastAsia="Times New Roman" w:hAnsi="Times New Roman" w:cs="Times New Roman"/>
          <w:b/>
          <w:sz w:val="16"/>
          <w:szCs w:val="16"/>
        </w:rPr>
      </w:pPr>
    </w:p>
    <w:p w:rsidR="00D91646" w:rsidRPr="00D91646" w:rsidRDefault="001D07D9" w:rsidP="00D91646">
      <w:pPr>
        <w:spacing w:after="0" w:line="240" w:lineRule="auto"/>
        <w:ind w:firstLine="567"/>
        <w:jc w:val="right"/>
        <w:rPr>
          <w:rFonts w:ascii="Times New Roman" w:eastAsia="Calibri" w:hAnsi="Times New Roman" w:cs="Times New Roman"/>
          <w:sz w:val="24"/>
        </w:rPr>
      </w:pPr>
      <w:r w:rsidRPr="001D07D9">
        <w:rPr>
          <w:rFonts w:ascii="Times New Roman" w:eastAsia="Times New Roman" w:hAnsi="Times New Roman" w:cs="Times New Roman"/>
          <w:b/>
          <w:sz w:val="24"/>
          <w:szCs w:val="20"/>
        </w:rPr>
        <w:t>5.2</w:t>
      </w:r>
      <w:r w:rsidR="00D91646" w:rsidRPr="001D07D9">
        <w:rPr>
          <w:rFonts w:ascii="Times New Roman" w:eastAsia="Times New Roman" w:hAnsi="Times New Roman" w:cs="Times New Roman"/>
          <w:b/>
          <w:sz w:val="24"/>
          <w:szCs w:val="20"/>
        </w:rPr>
        <w:t>.</w:t>
      </w:r>
      <w:r w:rsidR="00D91646" w:rsidRPr="00D91646">
        <w:rPr>
          <w:rFonts w:ascii="Times New Roman" w:eastAsia="Times New Roman" w:hAnsi="Times New Roman" w:cs="Times New Roman"/>
          <w:b/>
          <w:sz w:val="24"/>
          <w:szCs w:val="20"/>
        </w:rPr>
        <w:t>tabula. Nodokļu politikas izmaiņu ietekme</w:t>
      </w:r>
      <w:r w:rsidR="00D91646" w:rsidRPr="00D91646">
        <w:rPr>
          <w:rFonts w:ascii="Times New Roman" w:eastAsia="Calibri" w:hAnsi="Times New Roman" w:cs="Times New Roman"/>
          <w:b/>
          <w:sz w:val="24"/>
        </w:rPr>
        <w:t xml:space="preserve"> no nodokļu reformas pasākumiem, milj. </w:t>
      </w:r>
      <w:proofErr w:type="spellStart"/>
      <w:r w:rsidR="00D91646" w:rsidRPr="00D91646">
        <w:rPr>
          <w:rFonts w:ascii="Times New Roman" w:eastAsia="Calibri" w:hAnsi="Times New Roman" w:cs="Times New Roman"/>
          <w:b/>
          <w:i/>
          <w:sz w:val="24"/>
        </w:rPr>
        <w:t>euro</w:t>
      </w:r>
      <w:proofErr w:type="spellEnd"/>
    </w:p>
    <w:tbl>
      <w:tblPr>
        <w:tblStyle w:val="GridTable6Colorful-Accent16"/>
        <w:tblW w:w="9070" w:type="dxa"/>
        <w:jc w:val="center"/>
        <w:tblLook w:val="04A0" w:firstRow="1" w:lastRow="0" w:firstColumn="1" w:lastColumn="0" w:noHBand="0" w:noVBand="1"/>
      </w:tblPr>
      <w:tblGrid>
        <w:gridCol w:w="5272"/>
        <w:gridCol w:w="822"/>
        <w:gridCol w:w="779"/>
        <w:gridCol w:w="875"/>
        <w:gridCol w:w="616"/>
        <w:gridCol w:w="706"/>
      </w:tblGrid>
      <w:tr w:rsidR="00D91646" w:rsidRPr="00D91646" w:rsidTr="004B6362">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D91646">
            <w:pPr>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 </w:t>
            </w:r>
          </w:p>
        </w:tc>
        <w:tc>
          <w:tcPr>
            <w:tcW w:w="822" w:type="dxa"/>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2018</w:t>
            </w:r>
          </w:p>
        </w:tc>
        <w:tc>
          <w:tcPr>
            <w:tcW w:w="779" w:type="dxa"/>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2019</w:t>
            </w:r>
          </w:p>
        </w:tc>
        <w:tc>
          <w:tcPr>
            <w:tcW w:w="875" w:type="dxa"/>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2020</w:t>
            </w:r>
          </w:p>
        </w:tc>
        <w:tc>
          <w:tcPr>
            <w:tcW w:w="616" w:type="dxa"/>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2021</w:t>
            </w:r>
          </w:p>
        </w:tc>
        <w:tc>
          <w:tcPr>
            <w:tcW w:w="706" w:type="dxa"/>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2022</w:t>
            </w: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Nodokļu atbalsta pasākums</w:t>
            </w:r>
            <w:r w:rsidR="009023BA" w:rsidRPr="009023BA">
              <w:rPr>
                <w:rFonts w:ascii="Times New Roman" w:eastAsia="Times New Roman" w:hAnsi="Times New Roman" w:cs="Times New Roman"/>
                <w:color w:val="000000" w:themeColor="text1"/>
                <w:sz w:val="20"/>
                <w:szCs w:val="20"/>
                <w:lang w:eastAsia="lv-LV"/>
              </w:rPr>
              <w:t xml:space="preserve"> – </w:t>
            </w:r>
            <w:r w:rsidRPr="00D91646">
              <w:rPr>
                <w:rFonts w:ascii="Times New Roman" w:eastAsia="Times New Roman" w:hAnsi="Times New Roman" w:cs="Times New Roman"/>
                <w:color w:val="000000" w:themeColor="text1"/>
                <w:sz w:val="20"/>
                <w:szCs w:val="20"/>
                <w:lang w:eastAsia="lv-LV"/>
              </w:rPr>
              <w:t>iespēja laikā līdz 2 gadiem nomaksāt parādu, rezultātā dzēšot nokavējuma naudu un soda naudu*</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28,0</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-12,1</w:t>
            </w: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-16,0</w:t>
            </w:r>
          </w:p>
        </w:tc>
        <w:tc>
          <w:tcPr>
            <w:tcW w:w="616"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113"/>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Ēnu ekonomiku mazinošie pasākumi</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26,8</w:t>
            </w:r>
          </w:p>
        </w:tc>
        <w:tc>
          <w:tcPr>
            <w:tcW w:w="779" w:type="dxa"/>
            <w:vAlign w:val="center"/>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3,0</w:t>
            </w:r>
          </w:p>
        </w:tc>
        <w:tc>
          <w:tcPr>
            <w:tcW w:w="875" w:type="dxa"/>
            <w:vAlign w:val="center"/>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0,4</w:t>
            </w:r>
          </w:p>
        </w:tc>
        <w:tc>
          <w:tcPr>
            <w:tcW w:w="616" w:type="dxa"/>
            <w:vAlign w:val="center"/>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Solidaritātes nodokļa reforma*</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-19,9</w:t>
            </w:r>
          </w:p>
        </w:tc>
        <w:tc>
          <w:tcPr>
            <w:tcW w:w="779"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0,0</w:t>
            </w: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279"/>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VSAOI likmes palielināšana par 1%</w:t>
            </w:r>
            <w:r w:rsidR="00382870">
              <w:rPr>
                <w:rFonts w:ascii="Times New Roman" w:eastAsia="Times New Roman" w:hAnsi="Times New Roman" w:cs="Times New Roman"/>
                <w:color w:val="000000" w:themeColor="text1"/>
                <w:sz w:val="20"/>
                <w:szCs w:val="20"/>
                <w:lang w:eastAsia="lv-LV"/>
              </w:rPr>
              <w:t xml:space="preserve"> </w:t>
            </w:r>
            <w:r w:rsidRPr="00D91646">
              <w:rPr>
                <w:rFonts w:ascii="Times New Roman" w:eastAsia="Times New Roman" w:hAnsi="Times New Roman" w:cs="Times New Roman"/>
                <w:color w:val="000000" w:themeColor="text1"/>
                <w:sz w:val="20"/>
                <w:szCs w:val="20"/>
                <w:lang w:eastAsia="lv-LV"/>
              </w:rPr>
              <w:t>punktu veselības finansēšanai*</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85,6</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Diferencētā NM paaugstināšana, NM paaugstināšana pensionāriem, AAP paaugstināšana</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-79,0</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-56,6</w:t>
            </w: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-44,2</w:t>
            </w: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153"/>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Progresīvās IIN likmes ieviešana</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-137,5</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Pārejas periods dividenžu izmaksai no iepriekšējo gadu nesadalītās peļņas IIN 10% apmērā*</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74,4</w:t>
            </w: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-74,4</w:t>
            </w: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139"/>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Izmaiņas IIN dividenžu politikā*</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4,2</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-80,3</w:t>
            </w: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 xml:space="preserve">Minimālās darba algas paaugstināšana līdz 430 </w:t>
            </w:r>
            <w:proofErr w:type="spellStart"/>
            <w:r w:rsidRPr="00D91646">
              <w:rPr>
                <w:rFonts w:ascii="Times New Roman" w:eastAsia="Times New Roman" w:hAnsi="Times New Roman" w:cs="Times New Roman"/>
                <w:i/>
                <w:color w:val="000000" w:themeColor="text1"/>
                <w:sz w:val="20"/>
                <w:szCs w:val="20"/>
                <w:lang w:eastAsia="lv-LV"/>
              </w:rPr>
              <w:t>euro</w:t>
            </w:r>
            <w:proofErr w:type="spellEnd"/>
            <w:r w:rsidRPr="00D91646">
              <w:rPr>
                <w:rFonts w:ascii="Times New Roman" w:eastAsia="Times New Roman" w:hAnsi="Times New Roman" w:cs="Times New Roman"/>
                <w:color w:val="000000" w:themeColor="text1"/>
                <w:sz w:val="20"/>
                <w:szCs w:val="20"/>
                <w:lang w:eastAsia="lv-LV"/>
              </w:rPr>
              <w:t xml:space="preserve"> mēnesī</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28,8</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154"/>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IIN kapitālam noteikšana 20% apmērā</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11,3</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Patentmaksas režīma uzlabošana, nosakot vienotu patentmaksas apmēru</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1,0</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448"/>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Summas, kas nepārsniedz 80% no saimnieciskās darbības ieņēmumiem, iekļaušana saimnieciskās darbības izdevumos</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19,9</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IIN piemērošana izložu vai azartspēļu laimestiem, kas pārsniedz 3</w:t>
            </w:r>
            <w:r w:rsidR="004B6362">
              <w:rPr>
                <w:rFonts w:ascii="Times New Roman" w:eastAsia="Times New Roman" w:hAnsi="Times New Roman" w:cs="Times New Roman"/>
                <w:color w:val="000000" w:themeColor="text1"/>
                <w:sz w:val="20"/>
                <w:szCs w:val="20"/>
                <w:lang w:eastAsia="lv-LV"/>
              </w:rPr>
              <w:t> </w:t>
            </w:r>
            <w:r w:rsidRPr="00D91646">
              <w:rPr>
                <w:rFonts w:ascii="Times New Roman" w:eastAsia="Times New Roman" w:hAnsi="Times New Roman" w:cs="Times New Roman"/>
                <w:color w:val="000000" w:themeColor="text1"/>
                <w:sz w:val="20"/>
                <w:szCs w:val="20"/>
                <w:lang w:eastAsia="lv-LV"/>
              </w:rPr>
              <w:t xml:space="preserve">000 </w:t>
            </w:r>
            <w:proofErr w:type="spellStart"/>
            <w:r w:rsidRPr="00D91646">
              <w:rPr>
                <w:rFonts w:ascii="Times New Roman" w:eastAsia="Times New Roman" w:hAnsi="Times New Roman" w:cs="Times New Roman"/>
                <w:i/>
                <w:color w:val="000000" w:themeColor="text1"/>
                <w:sz w:val="20"/>
                <w:szCs w:val="20"/>
                <w:lang w:eastAsia="lv-LV"/>
              </w:rPr>
              <w:t>euro</w:t>
            </w:r>
            <w:proofErr w:type="spellEnd"/>
            <w:r w:rsidRPr="00D91646">
              <w:rPr>
                <w:rFonts w:ascii="Times New Roman" w:eastAsia="Times New Roman" w:hAnsi="Times New Roman" w:cs="Times New Roman"/>
                <w:color w:val="000000" w:themeColor="text1"/>
                <w:sz w:val="20"/>
                <w:szCs w:val="20"/>
                <w:lang w:eastAsia="lv-LV"/>
              </w:rPr>
              <w:t xml:space="preserve"> (izņēmums </w:t>
            </w:r>
            <w:r w:rsidR="001D07D9" w:rsidRPr="009B0F5F">
              <w:rPr>
                <w:rFonts w:ascii="Times New Roman" w:eastAsia="Times New Roman" w:hAnsi="Times New Roman" w:cs="Times New Roman"/>
                <w:noProof/>
                <w:color w:val="000000"/>
                <w:sz w:val="24"/>
                <w:szCs w:val="24"/>
              </w:rPr>
              <w:t xml:space="preserve"> – </w:t>
            </w:r>
            <w:r w:rsidRPr="00D91646">
              <w:rPr>
                <w:rFonts w:ascii="Times New Roman" w:eastAsia="Times New Roman" w:hAnsi="Times New Roman" w:cs="Times New Roman"/>
                <w:color w:val="000000" w:themeColor="text1"/>
                <w:sz w:val="20"/>
                <w:szCs w:val="20"/>
                <w:lang w:eastAsia="lv-LV"/>
              </w:rPr>
              <w:t xml:space="preserve"> 100</w:t>
            </w:r>
            <w:r w:rsidR="00382870">
              <w:rPr>
                <w:rFonts w:ascii="Times New Roman" w:eastAsia="Times New Roman" w:hAnsi="Times New Roman" w:cs="Times New Roman"/>
                <w:color w:val="000000" w:themeColor="text1"/>
                <w:sz w:val="20"/>
                <w:szCs w:val="20"/>
                <w:lang w:eastAsia="lv-LV"/>
              </w:rPr>
              <w:t xml:space="preserve"> </w:t>
            </w:r>
            <w:proofErr w:type="spellStart"/>
            <w:r w:rsidRPr="00D91646">
              <w:rPr>
                <w:rFonts w:ascii="Times New Roman" w:eastAsia="Times New Roman" w:hAnsi="Times New Roman" w:cs="Times New Roman"/>
                <w:color w:val="000000" w:themeColor="text1"/>
                <w:sz w:val="20"/>
                <w:szCs w:val="20"/>
                <w:lang w:eastAsia="lv-LV"/>
              </w:rPr>
              <w:t>gades</w:t>
            </w:r>
            <w:proofErr w:type="spellEnd"/>
            <w:r w:rsidRPr="00D91646">
              <w:rPr>
                <w:rFonts w:ascii="Times New Roman" w:eastAsia="Times New Roman" w:hAnsi="Times New Roman" w:cs="Times New Roman"/>
                <w:color w:val="000000" w:themeColor="text1"/>
                <w:sz w:val="20"/>
                <w:szCs w:val="20"/>
                <w:lang w:eastAsia="lv-LV"/>
              </w:rPr>
              <w:t xml:space="preserve"> loterija)*</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2,0</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330"/>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Ierobežot MU darbības slieksni līdz 40</w:t>
            </w:r>
            <w:r w:rsidR="004B6362">
              <w:rPr>
                <w:rFonts w:ascii="Times New Roman" w:eastAsia="Times New Roman" w:hAnsi="Times New Roman" w:cs="Times New Roman"/>
                <w:color w:val="000000" w:themeColor="text1"/>
                <w:sz w:val="20"/>
                <w:szCs w:val="20"/>
                <w:lang w:eastAsia="lv-LV"/>
              </w:rPr>
              <w:t> </w:t>
            </w:r>
            <w:r w:rsidRPr="00D91646">
              <w:rPr>
                <w:rFonts w:ascii="Times New Roman" w:eastAsia="Times New Roman" w:hAnsi="Times New Roman" w:cs="Times New Roman"/>
                <w:color w:val="000000" w:themeColor="text1"/>
                <w:sz w:val="20"/>
                <w:szCs w:val="20"/>
                <w:lang w:eastAsia="lv-LV"/>
              </w:rPr>
              <w:t xml:space="preserve">000 </w:t>
            </w:r>
            <w:proofErr w:type="spellStart"/>
            <w:r w:rsidRPr="00D91646">
              <w:rPr>
                <w:rFonts w:ascii="Times New Roman" w:eastAsia="Times New Roman" w:hAnsi="Times New Roman" w:cs="Times New Roman"/>
                <w:i/>
                <w:color w:val="000000" w:themeColor="text1"/>
                <w:sz w:val="20"/>
                <w:szCs w:val="20"/>
                <w:lang w:eastAsia="lv-LV"/>
              </w:rPr>
              <w:t>euro</w:t>
            </w:r>
            <w:proofErr w:type="spellEnd"/>
            <w:r w:rsidRPr="00D91646">
              <w:rPr>
                <w:rFonts w:ascii="Times New Roman" w:eastAsia="Times New Roman" w:hAnsi="Times New Roman" w:cs="Times New Roman"/>
                <w:i/>
                <w:color w:val="000000" w:themeColor="text1"/>
                <w:sz w:val="20"/>
                <w:szCs w:val="20"/>
                <w:lang w:eastAsia="lv-LV"/>
              </w:rPr>
              <w:t xml:space="preserve"> </w:t>
            </w:r>
            <w:r w:rsidRPr="00D91646">
              <w:rPr>
                <w:rFonts w:ascii="Times New Roman" w:eastAsia="Times New Roman" w:hAnsi="Times New Roman" w:cs="Times New Roman"/>
                <w:color w:val="000000" w:themeColor="text1"/>
                <w:sz w:val="20"/>
                <w:szCs w:val="20"/>
                <w:lang w:eastAsia="lv-LV"/>
              </w:rPr>
              <w:t>gadā</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4,2</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 xml:space="preserve">Attaisnoto izdevumu ierobežošana </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9,4</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115"/>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UIN reforma (</w:t>
            </w:r>
            <w:proofErr w:type="spellStart"/>
            <w:r w:rsidRPr="00D91646">
              <w:rPr>
                <w:rFonts w:ascii="Times New Roman" w:eastAsia="Times New Roman" w:hAnsi="Times New Roman" w:cs="Times New Roman"/>
                <w:color w:val="000000" w:themeColor="text1"/>
                <w:sz w:val="20"/>
                <w:szCs w:val="20"/>
                <w:lang w:eastAsia="lv-LV"/>
              </w:rPr>
              <w:t>reinvestētā</w:t>
            </w:r>
            <w:proofErr w:type="spellEnd"/>
            <w:r w:rsidRPr="00D91646">
              <w:rPr>
                <w:rFonts w:ascii="Times New Roman" w:eastAsia="Times New Roman" w:hAnsi="Times New Roman" w:cs="Times New Roman"/>
                <w:color w:val="000000" w:themeColor="text1"/>
                <w:sz w:val="20"/>
                <w:szCs w:val="20"/>
                <w:lang w:eastAsia="lv-LV"/>
              </w:rPr>
              <w:t xml:space="preserve"> peļņa)*</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-235,1</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114,4</w:t>
            </w: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UIN avansa maksājumi 2018.gada 1.pusgadā*</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113,5</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-113,5</w:t>
            </w: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433"/>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Azartspēļu nodokļa palielināšana par 30% spēļu galdiem un automātiem ar 01.01.2018.</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9,0</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VSAOI piemērošana autoratlīdzībām</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2,2</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471"/>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PVN reversa paplašināšana, ieviešot būvmateriālu, metālu un sadzīves tehnikas piegādēm*</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30,9</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-21,1</w:t>
            </w: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2870">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PVN reģistrācijas sliekšņa samazināšana no 50</w:t>
            </w:r>
            <w:r w:rsidR="00382870">
              <w:rPr>
                <w:rFonts w:ascii="Times New Roman" w:eastAsia="Times New Roman" w:hAnsi="Times New Roman" w:cs="Times New Roman"/>
                <w:color w:val="000000" w:themeColor="text1"/>
                <w:sz w:val="20"/>
                <w:szCs w:val="20"/>
                <w:lang w:eastAsia="lv-LV"/>
              </w:rPr>
              <w:t> </w:t>
            </w:r>
            <w:r w:rsidRPr="00D91646">
              <w:rPr>
                <w:rFonts w:ascii="Times New Roman" w:eastAsia="Times New Roman" w:hAnsi="Times New Roman" w:cs="Times New Roman"/>
                <w:color w:val="000000" w:themeColor="text1"/>
                <w:sz w:val="20"/>
                <w:szCs w:val="20"/>
                <w:lang w:eastAsia="lv-LV"/>
              </w:rPr>
              <w:t>000</w:t>
            </w:r>
            <w:r w:rsidR="00382870">
              <w:rPr>
                <w:rFonts w:ascii="Times New Roman" w:eastAsia="Times New Roman" w:hAnsi="Times New Roman" w:cs="Times New Roman"/>
                <w:color w:val="000000" w:themeColor="text1"/>
                <w:sz w:val="20"/>
                <w:szCs w:val="20"/>
                <w:lang w:eastAsia="lv-LV"/>
              </w:rPr>
              <w:t xml:space="preserve"> </w:t>
            </w:r>
            <w:proofErr w:type="spellStart"/>
            <w:r w:rsidRPr="00D91646">
              <w:rPr>
                <w:rFonts w:ascii="Times New Roman" w:eastAsia="Times New Roman" w:hAnsi="Times New Roman" w:cs="Times New Roman"/>
                <w:i/>
                <w:color w:val="000000" w:themeColor="text1"/>
                <w:sz w:val="20"/>
                <w:szCs w:val="20"/>
                <w:lang w:eastAsia="lv-LV"/>
              </w:rPr>
              <w:t>euro</w:t>
            </w:r>
            <w:proofErr w:type="spellEnd"/>
            <w:r w:rsidRPr="00D91646">
              <w:rPr>
                <w:rFonts w:ascii="Times New Roman" w:eastAsia="Times New Roman" w:hAnsi="Times New Roman" w:cs="Times New Roman"/>
                <w:color w:val="000000" w:themeColor="text1"/>
                <w:sz w:val="20"/>
                <w:szCs w:val="20"/>
                <w:lang w:eastAsia="lv-LV"/>
              </w:rPr>
              <w:t xml:space="preserve"> līdz 40</w:t>
            </w:r>
            <w:r w:rsidR="00382870">
              <w:rPr>
                <w:rFonts w:ascii="Times New Roman" w:eastAsia="Times New Roman" w:hAnsi="Times New Roman" w:cs="Times New Roman"/>
                <w:color w:val="000000" w:themeColor="text1"/>
                <w:sz w:val="20"/>
                <w:szCs w:val="20"/>
                <w:lang w:eastAsia="lv-LV"/>
              </w:rPr>
              <w:t> </w:t>
            </w:r>
            <w:r w:rsidRPr="00D91646">
              <w:rPr>
                <w:rFonts w:ascii="Times New Roman" w:eastAsia="Times New Roman" w:hAnsi="Times New Roman" w:cs="Times New Roman"/>
                <w:color w:val="000000" w:themeColor="text1"/>
                <w:sz w:val="20"/>
                <w:szCs w:val="20"/>
                <w:lang w:eastAsia="lv-LV"/>
              </w:rPr>
              <w:t>000</w:t>
            </w:r>
            <w:r w:rsidR="00382870">
              <w:rPr>
                <w:rFonts w:ascii="Times New Roman" w:eastAsia="Times New Roman" w:hAnsi="Times New Roman" w:cs="Times New Roman"/>
                <w:color w:val="000000" w:themeColor="text1"/>
                <w:sz w:val="20"/>
                <w:szCs w:val="20"/>
                <w:lang w:eastAsia="lv-LV"/>
              </w:rPr>
              <w:t xml:space="preserve"> </w:t>
            </w:r>
            <w:proofErr w:type="spellStart"/>
            <w:r w:rsidRPr="00D91646">
              <w:rPr>
                <w:rFonts w:ascii="Times New Roman" w:eastAsia="Times New Roman" w:hAnsi="Times New Roman" w:cs="Times New Roman"/>
                <w:i/>
                <w:color w:val="000000" w:themeColor="text1"/>
                <w:sz w:val="20"/>
                <w:szCs w:val="20"/>
                <w:lang w:eastAsia="lv-LV"/>
              </w:rPr>
              <w:t>euro</w:t>
            </w:r>
            <w:proofErr w:type="spellEnd"/>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5,9</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525"/>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PVN darījumu atšifrēšanas sliekšņa samazināšana PVN deklarācijās no 1430</w:t>
            </w:r>
            <w:r w:rsidR="00387656">
              <w:rPr>
                <w:rFonts w:ascii="Times New Roman" w:eastAsia="Times New Roman" w:hAnsi="Times New Roman" w:cs="Times New Roman"/>
                <w:color w:val="000000" w:themeColor="text1"/>
                <w:sz w:val="20"/>
                <w:szCs w:val="20"/>
                <w:lang w:eastAsia="lv-LV"/>
              </w:rPr>
              <w:t xml:space="preserve"> </w:t>
            </w:r>
            <w:proofErr w:type="spellStart"/>
            <w:r w:rsidRPr="00D91646">
              <w:rPr>
                <w:rFonts w:ascii="Times New Roman" w:eastAsia="Times New Roman" w:hAnsi="Times New Roman" w:cs="Times New Roman"/>
                <w:i/>
                <w:color w:val="000000" w:themeColor="text1"/>
                <w:sz w:val="20"/>
                <w:szCs w:val="20"/>
                <w:lang w:eastAsia="lv-LV"/>
              </w:rPr>
              <w:t>euro</w:t>
            </w:r>
            <w:proofErr w:type="spellEnd"/>
            <w:r w:rsidRPr="00D91646">
              <w:rPr>
                <w:rFonts w:ascii="Times New Roman" w:eastAsia="Times New Roman" w:hAnsi="Times New Roman" w:cs="Times New Roman"/>
                <w:color w:val="000000" w:themeColor="text1"/>
                <w:sz w:val="20"/>
                <w:szCs w:val="20"/>
                <w:lang w:eastAsia="lv-LV"/>
              </w:rPr>
              <w:t xml:space="preserve"> līdz 150</w:t>
            </w:r>
            <w:r w:rsidR="00387656">
              <w:rPr>
                <w:rFonts w:ascii="Times New Roman" w:eastAsia="Times New Roman" w:hAnsi="Times New Roman" w:cs="Times New Roman"/>
                <w:color w:val="000000" w:themeColor="text1"/>
                <w:sz w:val="20"/>
                <w:szCs w:val="20"/>
                <w:lang w:eastAsia="lv-LV"/>
              </w:rPr>
              <w:t xml:space="preserve"> </w:t>
            </w:r>
            <w:proofErr w:type="spellStart"/>
            <w:r w:rsidRPr="00D91646">
              <w:rPr>
                <w:rFonts w:ascii="Times New Roman" w:eastAsia="Times New Roman" w:hAnsi="Times New Roman" w:cs="Times New Roman"/>
                <w:i/>
                <w:color w:val="000000" w:themeColor="text1"/>
                <w:sz w:val="20"/>
                <w:szCs w:val="20"/>
                <w:lang w:eastAsia="lv-LV"/>
              </w:rPr>
              <w:t>euro</w:t>
            </w:r>
            <w:proofErr w:type="spellEnd"/>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38,0</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Akcīzes nodokļa likmju palielināšana alkoholiskajiem dzēr</w:t>
            </w:r>
            <w:r w:rsidR="004B6362">
              <w:rPr>
                <w:rFonts w:ascii="Times New Roman" w:eastAsia="Times New Roman" w:hAnsi="Times New Roman" w:cs="Times New Roman"/>
                <w:color w:val="000000" w:themeColor="text1"/>
                <w:sz w:val="20"/>
                <w:szCs w:val="20"/>
                <w:lang w:eastAsia="lv-LV"/>
              </w:rPr>
              <w:t xml:space="preserve">ieniem un alum ar 01.03.2018., </w:t>
            </w:r>
            <w:r w:rsidRPr="00D91646">
              <w:rPr>
                <w:rFonts w:ascii="Times New Roman" w:eastAsia="Times New Roman" w:hAnsi="Times New Roman" w:cs="Times New Roman"/>
                <w:color w:val="000000" w:themeColor="text1"/>
                <w:sz w:val="20"/>
                <w:szCs w:val="20"/>
                <w:lang w:eastAsia="lv-LV"/>
              </w:rPr>
              <w:t>01.03.2019. un 01.03.2020.*</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33,9</w:t>
            </w: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13,1</w:t>
            </w: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22,9</w:t>
            </w: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3,8</w:t>
            </w: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525"/>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Akcīzes nodokļa likmju palielināšana cigaretēm ar 01.07.2018. un 01.07.2019.*</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5,6</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11,0</w:t>
            </w: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5,4</w:t>
            </w: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 xml:space="preserve">Akcīzes nodokļa likmes palielināšana cigāriem, </w:t>
            </w:r>
            <w:proofErr w:type="spellStart"/>
            <w:r w:rsidRPr="00D91646">
              <w:rPr>
                <w:rFonts w:ascii="Times New Roman" w:eastAsia="Times New Roman" w:hAnsi="Times New Roman" w:cs="Times New Roman"/>
                <w:color w:val="000000" w:themeColor="text1"/>
                <w:sz w:val="20"/>
                <w:szCs w:val="20"/>
                <w:lang w:eastAsia="lv-LV"/>
              </w:rPr>
              <w:t>cigarillām</w:t>
            </w:r>
            <w:proofErr w:type="spellEnd"/>
            <w:r w:rsidRPr="00D91646">
              <w:rPr>
                <w:rFonts w:ascii="Times New Roman" w:eastAsia="Times New Roman" w:hAnsi="Times New Roman" w:cs="Times New Roman"/>
                <w:color w:val="000000" w:themeColor="text1"/>
                <w:sz w:val="20"/>
                <w:szCs w:val="20"/>
                <w:lang w:eastAsia="lv-LV"/>
              </w:rPr>
              <w:t xml:space="preserve"> un smēķējamai tabakai arī 2020.gadā </w:t>
            </w:r>
          </w:p>
        </w:tc>
        <w:tc>
          <w:tcPr>
            <w:tcW w:w="822"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79"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0,7</w:t>
            </w:r>
          </w:p>
        </w:tc>
        <w:tc>
          <w:tcPr>
            <w:tcW w:w="61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trHeight w:val="458"/>
          <w:jc w:val="center"/>
        </w:trPr>
        <w:tc>
          <w:tcPr>
            <w:cnfStyle w:val="001000000000" w:firstRow="0" w:lastRow="0" w:firstColumn="1" w:lastColumn="0" w:oddVBand="0" w:evenVBand="0" w:oddHBand="0" w:evenHBand="0" w:firstRowFirstColumn="0" w:firstRowLastColumn="0" w:lastRowFirstColumn="0" w:lastRowLastColumn="0"/>
            <w:tcW w:w="5272" w:type="dxa"/>
            <w:hideMark/>
          </w:tcPr>
          <w:p w:rsidR="00D91646" w:rsidRPr="00D91646" w:rsidRDefault="00D91646" w:rsidP="00387656">
            <w:pPr>
              <w:jc w:val="both"/>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Akcīzes nodokļa paaugstināšana naftas produktiem, ko izmanto par degvielu, ar 01.01.2018. un ar 01.01.2020.*</w:t>
            </w:r>
          </w:p>
        </w:tc>
        <w:tc>
          <w:tcPr>
            <w:tcW w:w="822"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31,9</w:t>
            </w:r>
          </w:p>
        </w:tc>
        <w:tc>
          <w:tcPr>
            <w:tcW w:w="779"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75"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91646">
              <w:rPr>
                <w:rFonts w:ascii="Times New Roman" w:eastAsia="Times New Roman" w:hAnsi="Times New Roman" w:cs="Times New Roman"/>
                <w:color w:val="000000" w:themeColor="text1"/>
                <w:sz w:val="20"/>
                <w:szCs w:val="20"/>
                <w:lang w:eastAsia="lv-LV"/>
              </w:rPr>
              <w:t>17,1</w:t>
            </w:r>
          </w:p>
        </w:tc>
        <w:tc>
          <w:tcPr>
            <w:tcW w:w="61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6" w:type="dxa"/>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91646" w:rsidRPr="00D91646" w:rsidTr="004B6362">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5272" w:type="dxa"/>
          </w:tcPr>
          <w:p w:rsidR="00D91646" w:rsidRPr="00D91646" w:rsidRDefault="00D91646" w:rsidP="00387656">
            <w:pPr>
              <w:jc w:val="both"/>
              <w:rPr>
                <w:rFonts w:ascii="Times New Roman" w:eastAsia="Times New Roman" w:hAnsi="Times New Roman" w:cs="Times New Roman"/>
                <w:color w:val="000000" w:themeColor="text1"/>
                <w:sz w:val="20"/>
                <w:szCs w:val="20"/>
              </w:rPr>
            </w:pPr>
            <w:r w:rsidRPr="00D91646">
              <w:rPr>
                <w:rFonts w:ascii="Times New Roman" w:eastAsia="Times New Roman" w:hAnsi="Times New Roman" w:cs="Times New Roman"/>
                <w:color w:val="000000" w:themeColor="text1"/>
                <w:sz w:val="20"/>
                <w:szCs w:val="20"/>
              </w:rPr>
              <w:t>Izmaiņu ietekme kopā:</w:t>
            </w:r>
          </w:p>
        </w:tc>
        <w:tc>
          <w:tcPr>
            <w:tcW w:w="822"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91646">
              <w:rPr>
                <w:rFonts w:ascii="Times New Roman" w:eastAsia="Times New Roman" w:hAnsi="Times New Roman" w:cs="Times New Roman"/>
                <w:b/>
                <w:color w:val="000000" w:themeColor="text1"/>
                <w:sz w:val="20"/>
                <w:szCs w:val="20"/>
                <w:lang w:eastAsia="lv-LV"/>
              </w:rPr>
              <w:t>20,6</w:t>
            </w:r>
          </w:p>
        </w:tc>
        <w:tc>
          <w:tcPr>
            <w:tcW w:w="779" w:type="dxa"/>
            <w:vAlign w:val="center"/>
          </w:tcPr>
          <w:p w:rsidR="00D91646" w:rsidRPr="00D91646" w:rsidRDefault="00903220" w:rsidP="009032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Pr>
                <w:rFonts w:ascii="Times New Roman" w:eastAsia="Times New Roman" w:hAnsi="Times New Roman" w:cs="Times New Roman"/>
                <w:b/>
                <w:color w:val="000000" w:themeColor="text1"/>
                <w:sz w:val="20"/>
                <w:szCs w:val="20"/>
                <w:lang w:eastAsia="lv-LV"/>
              </w:rPr>
              <w:t>-46</w:t>
            </w:r>
            <w:r w:rsidR="00D91646" w:rsidRPr="00D91646">
              <w:rPr>
                <w:rFonts w:ascii="Times New Roman" w:eastAsia="Times New Roman" w:hAnsi="Times New Roman" w:cs="Times New Roman"/>
                <w:b/>
                <w:color w:val="000000" w:themeColor="text1"/>
                <w:sz w:val="20"/>
                <w:szCs w:val="20"/>
                <w:lang w:eastAsia="lv-LV"/>
              </w:rPr>
              <w:t>,</w:t>
            </w:r>
            <w:r>
              <w:rPr>
                <w:rFonts w:ascii="Times New Roman" w:eastAsia="Times New Roman" w:hAnsi="Times New Roman" w:cs="Times New Roman"/>
                <w:b/>
                <w:color w:val="000000" w:themeColor="text1"/>
                <w:sz w:val="20"/>
                <w:szCs w:val="20"/>
                <w:lang w:eastAsia="lv-LV"/>
              </w:rPr>
              <w:t>5</w:t>
            </w:r>
          </w:p>
        </w:tc>
        <w:tc>
          <w:tcPr>
            <w:tcW w:w="875"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91646">
              <w:rPr>
                <w:rFonts w:ascii="Times New Roman" w:eastAsia="Times New Roman" w:hAnsi="Times New Roman" w:cs="Times New Roman"/>
                <w:b/>
                <w:color w:val="000000" w:themeColor="text1"/>
                <w:sz w:val="20"/>
                <w:szCs w:val="20"/>
                <w:lang w:eastAsia="lv-LV"/>
              </w:rPr>
              <w:t>-109,2</w:t>
            </w:r>
          </w:p>
        </w:tc>
        <w:tc>
          <w:tcPr>
            <w:tcW w:w="616"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91646">
              <w:rPr>
                <w:rFonts w:ascii="Times New Roman" w:eastAsia="Times New Roman" w:hAnsi="Times New Roman" w:cs="Times New Roman"/>
                <w:b/>
                <w:color w:val="000000" w:themeColor="text1"/>
                <w:sz w:val="20"/>
                <w:szCs w:val="20"/>
                <w:lang w:eastAsia="lv-LV"/>
              </w:rPr>
              <w:t>3,8</w:t>
            </w:r>
          </w:p>
        </w:tc>
        <w:tc>
          <w:tcPr>
            <w:tcW w:w="706"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p>
        </w:tc>
      </w:tr>
    </w:tbl>
    <w:p w:rsidR="00D91646" w:rsidRPr="00D91646" w:rsidRDefault="00D91646" w:rsidP="00D91646">
      <w:pPr>
        <w:spacing w:after="0" w:line="240" w:lineRule="auto"/>
        <w:ind w:firstLine="567"/>
        <w:jc w:val="both"/>
        <w:rPr>
          <w:rFonts w:ascii="Times New Roman" w:eastAsia="Calibri" w:hAnsi="Times New Roman" w:cs="Times New Roman"/>
          <w:i/>
          <w:sz w:val="16"/>
          <w:szCs w:val="16"/>
        </w:rPr>
      </w:pPr>
      <w:r w:rsidRPr="00D91646">
        <w:rPr>
          <w:rFonts w:ascii="Times New Roman" w:eastAsia="Calibri" w:hAnsi="Times New Roman" w:cs="Times New Roman"/>
          <w:i/>
          <w:sz w:val="16"/>
          <w:szCs w:val="16"/>
        </w:rPr>
        <w:t>* pārvērtēta ietekme</w:t>
      </w:r>
    </w:p>
    <w:p w:rsidR="00E43828" w:rsidRDefault="00E43828" w:rsidP="00DC41EC">
      <w:pPr>
        <w:spacing w:after="0" w:line="20" w:lineRule="atLeast"/>
        <w:ind w:firstLine="720"/>
        <w:contextualSpacing/>
        <w:jc w:val="both"/>
        <w:rPr>
          <w:rFonts w:ascii="Times New Roman" w:eastAsia="Times New Roman" w:hAnsi="Times New Roman" w:cs="Times New Roman"/>
          <w:i/>
          <w:color w:val="000000"/>
          <w:sz w:val="24"/>
          <w:szCs w:val="24"/>
        </w:rPr>
      </w:pPr>
    </w:p>
    <w:p w:rsidR="00D91646" w:rsidRPr="00D91646" w:rsidRDefault="00D91646" w:rsidP="00DC41EC">
      <w:pPr>
        <w:spacing w:after="0" w:line="20" w:lineRule="atLeast"/>
        <w:ind w:firstLine="720"/>
        <w:contextualSpacing/>
        <w:jc w:val="both"/>
        <w:rPr>
          <w:rFonts w:ascii="Times New Roman" w:eastAsia="Times New Roman" w:hAnsi="Times New Roman" w:cs="Times New Roman"/>
          <w:sz w:val="24"/>
          <w:szCs w:val="20"/>
        </w:rPr>
      </w:pPr>
      <w:r w:rsidRPr="00D91646">
        <w:rPr>
          <w:rFonts w:ascii="Times New Roman" w:eastAsia="Times New Roman" w:hAnsi="Times New Roman" w:cs="Times New Roman"/>
          <w:i/>
          <w:color w:val="000000"/>
          <w:sz w:val="24"/>
          <w:szCs w:val="24"/>
        </w:rPr>
        <w:t>Nodokļu reformas</w:t>
      </w:r>
      <w:r w:rsidRPr="00D91646">
        <w:rPr>
          <w:rFonts w:ascii="Times New Roman" w:eastAsia="Times New Roman" w:hAnsi="Times New Roman" w:cs="Times New Roman"/>
          <w:color w:val="000000"/>
          <w:sz w:val="24"/>
          <w:szCs w:val="24"/>
        </w:rPr>
        <w:t xml:space="preserve"> ietvaros tika būtiski mainīts UIN režīms</w:t>
      </w:r>
      <w:r w:rsidRPr="00D91646">
        <w:rPr>
          <w:rFonts w:ascii="Times New Roman" w:eastAsia="Calibri" w:hAnsi="Times New Roman" w:cs="Times New Roman"/>
          <w:sz w:val="24"/>
        </w:rPr>
        <w:t xml:space="preserve"> – šobrīd nodoklis netiek maksāts līdz peļņas sadales brīdim.</w:t>
      </w:r>
      <w:r w:rsidRPr="00D91646">
        <w:rPr>
          <w:rFonts w:ascii="Times New Roman" w:eastAsia="Times New Roman" w:hAnsi="Times New Roman" w:cs="Times New Roman"/>
          <w:sz w:val="24"/>
          <w:szCs w:val="20"/>
        </w:rPr>
        <w:t xml:space="preserve"> Tāpat, </w:t>
      </w:r>
      <w:r w:rsidRPr="00D91646">
        <w:rPr>
          <w:rFonts w:ascii="Times New Roman" w:eastAsia="Times New Roman" w:hAnsi="Times New Roman" w:cs="Times New Roman"/>
          <w:iCs/>
          <w:sz w:val="24"/>
          <w:szCs w:val="24"/>
        </w:rPr>
        <w:t xml:space="preserve">lai kompensētu </w:t>
      </w:r>
      <w:r w:rsidRPr="00D91646">
        <w:rPr>
          <w:rFonts w:ascii="Times New Roman" w:eastAsia="Times New Roman" w:hAnsi="Times New Roman" w:cs="Times New Roman"/>
          <w:i/>
          <w:sz w:val="24"/>
          <w:szCs w:val="20"/>
        </w:rPr>
        <w:t>Nodokļu reformas</w:t>
      </w:r>
      <w:r w:rsidRPr="00D91646">
        <w:rPr>
          <w:rFonts w:ascii="Times New Roman" w:eastAsia="Times New Roman" w:hAnsi="Times New Roman" w:cs="Times New Roman"/>
          <w:iCs/>
          <w:sz w:val="24"/>
          <w:szCs w:val="24"/>
        </w:rPr>
        <w:t xml:space="preserve"> ieviešanas gadā </w:t>
      </w:r>
      <w:r w:rsidRPr="00D91646">
        <w:rPr>
          <w:rFonts w:ascii="Times New Roman" w:eastAsia="Times New Roman" w:hAnsi="Times New Roman" w:cs="Times New Roman"/>
          <w:iCs/>
          <w:sz w:val="24"/>
          <w:szCs w:val="24"/>
        </w:rPr>
        <w:lastRenderedPageBreak/>
        <w:t xml:space="preserve">radušos UIN ieņēmumu kritumu, </w:t>
      </w:r>
      <w:r w:rsidRPr="00D91646">
        <w:rPr>
          <w:rFonts w:ascii="Times New Roman" w:eastAsia="Calibri" w:hAnsi="Times New Roman" w:cs="Times New Roman"/>
          <w:sz w:val="24"/>
          <w:szCs w:val="24"/>
        </w:rPr>
        <w:t>2018.gada 1.pusgadā uzņēmumi turpināja veikt UIN avansa maksājumus, tādējādi faktiski samazinot UIN ieņēmumus 2019.gadā</w:t>
      </w:r>
      <w:r w:rsidRPr="00D91646">
        <w:rPr>
          <w:rFonts w:ascii="Times New Roman" w:eastAsia="Times New Roman" w:hAnsi="Times New Roman" w:cs="Times New Roman"/>
          <w:sz w:val="24"/>
          <w:szCs w:val="20"/>
        </w:rPr>
        <w:t xml:space="preserve">. </w:t>
      </w:r>
    </w:p>
    <w:p w:rsidR="00D91646" w:rsidRPr="00D91646" w:rsidRDefault="00D91646" w:rsidP="00DC41EC">
      <w:pPr>
        <w:spacing w:after="0" w:line="240" w:lineRule="auto"/>
        <w:ind w:firstLine="720"/>
        <w:jc w:val="both"/>
        <w:rPr>
          <w:rFonts w:ascii="Times New Roman" w:eastAsia="Times New Roman" w:hAnsi="Times New Roman" w:cs="Times New Roman"/>
          <w:sz w:val="24"/>
          <w:szCs w:val="20"/>
        </w:rPr>
      </w:pPr>
      <w:r w:rsidRPr="00D91646">
        <w:rPr>
          <w:rFonts w:ascii="Times New Roman" w:eastAsia="Times New Roman" w:hAnsi="Times New Roman" w:cs="Times New Roman"/>
          <w:sz w:val="24"/>
          <w:szCs w:val="20"/>
        </w:rPr>
        <w:t xml:space="preserve">IIN ieņēmumus galvenokārt ietekmē tautsaimniecībā nodarbināto skaits, nodarbināto ienākumi, ar IIN neapliekamā minimuma un atvieglojumu apmērs, minimālā darba alga, kā arī ieviestās likumdošanas izmaiņas. </w:t>
      </w:r>
    </w:p>
    <w:p w:rsidR="00D91646" w:rsidRPr="00D91646" w:rsidRDefault="00D91646" w:rsidP="00DC41EC">
      <w:pPr>
        <w:spacing w:after="0" w:line="240" w:lineRule="auto"/>
        <w:ind w:firstLine="720"/>
        <w:jc w:val="both"/>
        <w:rPr>
          <w:rFonts w:ascii="Times New Roman" w:eastAsia="Times New Roman" w:hAnsi="Times New Roman" w:cs="Times New Roman"/>
          <w:sz w:val="24"/>
          <w:szCs w:val="24"/>
        </w:rPr>
      </w:pPr>
      <w:r w:rsidRPr="00D91646">
        <w:rPr>
          <w:rFonts w:ascii="Times New Roman" w:eastAsia="Times New Roman" w:hAnsi="Times New Roman" w:cs="Times New Roman"/>
          <w:iCs/>
          <w:sz w:val="24"/>
          <w:szCs w:val="20"/>
        </w:rPr>
        <w:t xml:space="preserve">Taču būtiskākās izmaiņas pēdējos gaidos saistāmas </w:t>
      </w:r>
      <w:r w:rsidRPr="00D91646">
        <w:rPr>
          <w:rFonts w:ascii="Times New Roman" w:eastAsia="Times New Roman" w:hAnsi="Times New Roman" w:cs="Times New Roman"/>
          <w:sz w:val="24"/>
          <w:szCs w:val="24"/>
        </w:rPr>
        <w:t xml:space="preserve">ar </w:t>
      </w:r>
      <w:r w:rsidRPr="00D91646">
        <w:rPr>
          <w:rFonts w:ascii="Times New Roman" w:eastAsia="Times New Roman" w:hAnsi="Times New Roman" w:cs="Times New Roman"/>
          <w:i/>
          <w:sz w:val="24"/>
          <w:szCs w:val="20"/>
        </w:rPr>
        <w:t>Nodokļu reformas</w:t>
      </w:r>
      <w:r w:rsidRPr="00D91646">
        <w:rPr>
          <w:rFonts w:ascii="Times New Roman" w:eastAsia="Times New Roman" w:hAnsi="Times New Roman" w:cs="Times New Roman"/>
          <w:sz w:val="24"/>
          <w:szCs w:val="20"/>
        </w:rPr>
        <w:t xml:space="preserve"> </w:t>
      </w:r>
      <w:r w:rsidRPr="00D91646">
        <w:rPr>
          <w:rFonts w:ascii="Times New Roman" w:eastAsia="Times New Roman" w:hAnsi="Times New Roman" w:cs="Times New Roman"/>
          <w:noProof/>
          <w:sz w:val="24"/>
          <w:szCs w:val="24"/>
          <w:lang w:eastAsia="lv-LV"/>
        </w:rPr>
        <w:t>pasākumiem</w:t>
      </w:r>
      <w:r w:rsidRPr="00D91646">
        <w:rPr>
          <w:rFonts w:ascii="Times New Roman" w:eastAsia="Times New Roman" w:hAnsi="Times New Roman" w:cs="Times New Roman"/>
          <w:sz w:val="24"/>
          <w:szCs w:val="24"/>
        </w:rPr>
        <w:t>:</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color w:val="000000"/>
          <w:sz w:val="24"/>
          <w:szCs w:val="24"/>
          <w:lang w:eastAsia="lv-LV"/>
        </w:rPr>
        <w:t xml:space="preserve">IIN progresīvās likmes ieviešana </w:t>
      </w:r>
      <w:r w:rsidRPr="00D91646">
        <w:rPr>
          <w:rFonts w:ascii="Times New Roman" w:eastAsia="Calibri" w:hAnsi="Times New Roman" w:cs="Times New Roman"/>
          <w:color w:val="000000"/>
          <w:sz w:val="24"/>
          <w:szCs w:val="24"/>
          <w:lang w:eastAsia="lv-LV"/>
        </w:rPr>
        <w:t>20% gada ienākumiem</w:t>
      </w:r>
      <w:r w:rsidR="004B6362">
        <w:rPr>
          <w:rFonts w:ascii="Times New Roman" w:eastAsia="Calibri" w:hAnsi="Times New Roman" w:cs="Times New Roman"/>
          <w:color w:val="000000"/>
          <w:sz w:val="24"/>
          <w:szCs w:val="24"/>
          <w:lang w:eastAsia="lv-LV"/>
        </w:rPr>
        <w:t xml:space="preserve"> </w:t>
      </w:r>
      <w:r w:rsidRPr="00D91646">
        <w:rPr>
          <w:rFonts w:ascii="Times New Roman" w:eastAsia="Calibri" w:hAnsi="Times New Roman" w:cs="Times New Roman"/>
          <w:color w:val="000000"/>
          <w:sz w:val="24"/>
          <w:szCs w:val="24"/>
          <w:lang w:eastAsia="lv-LV"/>
        </w:rPr>
        <w:t>līdz 20</w:t>
      </w:r>
      <w:r w:rsidR="004B6362">
        <w:rPr>
          <w:rFonts w:ascii="Times New Roman" w:eastAsia="Calibri" w:hAnsi="Times New Roman" w:cs="Times New Roman"/>
          <w:color w:val="000000"/>
          <w:sz w:val="24"/>
          <w:szCs w:val="24"/>
          <w:lang w:eastAsia="lv-LV"/>
        </w:rPr>
        <w:t> </w:t>
      </w:r>
      <w:r w:rsidRPr="00D91646">
        <w:rPr>
          <w:rFonts w:ascii="Times New Roman" w:eastAsia="Calibri" w:hAnsi="Times New Roman" w:cs="Times New Roman"/>
          <w:color w:val="000000"/>
          <w:sz w:val="24"/>
          <w:szCs w:val="24"/>
          <w:lang w:eastAsia="lv-LV"/>
        </w:rPr>
        <w:t xml:space="preserve">004 </w:t>
      </w:r>
      <w:proofErr w:type="spellStart"/>
      <w:r w:rsidRPr="00D91646">
        <w:rPr>
          <w:rFonts w:ascii="Times New Roman" w:eastAsia="Calibri" w:hAnsi="Times New Roman" w:cs="Times New Roman"/>
          <w:i/>
          <w:color w:val="000000"/>
          <w:sz w:val="24"/>
          <w:szCs w:val="24"/>
          <w:lang w:eastAsia="lv-LV"/>
        </w:rPr>
        <w:t>euro</w:t>
      </w:r>
      <w:proofErr w:type="spellEnd"/>
      <w:r w:rsidRPr="00D91646">
        <w:rPr>
          <w:rFonts w:ascii="Times New Roman" w:eastAsia="Calibri" w:hAnsi="Times New Roman" w:cs="Times New Roman"/>
          <w:color w:val="000000"/>
          <w:sz w:val="24"/>
          <w:szCs w:val="24"/>
          <w:lang w:eastAsia="lv-LV"/>
        </w:rPr>
        <w:t xml:space="preserve">; 23% gada ienākumiem, kas pārsniedz 20 004 </w:t>
      </w:r>
      <w:proofErr w:type="spellStart"/>
      <w:r w:rsidRPr="00D91646">
        <w:rPr>
          <w:rFonts w:ascii="Times New Roman" w:eastAsia="Calibri" w:hAnsi="Times New Roman" w:cs="Times New Roman"/>
          <w:i/>
          <w:color w:val="000000"/>
          <w:sz w:val="24"/>
          <w:szCs w:val="24"/>
          <w:lang w:eastAsia="lv-LV"/>
        </w:rPr>
        <w:t>euro</w:t>
      </w:r>
      <w:proofErr w:type="spellEnd"/>
      <w:r w:rsidRPr="00D91646">
        <w:rPr>
          <w:rFonts w:ascii="Times New Roman" w:eastAsia="Calibri" w:hAnsi="Times New Roman" w:cs="Times New Roman"/>
          <w:color w:val="000000"/>
          <w:sz w:val="24"/>
          <w:szCs w:val="24"/>
          <w:lang w:eastAsia="lv-LV"/>
        </w:rPr>
        <w:t>, bet nepārsniedz 55</w:t>
      </w:r>
      <w:r w:rsidR="004B6362">
        <w:rPr>
          <w:rFonts w:ascii="Times New Roman" w:eastAsia="Calibri" w:hAnsi="Times New Roman" w:cs="Times New Roman"/>
          <w:color w:val="000000"/>
          <w:sz w:val="24"/>
          <w:szCs w:val="24"/>
          <w:lang w:eastAsia="lv-LV"/>
        </w:rPr>
        <w:t> </w:t>
      </w:r>
      <w:r w:rsidRPr="00D91646">
        <w:rPr>
          <w:rFonts w:ascii="Times New Roman" w:eastAsia="Calibri" w:hAnsi="Times New Roman" w:cs="Times New Roman"/>
          <w:color w:val="000000"/>
          <w:sz w:val="24"/>
          <w:szCs w:val="24"/>
          <w:lang w:eastAsia="lv-LV"/>
        </w:rPr>
        <w:t>000</w:t>
      </w:r>
      <w:r w:rsidR="004B6362">
        <w:rPr>
          <w:rFonts w:ascii="Times New Roman" w:eastAsia="Calibri" w:hAnsi="Times New Roman" w:cs="Times New Roman"/>
          <w:color w:val="000000"/>
          <w:sz w:val="24"/>
          <w:szCs w:val="24"/>
          <w:lang w:eastAsia="lv-LV"/>
        </w:rPr>
        <w:t xml:space="preserve"> </w:t>
      </w:r>
      <w:proofErr w:type="spellStart"/>
      <w:r w:rsidRPr="00D91646">
        <w:rPr>
          <w:rFonts w:ascii="Times New Roman" w:eastAsia="Calibri" w:hAnsi="Times New Roman" w:cs="Times New Roman"/>
          <w:i/>
          <w:color w:val="000000"/>
          <w:sz w:val="24"/>
          <w:szCs w:val="24"/>
          <w:lang w:eastAsia="lv-LV"/>
        </w:rPr>
        <w:t>euro</w:t>
      </w:r>
      <w:proofErr w:type="spellEnd"/>
      <w:r w:rsidR="00325DF2">
        <w:rPr>
          <w:rFonts w:ascii="Times New Roman" w:eastAsia="Calibri" w:hAnsi="Times New Roman" w:cs="Times New Roman"/>
          <w:color w:val="000000"/>
          <w:sz w:val="24"/>
          <w:szCs w:val="24"/>
          <w:lang w:eastAsia="lv-LV"/>
        </w:rPr>
        <w:t xml:space="preserve">; 31,4% </w:t>
      </w:r>
      <w:r w:rsidRPr="00D91646">
        <w:rPr>
          <w:rFonts w:ascii="Times New Roman" w:eastAsia="Calibri" w:hAnsi="Times New Roman" w:cs="Times New Roman"/>
          <w:color w:val="000000"/>
          <w:sz w:val="24"/>
          <w:szCs w:val="24"/>
          <w:lang w:eastAsia="lv-LV"/>
        </w:rPr>
        <w:t>gada ienākumiem virs 62 800</w:t>
      </w:r>
      <w:r w:rsidRPr="00D91646">
        <w:rPr>
          <w:rFonts w:ascii="Times New Roman" w:eastAsia="Calibri" w:hAnsi="Times New Roman" w:cs="Times New Roman"/>
          <w:sz w:val="24"/>
          <w:vertAlign w:val="superscript"/>
        </w:rPr>
        <w:footnoteReference w:id="29"/>
      </w:r>
      <w:r w:rsidRPr="00D91646">
        <w:rPr>
          <w:rFonts w:ascii="Times New Roman" w:eastAsia="Calibri" w:hAnsi="Times New Roman" w:cs="Times New Roman"/>
          <w:sz w:val="24"/>
        </w:rPr>
        <w:t>.</w:t>
      </w:r>
      <w:r w:rsidRPr="00D91646">
        <w:rPr>
          <w:rFonts w:ascii="Times New Roman" w:eastAsia="Calibri" w:hAnsi="Times New Roman" w:cs="Times New Roman"/>
          <w:color w:val="000000"/>
          <w:sz w:val="24"/>
          <w:szCs w:val="24"/>
          <w:lang w:eastAsia="lv-LV"/>
        </w:rPr>
        <w:t xml:space="preserve"> </w:t>
      </w:r>
      <w:proofErr w:type="spellStart"/>
      <w:r w:rsidRPr="00D91646">
        <w:rPr>
          <w:rFonts w:ascii="Times New Roman" w:eastAsia="Calibri" w:hAnsi="Times New Roman" w:cs="Times New Roman"/>
          <w:i/>
          <w:color w:val="000000"/>
          <w:sz w:val="24"/>
          <w:szCs w:val="24"/>
          <w:lang w:eastAsia="lv-LV"/>
        </w:rPr>
        <w:t>euro</w:t>
      </w:r>
      <w:proofErr w:type="spellEnd"/>
      <w:r w:rsidRPr="00D91646">
        <w:rPr>
          <w:rFonts w:ascii="Times New Roman" w:eastAsia="Calibri" w:hAnsi="Times New Roman" w:cs="Times New Roman"/>
          <w:i/>
          <w:color w:val="000000"/>
          <w:sz w:val="28"/>
          <w:szCs w:val="24"/>
          <w:lang w:eastAsia="lv-LV"/>
        </w:rPr>
        <w:t xml:space="preserve"> </w:t>
      </w:r>
      <w:r w:rsidRPr="00D91646">
        <w:rPr>
          <w:rFonts w:ascii="Times New Roman" w:eastAsia="Calibri" w:hAnsi="Times New Roman" w:cs="Times New Roman"/>
          <w:color w:val="000000"/>
          <w:sz w:val="24"/>
          <w:szCs w:val="24"/>
          <w:lang w:eastAsia="lv-LV"/>
        </w:rPr>
        <w:t xml:space="preserve">(nosacītā likme, jo to </w:t>
      </w:r>
      <w:r w:rsidRPr="00D91646">
        <w:rPr>
          <w:rFonts w:ascii="Times New Roman" w:eastAsia="Times New Roman" w:hAnsi="Times New Roman" w:cs="Times New Roman"/>
          <w:sz w:val="24"/>
          <w:szCs w:val="24"/>
        </w:rPr>
        <w:t xml:space="preserve">nepiemēros taksācijas gada laikā, bet, iesniedzot gada ienākumu deklarāciju un veicot pārrēķinu ar trīs </w:t>
      </w:r>
      <w:r w:rsidRPr="00D91646">
        <w:rPr>
          <w:rFonts w:ascii="Times New Roman" w:eastAsia="Calibri" w:hAnsi="Times New Roman" w:cs="Times New Roman"/>
          <w:color w:val="000000"/>
          <w:sz w:val="24"/>
          <w:szCs w:val="24"/>
          <w:lang w:eastAsia="lv-LV"/>
        </w:rPr>
        <w:t>IIN</w:t>
      </w:r>
      <w:r w:rsidRPr="00D91646">
        <w:rPr>
          <w:rFonts w:ascii="Times New Roman" w:eastAsia="Times New Roman" w:hAnsi="Times New Roman" w:cs="Times New Roman"/>
          <w:color w:val="000000"/>
          <w:spacing w:val="-2"/>
          <w:sz w:val="24"/>
          <w:szCs w:val="24"/>
        </w:rPr>
        <w:t xml:space="preserve"> likmēm</w:t>
      </w:r>
      <w:r w:rsidRPr="00D91646">
        <w:rPr>
          <w:rFonts w:ascii="Times New Roman" w:eastAsia="Calibri" w:hAnsi="Times New Roman" w:cs="Times New Roman"/>
          <w:color w:val="000000"/>
          <w:sz w:val="24"/>
          <w:szCs w:val="24"/>
          <w:lang w:eastAsia="lv-LV"/>
        </w:rPr>
        <w:t xml:space="preserve">. Tā kā valsts sociālās apdrošināšanas iemaksas virs 62 800 </w:t>
      </w:r>
      <w:proofErr w:type="spellStart"/>
      <w:r w:rsidRPr="00D91646">
        <w:rPr>
          <w:rFonts w:ascii="Times New Roman" w:eastAsia="Calibri" w:hAnsi="Times New Roman" w:cs="Times New Roman"/>
          <w:i/>
          <w:color w:val="000000"/>
          <w:sz w:val="24"/>
          <w:szCs w:val="24"/>
          <w:lang w:eastAsia="lv-LV"/>
        </w:rPr>
        <w:t>euro</w:t>
      </w:r>
      <w:proofErr w:type="spellEnd"/>
      <w:r w:rsidRPr="00D91646">
        <w:rPr>
          <w:rFonts w:ascii="Times New Roman" w:eastAsia="Calibri" w:hAnsi="Times New Roman" w:cs="Times New Roman"/>
          <w:i/>
          <w:color w:val="000000"/>
          <w:sz w:val="24"/>
          <w:szCs w:val="24"/>
          <w:lang w:eastAsia="lv-LV"/>
        </w:rPr>
        <w:t xml:space="preserve"> </w:t>
      </w:r>
      <w:r w:rsidRPr="00D91646">
        <w:rPr>
          <w:rFonts w:ascii="Times New Roman" w:eastAsia="Calibri" w:hAnsi="Times New Roman" w:cs="Times New Roman"/>
          <w:color w:val="000000"/>
          <w:sz w:val="24"/>
          <w:szCs w:val="24"/>
          <w:lang w:eastAsia="lv-LV"/>
        </w:rPr>
        <w:t xml:space="preserve">nav jāveic, bet nosacītā </w:t>
      </w:r>
      <w:r w:rsidRPr="00D91646">
        <w:rPr>
          <w:rFonts w:ascii="Times New Roman" w:eastAsia="Times New Roman" w:hAnsi="Times New Roman" w:cs="Times New Roman"/>
          <w:sz w:val="24"/>
          <w:szCs w:val="24"/>
        </w:rPr>
        <w:t>darba ņēmēja solidaritātes nodokļa daļa tiek ietverta samaksātajā IIN, kopējais nodokļu slogs maksātājam virs minētā sliekšņa nepieaugs</w:t>
      </w:r>
      <w:r w:rsidRPr="00D91646">
        <w:rPr>
          <w:rFonts w:ascii="Times New Roman" w:eastAsia="Calibri" w:hAnsi="Times New Roman" w:cs="Times New Roman"/>
          <w:color w:val="000000"/>
          <w:sz w:val="24"/>
          <w:szCs w:val="24"/>
          <w:lang w:eastAsia="lv-LV"/>
        </w:rPr>
        <w:t>);</w:t>
      </w:r>
    </w:p>
    <w:p w:rsidR="00D91646" w:rsidRPr="00D91646" w:rsidRDefault="00D91646" w:rsidP="00DA42C2">
      <w:pPr>
        <w:numPr>
          <w:ilvl w:val="0"/>
          <w:numId w:val="11"/>
        </w:numPr>
        <w:spacing w:after="0" w:line="240" w:lineRule="auto"/>
        <w:ind w:left="1134" w:hanging="357"/>
        <w:jc w:val="both"/>
        <w:rPr>
          <w:rFonts w:ascii="Times New Roman" w:eastAsia="Calibri" w:hAnsi="Times New Roman" w:cs="Times New Roman"/>
          <w:color w:val="000000"/>
          <w:sz w:val="24"/>
          <w:szCs w:val="24"/>
          <w:lang w:eastAsia="lv-LV"/>
        </w:rPr>
      </w:pPr>
      <w:r w:rsidRPr="00D91646">
        <w:rPr>
          <w:rFonts w:ascii="Times New Roman" w:eastAsia="Calibri" w:hAnsi="Times New Roman" w:cs="Times New Roman"/>
          <w:color w:val="000000"/>
          <w:sz w:val="24"/>
          <w:szCs w:val="24"/>
          <w:lang w:eastAsia="lv-LV"/>
        </w:rPr>
        <w:t>ar IIN neapliekamā diferencētā minimuma paaugstināšana;</w:t>
      </w:r>
    </w:p>
    <w:p w:rsidR="00D91646" w:rsidRPr="00D91646" w:rsidRDefault="001D07D9" w:rsidP="00D91646">
      <w:pPr>
        <w:keepNext/>
        <w:spacing w:before="120" w:after="60" w:line="240" w:lineRule="auto"/>
        <w:ind w:left="360"/>
        <w:jc w:val="right"/>
        <w:rPr>
          <w:rFonts w:ascii="Times New Roman" w:eastAsia="Times New Roman" w:hAnsi="Times New Roman" w:cs="Times New Roman"/>
          <w:b/>
          <w:sz w:val="24"/>
          <w:szCs w:val="20"/>
        </w:rPr>
      </w:pPr>
      <w:r w:rsidRPr="001D07D9">
        <w:rPr>
          <w:rFonts w:ascii="Times New Roman" w:eastAsia="Times New Roman" w:hAnsi="Times New Roman" w:cs="Times New Roman"/>
          <w:b/>
          <w:sz w:val="24"/>
          <w:szCs w:val="20"/>
        </w:rPr>
        <w:t>5.3</w:t>
      </w:r>
      <w:r w:rsidR="00D91646" w:rsidRPr="001D07D9">
        <w:rPr>
          <w:rFonts w:ascii="Times New Roman" w:eastAsia="Times New Roman" w:hAnsi="Times New Roman" w:cs="Times New Roman"/>
          <w:b/>
          <w:sz w:val="24"/>
          <w:szCs w:val="20"/>
        </w:rPr>
        <w:t>.</w:t>
      </w:r>
      <w:r w:rsidR="00D91646" w:rsidRPr="00D91646">
        <w:rPr>
          <w:rFonts w:ascii="Times New Roman" w:eastAsia="Times New Roman" w:hAnsi="Times New Roman" w:cs="Times New Roman"/>
          <w:b/>
          <w:sz w:val="24"/>
          <w:szCs w:val="20"/>
        </w:rPr>
        <w:t>tabula Diferencētais neapliekamais minimums 2018.</w:t>
      </w:r>
      <w:r w:rsidR="004B6362" w:rsidRPr="00D91646">
        <w:rPr>
          <w:rFonts w:ascii="Times New Roman" w:eastAsia="Calibri" w:hAnsi="Times New Roman" w:cs="Times New Roman"/>
          <w:sz w:val="24"/>
        </w:rPr>
        <w:t xml:space="preserve"> – </w:t>
      </w:r>
      <w:r w:rsidR="00D91646" w:rsidRPr="00D91646">
        <w:rPr>
          <w:rFonts w:ascii="Times New Roman" w:eastAsia="Times New Roman" w:hAnsi="Times New Roman" w:cs="Times New Roman"/>
          <w:b/>
          <w:sz w:val="24"/>
          <w:szCs w:val="20"/>
        </w:rPr>
        <w:t>2020.gadam</w:t>
      </w:r>
    </w:p>
    <w:tbl>
      <w:tblPr>
        <w:tblStyle w:val="GridTable6Colorful-Accent16"/>
        <w:tblW w:w="8217" w:type="dxa"/>
        <w:jc w:val="center"/>
        <w:tblLayout w:type="fixed"/>
        <w:tblLook w:val="04A0" w:firstRow="1" w:lastRow="0" w:firstColumn="1" w:lastColumn="0" w:noHBand="0" w:noVBand="1"/>
      </w:tblPr>
      <w:tblGrid>
        <w:gridCol w:w="4106"/>
        <w:gridCol w:w="1259"/>
        <w:gridCol w:w="1308"/>
        <w:gridCol w:w="1544"/>
      </w:tblGrid>
      <w:tr w:rsidR="00D91646" w:rsidRPr="00D91646" w:rsidTr="00D91646">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06" w:type="dxa"/>
          </w:tcPr>
          <w:p w:rsidR="00D91646" w:rsidRPr="00D91646" w:rsidRDefault="00D91646" w:rsidP="00D91646">
            <w:pPr>
              <w:autoSpaceDE w:val="0"/>
              <w:autoSpaceDN w:val="0"/>
              <w:adjustRightInd w:val="0"/>
              <w:ind w:left="457"/>
              <w:jc w:val="center"/>
              <w:rPr>
                <w:rFonts w:ascii="Times New Roman" w:eastAsia="Times New Roman" w:hAnsi="Times New Roman" w:cs="Times New Roman"/>
                <w:color w:val="000000" w:themeColor="text1"/>
                <w:sz w:val="20"/>
                <w:szCs w:val="24"/>
              </w:rPr>
            </w:pPr>
          </w:p>
        </w:tc>
        <w:tc>
          <w:tcPr>
            <w:tcW w:w="1259" w:type="dxa"/>
            <w:vAlign w:val="center"/>
          </w:tcPr>
          <w:p w:rsidR="00D91646" w:rsidRPr="00D91646" w:rsidRDefault="00D91646" w:rsidP="00D916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2018</w:t>
            </w:r>
          </w:p>
        </w:tc>
        <w:tc>
          <w:tcPr>
            <w:tcW w:w="1308" w:type="dxa"/>
            <w:vAlign w:val="center"/>
          </w:tcPr>
          <w:p w:rsidR="00D91646" w:rsidRPr="00D91646" w:rsidRDefault="00D91646" w:rsidP="00D916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2019</w:t>
            </w:r>
          </w:p>
        </w:tc>
        <w:tc>
          <w:tcPr>
            <w:tcW w:w="1544" w:type="dxa"/>
            <w:vAlign w:val="center"/>
          </w:tcPr>
          <w:p w:rsidR="00D91646" w:rsidRPr="00D91646" w:rsidRDefault="00D91646" w:rsidP="00D916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2020</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106" w:type="dxa"/>
          </w:tcPr>
          <w:p w:rsidR="00D91646" w:rsidRPr="00D91646" w:rsidRDefault="00D91646" w:rsidP="00D91646">
            <w:pPr>
              <w:autoSpaceDE w:val="0"/>
              <w:autoSpaceDN w:val="0"/>
              <w:adjustRightInd w:val="0"/>
              <w:ind w:left="32"/>
              <w:rPr>
                <w:rFonts w:ascii="Times New Roman" w:eastAsia="Times New Roman" w:hAnsi="Times New Roman" w:cs="Times New Roman"/>
                <w:color w:val="000000" w:themeColor="text1"/>
                <w:sz w:val="20"/>
                <w:vertAlign w:val="subscript"/>
              </w:rPr>
            </w:pPr>
            <w:r w:rsidRPr="00D91646">
              <w:rPr>
                <w:rFonts w:ascii="Times New Roman" w:eastAsia="Times New Roman" w:hAnsi="Times New Roman" w:cs="Times New Roman"/>
                <w:color w:val="000000" w:themeColor="text1"/>
                <w:sz w:val="20"/>
              </w:rPr>
              <w:t>Maksimālais neapliekamais minimums</w:t>
            </w:r>
          </w:p>
        </w:tc>
        <w:tc>
          <w:tcPr>
            <w:tcW w:w="1259" w:type="dxa"/>
            <w:vAlign w:val="center"/>
          </w:tcPr>
          <w:p w:rsidR="00D91646" w:rsidRPr="00D91646" w:rsidRDefault="00D91646" w:rsidP="00D916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rPr>
            </w:pPr>
            <w:r w:rsidRPr="00D91646">
              <w:rPr>
                <w:rFonts w:ascii="Times New Roman" w:eastAsia="Times New Roman" w:hAnsi="Times New Roman" w:cs="Times New Roman"/>
                <w:bCs/>
                <w:color w:val="000000" w:themeColor="text1"/>
                <w:sz w:val="20"/>
              </w:rPr>
              <w:t>200</w:t>
            </w:r>
          </w:p>
        </w:tc>
        <w:tc>
          <w:tcPr>
            <w:tcW w:w="1308" w:type="dxa"/>
            <w:vAlign w:val="center"/>
          </w:tcPr>
          <w:p w:rsidR="00D91646" w:rsidRPr="00D91646" w:rsidRDefault="00D91646" w:rsidP="00D916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rPr>
            </w:pPr>
            <w:r w:rsidRPr="00D91646">
              <w:rPr>
                <w:rFonts w:ascii="Times New Roman" w:eastAsia="Times New Roman" w:hAnsi="Times New Roman" w:cs="Times New Roman"/>
                <w:bCs/>
                <w:color w:val="000000" w:themeColor="text1"/>
                <w:sz w:val="20"/>
              </w:rPr>
              <w:t>230</w:t>
            </w:r>
          </w:p>
        </w:tc>
        <w:tc>
          <w:tcPr>
            <w:tcW w:w="1544" w:type="dxa"/>
            <w:vAlign w:val="center"/>
          </w:tcPr>
          <w:p w:rsidR="00D91646" w:rsidRPr="00D91646" w:rsidRDefault="00D91646" w:rsidP="00D916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rPr>
            </w:pPr>
            <w:r w:rsidRPr="00D91646">
              <w:rPr>
                <w:rFonts w:ascii="Times New Roman" w:eastAsia="Times New Roman" w:hAnsi="Times New Roman" w:cs="Times New Roman"/>
                <w:bCs/>
                <w:color w:val="000000" w:themeColor="text1"/>
                <w:sz w:val="20"/>
              </w:rPr>
              <w:t>250</w:t>
            </w:r>
          </w:p>
        </w:tc>
      </w:tr>
      <w:tr w:rsidR="00D91646" w:rsidRPr="00D91646" w:rsidTr="00D91646">
        <w:trPr>
          <w:trHeight w:val="271"/>
          <w:jc w:val="center"/>
        </w:trPr>
        <w:tc>
          <w:tcPr>
            <w:cnfStyle w:val="001000000000" w:firstRow="0" w:lastRow="0" w:firstColumn="1" w:lastColumn="0" w:oddVBand="0" w:evenVBand="0" w:oddHBand="0" w:evenHBand="0" w:firstRowFirstColumn="0" w:firstRowLastColumn="0" w:lastRowFirstColumn="0" w:lastRowLastColumn="0"/>
            <w:tcW w:w="4106" w:type="dxa"/>
          </w:tcPr>
          <w:p w:rsidR="00D91646" w:rsidRPr="00D91646" w:rsidRDefault="00D91646" w:rsidP="00D91646">
            <w:pPr>
              <w:autoSpaceDE w:val="0"/>
              <w:autoSpaceDN w:val="0"/>
              <w:adjustRightInd w:val="0"/>
              <w:ind w:left="32"/>
              <w:rPr>
                <w:rFonts w:ascii="Times New Roman" w:eastAsia="Times New Roman" w:hAnsi="Times New Roman" w:cs="Times New Roman"/>
                <w:color w:val="000000" w:themeColor="text1"/>
                <w:sz w:val="20"/>
                <w:vertAlign w:val="subscript"/>
              </w:rPr>
            </w:pPr>
            <w:r w:rsidRPr="00D91646">
              <w:rPr>
                <w:rFonts w:ascii="Times New Roman" w:eastAsia="Times New Roman" w:hAnsi="Times New Roman" w:cs="Times New Roman"/>
                <w:color w:val="000000" w:themeColor="text1"/>
                <w:sz w:val="20"/>
              </w:rPr>
              <w:t>Minimālais neapliekamais minimums</w:t>
            </w:r>
          </w:p>
        </w:tc>
        <w:tc>
          <w:tcPr>
            <w:tcW w:w="1259" w:type="dxa"/>
            <w:vAlign w:val="center"/>
          </w:tcPr>
          <w:p w:rsidR="00D91646" w:rsidRPr="00D91646" w:rsidRDefault="00D91646" w:rsidP="00D916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rPr>
            </w:pPr>
            <w:r w:rsidRPr="00D91646">
              <w:rPr>
                <w:rFonts w:ascii="Times New Roman" w:eastAsia="Times New Roman" w:hAnsi="Times New Roman" w:cs="Times New Roman"/>
                <w:bCs/>
                <w:color w:val="000000" w:themeColor="text1"/>
                <w:sz w:val="20"/>
              </w:rPr>
              <w:t>0</w:t>
            </w:r>
          </w:p>
        </w:tc>
        <w:tc>
          <w:tcPr>
            <w:tcW w:w="1308" w:type="dxa"/>
            <w:vAlign w:val="center"/>
          </w:tcPr>
          <w:p w:rsidR="00D91646" w:rsidRPr="00D91646" w:rsidRDefault="00D91646" w:rsidP="00D916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rPr>
            </w:pPr>
            <w:r w:rsidRPr="00D91646">
              <w:rPr>
                <w:rFonts w:ascii="Times New Roman" w:eastAsia="Times New Roman" w:hAnsi="Times New Roman" w:cs="Times New Roman"/>
                <w:bCs/>
                <w:color w:val="000000" w:themeColor="text1"/>
                <w:sz w:val="20"/>
              </w:rPr>
              <w:t>0</w:t>
            </w:r>
          </w:p>
        </w:tc>
        <w:tc>
          <w:tcPr>
            <w:tcW w:w="1544" w:type="dxa"/>
            <w:vAlign w:val="center"/>
          </w:tcPr>
          <w:p w:rsidR="00D91646" w:rsidRPr="00D91646" w:rsidRDefault="00D91646" w:rsidP="00D916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rPr>
            </w:pPr>
            <w:r w:rsidRPr="00D91646">
              <w:rPr>
                <w:rFonts w:ascii="Times New Roman" w:eastAsia="Times New Roman" w:hAnsi="Times New Roman" w:cs="Times New Roman"/>
                <w:bCs/>
                <w:color w:val="000000" w:themeColor="text1"/>
                <w:sz w:val="20"/>
              </w:rPr>
              <w:t>0</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106" w:type="dxa"/>
          </w:tcPr>
          <w:p w:rsidR="00D91646" w:rsidRPr="00D91646" w:rsidRDefault="00D91646" w:rsidP="00D91646">
            <w:pPr>
              <w:autoSpaceDE w:val="0"/>
              <w:autoSpaceDN w:val="0"/>
              <w:adjustRightInd w:val="0"/>
              <w:ind w:left="32"/>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Apliekamā ienākuma maksimālā robeža</w:t>
            </w:r>
          </w:p>
        </w:tc>
        <w:tc>
          <w:tcPr>
            <w:tcW w:w="1259" w:type="dxa"/>
            <w:vAlign w:val="center"/>
          </w:tcPr>
          <w:p w:rsidR="00D91646" w:rsidRPr="00D91646" w:rsidRDefault="00D91646" w:rsidP="00D916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1 000</w:t>
            </w:r>
          </w:p>
        </w:tc>
        <w:tc>
          <w:tcPr>
            <w:tcW w:w="1308" w:type="dxa"/>
            <w:vAlign w:val="center"/>
          </w:tcPr>
          <w:p w:rsidR="00D91646" w:rsidRPr="00D91646" w:rsidRDefault="00D91646" w:rsidP="00D916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1 100</w:t>
            </w:r>
          </w:p>
        </w:tc>
        <w:tc>
          <w:tcPr>
            <w:tcW w:w="1544" w:type="dxa"/>
            <w:vAlign w:val="center"/>
          </w:tcPr>
          <w:p w:rsidR="00D91646" w:rsidRPr="00D91646" w:rsidRDefault="00D91646" w:rsidP="00D916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1 200</w:t>
            </w:r>
          </w:p>
        </w:tc>
      </w:tr>
      <w:tr w:rsidR="00D91646" w:rsidRPr="00D91646" w:rsidTr="00D91646">
        <w:trPr>
          <w:trHeight w:val="271"/>
          <w:jc w:val="center"/>
        </w:trPr>
        <w:tc>
          <w:tcPr>
            <w:cnfStyle w:val="001000000000" w:firstRow="0" w:lastRow="0" w:firstColumn="1" w:lastColumn="0" w:oddVBand="0" w:evenVBand="0" w:oddHBand="0" w:evenHBand="0" w:firstRowFirstColumn="0" w:firstRowLastColumn="0" w:lastRowFirstColumn="0" w:lastRowLastColumn="0"/>
            <w:tcW w:w="4106" w:type="dxa"/>
          </w:tcPr>
          <w:p w:rsidR="00D91646" w:rsidRPr="00D91646" w:rsidRDefault="00D91646" w:rsidP="00D91646">
            <w:pPr>
              <w:autoSpaceDE w:val="0"/>
              <w:autoSpaceDN w:val="0"/>
              <w:adjustRightInd w:val="0"/>
              <w:ind w:left="32"/>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Apliekamā ienākuma minimālā robeža</w:t>
            </w:r>
          </w:p>
        </w:tc>
        <w:tc>
          <w:tcPr>
            <w:tcW w:w="1259" w:type="dxa"/>
            <w:vAlign w:val="center"/>
          </w:tcPr>
          <w:p w:rsidR="00D91646" w:rsidRPr="00D91646" w:rsidRDefault="00D91646" w:rsidP="00D916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440</w:t>
            </w:r>
          </w:p>
        </w:tc>
        <w:tc>
          <w:tcPr>
            <w:tcW w:w="1308" w:type="dxa"/>
            <w:vAlign w:val="center"/>
          </w:tcPr>
          <w:p w:rsidR="00D91646" w:rsidRPr="00D91646" w:rsidRDefault="00D91646" w:rsidP="00D916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440</w:t>
            </w:r>
          </w:p>
        </w:tc>
        <w:tc>
          <w:tcPr>
            <w:tcW w:w="1544" w:type="dxa"/>
            <w:vAlign w:val="center"/>
          </w:tcPr>
          <w:p w:rsidR="00D91646" w:rsidRPr="00D91646" w:rsidRDefault="00D91646" w:rsidP="00D916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D91646">
              <w:rPr>
                <w:rFonts w:ascii="Times New Roman" w:eastAsia="Times New Roman" w:hAnsi="Times New Roman" w:cs="Times New Roman"/>
                <w:color w:val="000000" w:themeColor="text1"/>
                <w:sz w:val="20"/>
              </w:rPr>
              <w:t>440</w:t>
            </w:r>
          </w:p>
        </w:tc>
      </w:tr>
    </w:tbl>
    <w:p w:rsidR="005865B9" w:rsidRDefault="005865B9" w:rsidP="005865B9">
      <w:pPr>
        <w:spacing w:after="0" w:line="240" w:lineRule="auto"/>
        <w:ind w:left="1134"/>
        <w:jc w:val="both"/>
        <w:rPr>
          <w:rFonts w:ascii="Times New Roman" w:eastAsia="Times New Roman" w:hAnsi="Times New Roman" w:cs="Times New Roman"/>
          <w:color w:val="000000"/>
          <w:sz w:val="24"/>
          <w:szCs w:val="24"/>
          <w:lang w:eastAsia="lv-LV"/>
        </w:rPr>
      </w:pP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color w:val="000000"/>
          <w:sz w:val="24"/>
          <w:szCs w:val="24"/>
          <w:lang w:eastAsia="lv-LV"/>
        </w:rPr>
        <w:t>atvieglojuma par apgādībā esošām personām paaugstināšana 2018.gadā 200</w:t>
      </w:r>
      <w:r>
        <w:rPr>
          <w:rFonts w:ascii="Times New Roman" w:eastAsia="Times New Roman" w:hAnsi="Times New Roman" w:cs="Times New Roman"/>
          <w:color w:val="000000"/>
          <w:sz w:val="24"/>
          <w:szCs w:val="24"/>
          <w:lang w:eastAsia="lv-LV"/>
        </w:rPr>
        <w:t xml:space="preserve"> </w:t>
      </w:r>
      <w:proofErr w:type="spellStart"/>
      <w:r w:rsidRPr="00D91646">
        <w:rPr>
          <w:rFonts w:ascii="Times New Roman" w:eastAsia="Times New Roman" w:hAnsi="Times New Roman" w:cs="Times New Roman"/>
          <w:i/>
          <w:color w:val="000000"/>
          <w:sz w:val="24"/>
          <w:szCs w:val="24"/>
          <w:lang w:eastAsia="lv-LV"/>
        </w:rPr>
        <w:t>euro</w:t>
      </w:r>
      <w:proofErr w:type="spellEnd"/>
      <w:r w:rsidRPr="00D91646">
        <w:rPr>
          <w:rFonts w:ascii="Times New Roman" w:eastAsia="Times New Roman" w:hAnsi="Times New Roman" w:cs="Times New Roman"/>
          <w:color w:val="000000"/>
          <w:sz w:val="24"/>
          <w:szCs w:val="24"/>
          <w:lang w:eastAsia="lv-LV"/>
        </w:rPr>
        <w:t xml:space="preserve"> mēnesī, 2019.gadā 230</w:t>
      </w:r>
      <w:r>
        <w:rPr>
          <w:rFonts w:ascii="Times New Roman" w:eastAsia="Times New Roman" w:hAnsi="Times New Roman" w:cs="Times New Roman"/>
          <w:color w:val="000000"/>
          <w:sz w:val="24"/>
          <w:szCs w:val="24"/>
          <w:lang w:eastAsia="lv-LV"/>
        </w:rPr>
        <w:t xml:space="preserve"> </w:t>
      </w:r>
      <w:proofErr w:type="spellStart"/>
      <w:r w:rsidRPr="00D91646">
        <w:rPr>
          <w:rFonts w:ascii="Times New Roman" w:eastAsia="Times New Roman" w:hAnsi="Times New Roman" w:cs="Times New Roman"/>
          <w:i/>
          <w:color w:val="000000"/>
          <w:sz w:val="24"/>
          <w:szCs w:val="24"/>
          <w:lang w:eastAsia="lv-LV"/>
        </w:rPr>
        <w:t>euro</w:t>
      </w:r>
      <w:proofErr w:type="spellEnd"/>
      <w:r w:rsidRPr="00D91646">
        <w:rPr>
          <w:rFonts w:ascii="Times New Roman" w:eastAsia="Times New Roman" w:hAnsi="Times New Roman" w:cs="Times New Roman"/>
          <w:color w:val="000000"/>
          <w:sz w:val="24"/>
          <w:szCs w:val="24"/>
          <w:lang w:eastAsia="lv-LV"/>
        </w:rPr>
        <w:t xml:space="preserve"> mēnesī, 2020.gadā 250</w:t>
      </w:r>
      <w:r>
        <w:rPr>
          <w:rFonts w:ascii="Times New Roman" w:eastAsia="Times New Roman" w:hAnsi="Times New Roman" w:cs="Times New Roman"/>
          <w:color w:val="000000"/>
          <w:sz w:val="24"/>
          <w:szCs w:val="24"/>
          <w:lang w:eastAsia="lv-LV"/>
        </w:rPr>
        <w:t xml:space="preserve"> </w:t>
      </w:r>
      <w:proofErr w:type="spellStart"/>
      <w:r w:rsidRPr="00D91646">
        <w:rPr>
          <w:rFonts w:ascii="Times New Roman" w:eastAsia="Times New Roman" w:hAnsi="Times New Roman" w:cs="Times New Roman"/>
          <w:i/>
          <w:color w:val="000000"/>
          <w:sz w:val="24"/>
          <w:szCs w:val="24"/>
          <w:lang w:eastAsia="lv-LV"/>
        </w:rPr>
        <w:t>euro</w:t>
      </w:r>
      <w:proofErr w:type="spellEnd"/>
      <w:r w:rsidRPr="00D91646">
        <w:rPr>
          <w:rFonts w:ascii="Times New Roman" w:eastAsia="Times New Roman" w:hAnsi="Times New Roman" w:cs="Times New Roman"/>
          <w:color w:val="000000"/>
          <w:sz w:val="24"/>
          <w:szCs w:val="24"/>
          <w:lang w:eastAsia="lv-LV"/>
        </w:rPr>
        <w:t xml:space="preserve"> mēnesī;</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color w:val="000000"/>
          <w:sz w:val="24"/>
          <w:szCs w:val="24"/>
          <w:lang w:eastAsia="lv-LV"/>
        </w:rPr>
        <w:t>atvieglojumu saņēmēju loka paplašināšana ar nestrādājošu laulāto, ja tas kopj bērnu;</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color w:val="000000"/>
          <w:sz w:val="24"/>
          <w:szCs w:val="24"/>
          <w:lang w:eastAsia="lv-LV"/>
        </w:rPr>
        <w:t xml:space="preserve">attaisnoto izdevumu normu pārskatīšana, palielinot ierobežojumu IIN attaisnotajiem izdevumiem par izglītību, medicīnu un ziedojumiem līdz 600 </w:t>
      </w:r>
      <w:proofErr w:type="spellStart"/>
      <w:r w:rsidRPr="00D91646">
        <w:rPr>
          <w:rFonts w:ascii="Times New Roman" w:eastAsia="Times New Roman" w:hAnsi="Times New Roman" w:cs="Times New Roman"/>
          <w:i/>
          <w:color w:val="000000"/>
          <w:sz w:val="24"/>
          <w:szCs w:val="24"/>
          <w:lang w:eastAsia="lv-LV"/>
        </w:rPr>
        <w:t>euro</w:t>
      </w:r>
      <w:proofErr w:type="spellEnd"/>
      <w:r w:rsidRPr="00D91646">
        <w:rPr>
          <w:rFonts w:ascii="Times New Roman" w:eastAsia="Times New Roman" w:hAnsi="Times New Roman" w:cs="Times New Roman"/>
          <w:color w:val="000000"/>
          <w:sz w:val="24"/>
          <w:szCs w:val="24"/>
          <w:lang w:eastAsia="lv-LV"/>
        </w:rPr>
        <w:t xml:space="preserve"> gadā (par sevi un katru savu ģimenes locekli 50% no apliekamā ienākuma), kā arī nosakot gan procentuālu (10% no gada apliekamā ienākuma), gan summāru ierobežojumu – 4</w:t>
      </w:r>
      <w:r>
        <w:rPr>
          <w:rFonts w:ascii="Times New Roman" w:eastAsia="Times New Roman" w:hAnsi="Times New Roman" w:cs="Times New Roman"/>
          <w:color w:val="000000"/>
          <w:sz w:val="24"/>
          <w:szCs w:val="24"/>
          <w:lang w:eastAsia="lv-LV"/>
        </w:rPr>
        <w:t> </w:t>
      </w:r>
      <w:r w:rsidRPr="00D91646">
        <w:rPr>
          <w:rFonts w:ascii="Times New Roman" w:eastAsia="Times New Roman" w:hAnsi="Times New Roman" w:cs="Times New Roman"/>
          <w:color w:val="000000"/>
          <w:sz w:val="24"/>
          <w:szCs w:val="24"/>
          <w:lang w:eastAsia="lv-LV"/>
        </w:rPr>
        <w:t xml:space="preserve">000 </w:t>
      </w:r>
      <w:proofErr w:type="spellStart"/>
      <w:r w:rsidRPr="00D91646">
        <w:rPr>
          <w:rFonts w:ascii="Times New Roman" w:eastAsia="Times New Roman" w:hAnsi="Times New Roman" w:cs="Times New Roman"/>
          <w:i/>
          <w:color w:val="000000"/>
          <w:sz w:val="24"/>
          <w:szCs w:val="24"/>
          <w:lang w:eastAsia="lv-LV"/>
        </w:rPr>
        <w:t>euro</w:t>
      </w:r>
      <w:proofErr w:type="spellEnd"/>
      <w:r w:rsidRPr="00D91646">
        <w:rPr>
          <w:rFonts w:ascii="Times New Roman" w:eastAsia="Times New Roman" w:hAnsi="Times New Roman" w:cs="Times New Roman"/>
          <w:color w:val="000000"/>
          <w:sz w:val="24"/>
          <w:szCs w:val="24"/>
          <w:lang w:eastAsia="lv-LV"/>
        </w:rPr>
        <w:t xml:space="preserve"> gadā – attaisnotajiem izdevumiem par iemaksām privātajos pensiju fondos un apdrošināšanas prēmiju;</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sz w:val="24"/>
          <w:szCs w:val="24"/>
        </w:rPr>
        <w:t>neapliekamā minimuma pensionāriem paaugstināšana 2018.gadā līdz 250</w:t>
      </w:r>
      <w:r>
        <w:rPr>
          <w:rFonts w:ascii="Times New Roman" w:eastAsia="Times New Roman" w:hAnsi="Times New Roman" w:cs="Times New Roman"/>
          <w:sz w:val="24"/>
          <w:szCs w:val="24"/>
        </w:rPr>
        <w:t xml:space="preserve"> </w:t>
      </w:r>
      <w:proofErr w:type="spellStart"/>
      <w:r w:rsidRPr="00D91646">
        <w:rPr>
          <w:rFonts w:ascii="Times New Roman" w:eastAsia="Times New Roman" w:hAnsi="Times New Roman" w:cs="Times New Roman"/>
          <w:i/>
          <w:sz w:val="24"/>
          <w:szCs w:val="24"/>
        </w:rPr>
        <w:t>euro</w:t>
      </w:r>
      <w:proofErr w:type="spellEnd"/>
      <w:r w:rsidRPr="00D91646">
        <w:rPr>
          <w:rFonts w:ascii="Times New Roman" w:eastAsia="Times New Roman" w:hAnsi="Times New Roman" w:cs="Times New Roman"/>
          <w:sz w:val="24"/>
          <w:szCs w:val="24"/>
        </w:rPr>
        <w:t xml:space="preserve"> mēnesī, 2019.gadā – līdz 270</w:t>
      </w:r>
      <w:r>
        <w:rPr>
          <w:rFonts w:ascii="Times New Roman" w:eastAsia="Times New Roman" w:hAnsi="Times New Roman" w:cs="Times New Roman"/>
          <w:sz w:val="24"/>
          <w:szCs w:val="24"/>
        </w:rPr>
        <w:t xml:space="preserve"> </w:t>
      </w:r>
      <w:proofErr w:type="spellStart"/>
      <w:r w:rsidRPr="00D91646">
        <w:rPr>
          <w:rFonts w:ascii="Times New Roman" w:eastAsia="Times New Roman" w:hAnsi="Times New Roman" w:cs="Times New Roman"/>
          <w:i/>
          <w:sz w:val="24"/>
          <w:szCs w:val="24"/>
        </w:rPr>
        <w:t>euro</w:t>
      </w:r>
      <w:proofErr w:type="spellEnd"/>
      <w:r>
        <w:rPr>
          <w:rFonts w:ascii="Times New Roman" w:eastAsia="Times New Roman" w:hAnsi="Times New Roman" w:cs="Times New Roman"/>
          <w:sz w:val="24"/>
          <w:szCs w:val="24"/>
        </w:rPr>
        <w:t xml:space="preserve"> mēnesī un 2020.gadā – līdz 300 </w:t>
      </w:r>
      <w:proofErr w:type="spellStart"/>
      <w:r w:rsidRPr="00D91646">
        <w:rPr>
          <w:rFonts w:ascii="Times New Roman" w:eastAsia="Times New Roman" w:hAnsi="Times New Roman" w:cs="Times New Roman"/>
          <w:i/>
          <w:sz w:val="24"/>
          <w:szCs w:val="24"/>
        </w:rPr>
        <w:t>euro</w:t>
      </w:r>
      <w:proofErr w:type="spellEnd"/>
      <w:r w:rsidRPr="00D91646">
        <w:rPr>
          <w:rFonts w:ascii="Times New Roman" w:eastAsia="Times New Roman" w:hAnsi="Times New Roman" w:cs="Times New Roman"/>
          <w:sz w:val="24"/>
          <w:szCs w:val="24"/>
        </w:rPr>
        <w:t xml:space="preserve"> mēnesī;</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sz w:val="24"/>
          <w:szCs w:val="24"/>
        </w:rPr>
        <w:t>minimālās algas paaugstināšana līdz 430</w:t>
      </w:r>
      <w:r>
        <w:rPr>
          <w:rFonts w:ascii="Times New Roman" w:eastAsia="Times New Roman" w:hAnsi="Times New Roman" w:cs="Times New Roman"/>
          <w:sz w:val="24"/>
          <w:szCs w:val="24"/>
        </w:rPr>
        <w:t xml:space="preserve"> </w:t>
      </w:r>
      <w:proofErr w:type="spellStart"/>
      <w:r w:rsidRPr="00D91646">
        <w:rPr>
          <w:rFonts w:ascii="Times New Roman" w:eastAsia="Times New Roman" w:hAnsi="Times New Roman" w:cs="Times New Roman"/>
          <w:i/>
          <w:spacing w:val="-6"/>
          <w:sz w:val="24"/>
          <w:szCs w:val="24"/>
        </w:rPr>
        <w:t>euro</w:t>
      </w:r>
      <w:proofErr w:type="spellEnd"/>
      <w:r w:rsidRPr="00D91646">
        <w:rPr>
          <w:rFonts w:ascii="Times New Roman" w:eastAsia="Times New Roman" w:hAnsi="Times New Roman" w:cs="Times New Roman"/>
          <w:i/>
          <w:spacing w:val="-6"/>
          <w:sz w:val="24"/>
          <w:szCs w:val="24"/>
        </w:rPr>
        <w:t xml:space="preserve"> </w:t>
      </w:r>
      <w:r w:rsidRPr="00D91646">
        <w:rPr>
          <w:rFonts w:ascii="Times New Roman" w:eastAsia="Times New Roman" w:hAnsi="Times New Roman" w:cs="Times New Roman"/>
          <w:spacing w:val="-6"/>
          <w:sz w:val="24"/>
          <w:szCs w:val="24"/>
        </w:rPr>
        <w:t>mēnesī</w:t>
      </w:r>
      <w:r w:rsidRPr="00D91646">
        <w:rPr>
          <w:rFonts w:ascii="Times New Roman" w:eastAsia="Times New Roman" w:hAnsi="Times New Roman" w:cs="Times New Roman"/>
          <w:sz w:val="24"/>
          <w:szCs w:val="24"/>
        </w:rPr>
        <w:t>;</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sz w:val="24"/>
          <w:szCs w:val="24"/>
        </w:rPr>
        <w:t xml:space="preserve">nodokļa likmes kapitālam un kapitāla pieaugumam vienādošana, </w:t>
      </w:r>
      <w:r w:rsidRPr="00D91646">
        <w:rPr>
          <w:rFonts w:ascii="Times New Roman" w:eastAsia="Times New Roman" w:hAnsi="Times New Roman" w:cs="Times New Roman"/>
          <w:spacing w:val="5"/>
          <w:sz w:val="24"/>
          <w:szCs w:val="24"/>
        </w:rPr>
        <w:t xml:space="preserve">nosakot to 20% apmērā (izņemot par dividendēm, ja tās jau ir apliktas uzņēmuma līmenī ar </w:t>
      </w:r>
      <w:r w:rsidRPr="00D91646">
        <w:rPr>
          <w:rFonts w:ascii="Times New Roman" w:eastAsia="Times New Roman" w:hAnsi="Times New Roman" w:cs="Times New Roman"/>
          <w:sz w:val="24"/>
          <w:szCs w:val="24"/>
        </w:rPr>
        <w:t>ienākuma nodokļa 20% likmi peļņas sadales brīdī</w:t>
      </w:r>
      <w:r w:rsidRPr="00D91646">
        <w:rPr>
          <w:rFonts w:ascii="Times New Roman" w:eastAsia="Times New Roman" w:hAnsi="Times New Roman" w:cs="Times New Roman"/>
          <w:color w:val="000000"/>
          <w:sz w:val="24"/>
          <w:szCs w:val="24"/>
          <w:lang w:eastAsia="lv-LV"/>
        </w:rPr>
        <w:t>;</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u w:val="single"/>
          <w:lang w:eastAsia="lv-LV"/>
        </w:rPr>
      </w:pPr>
      <w:r w:rsidRPr="00D91646">
        <w:rPr>
          <w:rFonts w:ascii="Times New Roman" w:eastAsia="Times New Roman" w:hAnsi="Times New Roman" w:cs="Times New Roman"/>
          <w:color w:val="000000"/>
          <w:sz w:val="24"/>
          <w:szCs w:val="24"/>
          <w:lang w:eastAsia="lv-LV"/>
        </w:rPr>
        <w:t>saimnieciskās darbības izdevumos summas, kas nepārsniedz 80% no saimnieciskās darbības ieņēmumiem;</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sz w:val="24"/>
          <w:szCs w:val="24"/>
        </w:rPr>
        <w:t>izložu vai azartspēļu laimestu, kas pārsniedz 3</w:t>
      </w:r>
      <w:r>
        <w:rPr>
          <w:rFonts w:ascii="Times New Roman" w:eastAsia="Times New Roman" w:hAnsi="Times New Roman" w:cs="Times New Roman"/>
          <w:sz w:val="24"/>
          <w:szCs w:val="24"/>
        </w:rPr>
        <w:t> </w:t>
      </w:r>
      <w:r w:rsidRPr="00D91646">
        <w:rPr>
          <w:rFonts w:ascii="Times New Roman" w:eastAsia="Times New Roman" w:hAnsi="Times New Roman" w:cs="Times New Roman"/>
          <w:sz w:val="24"/>
          <w:szCs w:val="24"/>
        </w:rPr>
        <w:t xml:space="preserve">000 </w:t>
      </w:r>
      <w:proofErr w:type="spellStart"/>
      <w:r w:rsidRPr="00D91646">
        <w:rPr>
          <w:rFonts w:ascii="Times New Roman" w:eastAsia="Times New Roman" w:hAnsi="Times New Roman" w:cs="Times New Roman"/>
          <w:i/>
          <w:sz w:val="24"/>
          <w:szCs w:val="24"/>
        </w:rPr>
        <w:t>euro</w:t>
      </w:r>
      <w:proofErr w:type="spellEnd"/>
      <w:r w:rsidRPr="00D91646">
        <w:rPr>
          <w:rFonts w:ascii="Times New Roman" w:eastAsia="Times New Roman" w:hAnsi="Times New Roman" w:cs="Times New Roman"/>
          <w:sz w:val="24"/>
          <w:szCs w:val="24"/>
        </w:rPr>
        <w:t xml:space="preserve"> aplikšana ar IIN, piemērojot nodokļa likmi 20%</w:t>
      </w:r>
      <w:r w:rsidRPr="00D91646">
        <w:rPr>
          <w:rFonts w:ascii="Times New Roman" w:eastAsia="Times New Roman" w:hAnsi="Times New Roman" w:cs="Times New Roman"/>
          <w:color w:val="000000"/>
          <w:sz w:val="24"/>
          <w:szCs w:val="24"/>
          <w:lang w:eastAsia="lv-LV"/>
        </w:rPr>
        <w:t>;</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sz w:val="24"/>
          <w:szCs w:val="24"/>
        </w:rPr>
        <w:t>patentmaksas režīma uzlabošana, nosakot vienotu patentmaksas apmēru 50</w:t>
      </w:r>
      <w:r>
        <w:rPr>
          <w:rFonts w:ascii="Times New Roman" w:eastAsia="Times New Roman" w:hAnsi="Times New Roman" w:cs="Times New Roman"/>
          <w:sz w:val="24"/>
          <w:szCs w:val="24"/>
        </w:rPr>
        <w:t xml:space="preserve"> </w:t>
      </w:r>
      <w:proofErr w:type="spellStart"/>
      <w:r w:rsidRPr="00D91646">
        <w:rPr>
          <w:rFonts w:ascii="Times New Roman" w:eastAsia="Times New Roman" w:hAnsi="Times New Roman" w:cs="Times New Roman"/>
          <w:i/>
          <w:sz w:val="24"/>
          <w:szCs w:val="24"/>
        </w:rPr>
        <w:t>euro</w:t>
      </w:r>
      <w:proofErr w:type="spellEnd"/>
      <w:r w:rsidRPr="00D91646">
        <w:rPr>
          <w:rFonts w:ascii="Times New Roman" w:eastAsia="Times New Roman" w:hAnsi="Times New Roman" w:cs="Times New Roman"/>
          <w:sz w:val="24"/>
          <w:szCs w:val="24"/>
        </w:rPr>
        <w:t xml:space="preserve"> un 100</w:t>
      </w:r>
      <w:r>
        <w:rPr>
          <w:rFonts w:ascii="Times New Roman" w:eastAsia="Times New Roman" w:hAnsi="Times New Roman" w:cs="Times New Roman"/>
          <w:sz w:val="24"/>
          <w:szCs w:val="24"/>
        </w:rPr>
        <w:t xml:space="preserve"> </w:t>
      </w:r>
      <w:proofErr w:type="spellStart"/>
      <w:r w:rsidRPr="00D91646">
        <w:rPr>
          <w:rFonts w:ascii="Times New Roman" w:eastAsia="Times New Roman" w:hAnsi="Times New Roman" w:cs="Times New Roman"/>
          <w:i/>
          <w:sz w:val="24"/>
          <w:szCs w:val="24"/>
        </w:rPr>
        <w:t>euro</w:t>
      </w:r>
      <w:proofErr w:type="spellEnd"/>
      <w:r w:rsidRPr="00D91646">
        <w:rPr>
          <w:rFonts w:ascii="Times New Roman" w:eastAsia="Times New Roman" w:hAnsi="Times New Roman" w:cs="Times New Roman"/>
          <w:sz w:val="24"/>
          <w:szCs w:val="24"/>
        </w:rPr>
        <w:t>, atsakoties no pārāk detalizēta saimnieciskās darbības veidu sadalījuma, kā arī vienkāršojot to samaksu. Piemērot samazinātās patentmaksas režīmu arī personām ar I. un II. grupas</w:t>
      </w:r>
      <w:r w:rsidRPr="00D91646">
        <w:rPr>
          <w:rFonts w:ascii="Times New Roman" w:eastAsia="Times New Roman" w:hAnsi="Times New Roman" w:cs="Times New Roman"/>
          <w:color w:val="000000"/>
          <w:sz w:val="24"/>
          <w:szCs w:val="24"/>
          <w:lang w:eastAsia="lv-LV"/>
        </w:rPr>
        <w:t>;</w:t>
      </w:r>
    </w:p>
    <w:p w:rsidR="00D91646" w:rsidRPr="00D91646" w:rsidRDefault="00D91646" w:rsidP="00DA42C2">
      <w:pPr>
        <w:numPr>
          <w:ilvl w:val="0"/>
          <w:numId w:val="11"/>
        </w:numPr>
        <w:spacing w:after="0" w:line="240" w:lineRule="auto"/>
        <w:ind w:left="1134" w:hanging="357"/>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sz w:val="24"/>
          <w:szCs w:val="24"/>
        </w:rPr>
        <w:lastRenderedPageBreak/>
        <w:t xml:space="preserve">izmaiņas dividenžu politikā saistībā ar </w:t>
      </w:r>
      <w:proofErr w:type="spellStart"/>
      <w:r w:rsidRPr="00D91646">
        <w:rPr>
          <w:rFonts w:ascii="Times New Roman" w:eastAsia="Times New Roman" w:hAnsi="Times New Roman" w:cs="Times New Roman"/>
          <w:sz w:val="24"/>
          <w:szCs w:val="24"/>
        </w:rPr>
        <w:t>reinvestētās</w:t>
      </w:r>
      <w:proofErr w:type="spellEnd"/>
      <w:r w:rsidRPr="00D91646">
        <w:rPr>
          <w:rFonts w:ascii="Times New Roman" w:eastAsia="Times New Roman" w:hAnsi="Times New Roman" w:cs="Times New Roman"/>
          <w:sz w:val="24"/>
          <w:szCs w:val="24"/>
        </w:rPr>
        <w:t xml:space="preserve"> peļņas režīma ieviešanu uzņēmumu ienākuma;</w:t>
      </w:r>
    </w:p>
    <w:p w:rsidR="00D91646" w:rsidRPr="00D91646" w:rsidRDefault="00D91646" w:rsidP="00DA42C2">
      <w:pPr>
        <w:numPr>
          <w:ilvl w:val="0"/>
          <w:numId w:val="11"/>
        </w:numPr>
        <w:spacing w:after="0" w:line="240" w:lineRule="auto"/>
        <w:ind w:left="1134"/>
        <w:jc w:val="both"/>
        <w:rPr>
          <w:rFonts w:ascii="Times New Roman" w:eastAsia="Times New Roman" w:hAnsi="Times New Roman" w:cs="Times New Roman"/>
          <w:color w:val="000000"/>
          <w:sz w:val="24"/>
          <w:szCs w:val="24"/>
          <w:lang w:eastAsia="lv-LV"/>
        </w:rPr>
      </w:pPr>
      <w:proofErr w:type="spellStart"/>
      <w:r w:rsidRPr="00D91646">
        <w:rPr>
          <w:rFonts w:ascii="Times New Roman" w:eastAsia="Times New Roman" w:hAnsi="Times New Roman" w:cs="Times New Roman"/>
          <w:sz w:val="24"/>
          <w:szCs w:val="24"/>
        </w:rPr>
        <w:t>mikrouzņēmumu</w:t>
      </w:r>
      <w:proofErr w:type="spellEnd"/>
      <w:r w:rsidRPr="00D91646">
        <w:rPr>
          <w:rFonts w:ascii="Times New Roman" w:eastAsia="Times New Roman" w:hAnsi="Times New Roman" w:cs="Times New Roman"/>
          <w:sz w:val="24"/>
          <w:szCs w:val="24"/>
        </w:rPr>
        <w:t xml:space="preserve"> gada apgrozījuma sliekšņa samazināšana līdz 40 tūkst.</w:t>
      </w:r>
      <w:r w:rsidR="00DA42C2">
        <w:rPr>
          <w:rFonts w:ascii="Times New Roman" w:eastAsia="Times New Roman" w:hAnsi="Times New Roman" w:cs="Times New Roman"/>
          <w:sz w:val="24"/>
          <w:szCs w:val="24"/>
        </w:rPr>
        <w:t xml:space="preserve"> </w:t>
      </w:r>
      <w:proofErr w:type="spellStart"/>
      <w:r w:rsidRPr="00D91646">
        <w:rPr>
          <w:rFonts w:ascii="Times New Roman" w:eastAsia="Times New Roman" w:hAnsi="Times New Roman" w:cs="Times New Roman"/>
          <w:i/>
          <w:sz w:val="24"/>
          <w:szCs w:val="24"/>
        </w:rPr>
        <w:t>euro</w:t>
      </w:r>
      <w:proofErr w:type="spellEnd"/>
      <w:r w:rsidRPr="00D91646">
        <w:rPr>
          <w:rFonts w:ascii="Times New Roman" w:eastAsia="Times New Roman" w:hAnsi="Times New Roman" w:cs="Times New Roman"/>
          <w:color w:val="000000"/>
          <w:sz w:val="24"/>
          <w:szCs w:val="24"/>
          <w:lang w:eastAsia="lv-LV"/>
        </w:rPr>
        <w:t>;</w:t>
      </w:r>
    </w:p>
    <w:p w:rsidR="00D91646" w:rsidRPr="00D91646" w:rsidRDefault="00D91646" w:rsidP="00DA42C2">
      <w:pPr>
        <w:numPr>
          <w:ilvl w:val="0"/>
          <w:numId w:val="11"/>
        </w:numPr>
        <w:spacing w:after="0" w:line="240" w:lineRule="auto"/>
        <w:ind w:left="1134"/>
        <w:jc w:val="both"/>
        <w:rPr>
          <w:rFonts w:ascii="Times New Roman" w:eastAsia="Times New Roman" w:hAnsi="Times New Roman" w:cs="Times New Roman"/>
          <w:color w:val="000000"/>
          <w:sz w:val="24"/>
          <w:szCs w:val="24"/>
          <w:lang w:eastAsia="lv-LV"/>
        </w:rPr>
      </w:pPr>
      <w:r w:rsidRPr="00D91646">
        <w:rPr>
          <w:rFonts w:ascii="Times New Roman" w:eastAsia="Times New Roman" w:hAnsi="Times New Roman" w:cs="Times New Roman"/>
          <w:color w:val="000000"/>
          <w:sz w:val="24"/>
          <w:szCs w:val="24"/>
          <w:lang w:eastAsia="lv-LV"/>
        </w:rPr>
        <w:t>solidaritātes nodokļa transformēšana IIN (10,5% virs noteiktajiem SOC iemaksu griestiem).</w:t>
      </w:r>
    </w:p>
    <w:p w:rsidR="00D91646" w:rsidRPr="00D91646" w:rsidRDefault="00D91646" w:rsidP="00D91646">
      <w:pPr>
        <w:spacing w:after="0" w:line="240" w:lineRule="auto"/>
        <w:ind w:firstLine="709"/>
        <w:jc w:val="both"/>
        <w:rPr>
          <w:rFonts w:ascii="Times New Roman" w:eastAsia="Times New Roman" w:hAnsi="Times New Roman" w:cs="Times New Roman"/>
          <w:b/>
          <w:sz w:val="24"/>
          <w:szCs w:val="28"/>
          <w:u w:val="single"/>
          <w:lang w:eastAsia="lv-LV"/>
        </w:rPr>
      </w:pPr>
    </w:p>
    <w:p w:rsidR="00D91646" w:rsidRPr="00D91646" w:rsidRDefault="00D91646" w:rsidP="00DC41EC">
      <w:pPr>
        <w:spacing w:after="0" w:line="240" w:lineRule="auto"/>
        <w:ind w:firstLine="720"/>
        <w:jc w:val="both"/>
        <w:rPr>
          <w:rFonts w:ascii="Times New Roman" w:eastAsia="Times New Roman" w:hAnsi="Times New Roman" w:cs="Times New Roman"/>
          <w:sz w:val="24"/>
          <w:szCs w:val="24"/>
        </w:rPr>
      </w:pPr>
      <w:r w:rsidRPr="00D91646">
        <w:rPr>
          <w:rFonts w:ascii="Times New Roman" w:eastAsia="Times New Roman" w:hAnsi="Times New Roman" w:cs="Times New Roman"/>
          <w:i/>
          <w:color w:val="000000"/>
          <w:sz w:val="24"/>
          <w:szCs w:val="24"/>
        </w:rPr>
        <w:t>Nodokļu reformas</w:t>
      </w:r>
      <w:r w:rsidRPr="00D91646">
        <w:rPr>
          <w:rFonts w:ascii="Times New Roman" w:eastAsia="Times New Roman" w:hAnsi="Times New Roman" w:cs="Times New Roman"/>
          <w:color w:val="000000"/>
          <w:sz w:val="24"/>
          <w:szCs w:val="24"/>
        </w:rPr>
        <w:t xml:space="preserve"> ietvaros </w:t>
      </w:r>
      <w:r w:rsidRPr="00D91646">
        <w:rPr>
          <w:rFonts w:ascii="Times New Roman" w:eastAsia="Times New Roman" w:hAnsi="Times New Roman" w:cs="Times New Roman"/>
          <w:sz w:val="24"/>
          <w:szCs w:val="24"/>
        </w:rPr>
        <w:t>2017.gada 27.jūlijā tika pieņemti grozījumi likumā „Par akcīzes nodokli”, ar ko 2018.</w:t>
      </w:r>
      <w:r w:rsidR="00DA42C2" w:rsidRPr="00D91646">
        <w:rPr>
          <w:rFonts w:ascii="Times New Roman" w:eastAsia="Times New Roman" w:hAnsi="Times New Roman" w:cs="Times New Roman"/>
          <w:color w:val="000000"/>
          <w:sz w:val="24"/>
          <w:szCs w:val="24"/>
          <w:lang w:eastAsia="lv-LV"/>
        </w:rPr>
        <w:t xml:space="preserve"> – </w:t>
      </w:r>
      <w:r w:rsidRPr="00D91646">
        <w:rPr>
          <w:rFonts w:ascii="Times New Roman" w:eastAsia="Times New Roman" w:hAnsi="Times New Roman" w:cs="Times New Roman"/>
          <w:sz w:val="24"/>
          <w:szCs w:val="24"/>
        </w:rPr>
        <w:t xml:space="preserve">2020.gadā tika noteiktas izmaiņas attiecībā uz </w:t>
      </w:r>
      <w:r w:rsidRPr="00D91646">
        <w:rPr>
          <w:rFonts w:ascii="Times New Roman" w:eastAsia="Times New Roman" w:hAnsi="Times New Roman" w:cs="Times New Roman"/>
          <w:b/>
          <w:sz w:val="24"/>
          <w:szCs w:val="24"/>
        </w:rPr>
        <w:t>akcīzes nodokļ</w:t>
      </w:r>
      <w:r w:rsidRPr="00D91646">
        <w:rPr>
          <w:rFonts w:ascii="Times New Roman" w:eastAsia="Times New Roman" w:hAnsi="Times New Roman" w:cs="Times New Roman"/>
          <w:sz w:val="24"/>
          <w:szCs w:val="24"/>
        </w:rPr>
        <w:t>a likmēm alkoholiskajiem dzērieniem, alum, tabakas izstrādājumiem un naftas produktiem, ko izmanto par degvielu.</w:t>
      </w:r>
    </w:p>
    <w:p w:rsidR="00D91646" w:rsidRPr="00D91646" w:rsidRDefault="00D91646" w:rsidP="00DC41EC">
      <w:pPr>
        <w:spacing w:after="0" w:line="240" w:lineRule="auto"/>
        <w:ind w:firstLine="720"/>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color w:val="000000"/>
          <w:sz w:val="24"/>
          <w:szCs w:val="24"/>
        </w:rPr>
        <w:t xml:space="preserve">Ar minētajiem grozījumiem tika noteikts </w:t>
      </w:r>
      <w:r w:rsidRPr="00D91646">
        <w:rPr>
          <w:rFonts w:ascii="Times New Roman" w:eastAsia="Times New Roman" w:hAnsi="Times New Roman" w:cs="Times New Roman"/>
          <w:b/>
          <w:color w:val="000000"/>
          <w:sz w:val="24"/>
          <w:szCs w:val="24"/>
        </w:rPr>
        <w:t>akcīzes nodokļa naftas produktiem</w:t>
      </w:r>
      <w:r w:rsidRPr="00D91646">
        <w:rPr>
          <w:rFonts w:ascii="Times New Roman" w:eastAsia="Times New Roman" w:hAnsi="Times New Roman" w:cs="Times New Roman"/>
          <w:color w:val="000000"/>
          <w:sz w:val="24"/>
          <w:szCs w:val="24"/>
        </w:rPr>
        <w:t>, ko izmanto par degvielu, pieaugums ar 2018.gada un 2020.gada 1.janvāri (sk</w:t>
      </w:r>
      <w:r w:rsidR="006D1A8A">
        <w:rPr>
          <w:rFonts w:ascii="Times New Roman" w:eastAsia="Times New Roman" w:hAnsi="Times New Roman" w:cs="Times New Roman"/>
          <w:color w:val="000000"/>
          <w:sz w:val="24"/>
          <w:szCs w:val="24"/>
        </w:rPr>
        <w:t>at</w:t>
      </w:r>
      <w:r w:rsidRPr="00D91646">
        <w:rPr>
          <w:rFonts w:ascii="Times New Roman" w:eastAsia="Times New Roman" w:hAnsi="Times New Roman" w:cs="Times New Roman"/>
          <w:color w:val="000000"/>
          <w:sz w:val="24"/>
          <w:szCs w:val="24"/>
        </w:rPr>
        <w:t xml:space="preserve">. </w:t>
      </w:r>
      <w:r w:rsidR="001D07D9">
        <w:rPr>
          <w:rFonts w:ascii="Times New Roman" w:eastAsia="Times New Roman" w:hAnsi="Times New Roman" w:cs="Times New Roman"/>
          <w:color w:val="000000"/>
          <w:sz w:val="24"/>
          <w:szCs w:val="24"/>
        </w:rPr>
        <w:t>5.4</w:t>
      </w:r>
      <w:r w:rsidRPr="00D91646">
        <w:rPr>
          <w:rFonts w:ascii="Times New Roman" w:eastAsia="Times New Roman" w:hAnsi="Times New Roman" w:cs="Times New Roman"/>
          <w:color w:val="000000"/>
          <w:sz w:val="24"/>
          <w:szCs w:val="24"/>
        </w:rPr>
        <w:t>.tabulu).</w:t>
      </w:r>
    </w:p>
    <w:p w:rsidR="00DA42C2" w:rsidRDefault="00DA42C2" w:rsidP="00D91646">
      <w:pPr>
        <w:spacing w:after="0" w:line="240" w:lineRule="auto"/>
        <w:ind w:firstLine="567"/>
        <w:jc w:val="center"/>
        <w:rPr>
          <w:rFonts w:ascii="Times New Roman" w:eastAsia="Times New Roman" w:hAnsi="Times New Roman" w:cs="Times New Roman"/>
          <w:b/>
          <w:sz w:val="24"/>
          <w:szCs w:val="20"/>
          <w:highlight w:val="yellow"/>
        </w:rPr>
      </w:pPr>
    </w:p>
    <w:p w:rsidR="00D91646" w:rsidRPr="00D91646" w:rsidRDefault="001D07D9" w:rsidP="00DA42C2">
      <w:pPr>
        <w:spacing w:after="0" w:line="240" w:lineRule="auto"/>
        <w:ind w:firstLine="567"/>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5.4</w:t>
      </w:r>
      <w:r w:rsidR="00D91646" w:rsidRPr="00D91646">
        <w:rPr>
          <w:rFonts w:ascii="Times New Roman" w:eastAsia="Times New Roman" w:hAnsi="Times New Roman" w:cs="Times New Roman"/>
          <w:b/>
          <w:sz w:val="24"/>
          <w:szCs w:val="20"/>
        </w:rPr>
        <w:t>.tabula. Akcīzes nodokļa likmes naftas produktiem</w:t>
      </w:r>
    </w:p>
    <w:tbl>
      <w:tblPr>
        <w:tblStyle w:val="GridTable6Colorful-Accent111"/>
        <w:tblW w:w="8931" w:type="dxa"/>
        <w:jc w:val="center"/>
        <w:tblLook w:val="04A0" w:firstRow="1" w:lastRow="0" w:firstColumn="1" w:lastColumn="0" w:noHBand="0" w:noVBand="1"/>
      </w:tblPr>
      <w:tblGrid>
        <w:gridCol w:w="6096"/>
        <w:gridCol w:w="1559"/>
        <w:gridCol w:w="1276"/>
      </w:tblGrid>
      <w:tr w:rsidR="00D91646" w:rsidRPr="00D91646" w:rsidTr="00D91646">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noWrap/>
            <w:hideMark/>
          </w:tcPr>
          <w:p w:rsidR="00D91646" w:rsidRPr="00D91646" w:rsidRDefault="00D91646" w:rsidP="00D91646">
            <w:pPr>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Akcīzes nodokļa objekts</w:t>
            </w:r>
          </w:p>
        </w:tc>
        <w:tc>
          <w:tcPr>
            <w:tcW w:w="1559" w:type="dxa"/>
            <w:noWrap/>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01.01.2018.</w:t>
            </w:r>
          </w:p>
        </w:tc>
        <w:tc>
          <w:tcPr>
            <w:tcW w:w="1276" w:type="dxa"/>
            <w:noWrap/>
            <w:vAlign w:val="center"/>
            <w:hideMark/>
          </w:tcPr>
          <w:p w:rsidR="00D91646" w:rsidRPr="00D91646"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01.01.2020.</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Svinu nesaturošs benzīns,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1 000 litriem</w:t>
            </w:r>
          </w:p>
        </w:tc>
        <w:tc>
          <w:tcPr>
            <w:tcW w:w="1559" w:type="dxa"/>
            <w:noWrap/>
            <w:vAlign w:val="bottom"/>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476,0</w:t>
            </w:r>
          </w:p>
        </w:tc>
        <w:tc>
          <w:tcPr>
            <w:tcW w:w="1276" w:type="dxa"/>
            <w:noWrap/>
            <w:vAlign w:val="bottom"/>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509,0</w:t>
            </w:r>
          </w:p>
        </w:tc>
      </w:tr>
      <w:tr w:rsidR="00D91646" w:rsidRPr="00D91646" w:rsidTr="00D91646">
        <w:trPr>
          <w:trHeight w:val="325"/>
          <w:jc w:val="center"/>
        </w:trPr>
        <w:tc>
          <w:tcPr>
            <w:cnfStyle w:val="001000000000" w:firstRow="0" w:lastRow="0" w:firstColumn="1" w:lastColumn="0" w:oddVBand="0" w:evenVBand="0" w:oddHBand="0" w:evenHBand="0" w:firstRowFirstColumn="0" w:firstRowLastColumn="0" w:lastRowFirstColumn="0" w:lastRowLastColumn="0"/>
            <w:tcW w:w="6096" w:type="dxa"/>
            <w:shd w:val="clear" w:color="auto" w:fill="auto"/>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Svinu saturošs benzīns,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1 000 litriem</w:t>
            </w:r>
          </w:p>
        </w:tc>
        <w:tc>
          <w:tcPr>
            <w:tcW w:w="1559" w:type="dxa"/>
            <w:shd w:val="clear" w:color="auto" w:fill="auto"/>
            <w:noWrap/>
            <w:vAlign w:val="bottom"/>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594,0</w:t>
            </w:r>
          </w:p>
        </w:tc>
        <w:tc>
          <w:tcPr>
            <w:tcW w:w="1276" w:type="dxa"/>
            <w:shd w:val="clear" w:color="auto" w:fill="auto"/>
            <w:noWrap/>
            <w:vAlign w:val="bottom"/>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594,0</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Dīzeļdegviela, petroleja,</w:t>
            </w:r>
            <w:r w:rsidRPr="00D91646">
              <w:rPr>
                <w:rFonts w:ascii="Calibri" w:eastAsia="Times New Roman" w:hAnsi="Calibri" w:cs="Times New Roman"/>
              </w:rPr>
              <w:t xml:space="preserve"> </w:t>
            </w:r>
            <w:r w:rsidRPr="00D91646">
              <w:rPr>
                <w:rFonts w:ascii="Times New Roman" w:eastAsia="Times New Roman" w:hAnsi="Times New Roman" w:cs="Times New Roman"/>
                <w:color w:val="000000"/>
                <w:sz w:val="20"/>
                <w:szCs w:val="20"/>
                <w:lang w:eastAsia="lv-LV"/>
              </w:rPr>
              <w:t>degvieleļļa</w:t>
            </w:r>
            <w:r w:rsidRPr="00D91646">
              <w:rPr>
                <w:rFonts w:ascii="Times New Roman" w:eastAsia="Times New Roman" w:hAnsi="Times New Roman" w:cs="Times New Roman"/>
                <w:color w:val="000000"/>
                <w:sz w:val="18"/>
                <w:szCs w:val="20"/>
                <w:lang w:eastAsia="lv-LV"/>
              </w:rPr>
              <w:t>*</w:t>
            </w:r>
            <w:r w:rsidRPr="00D91646">
              <w:rPr>
                <w:rFonts w:ascii="Times New Roman" w:eastAsia="Times New Roman" w:hAnsi="Times New Roman" w:cs="Times New Roman"/>
                <w:color w:val="000000"/>
                <w:sz w:val="20"/>
                <w:szCs w:val="20"/>
                <w:lang w:eastAsia="lv-LV"/>
              </w:rPr>
              <w:t xml:space="preserve">,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1 000 litriem</w:t>
            </w:r>
          </w:p>
        </w:tc>
        <w:tc>
          <w:tcPr>
            <w:tcW w:w="1559" w:type="dxa"/>
            <w:noWrap/>
            <w:vAlign w:val="bottom"/>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372,0</w:t>
            </w:r>
          </w:p>
        </w:tc>
        <w:tc>
          <w:tcPr>
            <w:tcW w:w="1276" w:type="dxa"/>
            <w:noWrap/>
            <w:vAlign w:val="bottom"/>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414,0</w:t>
            </w:r>
          </w:p>
        </w:tc>
      </w:tr>
      <w:tr w:rsidR="00D91646" w:rsidRPr="00D91646" w:rsidTr="00D91646">
        <w:trPr>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Dīzeļdegviela, ko izmanto lauksaimniecībā</w:t>
            </w:r>
            <w:r w:rsidRPr="00D91646">
              <w:rPr>
                <w:rFonts w:ascii="Times New Roman" w:eastAsia="Times New Roman" w:hAnsi="Times New Roman" w:cs="Times New Roman"/>
                <w:color w:val="000000"/>
                <w:sz w:val="18"/>
                <w:szCs w:val="20"/>
                <w:lang w:eastAsia="lv-LV"/>
              </w:rPr>
              <w:t xml:space="preserve">**,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1 000 litriem</w:t>
            </w:r>
          </w:p>
        </w:tc>
        <w:tc>
          <w:tcPr>
            <w:tcW w:w="1559" w:type="dxa"/>
            <w:noWrap/>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55,8</w:t>
            </w:r>
            <w:r w:rsidRPr="00D91646">
              <w:rPr>
                <w:rFonts w:ascii="Times New Roman" w:eastAsia="Times New Roman" w:hAnsi="Times New Roman" w:cs="Times New Roman"/>
                <w:color w:val="000000"/>
                <w:sz w:val="16"/>
                <w:szCs w:val="20"/>
                <w:lang w:eastAsia="lv-LV"/>
              </w:rPr>
              <w:t>***</w:t>
            </w:r>
          </w:p>
        </w:tc>
        <w:tc>
          <w:tcPr>
            <w:tcW w:w="1276" w:type="dxa"/>
            <w:noWrap/>
            <w:vAlign w:val="center"/>
            <w:hideMark/>
          </w:tcPr>
          <w:p w:rsidR="00D91646" w:rsidRPr="00D91646"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62,1</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Sašķidrinātās naftas gāzes,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1 000 kg</w:t>
            </w:r>
          </w:p>
        </w:tc>
        <w:tc>
          <w:tcPr>
            <w:tcW w:w="1559" w:type="dxa"/>
            <w:noWrap/>
            <w:vAlign w:val="bottom"/>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244,0</w:t>
            </w:r>
          </w:p>
        </w:tc>
        <w:tc>
          <w:tcPr>
            <w:tcW w:w="1276" w:type="dxa"/>
            <w:noWrap/>
            <w:vAlign w:val="bottom"/>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285,0</w:t>
            </w:r>
          </w:p>
        </w:tc>
      </w:tr>
    </w:tbl>
    <w:p w:rsidR="00D91646" w:rsidRPr="00D91646" w:rsidRDefault="00D91646" w:rsidP="00D91646">
      <w:pPr>
        <w:spacing w:after="0" w:line="240" w:lineRule="auto"/>
        <w:jc w:val="both"/>
        <w:rPr>
          <w:rFonts w:ascii="Times New Roman" w:eastAsia="Times New Roman" w:hAnsi="Times New Roman" w:cs="Times New Roman"/>
          <w:sz w:val="18"/>
          <w:szCs w:val="18"/>
        </w:rPr>
      </w:pPr>
      <w:r w:rsidRPr="00D91646">
        <w:rPr>
          <w:rFonts w:ascii="Times New Roman" w:eastAsia="Calibri" w:hAnsi="Times New Roman" w:cs="Times New Roman"/>
          <w:i/>
          <w:sz w:val="18"/>
          <w:szCs w:val="18"/>
        </w:rPr>
        <w:t>*</w:t>
      </w:r>
      <w:r w:rsidRPr="00D91646">
        <w:rPr>
          <w:rFonts w:ascii="Times New Roman" w:eastAsia="Calibri" w:hAnsi="Times New Roman" w:cs="Times New Roman"/>
          <w:sz w:val="18"/>
          <w:szCs w:val="18"/>
        </w:rPr>
        <w:t xml:space="preserve"> </w:t>
      </w:r>
      <w:r w:rsidRPr="00D91646">
        <w:rPr>
          <w:rFonts w:ascii="Times New Roman" w:eastAsia="Calibri" w:hAnsi="Times New Roman" w:cs="Times New Roman"/>
          <w:i/>
          <w:sz w:val="18"/>
          <w:szCs w:val="18"/>
        </w:rPr>
        <w:t>degvieleļļai, kuras kolorimetriskais indekss ir mazāks par 2,0 un kinemātiskā viskozitāte 50°C ir mazāka par 25 mm2/s, to aizstājējproduktiem un komponentiem</w:t>
      </w:r>
    </w:p>
    <w:p w:rsidR="00D91646" w:rsidRPr="00D91646" w:rsidRDefault="00D91646" w:rsidP="00D91646">
      <w:pPr>
        <w:spacing w:after="0" w:line="240" w:lineRule="auto"/>
        <w:rPr>
          <w:rFonts w:ascii="Times New Roman" w:eastAsia="Calibri" w:hAnsi="Times New Roman" w:cs="Times New Roman"/>
          <w:i/>
          <w:color w:val="000000"/>
          <w:sz w:val="18"/>
          <w:szCs w:val="18"/>
        </w:rPr>
      </w:pPr>
      <w:r w:rsidRPr="00D91646">
        <w:rPr>
          <w:rFonts w:ascii="Times New Roman" w:eastAsia="Calibri" w:hAnsi="Times New Roman" w:cs="Times New Roman"/>
          <w:i/>
          <w:sz w:val="18"/>
          <w:szCs w:val="18"/>
        </w:rPr>
        <w:t>**</w:t>
      </w:r>
      <w:r w:rsidRPr="00D91646">
        <w:rPr>
          <w:rFonts w:ascii="Times New Roman" w:eastAsia="Calibri" w:hAnsi="Times New Roman" w:cs="Times New Roman"/>
          <w:i/>
          <w:color w:val="000000"/>
          <w:sz w:val="18"/>
          <w:szCs w:val="18"/>
        </w:rPr>
        <w:t>iezīmētā (marķētā) dīzeļdegviela (gāzeļļa), ko izmanto lauksaimniecības produkcijas ražošanai, lauksaimniecības zemes apstrādei un meža vai purva zemes apstrādei, kurā kultivē dzērvenes vai mellenes, kā arī zemes apstrādei zem zivju dīķiem</w:t>
      </w:r>
    </w:p>
    <w:p w:rsidR="00D91646" w:rsidRPr="00D91646" w:rsidRDefault="00D91646" w:rsidP="00D91646">
      <w:pPr>
        <w:spacing w:after="0" w:line="240" w:lineRule="auto"/>
        <w:jc w:val="both"/>
        <w:rPr>
          <w:rFonts w:ascii="Times New Roman" w:eastAsia="Calibri" w:hAnsi="Times New Roman" w:cs="Times New Roman"/>
          <w:i/>
          <w:color w:val="000000"/>
          <w:sz w:val="18"/>
          <w:szCs w:val="18"/>
        </w:rPr>
      </w:pPr>
      <w:r w:rsidRPr="00D91646">
        <w:rPr>
          <w:rFonts w:ascii="Times New Roman" w:eastAsia="Calibri" w:hAnsi="Times New Roman" w:cs="Times New Roman"/>
          <w:i/>
          <w:color w:val="000000"/>
          <w:sz w:val="18"/>
          <w:szCs w:val="18"/>
        </w:rPr>
        <w:t>*** likme spēkā ar 2018.gada 1.jūliju. Līdz 2018.gada 30.jūnijam likme 50,0 </w:t>
      </w:r>
      <w:proofErr w:type="spellStart"/>
      <w:r w:rsidRPr="00D91646">
        <w:rPr>
          <w:rFonts w:ascii="Times New Roman" w:eastAsia="Calibri" w:hAnsi="Times New Roman" w:cs="Times New Roman"/>
          <w:i/>
          <w:color w:val="000000"/>
          <w:sz w:val="18"/>
          <w:szCs w:val="18"/>
        </w:rPr>
        <w:t>euro</w:t>
      </w:r>
      <w:proofErr w:type="spellEnd"/>
      <w:r w:rsidRPr="00D91646">
        <w:rPr>
          <w:rFonts w:ascii="Times New Roman" w:eastAsia="Calibri" w:hAnsi="Times New Roman" w:cs="Times New Roman"/>
          <w:i/>
          <w:color w:val="000000"/>
          <w:sz w:val="18"/>
          <w:szCs w:val="18"/>
        </w:rPr>
        <w:t xml:space="preserve"> par 1 000 litriem.</w:t>
      </w:r>
    </w:p>
    <w:p w:rsidR="00D91646" w:rsidRPr="00D91646" w:rsidRDefault="00D91646" w:rsidP="00D91646">
      <w:pPr>
        <w:spacing w:after="0" w:line="240" w:lineRule="auto"/>
        <w:ind w:firstLine="567"/>
        <w:jc w:val="both"/>
        <w:rPr>
          <w:rFonts w:ascii="Times New Roman" w:eastAsia="Calibri" w:hAnsi="Times New Roman" w:cs="Times New Roman"/>
          <w:sz w:val="24"/>
        </w:rPr>
      </w:pPr>
    </w:p>
    <w:p w:rsidR="00D91646" w:rsidRPr="00D91646" w:rsidRDefault="00D91646" w:rsidP="00DC41EC">
      <w:pPr>
        <w:spacing w:after="0" w:line="240" w:lineRule="auto"/>
        <w:ind w:firstLine="720"/>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i/>
          <w:color w:val="000000"/>
          <w:sz w:val="24"/>
          <w:szCs w:val="24"/>
        </w:rPr>
        <w:t>Nodokļu reformas</w:t>
      </w:r>
      <w:r w:rsidRPr="00D91646">
        <w:rPr>
          <w:rFonts w:ascii="Times New Roman" w:eastAsia="Times New Roman" w:hAnsi="Times New Roman" w:cs="Times New Roman"/>
          <w:color w:val="000000"/>
          <w:sz w:val="24"/>
          <w:szCs w:val="24"/>
        </w:rPr>
        <w:t xml:space="preserve"> ietvaros pakāpenisks likmju paaugstinājums tika paredzēts arī akcīzes nodoklim alkoholiskajiem dzērieniem un alum. Ar 2018.gada 1.martu likmes tika paaugstinātas straujāk nekā iepriekš plānots, un tika noteikts pakāpenisks likmju pieaugums arī ar 2019. un 2020.gada 1.martu</w:t>
      </w:r>
      <w:r w:rsidRPr="001D07D9">
        <w:rPr>
          <w:rFonts w:ascii="Times New Roman" w:eastAsia="Times New Roman" w:hAnsi="Times New Roman" w:cs="Times New Roman"/>
          <w:color w:val="000000"/>
          <w:sz w:val="24"/>
          <w:szCs w:val="24"/>
        </w:rPr>
        <w:t xml:space="preserve">. </w:t>
      </w:r>
      <w:r w:rsidR="001D07D9" w:rsidRPr="001D07D9">
        <w:rPr>
          <w:rFonts w:ascii="Times New Roman" w:eastAsia="Times New Roman" w:hAnsi="Times New Roman" w:cs="Times New Roman"/>
          <w:color w:val="000000"/>
          <w:sz w:val="24"/>
          <w:szCs w:val="24"/>
        </w:rPr>
        <w:t>5.5</w:t>
      </w:r>
      <w:r w:rsidRPr="001D07D9">
        <w:rPr>
          <w:rFonts w:ascii="Times New Roman" w:eastAsia="Times New Roman" w:hAnsi="Times New Roman" w:cs="Times New Roman"/>
          <w:color w:val="000000"/>
          <w:sz w:val="24"/>
          <w:szCs w:val="24"/>
        </w:rPr>
        <w:t>.</w:t>
      </w:r>
      <w:r w:rsidRPr="00D91646">
        <w:rPr>
          <w:rFonts w:ascii="Times New Roman" w:eastAsia="Times New Roman" w:hAnsi="Times New Roman" w:cs="Times New Roman"/>
          <w:color w:val="000000"/>
          <w:sz w:val="24"/>
          <w:szCs w:val="24"/>
        </w:rPr>
        <w:t>tabulā atspoguļots likmju paaugstināšanas grafiks.</w:t>
      </w:r>
    </w:p>
    <w:p w:rsidR="00D91646" w:rsidRPr="00D91646" w:rsidRDefault="001D07D9" w:rsidP="00D91646">
      <w:pPr>
        <w:spacing w:before="120" w:after="60"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b/>
          <w:sz w:val="24"/>
          <w:szCs w:val="20"/>
        </w:rPr>
        <w:t>5.5</w:t>
      </w:r>
      <w:r w:rsidR="00D91646" w:rsidRPr="00D91646">
        <w:rPr>
          <w:rFonts w:ascii="Times New Roman" w:eastAsia="Times New Roman" w:hAnsi="Times New Roman" w:cs="Times New Roman"/>
          <w:b/>
          <w:sz w:val="24"/>
          <w:szCs w:val="20"/>
        </w:rPr>
        <w:t xml:space="preserve">.tabula. Akcīzes nodokļa likmes alkoholiskajiem dzērieniem un alum </w:t>
      </w:r>
    </w:p>
    <w:tbl>
      <w:tblPr>
        <w:tblStyle w:val="GridTable6Colorful-Accent111"/>
        <w:tblW w:w="9036" w:type="dxa"/>
        <w:jc w:val="center"/>
        <w:tblLayout w:type="fixed"/>
        <w:tblLook w:val="04A0" w:firstRow="1" w:lastRow="0" w:firstColumn="1" w:lastColumn="0" w:noHBand="0" w:noVBand="1"/>
      </w:tblPr>
      <w:tblGrid>
        <w:gridCol w:w="5665"/>
        <w:gridCol w:w="1134"/>
        <w:gridCol w:w="1134"/>
        <w:gridCol w:w="1103"/>
      </w:tblGrid>
      <w:tr w:rsidR="00D91646" w:rsidRPr="00452BCF" w:rsidTr="0038765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DEEAF6"/>
            <w:noWrap/>
            <w:vAlign w:val="center"/>
          </w:tcPr>
          <w:p w:rsidR="00D91646" w:rsidRPr="00452BCF" w:rsidRDefault="00D91646" w:rsidP="00D91646">
            <w:pPr>
              <w:jc w:val="center"/>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Alkoholiskā dzēriena veids</w:t>
            </w:r>
          </w:p>
        </w:tc>
        <w:tc>
          <w:tcPr>
            <w:tcW w:w="3371" w:type="dxa"/>
            <w:gridSpan w:val="3"/>
            <w:shd w:val="clear" w:color="auto" w:fill="DEEAF6"/>
            <w:vAlign w:val="center"/>
          </w:tcPr>
          <w:p w:rsidR="00D91646" w:rsidRPr="00452BCF" w:rsidRDefault="00D91646" w:rsidP="00D9164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452BCF">
              <w:rPr>
                <w:rFonts w:ascii="Times New Roman" w:eastAsia="Times New Roman" w:hAnsi="Times New Roman" w:cs="Times New Roman"/>
                <w:color w:val="000000"/>
                <w:sz w:val="20"/>
                <w:szCs w:val="20"/>
                <w:lang w:eastAsia="lv-LV"/>
              </w:rPr>
              <w:t>Likmes spēkā stāšanās datums</w:t>
            </w:r>
          </w:p>
        </w:tc>
      </w:tr>
      <w:tr w:rsidR="00D91646" w:rsidRPr="00452BCF" w:rsidTr="0038765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65" w:type="dxa"/>
            <w:vMerge/>
            <w:noWrap/>
            <w:hideMark/>
          </w:tcPr>
          <w:p w:rsidR="00D91646" w:rsidRPr="00452BCF" w:rsidRDefault="00D91646" w:rsidP="00D91646">
            <w:pPr>
              <w:rPr>
                <w:rFonts w:ascii="Times New Roman" w:eastAsia="Times New Roman" w:hAnsi="Times New Roman" w:cs="Times New Roman"/>
                <w:color w:val="000000"/>
                <w:sz w:val="20"/>
                <w:szCs w:val="20"/>
                <w:lang w:eastAsia="lv-LV"/>
              </w:rPr>
            </w:pPr>
          </w:p>
        </w:tc>
        <w:tc>
          <w:tcPr>
            <w:tcW w:w="1134" w:type="dxa"/>
            <w:noWrap/>
            <w:hideMark/>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452BCF">
              <w:rPr>
                <w:rFonts w:ascii="Times New Roman" w:eastAsia="Times New Roman" w:hAnsi="Times New Roman" w:cs="Times New Roman"/>
                <w:b/>
                <w:color w:val="000000" w:themeColor="text1"/>
                <w:sz w:val="20"/>
                <w:szCs w:val="20"/>
                <w:lang w:eastAsia="lv-LV"/>
              </w:rPr>
              <w:t>01.03.2018.</w:t>
            </w:r>
          </w:p>
        </w:tc>
        <w:tc>
          <w:tcPr>
            <w:tcW w:w="1134" w:type="dxa"/>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452BCF">
              <w:rPr>
                <w:rFonts w:ascii="Times New Roman" w:eastAsia="Times New Roman" w:hAnsi="Times New Roman" w:cs="Times New Roman"/>
                <w:b/>
                <w:color w:val="000000" w:themeColor="text1"/>
                <w:sz w:val="20"/>
                <w:szCs w:val="20"/>
                <w:lang w:eastAsia="lv-LV"/>
              </w:rPr>
              <w:t>01.03.2019.</w:t>
            </w:r>
          </w:p>
        </w:tc>
        <w:tc>
          <w:tcPr>
            <w:tcW w:w="1103" w:type="dxa"/>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52BCF">
              <w:rPr>
                <w:rFonts w:ascii="Times New Roman" w:eastAsia="Times New Roman" w:hAnsi="Times New Roman" w:cs="Times New Roman"/>
                <w:b/>
                <w:color w:val="000000"/>
                <w:sz w:val="20"/>
                <w:szCs w:val="20"/>
                <w:lang w:eastAsia="lv-LV"/>
              </w:rPr>
              <w:t>01.03.2020.</w:t>
            </w:r>
          </w:p>
        </w:tc>
      </w:tr>
      <w:tr w:rsidR="00D91646" w:rsidRPr="00452BCF" w:rsidTr="00387656">
        <w:trPr>
          <w:trHeight w:val="340"/>
          <w:jc w:val="center"/>
        </w:trPr>
        <w:tc>
          <w:tcPr>
            <w:cnfStyle w:val="001000000000" w:firstRow="0" w:lastRow="0" w:firstColumn="1" w:lastColumn="0" w:oddVBand="0" w:evenVBand="0" w:oddHBand="0" w:evenHBand="0" w:firstRowFirstColumn="0" w:firstRowLastColumn="0" w:lastRowFirstColumn="0" w:lastRowLastColumn="0"/>
            <w:tcW w:w="5665" w:type="dxa"/>
            <w:hideMark/>
          </w:tcPr>
          <w:p w:rsidR="00D91646" w:rsidRPr="00452BCF" w:rsidRDefault="00D91646" w:rsidP="00387656">
            <w:pPr>
              <w:jc w:val="both"/>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 xml:space="preserve">Vīns, raudzētie dzērieni ar absolūtā spirta saturu virs 6 tilpumprocentiem un starpprodukti ar absolūtā spirta saturu līdz 15 tilpumprocentiem, </w:t>
            </w:r>
            <w:proofErr w:type="spellStart"/>
            <w:r w:rsidRPr="00452BCF">
              <w:rPr>
                <w:rFonts w:ascii="Times New Roman" w:eastAsia="Times New Roman" w:hAnsi="Times New Roman" w:cs="Times New Roman"/>
                <w:i/>
                <w:color w:val="000000"/>
                <w:sz w:val="20"/>
                <w:szCs w:val="20"/>
                <w:lang w:eastAsia="lv-LV"/>
              </w:rPr>
              <w:t>euro</w:t>
            </w:r>
            <w:proofErr w:type="spellEnd"/>
            <w:r w:rsidRPr="00452BCF">
              <w:rPr>
                <w:rFonts w:ascii="Times New Roman" w:eastAsia="Times New Roman" w:hAnsi="Times New Roman" w:cs="Times New Roman"/>
                <w:color w:val="000000"/>
                <w:sz w:val="20"/>
                <w:szCs w:val="20"/>
                <w:lang w:eastAsia="lv-LV"/>
              </w:rPr>
              <w:t xml:space="preserve"> par 100 litriem</w:t>
            </w:r>
          </w:p>
        </w:tc>
        <w:tc>
          <w:tcPr>
            <w:tcW w:w="1134" w:type="dxa"/>
            <w:noWrap/>
            <w:vAlign w:val="center"/>
            <w:hideMark/>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92,0</w:t>
            </w:r>
          </w:p>
        </w:tc>
        <w:tc>
          <w:tcPr>
            <w:tcW w:w="1134" w:type="dxa"/>
            <w:vAlign w:val="center"/>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101,0</w:t>
            </w:r>
          </w:p>
        </w:tc>
        <w:tc>
          <w:tcPr>
            <w:tcW w:w="1103" w:type="dxa"/>
            <w:vAlign w:val="center"/>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111,0</w:t>
            </w:r>
          </w:p>
        </w:tc>
      </w:tr>
      <w:tr w:rsidR="00D91646" w:rsidRPr="00452BCF" w:rsidTr="0038765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65" w:type="dxa"/>
            <w:hideMark/>
          </w:tcPr>
          <w:p w:rsidR="00D91646" w:rsidRPr="00452BCF" w:rsidRDefault="00D91646" w:rsidP="00387656">
            <w:pPr>
              <w:jc w:val="both"/>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 xml:space="preserve">Raudzētie dzērieni ar absolūtā spirta saturu līdz 6 tilpumprocentiem, </w:t>
            </w:r>
            <w:proofErr w:type="spellStart"/>
            <w:r w:rsidRPr="00452BCF">
              <w:rPr>
                <w:rFonts w:ascii="Times New Roman" w:eastAsia="Times New Roman" w:hAnsi="Times New Roman" w:cs="Times New Roman"/>
                <w:i/>
                <w:color w:val="000000"/>
                <w:sz w:val="20"/>
                <w:szCs w:val="20"/>
                <w:lang w:eastAsia="lv-LV"/>
              </w:rPr>
              <w:t>euro</w:t>
            </w:r>
            <w:proofErr w:type="spellEnd"/>
            <w:r w:rsidRPr="00452BCF">
              <w:rPr>
                <w:rFonts w:ascii="Times New Roman" w:eastAsia="Times New Roman" w:hAnsi="Times New Roman" w:cs="Times New Roman"/>
                <w:color w:val="000000"/>
                <w:sz w:val="20"/>
                <w:szCs w:val="20"/>
                <w:lang w:eastAsia="lv-LV"/>
              </w:rPr>
              <w:t xml:space="preserve"> par 100 litriem</w:t>
            </w:r>
          </w:p>
        </w:tc>
        <w:tc>
          <w:tcPr>
            <w:tcW w:w="1134" w:type="dxa"/>
            <w:noWrap/>
            <w:vAlign w:val="center"/>
            <w:hideMark/>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64,0</w:t>
            </w:r>
          </w:p>
        </w:tc>
        <w:tc>
          <w:tcPr>
            <w:tcW w:w="1134" w:type="dxa"/>
            <w:vAlign w:val="center"/>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64,0</w:t>
            </w:r>
          </w:p>
        </w:tc>
        <w:tc>
          <w:tcPr>
            <w:tcW w:w="1103" w:type="dxa"/>
            <w:vAlign w:val="center"/>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64,0</w:t>
            </w:r>
          </w:p>
        </w:tc>
      </w:tr>
      <w:tr w:rsidR="00D91646" w:rsidRPr="00452BCF" w:rsidTr="00387656">
        <w:trPr>
          <w:trHeight w:val="34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hideMark/>
          </w:tcPr>
          <w:p w:rsidR="00D91646" w:rsidRPr="00452BCF" w:rsidRDefault="00D91646" w:rsidP="00387656">
            <w:pPr>
              <w:jc w:val="both"/>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 xml:space="preserve">Starpprodukti ar absolūtā spirta saturu no 15 tilpumprocentiem līdz 22 tilpumprocentiem, </w:t>
            </w:r>
            <w:proofErr w:type="spellStart"/>
            <w:r w:rsidRPr="00452BCF">
              <w:rPr>
                <w:rFonts w:ascii="Times New Roman" w:eastAsia="Times New Roman" w:hAnsi="Times New Roman" w:cs="Times New Roman"/>
                <w:i/>
                <w:color w:val="000000"/>
                <w:sz w:val="20"/>
                <w:szCs w:val="20"/>
                <w:lang w:eastAsia="lv-LV"/>
              </w:rPr>
              <w:t>euro</w:t>
            </w:r>
            <w:proofErr w:type="spellEnd"/>
            <w:r w:rsidRPr="00452BCF">
              <w:rPr>
                <w:rFonts w:ascii="Times New Roman" w:eastAsia="Times New Roman" w:hAnsi="Times New Roman" w:cs="Times New Roman"/>
                <w:color w:val="000000"/>
                <w:sz w:val="20"/>
                <w:szCs w:val="20"/>
                <w:lang w:eastAsia="lv-LV"/>
              </w:rPr>
              <w:t xml:space="preserve"> par 100 litriem</w:t>
            </w:r>
          </w:p>
        </w:tc>
        <w:tc>
          <w:tcPr>
            <w:tcW w:w="1134" w:type="dxa"/>
            <w:shd w:val="clear" w:color="auto" w:fill="auto"/>
            <w:noWrap/>
            <w:vAlign w:val="center"/>
            <w:hideMark/>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150,0</w:t>
            </w:r>
          </w:p>
        </w:tc>
        <w:tc>
          <w:tcPr>
            <w:tcW w:w="1134" w:type="dxa"/>
            <w:shd w:val="clear" w:color="auto" w:fill="auto"/>
            <w:vAlign w:val="center"/>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168,0</w:t>
            </w:r>
          </w:p>
        </w:tc>
        <w:tc>
          <w:tcPr>
            <w:tcW w:w="1103" w:type="dxa"/>
            <w:shd w:val="clear" w:color="auto" w:fill="auto"/>
            <w:vAlign w:val="center"/>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185,0</w:t>
            </w:r>
          </w:p>
        </w:tc>
      </w:tr>
      <w:tr w:rsidR="00D91646" w:rsidRPr="00452BCF" w:rsidTr="0038765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65" w:type="dxa"/>
            <w:hideMark/>
          </w:tcPr>
          <w:p w:rsidR="00D91646" w:rsidRPr="00452BCF" w:rsidRDefault="00D91646" w:rsidP="00387656">
            <w:pPr>
              <w:jc w:val="both"/>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 xml:space="preserve">Pārējie alkoholiskie dzērieni, </w:t>
            </w:r>
            <w:proofErr w:type="spellStart"/>
            <w:r w:rsidRPr="00452BCF">
              <w:rPr>
                <w:rFonts w:ascii="Times New Roman" w:eastAsia="Times New Roman" w:hAnsi="Times New Roman" w:cs="Times New Roman"/>
                <w:i/>
                <w:color w:val="000000"/>
                <w:sz w:val="20"/>
                <w:szCs w:val="20"/>
                <w:lang w:eastAsia="lv-LV"/>
              </w:rPr>
              <w:t>euro</w:t>
            </w:r>
            <w:proofErr w:type="spellEnd"/>
            <w:r w:rsidRPr="00452BCF">
              <w:rPr>
                <w:rFonts w:ascii="Times New Roman" w:eastAsia="Times New Roman" w:hAnsi="Times New Roman" w:cs="Times New Roman"/>
                <w:color w:val="000000"/>
                <w:sz w:val="20"/>
                <w:szCs w:val="20"/>
                <w:lang w:eastAsia="lv-LV"/>
              </w:rPr>
              <w:t xml:space="preserve"> par 100 litriem absolūta spirta</w:t>
            </w:r>
          </w:p>
        </w:tc>
        <w:tc>
          <w:tcPr>
            <w:tcW w:w="1134" w:type="dxa"/>
            <w:noWrap/>
            <w:vAlign w:val="center"/>
            <w:hideMark/>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1 670,0</w:t>
            </w:r>
          </w:p>
        </w:tc>
        <w:tc>
          <w:tcPr>
            <w:tcW w:w="1134" w:type="dxa"/>
            <w:vAlign w:val="center"/>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1 840,0</w:t>
            </w:r>
          </w:p>
        </w:tc>
        <w:tc>
          <w:tcPr>
            <w:tcW w:w="1103" w:type="dxa"/>
            <w:vAlign w:val="center"/>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2 025,0</w:t>
            </w:r>
          </w:p>
        </w:tc>
      </w:tr>
      <w:tr w:rsidR="00D91646" w:rsidRPr="00452BCF" w:rsidTr="00387656">
        <w:trPr>
          <w:trHeight w:val="34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hideMark/>
          </w:tcPr>
          <w:p w:rsidR="00D91646" w:rsidRPr="00452BCF" w:rsidRDefault="001D07D9" w:rsidP="00387656">
            <w:pPr>
              <w:jc w:val="both"/>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 xml:space="preserve">Alus, </w:t>
            </w:r>
            <w:proofErr w:type="spellStart"/>
            <w:r w:rsidR="00D91646" w:rsidRPr="00452BCF">
              <w:rPr>
                <w:rFonts w:ascii="Times New Roman" w:eastAsia="Times New Roman" w:hAnsi="Times New Roman" w:cs="Times New Roman"/>
                <w:i/>
                <w:color w:val="000000"/>
                <w:sz w:val="20"/>
                <w:szCs w:val="20"/>
                <w:lang w:eastAsia="lv-LV"/>
              </w:rPr>
              <w:t>euro</w:t>
            </w:r>
            <w:proofErr w:type="spellEnd"/>
            <w:r w:rsidR="00D91646" w:rsidRPr="00452BCF">
              <w:rPr>
                <w:rFonts w:ascii="Times New Roman" w:eastAsia="Times New Roman" w:hAnsi="Times New Roman" w:cs="Times New Roman"/>
                <w:color w:val="000000"/>
                <w:sz w:val="20"/>
                <w:szCs w:val="20"/>
                <w:lang w:eastAsia="lv-LV"/>
              </w:rPr>
              <w:t xml:space="preserve"> par katru absolūtā spirta tilpumprocentu par 100 litriem</w:t>
            </w:r>
          </w:p>
        </w:tc>
        <w:tc>
          <w:tcPr>
            <w:tcW w:w="1134" w:type="dxa"/>
            <w:shd w:val="clear" w:color="auto" w:fill="auto"/>
            <w:noWrap/>
            <w:vAlign w:val="center"/>
            <w:hideMark/>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6,8</w:t>
            </w:r>
          </w:p>
        </w:tc>
        <w:tc>
          <w:tcPr>
            <w:tcW w:w="1134" w:type="dxa"/>
            <w:shd w:val="clear" w:color="auto" w:fill="auto"/>
            <w:vAlign w:val="center"/>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7,4</w:t>
            </w:r>
          </w:p>
        </w:tc>
        <w:tc>
          <w:tcPr>
            <w:tcW w:w="1103" w:type="dxa"/>
            <w:shd w:val="clear" w:color="auto" w:fill="auto"/>
            <w:vAlign w:val="center"/>
          </w:tcPr>
          <w:p w:rsidR="00D91646" w:rsidRPr="00452BCF" w:rsidRDefault="00D91646" w:rsidP="00D916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8,1</w:t>
            </w:r>
          </w:p>
        </w:tc>
      </w:tr>
      <w:tr w:rsidR="00D91646" w:rsidRPr="00452BCF" w:rsidTr="0038765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65" w:type="dxa"/>
            <w:hideMark/>
          </w:tcPr>
          <w:p w:rsidR="00D91646" w:rsidRPr="00452BCF" w:rsidRDefault="00D91646" w:rsidP="00387656">
            <w:pPr>
              <w:jc w:val="both"/>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 xml:space="preserve">Akcīzes nodokļa minimālais līmenis, </w:t>
            </w:r>
            <w:proofErr w:type="spellStart"/>
            <w:r w:rsidRPr="00452BCF">
              <w:rPr>
                <w:rFonts w:ascii="Times New Roman" w:eastAsia="Times New Roman" w:hAnsi="Times New Roman" w:cs="Times New Roman"/>
                <w:i/>
                <w:color w:val="000000"/>
                <w:sz w:val="20"/>
                <w:szCs w:val="20"/>
                <w:lang w:eastAsia="lv-LV"/>
              </w:rPr>
              <w:t>euro</w:t>
            </w:r>
            <w:proofErr w:type="spellEnd"/>
            <w:r w:rsidRPr="00452BCF">
              <w:rPr>
                <w:rFonts w:ascii="Times New Roman" w:eastAsia="Times New Roman" w:hAnsi="Times New Roman" w:cs="Times New Roman"/>
                <w:color w:val="000000"/>
                <w:sz w:val="20"/>
                <w:szCs w:val="20"/>
                <w:lang w:eastAsia="lv-LV"/>
              </w:rPr>
              <w:t xml:space="preserve"> par 100 litriem alus</w:t>
            </w:r>
          </w:p>
        </w:tc>
        <w:tc>
          <w:tcPr>
            <w:tcW w:w="1134" w:type="dxa"/>
            <w:noWrap/>
            <w:vAlign w:val="center"/>
            <w:hideMark/>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12,5</w:t>
            </w:r>
          </w:p>
        </w:tc>
        <w:tc>
          <w:tcPr>
            <w:tcW w:w="1134" w:type="dxa"/>
            <w:vAlign w:val="center"/>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13,6</w:t>
            </w:r>
          </w:p>
        </w:tc>
        <w:tc>
          <w:tcPr>
            <w:tcW w:w="1103" w:type="dxa"/>
            <w:vAlign w:val="center"/>
          </w:tcPr>
          <w:p w:rsidR="00D91646" w:rsidRPr="00452BCF"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52BCF">
              <w:rPr>
                <w:rFonts w:ascii="Times New Roman" w:eastAsia="Times New Roman" w:hAnsi="Times New Roman" w:cs="Times New Roman"/>
                <w:color w:val="000000"/>
                <w:sz w:val="20"/>
                <w:szCs w:val="20"/>
                <w:lang w:eastAsia="lv-LV"/>
              </w:rPr>
              <w:t>14,9</w:t>
            </w:r>
          </w:p>
        </w:tc>
      </w:tr>
    </w:tbl>
    <w:p w:rsidR="006D1A8A" w:rsidRDefault="006D1A8A" w:rsidP="00DC41EC">
      <w:pPr>
        <w:spacing w:after="0" w:line="240" w:lineRule="auto"/>
        <w:ind w:firstLine="720"/>
        <w:jc w:val="both"/>
        <w:rPr>
          <w:rFonts w:ascii="Times New Roman" w:eastAsia="Times New Roman" w:hAnsi="Times New Roman" w:cs="Times New Roman"/>
          <w:color w:val="000000"/>
          <w:sz w:val="24"/>
          <w:szCs w:val="24"/>
        </w:rPr>
      </w:pPr>
    </w:p>
    <w:p w:rsidR="003463F3" w:rsidRDefault="003463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91646" w:rsidRPr="00D91646" w:rsidRDefault="00D91646" w:rsidP="00DC41EC">
      <w:pPr>
        <w:spacing w:after="0" w:line="240" w:lineRule="auto"/>
        <w:ind w:firstLine="720"/>
        <w:jc w:val="both"/>
        <w:rPr>
          <w:rFonts w:ascii="Times New Roman" w:eastAsia="Times New Roman" w:hAnsi="Times New Roman" w:cs="Times New Roman"/>
          <w:sz w:val="24"/>
          <w:szCs w:val="24"/>
        </w:rPr>
      </w:pPr>
      <w:r w:rsidRPr="00D91646">
        <w:rPr>
          <w:rFonts w:ascii="Times New Roman" w:eastAsia="Times New Roman" w:hAnsi="Times New Roman" w:cs="Times New Roman"/>
          <w:color w:val="000000"/>
          <w:sz w:val="24"/>
          <w:szCs w:val="24"/>
        </w:rPr>
        <w:lastRenderedPageBreak/>
        <w:t xml:space="preserve">Attiecībā uz </w:t>
      </w:r>
      <w:r w:rsidRPr="00D91646">
        <w:rPr>
          <w:rFonts w:ascii="Times New Roman" w:eastAsia="Times New Roman" w:hAnsi="Times New Roman" w:cs="Times New Roman"/>
          <w:b/>
          <w:sz w:val="24"/>
          <w:szCs w:val="24"/>
        </w:rPr>
        <w:t>tabakas izstrādājumiem</w:t>
      </w:r>
      <w:r w:rsidRPr="00D91646">
        <w:rPr>
          <w:rFonts w:ascii="Times New Roman" w:eastAsia="Times New Roman" w:hAnsi="Times New Roman" w:cs="Times New Roman"/>
          <w:sz w:val="24"/>
          <w:szCs w:val="24"/>
        </w:rPr>
        <w:t xml:space="preserve"> tika paredzēts šāds akcīzes nodokļa pieaugums:</w:t>
      </w:r>
    </w:p>
    <w:p w:rsidR="00D91646" w:rsidRPr="00D91646" w:rsidRDefault="00D91646" w:rsidP="00DA42C2">
      <w:pPr>
        <w:numPr>
          <w:ilvl w:val="0"/>
          <w:numId w:val="27"/>
        </w:numPr>
        <w:spacing w:after="0" w:line="240" w:lineRule="auto"/>
        <w:contextualSpacing/>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b/>
          <w:sz w:val="24"/>
          <w:szCs w:val="24"/>
        </w:rPr>
        <w:t>cigaretēm:</w:t>
      </w:r>
    </w:p>
    <w:p w:rsidR="00D91646" w:rsidRPr="00D91646" w:rsidRDefault="00D91646" w:rsidP="00DA42C2">
      <w:pPr>
        <w:numPr>
          <w:ilvl w:val="0"/>
          <w:numId w:val="28"/>
        </w:numPr>
        <w:spacing w:after="0" w:line="240" w:lineRule="auto"/>
        <w:contextualSpacing/>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color w:val="000000"/>
          <w:sz w:val="24"/>
          <w:szCs w:val="24"/>
        </w:rPr>
        <w:t>ar 2018.gada 1.jūliju akcīzes nodokļa specifiskā likme tika paaugstināta no 67,0</w:t>
      </w:r>
      <w:r w:rsidR="00DA42C2">
        <w:rPr>
          <w:rFonts w:ascii="Times New Roman" w:eastAsia="Times New Roman" w:hAnsi="Times New Roman" w:cs="Times New Roman"/>
          <w:color w:val="000000"/>
          <w:sz w:val="24"/>
          <w:szCs w:val="24"/>
        </w:rPr>
        <w:t xml:space="preserve"> </w:t>
      </w:r>
      <w:proofErr w:type="spellStart"/>
      <w:r w:rsidRPr="00D91646">
        <w:rPr>
          <w:rFonts w:ascii="Times New Roman" w:eastAsia="Times New Roman" w:hAnsi="Times New Roman" w:cs="Times New Roman"/>
          <w:bCs/>
          <w:i/>
          <w:color w:val="000000"/>
          <w:sz w:val="24"/>
          <w:szCs w:val="24"/>
        </w:rPr>
        <w:t>euro</w:t>
      </w:r>
      <w:proofErr w:type="spellEnd"/>
      <w:r w:rsidRPr="00D91646">
        <w:rPr>
          <w:rFonts w:ascii="Times New Roman" w:eastAsia="Times New Roman" w:hAnsi="Times New Roman" w:cs="Times New Roman"/>
          <w:color w:val="000000"/>
          <w:sz w:val="24"/>
          <w:szCs w:val="24"/>
        </w:rPr>
        <w:t xml:space="preserve"> līdz 74,6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color w:val="000000"/>
          <w:sz w:val="24"/>
          <w:szCs w:val="24"/>
        </w:rPr>
        <w:t xml:space="preserve"> par 1</w:t>
      </w:r>
      <w:r w:rsidR="00DA42C2">
        <w:rPr>
          <w:rFonts w:ascii="Times New Roman" w:eastAsia="Times New Roman" w:hAnsi="Times New Roman" w:cs="Times New Roman"/>
          <w:color w:val="000000"/>
          <w:sz w:val="24"/>
          <w:szCs w:val="24"/>
        </w:rPr>
        <w:t> </w:t>
      </w:r>
      <w:r w:rsidRPr="00D91646">
        <w:rPr>
          <w:rFonts w:ascii="Times New Roman" w:eastAsia="Times New Roman" w:hAnsi="Times New Roman" w:cs="Times New Roman"/>
          <w:color w:val="000000"/>
          <w:sz w:val="24"/>
          <w:szCs w:val="24"/>
        </w:rPr>
        <w:t>000 cigaretēm, bet minimālais nodokļa līmenis no 99,0</w:t>
      </w:r>
      <w:r w:rsidR="00DA42C2">
        <w:rPr>
          <w:rFonts w:ascii="Times New Roman" w:eastAsia="Times New Roman" w:hAnsi="Times New Roman" w:cs="Times New Roman"/>
          <w:color w:val="000000"/>
          <w:sz w:val="24"/>
          <w:szCs w:val="24"/>
        </w:rPr>
        <w:t xml:space="preserve"> </w:t>
      </w:r>
      <w:proofErr w:type="spellStart"/>
      <w:r w:rsidRPr="00D91646">
        <w:rPr>
          <w:rFonts w:ascii="Times New Roman" w:eastAsia="Times New Roman" w:hAnsi="Times New Roman" w:cs="Times New Roman"/>
          <w:bCs/>
          <w:i/>
          <w:color w:val="000000"/>
          <w:sz w:val="24"/>
          <w:szCs w:val="24"/>
        </w:rPr>
        <w:t>euro</w:t>
      </w:r>
      <w:proofErr w:type="spellEnd"/>
      <w:r w:rsidRPr="00D91646">
        <w:rPr>
          <w:rFonts w:ascii="Times New Roman" w:eastAsia="Times New Roman" w:hAnsi="Times New Roman" w:cs="Times New Roman"/>
          <w:color w:val="000000"/>
          <w:sz w:val="24"/>
          <w:szCs w:val="24"/>
        </w:rPr>
        <w:t xml:space="preserve"> līdz 109,2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color w:val="000000"/>
          <w:sz w:val="24"/>
          <w:szCs w:val="24"/>
        </w:rPr>
        <w:t xml:space="preserve"> par 1</w:t>
      </w:r>
      <w:r w:rsidR="00DA42C2">
        <w:rPr>
          <w:rFonts w:ascii="Times New Roman" w:eastAsia="Times New Roman" w:hAnsi="Times New Roman" w:cs="Times New Roman"/>
          <w:color w:val="000000"/>
          <w:sz w:val="24"/>
          <w:szCs w:val="24"/>
        </w:rPr>
        <w:t> </w:t>
      </w:r>
      <w:r w:rsidRPr="00D91646">
        <w:rPr>
          <w:rFonts w:ascii="Times New Roman" w:eastAsia="Times New Roman" w:hAnsi="Times New Roman" w:cs="Times New Roman"/>
          <w:color w:val="000000"/>
          <w:sz w:val="24"/>
          <w:szCs w:val="24"/>
        </w:rPr>
        <w:t>000 cigaretēm;</w:t>
      </w:r>
    </w:p>
    <w:p w:rsidR="00D91646" w:rsidRPr="00D91646" w:rsidRDefault="00D91646" w:rsidP="00DA42C2">
      <w:pPr>
        <w:numPr>
          <w:ilvl w:val="0"/>
          <w:numId w:val="28"/>
        </w:numPr>
        <w:spacing w:after="0" w:line="240" w:lineRule="auto"/>
        <w:contextualSpacing/>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color w:val="000000"/>
          <w:sz w:val="24"/>
          <w:szCs w:val="24"/>
        </w:rPr>
        <w:t xml:space="preserve">ar 2019.gada 1.jūliju akcīzes nodokļa specifiskā likme tiks paaugstināta līdz 78,7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color w:val="000000"/>
          <w:sz w:val="24"/>
          <w:szCs w:val="24"/>
        </w:rPr>
        <w:t xml:space="preserve"> par 1</w:t>
      </w:r>
      <w:r w:rsidR="00DA42C2">
        <w:rPr>
          <w:rFonts w:ascii="Times New Roman" w:eastAsia="Times New Roman" w:hAnsi="Times New Roman" w:cs="Times New Roman"/>
          <w:color w:val="000000"/>
          <w:sz w:val="24"/>
          <w:szCs w:val="24"/>
        </w:rPr>
        <w:t> </w:t>
      </w:r>
      <w:r w:rsidRPr="00D91646">
        <w:rPr>
          <w:rFonts w:ascii="Times New Roman" w:eastAsia="Times New Roman" w:hAnsi="Times New Roman" w:cs="Times New Roman"/>
          <w:color w:val="000000"/>
          <w:sz w:val="24"/>
          <w:szCs w:val="24"/>
        </w:rPr>
        <w:t xml:space="preserve">000 cigaretēm, bet minimālais nodokļa līmenis līdz 114,7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color w:val="000000"/>
          <w:sz w:val="24"/>
          <w:szCs w:val="24"/>
        </w:rPr>
        <w:t xml:space="preserve"> par 1</w:t>
      </w:r>
      <w:r w:rsidR="00DA42C2">
        <w:rPr>
          <w:rFonts w:ascii="Times New Roman" w:eastAsia="Times New Roman" w:hAnsi="Times New Roman" w:cs="Times New Roman"/>
          <w:color w:val="000000"/>
          <w:sz w:val="24"/>
          <w:szCs w:val="24"/>
        </w:rPr>
        <w:t> </w:t>
      </w:r>
      <w:r w:rsidRPr="00D91646">
        <w:rPr>
          <w:rFonts w:ascii="Times New Roman" w:eastAsia="Times New Roman" w:hAnsi="Times New Roman" w:cs="Times New Roman"/>
          <w:color w:val="000000"/>
          <w:sz w:val="24"/>
          <w:szCs w:val="24"/>
        </w:rPr>
        <w:t>000 cigaretēm;</w:t>
      </w:r>
    </w:p>
    <w:p w:rsidR="00D91646" w:rsidRPr="00D91646" w:rsidRDefault="00D91646" w:rsidP="00DA42C2">
      <w:pPr>
        <w:numPr>
          <w:ilvl w:val="0"/>
          <w:numId w:val="27"/>
        </w:numPr>
        <w:spacing w:after="0" w:line="240" w:lineRule="auto"/>
        <w:contextualSpacing/>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b/>
          <w:color w:val="000000"/>
          <w:sz w:val="24"/>
          <w:szCs w:val="24"/>
        </w:rPr>
        <w:t xml:space="preserve">cigāriem un </w:t>
      </w:r>
      <w:proofErr w:type="spellStart"/>
      <w:r w:rsidRPr="00D91646">
        <w:rPr>
          <w:rFonts w:ascii="Times New Roman" w:eastAsia="Times New Roman" w:hAnsi="Times New Roman" w:cs="Times New Roman"/>
          <w:b/>
          <w:color w:val="000000"/>
          <w:sz w:val="24"/>
          <w:szCs w:val="24"/>
        </w:rPr>
        <w:t>cigarillām</w:t>
      </w:r>
      <w:proofErr w:type="spellEnd"/>
      <w:r w:rsidRPr="00D91646">
        <w:rPr>
          <w:rFonts w:ascii="Times New Roman" w:eastAsia="Times New Roman" w:hAnsi="Times New Roman" w:cs="Times New Roman"/>
          <w:b/>
          <w:color w:val="000000"/>
          <w:sz w:val="24"/>
          <w:szCs w:val="24"/>
        </w:rPr>
        <w:t xml:space="preserve"> </w:t>
      </w:r>
      <w:r w:rsidRPr="00D91646">
        <w:rPr>
          <w:rFonts w:ascii="Times New Roman" w:eastAsia="Times New Roman" w:hAnsi="Times New Roman" w:cs="Times New Roman"/>
          <w:color w:val="000000"/>
          <w:sz w:val="24"/>
          <w:szCs w:val="24"/>
        </w:rPr>
        <w:t>ar 2020.gada 1.janvāri akcīzes nodokļa likme tiks paaugstināta no 88,0</w:t>
      </w:r>
      <w:r w:rsidR="00DA42C2">
        <w:rPr>
          <w:rFonts w:ascii="Times New Roman" w:eastAsia="Times New Roman" w:hAnsi="Times New Roman" w:cs="Times New Roman"/>
          <w:color w:val="000000"/>
          <w:sz w:val="24"/>
          <w:szCs w:val="24"/>
        </w:rPr>
        <w:t xml:space="preserve">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color w:val="000000"/>
          <w:sz w:val="24"/>
          <w:szCs w:val="24"/>
        </w:rPr>
        <w:t xml:space="preserve"> līdz 95,2</w:t>
      </w:r>
      <w:r w:rsidRPr="00D91646">
        <w:rPr>
          <w:rFonts w:ascii="Times New Roman" w:eastAsia="Times New Roman" w:hAnsi="Times New Roman" w:cs="Times New Roman"/>
          <w:i/>
          <w:color w:val="000000"/>
          <w:sz w:val="24"/>
          <w:szCs w:val="24"/>
        </w:rPr>
        <w:t xml:space="preserve">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i/>
          <w:color w:val="000000"/>
          <w:sz w:val="24"/>
          <w:szCs w:val="24"/>
        </w:rPr>
        <w:t xml:space="preserve"> </w:t>
      </w:r>
      <w:r w:rsidRPr="00D91646">
        <w:rPr>
          <w:rFonts w:ascii="Times New Roman" w:eastAsia="Times New Roman" w:hAnsi="Times New Roman" w:cs="Times New Roman"/>
          <w:color w:val="000000"/>
          <w:sz w:val="24"/>
          <w:szCs w:val="24"/>
        </w:rPr>
        <w:t xml:space="preserve">par 1 000 cigāriem vai </w:t>
      </w:r>
      <w:proofErr w:type="spellStart"/>
      <w:r w:rsidRPr="00D91646">
        <w:rPr>
          <w:rFonts w:ascii="Times New Roman" w:eastAsia="Times New Roman" w:hAnsi="Times New Roman" w:cs="Times New Roman"/>
          <w:color w:val="000000"/>
          <w:sz w:val="24"/>
          <w:szCs w:val="24"/>
        </w:rPr>
        <w:t>cigarillām</w:t>
      </w:r>
      <w:proofErr w:type="spellEnd"/>
      <w:r w:rsidRPr="00D91646">
        <w:rPr>
          <w:rFonts w:ascii="Times New Roman" w:eastAsia="Times New Roman" w:hAnsi="Times New Roman" w:cs="Times New Roman"/>
          <w:color w:val="000000"/>
          <w:sz w:val="24"/>
          <w:szCs w:val="24"/>
        </w:rPr>
        <w:t>;</w:t>
      </w:r>
    </w:p>
    <w:p w:rsidR="00D91646" w:rsidRPr="00D91646" w:rsidRDefault="00D91646" w:rsidP="00DA42C2">
      <w:pPr>
        <w:numPr>
          <w:ilvl w:val="0"/>
          <w:numId w:val="27"/>
        </w:numPr>
        <w:spacing w:after="0" w:line="240" w:lineRule="auto"/>
        <w:contextualSpacing/>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b/>
          <w:color w:val="000000"/>
          <w:sz w:val="24"/>
          <w:szCs w:val="24"/>
        </w:rPr>
        <w:t xml:space="preserve">smēķējamai tabakai </w:t>
      </w:r>
      <w:r w:rsidRPr="00D91646">
        <w:rPr>
          <w:rFonts w:ascii="Times New Roman" w:eastAsia="Times New Roman" w:hAnsi="Times New Roman" w:cs="Times New Roman"/>
          <w:color w:val="000000"/>
          <w:sz w:val="24"/>
          <w:szCs w:val="24"/>
        </w:rPr>
        <w:t>ar 2020.gada 1.janvāri akcīzes nodokļa likme tiks paaugstināta no līdz 75,0</w:t>
      </w:r>
      <w:r w:rsidR="00DA42C2">
        <w:rPr>
          <w:rFonts w:ascii="Times New Roman" w:eastAsia="Times New Roman" w:hAnsi="Times New Roman" w:cs="Times New Roman"/>
          <w:color w:val="000000"/>
          <w:sz w:val="24"/>
          <w:szCs w:val="24"/>
        </w:rPr>
        <w:t xml:space="preserve"> </w:t>
      </w:r>
      <w:proofErr w:type="spellStart"/>
      <w:r w:rsidRPr="00D91646">
        <w:rPr>
          <w:rFonts w:ascii="Times New Roman" w:eastAsia="Times New Roman" w:hAnsi="Times New Roman" w:cs="Times New Roman"/>
          <w:i/>
          <w:color w:val="000000"/>
          <w:sz w:val="24"/>
          <w:szCs w:val="24"/>
        </w:rPr>
        <w:t>euro</w:t>
      </w:r>
      <w:proofErr w:type="spellEnd"/>
      <w:r w:rsidRPr="00D91646">
        <w:rPr>
          <w:rFonts w:ascii="Times New Roman" w:eastAsia="Times New Roman" w:hAnsi="Times New Roman" w:cs="Times New Roman"/>
          <w:i/>
          <w:color w:val="000000"/>
          <w:sz w:val="24"/>
          <w:szCs w:val="24"/>
        </w:rPr>
        <w:t xml:space="preserve"> </w:t>
      </w:r>
      <w:r w:rsidRPr="00D91646">
        <w:rPr>
          <w:rFonts w:ascii="Times New Roman" w:eastAsia="Times New Roman" w:hAnsi="Times New Roman" w:cs="Times New Roman"/>
          <w:color w:val="000000"/>
          <w:sz w:val="24"/>
          <w:szCs w:val="24"/>
        </w:rPr>
        <w:t>par 1 000 gramiem tabakas.</w:t>
      </w:r>
    </w:p>
    <w:p w:rsidR="00D91646" w:rsidRPr="00D91646" w:rsidRDefault="00D91646" w:rsidP="00D91646">
      <w:pPr>
        <w:spacing w:after="0" w:line="240" w:lineRule="auto"/>
        <w:ind w:firstLine="567"/>
        <w:jc w:val="both"/>
        <w:rPr>
          <w:rFonts w:ascii="Times New Roman" w:eastAsia="Times New Roman" w:hAnsi="Times New Roman" w:cs="Times New Roman"/>
          <w:color w:val="000000"/>
          <w:sz w:val="24"/>
          <w:szCs w:val="24"/>
        </w:rPr>
      </w:pPr>
      <w:r w:rsidRPr="00D91646">
        <w:rPr>
          <w:rFonts w:ascii="Times New Roman" w:eastAsia="Times New Roman" w:hAnsi="Times New Roman" w:cs="Times New Roman"/>
          <w:color w:val="000000"/>
          <w:sz w:val="24"/>
          <w:szCs w:val="24"/>
        </w:rPr>
        <w:t xml:space="preserve">Visu izmaiņu rezultāts attiecībā uz tabakas izstrādājamiem atspoguļots </w:t>
      </w:r>
      <w:r w:rsidR="001D07D9" w:rsidRPr="001D07D9">
        <w:rPr>
          <w:rFonts w:ascii="Times New Roman" w:eastAsia="Times New Roman" w:hAnsi="Times New Roman" w:cs="Times New Roman"/>
          <w:color w:val="000000"/>
          <w:sz w:val="24"/>
          <w:szCs w:val="24"/>
        </w:rPr>
        <w:t>5.6</w:t>
      </w:r>
      <w:r w:rsidRPr="001D07D9">
        <w:rPr>
          <w:rFonts w:ascii="Times New Roman" w:eastAsia="Times New Roman" w:hAnsi="Times New Roman" w:cs="Times New Roman"/>
          <w:color w:val="000000"/>
          <w:sz w:val="24"/>
          <w:szCs w:val="24"/>
        </w:rPr>
        <w:t>.</w:t>
      </w:r>
      <w:r w:rsidR="00DA42C2">
        <w:rPr>
          <w:rFonts w:ascii="Times New Roman" w:eastAsia="Times New Roman" w:hAnsi="Times New Roman" w:cs="Times New Roman"/>
          <w:color w:val="000000"/>
          <w:sz w:val="24"/>
          <w:szCs w:val="24"/>
        </w:rPr>
        <w:t xml:space="preserve"> </w:t>
      </w:r>
      <w:r w:rsidRPr="00D91646">
        <w:rPr>
          <w:rFonts w:ascii="Times New Roman" w:eastAsia="Times New Roman" w:hAnsi="Times New Roman" w:cs="Times New Roman"/>
          <w:color w:val="000000"/>
          <w:sz w:val="24"/>
          <w:szCs w:val="24"/>
        </w:rPr>
        <w:t>tabulā.</w:t>
      </w:r>
    </w:p>
    <w:p w:rsidR="00D91646" w:rsidRPr="00D91646" w:rsidRDefault="001D07D9" w:rsidP="00DA42C2">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5.6</w:t>
      </w:r>
      <w:r w:rsidR="00D91646" w:rsidRPr="00D91646">
        <w:rPr>
          <w:rFonts w:ascii="Times New Roman" w:eastAsia="Times New Roman" w:hAnsi="Times New Roman" w:cs="Times New Roman"/>
          <w:b/>
          <w:sz w:val="24"/>
          <w:szCs w:val="20"/>
        </w:rPr>
        <w:t>.tabula. Akcīzes nodokļa likmes tabakas izstrādājumiem</w:t>
      </w:r>
    </w:p>
    <w:tbl>
      <w:tblPr>
        <w:tblStyle w:val="GridTable6Colorful-Accent111"/>
        <w:tblW w:w="9073" w:type="dxa"/>
        <w:jc w:val="center"/>
        <w:tblLook w:val="04A0" w:firstRow="1" w:lastRow="0" w:firstColumn="1" w:lastColumn="0" w:noHBand="0" w:noVBand="1"/>
      </w:tblPr>
      <w:tblGrid>
        <w:gridCol w:w="4820"/>
        <w:gridCol w:w="1418"/>
        <w:gridCol w:w="1418"/>
        <w:gridCol w:w="1417"/>
      </w:tblGrid>
      <w:tr w:rsidR="00D91646" w:rsidRPr="00D91646" w:rsidTr="00D91646">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4820" w:type="dxa"/>
            <w:noWrap/>
            <w:vAlign w:val="center"/>
            <w:hideMark/>
          </w:tcPr>
          <w:p w:rsidR="00D91646" w:rsidRPr="00D91646" w:rsidRDefault="00D91646" w:rsidP="00D91646">
            <w:pPr>
              <w:jc w:val="center"/>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Akcīzes nodokļa objekts</w:t>
            </w:r>
          </w:p>
        </w:tc>
        <w:tc>
          <w:tcPr>
            <w:tcW w:w="4253" w:type="dxa"/>
            <w:gridSpan w:val="3"/>
            <w:vAlign w:val="center"/>
          </w:tcPr>
          <w:p w:rsidR="00D91646" w:rsidRPr="00D91646" w:rsidRDefault="00D91646" w:rsidP="00D91646">
            <w:pPr>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1646">
              <w:rPr>
                <w:rFonts w:ascii="Times New Roman" w:eastAsia="Times New Roman" w:hAnsi="Times New Roman" w:cs="Times New Roman"/>
                <w:color w:val="000000"/>
                <w:sz w:val="20"/>
                <w:szCs w:val="20"/>
                <w:lang w:eastAsia="lv-LV"/>
              </w:rPr>
              <w:t>Likmes spēkā stāšanās datums</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rsidR="00D91646" w:rsidRPr="00D91646" w:rsidRDefault="00D91646" w:rsidP="00D91646">
            <w:pPr>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Cigaretes</w:t>
            </w:r>
          </w:p>
        </w:tc>
        <w:tc>
          <w:tcPr>
            <w:tcW w:w="1418" w:type="dxa"/>
            <w:noWrap/>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01.07.2018.</w:t>
            </w:r>
          </w:p>
        </w:tc>
        <w:tc>
          <w:tcPr>
            <w:tcW w:w="1418" w:type="dxa"/>
            <w:noWrap/>
            <w:vAlign w:val="center"/>
            <w:hideMark/>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01.07.2019.</w:t>
            </w:r>
          </w:p>
        </w:tc>
        <w:tc>
          <w:tcPr>
            <w:tcW w:w="1417" w:type="dxa"/>
          </w:tcPr>
          <w:p w:rsidR="00D91646" w:rsidRPr="00D91646" w:rsidRDefault="00D91646" w:rsidP="00D9164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p>
        </w:tc>
      </w:tr>
      <w:tr w:rsidR="00D91646" w:rsidRPr="00D91646" w:rsidTr="00D91646">
        <w:trPr>
          <w:trHeight w:val="292"/>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Nodokļa likme,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w:t>
            </w:r>
            <w:r w:rsidR="008275AC">
              <w:rPr>
                <w:rFonts w:ascii="Times New Roman" w:eastAsia="Times New Roman" w:hAnsi="Times New Roman" w:cs="Times New Roman"/>
                <w:color w:val="000000"/>
                <w:sz w:val="20"/>
                <w:szCs w:val="20"/>
                <w:lang w:eastAsia="lv-LV"/>
              </w:rPr>
              <w:t> </w:t>
            </w:r>
            <w:r w:rsidRPr="00D91646">
              <w:rPr>
                <w:rFonts w:ascii="Times New Roman" w:eastAsia="Times New Roman" w:hAnsi="Times New Roman" w:cs="Times New Roman"/>
                <w:color w:val="000000"/>
                <w:sz w:val="20"/>
                <w:szCs w:val="20"/>
                <w:lang w:eastAsia="lv-LV"/>
              </w:rPr>
              <w:t>000 gab.</w:t>
            </w:r>
          </w:p>
        </w:tc>
        <w:tc>
          <w:tcPr>
            <w:tcW w:w="1418" w:type="dxa"/>
            <w:noWrap/>
            <w:vAlign w:val="center"/>
            <w:hideMark/>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74,6</w:t>
            </w:r>
          </w:p>
        </w:tc>
        <w:tc>
          <w:tcPr>
            <w:tcW w:w="1418" w:type="dxa"/>
            <w:noWrap/>
            <w:vAlign w:val="center"/>
            <w:hideMark/>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78,7</w:t>
            </w:r>
          </w:p>
        </w:tc>
        <w:tc>
          <w:tcPr>
            <w:tcW w:w="1417" w:type="dxa"/>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Nodokļa minimālais līmenis,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w:t>
            </w:r>
            <w:r w:rsidR="00DA42C2">
              <w:rPr>
                <w:rFonts w:ascii="Times New Roman" w:eastAsia="Times New Roman" w:hAnsi="Times New Roman" w:cs="Times New Roman"/>
                <w:color w:val="000000"/>
                <w:sz w:val="20"/>
                <w:szCs w:val="20"/>
                <w:lang w:eastAsia="lv-LV"/>
              </w:rPr>
              <w:t> </w:t>
            </w:r>
            <w:r w:rsidRPr="00D91646">
              <w:rPr>
                <w:rFonts w:ascii="Times New Roman" w:eastAsia="Times New Roman" w:hAnsi="Times New Roman" w:cs="Times New Roman"/>
                <w:color w:val="000000"/>
                <w:sz w:val="20"/>
                <w:szCs w:val="20"/>
                <w:lang w:eastAsia="lv-LV"/>
              </w:rPr>
              <w:t>000 gab.</w:t>
            </w:r>
          </w:p>
        </w:tc>
        <w:tc>
          <w:tcPr>
            <w:tcW w:w="1418" w:type="dxa"/>
            <w:shd w:val="clear" w:color="auto" w:fill="auto"/>
            <w:noWrap/>
            <w:vAlign w:val="center"/>
            <w:hideMark/>
          </w:tcPr>
          <w:p w:rsidR="00D91646" w:rsidRPr="00D91646"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109,2</w:t>
            </w:r>
          </w:p>
        </w:tc>
        <w:tc>
          <w:tcPr>
            <w:tcW w:w="1418" w:type="dxa"/>
            <w:shd w:val="clear" w:color="auto" w:fill="auto"/>
            <w:noWrap/>
            <w:vAlign w:val="center"/>
            <w:hideMark/>
          </w:tcPr>
          <w:p w:rsidR="00D91646" w:rsidRPr="00D91646"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114,7</w:t>
            </w:r>
          </w:p>
        </w:tc>
        <w:tc>
          <w:tcPr>
            <w:tcW w:w="1417" w:type="dxa"/>
          </w:tcPr>
          <w:p w:rsidR="00D91646" w:rsidRPr="00D91646" w:rsidRDefault="00D91646" w:rsidP="00D916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D91646" w:rsidRPr="00D91646" w:rsidTr="00D91646">
        <w:trPr>
          <w:trHeight w:val="292"/>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Procentuālā likme no mazumtirdzniecības cenas</w:t>
            </w:r>
          </w:p>
        </w:tc>
        <w:tc>
          <w:tcPr>
            <w:tcW w:w="1418" w:type="dxa"/>
            <w:noWrap/>
            <w:vAlign w:val="center"/>
            <w:hideMark/>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20%</w:t>
            </w:r>
          </w:p>
        </w:tc>
        <w:tc>
          <w:tcPr>
            <w:tcW w:w="1418" w:type="dxa"/>
            <w:noWrap/>
            <w:vAlign w:val="center"/>
            <w:hideMark/>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20%</w:t>
            </w:r>
          </w:p>
        </w:tc>
        <w:tc>
          <w:tcPr>
            <w:tcW w:w="1417" w:type="dxa"/>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rsidR="00D91646" w:rsidRPr="00D91646" w:rsidRDefault="00D91646" w:rsidP="00D91646">
            <w:pPr>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Cigāri un </w:t>
            </w:r>
            <w:proofErr w:type="spellStart"/>
            <w:r w:rsidRPr="00D91646">
              <w:rPr>
                <w:rFonts w:ascii="Times New Roman" w:eastAsia="Times New Roman" w:hAnsi="Times New Roman" w:cs="Times New Roman"/>
                <w:color w:val="000000"/>
                <w:sz w:val="20"/>
                <w:szCs w:val="20"/>
                <w:lang w:eastAsia="lv-LV"/>
              </w:rPr>
              <w:t>cigarillas</w:t>
            </w:r>
            <w:proofErr w:type="spellEnd"/>
          </w:p>
        </w:tc>
        <w:tc>
          <w:tcPr>
            <w:tcW w:w="1418" w:type="dxa"/>
            <w:noWrap/>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01.01.2018.</w:t>
            </w:r>
          </w:p>
        </w:tc>
        <w:tc>
          <w:tcPr>
            <w:tcW w:w="1418" w:type="dxa"/>
            <w:noWrap/>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01.01.2019.</w:t>
            </w:r>
          </w:p>
        </w:tc>
        <w:tc>
          <w:tcPr>
            <w:tcW w:w="1417"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01.01.2020.</w:t>
            </w:r>
          </w:p>
        </w:tc>
      </w:tr>
      <w:tr w:rsidR="00D91646" w:rsidRPr="00D91646" w:rsidTr="00D91646">
        <w:trPr>
          <w:trHeight w:val="292"/>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Nodokļa likme,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w:t>
            </w:r>
            <w:r w:rsidR="00DA42C2">
              <w:rPr>
                <w:rFonts w:ascii="Times New Roman" w:eastAsia="Times New Roman" w:hAnsi="Times New Roman" w:cs="Times New Roman"/>
                <w:color w:val="000000"/>
                <w:sz w:val="20"/>
                <w:szCs w:val="20"/>
                <w:lang w:eastAsia="lv-LV"/>
              </w:rPr>
              <w:t> </w:t>
            </w:r>
            <w:r w:rsidRPr="00D91646">
              <w:rPr>
                <w:rFonts w:ascii="Times New Roman" w:eastAsia="Times New Roman" w:hAnsi="Times New Roman" w:cs="Times New Roman"/>
                <w:color w:val="000000"/>
                <w:sz w:val="20"/>
                <w:szCs w:val="20"/>
                <w:lang w:eastAsia="lv-LV"/>
              </w:rPr>
              <w:t>000 gab.</w:t>
            </w:r>
          </w:p>
        </w:tc>
        <w:tc>
          <w:tcPr>
            <w:tcW w:w="1418" w:type="dxa"/>
            <w:noWrap/>
            <w:vAlign w:val="center"/>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73,0</w:t>
            </w:r>
          </w:p>
        </w:tc>
        <w:tc>
          <w:tcPr>
            <w:tcW w:w="1418" w:type="dxa"/>
            <w:noWrap/>
            <w:vAlign w:val="center"/>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88,0</w:t>
            </w:r>
          </w:p>
        </w:tc>
        <w:tc>
          <w:tcPr>
            <w:tcW w:w="1417" w:type="dxa"/>
            <w:vAlign w:val="center"/>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95,2</w:t>
            </w:r>
          </w:p>
        </w:tc>
      </w:tr>
      <w:tr w:rsidR="00D91646" w:rsidRPr="00D91646" w:rsidTr="00D9164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rsidR="00D91646" w:rsidRPr="00D91646" w:rsidRDefault="00D91646" w:rsidP="00D91646">
            <w:pPr>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Smēķējamā tabaka</w:t>
            </w:r>
          </w:p>
        </w:tc>
        <w:tc>
          <w:tcPr>
            <w:tcW w:w="1418" w:type="dxa"/>
            <w:noWrap/>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01.01.2018.</w:t>
            </w:r>
          </w:p>
        </w:tc>
        <w:tc>
          <w:tcPr>
            <w:tcW w:w="1418" w:type="dxa"/>
            <w:noWrap/>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01.01.2019.</w:t>
            </w:r>
          </w:p>
        </w:tc>
        <w:tc>
          <w:tcPr>
            <w:tcW w:w="1417" w:type="dxa"/>
            <w:vAlign w:val="center"/>
          </w:tcPr>
          <w:p w:rsidR="00D91646" w:rsidRPr="00D91646" w:rsidRDefault="00D91646" w:rsidP="00D916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D91646">
              <w:rPr>
                <w:rFonts w:ascii="Times New Roman" w:eastAsia="Times New Roman" w:hAnsi="Times New Roman" w:cs="Times New Roman"/>
                <w:b/>
                <w:bCs/>
                <w:color w:val="000000"/>
                <w:sz w:val="20"/>
                <w:szCs w:val="20"/>
                <w:lang w:eastAsia="lv-LV"/>
              </w:rPr>
              <w:t>01.01.2020.</w:t>
            </w:r>
          </w:p>
        </w:tc>
      </w:tr>
      <w:tr w:rsidR="00D91646" w:rsidRPr="00D91646" w:rsidTr="00D91646">
        <w:trPr>
          <w:trHeight w:val="599"/>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91646" w:rsidRPr="00D91646" w:rsidRDefault="00D91646" w:rsidP="00D91646">
            <w:pPr>
              <w:ind w:left="313"/>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 xml:space="preserve">Smalki sagriezta tabaka, cita smēķējamā tabaka, tabakas lapas, karsējamā tabaka, </w:t>
            </w:r>
            <w:proofErr w:type="spellStart"/>
            <w:r w:rsidRPr="00D91646">
              <w:rPr>
                <w:rFonts w:ascii="Times New Roman" w:eastAsia="Times New Roman" w:hAnsi="Times New Roman" w:cs="Times New Roman"/>
                <w:i/>
                <w:color w:val="000000"/>
                <w:sz w:val="20"/>
                <w:szCs w:val="20"/>
                <w:lang w:eastAsia="lv-LV"/>
              </w:rPr>
              <w:t>euro</w:t>
            </w:r>
            <w:proofErr w:type="spellEnd"/>
            <w:r w:rsidRPr="00D91646">
              <w:rPr>
                <w:rFonts w:ascii="Times New Roman" w:eastAsia="Times New Roman" w:hAnsi="Times New Roman" w:cs="Times New Roman"/>
                <w:color w:val="000000"/>
                <w:sz w:val="20"/>
                <w:szCs w:val="20"/>
                <w:lang w:eastAsia="lv-LV"/>
              </w:rPr>
              <w:t xml:space="preserve"> par 1</w:t>
            </w:r>
            <w:r w:rsidR="00DA42C2">
              <w:rPr>
                <w:rFonts w:ascii="Times New Roman" w:eastAsia="Times New Roman" w:hAnsi="Times New Roman" w:cs="Times New Roman"/>
                <w:color w:val="000000"/>
                <w:sz w:val="20"/>
                <w:szCs w:val="20"/>
                <w:lang w:eastAsia="lv-LV"/>
              </w:rPr>
              <w:t> </w:t>
            </w:r>
            <w:r w:rsidRPr="00D91646">
              <w:rPr>
                <w:rFonts w:ascii="Times New Roman" w:eastAsia="Times New Roman" w:hAnsi="Times New Roman" w:cs="Times New Roman"/>
                <w:color w:val="000000"/>
                <w:sz w:val="20"/>
                <w:szCs w:val="20"/>
                <w:lang w:eastAsia="lv-LV"/>
              </w:rPr>
              <w:t>000 g.</w:t>
            </w:r>
          </w:p>
        </w:tc>
        <w:tc>
          <w:tcPr>
            <w:tcW w:w="1418" w:type="dxa"/>
            <w:noWrap/>
            <w:vAlign w:val="center"/>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66,0</w:t>
            </w:r>
          </w:p>
        </w:tc>
        <w:tc>
          <w:tcPr>
            <w:tcW w:w="1418" w:type="dxa"/>
            <w:noWrap/>
            <w:vAlign w:val="center"/>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70,0</w:t>
            </w:r>
          </w:p>
        </w:tc>
        <w:tc>
          <w:tcPr>
            <w:tcW w:w="1417" w:type="dxa"/>
            <w:vAlign w:val="center"/>
          </w:tcPr>
          <w:p w:rsidR="00D91646" w:rsidRPr="00D91646" w:rsidRDefault="00D91646" w:rsidP="00D916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91646">
              <w:rPr>
                <w:rFonts w:ascii="Times New Roman" w:eastAsia="Times New Roman" w:hAnsi="Times New Roman" w:cs="Times New Roman"/>
                <w:color w:val="000000"/>
                <w:sz w:val="20"/>
                <w:szCs w:val="20"/>
                <w:lang w:eastAsia="lv-LV"/>
              </w:rPr>
              <w:t>75,0</w:t>
            </w:r>
          </w:p>
        </w:tc>
      </w:tr>
    </w:tbl>
    <w:p w:rsidR="00D91646" w:rsidRPr="00D91646" w:rsidRDefault="00D91646" w:rsidP="00D91646">
      <w:pPr>
        <w:spacing w:after="0" w:line="240" w:lineRule="auto"/>
        <w:ind w:firstLine="709"/>
        <w:jc w:val="both"/>
        <w:rPr>
          <w:rFonts w:ascii="Times New Roman" w:eastAsia="Times New Roman" w:hAnsi="Times New Roman" w:cs="Times New Roman"/>
          <w:b/>
          <w:sz w:val="24"/>
          <w:szCs w:val="28"/>
          <w:u w:val="single"/>
          <w:lang w:eastAsia="lv-LV"/>
        </w:rPr>
      </w:pPr>
    </w:p>
    <w:p w:rsidR="00D91646" w:rsidRPr="00D91646" w:rsidRDefault="00D91646" w:rsidP="00D91646">
      <w:pPr>
        <w:spacing w:after="0" w:line="240" w:lineRule="auto"/>
        <w:ind w:firstLine="709"/>
        <w:jc w:val="both"/>
        <w:rPr>
          <w:rFonts w:ascii="Times New Roman" w:eastAsia="Times New Roman" w:hAnsi="Times New Roman" w:cs="Times New Roman"/>
          <w:b/>
          <w:sz w:val="24"/>
          <w:szCs w:val="28"/>
          <w:u w:val="single"/>
          <w:lang w:eastAsia="lv-LV"/>
        </w:rPr>
      </w:pPr>
      <w:r w:rsidRPr="00D91646">
        <w:rPr>
          <w:rFonts w:ascii="Times New Roman" w:eastAsia="Times New Roman" w:hAnsi="Times New Roman" w:cs="Times New Roman"/>
          <w:b/>
          <w:sz w:val="24"/>
          <w:szCs w:val="28"/>
          <w:u w:val="single"/>
          <w:lang w:eastAsia="lv-LV"/>
        </w:rPr>
        <w:t>Nodokļu reformas starpposma rezultāti</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i/>
          <w:sz w:val="24"/>
          <w:szCs w:val="28"/>
          <w:lang w:eastAsia="lv-LV"/>
        </w:rPr>
        <w:t>Nodokļu reforma</w:t>
      </w:r>
      <w:r w:rsidRPr="00D91646">
        <w:rPr>
          <w:rFonts w:ascii="Times New Roman" w:eastAsia="Times New Roman" w:hAnsi="Times New Roman" w:cs="Times New Roman"/>
          <w:sz w:val="24"/>
          <w:szCs w:val="28"/>
          <w:lang w:eastAsia="lv-LV"/>
        </w:rPr>
        <w:t xml:space="preserve"> ir komplekss pasākumu kopums, kuru  pamatmērķis ir valsts konkurētspējas un eksportspējas paaugstināšana un ienākumu nevienlīdzības mazināšana, vienlaikus nodrošinot pietiekamus, paredzamus un kvalitatīvus nodokļu ieņēmumus valsts un pašvaldību funkciju finansēšanai.</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 xml:space="preserve">Lai nodrošinātu </w:t>
      </w:r>
      <w:r w:rsidR="00351DF7" w:rsidRPr="006C5ABE">
        <w:rPr>
          <w:rFonts w:ascii="Times New Roman" w:eastAsia="Calibri" w:hAnsi="Times New Roman" w:cs="Times New Roman"/>
          <w:color w:val="000000"/>
          <w:sz w:val="24"/>
          <w:szCs w:val="24"/>
        </w:rPr>
        <w:t>M</w:t>
      </w:r>
      <w:r w:rsidR="00351DF7">
        <w:rPr>
          <w:rFonts w:ascii="Times New Roman" w:eastAsia="Calibri" w:hAnsi="Times New Roman" w:cs="Times New Roman"/>
          <w:color w:val="000000"/>
          <w:sz w:val="24"/>
          <w:szCs w:val="24"/>
        </w:rPr>
        <w:t>K</w:t>
      </w:r>
      <w:r w:rsidR="00351DF7" w:rsidRPr="00D91646">
        <w:rPr>
          <w:rFonts w:ascii="Times New Roman" w:eastAsia="Times New Roman" w:hAnsi="Times New Roman" w:cs="Times New Roman"/>
          <w:sz w:val="24"/>
          <w:szCs w:val="28"/>
          <w:lang w:eastAsia="lv-LV"/>
        </w:rPr>
        <w:t xml:space="preserve"> </w:t>
      </w:r>
      <w:r w:rsidRPr="00D91646">
        <w:rPr>
          <w:rFonts w:ascii="Times New Roman" w:eastAsia="Times New Roman" w:hAnsi="Times New Roman" w:cs="Times New Roman"/>
          <w:sz w:val="24"/>
          <w:szCs w:val="28"/>
          <w:lang w:eastAsia="lv-LV"/>
        </w:rPr>
        <w:t>2017.gada 24.maija rīkojuma Nr.245 “Par Valsts nodokļu politikas pamatnostādnēm 2018.</w:t>
      </w:r>
      <w:r w:rsidR="00DA42C2" w:rsidRPr="00D91646">
        <w:rPr>
          <w:rFonts w:ascii="Times New Roman" w:eastAsia="Times New Roman" w:hAnsi="Times New Roman" w:cs="Times New Roman"/>
          <w:color w:val="000000"/>
          <w:sz w:val="24"/>
          <w:szCs w:val="24"/>
          <w:lang w:eastAsia="lv-LV"/>
        </w:rPr>
        <w:t xml:space="preserve"> – </w:t>
      </w:r>
      <w:r w:rsidR="006D1A8A">
        <w:rPr>
          <w:rFonts w:ascii="Times New Roman" w:eastAsia="Times New Roman" w:hAnsi="Times New Roman" w:cs="Times New Roman"/>
          <w:sz w:val="24"/>
          <w:szCs w:val="28"/>
          <w:lang w:eastAsia="lv-LV"/>
        </w:rPr>
        <w:t>2021.</w:t>
      </w:r>
      <w:r w:rsidRPr="00D91646">
        <w:rPr>
          <w:rFonts w:ascii="Times New Roman" w:eastAsia="Times New Roman" w:hAnsi="Times New Roman" w:cs="Times New Roman"/>
          <w:sz w:val="24"/>
          <w:szCs w:val="28"/>
          <w:lang w:eastAsia="lv-LV"/>
        </w:rPr>
        <w:t>gada</w:t>
      </w:r>
      <w:r w:rsidR="00DA42C2">
        <w:rPr>
          <w:rFonts w:ascii="Times New Roman" w:eastAsia="Times New Roman" w:hAnsi="Times New Roman" w:cs="Times New Roman"/>
          <w:sz w:val="24"/>
          <w:szCs w:val="28"/>
          <w:lang w:eastAsia="lv-LV"/>
        </w:rPr>
        <w:t xml:space="preserve">m” 11.punktā doto uzdevumu, FM </w:t>
      </w:r>
      <w:r w:rsidRPr="00D91646">
        <w:rPr>
          <w:rFonts w:ascii="Times New Roman" w:eastAsia="Times New Roman" w:hAnsi="Times New Roman" w:cs="Times New Roman"/>
          <w:sz w:val="24"/>
          <w:szCs w:val="28"/>
          <w:lang w:eastAsia="lv-LV"/>
        </w:rPr>
        <w:t>šobrīd strādā pie informatīvā ziņojuma “Valsts nodokļu politikas pamatnostādņu 2019.</w:t>
      </w:r>
      <w:r w:rsidR="008275AC" w:rsidRPr="00D91646">
        <w:rPr>
          <w:rFonts w:ascii="Times New Roman" w:eastAsia="Calibri" w:hAnsi="Times New Roman" w:cs="Times New Roman"/>
          <w:sz w:val="24"/>
        </w:rPr>
        <w:t xml:space="preserve"> – </w:t>
      </w:r>
      <w:r w:rsidRPr="00D91646">
        <w:rPr>
          <w:rFonts w:ascii="Times New Roman" w:eastAsia="Times New Roman" w:hAnsi="Times New Roman" w:cs="Times New Roman"/>
          <w:sz w:val="24"/>
          <w:szCs w:val="28"/>
          <w:lang w:eastAsia="lv-LV"/>
        </w:rPr>
        <w:t xml:space="preserve">2021.gadam īstenošanas starpposma 2018.gadā novērtējums”, kuru finanšu ministrs 2019.gada maijā iesniegs izskatīšanai </w:t>
      </w:r>
      <w:r w:rsidR="00351DF7" w:rsidRPr="006C5ABE">
        <w:rPr>
          <w:rFonts w:ascii="Times New Roman" w:eastAsia="Calibri" w:hAnsi="Times New Roman" w:cs="Times New Roman"/>
          <w:color w:val="000000"/>
          <w:sz w:val="24"/>
          <w:szCs w:val="24"/>
        </w:rPr>
        <w:t>M</w:t>
      </w:r>
      <w:r w:rsidR="00351DF7">
        <w:rPr>
          <w:rFonts w:ascii="Times New Roman" w:eastAsia="Calibri" w:hAnsi="Times New Roman" w:cs="Times New Roman"/>
          <w:color w:val="000000"/>
          <w:sz w:val="24"/>
          <w:szCs w:val="24"/>
        </w:rPr>
        <w:t>K</w:t>
      </w:r>
      <w:r w:rsidRPr="00D91646">
        <w:rPr>
          <w:rFonts w:ascii="Times New Roman" w:eastAsia="Times New Roman" w:hAnsi="Times New Roman" w:cs="Times New Roman"/>
          <w:sz w:val="24"/>
          <w:szCs w:val="28"/>
          <w:lang w:eastAsia="lv-LV"/>
        </w:rPr>
        <w:t>.</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 xml:space="preserve">Lai sniegtu pilnvērtīgu </w:t>
      </w:r>
      <w:r w:rsidRPr="00D91646">
        <w:rPr>
          <w:rFonts w:ascii="Times New Roman" w:eastAsia="Times New Roman" w:hAnsi="Times New Roman" w:cs="Times New Roman"/>
          <w:i/>
          <w:sz w:val="24"/>
          <w:szCs w:val="28"/>
          <w:lang w:eastAsia="lv-LV"/>
        </w:rPr>
        <w:t>Nodokļu reformas</w:t>
      </w:r>
      <w:r w:rsidRPr="00D91646">
        <w:rPr>
          <w:rFonts w:ascii="Times New Roman" w:eastAsia="Times New Roman" w:hAnsi="Times New Roman" w:cs="Times New Roman"/>
          <w:sz w:val="24"/>
          <w:szCs w:val="28"/>
          <w:lang w:eastAsia="lv-LV"/>
        </w:rPr>
        <w:t xml:space="preserve"> pasākumu </w:t>
      </w:r>
      <w:proofErr w:type="spellStart"/>
      <w:r w:rsidRPr="00D91646">
        <w:rPr>
          <w:rFonts w:ascii="Times New Roman" w:eastAsia="Times New Roman" w:hAnsi="Times New Roman" w:cs="Times New Roman"/>
          <w:sz w:val="24"/>
          <w:szCs w:val="28"/>
          <w:lang w:eastAsia="lv-LV"/>
        </w:rPr>
        <w:t>izvērtējumu</w:t>
      </w:r>
      <w:proofErr w:type="spellEnd"/>
      <w:r w:rsidRPr="00D91646">
        <w:rPr>
          <w:rFonts w:ascii="Times New Roman" w:eastAsia="Times New Roman" w:hAnsi="Times New Roman" w:cs="Times New Roman"/>
          <w:sz w:val="24"/>
          <w:szCs w:val="28"/>
          <w:lang w:eastAsia="lv-LV"/>
        </w:rPr>
        <w:t xml:space="preserve">, ir nepieciešami plašāki dati, ko izmantot analīzei, taču šobrīd vēl nav pieejami. Līdz ar to arī ziņojumā nebūs iekļauts detalizēts pasākumu </w:t>
      </w:r>
      <w:proofErr w:type="spellStart"/>
      <w:r w:rsidRPr="00D91646">
        <w:rPr>
          <w:rFonts w:ascii="Times New Roman" w:eastAsia="Times New Roman" w:hAnsi="Times New Roman" w:cs="Times New Roman"/>
          <w:sz w:val="24"/>
          <w:szCs w:val="28"/>
          <w:lang w:eastAsia="lv-LV"/>
        </w:rPr>
        <w:t>izvērtējums</w:t>
      </w:r>
      <w:proofErr w:type="spellEnd"/>
      <w:r w:rsidRPr="00D91646">
        <w:rPr>
          <w:rFonts w:ascii="Times New Roman" w:eastAsia="Times New Roman" w:hAnsi="Times New Roman" w:cs="Times New Roman"/>
          <w:sz w:val="24"/>
          <w:szCs w:val="28"/>
          <w:lang w:eastAsia="lv-LV"/>
        </w:rPr>
        <w:t xml:space="preserve">. Turklāt atsevišķu pasākumu </w:t>
      </w:r>
      <w:proofErr w:type="spellStart"/>
      <w:r w:rsidRPr="00D91646">
        <w:rPr>
          <w:rFonts w:ascii="Times New Roman" w:eastAsia="Times New Roman" w:hAnsi="Times New Roman" w:cs="Times New Roman"/>
          <w:sz w:val="24"/>
          <w:szCs w:val="28"/>
          <w:lang w:eastAsia="lv-LV"/>
        </w:rPr>
        <w:t>atdeve</w:t>
      </w:r>
      <w:proofErr w:type="spellEnd"/>
      <w:r w:rsidRPr="00D91646">
        <w:rPr>
          <w:rFonts w:ascii="Times New Roman" w:eastAsia="Times New Roman" w:hAnsi="Times New Roman" w:cs="Times New Roman"/>
          <w:sz w:val="24"/>
          <w:szCs w:val="28"/>
          <w:lang w:eastAsia="lv-LV"/>
        </w:rPr>
        <w:t xml:space="preserve"> sagaidāma ilgākā laika periodā.</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 xml:space="preserve">Viens no rādītājiem, kas apliecina </w:t>
      </w:r>
      <w:r w:rsidRPr="00D91646">
        <w:rPr>
          <w:rFonts w:ascii="Times New Roman" w:eastAsia="Times New Roman" w:hAnsi="Times New Roman" w:cs="Times New Roman"/>
          <w:i/>
          <w:sz w:val="24"/>
          <w:szCs w:val="28"/>
          <w:lang w:eastAsia="lv-LV"/>
        </w:rPr>
        <w:t>Nodokļu reformas</w:t>
      </w:r>
      <w:r w:rsidRPr="00D91646">
        <w:rPr>
          <w:rFonts w:ascii="Times New Roman" w:eastAsia="Times New Roman" w:hAnsi="Times New Roman" w:cs="Times New Roman"/>
          <w:sz w:val="24"/>
          <w:szCs w:val="28"/>
          <w:lang w:eastAsia="lv-LV"/>
        </w:rPr>
        <w:t xml:space="preserve"> sekmīgu ieviešanu, ir nodokļu ieņēmumu plāna izpilde. 2018.gadā kopbudžeta nodokļu ieņēmumu plāns 2018.gadam, kurā jau bija iekļauts straujāks makroekonomikas pieaugums, tika izpildīts par 100,9%</w:t>
      </w:r>
      <w:r w:rsidR="00DA42C2" w:rsidRPr="00D91646">
        <w:rPr>
          <w:rFonts w:ascii="Times New Roman" w:eastAsia="Times New Roman" w:hAnsi="Times New Roman" w:cs="Times New Roman"/>
          <w:color w:val="000000"/>
          <w:sz w:val="24"/>
          <w:szCs w:val="24"/>
          <w:lang w:eastAsia="lv-LV"/>
        </w:rPr>
        <w:t xml:space="preserve"> – </w:t>
      </w:r>
      <w:r w:rsidRPr="00D91646">
        <w:rPr>
          <w:rFonts w:ascii="Times New Roman" w:eastAsia="Times New Roman" w:hAnsi="Times New Roman" w:cs="Times New Roman"/>
          <w:sz w:val="24"/>
          <w:szCs w:val="28"/>
          <w:lang w:eastAsia="lv-LV"/>
        </w:rPr>
        <w:t xml:space="preserve">jeb nodokļu ieņēmumi kopbudžetā pārsniedza plānoto par 76,7 milj. </w:t>
      </w:r>
      <w:proofErr w:type="spellStart"/>
      <w:r w:rsidRPr="00DA42C2">
        <w:rPr>
          <w:rFonts w:ascii="Times New Roman" w:eastAsia="Times New Roman" w:hAnsi="Times New Roman" w:cs="Times New Roman"/>
          <w:i/>
          <w:sz w:val="24"/>
          <w:szCs w:val="28"/>
          <w:lang w:eastAsia="lv-LV"/>
        </w:rPr>
        <w:t>euro</w:t>
      </w:r>
      <w:proofErr w:type="spellEnd"/>
      <w:r w:rsidRPr="00D91646">
        <w:rPr>
          <w:rFonts w:ascii="Times New Roman" w:eastAsia="Times New Roman" w:hAnsi="Times New Roman" w:cs="Times New Roman"/>
          <w:sz w:val="24"/>
          <w:szCs w:val="28"/>
          <w:lang w:eastAsia="lv-LV"/>
        </w:rPr>
        <w:t>.</w:t>
      </w:r>
    </w:p>
    <w:p w:rsidR="00D91646" w:rsidRPr="00D91646" w:rsidRDefault="00D91646" w:rsidP="00D91646">
      <w:pPr>
        <w:tabs>
          <w:tab w:val="left" w:pos="426"/>
        </w:tabs>
        <w:spacing w:after="120" w:line="240" w:lineRule="auto"/>
        <w:ind w:firstLine="720"/>
        <w:contextualSpacing/>
        <w:jc w:val="both"/>
        <w:rPr>
          <w:rFonts w:ascii="Times New Roman" w:eastAsia="Calibri" w:hAnsi="Times New Roman" w:cs="Times New Roman"/>
          <w:sz w:val="24"/>
          <w:szCs w:val="24"/>
        </w:rPr>
      </w:pPr>
      <w:r w:rsidRPr="00D91646">
        <w:rPr>
          <w:rFonts w:ascii="Times New Roman" w:eastAsia="Times New Roman" w:hAnsi="Times New Roman" w:cs="Times New Roman"/>
          <w:sz w:val="24"/>
          <w:szCs w:val="28"/>
          <w:lang w:eastAsia="lv-LV"/>
        </w:rPr>
        <w:t xml:space="preserve">Būtiski atzīmēt, ka īstenojies </w:t>
      </w:r>
      <w:r w:rsidRPr="00D91646">
        <w:rPr>
          <w:rFonts w:ascii="Times New Roman" w:eastAsia="Times New Roman" w:hAnsi="Times New Roman" w:cs="Times New Roman"/>
          <w:i/>
          <w:sz w:val="24"/>
          <w:szCs w:val="28"/>
          <w:lang w:eastAsia="lv-LV"/>
        </w:rPr>
        <w:t>Nodokļu reformas</w:t>
      </w:r>
      <w:r w:rsidRPr="00D91646">
        <w:rPr>
          <w:rFonts w:ascii="Times New Roman" w:eastAsia="Times New Roman" w:hAnsi="Times New Roman" w:cs="Times New Roman"/>
          <w:sz w:val="24"/>
          <w:szCs w:val="28"/>
          <w:lang w:eastAsia="lv-LV"/>
        </w:rPr>
        <w:t xml:space="preserve"> mērķis</w:t>
      </w:r>
      <w:r w:rsidR="00DA42C2" w:rsidRPr="00D91646">
        <w:rPr>
          <w:rFonts w:ascii="Times New Roman" w:eastAsia="Times New Roman" w:hAnsi="Times New Roman" w:cs="Times New Roman"/>
          <w:color w:val="000000"/>
          <w:sz w:val="24"/>
          <w:szCs w:val="24"/>
          <w:lang w:eastAsia="lv-LV"/>
        </w:rPr>
        <w:t xml:space="preserve"> – </w:t>
      </w:r>
      <w:r w:rsidRPr="00D91646">
        <w:rPr>
          <w:rFonts w:ascii="Times New Roman" w:eastAsia="Times New Roman" w:hAnsi="Times New Roman" w:cs="Times New Roman"/>
          <w:sz w:val="24"/>
          <w:szCs w:val="28"/>
          <w:lang w:eastAsia="lv-LV"/>
        </w:rPr>
        <w:t xml:space="preserve">samazināt darbaspēka nodokļu slogu un palielināt iedzīvotāju ienākumus. 2018.gada pirmajos trīs ceturkšņos darba samaksa aug straujāk nekā iepriekšējos periodos un tās pieaugums sasniedza 8,4%, un mēneša vidējā bruto darba samaksa bija 991 </w:t>
      </w:r>
      <w:proofErr w:type="spellStart"/>
      <w:r w:rsidRPr="00DA42C2">
        <w:rPr>
          <w:rFonts w:ascii="Times New Roman" w:eastAsia="Times New Roman" w:hAnsi="Times New Roman" w:cs="Times New Roman"/>
          <w:i/>
          <w:sz w:val="24"/>
          <w:szCs w:val="28"/>
          <w:lang w:eastAsia="lv-LV"/>
        </w:rPr>
        <w:t>euro</w:t>
      </w:r>
      <w:proofErr w:type="spellEnd"/>
      <w:r w:rsidRPr="00D91646">
        <w:rPr>
          <w:rFonts w:ascii="Times New Roman" w:eastAsia="Times New Roman" w:hAnsi="Times New Roman" w:cs="Times New Roman"/>
          <w:sz w:val="24"/>
          <w:szCs w:val="28"/>
          <w:lang w:eastAsia="lv-LV"/>
        </w:rPr>
        <w:t xml:space="preserve">. Nodokļu sloga samazināšanu daļēji ierobežoja VSAOI </w:t>
      </w:r>
      <w:r w:rsidRPr="00D91646">
        <w:rPr>
          <w:rFonts w:ascii="Times New Roman" w:eastAsia="Times New Roman" w:hAnsi="Times New Roman" w:cs="Times New Roman"/>
          <w:sz w:val="24"/>
          <w:szCs w:val="28"/>
          <w:lang w:eastAsia="lv-LV"/>
        </w:rPr>
        <w:lastRenderedPageBreak/>
        <w:t>likmes paaugstināšana par 1 procentpunktu, tomēr, neskatoties uz to, nodokļu slogs zemu ienākumu saņēmējiem pirmo reizi pēdējo desmit gadu laikā būs zem 40% un, salīdzinot ar 2017.gadu, tiks samazināts par apmēram 3 procentpunktiem, kas ES kontekstā ir vērtējama kā būtiska izmaiņa.</w:t>
      </w:r>
      <w:r w:rsidRPr="00D91646">
        <w:rPr>
          <w:rFonts w:ascii="Times New Roman" w:eastAsia="Calibri" w:hAnsi="Times New Roman" w:cs="Times New Roman"/>
          <w:sz w:val="24"/>
          <w:szCs w:val="24"/>
        </w:rPr>
        <w:t xml:space="preserve"> </w:t>
      </w:r>
    </w:p>
    <w:p w:rsidR="00D91646" w:rsidRPr="00D91646" w:rsidRDefault="00D91646" w:rsidP="00D91646">
      <w:pPr>
        <w:tabs>
          <w:tab w:val="left" w:pos="426"/>
        </w:tabs>
        <w:spacing w:after="120" w:line="240" w:lineRule="auto"/>
        <w:ind w:firstLine="720"/>
        <w:contextualSpacing/>
        <w:jc w:val="both"/>
        <w:rPr>
          <w:rFonts w:ascii="Times New Roman" w:eastAsia="Calibri" w:hAnsi="Times New Roman" w:cs="Times New Roman"/>
          <w:sz w:val="24"/>
          <w:szCs w:val="24"/>
        </w:rPr>
      </w:pPr>
      <w:r w:rsidRPr="00D91646">
        <w:rPr>
          <w:rFonts w:ascii="Times New Roman" w:eastAsia="Calibri" w:hAnsi="Times New Roman" w:cs="Times New Roman"/>
          <w:sz w:val="24"/>
          <w:szCs w:val="24"/>
        </w:rPr>
        <w:t>2018.gadā nodokļu plaisas rādītājs zemo algu saņēmējiem (ar darba algu 67% apmērā no vidējās darba algas valstī) bez apgādībā esošām personām, salīdzinot ar 2017.gadu, samazinājies par 2,4 procentpunktiem un bija 39,5%, bet nodokļu plaisas rādītājs zemo algu saņēmējiem (ar darba algu 67% apmērā no vidējās darba algas valstī) ar vienu apgādībā e</w:t>
      </w:r>
      <w:r w:rsidR="00DA42C2">
        <w:rPr>
          <w:rFonts w:ascii="Times New Roman" w:eastAsia="Calibri" w:hAnsi="Times New Roman" w:cs="Times New Roman"/>
          <w:sz w:val="24"/>
          <w:szCs w:val="24"/>
        </w:rPr>
        <w:t xml:space="preserve">sošu personu, samazinājies par </w:t>
      </w:r>
      <w:r w:rsidRPr="00D91646">
        <w:rPr>
          <w:rFonts w:ascii="Times New Roman" w:eastAsia="Calibri" w:hAnsi="Times New Roman" w:cs="Times New Roman"/>
          <w:sz w:val="24"/>
          <w:szCs w:val="24"/>
        </w:rPr>
        <w:t xml:space="preserve">2 procentpunktiem un bija 34,6% (skat. </w:t>
      </w:r>
      <w:r w:rsidR="00452BCF" w:rsidRPr="00452BCF">
        <w:rPr>
          <w:rFonts w:ascii="Times New Roman" w:eastAsia="Calibri" w:hAnsi="Times New Roman" w:cs="Times New Roman"/>
          <w:sz w:val="24"/>
          <w:szCs w:val="24"/>
        </w:rPr>
        <w:t>5</w:t>
      </w:r>
      <w:r w:rsidRPr="00452BCF">
        <w:rPr>
          <w:rFonts w:ascii="Times New Roman" w:eastAsia="Calibri" w:hAnsi="Times New Roman" w:cs="Times New Roman"/>
          <w:sz w:val="24"/>
          <w:szCs w:val="24"/>
        </w:rPr>
        <w:t>.</w:t>
      </w:r>
      <w:r w:rsidR="000774C9">
        <w:rPr>
          <w:rFonts w:ascii="Times New Roman" w:eastAsia="Calibri" w:hAnsi="Times New Roman" w:cs="Times New Roman"/>
          <w:sz w:val="24"/>
          <w:szCs w:val="24"/>
        </w:rPr>
        <w:t>3</w:t>
      </w:r>
      <w:r w:rsidRPr="00452BCF">
        <w:rPr>
          <w:rFonts w:ascii="Times New Roman" w:eastAsia="Calibri" w:hAnsi="Times New Roman" w:cs="Times New Roman"/>
          <w:sz w:val="24"/>
          <w:szCs w:val="24"/>
        </w:rPr>
        <w:t>.</w:t>
      </w:r>
      <w:r w:rsidRPr="00D91646">
        <w:rPr>
          <w:rFonts w:ascii="Times New Roman" w:eastAsia="Calibri" w:hAnsi="Times New Roman" w:cs="Times New Roman"/>
          <w:sz w:val="24"/>
          <w:szCs w:val="24"/>
        </w:rPr>
        <w:t>attēlu). Tomēr, kā redzams attēlā, ja 2020.gadā netiks palielināts neapliekamais min</w:t>
      </w:r>
      <w:r w:rsidR="00A26FA5">
        <w:rPr>
          <w:rFonts w:ascii="Times New Roman" w:eastAsia="Calibri" w:hAnsi="Times New Roman" w:cs="Times New Roman"/>
          <w:sz w:val="24"/>
          <w:szCs w:val="24"/>
        </w:rPr>
        <w:t>imums, nodokļu plaisa, pieaugot</w:t>
      </w:r>
      <w:r w:rsidRPr="00D91646">
        <w:rPr>
          <w:rFonts w:ascii="Times New Roman" w:eastAsia="Calibri" w:hAnsi="Times New Roman" w:cs="Times New Roman"/>
          <w:sz w:val="24"/>
          <w:szCs w:val="24"/>
        </w:rPr>
        <w:t xml:space="preserve"> darba algai, atkal sāks palielināties.</w:t>
      </w:r>
    </w:p>
    <w:p w:rsidR="00D91646" w:rsidRPr="00D91646" w:rsidRDefault="00D91646" w:rsidP="00D91646">
      <w:pPr>
        <w:tabs>
          <w:tab w:val="left" w:pos="426"/>
        </w:tabs>
        <w:spacing w:after="120" w:line="240" w:lineRule="auto"/>
        <w:ind w:firstLine="720"/>
        <w:contextualSpacing/>
        <w:jc w:val="both"/>
        <w:rPr>
          <w:rFonts w:ascii="Times New Roman" w:eastAsia="Calibri" w:hAnsi="Times New Roman" w:cs="Times New Roman"/>
          <w:sz w:val="24"/>
          <w:szCs w:val="24"/>
        </w:rPr>
      </w:pPr>
      <w:r w:rsidRPr="00D91646">
        <w:rPr>
          <w:rFonts w:ascii="Times New Roman" w:eastAsia="Calibri" w:hAnsi="Times New Roman" w:cs="Times New Roman"/>
          <w:sz w:val="24"/>
          <w:szCs w:val="24"/>
        </w:rPr>
        <w:t xml:space="preserve"> </w:t>
      </w:r>
    </w:p>
    <w:p w:rsidR="00D91646" w:rsidRPr="00D91646" w:rsidRDefault="00D91646" w:rsidP="00DA42C2">
      <w:pPr>
        <w:spacing w:after="120" w:line="240" w:lineRule="auto"/>
        <w:jc w:val="center"/>
        <w:rPr>
          <w:rFonts w:ascii="Times New Roman" w:eastAsia="Calibri" w:hAnsi="Times New Roman" w:cs="Times New Roman"/>
          <w:sz w:val="24"/>
          <w:szCs w:val="24"/>
        </w:rPr>
      </w:pPr>
      <w:r w:rsidRPr="00D91646">
        <w:rPr>
          <w:rFonts w:ascii="Times New Roman" w:eastAsia="Calibri" w:hAnsi="Times New Roman" w:cs="Times New Roman"/>
          <w:noProof/>
          <w:sz w:val="24"/>
          <w:lang w:eastAsia="lv-LV"/>
        </w:rPr>
        <w:drawing>
          <wp:inline distT="0" distB="0" distL="0" distR="0" wp14:anchorId="338B8854" wp14:editId="0AF9E087">
            <wp:extent cx="2533650" cy="29527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91646">
        <w:rPr>
          <w:rFonts w:ascii="Times New Roman" w:eastAsia="Calibri" w:hAnsi="Times New Roman" w:cs="Times New Roman"/>
          <w:noProof/>
          <w:sz w:val="24"/>
          <w:lang w:eastAsia="lv-LV"/>
        </w:rPr>
        <w:drawing>
          <wp:inline distT="0" distB="0" distL="0" distR="0" wp14:anchorId="2F273EA3" wp14:editId="0F9AB169">
            <wp:extent cx="2533650" cy="2941955"/>
            <wp:effectExtent l="0" t="0" r="0" b="107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1646" w:rsidRPr="00D91646" w:rsidRDefault="00452BCF" w:rsidP="00DA42C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00D91646" w:rsidRPr="00D91646">
        <w:rPr>
          <w:rFonts w:ascii="Times New Roman" w:eastAsia="Calibri" w:hAnsi="Times New Roman" w:cs="Times New Roman"/>
          <w:b/>
          <w:sz w:val="24"/>
          <w:szCs w:val="24"/>
        </w:rPr>
        <w:t>.</w:t>
      </w:r>
      <w:r w:rsidR="000774C9">
        <w:rPr>
          <w:rFonts w:ascii="Times New Roman" w:eastAsia="Calibri" w:hAnsi="Times New Roman" w:cs="Times New Roman"/>
          <w:b/>
          <w:sz w:val="24"/>
          <w:szCs w:val="24"/>
        </w:rPr>
        <w:t>3</w:t>
      </w:r>
      <w:r w:rsidR="00D91646" w:rsidRPr="00D91646">
        <w:rPr>
          <w:rFonts w:ascii="Times New Roman" w:eastAsia="Calibri" w:hAnsi="Times New Roman" w:cs="Times New Roman"/>
          <w:b/>
          <w:sz w:val="24"/>
          <w:szCs w:val="24"/>
        </w:rPr>
        <w:t xml:space="preserve">.attēls. Nodokļu plaisas izmaiņas pēc nodokļu reformas, </w:t>
      </w:r>
      <w:r w:rsidR="00D91646" w:rsidRPr="00D91646">
        <w:rPr>
          <w:rFonts w:ascii="Times New Roman" w:eastAsia="Calibri" w:hAnsi="Times New Roman" w:cs="Times New Roman"/>
          <w:b/>
          <w:i/>
          <w:sz w:val="24"/>
          <w:szCs w:val="24"/>
        </w:rPr>
        <w:t>%</w:t>
      </w:r>
    </w:p>
    <w:p w:rsidR="00D91646" w:rsidRPr="00D91646" w:rsidRDefault="00D91646" w:rsidP="00DA42C2">
      <w:pPr>
        <w:tabs>
          <w:tab w:val="left" w:pos="426"/>
        </w:tabs>
        <w:spacing w:before="80" w:after="0" w:line="240" w:lineRule="auto"/>
        <w:jc w:val="center"/>
        <w:rPr>
          <w:rFonts w:ascii="Times New Roman" w:eastAsia="Calibri" w:hAnsi="Times New Roman" w:cs="Times New Roman"/>
          <w:sz w:val="24"/>
          <w:szCs w:val="24"/>
        </w:rPr>
      </w:pPr>
      <w:r w:rsidRPr="00D91646">
        <w:rPr>
          <w:rFonts w:ascii="Times New Roman" w:eastAsia="Calibri" w:hAnsi="Times New Roman" w:cs="Times New Roman"/>
          <w:b/>
          <w:i/>
          <w:sz w:val="24"/>
          <w:szCs w:val="24"/>
        </w:rPr>
        <w:t xml:space="preserve">Avots: </w:t>
      </w:r>
      <w:r w:rsidRPr="00D91646">
        <w:rPr>
          <w:rFonts w:ascii="Times New Roman" w:eastAsia="Calibri" w:hAnsi="Times New Roman" w:cs="Times New Roman"/>
          <w:i/>
          <w:sz w:val="24"/>
          <w:szCs w:val="24"/>
        </w:rPr>
        <w:t>FM aprēķini uz 2019.gada martu</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 xml:space="preserve">2018.gadā vērojamas pozitīvas izmaiņas darba samaksas struktūrā. Salīdzinot 2018.gada novembra darba devēja ziņojumus ar iepriekšējā gada novembri, redzams, ka samazinājies gan darbinieku skaits, gan to procentuālais īpatsvars algu grupā līdz 430 </w:t>
      </w:r>
      <w:proofErr w:type="spellStart"/>
      <w:r w:rsidRPr="00D91646">
        <w:rPr>
          <w:rFonts w:ascii="Times New Roman" w:eastAsia="Times New Roman" w:hAnsi="Times New Roman" w:cs="Times New Roman"/>
          <w:i/>
          <w:sz w:val="24"/>
          <w:szCs w:val="28"/>
          <w:lang w:eastAsia="lv-LV"/>
        </w:rPr>
        <w:t>euro</w:t>
      </w:r>
      <w:proofErr w:type="spellEnd"/>
      <w:r w:rsidRPr="00D91646">
        <w:rPr>
          <w:rFonts w:ascii="Times New Roman" w:eastAsia="Times New Roman" w:hAnsi="Times New Roman" w:cs="Times New Roman"/>
          <w:sz w:val="24"/>
          <w:szCs w:val="28"/>
          <w:lang w:eastAsia="lv-LV"/>
        </w:rPr>
        <w:t xml:space="preserve">, kas liecina par pozitīvu atdevi arī no tādiem </w:t>
      </w:r>
      <w:r w:rsidRPr="00D91646">
        <w:rPr>
          <w:rFonts w:ascii="Times New Roman" w:eastAsia="Times New Roman" w:hAnsi="Times New Roman" w:cs="Times New Roman"/>
          <w:i/>
          <w:sz w:val="24"/>
          <w:szCs w:val="28"/>
          <w:lang w:eastAsia="lv-LV"/>
        </w:rPr>
        <w:t>Nodokļu reformas</w:t>
      </w:r>
      <w:r w:rsidRPr="00D91646">
        <w:rPr>
          <w:rFonts w:ascii="Times New Roman" w:eastAsia="Times New Roman" w:hAnsi="Times New Roman" w:cs="Times New Roman"/>
          <w:sz w:val="24"/>
          <w:szCs w:val="28"/>
          <w:lang w:eastAsia="lv-LV"/>
        </w:rPr>
        <w:t xml:space="preserve"> pasākumiem kā ēnu ekonomikas mazināšana un nodokļu administrēšanas uzlabošana, vienlaikus pieaugot darbinieku skaitam augstākās algu grupās.</w:t>
      </w:r>
    </w:p>
    <w:p w:rsidR="000774C9" w:rsidRDefault="000774C9" w:rsidP="00D91646">
      <w:pPr>
        <w:spacing w:after="0" w:line="240" w:lineRule="auto"/>
        <w:ind w:firstLine="709"/>
        <w:jc w:val="both"/>
        <w:rPr>
          <w:rFonts w:ascii="Times New Roman" w:eastAsia="Times New Roman" w:hAnsi="Times New Roman" w:cs="Times New Roman"/>
          <w:sz w:val="24"/>
          <w:szCs w:val="28"/>
          <w:lang w:eastAsia="lv-LV"/>
        </w:rPr>
      </w:pPr>
    </w:p>
    <w:p w:rsidR="00D91646" w:rsidRPr="00D91646" w:rsidRDefault="00452BCF" w:rsidP="00DA42C2">
      <w:pPr>
        <w:spacing w:after="0" w:line="240" w:lineRule="auto"/>
        <w:jc w:val="right"/>
        <w:rPr>
          <w:rFonts w:ascii="Times New Roman" w:eastAsia="Times New Roman" w:hAnsi="Times New Roman" w:cs="Times New Roman"/>
          <w:sz w:val="24"/>
          <w:szCs w:val="20"/>
        </w:rPr>
      </w:pPr>
      <w:r w:rsidRPr="00452BCF">
        <w:rPr>
          <w:rFonts w:ascii="Times New Roman" w:eastAsia="Times New Roman" w:hAnsi="Times New Roman" w:cs="Times New Roman"/>
          <w:b/>
          <w:sz w:val="24"/>
          <w:szCs w:val="24"/>
        </w:rPr>
        <w:t>5.7</w:t>
      </w:r>
      <w:r w:rsidR="00D91646" w:rsidRPr="00452BCF">
        <w:rPr>
          <w:rFonts w:ascii="Times New Roman" w:eastAsia="Times New Roman" w:hAnsi="Times New Roman" w:cs="Times New Roman"/>
          <w:b/>
          <w:sz w:val="24"/>
          <w:szCs w:val="24"/>
        </w:rPr>
        <w:t>.</w:t>
      </w:r>
      <w:r w:rsidR="00D91646" w:rsidRPr="00D91646">
        <w:rPr>
          <w:rFonts w:ascii="Times New Roman" w:eastAsia="Times New Roman" w:hAnsi="Times New Roman" w:cs="Times New Roman"/>
          <w:b/>
          <w:sz w:val="24"/>
          <w:szCs w:val="24"/>
        </w:rPr>
        <w:t>tabula. Darba samaksas struktūras izmaiņas</w:t>
      </w:r>
    </w:p>
    <w:tbl>
      <w:tblPr>
        <w:tblW w:w="900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052"/>
        <w:gridCol w:w="1127"/>
        <w:gridCol w:w="999"/>
        <w:gridCol w:w="1134"/>
        <w:gridCol w:w="992"/>
        <w:gridCol w:w="1276"/>
        <w:gridCol w:w="1420"/>
      </w:tblGrid>
      <w:tr w:rsidR="00D91646" w:rsidRPr="00D91646" w:rsidTr="004660CE">
        <w:trPr>
          <w:trHeight w:val="315"/>
          <w:jc w:val="center"/>
        </w:trPr>
        <w:tc>
          <w:tcPr>
            <w:tcW w:w="2052" w:type="dxa"/>
            <w:vMerge w:val="restart"/>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b/>
                <w:sz w:val="20"/>
                <w:szCs w:val="20"/>
                <w:lang w:eastAsia="lv-LV"/>
              </w:rPr>
            </w:pPr>
            <w:r w:rsidRPr="00D91646">
              <w:rPr>
                <w:rFonts w:ascii="Times New Roman" w:eastAsia="Times New Roman" w:hAnsi="Times New Roman" w:cs="Times New Roman"/>
                <w:b/>
                <w:sz w:val="20"/>
                <w:szCs w:val="20"/>
                <w:lang w:eastAsia="lv-LV"/>
              </w:rPr>
              <w:t xml:space="preserve">Algu grupa, </w:t>
            </w:r>
            <w:proofErr w:type="spellStart"/>
            <w:r w:rsidRPr="00D91646">
              <w:rPr>
                <w:rFonts w:ascii="Times New Roman" w:eastAsia="Times New Roman" w:hAnsi="Times New Roman" w:cs="Times New Roman"/>
                <w:i/>
                <w:sz w:val="20"/>
                <w:szCs w:val="20"/>
                <w:lang w:eastAsia="lv-LV"/>
              </w:rPr>
              <w:t>euro</w:t>
            </w:r>
            <w:proofErr w:type="spellEnd"/>
            <w:r w:rsidRPr="00D91646">
              <w:rPr>
                <w:rFonts w:ascii="Times New Roman" w:eastAsia="Times New Roman" w:hAnsi="Times New Roman" w:cs="Times New Roman"/>
                <w:i/>
                <w:sz w:val="20"/>
                <w:szCs w:val="20"/>
                <w:lang w:eastAsia="lv-LV"/>
              </w:rPr>
              <w:t xml:space="preserve"> mēnesī</w:t>
            </w:r>
          </w:p>
        </w:tc>
        <w:tc>
          <w:tcPr>
            <w:tcW w:w="2126" w:type="dxa"/>
            <w:gridSpan w:val="2"/>
            <w:shd w:val="clear" w:color="auto" w:fill="BDD6EE"/>
            <w:noWrap/>
            <w:vAlign w:val="bottom"/>
            <w:hideMark/>
          </w:tcPr>
          <w:p w:rsidR="00D91646" w:rsidRPr="00D91646" w:rsidRDefault="00D91646" w:rsidP="00D91646">
            <w:pPr>
              <w:spacing w:after="0" w:line="240" w:lineRule="auto"/>
              <w:jc w:val="center"/>
              <w:rPr>
                <w:rFonts w:ascii="Times New Roman" w:eastAsia="Times New Roman" w:hAnsi="Times New Roman" w:cs="Times New Roman"/>
                <w:b/>
                <w:sz w:val="20"/>
                <w:szCs w:val="20"/>
                <w:lang w:eastAsia="lv-LV"/>
              </w:rPr>
            </w:pPr>
            <w:r w:rsidRPr="00D91646">
              <w:rPr>
                <w:rFonts w:ascii="Times New Roman" w:eastAsia="Times New Roman" w:hAnsi="Times New Roman" w:cs="Times New Roman"/>
                <w:b/>
                <w:sz w:val="20"/>
                <w:szCs w:val="20"/>
                <w:lang w:eastAsia="lv-LV"/>
              </w:rPr>
              <w:t>2017/11</w:t>
            </w:r>
          </w:p>
        </w:tc>
        <w:tc>
          <w:tcPr>
            <w:tcW w:w="2126" w:type="dxa"/>
            <w:gridSpan w:val="2"/>
            <w:shd w:val="clear" w:color="auto" w:fill="BDD6EE"/>
            <w:noWrap/>
            <w:vAlign w:val="bottom"/>
            <w:hideMark/>
          </w:tcPr>
          <w:p w:rsidR="00D91646" w:rsidRPr="00D91646" w:rsidRDefault="00D91646" w:rsidP="00D91646">
            <w:pPr>
              <w:spacing w:after="0" w:line="240" w:lineRule="auto"/>
              <w:jc w:val="center"/>
              <w:rPr>
                <w:rFonts w:ascii="Times New Roman" w:eastAsia="Times New Roman" w:hAnsi="Times New Roman" w:cs="Times New Roman"/>
                <w:b/>
                <w:sz w:val="20"/>
                <w:szCs w:val="20"/>
                <w:lang w:eastAsia="lv-LV"/>
              </w:rPr>
            </w:pPr>
            <w:r w:rsidRPr="00D91646">
              <w:rPr>
                <w:rFonts w:ascii="Times New Roman" w:eastAsia="Times New Roman" w:hAnsi="Times New Roman" w:cs="Times New Roman"/>
                <w:b/>
                <w:sz w:val="20"/>
                <w:szCs w:val="20"/>
                <w:lang w:eastAsia="lv-LV"/>
              </w:rPr>
              <w:t>2018/11</w:t>
            </w:r>
          </w:p>
        </w:tc>
        <w:tc>
          <w:tcPr>
            <w:tcW w:w="2696" w:type="dxa"/>
            <w:gridSpan w:val="2"/>
            <w:shd w:val="clear" w:color="auto" w:fill="BDD6EE"/>
            <w:noWrap/>
            <w:vAlign w:val="bottom"/>
            <w:hideMark/>
          </w:tcPr>
          <w:p w:rsidR="00D91646" w:rsidRPr="00D91646" w:rsidRDefault="00D91646" w:rsidP="00D91646">
            <w:pPr>
              <w:spacing w:after="0" w:line="240" w:lineRule="auto"/>
              <w:jc w:val="center"/>
              <w:rPr>
                <w:rFonts w:ascii="Times New Roman" w:eastAsia="Times New Roman" w:hAnsi="Times New Roman" w:cs="Times New Roman"/>
                <w:b/>
                <w:sz w:val="20"/>
                <w:szCs w:val="20"/>
                <w:lang w:eastAsia="lv-LV"/>
              </w:rPr>
            </w:pPr>
            <w:r w:rsidRPr="00D91646">
              <w:rPr>
                <w:rFonts w:ascii="Times New Roman" w:eastAsia="Times New Roman" w:hAnsi="Times New Roman" w:cs="Times New Roman"/>
                <w:b/>
                <w:sz w:val="20"/>
                <w:szCs w:val="20"/>
                <w:lang w:eastAsia="lv-LV"/>
              </w:rPr>
              <w:t>2018/2017</w:t>
            </w:r>
          </w:p>
        </w:tc>
      </w:tr>
      <w:tr w:rsidR="00D91646" w:rsidRPr="00D91646" w:rsidTr="004660CE">
        <w:trPr>
          <w:trHeight w:val="580"/>
          <w:jc w:val="center"/>
        </w:trPr>
        <w:tc>
          <w:tcPr>
            <w:tcW w:w="2052" w:type="dxa"/>
            <w:vMerge/>
            <w:shd w:val="clear" w:color="auto" w:fill="BDD6EE"/>
            <w:vAlign w:val="center"/>
            <w:hideMark/>
          </w:tcPr>
          <w:p w:rsidR="00D91646" w:rsidRPr="00D91646" w:rsidRDefault="00D91646" w:rsidP="00D91646">
            <w:pPr>
              <w:spacing w:after="0" w:line="240" w:lineRule="auto"/>
              <w:rPr>
                <w:rFonts w:ascii="Times New Roman" w:eastAsia="Times New Roman" w:hAnsi="Times New Roman" w:cs="Times New Roman"/>
                <w:b/>
                <w:sz w:val="20"/>
                <w:szCs w:val="20"/>
                <w:lang w:eastAsia="lv-LV"/>
              </w:rPr>
            </w:pPr>
          </w:p>
        </w:tc>
        <w:tc>
          <w:tcPr>
            <w:tcW w:w="1127" w:type="dxa"/>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i/>
                <w:sz w:val="20"/>
                <w:szCs w:val="20"/>
                <w:lang w:eastAsia="lv-LV"/>
              </w:rPr>
            </w:pPr>
            <w:r w:rsidRPr="00D91646">
              <w:rPr>
                <w:rFonts w:ascii="Times New Roman" w:eastAsia="Times New Roman" w:hAnsi="Times New Roman" w:cs="Times New Roman"/>
                <w:i/>
                <w:sz w:val="20"/>
                <w:szCs w:val="20"/>
                <w:lang w:eastAsia="lv-LV"/>
              </w:rPr>
              <w:t>Darbinieku skaits</w:t>
            </w:r>
          </w:p>
        </w:tc>
        <w:tc>
          <w:tcPr>
            <w:tcW w:w="999" w:type="dxa"/>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i/>
                <w:sz w:val="20"/>
                <w:szCs w:val="20"/>
                <w:lang w:eastAsia="lv-LV"/>
              </w:rPr>
            </w:pPr>
            <w:r w:rsidRPr="00D91646">
              <w:rPr>
                <w:rFonts w:ascii="Times New Roman" w:eastAsia="Times New Roman" w:hAnsi="Times New Roman" w:cs="Times New Roman"/>
                <w:i/>
                <w:sz w:val="20"/>
                <w:szCs w:val="20"/>
                <w:lang w:eastAsia="lv-LV"/>
              </w:rPr>
              <w:t>Īpatsvars</w:t>
            </w:r>
          </w:p>
        </w:tc>
        <w:tc>
          <w:tcPr>
            <w:tcW w:w="1134" w:type="dxa"/>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i/>
                <w:sz w:val="20"/>
                <w:szCs w:val="20"/>
                <w:lang w:eastAsia="lv-LV"/>
              </w:rPr>
            </w:pPr>
            <w:r w:rsidRPr="00D91646">
              <w:rPr>
                <w:rFonts w:ascii="Times New Roman" w:eastAsia="Times New Roman" w:hAnsi="Times New Roman" w:cs="Times New Roman"/>
                <w:i/>
                <w:sz w:val="20"/>
                <w:szCs w:val="20"/>
                <w:lang w:eastAsia="lv-LV"/>
              </w:rPr>
              <w:t>Darbinieku skaits</w:t>
            </w:r>
          </w:p>
        </w:tc>
        <w:tc>
          <w:tcPr>
            <w:tcW w:w="992" w:type="dxa"/>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i/>
                <w:sz w:val="20"/>
                <w:szCs w:val="20"/>
                <w:lang w:eastAsia="lv-LV"/>
              </w:rPr>
            </w:pPr>
            <w:r w:rsidRPr="00D91646">
              <w:rPr>
                <w:rFonts w:ascii="Times New Roman" w:eastAsia="Times New Roman" w:hAnsi="Times New Roman" w:cs="Times New Roman"/>
                <w:i/>
                <w:sz w:val="20"/>
                <w:szCs w:val="20"/>
                <w:lang w:eastAsia="lv-LV"/>
              </w:rPr>
              <w:t>Īpatsvars</w:t>
            </w:r>
          </w:p>
        </w:tc>
        <w:tc>
          <w:tcPr>
            <w:tcW w:w="1276" w:type="dxa"/>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i/>
                <w:sz w:val="20"/>
                <w:szCs w:val="20"/>
                <w:lang w:eastAsia="lv-LV"/>
              </w:rPr>
            </w:pPr>
            <w:r w:rsidRPr="00D91646">
              <w:rPr>
                <w:rFonts w:ascii="Times New Roman" w:eastAsia="Times New Roman" w:hAnsi="Times New Roman" w:cs="Times New Roman"/>
                <w:i/>
                <w:sz w:val="20"/>
                <w:szCs w:val="20"/>
                <w:lang w:eastAsia="lv-LV"/>
              </w:rPr>
              <w:t>Darbinieku skaita izmaiņas</w:t>
            </w:r>
          </w:p>
        </w:tc>
        <w:tc>
          <w:tcPr>
            <w:tcW w:w="1420" w:type="dxa"/>
            <w:shd w:val="clear" w:color="auto" w:fill="BDD6EE"/>
            <w:vAlign w:val="center"/>
            <w:hideMark/>
          </w:tcPr>
          <w:p w:rsidR="00D91646" w:rsidRPr="00D91646" w:rsidRDefault="00D91646" w:rsidP="00D91646">
            <w:pPr>
              <w:spacing w:after="0" w:line="240" w:lineRule="auto"/>
              <w:jc w:val="center"/>
              <w:rPr>
                <w:rFonts w:ascii="Times New Roman" w:eastAsia="Times New Roman" w:hAnsi="Times New Roman" w:cs="Times New Roman"/>
                <w:i/>
                <w:sz w:val="20"/>
                <w:szCs w:val="20"/>
                <w:lang w:eastAsia="lv-LV"/>
              </w:rPr>
            </w:pPr>
            <w:r w:rsidRPr="00D91646">
              <w:rPr>
                <w:rFonts w:ascii="Times New Roman" w:eastAsia="Times New Roman" w:hAnsi="Times New Roman" w:cs="Times New Roman"/>
                <w:i/>
                <w:sz w:val="20"/>
                <w:szCs w:val="20"/>
                <w:lang w:eastAsia="lv-LV"/>
              </w:rPr>
              <w:t>Darbinieku īpatsvara izmaiņas</w:t>
            </w:r>
          </w:p>
        </w:tc>
      </w:tr>
      <w:tr w:rsidR="00D91646" w:rsidRPr="00D91646" w:rsidTr="004660CE">
        <w:trPr>
          <w:trHeight w:val="150"/>
          <w:jc w:val="center"/>
        </w:trPr>
        <w:tc>
          <w:tcPr>
            <w:tcW w:w="2052" w:type="dxa"/>
            <w:shd w:val="clear" w:color="FFFFFF" w:fill="FFFFFF"/>
            <w:noWrap/>
            <w:vAlign w:val="bottom"/>
            <w:hideMark/>
          </w:tcPr>
          <w:p w:rsidR="00D91646" w:rsidRPr="004B1C2A" w:rsidRDefault="00D91646" w:rsidP="00D91646">
            <w:pPr>
              <w:spacing w:after="0" w:line="240" w:lineRule="auto"/>
              <w:rPr>
                <w:rFonts w:ascii="Times New Roman" w:eastAsia="Times New Roman" w:hAnsi="Times New Roman" w:cs="Times New Roman"/>
                <w:b/>
                <w:sz w:val="20"/>
                <w:szCs w:val="20"/>
                <w:lang w:eastAsia="lv-LV"/>
              </w:rPr>
            </w:pPr>
            <w:r w:rsidRPr="004B1C2A">
              <w:rPr>
                <w:rFonts w:ascii="Times New Roman" w:eastAsia="Times New Roman" w:hAnsi="Times New Roman" w:cs="Times New Roman"/>
                <w:b/>
                <w:sz w:val="20"/>
                <w:szCs w:val="20"/>
                <w:lang w:eastAsia="lv-LV"/>
              </w:rPr>
              <w:t>0,01 – 430</w:t>
            </w:r>
          </w:p>
        </w:tc>
        <w:tc>
          <w:tcPr>
            <w:tcW w:w="1127" w:type="dxa"/>
            <w:shd w:val="clear" w:color="FFFFFF" w:fill="FFFFFF"/>
            <w:noWrap/>
            <w:vAlign w:val="bottom"/>
            <w:hideMark/>
          </w:tcPr>
          <w:p w:rsidR="00D91646" w:rsidRPr="00D91646" w:rsidRDefault="00D91646" w:rsidP="00DA42C2">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199</w:t>
            </w:r>
            <w:r w:rsidR="00DA42C2">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746</w:t>
            </w:r>
          </w:p>
        </w:tc>
        <w:tc>
          <w:tcPr>
            <w:tcW w:w="999" w:type="dxa"/>
            <w:shd w:val="clear" w:color="FFFFFF" w:fill="FFFFFF"/>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24,5%</w:t>
            </w:r>
          </w:p>
        </w:tc>
        <w:tc>
          <w:tcPr>
            <w:tcW w:w="1134" w:type="dxa"/>
            <w:shd w:val="clear" w:color="auto" w:fill="auto"/>
            <w:noWrap/>
            <w:vAlign w:val="bottom"/>
            <w:hideMark/>
          </w:tcPr>
          <w:p w:rsidR="00D91646" w:rsidRPr="00D91646" w:rsidRDefault="00D91646" w:rsidP="00452BCF">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150</w:t>
            </w:r>
            <w:r w:rsidR="00452BCF">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548</w:t>
            </w:r>
          </w:p>
        </w:tc>
        <w:tc>
          <w:tcPr>
            <w:tcW w:w="992"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18,2%</w:t>
            </w:r>
          </w:p>
        </w:tc>
        <w:tc>
          <w:tcPr>
            <w:tcW w:w="1276"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-24,6%</w:t>
            </w:r>
          </w:p>
        </w:tc>
        <w:tc>
          <w:tcPr>
            <w:tcW w:w="1420"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-6,4%</w:t>
            </w:r>
          </w:p>
        </w:tc>
      </w:tr>
      <w:tr w:rsidR="00D91646" w:rsidRPr="00D91646" w:rsidTr="004660CE">
        <w:trPr>
          <w:trHeight w:val="195"/>
          <w:jc w:val="center"/>
        </w:trPr>
        <w:tc>
          <w:tcPr>
            <w:tcW w:w="2052" w:type="dxa"/>
            <w:shd w:val="clear" w:color="FFFFFF" w:fill="FFFFFF"/>
            <w:noWrap/>
            <w:vAlign w:val="bottom"/>
            <w:hideMark/>
          </w:tcPr>
          <w:p w:rsidR="00D91646" w:rsidRPr="004B1C2A" w:rsidRDefault="00D91646" w:rsidP="00D91646">
            <w:pPr>
              <w:spacing w:after="0" w:line="240" w:lineRule="auto"/>
              <w:rPr>
                <w:rFonts w:ascii="Times New Roman" w:eastAsia="Times New Roman" w:hAnsi="Times New Roman" w:cs="Times New Roman"/>
                <w:b/>
                <w:sz w:val="20"/>
                <w:szCs w:val="20"/>
                <w:lang w:eastAsia="lv-LV"/>
              </w:rPr>
            </w:pPr>
            <w:r w:rsidRPr="004B1C2A">
              <w:rPr>
                <w:rFonts w:ascii="Times New Roman" w:eastAsia="Times New Roman" w:hAnsi="Times New Roman" w:cs="Times New Roman"/>
                <w:b/>
                <w:sz w:val="20"/>
                <w:szCs w:val="20"/>
                <w:lang w:eastAsia="lv-LV"/>
              </w:rPr>
              <w:t>430,01 – 800</w:t>
            </w:r>
          </w:p>
        </w:tc>
        <w:tc>
          <w:tcPr>
            <w:tcW w:w="1127" w:type="dxa"/>
            <w:shd w:val="clear" w:color="FFFFFF" w:fill="FFFFFF"/>
            <w:noWrap/>
            <w:vAlign w:val="bottom"/>
            <w:hideMark/>
          </w:tcPr>
          <w:p w:rsidR="00D91646" w:rsidRPr="00D91646" w:rsidRDefault="00D91646" w:rsidP="00DA42C2">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224</w:t>
            </w:r>
            <w:r w:rsidR="00DA42C2">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997</w:t>
            </w:r>
          </w:p>
        </w:tc>
        <w:tc>
          <w:tcPr>
            <w:tcW w:w="999" w:type="dxa"/>
            <w:shd w:val="clear" w:color="FFFFFF" w:fill="FFFFFF"/>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27,6%</w:t>
            </w:r>
          </w:p>
        </w:tc>
        <w:tc>
          <w:tcPr>
            <w:tcW w:w="1134" w:type="dxa"/>
            <w:shd w:val="clear" w:color="auto" w:fill="auto"/>
            <w:noWrap/>
            <w:vAlign w:val="bottom"/>
            <w:hideMark/>
          </w:tcPr>
          <w:p w:rsidR="00D91646" w:rsidRPr="00D91646" w:rsidRDefault="00D91646" w:rsidP="00452BCF">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236</w:t>
            </w:r>
            <w:r w:rsidR="00452BCF">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768</w:t>
            </w:r>
          </w:p>
        </w:tc>
        <w:tc>
          <w:tcPr>
            <w:tcW w:w="992"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28,5%</w:t>
            </w:r>
          </w:p>
        </w:tc>
        <w:tc>
          <w:tcPr>
            <w:tcW w:w="1276"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5,2%</w:t>
            </w:r>
          </w:p>
        </w:tc>
        <w:tc>
          <w:tcPr>
            <w:tcW w:w="1420"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0,9%</w:t>
            </w:r>
          </w:p>
        </w:tc>
      </w:tr>
      <w:tr w:rsidR="00D91646" w:rsidRPr="00D91646" w:rsidTr="004660CE">
        <w:trPr>
          <w:trHeight w:val="249"/>
          <w:jc w:val="center"/>
        </w:trPr>
        <w:tc>
          <w:tcPr>
            <w:tcW w:w="2052" w:type="dxa"/>
            <w:shd w:val="clear" w:color="FFFFFF" w:fill="FFFFFF"/>
            <w:noWrap/>
            <w:vAlign w:val="bottom"/>
            <w:hideMark/>
          </w:tcPr>
          <w:p w:rsidR="00D91646" w:rsidRPr="004B1C2A" w:rsidRDefault="00D91646" w:rsidP="00D91646">
            <w:pPr>
              <w:spacing w:after="0" w:line="240" w:lineRule="auto"/>
              <w:rPr>
                <w:rFonts w:ascii="Times New Roman" w:eastAsia="Times New Roman" w:hAnsi="Times New Roman" w:cs="Times New Roman"/>
                <w:b/>
                <w:sz w:val="20"/>
                <w:szCs w:val="20"/>
                <w:lang w:eastAsia="lv-LV"/>
              </w:rPr>
            </w:pPr>
            <w:r w:rsidRPr="004B1C2A">
              <w:rPr>
                <w:rFonts w:ascii="Times New Roman" w:eastAsia="Times New Roman" w:hAnsi="Times New Roman" w:cs="Times New Roman"/>
                <w:b/>
                <w:sz w:val="20"/>
                <w:szCs w:val="20"/>
                <w:lang w:eastAsia="lv-LV"/>
              </w:rPr>
              <w:t>800,01 – 1500</w:t>
            </w:r>
          </w:p>
        </w:tc>
        <w:tc>
          <w:tcPr>
            <w:tcW w:w="1127" w:type="dxa"/>
            <w:shd w:val="clear" w:color="FFFFFF" w:fill="FFFFFF"/>
            <w:noWrap/>
            <w:vAlign w:val="bottom"/>
            <w:hideMark/>
          </w:tcPr>
          <w:p w:rsidR="00D91646" w:rsidRPr="00D91646" w:rsidRDefault="00D91646" w:rsidP="00DA42C2">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224</w:t>
            </w:r>
            <w:r w:rsidR="00DA42C2">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899</w:t>
            </w:r>
          </w:p>
        </w:tc>
        <w:tc>
          <w:tcPr>
            <w:tcW w:w="999" w:type="dxa"/>
            <w:shd w:val="clear" w:color="FFFFFF" w:fill="FFFFFF"/>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27,6%</w:t>
            </w:r>
          </w:p>
        </w:tc>
        <w:tc>
          <w:tcPr>
            <w:tcW w:w="1134" w:type="dxa"/>
            <w:shd w:val="clear" w:color="auto" w:fill="auto"/>
            <w:noWrap/>
            <w:vAlign w:val="bottom"/>
            <w:hideMark/>
          </w:tcPr>
          <w:p w:rsidR="00D91646" w:rsidRPr="00D91646" w:rsidRDefault="00D91646" w:rsidP="00452BCF">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249</w:t>
            </w:r>
            <w:r w:rsidR="00452BCF">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320</w:t>
            </w:r>
          </w:p>
        </w:tc>
        <w:tc>
          <w:tcPr>
            <w:tcW w:w="992"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30,1%</w:t>
            </w:r>
          </w:p>
        </w:tc>
        <w:tc>
          <w:tcPr>
            <w:tcW w:w="1276"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10,9%</w:t>
            </w:r>
          </w:p>
        </w:tc>
        <w:tc>
          <w:tcPr>
            <w:tcW w:w="1420"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2,5%</w:t>
            </w:r>
          </w:p>
        </w:tc>
      </w:tr>
      <w:tr w:rsidR="00D91646" w:rsidRPr="00D91646" w:rsidTr="00A26FA5">
        <w:trPr>
          <w:trHeight w:val="283"/>
          <w:jc w:val="center"/>
        </w:trPr>
        <w:tc>
          <w:tcPr>
            <w:tcW w:w="2052" w:type="dxa"/>
            <w:shd w:val="clear" w:color="FFFFFF" w:fill="FFFFFF"/>
            <w:noWrap/>
            <w:vAlign w:val="bottom"/>
            <w:hideMark/>
          </w:tcPr>
          <w:p w:rsidR="00D91646" w:rsidRPr="004B1C2A" w:rsidRDefault="00D91646" w:rsidP="00D91646">
            <w:pPr>
              <w:spacing w:after="0" w:line="240" w:lineRule="auto"/>
              <w:rPr>
                <w:rFonts w:ascii="Times New Roman" w:eastAsia="Times New Roman" w:hAnsi="Times New Roman" w:cs="Times New Roman"/>
                <w:b/>
                <w:sz w:val="20"/>
                <w:szCs w:val="20"/>
                <w:lang w:eastAsia="lv-LV"/>
              </w:rPr>
            </w:pPr>
            <w:r w:rsidRPr="004B1C2A">
              <w:rPr>
                <w:rFonts w:ascii="Times New Roman" w:eastAsia="Times New Roman" w:hAnsi="Times New Roman" w:cs="Times New Roman"/>
                <w:b/>
                <w:sz w:val="20"/>
                <w:szCs w:val="20"/>
                <w:lang w:eastAsia="lv-LV"/>
              </w:rPr>
              <w:t>1</w:t>
            </w:r>
            <w:r w:rsidR="00DA42C2" w:rsidRPr="004B1C2A">
              <w:rPr>
                <w:rFonts w:ascii="Times New Roman" w:eastAsia="Times New Roman" w:hAnsi="Times New Roman" w:cs="Times New Roman"/>
                <w:b/>
                <w:sz w:val="20"/>
                <w:szCs w:val="20"/>
                <w:lang w:eastAsia="lv-LV"/>
              </w:rPr>
              <w:t> </w:t>
            </w:r>
            <w:r w:rsidRPr="004B1C2A">
              <w:rPr>
                <w:rFonts w:ascii="Times New Roman" w:eastAsia="Times New Roman" w:hAnsi="Times New Roman" w:cs="Times New Roman"/>
                <w:b/>
                <w:sz w:val="20"/>
                <w:szCs w:val="20"/>
                <w:lang w:eastAsia="lv-LV"/>
              </w:rPr>
              <w:t>500,01 un vairāk</w:t>
            </w:r>
          </w:p>
        </w:tc>
        <w:tc>
          <w:tcPr>
            <w:tcW w:w="1127" w:type="dxa"/>
            <w:shd w:val="clear" w:color="FFFFFF" w:fill="FFFFFF"/>
            <w:noWrap/>
            <w:vAlign w:val="bottom"/>
            <w:hideMark/>
          </w:tcPr>
          <w:p w:rsidR="00D91646" w:rsidRPr="00D91646" w:rsidRDefault="00D91646" w:rsidP="00DA42C2">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103</w:t>
            </w:r>
            <w:r w:rsidR="00DA42C2">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802</w:t>
            </w:r>
          </w:p>
        </w:tc>
        <w:tc>
          <w:tcPr>
            <w:tcW w:w="999" w:type="dxa"/>
            <w:shd w:val="clear" w:color="FFFFFF" w:fill="FFFFFF"/>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12,7%</w:t>
            </w:r>
          </w:p>
        </w:tc>
        <w:tc>
          <w:tcPr>
            <w:tcW w:w="1134" w:type="dxa"/>
            <w:shd w:val="clear" w:color="auto" w:fill="auto"/>
            <w:noWrap/>
            <w:vAlign w:val="bottom"/>
            <w:hideMark/>
          </w:tcPr>
          <w:p w:rsidR="00D91646" w:rsidRPr="00D91646" w:rsidRDefault="00D91646" w:rsidP="00452BCF">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130</w:t>
            </w:r>
            <w:r w:rsidR="00452BCF">
              <w:rPr>
                <w:rFonts w:ascii="Times New Roman" w:eastAsia="Times New Roman" w:hAnsi="Times New Roman" w:cs="Times New Roman"/>
                <w:sz w:val="20"/>
                <w:szCs w:val="20"/>
                <w:lang w:eastAsia="lv-LV"/>
              </w:rPr>
              <w:t> </w:t>
            </w:r>
            <w:r w:rsidRPr="00D91646">
              <w:rPr>
                <w:rFonts w:ascii="Times New Roman" w:eastAsia="Times New Roman" w:hAnsi="Times New Roman" w:cs="Times New Roman"/>
                <w:sz w:val="20"/>
                <w:szCs w:val="20"/>
                <w:lang w:eastAsia="lv-LV"/>
              </w:rPr>
              <w:t>672</w:t>
            </w:r>
          </w:p>
        </w:tc>
        <w:tc>
          <w:tcPr>
            <w:tcW w:w="992"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15,8%</w:t>
            </w:r>
          </w:p>
        </w:tc>
        <w:tc>
          <w:tcPr>
            <w:tcW w:w="1276"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25,9%</w:t>
            </w:r>
          </w:p>
        </w:tc>
        <w:tc>
          <w:tcPr>
            <w:tcW w:w="1420" w:type="dxa"/>
            <w:shd w:val="clear" w:color="auto" w:fill="auto"/>
            <w:noWrap/>
            <w:vAlign w:val="bottom"/>
            <w:hideMark/>
          </w:tcPr>
          <w:p w:rsidR="00D91646" w:rsidRPr="00D91646" w:rsidRDefault="00D91646" w:rsidP="00D91646">
            <w:pPr>
              <w:spacing w:after="0" w:line="240" w:lineRule="auto"/>
              <w:jc w:val="center"/>
              <w:rPr>
                <w:rFonts w:ascii="Times New Roman" w:eastAsia="Times New Roman" w:hAnsi="Times New Roman" w:cs="Times New Roman"/>
                <w:sz w:val="20"/>
                <w:szCs w:val="20"/>
                <w:lang w:eastAsia="lv-LV"/>
              </w:rPr>
            </w:pPr>
            <w:r w:rsidRPr="00D91646">
              <w:rPr>
                <w:rFonts w:ascii="Times New Roman" w:eastAsia="Times New Roman" w:hAnsi="Times New Roman" w:cs="Times New Roman"/>
                <w:sz w:val="20"/>
                <w:szCs w:val="20"/>
                <w:lang w:eastAsia="lv-LV"/>
              </w:rPr>
              <w:t>3,0%</w:t>
            </w:r>
          </w:p>
        </w:tc>
      </w:tr>
    </w:tbl>
    <w:p w:rsidR="00D91646" w:rsidRPr="00D91646" w:rsidRDefault="00D91646" w:rsidP="00DC41EC">
      <w:pPr>
        <w:spacing w:before="120" w:after="0" w:line="240" w:lineRule="auto"/>
        <w:ind w:firstLine="709"/>
        <w:jc w:val="both"/>
        <w:rPr>
          <w:rFonts w:ascii="Times New Roman" w:eastAsia="Times New Roman" w:hAnsi="Times New Roman" w:cs="Times New Roman"/>
          <w:spacing w:val="2"/>
          <w:sz w:val="24"/>
          <w:szCs w:val="24"/>
          <w:lang w:eastAsia="lv-LV"/>
        </w:rPr>
      </w:pPr>
      <w:r w:rsidRPr="00D91646">
        <w:rPr>
          <w:rFonts w:ascii="Times New Roman" w:eastAsia="Calibri" w:hAnsi="Times New Roman" w:cs="Times New Roman"/>
          <w:i/>
          <w:sz w:val="24"/>
          <w:szCs w:val="24"/>
        </w:rPr>
        <w:lastRenderedPageBreak/>
        <w:t>Nodokļu reforma</w:t>
      </w:r>
      <w:r w:rsidRPr="00D91646">
        <w:rPr>
          <w:rFonts w:ascii="Times New Roman" w:eastAsia="Calibri" w:hAnsi="Times New Roman" w:cs="Times New Roman"/>
          <w:sz w:val="24"/>
          <w:szCs w:val="24"/>
        </w:rPr>
        <w:t xml:space="preserve"> radījusi arī izmaiņas dividenžu politikā – d</w:t>
      </w:r>
      <w:r w:rsidRPr="00D91646">
        <w:rPr>
          <w:rFonts w:ascii="Times New Roman" w:eastAsia="Times New Roman" w:hAnsi="Times New Roman" w:cs="Times New Roman"/>
          <w:spacing w:val="2"/>
          <w:sz w:val="24"/>
          <w:szCs w:val="24"/>
          <w:lang w:eastAsia="lv-LV"/>
        </w:rPr>
        <w:t>ividendēm, kas apliekas ar IIN, tika ieviests divu gadu pārejas periods 2018. un 2019.gadā, kas ļauj dividendes par peļņu, kas gūta līdz 2018.gadam, aplikt ar 10% IIN likmi (pārejas periodam beidzoties tiks piemērota likme 20% apmērā). 2018.gadā bija paredzēts ieņēmumu pieaugums no ieturētā nodokļa par dividendēm, taču aktuālākie dati liecina, ka nodoklis par dividendēm tika iekasēts vien +4,4% apmērā virs 2017.gada, tādējādi prognozētie ieņēmumi šajā pozīcijā 2018.gadā netika gūti. Tas vienlaikus ļauj prognozēt, ka papildus ieņēmumi no dividendēm par iepriekšējo gadu peļņu, tiks gūti 2019.gadā, pretējā gadījumā jau nākamajā gadā šāda veida ienākumam tiks piemērota divas reizes augstāka IIN likme. To apliecina arī 2019.gada pirmo divu mēnešu IIN ieņēmumi no dividendēm, kas ir par 22% lielāki nekā pērn attiecīgajā periodā.</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UIN reformas jomā, atzīmējams fakts, ka ekonomikas izaugsme 2018.gadā bijusi ievērojami straujāka nekā iepriekš prognozēts</w:t>
      </w:r>
      <w:r w:rsidR="008275AC" w:rsidRPr="00D91646">
        <w:rPr>
          <w:rFonts w:ascii="Times New Roman" w:eastAsia="Calibri" w:hAnsi="Times New Roman" w:cs="Times New Roman"/>
          <w:sz w:val="24"/>
        </w:rPr>
        <w:t xml:space="preserve"> – </w:t>
      </w:r>
      <w:r w:rsidRPr="00D91646">
        <w:rPr>
          <w:rFonts w:ascii="Times New Roman" w:eastAsia="Times New Roman" w:hAnsi="Times New Roman" w:cs="Times New Roman"/>
          <w:sz w:val="24"/>
          <w:szCs w:val="28"/>
          <w:lang w:eastAsia="lv-LV"/>
        </w:rPr>
        <w:t xml:space="preserve">IKP palielinoties par 4,7% pēc trīs ceturkšņu datiem, kamēr pirms nodokļu reformas ekonomikas izaugsme 2018.gadam tika prognozēta 3,4% apmērā. </w:t>
      </w:r>
      <w:r w:rsidRPr="00D91646">
        <w:rPr>
          <w:rFonts w:ascii="Times New Roman" w:eastAsia="Calibri" w:hAnsi="Times New Roman" w:cs="Times New Roman"/>
          <w:sz w:val="24"/>
          <w:szCs w:val="24"/>
        </w:rPr>
        <w:t xml:space="preserve">Šobrīd UIN reformas faktiskā ietekme netiek vērtēta, jo pieejamie dati par 2018.gadu pilnībā neatspoguļo jauno UIN sistēmas būtību. 2018.gads ir uzskatāms par pārejas periodu, jo tā pirmajā pusgadā tika saglabāti UIN avansa maksājumi, kā arī uzņēmumi veica UIN piemaksas vēl par 2017.gada taksācijas periodu. Tāpat ieņēmumi no peļņas sadales, kas ir būtiskākā UIN ieņēmumu sastāvdaļa, tiek plānoti vien 2019.gadā (iepriekšējā gada peļņu uzņēmumi parasti sadala pēc gada pārskatu iesniegšanas). Vienlaikus uzņēmumu ienākuma nodokļa normas paredz, ka, izmantojot FIFO metodi, vispirms tiek sadalīta peļņa, kas gūta līdz 2018.gadam, par kuru jau ir samaksāts UIN. Ņemot vērā, ka uzņēmumiem ir salīdzinoši augsts iepriekšējo gadu uzkrātās peļņas apjoms, tas rada risku, ka 2019.gadā tiks dalīta iepriekšējo gadu peļņa, tādējādi samazinot UIN ieņēmumus. Ņemot vērā minēto, faktiskais UIN reformas ietekmes </w:t>
      </w:r>
      <w:proofErr w:type="spellStart"/>
      <w:r w:rsidRPr="00D91646">
        <w:rPr>
          <w:rFonts w:ascii="Times New Roman" w:eastAsia="Calibri" w:hAnsi="Times New Roman" w:cs="Times New Roman"/>
          <w:sz w:val="24"/>
          <w:szCs w:val="24"/>
        </w:rPr>
        <w:t>izvērtējums</w:t>
      </w:r>
      <w:proofErr w:type="spellEnd"/>
      <w:r w:rsidRPr="00D91646">
        <w:rPr>
          <w:rFonts w:ascii="Times New Roman" w:eastAsia="Calibri" w:hAnsi="Times New Roman" w:cs="Times New Roman"/>
          <w:sz w:val="24"/>
          <w:szCs w:val="24"/>
        </w:rPr>
        <w:t xml:space="preserve"> ir iespējams vien pēc 2020.gada. Papildus </w:t>
      </w:r>
      <w:r w:rsidRPr="00D91646">
        <w:rPr>
          <w:rFonts w:ascii="Times New Roman" w:eastAsia="Times New Roman" w:hAnsi="Times New Roman" w:cs="Times New Roman"/>
          <w:sz w:val="24"/>
          <w:szCs w:val="28"/>
          <w:lang w:eastAsia="lv-LV"/>
        </w:rPr>
        <w:t>līdz šā gada 30. novembrim tiks izvērtēta jaunā UIN likuma ietekme uz sabiedriskā labuma organizāciju saņemtajiem ziedojumiem.</w:t>
      </w:r>
    </w:p>
    <w:p w:rsidR="00D91646" w:rsidRPr="00D91646" w:rsidRDefault="00D91646" w:rsidP="00D91646">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Pozitīvas tendences vērojamas arī no PVN reversās maksāšanas kārtības ieviešanas būvizstrādājumu, sadzīves elektronisko iekārtu un elektriskās sadzīves aparatūras piegādēm</w:t>
      </w:r>
      <w:r w:rsidR="008275AC" w:rsidRPr="00D91646">
        <w:rPr>
          <w:rFonts w:ascii="Times New Roman" w:eastAsia="Calibri" w:hAnsi="Times New Roman" w:cs="Times New Roman"/>
          <w:sz w:val="24"/>
        </w:rPr>
        <w:t xml:space="preserve"> – </w:t>
      </w:r>
      <w:r w:rsidRPr="00D91646">
        <w:rPr>
          <w:rFonts w:ascii="Times New Roman" w:eastAsia="Times New Roman" w:hAnsi="Times New Roman" w:cs="Times New Roman"/>
          <w:sz w:val="24"/>
          <w:szCs w:val="28"/>
          <w:lang w:eastAsia="lv-LV"/>
        </w:rPr>
        <w:t xml:space="preserve">palielinājusies iemaksājamā summa, savukārt atmaksājamā summa samazinājusies, kas skaidrojams ar </w:t>
      </w:r>
      <w:proofErr w:type="spellStart"/>
      <w:r w:rsidRPr="00D91646">
        <w:rPr>
          <w:rFonts w:ascii="Times New Roman" w:eastAsia="Times New Roman" w:hAnsi="Times New Roman" w:cs="Times New Roman"/>
          <w:sz w:val="24"/>
          <w:szCs w:val="28"/>
          <w:lang w:eastAsia="lv-LV"/>
        </w:rPr>
        <w:t>krāpniecības</w:t>
      </w:r>
      <w:proofErr w:type="spellEnd"/>
      <w:r w:rsidRPr="00D91646">
        <w:rPr>
          <w:rFonts w:ascii="Times New Roman" w:eastAsia="Times New Roman" w:hAnsi="Times New Roman" w:cs="Times New Roman"/>
          <w:sz w:val="24"/>
          <w:szCs w:val="28"/>
          <w:lang w:eastAsia="lv-LV"/>
        </w:rPr>
        <w:t xml:space="preserve"> samazinājumu darījumos ar minētajām precēm.</w:t>
      </w:r>
    </w:p>
    <w:p w:rsidR="00D91646" w:rsidRPr="00D91646" w:rsidRDefault="00D91646" w:rsidP="00D91646">
      <w:pPr>
        <w:spacing w:after="0" w:line="240" w:lineRule="auto"/>
        <w:ind w:firstLine="567"/>
        <w:jc w:val="both"/>
        <w:rPr>
          <w:rFonts w:ascii="Times New Roman" w:eastAsia="Times New Roman" w:hAnsi="Times New Roman" w:cs="Times New Roman"/>
          <w:sz w:val="24"/>
          <w:szCs w:val="20"/>
        </w:rPr>
      </w:pPr>
      <w:r w:rsidRPr="00D91646">
        <w:rPr>
          <w:rFonts w:ascii="Times New Roman" w:eastAsia="Times New Roman" w:hAnsi="Times New Roman" w:cs="Times New Roman"/>
          <w:sz w:val="24"/>
          <w:szCs w:val="24"/>
        </w:rPr>
        <w:t xml:space="preserve">Reversā sistēma iepriekšminēto preču piegādēm tika ieviesta no 2018.gada 1.janvāra, kā rezultātā tiek mazināts krāpniecisko darījumu īpatsvars attiecīgo preču nozarēs, tādējādi samazinot kopējo ēnu ekonomikas līmeni ne tikai PVN, bet arī darbaspēka nodokļu jomā kopumā. Tomēr </w:t>
      </w:r>
      <w:r w:rsidRPr="00D91646">
        <w:rPr>
          <w:rFonts w:ascii="Times New Roman" w:eastAsia="Times New Roman" w:hAnsi="Times New Roman" w:cs="Times New Roman"/>
          <w:sz w:val="24"/>
          <w:szCs w:val="20"/>
        </w:rPr>
        <w:t xml:space="preserve">EK iebilda pret Latvijas pieprasījumu piešķirt atkāpi, lai piemērotu apgriezto jeb reverso PVN maksāšanas sistēmu būvizstrādājumu un sadzīves tehnikas piegādēm. </w:t>
      </w:r>
    </w:p>
    <w:p w:rsidR="00D91646" w:rsidRPr="00D91646" w:rsidRDefault="00D91646" w:rsidP="00D91646">
      <w:pPr>
        <w:spacing w:after="0" w:line="240" w:lineRule="auto"/>
        <w:ind w:firstLine="567"/>
        <w:jc w:val="both"/>
        <w:rPr>
          <w:rFonts w:ascii="Times New Roman" w:eastAsia="Times New Roman" w:hAnsi="Times New Roman" w:cs="Times New Roman"/>
          <w:sz w:val="24"/>
          <w:szCs w:val="24"/>
        </w:rPr>
      </w:pPr>
      <w:r w:rsidRPr="00D91646">
        <w:rPr>
          <w:rFonts w:ascii="Times New Roman" w:eastAsia="Times New Roman" w:hAnsi="Times New Roman" w:cs="Times New Roman"/>
          <w:sz w:val="24"/>
          <w:szCs w:val="24"/>
        </w:rPr>
        <w:t>Latvija informēja EK, ka tā novērsīs pārkāpumu, atceļot PVN regulējumu attiecībā uz apgrieztās jeb reversās PVN maksāšanas kārtības piemērošanu būvizstrādājumu un sadzīves elektrotehnikas piegādēm, sākot ar 2020.gada 1.janvāri, vienlaicīgi turpinot diskusi</w:t>
      </w:r>
      <w:r w:rsidR="00351DF7">
        <w:rPr>
          <w:rFonts w:ascii="Times New Roman" w:eastAsia="Times New Roman" w:hAnsi="Times New Roman" w:cs="Times New Roman"/>
          <w:sz w:val="24"/>
          <w:szCs w:val="24"/>
        </w:rPr>
        <w:t>ju ar EK</w:t>
      </w:r>
      <w:r w:rsidRPr="00D91646">
        <w:rPr>
          <w:rFonts w:ascii="Times New Roman" w:eastAsia="Times New Roman" w:hAnsi="Times New Roman" w:cs="Times New Roman"/>
          <w:sz w:val="24"/>
          <w:szCs w:val="24"/>
        </w:rPr>
        <w:t xml:space="preserve"> par reversās sistēmas saglabāšanu minēto preču grupām. </w:t>
      </w:r>
    </w:p>
    <w:p w:rsidR="00D91646" w:rsidRPr="00D91646" w:rsidRDefault="00D91646" w:rsidP="00D91646">
      <w:pPr>
        <w:spacing w:after="0" w:line="240" w:lineRule="auto"/>
        <w:ind w:firstLine="720"/>
        <w:jc w:val="both"/>
        <w:rPr>
          <w:rFonts w:ascii="Times New Roman" w:eastAsia="Calibri" w:hAnsi="Times New Roman" w:cs="Times New Roman"/>
          <w:sz w:val="24"/>
        </w:rPr>
      </w:pPr>
      <w:r w:rsidRPr="00D91646">
        <w:rPr>
          <w:rFonts w:ascii="Times New Roman" w:eastAsia="Calibri" w:hAnsi="Times New Roman" w:cs="Times New Roman"/>
          <w:sz w:val="24"/>
        </w:rPr>
        <w:t xml:space="preserve">Atceļot ar 2020.gada 1.janvāri minēto regulējumu, sagaidāms, ka ēnu ekonomikas un </w:t>
      </w:r>
      <w:proofErr w:type="spellStart"/>
      <w:r w:rsidRPr="00D91646">
        <w:rPr>
          <w:rFonts w:ascii="Times New Roman" w:eastAsia="Calibri" w:hAnsi="Times New Roman" w:cs="Times New Roman"/>
          <w:sz w:val="24"/>
        </w:rPr>
        <w:t>krāpniecības</w:t>
      </w:r>
      <w:proofErr w:type="spellEnd"/>
      <w:r w:rsidRPr="00D91646">
        <w:rPr>
          <w:rFonts w:ascii="Times New Roman" w:eastAsia="Calibri" w:hAnsi="Times New Roman" w:cs="Times New Roman"/>
          <w:sz w:val="24"/>
        </w:rPr>
        <w:t xml:space="preserve"> apjomi šajās nozarēs būs būtiski mazāki nekā pirms reversās maksāšanas kārtības ieviešanas, īpaši būvniecības sektorā, par ko liecina no budžeta atmaksājamās summas samazinājums. Tādejādi, vērtējot indikatīvi, apgrieztās jeb reversās PVN maksāšanas kārtības būvizstrādājumu, sadzīves elektronisko iekārtu un sadzīves elektriskās aparatūras piegādēm atcelšanas ar 2020.gada 1.janvāri gadījumā, tiktu radīta negatīva ietekme uz valsts budžeta ieņēmumiem -21,1</w:t>
      </w:r>
      <w:r w:rsidR="00DA42C2">
        <w:rPr>
          <w:rFonts w:ascii="Times New Roman" w:eastAsia="Calibri" w:hAnsi="Times New Roman" w:cs="Times New Roman"/>
          <w:sz w:val="24"/>
        </w:rPr>
        <w:t xml:space="preserve"> </w:t>
      </w:r>
      <w:r w:rsidRPr="00D91646">
        <w:rPr>
          <w:rFonts w:ascii="Times New Roman" w:eastAsia="Calibri" w:hAnsi="Times New Roman" w:cs="Times New Roman"/>
          <w:sz w:val="24"/>
        </w:rPr>
        <w:t xml:space="preserve">milj. </w:t>
      </w:r>
      <w:proofErr w:type="spellStart"/>
      <w:r w:rsidRPr="00D91646">
        <w:rPr>
          <w:rFonts w:ascii="Times New Roman" w:eastAsia="Calibri" w:hAnsi="Times New Roman" w:cs="Times New Roman"/>
          <w:i/>
          <w:sz w:val="24"/>
        </w:rPr>
        <w:t>euro</w:t>
      </w:r>
      <w:proofErr w:type="spellEnd"/>
      <w:r w:rsidRPr="00D91646">
        <w:rPr>
          <w:rFonts w:ascii="Times New Roman" w:eastAsia="Calibri" w:hAnsi="Times New Roman" w:cs="Times New Roman"/>
          <w:sz w:val="24"/>
        </w:rPr>
        <w:t>.</w:t>
      </w:r>
    </w:p>
    <w:p w:rsidR="00452BCF" w:rsidRDefault="00D91646" w:rsidP="005E344C">
      <w:pPr>
        <w:spacing w:after="0" w:line="240" w:lineRule="auto"/>
        <w:ind w:firstLine="709"/>
        <w:jc w:val="both"/>
        <w:rPr>
          <w:rFonts w:ascii="Times New Roman" w:eastAsia="Times New Roman" w:hAnsi="Times New Roman" w:cs="Times New Roman"/>
          <w:sz w:val="24"/>
          <w:szCs w:val="28"/>
          <w:lang w:eastAsia="lv-LV"/>
        </w:rPr>
      </w:pPr>
      <w:r w:rsidRPr="00D91646">
        <w:rPr>
          <w:rFonts w:ascii="Times New Roman" w:eastAsia="Times New Roman" w:hAnsi="Times New Roman" w:cs="Times New Roman"/>
          <w:sz w:val="24"/>
          <w:szCs w:val="28"/>
          <w:lang w:eastAsia="lv-LV"/>
        </w:rPr>
        <w:t xml:space="preserve">Arī akcīzes nodokļa likmju paaugstināšana degvielai sasniegusi vēlamo efektu – nodokļa ieņēmumi 2018.gadā, salīdzinot ar 2017.gadu, būtiski pieauga, un likmju paaugstināšana neatstāja negatīvu ietekmi uz degvielas patēriņu – arī gada griezumā kopējais </w:t>
      </w:r>
      <w:r w:rsidRPr="00D91646">
        <w:rPr>
          <w:rFonts w:ascii="Times New Roman" w:eastAsia="Times New Roman" w:hAnsi="Times New Roman" w:cs="Times New Roman"/>
          <w:sz w:val="24"/>
          <w:szCs w:val="28"/>
          <w:lang w:eastAsia="lv-LV"/>
        </w:rPr>
        <w:lastRenderedPageBreak/>
        <w:t xml:space="preserve">degvielas patēriņš bija labāks nekā prognozēts. Pozitīvi, ka nodokļa paaugstināšana cigaretēm un alkoholiskajiem dzērieniem kopā ar nelegālā tirgus samazināšanos kopumā ir pārsniegusi </w:t>
      </w:r>
      <w:r w:rsidRPr="00D91646">
        <w:rPr>
          <w:rFonts w:ascii="Times New Roman" w:eastAsia="Times New Roman" w:hAnsi="Times New Roman" w:cs="Times New Roman"/>
          <w:i/>
          <w:sz w:val="24"/>
          <w:szCs w:val="28"/>
          <w:lang w:eastAsia="lv-LV"/>
        </w:rPr>
        <w:t>Nodokļu reformas</w:t>
      </w:r>
      <w:r w:rsidRPr="00D91646">
        <w:rPr>
          <w:rFonts w:ascii="Times New Roman" w:eastAsia="Times New Roman" w:hAnsi="Times New Roman" w:cs="Times New Roman"/>
          <w:sz w:val="24"/>
          <w:szCs w:val="28"/>
          <w:lang w:eastAsia="lv-LV"/>
        </w:rPr>
        <w:t xml:space="preserve"> ietvaros prognozēto.</w:t>
      </w:r>
    </w:p>
    <w:p w:rsidR="005E344C" w:rsidRPr="005E344C" w:rsidRDefault="005E344C" w:rsidP="005E344C">
      <w:pPr>
        <w:spacing w:after="0" w:line="240" w:lineRule="auto"/>
        <w:ind w:firstLine="709"/>
        <w:jc w:val="both"/>
        <w:rPr>
          <w:rFonts w:ascii="Times New Roman" w:eastAsia="Times New Roman" w:hAnsi="Times New Roman" w:cs="Times New Roman"/>
          <w:sz w:val="24"/>
          <w:szCs w:val="28"/>
          <w:lang w:eastAsia="lv-LV"/>
        </w:rPr>
      </w:pPr>
    </w:p>
    <w:p w:rsidR="00DA42C2" w:rsidRPr="00DA42C2" w:rsidRDefault="00DA42C2" w:rsidP="00DC41EC">
      <w:pPr>
        <w:pStyle w:val="Heading3"/>
        <w:numPr>
          <w:ilvl w:val="0"/>
          <w:numId w:val="0"/>
        </w:numPr>
        <w:ind w:firstLine="851"/>
        <w:jc w:val="both"/>
        <w:rPr>
          <w:rFonts w:ascii="Times New Roman" w:eastAsia="Times New Roman" w:hAnsi="Times New Roman" w:cs="Times New Roman"/>
          <w:sz w:val="24"/>
          <w:szCs w:val="24"/>
        </w:rPr>
      </w:pPr>
      <w:bookmarkStart w:id="74" w:name="_Toc5627383"/>
      <w:bookmarkStart w:id="75" w:name="_Toc5798638"/>
      <w:r w:rsidRPr="00DA42C2">
        <w:rPr>
          <w:rFonts w:ascii="Times New Roman" w:eastAsia="Times New Roman" w:hAnsi="Times New Roman" w:cs="Times New Roman"/>
          <w:sz w:val="24"/>
          <w:szCs w:val="24"/>
        </w:rPr>
        <w:t>5.2.2. Starpposmā starp nodokļu reformu un 2019.gada budžetu pielemtie pasākumi</w:t>
      </w:r>
      <w:bookmarkEnd w:id="74"/>
      <w:bookmarkEnd w:id="75"/>
    </w:p>
    <w:p w:rsidR="00DA42C2" w:rsidRPr="00DA42C2" w:rsidRDefault="00DA42C2" w:rsidP="00DA42C2">
      <w:pPr>
        <w:spacing w:after="0" w:line="240" w:lineRule="auto"/>
        <w:rPr>
          <w:rFonts w:ascii="Times New Roman" w:eastAsia="Calibri" w:hAnsi="Times New Roman" w:cs="Times New Roman"/>
          <w:sz w:val="24"/>
        </w:rPr>
      </w:pPr>
    </w:p>
    <w:p w:rsidR="00DA42C2" w:rsidRPr="00DA42C2" w:rsidRDefault="00452BCF" w:rsidP="00DA42C2">
      <w:pPr>
        <w:spacing w:after="0" w:line="240" w:lineRule="auto"/>
        <w:ind w:firstLine="567"/>
        <w:jc w:val="right"/>
        <w:rPr>
          <w:rFonts w:ascii="Times New Roman" w:eastAsia="Calibri" w:hAnsi="Times New Roman" w:cs="Times New Roman"/>
          <w:sz w:val="24"/>
        </w:rPr>
      </w:pPr>
      <w:r>
        <w:rPr>
          <w:rFonts w:ascii="Times New Roman" w:eastAsia="Times New Roman" w:hAnsi="Times New Roman" w:cs="Times New Roman"/>
          <w:b/>
          <w:sz w:val="24"/>
          <w:szCs w:val="20"/>
        </w:rPr>
        <w:t>5.8.</w:t>
      </w:r>
      <w:r w:rsidR="00DA42C2" w:rsidRPr="00DA42C2">
        <w:rPr>
          <w:rFonts w:ascii="Times New Roman" w:eastAsia="Times New Roman" w:hAnsi="Times New Roman" w:cs="Times New Roman"/>
          <w:b/>
          <w:sz w:val="24"/>
          <w:szCs w:val="20"/>
        </w:rPr>
        <w:t>tabula. Nodokļu politikas izmaiņu ietekme</w:t>
      </w:r>
      <w:r w:rsidR="00DA42C2" w:rsidRPr="00DA42C2">
        <w:rPr>
          <w:rFonts w:ascii="Times New Roman" w:eastAsia="Calibri" w:hAnsi="Times New Roman" w:cs="Times New Roman"/>
          <w:b/>
          <w:sz w:val="24"/>
        </w:rPr>
        <w:t xml:space="preserve"> no pasākumiem, kas tika pieņemti starpposmā starp nodokļu reformu un 2019.gada budžetu, milj. </w:t>
      </w:r>
      <w:proofErr w:type="spellStart"/>
      <w:r w:rsidR="00DA42C2" w:rsidRPr="00DA42C2">
        <w:rPr>
          <w:rFonts w:ascii="Times New Roman" w:eastAsia="Calibri" w:hAnsi="Times New Roman" w:cs="Times New Roman"/>
          <w:b/>
          <w:i/>
          <w:sz w:val="24"/>
        </w:rPr>
        <w:t>euro</w:t>
      </w:r>
      <w:proofErr w:type="spellEnd"/>
    </w:p>
    <w:tbl>
      <w:tblPr>
        <w:tblStyle w:val="GridTable6Colorful-Accent1"/>
        <w:tblW w:w="8894" w:type="dxa"/>
        <w:jc w:val="center"/>
        <w:tblLook w:val="04A0" w:firstRow="1" w:lastRow="0" w:firstColumn="1" w:lastColumn="0" w:noHBand="0" w:noVBand="1"/>
      </w:tblPr>
      <w:tblGrid>
        <w:gridCol w:w="5628"/>
        <w:gridCol w:w="851"/>
        <w:gridCol w:w="850"/>
        <w:gridCol w:w="709"/>
        <w:gridCol w:w="856"/>
      </w:tblGrid>
      <w:tr w:rsidR="00DA42C2" w:rsidRPr="00DA42C2" w:rsidTr="00DA42C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DA42C2" w:rsidRDefault="00DA42C2" w:rsidP="00DA42C2">
            <w:pPr>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 </w:t>
            </w:r>
          </w:p>
        </w:tc>
        <w:tc>
          <w:tcPr>
            <w:tcW w:w="851"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2019</w:t>
            </w:r>
          </w:p>
        </w:tc>
        <w:tc>
          <w:tcPr>
            <w:tcW w:w="850"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2020</w:t>
            </w:r>
          </w:p>
        </w:tc>
        <w:tc>
          <w:tcPr>
            <w:tcW w:w="709"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2021</w:t>
            </w:r>
          </w:p>
        </w:tc>
        <w:tc>
          <w:tcPr>
            <w:tcW w:w="856"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2022</w:t>
            </w: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 xml:space="preserve">Valsts sociālās apdrošināšanas obligāto iemaksu objekta maksimālā apmēra palielināšana līdz 62 800 </w:t>
            </w:r>
            <w:proofErr w:type="spellStart"/>
            <w:r w:rsidRPr="00452BCF">
              <w:rPr>
                <w:rFonts w:ascii="Times New Roman" w:eastAsia="Times New Roman" w:hAnsi="Times New Roman" w:cs="Times New Roman"/>
                <w:i/>
                <w:iCs/>
                <w:color w:val="000000" w:themeColor="text1"/>
                <w:sz w:val="20"/>
                <w:szCs w:val="20"/>
                <w:lang w:eastAsia="lv-LV"/>
              </w:rPr>
              <w:t>euro</w:t>
            </w:r>
            <w:proofErr w:type="spellEnd"/>
            <w:r w:rsidRPr="00452BCF">
              <w:rPr>
                <w:rFonts w:ascii="Times New Roman" w:eastAsia="Times New Roman" w:hAnsi="Times New Roman" w:cs="Times New Roman"/>
                <w:i/>
                <w:iCs/>
                <w:color w:val="000000" w:themeColor="text1"/>
                <w:sz w:val="20"/>
                <w:szCs w:val="20"/>
                <w:lang w:eastAsia="lv-LV"/>
              </w:rPr>
              <w:t>*</w:t>
            </w:r>
          </w:p>
        </w:tc>
        <w:tc>
          <w:tcPr>
            <w:tcW w:w="851"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1,7</w:t>
            </w:r>
          </w:p>
        </w:tc>
        <w:tc>
          <w:tcPr>
            <w:tcW w:w="850"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9"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6"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trHeight w:val="3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Solidaritātes nodokļa likmes izmaiņas</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2,5</w:t>
            </w: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9"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6"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 xml:space="preserve">No 2020.gada valsts </w:t>
            </w:r>
            <w:proofErr w:type="spellStart"/>
            <w:r w:rsidRPr="00452BCF">
              <w:rPr>
                <w:rFonts w:ascii="Times New Roman" w:eastAsia="Times New Roman" w:hAnsi="Times New Roman" w:cs="Times New Roman"/>
                <w:color w:val="000000" w:themeColor="text1"/>
                <w:sz w:val="20"/>
                <w:szCs w:val="20"/>
                <w:lang w:eastAsia="lv-LV"/>
              </w:rPr>
              <w:t>fondēto</w:t>
            </w:r>
            <w:proofErr w:type="spellEnd"/>
            <w:r w:rsidRPr="00452BCF">
              <w:rPr>
                <w:rFonts w:ascii="Times New Roman" w:eastAsia="Times New Roman" w:hAnsi="Times New Roman" w:cs="Times New Roman"/>
                <w:color w:val="000000" w:themeColor="text1"/>
                <w:sz w:val="20"/>
                <w:szCs w:val="20"/>
                <w:lang w:eastAsia="lv-LV"/>
              </w:rPr>
              <w:t xml:space="preserve"> pensiju struktūras izmaiņas</w:t>
            </w:r>
          </w:p>
        </w:tc>
        <w:tc>
          <w:tcPr>
            <w:tcW w:w="851"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0"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42,8</w:t>
            </w:r>
          </w:p>
        </w:tc>
        <w:tc>
          <w:tcPr>
            <w:tcW w:w="709"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6"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trHeight w:val="3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NM paaugstināšana pensionāriem</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9"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-11,8</w:t>
            </w:r>
          </w:p>
        </w:tc>
        <w:tc>
          <w:tcPr>
            <w:tcW w:w="856"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PVN samazinātā likme 5% apmērā Latvijai raksturīgajiem dārzeņiem, augļiem uz ogām*</w:t>
            </w:r>
          </w:p>
        </w:tc>
        <w:tc>
          <w:tcPr>
            <w:tcW w:w="851"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0"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9" w:type="dxa"/>
            <w:vAlign w:val="center"/>
            <w:hideMark/>
          </w:tcPr>
          <w:p w:rsidR="00DA42C2" w:rsidRPr="00DA42C2" w:rsidRDefault="00FB275C"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Pr>
                <w:rFonts w:ascii="Times New Roman" w:eastAsia="Times New Roman" w:hAnsi="Times New Roman" w:cs="Times New Roman"/>
                <w:color w:val="000000" w:themeColor="text1"/>
                <w:sz w:val="20"/>
                <w:szCs w:val="20"/>
                <w:lang w:eastAsia="lv-LV"/>
              </w:rPr>
              <w:t>3,8</w:t>
            </w:r>
          </w:p>
        </w:tc>
        <w:tc>
          <w:tcPr>
            <w:tcW w:w="856"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trHeight w:val="8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8275AC"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 xml:space="preserve">Samazinātās likmes </w:t>
            </w:r>
            <w:r w:rsidR="00DA42C2" w:rsidRPr="00452BCF">
              <w:rPr>
                <w:rFonts w:ascii="Times New Roman" w:eastAsia="Times New Roman" w:hAnsi="Times New Roman" w:cs="Times New Roman"/>
                <w:color w:val="000000" w:themeColor="text1"/>
                <w:sz w:val="20"/>
                <w:szCs w:val="20"/>
                <w:lang w:eastAsia="lv-LV"/>
              </w:rPr>
              <w:t xml:space="preserve">(50% apmērā no </w:t>
            </w:r>
            <w:proofErr w:type="spellStart"/>
            <w:r w:rsidR="00DA42C2" w:rsidRPr="00452BCF">
              <w:rPr>
                <w:rFonts w:ascii="Times New Roman" w:eastAsia="Times New Roman" w:hAnsi="Times New Roman" w:cs="Times New Roman"/>
                <w:color w:val="000000" w:themeColor="text1"/>
                <w:sz w:val="20"/>
                <w:szCs w:val="20"/>
                <w:lang w:eastAsia="lv-LV"/>
              </w:rPr>
              <w:t>standartlikmes</w:t>
            </w:r>
            <w:proofErr w:type="spellEnd"/>
            <w:r w:rsidR="00DA42C2" w:rsidRPr="00452BCF">
              <w:rPr>
                <w:rFonts w:ascii="Times New Roman" w:eastAsia="Times New Roman" w:hAnsi="Times New Roman" w:cs="Times New Roman"/>
                <w:color w:val="000000" w:themeColor="text1"/>
                <w:sz w:val="20"/>
                <w:szCs w:val="20"/>
                <w:lang w:eastAsia="lv-LV"/>
              </w:rPr>
              <w:t>) piemērošana mazo alkoholisko dzērienu darītavu saražotajiem pārējiem alkoholiskajiem dzērieniem ar 01.03.2019.</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-0,05</w:t>
            </w: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-0,01</w:t>
            </w:r>
          </w:p>
        </w:tc>
        <w:tc>
          <w:tcPr>
            <w:tcW w:w="709"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6"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735CD2">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Ar 01.01.2019. lauksaimniekiem paredzēto marķēto dīzeļdegvielu atļauts izmantot kravas automobiļ</w:t>
            </w:r>
            <w:r w:rsidR="00735CD2">
              <w:rPr>
                <w:rFonts w:ascii="Times New Roman" w:eastAsia="Times New Roman" w:hAnsi="Times New Roman" w:cs="Times New Roman"/>
                <w:color w:val="000000" w:themeColor="text1"/>
                <w:sz w:val="20"/>
                <w:szCs w:val="20"/>
                <w:lang w:eastAsia="lv-LV"/>
              </w:rPr>
              <w:t>o</w:t>
            </w:r>
            <w:r w:rsidRPr="00452BCF">
              <w:rPr>
                <w:rFonts w:ascii="Times New Roman" w:eastAsia="Times New Roman" w:hAnsi="Times New Roman" w:cs="Times New Roman"/>
                <w:color w:val="000000" w:themeColor="text1"/>
                <w:sz w:val="20"/>
                <w:szCs w:val="20"/>
                <w:lang w:eastAsia="lv-LV"/>
              </w:rPr>
              <w:t>s, kuros sēdvietu skaits, neskaitot vadītāja sēdvietu, nepārsniedz četras sēdvietas (līdzšinējo divu sēdvietu vietā).</w:t>
            </w:r>
          </w:p>
        </w:tc>
        <w:tc>
          <w:tcPr>
            <w:tcW w:w="851"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-0,3</w:t>
            </w:r>
          </w:p>
        </w:tc>
        <w:tc>
          <w:tcPr>
            <w:tcW w:w="850"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709"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6"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trHeight w:val="399"/>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Lattelecom universālā pakalpojuma izmaksu segšana no dividendēm</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-0,3</w:t>
            </w: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0,3</w:t>
            </w:r>
          </w:p>
        </w:tc>
        <w:tc>
          <w:tcPr>
            <w:tcW w:w="709"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856"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628" w:type="dxa"/>
          </w:tcPr>
          <w:p w:rsidR="00DA42C2" w:rsidRPr="00452BCF" w:rsidRDefault="00DA42C2" w:rsidP="004660CE">
            <w:pPr>
              <w:jc w:val="both"/>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Palielināt minimālo dividendēs izmaksājamo peļņas daļu kapitālsabiedrībām, kurās visas kapitāla daļas tieši vai pastarpināti pieder valstij līdz 85%</w:t>
            </w:r>
          </w:p>
        </w:tc>
        <w:tc>
          <w:tcPr>
            <w:tcW w:w="851"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A42C2">
              <w:rPr>
                <w:rFonts w:ascii="Times New Roman" w:eastAsia="Times New Roman" w:hAnsi="Times New Roman" w:cs="Times New Roman"/>
                <w:color w:val="000000" w:themeColor="text1"/>
                <w:sz w:val="20"/>
                <w:szCs w:val="20"/>
                <w:lang w:eastAsia="lv-LV"/>
              </w:rPr>
              <w:t>2,3</w:t>
            </w:r>
          </w:p>
        </w:tc>
        <w:tc>
          <w:tcPr>
            <w:tcW w:w="850"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p>
        </w:tc>
        <w:tc>
          <w:tcPr>
            <w:tcW w:w="709"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p>
        </w:tc>
        <w:tc>
          <w:tcPr>
            <w:tcW w:w="856"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p>
        </w:tc>
      </w:tr>
      <w:tr w:rsidR="00DA42C2" w:rsidRPr="00DA42C2" w:rsidTr="00DA42C2">
        <w:trPr>
          <w:trHeight w:val="330"/>
          <w:jc w:val="center"/>
        </w:trPr>
        <w:tc>
          <w:tcPr>
            <w:cnfStyle w:val="001000000000" w:firstRow="0" w:lastRow="0" w:firstColumn="1" w:lastColumn="0" w:oddVBand="0" w:evenVBand="0" w:oddHBand="0" w:evenHBand="0" w:firstRowFirstColumn="0" w:firstRowLastColumn="0" w:lastRowFirstColumn="0" w:lastRowLastColumn="0"/>
            <w:tcW w:w="5628" w:type="dxa"/>
            <w:hideMark/>
          </w:tcPr>
          <w:p w:rsidR="00DA42C2" w:rsidRPr="00452BCF" w:rsidRDefault="00DA42C2" w:rsidP="00452BCF">
            <w:pPr>
              <w:jc w:val="right"/>
              <w:rPr>
                <w:rFonts w:ascii="Times New Roman" w:eastAsia="Times New Roman" w:hAnsi="Times New Roman" w:cs="Times New Roman"/>
                <w:color w:val="000000" w:themeColor="text1"/>
                <w:sz w:val="20"/>
                <w:szCs w:val="20"/>
                <w:lang w:eastAsia="lv-LV"/>
              </w:rPr>
            </w:pPr>
            <w:r w:rsidRPr="00452BCF">
              <w:rPr>
                <w:rFonts w:ascii="Times New Roman" w:eastAsia="Times New Roman" w:hAnsi="Times New Roman" w:cs="Times New Roman"/>
                <w:color w:val="000000" w:themeColor="text1"/>
                <w:sz w:val="20"/>
                <w:szCs w:val="20"/>
                <w:lang w:eastAsia="lv-LV"/>
              </w:rPr>
              <w:t>Izmaiņu ietekme kopā:</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A42C2">
              <w:rPr>
                <w:rFonts w:ascii="Times New Roman" w:eastAsia="Times New Roman" w:hAnsi="Times New Roman" w:cs="Times New Roman"/>
                <w:b/>
                <w:color w:val="000000" w:themeColor="text1"/>
                <w:sz w:val="20"/>
                <w:szCs w:val="20"/>
                <w:lang w:eastAsia="lv-LV"/>
              </w:rPr>
              <w:t>5,7</w:t>
            </w: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A42C2">
              <w:rPr>
                <w:rFonts w:ascii="Times New Roman" w:eastAsia="Times New Roman" w:hAnsi="Times New Roman" w:cs="Times New Roman"/>
                <w:b/>
                <w:color w:val="000000" w:themeColor="text1"/>
                <w:sz w:val="20"/>
                <w:szCs w:val="20"/>
                <w:lang w:eastAsia="lv-LV"/>
              </w:rPr>
              <w:t>43,1</w:t>
            </w:r>
          </w:p>
        </w:tc>
        <w:tc>
          <w:tcPr>
            <w:tcW w:w="709"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DA42C2">
              <w:rPr>
                <w:rFonts w:ascii="Times New Roman" w:eastAsia="Times New Roman" w:hAnsi="Times New Roman" w:cs="Times New Roman"/>
                <w:b/>
                <w:color w:val="000000" w:themeColor="text1"/>
                <w:sz w:val="20"/>
                <w:szCs w:val="20"/>
                <w:lang w:eastAsia="lv-LV"/>
              </w:rPr>
              <w:t>-6,3</w:t>
            </w:r>
          </w:p>
        </w:tc>
        <w:tc>
          <w:tcPr>
            <w:tcW w:w="856"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p>
        </w:tc>
      </w:tr>
    </w:tbl>
    <w:p w:rsidR="00DA42C2" w:rsidRPr="00DA42C2" w:rsidRDefault="00DA42C2" w:rsidP="00DA42C2">
      <w:pPr>
        <w:spacing w:after="0" w:line="240" w:lineRule="auto"/>
        <w:jc w:val="both"/>
        <w:rPr>
          <w:rFonts w:ascii="Times New Roman" w:eastAsia="Calibri" w:hAnsi="Times New Roman" w:cs="Times New Roman"/>
          <w:sz w:val="24"/>
        </w:rPr>
      </w:pPr>
      <w:r w:rsidRPr="00DA42C2">
        <w:rPr>
          <w:rFonts w:ascii="Times New Roman" w:eastAsia="Calibri" w:hAnsi="Times New Roman" w:cs="Times New Roman"/>
          <w:i/>
          <w:sz w:val="20"/>
          <w:szCs w:val="20"/>
        </w:rPr>
        <w:t>* pārvērtēta ietekme</w:t>
      </w:r>
    </w:p>
    <w:p w:rsidR="00DA42C2" w:rsidRPr="00DA42C2" w:rsidRDefault="00DA42C2" w:rsidP="00DA42C2">
      <w:pPr>
        <w:spacing w:after="0" w:line="240" w:lineRule="auto"/>
        <w:jc w:val="both"/>
        <w:rPr>
          <w:rFonts w:ascii="Times New Roman" w:eastAsia="Calibri" w:hAnsi="Times New Roman" w:cs="Times New Roman"/>
          <w:sz w:val="24"/>
        </w:rPr>
      </w:pPr>
    </w:p>
    <w:p w:rsidR="00DA42C2" w:rsidRPr="00DA42C2" w:rsidRDefault="00DA42C2" w:rsidP="00DA42C2">
      <w:pPr>
        <w:autoSpaceDE w:val="0"/>
        <w:autoSpaceDN w:val="0"/>
        <w:adjustRightInd w:val="0"/>
        <w:spacing w:after="0" w:line="240" w:lineRule="auto"/>
        <w:ind w:firstLine="720"/>
        <w:jc w:val="both"/>
        <w:rPr>
          <w:rFonts w:ascii="Times New Roman" w:eastAsia="Calibri" w:hAnsi="Times New Roman" w:cs="Times New Roman"/>
          <w:color w:val="000000"/>
          <w:sz w:val="23"/>
          <w:szCs w:val="23"/>
        </w:rPr>
      </w:pPr>
      <w:r w:rsidRPr="00DA42C2">
        <w:rPr>
          <w:rFonts w:ascii="Times New Roman" w:eastAsia="Calibri" w:hAnsi="Times New Roman" w:cs="Times New Roman"/>
          <w:color w:val="000000"/>
          <w:sz w:val="23"/>
          <w:szCs w:val="23"/>
        </w:rPr>
        <w:t>PVN samazinātās likmes 5 procentu apmērā ieviešanas Latvijai raksturīgajiem augļiem, ogām un dārzeņiem tika ieviesta uz ierobežotu laiku</w:t>
      </w:r>
      <w:r w:rsidR="008275AC" w:rsidRPr="00D91646">
        <w:rPr>
          <w:rFonts w:ascii="Times New Roman" w:eastAsia="Calibri" w:hAnsi="Times New Roman" w:cs="Times New Roman"/>
          <w:sz w:val="24"/>
        </w:rPr>
        <w:t xml:space="preserve"> – </w:t>
      </w:r>
      <w:r w:rsidRPr="00DA42C2">
        <w:rPr>
          <w:rFonts w:ascii="Times New Roman" w:eastAsia="Calibri" w:hAnsi="Times New Roman" w:cs="Times New Roman"/>
          <w:color w:val="000000"/>
          <w:sz w:val="23"/>
          <w:szCs w:val="23"/>
        </w:rPr>
        <w:t>3 gadiem (no 2018.gada 1.janvāra līdz 2020.gada 31.decembrim). Tās mērķis ir samazināt ēnu ekonomiku augkopības un lopkopības, medniecības un saistīto palīgdarbību nozarē un palielināt legālajā tirgū darbojošos komersantu konkurētspēju. Vērtējot samazinā</w:t>
      </w:r>
      <w:r w:rsidR="008275AC">
        <w:rPr>
          <w:rFonts w:ascii="Times New Roman" w:eastAsia="Calibri" w:hAnsi="Times New Roman" w:cs="Times New Roman"/>
          <w:color w:val="000000"/>
          <w:sz w:val="23"/>
          <w:szCs w:val="23"/>
        </w:rPr>
        <w:t xml:space="preserve">tās likmes 5% </w:t>
      </w:r>
      <w:proofErr w:type="spellStart"/>
      <w:r w:rsidR="008275AC">
        <w:rPr>
          <w:rFonts w:ascii="Times New Roman" w:eastAsia="Calibri" w:hAnsi="Times New Roman" w:cs="Times New Roman"/>
          <w:color w:val="000000"/>
          <w:sz w:val="23"/>
          <w:szCs w:val="23"/>
        </w:rPr>
        <w:t>piemēŗošanu</w:t>
      </w:r>
      <w:proofErr w:type="spellEnd"/>
      <w:r w:rsidR="008275AC">
        <w:rPr>
          <w:rFonts w:ascii="Times New Roman" w:eastAsia="Calibri" w:hAnsi="Times New Roman" w:cs="Times New Roman"/>
          <w:color w:val="000000"/>
          <w:sz w:val="23"/>
          <w:szCs w:val="23"/>
        </w:rPr>
        <w:t xml:space="preserve"> 2018.</w:t>
      </w:r>
      <w:r w:rsidRPr="00DA42C2">
        <w:rPr>
          <w:rFonts w:ascii="Times New Roman" w:eastAsia="Calibri" w:hAnsi="Times New Roman" w:cs="Times New Roman"/>
          <w:color w:val="000000"/>
          <w:sz w:val="23"/>
          <w:szCs w:val="23"/>
        </w:rPr>
        <w:t>gadā augkopības un lopkopības, medniecības un saistīto palīgdarbību nozarē, faktiskā ietekme uz val</w:t>
      </w:r>
      <w:r w:rsidR="008275AC">
        <w:rPr>
          <w:rFonts w:ascii="Times New Roman" w:eastAsia="Calibri" w:hAnsi="Times New Roman" w:cs="Times New Roman"/>
          <w:color w:val="000000"/>
          <w:sz w:val="23"/>
          <w:szCs w:val="23"/>
        </w:rPr>
        <w:t>sts budžetu tiek novērtēta -</w:t>
      </w:r>
      <w:r w:rsidR="004A3791">
        <w:rPr>
          <w:rFonts w:ascii="Times New Roman" w:eastAsia="Calibri" w:hAnsi="Times New Roman" w:cs="Times New Roman"/>
          <w:color w:val="000000"/>
          <w:sz w:val="23"/>
          <w:szCs w:val="23"/>
        </w:rPr>
        <w:t>3,8</w:t>
      </w:r>
      <w:r w:rsidR="008275AC">
        <w:rPr>
          <w:rFonts w:ascii="Times New Roman" w:eastAsia="Calibri" w:hAnsi="Times New Roman" w:cs="Times New Roman"/>
          <w:color w:val="000000"/>
          <w:sz w:val="23"/>
          <w:szCs w:val="23"/>
        </w:rPr>
        <w:t xml:space="preserve"> </w:t>
      </w:r>
      <w:r w:rsidRPr="00DA42C2">
        <w:rPr>
          <w:rFonts w:ascii="Times New Roman" w:eastAsia="Calibri" w:hAnsi="Times New Roman" w:cs="Times New Roman"/>
          <w:color w:val="000000"/>
          <w:sz w:val="23"/>
          <w:szCs w:val="23"/>
        </w:rPr>
        <w:t xml:space="preserve">milj. </w:t>
      </w:r>
      <w:proofErr w:type="spellStart"/>
      <w:r w:rsidRPr="00DA42C2">
        <w:rPr>
          <w:rFonts w:ascii="Times New Roman" w:eastAsia="Calibri" w:hAnsi="Times New Roman" w:cs="Times New Roman"/>
          <w:i/>
          <w:color w:val="000000"/>
          <w:sz w:val="23"/>
          <w:szCs w:val="23"/>
        </w:rPr>
        <w:t>euro</w:t>
      </w:r>
      <w:proofErr w:type="spellEnd"/>
      <w:r w:rsidRPr="00DA42C2">
        <w:rPr>
          <w:rFonts w:ascii="Times New Roman" w:eastAsia="Calibri" w:hAnsi="Times New Roman" w:cs="Times New Roman"/>
          <w:color w:val="000000"/>
          <w:sz w:val="23"/>
          <w:szCs w:val="23"/>
        </w:rPr>
        <w:t xml:space="preserve"> apmērā, kas ir par </w:t>
      </w:r>
      <w:r w:rsidR="004A3791">
        <w:rPr>
          <w:rFonts w:ascii="Times New Roman" w:eastAsia="Calibri" w:hAnsi="Times New Roman" w:cs="Times New Roman"/>
          <w:color w:val="000000"/>
          <w:sz w:val="23"/>
          <w:szCs w:val="23"/>
        </w:rPr>
        <w:t>2,2</w:t>
      </w:r>
      <w:r w:rsidR="008275AC">
        <w:rPr>
          <w:rFonts w:ascii="Times New Roman" w:eastAsia="Calibri" w:hAnsi="Times New Roman" w:cs="Times New Roman"/>
          <w:color w:val="000000"/>
          <w:sz w:val="23"/>
          <w:szCs w:val="23"/>
        </w:rPr>
        <w:t xml:space="preserve"> </w:t>
      </w:r>
      <w:r w:rsidRPr="00DA42C2">
        <w:rPr>
          <w:rFonts w:ascii="Times New Roman" w:eastAsia="Calibri" w:hAnsi="Times New Roman" w:cs="Times New Roman"/>
          <w:color w:val="000000"/>
          <w:sz w:val="23"/>
          <w:szCs w:val="23"/>
        </w:rPr>
        <w:t xml:space="preserve">milj. </w:t>
      </w:r>
      <w:proofErr w:type="spellStart"/>
      <w:r w:rsidRPr="00DA42C2">
        <w:rPr>
          <w:rFonts w:ascii="Times New Roman" w:eastAsia="Calibri" w:hAnsi="Times New Roman" w:cs="Times New Roman"/>
          <w:i/>
          <w:color w:val="000000"/>
          <w:sz w:val="23"/>
          <w:szCs w:val="23"/>
        </w:rPr>
        <w:t>euro</w:t>
      </w:r>
      <w:proofErr w:type="spellEnd"/>
      <w:r w:rsidRPr="00DA42C2">
        <w:rPr>
          <w:rFonts w:ascii="Times New Roman" w:eastAsia="Calibri" w:hAnsi="Times New Roman" w:cs="Times New Roman"/>
          <w:i/>
          <w:color w:val="000000"/>
          <w:sz w:val="23"/>
          <w:szCs w:val="23"/>
        </w:rPr>
        <w:t xml:space="preserve"> </w:t>
      </w:r>
      <w:r w:rsidRPr="00DA42C2">
        <w:rPr>
          <w:rFonts w:ascii="Times New Roman" w:eastAsia="Calibri" w:hAnsi="Times New Roman" w:cs="Times New Roman"/>
          <w:color w:val="000000"/>
          <w:sz w:val="23"/>
          <w:szCs w:val="23"/>
        </w:rPr>
        <w:t xml:space="preserve">mazāk kā sākotnēji novērtēts. </w:t>
      </w:r>
    </w:p>
    <w:p w:rsidR="00DA42C2" w:rsidRPr="00DA42C2" w:rsidRDefault="00DA42C2" w:rsidP="00DA42C2">
      <w:pPr>
        <w:spacing w:before="120" w:after="120" w:line="240" w:lineRule="auto"/>
        <w:ind w:firstLine="709"/>
        <w:contextualSpacing/>
        <w:jc w:val="both"/>
        <w:rPr>
          <w:rFonts w:ascii="Times New Roman" w:eastAsia="Calibri" w:hAnsi="Times New Roman" w:cs="Times New Roman"/>
          <w:sz w:val="24"/>
        </w:rPr>
      </w:pPr>
      <w:r w:rsidRPr="00DA42C2">
        <w:rPr>
          <w:rFonts w:ascii="Times New Roman" w:eastAsia="Calibri" w:hAnsi="Times New Roman" w:cs="Times New Roman"/>
          <w:sz w:val="24"/>
          <w:szCs w:val="28"/>
          <w:lang w:eastAsia="lv-LV"/>
        </w:rPr>
        <w:t>Saskaņā ar 2018.gada 25.oktobra grozījumiem likumā “Par valsts sociālo</w:t>
      </w:r>
      <w:r w:rsidR="00452BCF">
        <w:rPr>
          <w:rFonts w:ascii="Times New Roman" w:eastAsia="Calibri" w:hAnsi="Times New Roman" w:cs="Times New Roman"/>
          <w:sz w:val="24"/>
          <w:szCs w:val="28"/>
          <w:lang w:eastAsia="lv-LV"/>
        </w:rPr>
        <w:t xml:space="preserve"> apdrošināšanu”, sākot ar 2019.gada 1.</w:t>
      </w:r>
      <w:r w:rsidRPr="00DA42C2">
        <w:rPr>
          <w:rFonts w:ascii="Times New Roman" w:eastAsia="Calibri" w:hAnsi="Times New Roman" w:cs="Times New Roman"/>
          <w:sz w:val="24"/>
          <w:szCs w:val="28"/>
          <w:lang w:eastAsia="lv-LV"/>
        </w:rPr>
        <w:t xml:space="preserve">janvāri VSAOI maksimālais objekts tiek aprēķināts un </w:t>
      </w:r>
      <w:r w:rsidRPr="00DA42C2">
        <w:rPr>
          <w:rFonts w:ascii="Times New Roman" w:eastAsia="Calibri" w:hAnsi="Times New Roman" w:cs="Times New Roman"/>
          <w:sz w:val="24"/>
          <w:szCs w:val="28"/>
          <w:lang w:eastAsia="lv-LV"/>
        </w:rPr>
        <w:lastRenderedPageBreak/>
        <w:t>noteikts nākamajiem trim gadiem un tas ir 62</w:t>
      </w:r>
      <w:r w:rsidR="00452BCF">
        <w:rPr>
          <w:rFonts w:ascii="Times New Roman" w:eastAsia="Calibri" w:hAnsi="Times New Roman" w:cs="Times New Roman"/>
          <w:sz w:val="24"/>
          <w:szCs w:val="28"/>
          <w:lang w:eastAsia="lv-LV"/>
        </w:rPr>
        <w:t> </w:t>
      </w:r>
      <w:r w:rsidRPr="00DA42C2">
        <w:rPr>
          <w:rFonts w:ascii="Times New Roman" w:eastAsia="Calibri" w:hAnsi="Times New Roman" w:cs="Times New Roman"/>
          <w:sz w:val="24"/>
          <w:szCs w:val="28"/>
          <w:lang w:eastAsia="lv-LV"/>
        </w:rPr>
        <w:t>800</w:t>
      </w:r>
      <w:r w:rsidR="00452BCF">
        <w:rPr>
          <w:rFonts w:ascii="Times New Roman" w:eastAsia="Calibri" w:hAnsi="Times New Roman" w:cs="Times New Roman"/>
          <w:sz w:val="24"/>
          <w:szCs w:val="28"/>
          <w:lang w:eastAsia="lv-LV"/>
        </w:rPr>
        <w:t xml:space="preserve"> </w:t>
      </w:r>
      <w:proofErr w:type="spellStart"/>
      <w:r w:rsidRPr="00DA42C2">
        <w:rPr>
          <w:rFonts w:ascii="Times New Roman" w:eastAsia="Calibri" w:hAnsi="Times New Roman" w:cs="Times New Roman"/>
          <w:i/>
          <w:sz w:val="24"/>
        </w:rPr>
        <w:t>euro</w:t>
      </w:r>
      <w:proofErr w:type="spellEnd"/>
      <w:r w:rsidRPr="00DA42C2">
        <w:rPr>
          <w:rFonts w:ascii="Times New Roman" w:eastAsia="Calibri" w:hAnsi="Times New Roman" w:cs="Times New Roman"/>
          <w:sz w:val="24"/>
        </w:rPr>
        <w:t xml:space="preserve"> gadā</w:t>
      </w:r>
      <w:r w:rsidRPr="00DA42C2">
        <w:rPr>
          <w:rFonts w:ascii="Times New Roman" w:eastAsia="Calibri" w:hAnsi="Times New Roman" w:cs="Times New Roman"/>
          <w:sz w:val="24"/>
          <w:vertAlign w:val="superscript"/>
        </w:rPr>
        <w:footnoteReference w:id="30"/>
      </w:r>
      <w:r w:rsidRPr="00DA42C2">
        <w:rPr>
          <w:rFonts w:ascii="Times New Roman" w:eastAsia="Calibri" w:hAnsi="Times New Roman" w:cs="Times New Roman"/>
          <w:sz w:val="24"/>
        </w:rPr>
        <w:t xml:space="preserve">. Trīs gadu periods tika noteikts ar mērķi, lai nodrošinātu </w:t>
      </w:r>
      <w:r w:rsidRPr="00DA42C2">
        <w:rPr>
          <w:rFonts w:ascii="Times New Roman" w:eastAsia="Times New Roman" w:hAnsi="Times New Roman" w:cs="Times New Roman"/>
          <w:sz w:val="24"/>
          <w:szCs w:val="28"/>
          <w:lang w:eastAsia="lv-LV"/>
        </w:rPr>
        <w:t>stabilu</w:t>
      </w:r>
      <w:r w:rsidRPr="00DA42C2">
        <w:rPr>
          <w:rFonts w:ascii="Times New Roman" w:eastAsia="Calibri" w:hAnsi="Times New Roman" w:cs="Times New Roman"/>
          <w:sz w:val="24"/>
        </w:rPr>
        <w:t xml:space="preserve"> un pārskatāmu nodokļu politiku.</w:t>
      </w:r>
    </w:p>
    <w:p w:rsidR="00DA42C2" w:rsidRPr="00DA42C2" w:rsidRDefault="00DA42C2" w:rsidP="00DA42C2">
      <w:pPr>
        <w:spacing w:after="0" w:line="240" w:lineRule="auto"/>
        <w:ind w:firstLine="709"/>
        <w:jc w:val="both"/>
        <w:rPr>
          <w:rFonts w:ascii="Times New Roman" w:eastAsia="Times New Roman" w:hAnsi="Times New Roman" w:cs="Times New Roman"/>
          <w:sz w:val="24"/>
          <w:szCs w:val="24"/>
          <w:lang w:eastAsia="lv-LV"/>
        </w:rPr>
      </w:pPr>
      <w:r w:rsidRPr="00DA42C2">
        <w:rPr>
          <w:rFonts w:ascii="Times New Roman" w:eastAsia="Times New Roman" w:hAnsi="Times New Roman" w:cs="Times New Roman"/>
          <w:sz w:val="24"/>
          <w:szCs w:val="24"/>
          <w:lang w:eastAsia="lv-LV"/>
        </w:rPr>
        <w:t>Valsts sociālās apdrošināšanas iemaksu ieņēmumus 2019.gadā ietekmēs arī solidaritātes nodokļa likmes izmaiņas, kas paredz, ka, sākot ar 2019.gada 3.janvāri, solidaritātes nodokļa likme ir 25,5</w:t>
      </w:r>
      <w:r w:rsidR="008275AC">
        <w:rPr>
          <w:rFonts w:ascii="Times New Roman" w:eastAsia="Times New Roman" w:hAnsi="Times New Roman" w:cs="Times New Roman"/>
          <w:sz w:val="24"/>
          <w:szCs w:val="24"/>
          <w:lang w:eastAsia="lv-LV"/>
        </w:rPr>
        <w:t xml:space="preserve"> </w:t>
      </w:r>
      <w:r w:rsidRPr="00DA42C2">
        <w:rPr>
          <w:rFonts w:ascii="Times New Roman" w:eastAsia="Times New Roman" w:hAnsi="Times New Roman" w:cs="Times New Roman"/>
          <w:sz w:val="24"/>
          <w:szCs w:val="24"/>
          <w:lang w:eastAsia="lv-LV"/>
        </w:rPr>
        <w:t>procenti. Taksācijas periodā solidaritātes nodokļa objektam piemēro tādu pašu likmi kā valsts sociālās apdrošināšanas obligāto iemaksu objektam, un Valsts ieņēmumu dienests līdz pēctaksācijas gada 1.septembrim rezumējošā kārtībā veic pārmaksātā solidaritātes nodokļa atmaksu (starpību starp taksācijas periodā samaksāto solidaritātes nodokli, kas aprēķināts, piemērojot augstāku valsts sociālās apdrošināšanas obligāto iemaksu likmi un rezumējošā kārtībā aprēķināto solidaritātes nodokli, kas aprēķināts, piemērojot solidaritātes nodokļa likmi (25,5%)). Ar 2019.gada 3.janvāri ir noteikta arī jauna solidaritātes nodokļa sadalīšanas secība, prioritāti piešķirot ar solidaritāti saistītām sadaļām:</w:t>
      </w:r>
    </w:p>
    <w:p w:rsidR="00DA42C2" w:rsidRPr="00DA42C2" w:rsidRDefault="00DA42C2" w:rsidP="00DA42C2">
      <w:pPr>
        <w:numPr>
          <w:ilvl w:val="0"/>
          <w:numId w:val="29"/>
        </w:numPr>
        <w:spacing w:after="0" w:line="240" w:lineRule="auto"/>
        <w:contextualSpacing/>
        <w:jc w:val="both"/>
        <w:rPr>
          <w:rFonts w:ascii="Times New Roman" w:eastAsia="Times New Roman" w:hAnsi="Times New Roman" w:cs="Times New Roman"/>
          <w:sz w:val="24"/>
          <w:szCs w:val="24"/>
          <w:lang w:eastAsia="lv-LV"/>
        </w:rPr>
      </w:pPr>
      <w:r w:rsidRPr="00DA42C2">
        <w:rPr>
          <w:rFonts w:ascii="Times New Roman" w:eastAsia="Times New Roman" w:hAnsi="Times New Roman" w:cs="Times New Roman"/>
          <w:sz w:val="24"/>
          <w:szCs w:val="24"/>
          <w:lang w:eastAsia="lv-LV"/>
        </w:rPr>
        <w:t>1</w:t>
      </w:r>
      <w:r w:rsidR="00DC41EC">
        <w:rPr>
          <w:rFonts w:ascii="Times New Roman" w:eastAsia="Times New Roman" w:hAnsi="Times New Roman" w:cs="Times New Roman"/>
          <w:sz w:val="24"/>
          <w:szCs w:val="24"/>
          <w:lang w:eastAsia="lv-LV"/>
        </w:rPr>
        <w:t xml:space="preserve"> </w:t>
      </w:r>
      <w:r w:rsidRPr="00DA42C2">
        <w:rPr>
          <w:rFonts w:ascii="Times New Roman" w:eastAsia="Times New Roman" w:hAnsi="Times New Roman" w:cs="Times New Roman"/>
          <w:sz w:val="24"/>
          <w:szCs w:val="24"/>
          <w:lang w:eastAsia="lv-LV"/>
        </w:rPr>
        <w:t>procentpunkta apmērā veselības aprūpes pakalpojumu finansēšanai (2018.gadā 1 procentpunkts);</w:t>
      </w:r>
    </w:p>
    <w:p w:rsidR="00DA42C2" w:rsidRPr="00DA42C2" w:rsidRDefault="00DA42C2" w:rsidP="00DA42C2">
      <w:pPr>
        <w:numPr>
          <w:ilvl w:val="0"/>
          <w:numId w:val="29"/>
        </w:numPr>
        <w:spacing w:after="0" w:line="240" w:lineRule="auto"/>
        <w:contextualSpacing/>
        <w:jc w:val="both"/>
        <w:rPr>
          <w:rFonts w:ascii="Times New Roman" w:eastAsia="Times New Roman" w:hAnsi="Times New Roman" w:cs="Times New Roman"/>
          <w:sz w:val="24"/>
          <w:szCs w:val="24"/>
          <w:lang w:eastAsia="lv-LV"/>
        </w:rPr>
      </w:pPr>
      <w:r w:rsidRPr="00DA42C2">
        <w:rPr>
          <w:rFonts w:ascii="Times New Roman" w:eastAsia="Times New Roman" w:hAnsi="Times New Roman" w:cs="Times New Roman"/>
          <w:sz w:val="24"/>
          <w:szCs w:val="24"/>
          <w:lang w:eastAsia="lv-LV"/>
        </w:rPr>
        <w:t>14</w:t>
      </w:r>
      <w:r w:rsidR="00DC41EC">
        <w:rPr>
          <w:rFonts w:ascii="Times New Roman" w:eastAsia="Times New Roman" w:hAnsi="Times New Roman" w:cs="Times New Roman"/>
          <w:sz w:val="24"/>
          <w:szCs w:val="24"/>
          <w:lang w:eastAsia="lv-LV"/>
        </w:rPr>
        <w:t xml:space="preserve"> </w:t>
      </w:r>
      <w:r w:rsidRPr="00DA42C2">
        <w:rPr>
          <w:rFonts w:ascii="Times New Roman" w:eastAsia="Times New Roman" w:hAnsi="Times New Roman" w:cs="Times New Roman"/>
          <w:sz w:val="24"/>
          <w:szCs w:val="24"/>
          <w:lang w:eastAsia="lv-LV"/>
        </w:rPr>
        <w:t>procentpunktu apmērā valsts pensiju speciālajā budžetā (2018.gadā 13,59 procentpunkti);</w:t>
      </w:r>
    </w:p>
    <w:p w:rsidR="00DA42C2" w:rsidRPr="00DA42C2" w:rsidRDefault="00DA42C2" w:rsidP="00DA42C2">
      <w:pPr>
        <w:numPr>
          <w:ilvl w:val="0"/>
          <w:numId w:val="29"/>
        </w:numPr>
        <w:spacing w:after="0" w:line="240" w:lineRule="auto"/>
        <w:contextualSpacing/>
        <w:jc w:val="both"/>
        <w:rPr>
          <w:rFonts w:ascii="Times New Roman" w:eastAsia="Times New Roman" w:hAnsi="Times New Roman" w:cs="Times New Roman"/>
          <w:sz w:val="24"/>
          <w:szCs w:val="24"/>
          <w:lang w:eastAsia="lv-LV"/>
        </w:rPr>
      </w:pPr>
      <w:r w:rsidRPr="00DA42C2">
        <w:rPr>
          <w:rFonts w:ascii="Times New Roman" w:eastAsia="Times New Roman" w:hAnsi="Times New Roman" w:cs="Times New Roman"/>
          <w:sz w:val="24"/>
          <w:szCs w:val="24"/>
          <w:lang w:eastAsia="lv-LV"/>
        </w:rPr>
        <w:t>10,5</w:t>
      </w:r>
      <w:r w:rsidR="00DC41EC">
        <w:rPr>
          <w:rFonts w:ascii="Times New Roman" w:eastAsia="Times New Roman" w:hAnsi="Times New Roman" w:cs="Times New Roman"/>
          <w:sz w:val="24"/>
          <w:szCs w:val="24"/>
          <w:lang w:eastAsia="lv-LV"/>
        </w:rPr>
        <w:t xml:space="preserve"> </w:t>
      </w:r>
      <w:r w:rsidRPr="00DA42C2">
        <w:rPr>
          <w:rFonts w:ascii="Times New Roman" w:eastAsia="Times New Roman" w:hAnsi="Times New Roman" w:cs="Times New Roman"/>
          <w:sz w:val="24"/>
          <w:szCs w:val="24"/>
          <w:lang w:eastAsia="lv-LV"/>
        </w:rPr>
        <w:t>procentpunktu apmērā iedzīvotāju ienākuma nodokļa kontā Valsts kasē (2018.gadā 10,5</w:t>
      </w:r>
      <w:r w:rsidR="00E82396">
        <w:rPr>
          <w:rFonts w:ascii="Times New Roman" w:eastAsia="Times New Roman" w:hAnsi="Times New Roman" w:cs="Times New Roman"/>
          <w:sz w:val="24"/>
          <w:szCs w:val="24"/>
          <w:lang w:eastAsia="lv-LV"/>
        </w:rPr>
        <w:t xml:space="preserve"> </w:t>
      </w:r>
      <w:r w:rsidRPr="00DA42C2">
        <w:rPr>
          <w:rFonts w:ascii="Times New Roman" w:eastAsia="Times New Roman" w:hAnsi="Times New Roman" w:cs="Times New Roman"/>
          <w:sz w:val="24"/>
          <w:szCs w:val="24"/>
          <w:lang w:eastAsia="lv-LV"/>
        </w:rPr>
        <w:t>procentpunkti).</w:t>
      </w:r>
    </w:p>
    <w:p w:rsidR="00DA42C2" w:rsidRPr="00DA42C2" w:rsidRDefault="00DA42C2" w:rsidP="00DA42C2">
      <w:pPr>
        <w:spacing w:before="120" w:after="0" w:line="240" w:lineRule="auto"/>
        <w:ind w:right="142" w:firstLine="709"/>
        <w:contextualSpacing/>
        <w:jc w:val="both"/>
        <w:rPr>
          <w:rFonts w:ascii="Times New Roman" w:eastAsia="Times New Roman" w:hAnsi="Times New Roman" w:cs="Times New Roman"/>
          <w:spacing w:val="-2"/>
          <w:sz w:val="24"/>
          <w:szCs w:val="24"/>
        </w:rPr>
      </w:pPr>
      <w:r w:rsidRPr="00DA42C2">
        <w:rPr>
          <w:rFonts w:ascii="Times New Roman" w:eastAsia="Times New Roman" w:hAnsi="Times New Roman" w:cs="Times New Roman"/>
          <w:spacing w:val="-2"/>
          <w:sz w:val="24"/>
          <w:szCs w:val="24"/>
        </w:rPr>
        <w:t>Solidaritātes nodokļa ieņēmumi vairs netiek pārskaitīti uz 2. un 3.pensiju līmeni, kā tas bija 2018.gadā.</w:t>
      </w:r>
    </w:p>
    <w:p w:rsidR="00DA42C2" w:rsidRPr="00DA42C2" w:rsidRDefault="00DA42C2" w:rsidP="00DA42C2">
      <w:pPr>
        <w:spacing w:before="120" w:after="0" w:line="240" w:lineRule="auto"/>
        <w:ind w:right="142" w:firstLine="709"/>
        <w:contextualSpacing/>
        <w:jc w:val="both"/>
        <w:rPr>
          <w:rFonts w:ascii="Times New Roman" w:eastAsia="Times New Roman" w:hAnsi="Times New Roman" w:cs="Times New Roman"/>
          <w:spacing w:val="-2"/>
          <w:sz w:val="24"/>
          <w:szCs w:val="24"/>
        </w:rPr>
      </w:pPr>
    </w:p>
    <w:p w:rsidR="00DA42C2" w:rsidRPr="00DA42C2" w:rsidRDefault="00DA42C2" w:rsidP="00E82396">
      <w:pPr>
        <w:spacing w:after="0" w:line="240" w:lineRule="auto"/>
        <w:ind w:firstLine="709"/>
        <w:jc w:val="both"/>
        <w:rPr>
          <w:rFonts w:ascii="Times New Roman" w:eastAsia="Times New Roman" w:hAnsi="Times New Roman" w:cs="Times New Roman"/>
          <w:iCs/>
          <w:sz w:val="24"/>
          <w:szCs w:val="20"/>
          <w:lang w:eastAsia="x-none"/>
        </w:rPr>
      </w:pPr>
      <w:r w:rsidRPr="00DA42C2">
        <w:rPr>
          <w:rFonts w:ascii="Times New Roman" w:eastAsia="Times New Roman" w:hAnsi="Times New Roman" w:cs="Times New Roman"/>
          <w:sz w:val="24"/>
          <w:szCs w:val="24"/>
          <w:lang w:eastAsia="lv-LV"/>
        </w:rPr>
        <w:t xml:space="preserve">Turklāt ar 2020.gada 1.janvāri iemaksas </w:t>
      </w:r>
      <w:proofErr w:type="spellStart"/>
      <w:r w:rsidRPr="00DA42C2">
        <w:rPr>
          <w:rFonts w:ascii="Times New Roman" w:eastAsia="Times New Roman" w:hAnsi="Times New Roman" w:cs="Times New Roman"/>
          <w:sz w:val="24"/>
          <w:szCs w:val="24"/>
          <w:lang w:eastAsia="lv-LV"/>
        </w:rPr>
        <w:t>fondēto</w:t>
      </w:r>
      <w:proofErr w:type="spellEnd"/>
      <w:r w:rsidRPr="00DA42C2">
        <w:rPr>
          <w:rFonts w:ascii="Times New Roman" w:eastAsia="Times New Roman" w:hAnsi="Times New Roman" w:cs="Times New Roman"/>
          <w:sz w:val="24"/>
          <w:szCs w:val="24"/>
          <w:lang w:eastAsia="lv-LV"/>
        </w:rPr>
        <w:t xml:space="preserve"> pensiju shēmā būs daļa no faktiski veiktajām iemaksām valsts pensiju apdrošināšanai, izņemot obligātās iemaksas no sociālās apdrošināšanas speciālajiem budžetiem un valsts pamatbudžeta, līdz ar to pozitīvi ietekmējot </w:t>
      </w:r>
      <w:r w:rsidRPr="00DA42C2">
        <w:rPr>
          <w:rFonts w:ascii="Times New Roman" w:eastAsia="Times New Roman" w:hAnsi="Times New Roman" w:cs="Times New Roman"/>
          <w:iCs/>
          <w:sz w:val="24"/>
          <w:szCs w:val="20"/>
          <w:lang w:val="x-none" w:eastAsia="x-none"/>
        </w:rPr>
        <w:t>sociālās apdrošināšanas iemaksu ieņēmumus</w:t>
      </w:r>
      <w:r w:rsidRPr="00DA42C2">
        <w:rPr>
          <w:rFonts w:ascii="Times New Roman" w:eastAsia="Times New Roman" w:hAnsi="Times New Roman" w:cs="Times New Roman"/>
          <w:iCs/>
          <w:sz w:val="24"/>
          <w:szCs w:val="20"/>
          <w:lang w:eastAsia="x-none"/>
        </w:rPr>
        <w:t>.</w:t>
      </w:r>
    </w:p>
    <w:p w:rsidR="00DA42C2" w:rsidRPr="00DA42C2" w:rsidRDefault="00DA42C2" w:rsidP="00E82396">
      <w:pPr>
        <w:spacing w:after="0" w:line="240" w:lineRule="auto"/>
        <w:ind w:firstLine="720"/>
        <w:jc w:val="both"/>
        <w:rPr>
          <w:rFonts w:ascii="Times New Roman" w:eastAsia="Calibri" w:hAnsi="Times New Roman" w:cs="Times New Roman"/>
          <w:sz w:val="24"/>
        </w:rPr>
      </w:pPr>
      <w:r w:rsidRPr="00DA42C2">
        <w:rPr>
          <w:rFonts w:ascii="Times New Roman" w:eastAsia="Times New Roman" w:hAnsi="Times New Roman" w:cs="Times New Roman"/>
          <w:color w:val="000000"/>
          <w:sz w:val="24"/>
          <w:szCs w:val="24"/>
        </w:rPr>
        <w:t xml:space="preserve">Saskaņā ar 2018.gada 25.oktobrī Saeimā pieņemtajiem grozījumiem likumā „Par akcīzes nodokli” ar 2019.gada 1.martu mazajās alkoholisko dzērienu darītavās saražotajiem pārējiem alkoholiskajiem dzērieniem tiek piemērota samazinātā likme 50% apmērā no </w:t>
      </w:r>
      <w:proofErr w:type="spellStart"/>
      <w:r w:rsidRPr="00DA42C2">
        <w:rPr>
          <w:rFonts w:ascii="Times New Roman" w:eastAsia="Times New Roman" w:hAnsi="Times New Roman" w:cs="Times New Roman"/>
          <w:color w:val="000000"/>
          <w:sz w:val="24"/>
          <w:szCs w:val="24"/>
        </w:rPr>
        <w:t>standartlikmes</w:t>
      </w:r>
      <w:proofErr w:type="spellEnd"/>
      <w:r w:rsidRPr="00DA42C2">
        <w:rPr>
          <w:rFonts w:ascii="Times New Roman" w:eastAsia="Times New Roman" w:hAnsi="Times New Roman" w:cs="Times New Roman"/>
          <w:color w:val="000000"/>
          <w:sz w:val="24"/>
          <w:szCs w:val="24"/>
        </w:rPr>
        <w:t xml:space="preserve">. Ar minētajiem grozījumiem spēkā stājās arī izmaiņas attiecībā uz </w:t>
      </w:r>
      <w:r w:rsidRPr="00DA42C2">
        <w:rPr>
          <w:rFonts w:ascii="Times New Roman" w:eastAsia="Calibri" w:hAnsi="Times New Roman" w:cs="Times New Roman"/>
          <w:sz w:val="24"/>
        </w:rPr>
        <w:t>lauksaimniekiem paredzēto marķēto dīzeļdegvielu – ar 2019.gada 1.janvāri</w:t>
      </w:r>
      <w:r w:rsidRPr="00DA42C2">
        <w:rPr>
          <w:rFonts w:ascii="Times New Roman" w:eastAsia="Times New Roman" w:hAnsi="Times New Roman" w:cs="Times New Roman"/>
          <w:color w:val="000000"/>
          <w:sz w:val="24"/>
          <w:szCs w:val="24"/>
        </w:rPr>
        <w:t xml:space="preserve"> </w:t>
      </w:r>
      <w:r w:rsidRPr="00DA42C2">
        <w:rPr>
          <w:rFonts w:ascii="Times New Roman" w:eastAsia="Calibri" w:hAnsi="Times New Roman" w:cs="Times New Roman"/>
          <w:sz w:val="24"/>
        </w:rPr>
        <w:t xml:space="preserve">to atļauts izmantot arī kravas automobiļos, kuros sēdvietu skaits, neskaitot vadītāja sēdvietu, nepārsniedz četras sēdvietas (līdzšinējo divu sēdvietu vietā). </w:t>
      </w:r>
    </w:p>
    <w:p w:rsidR="00DA42C2" w:rsidRPr="00DA42C2" w:rsidRDefault="00DA42C2" w:rsidP="00E82396">
      <w:pPr>
        <w:spacing w:after="0" w:line="240" w:lineRule="auto"/>
        <w:ind w:firstLine="720"/>
        <w:jc w:val="both"/>
        <w:rPr>
          <w:rFonts w:ascii="Times New Roman" w:eastAsia="Times New Roman" w:hAnsi="Times New Roman" w:cs="Times New Roman"/>
          <w:color w:val="000000"/>
          <w:sz w:val="24"/>
          <w:szCs w:val="24"/>
        </w:rPr>
      </w:pPr>
      <w:r w:rsidRPr="00DA42C2">
        <w:rPr>
          <w:rFonts w:ascii="Times New Roman" w:eastAsia="Times New Roman" w:hAnsi="Times New Roman" w:cs="Times New Roman"/>
          <w:color w:val="000000"/>
          <w:sz w:val="24"/>
          <w:szCs w:val="24"/>
        </w:rPr>
        <w:t xml:space="preserve">Saskaņā ar 2018.gada 27.septembrī Saeimā pieņemtajiem grozījumiem likumā „Par iedzīvotāju ienākuma nodokli” ar 2021.gadu tiek paaugstināts pensionāru neapliekamais minimums līdz 330 </w:t>
      </w:r>
      <w:proofErr w:type="spellStart"/>
      <w:r w:rsidRPr="00DA42C2">
        <w:rPr>
          <w:rFonts w:ascii="Times New Roman" w:eastAsia="Times New Roman" w:hAnsi="Times New Roman" w:cs="Times New Roman"/>
          <w:i/>
          <w:color w:val="000000"/>
          <w:sz w:val="24"/>
          <w:szCs w:val="24"/>
        </w:rPr>
        <w:t>euro</w:t>
      </w:r>
      <w:proofErr w:type="spellEnd"/>
      <w:r w:rsidRPr="00DA42C2">
        <w:rPr>
          <w:rFonts w:ascii="Times New Roman" w:eastAsia="Times New Roman" w:hAnsi="Times New Roman" w:cs="Times New Roman"/>
          <w:color w:val="000000"/>
          <w:sz w:val="24"/>
          <w:szCs w:val="24"/>
        </w:rPr>
        <w:t xml:space="preserve"> mēnesī.</w:t>
      </w:r>
    </w:p>
    <w:p w:rsidR="00DA42C2" w:rsidRDefault="00DA42C2" w:rsidP="00DA42C2">
      <w:pPr>
        <w:tabs>
          <w:tab w:val="left" w:pos="709"/>
        </w:tabs>
        <w:spacing w:after="0" w:line="240" w:lineRule="auto"/>
        <w:jc w:val="both"/>
        <w:rPr>
          <w:rFonts w:ascii="Times New Roman" w:eastAsia="Calibri" w:hAnsi="Times New Roman" w:cs="Times New Roman"/>
          <w:sz w:val="24"/>
        </w:rPr>
      </w:pPr>
      <w:r w:rsidRPr="00DA42C2">
        <w:rPr>
          <w:rFonts w:ascii="Times New Roman" w:eastAsia="Calibri" w:hAnsi="Times New Roman" w:cs="Times New Roman"/>
          <w:sz w:val="24"/>
        </w:rPr>
        <w:tab/>
      </w:r>
    </w:p>
    <w:p w:rsidR="00B9378F" w:rsidRDefault="00B9378F" w:rsidP="00DA42C2">
      <w:pPr>
        <w:tabs>
          <w:tab w:val="left" w:pos="709"/>
        </w:tabs>
        <w:spacing w:after="0" w:line="240" w:lineRule="auto"/>
        <w:jc w:val="both"/>
        <w:rPr>
          <w:rFonts w:ascii="Times New Roman" w:eastAsia="Calibri" w:hAnsi="Times New Roman" w:cs="Times New Roman"/>
          <w:sz w:val="24"/>
        </w:rPr>
      </w:pPr>
    </w:p>
    <w:p w:rsidR="00B9378F" w:rsidRDefault="00B9378F" w:rsidP="00DA42C2">
      <w:pPr>
        <w:tabs>
          <w:tab w:val="left" w:pos="709"/>
        </w:tabs>
        <w:spacing w:after="0" w:line="240" w:lineRule="auto"/>
        <w:jc w:val="both"/>
        <w:rPr>
          <w:rFonts w:ascii="Times New Roman" w:eastAsia="Calibri" w:hAnsi="Times New Roman" w:cs="Times New Roman"/>
          <w:sz w:val="24"/>
        </w:rPr>
      </w:pPr>
    </w:p>
    <w:p w:rsidR="00B9378F" w:rsidRDefault="00B9378F" w:rsidP="00DA42C2">
      <w:pPr>
        <w:tabs>
          <w:tab w:val="left" w:pos="709"/>
        </w:tabs>
        <w:spacing w:after="0" w:line="240" w:lineRule="auto"/>
        <w:jc w:val="both"/>
        <w:rPr>
          <w:rFonts w:ascii="Times New Roman" w:eastAsia="Calibri" w:hAnsi="Times New Roman" w:cs="Times New Roman"/>
          <w:sz w:val="24"/>
        </w:rPr>
      </w:pPr>
    </w:p>
    <w:p w:rsidR="00B9378F" w:rsidRDefault="00B9378F" w:rsidP="00DA42C2">
      <w:pPr>
        <w:tabs>
          <w:tab w:val="left" w:pos="709"/>
        </w:tabs>
        <w:spacing w:after="0" w:line="240" w:lineRule="auto"/>
        <w:jc w:val="both"/>
        <w:rPr>
          <w:rFonts w:ascii="Times New Roman" w:eastAsia="Calibri" w:hAnsi="Times New Roman" w:cs="Times New Roman"/>
          <w:sz w:val="24"/>
        </w:rPr>
      </w:pPr>
    </w:p>
    <w:p w:rsidR="00B9378F" w:rsidRPr="00DA42C2" w:rsidRDefault="00B9378F" w:rsidP="00DA42C2">
      <w:pPr>
        <w:tabs>
          <w:tab w:val="left" w:pos="709"/>
        </w:tabs>
        <w:spacing w:after="0" w:line="240" w:lineRule="auto"/>
        <w:jc w:val="both"/>
        <w:rPr>
          <w:rFonts w:ascii="Times New Roman" w:eastAsia="Times New Roman" w:hAnsi="Times New Roman" w:cs="Times New Roman"/>
          <w:sz w:val="24"/>
          <w:szCs w:val="20"/>
          <w:lang w:val="x-none" w:eastAsia="x-none"/>
        </w:rPr>
      </w:pPr>
    </w:p>
    <w:p w:rsidR="00DA42C2" w:rsidRPr="00DA42C2" w:rsidRDefault="00DA42C2" w:rsidP="00452BCF">
      <w:pPr>
        <w:pStyle w:val="Heading3"/>
        <w:numPr>
          <w:ilvl w:val="2"/>
          <w:numId w:val="19"/>
        </w:numPr>
        <w:ind w:left="1418"/>
        <w:rPr>
          <w:rFonts w:ascii="Times New Roman" w:eastAsia="Times New Roman" w:hAnsi="Times New Roman" w:cs="Times New Roman"/>
          <w:sz w:val="24"/>
          <w:szCs w:val="24"/>
        </w:rPr>
      </w:pPr>
      <w:bookmarkStart w:id="76" w:name="_Toc5627384"/>
      <w:bookmarkStart w:id="77" w:name="_Toc5798639"/>
      <w:r w:rsidRPr="00DA42C2">
        <w:rPr>
          <w:rFonts w:ascii="Times New Roman" w:eastAsia="Times New Roman" w:hAnsi="Times New Roman" w:cs="Times New Roman"/>
          <w:sz w:val="24"/>
          <w:szCs w:val="24"/>
        </w:rPr>
        <w:lastRenderedPageBreak/>
        <w:t>2019.gada budžeta pakā virzītie pasākumi</w:t>
      </w:r>
      <w:bookmarkEnd w:id="76"/>
      <w:bookmarkEnd w:id="77"/>
    </w:p>
    <w:p w:rsidR="00DA42C2" w:rsidRPr="00DA42C2" w:rsidRDefault="00DA42C2" w:rsidP="00DA42C2">
      <w:pPr>
        <w:spacing w:after="0" w:line="240" w:lineRule="auto"/>
        <w:ind w:firstLine="567"/>
        <w:jc w:val="both"/>
        <w:rPr>
          <w:rFonts w:ascii="Times New Roman" w:eastAsia="Calibri" w:hAnsi="Times New Roman" w:cs="Times New Roman"/>
          <w:sz w:val="24"/>
        </w:rPr>
      </w:pPr>
    </w:p>
    <w:p w:rsidR="00DA42C2" w:rsidRPr="00DA42C2" w:rsidRDefault="00DA42C2" w:rsidP="00DA42C2">
      <w:pPr>
        <w:spacing w:after="0" w:line="240" w:lineRule="auto"/>
        <w:ind w:firstLine="567"/>
        <w:jc w:val="right"/>
        <w:rPr>
          <w:rFonts w:ascii="Times New Roman" w:eastAsia="Calibri" w:hAnsi="Times New Roman" w:cs="Times New Roman"/>
          <w:sz w:val="24"/>
        </w:rPr>
      </w:pPr>
      <w:r w:rsidRPr="00DA42C2">
        <w:rPr>
          <w:rFonts w:ascii="Times New Roman" w:eastAsia="Times New Roman" w:hAnsi="Times New Roman" w:cs="Times New Roman"/>
          <w:b/>
          <w:sz w:val="24"/>
          <w:szCs w:val="20"/>
        </w:rPr>
        <w:t>5.</w:t>
      </w:r>
      <w:r w:rsidR="00452BCF">
        <w:rPr>
          <w:rFonts w:ascii="Times New Roman" w:eastAsia="Times New Roman" w:hAnsi="Times New Roman" w:cs="Times New Roman"/>
          <w:b/>
          <w:sz w:val="24"/>
          <w:szCs w:val="20"/>
        </w:rPr>
        <w:t>9.</w:t>
      </w:r>
      <w:r w:rsidRPr="00DA42C2">
        <w:rPr>
          <w:rFonts w:ascii="Times New Roman" w:eastAsia="Times New Roman" w:hAnsi="Times New Roman" w:cs="Times New Roman"/>
          <w:b/>
          <w:sz w:val="24"/>
          <w:szCs w:val="20"/>
        </w:rPr>
        <w:t>tabula. Nodokļu politikas izmaiņu ietekme</w:t>
      </w:r>
      <w:r w:rsidRPr="00DA42C2">
        <w:rPr>
          <w:rFonts w:ascii="Times New Roman" w:eastAsia="Calibri" w:hAnsi="Times New Roman" w:cs="Times New Roman"/>
          <w:b/>
          <w:sz w:val="24"/>
        </w:rPr>
        <w:t xml:space="preserve"> no pasākumiem, kas tika pieņemti, izstrādājot 2019.gada budžetu, milj. </w:t>
      </w:r>
      <w:proofErr w:type="spellStart"/>
      <w:r w:rsidRPr="00DA42C2">
        <w:rPr>
          <w:rFonts w:ascii="Times New Roman" w:eastAsia="Calibri" w:hAnsi="Times New Roman" w:cs="Times New Roman"/>
          <w:b/>
          <w:i/>
          <w:sz w:val="24"/>
        </w:rPr>
        <w:t>euro</w:t>
      </w:r>
      <w:proofErr w:type="spellEnd"/>
    </w:p>
    <w:tbl>
      <w:tblPr>
        <w:tblStyle w:val="GridTable6Colorful-Accent1"/>
        <w:tblW w:w="9143" w:type="dxa"/>
        <w:jc w:val="center"/>
        <w:tblLook w:val="04A0" w:firstRow="1" w:lastRow="0" w:firstColumn="1" w:lastColumn="0" w:noHBand="0" w:noVBand="1"/>
      </w:tblPr>
      <w:tblGrid>
        <w:gridCol w:w="6019"/>
        <w:gridCol w:w="850"/>
        <w:gridCol w:w="851"/>
        <w:gridCol w:w="708"/>
        <w:gridCol w:w="715"/>
      </w:tblGrid>
      <w:tr w:rsidR="00DA42C2" w:rsidRPr="00DA42C2" w:rsidTr="00DA42C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019" w:type="dxa"/>
            <w:hideMark/>
          </w:tcPr>
          <w:p w:rsidR="00DA42C2" w:rsidRPr="00DA42C2" w:rsidRDefault="00DA42C2" w:rsidP="00DA42C2">
            <w:pPr>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c>
          <w:tcPr>
            <w:tcW w:w="850"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2019</w:t>
            </w:r>
          </w:p>
        </w:tc>
        <w:tc>
          <w:tcPr>
            <w:tcW w:w="851"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2020</w:t>
            </w:r>
          </w:p>
        </w:tc>
        <w:tc>
          <w:tcPr>
            <w:tcW w:w="708"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2021</w:t>
            </w:r>
          </w:p>
        </w:tc>
        <w:tc>
          <w:tcPr>
            <w:tcW w:w="715" w:type="dxa"/>
            <w:hideMark/>
          </w:tcPr>
          <w:p w:rsidR="00DA42C2" w:rsidRPr="00DA42C2" w:rsidRDefault="00DA42C2" w:rsidP="00DA42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2022</w:t>
            </w: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019" w:type="dxa"/>
            <w:hideMark/>
          </w:tcPr>
          <w:p w:rsidR="00DA42C2" w:rsidRPr="00DA42C2" w:rsidRDefault="00DA42C2" w:rsidP="00452BCF">
            <w:pPr>
              <w:jc w:val="both"/>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Ēnu ekonomikas mazināšanas un administrēšanas uzlabošanas pasākumi*</w:t>
            </w:r>
          </w:p>
        </w:tc>
        <w:tc>
          <w:tcPr>
            <w:tcW w:w="850"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7,5</w:t>
            </w:r>
          </w:p>
        </w:tc>
        <w:tc>
          <w:tcPr>
            <w:tcW w:w="851"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0,3</w:t>
            </w:r>
          </w:p>
        </w:tc>
        <w:tc>
          <w:tcPr>
            <w:tcW w:w="708" w:type="dxa"/>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c>
          <w:tcPr>
            <w:tcW w:w="715" w:type="dxa"/>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r>
      <w:tr w:rsidR="00DA42C2" w:rsidRPr="00DA42C2" w:rsidTr="00DA42C2">
        <w:trPr>
          <w:trHeight w:val="568"/>
          <w:jc w:val="center"/>
        </w:trPr>
        <w:tc>
          <w:tcPr>
            <w:cnfStyle w:val="001000000000" w:firstRow="0" w:lastRow="0" w:firstColumn="1" w:lastColumn="0" w:oddVBand="0" w:evenVBand="0" w:oddHBand="0" w:evenHBand="0" w:firstRowFirstColumn="0" w:firstRowLastColumn="0" w:lastRowFirstColumn="0" w:lastRowLastColumn="0"/>
            <w:tcW w:w="6019" w:type="dxa"/>
            <w:hideMark/>
          </w:tcPr>
          <w:p w:rsidR="00DA42C2" w:rsidRPr="00DA42C2" w:rsidRDefault="00DA42C2" w:rsidP="00452BCF">
            <w:pPr>
              <w:jc w:val="both"/>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2019.gadā samazināti valsts pamatbudžeta ieņēmumi valsts budžetā no valsts nodevas par naftas produktu drošības rezervju uzturēšanu</w:t>
            </w: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-4,2</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4,2</w:t>
            </w:r>
          </w:p>
        </w:tc>
        <w:tc>
          <w:tcPr>
            <w:tcW w:w="708" w:type="dxa"/>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c>
          <w:tcPr>
            <w:tcW w:w="715" w:type="dxa"/>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019" w:type="dxa"/>
            <w:hideMark/>
          </w:tcPr>
          <w:p w:rsidR="00DA42C2" w:rsidRPr="00DA42C2" w:rsidRDefault="00DA42C2" w:rsidP="00452BCF">
            <w:pPr>
              <w:jc w:val="both"/>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“Latvijas valsts meži” dividendēs izmaksājamās peļņas daļas par 2018.gadu palielināšana</w:t>
            </w:r>
          </w:p>
        </w:tc>
        <w:tc>
          <w:tcPr>
            <w:tcW w:w="850"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45,0</w:t>
            </w:r>
          </w:p>
        </w:tc>
        <w:tc>
          <w:tcPr>
            <w:tcW w:w="851" w:type="dxa"/>
            <w:vAlign w:val="center"/>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-45,0</w:t>
            </w:r>
          </w:p>
        </w:tc>
        <w:tc>
          <w:tcPr>
            <w:tcW w:w="708" w:type="dxa"/>
            <w:hideMark/>
          </w:tcPr>
          <w:p w:rsidR="00DA42C2" w:rsidRPr="00DA42C2" w:rsidRDefault="00DA42C2" w:rsidP="00DA42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18"/>
                <w:lang w:eastAsia="lv-LV"/>
              </w:rPr>
            </w:pPr>
            <w:r w:rsidRPr="00DA42C2">
              <w:rPr>
                <w:rFonts w:ascii="Times New Roman" w:eastAsia="Times New Roman" w:hAnsi="Times New Roman" w:cs="Times New Roman"/>
                <w:b/>
                <w:bCs/>
                <w:color w:val="000000" w:themeColor="text1"/>
                <w:sz w:val="20"/>
                <w:szCs w:val="18"/>
                <w:lang w:eastAsia="lv-LV"/>
              </w:rPr>
              <w:t> </w:t>
            </w:r>
          </w:p>
        </w:tc>
        <w:tc>
          <w:tcPr>
            <w:tcW w:w="715" w:type="dxa"/>
            <w:hideMark/>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r>
      <w:tr w:rsidR="00DA42C2" w:rsidRPr="00DA42C2" w:rsidTr="00DA42C2">
        <w:trPr>
          <w:trHeight w:val="796"/>
          <w:jc w:val="center"/>
        </w:trPr>
        <w:tc>
          <w:tcPr>
            <w:cnfStyle w:val="001000000000" w:firstRow="0" w:lastRow="0" w:firstColumn="1" w:lastColumn="0" w:oddVBand="0" w:evenVBand="0" w:oddHBand="0" w:evenHBand="0" w:firstRowFirstColumn="0" w:firstRowLastColumn="0" w:lastRowFirstColumn="0" w:lastRowLastColumn="0"/>
            <w:tcW w:w="6019" w:type="dxa"/>
            <w:hideMark/>
          </w:tcPr>
          <w:p w:rsidR="00DA42C2" w:rsidRPr="00DA42C2" w:rsidRDefault="00DA42C2" w:rsidP="00452BCF">
            <w:pPr>
              <w:jc w:val="both"/>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Ieņēmumi no dabas resursu nodokļa no transportlīdzekļu norakstīšanas legalizēšanas, atbrīvojumu atcelšanas plastmasas un kompozīta materiāliem un papildus kontroles pasākumu veikšanas smilts-grants ieguves jomā</w:t>
            </w:r>
          </w:p>
        </w:tc>
        <w:tc>
          <w:tcPr>
            <w:tcW w:w="850"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1,0</w:t>
            </w:r>
          </w:p>
        </w:tc>
        <w:tc>
          <w:tcPr>
            <w:tcW w:w="851" w:type="dxa"/>
            <w:vAlign w:val="center"/>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p>
        </w:tc>
        <w:tc>
          <w:tcPr>
            <w:tcW w:w="708" w:type="dxa"/>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c>
          <w:tcPr>
            <w:tcW w:w="715" w:type="dxa"/>
            <w:hideMark/>
          </w:tcPr>
          <w:p w:rsidR="00DA42C2" w:rsidRPr="00DA42C2" w:rsidRDefault="00DA42C2" w:rsidP="00DA42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 </w:t>
            </w:r>
          </w:p>
        </w:tc>
      </w:tr>
      <w:tr w:rsidR="00DA42C2" w:rsidRPr="00DA42C2" w:rsidTr="00DA42C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019" w:type="dxa"/>
          </w:tcPr>
          <w:p w:rsidR="00DA42C2" w:rsidRPr="00DA42C2" w:rsidRDefault="00DA42C2" w:rsidP="00452BCF">
            <w:pPr>
              <w:jc w:val="right"/>
              <w:rPr>
                <w:rFonts w:ascii="Calibri" w:eastAsia="Times New Roman" w:hAnsi="Calibri" w:cs="Times New Roman"/>
                <w:color w:val="000000" w:themeColor="text1"/>
                <w:sz w:val="20"/>
                <w:szCs w:val="18"/>
                <w:lang w:eastAsia="lv-LV"/>
              </w:rPr>
            </w:pPr>
            <w:r w:rsidRPr="00DA42C2">
              <w:rPr>
                <w:rFonts w:ascii="Times New Roman" w:eastAsia="Times New Roman" w:hAnsi="Times New Roman" w:cs="Times New Roman"/>
                <w:color w:val="000000" w:themeColor="text1"/>
                <w:sz w:val="20"/>
                <w:szCs w:val="18"/>
                <w:lang w:eastAsia="lv-LV"/>
              </w:rPr>
              <w:t>Izmaiņu ietekme kopā:</w:t>
            </w:r>
          </w:p>
        </w:tc>
        <w:tc>
          <w:tcPr>
            <w:tcW w:w="850"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18"/>
                <w:lang w:eastAsia="lv-LV"/>
              </w:rPr>
            </w:pPr>
            <w:r w:rsidRPr="00DA42C2">
              <w:rPr>
                <w:rFonts w:ascii="Times New Roman" w:eastAsia="Times New Roman" w:hAnsi="Times New Roman" w:cs="Times New Roman"/>
                <w:b/>
                <w:color w:val="000000" w:themeColor="text1"/>
                <w:sz w:val="20"/>
                <w:szCs w:val="18"/>
                <w:lang w:eastAsia="lv-LV"/>
              </w:rPr>
              <w:t>49,4</w:t>
            </w:r>
          </w:p>
        </w:tc>
        <w:tc>
          <w:tcPr>
            <w:tcW w:w="851" w:type="dxa"/>
            <w:vAlign w:val="center"/>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18"/>
                <w:lang w:eastAsia="lv-LV"/>
              </w:rPr>
            </w:pPr>
            <w:r w:rsidRPr="00DA42C2">
              <w:rPr>
                <w:rFonts w:ascii="Times New Roman" w:eastAsia="Times New Roman" w:hAnsi="Times New Roman" w:cs="Times New Roman"/>
                <w:b/>
                <w:color w:val="000000" w:themeColor="text1"/>
                <w:sz w:val="20"/>
                <w:szCs w:val="18"/>
                <w:lang w:eastAsia="lv-LV"/>
              </w:rPr>
              <w:t>-40,6</w:t>
            </w:r>
          </w:p>
        </w:tc>
        <w:tc>
          <w:tcPr>
            <w:tcW w:w="708" w:type="dxa"/>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20"/>
                <w:szCs w:val="18"/>
                <w:lang w:eastAsia="lv-LV"/>
              </w:rPr>
            </w:pPr>
          </w:p>
        </w:tc>
        <w:tc>
          <w:tcPr>
            <w:tcW w:w="715" w:type="dxa"/>
          </w:tcPr>
          <w:p w:rsidR="00DA42C2" w:rsidRPr="00DA42C2" w:rsidRDefault="00DA42C2" w:rsidP="00DA42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20"/>
                <w:szCs w:val="18"/>
                <w:lang w:eastAsia="lv-LV"/>
              </w:rPr>
            </w:pPr>
          </w:p>
        </w:tc>
      </w:tr>
    </w:tbl>
    <w:p w:rsidR="00DA42C2" w:rsidRPr="00DA42C2" w:rsidRDefault="00DA42C2" w:rsidP="00DA42C2">
      <w:pPr>
        <w:spacing w:after="0" w:line="240" w:lineRule="auto"/>
        <w:ind w:firstLine="567"/>
        <w:jc w:val="both"/>
        <w:rPr>
          <w:rFonts w:ascii="Times New Roman" w:eastAsia="Calibri" w:hAnsi="Times New Roman" w:cs="Times New Roman"/>
          <w:i/>
          <w:sz w:val="20"/>
          <w:szCs w:val="20"/>
        </w:rPr>
      </w:pPr>
      <w:r w:rsidRPr="00DA42C2">
        <w:rPr>
          <w:rFonts w:ascii="Times New Roman" w:eastAsia="Calibri" w:hAnsi="Times New Roman" w:cs="Times New Roman"/>
          <w:i/>
          <w:sz w:val="20"/>
          <w:szCs w:val="20"/>
        </w:rPr>
        <w:t>*No likumprojekta "Par nodokļiem un nodevām" tika izslēgta norma par skaidras naudas ierobežojumiem attiecībā uz darījuma summas samazināšanu</w:t>
      </w:r>
    </w:p>
    <w:p w:rsidR="00DA42C2" w:rsidRPr="00DA42C2" w:rsidRDefault="00DA42C2" w:rsidP="00DA42C2">
      <w:pPr>
        <w:spacing w:after="0" w:line="240" w:lineRule="auto"/>
        <w:ind w:firstLine="567"/>
        <w:jc w:val="both"/>
        <w:rPr>
          <w:rFonts w:ascii="Times New Roman" w:eastAsia="Calibri" w:hAnsi="Times New Roman" w:cs="Times New Roman"/>
          <w:sz w:val="24"/>
        </w:rPr>
      </w:pPr>
    </w:p>
    <w:p w:rsidR="00DA42C2" w:rsidRPr="00DA42C2" w:rsidRDefault="00DA42C2" w:rsidP="004B1C2A">
      <w:pPr>
        <w:spacing w:after="0" w:line="240" w:lineRule="auto"/>
        <w:ind w:firstLine="720"/>
        <w:jc w:val="both"/>
        <w:rPr>
          <w:rFonts w:ascii="Times New Roman" w:eastAsia="Calibri" w:hAnsi="Times New Roman" w:cs="Times New Roman"/>
          <w:sz w:val="24"/>
        </w:rPr>
      </w:pPr>
      <w:r w:rsidRPr="00DA42C2">
        <w:rPr>
          <w:rFonts w:ascii="Times New Roman" w:eastAsia="Calibri" w:hAnsi="Times New Roman" w:cs="Times New Roman"/>
          <w:sz w:val="24"/>
        </w:rPr>
        <w:t>2019.gadā tiek plānots ieviest jaunus ēnu ekonomikas apkarošanas pasākumus, kas ietverti informatīvajā ziņojumā "Par makroekonomisko rādītāju, ieņēmumu un vispārējās valdības budžeta bilances prognozēm 2019.</w:t>
      </w:r>
      <w:r w:rsidR="006D1A8A" w:rsidRPr="00DA42C2">
        <w:rPr>
          <w:rFonts w:ascii="Times New Roman" w:eastAsia="Calibri" w:hAnsi="Times New Roman" w:cs="Times New Roman"/>
          <w:sz w:val="24"/>
        </w:rPr>
        <w:t xml:space="preserve"> – </w:t>
      </w:r>
      <w:r w:rsidRPr="00DA42C2">
        <w:rPr>
          <w:rFonts w:ascii="Times New Roman" w:eastAsia="Calibri" w:hAnsi="Times New Roman" w:cs="Times New Roman"/>
          <w:sz w:val="24"/>
        </w:rPr>
        <w:t xml:space="preserve">2021.gadā", kas tika izskatīts 2019.gada 5.februāra </w:t>
      </w:r>
      <w:r w:rsidR="00351DF7" w:rsidRPr="006C5ABE">
        <w:rPr>
          <w:rFonts w:ascii="Times New Roman" w:eastAsia="Calibri" w:hAnsi="Times New Roman" w:cs="Times New Roman"/>
          <w:color w:val="000000"/>
          <w:sz w:val="24"/>
          <w:szCs w:val="24"/>
        </w:rPr>
        <w:t>M</w:t>
      </w:r>
      <w:r w:rsidR="00351DF7">
        <w:rPr>
          <w:rFonts w:ascii="Times New Roman" w:eastAsia="Calibri" w:hAnsi="Times New Roman" w:cs="Times New Roman"/>
          <w:color w:val="000000"/>
          <w:sz w:val="24"/>
          <w:szCs w:val="24"/>
        </w:rPr>
        <w:t>K</w:t>
      </w:r>
      <w:r w:rsidR="00351DF7" w:rsidRPr="00DA42C2">
        <w:rPr>
          <w:rFonts w:ascii="Times New Roman" w:eastAsia="Calibri" w:hAnsi="Times New Roman" w:cs="Times New Roman"/>
          <w:sz w:val="24"/>
        </w:rPr>
        <w:t xml:space="preserve"> </w:t>
      </w:r>
      <w:r w:rsidRPr="00DA42C2">
        <w:rPr>
          <w:rFonts w:ascii="Times New Roman" w:eastAsia="Calibri" w:hAnsi="Times New Roman" w:cs="Times New Roman"/>
          <w:sz w:val="24"/>
        </w:rPr>
        <w:t>sēdē:</w:t>
      </w:r>
    </w:p>
    <w:p w:rsidR="00DA42C2" w:rsidRPr="00DA42C2" w:rsidRDefault="00DA42C2" w:rsidP="00DA42C2">
      <w:pPr>
        <w:pStyle w:val="ListParagraph"/>
        <w:numPr>
          <w:ilvl w:val="2"/>
          <w:numId w:val="30"/>
        </w:numPr>
        <w:spacing w:after="0" w:line="240" w:lineRule="auto"/>
        <w:ind w:left="993"/>
        <w:jc w:val="both"/>
        <w:rPr>
          <w:rFonts w:ascii="Times New Roman" w:eastAsia="Calibri" w:hAnsi="Times New Roman" w:cs="Times New Roman"/>
          <w:sz w:val="24"/>
        </w:rPr>
      </w:pPr>
      <w:r w:rsidRPr="00DA42C2">
        <w:rPr>
          <w:rFonts w:ascii="Times New Roman" w:eastAsia="Calibri" w:hAnsi="Times New Roman" w:cs="Times New Roman"/>
          <w:sz w:val="24"/>
        </w:rPr>
        <w:t>skaidras naudas lietošanas lieguma sliekšņa mazināšana</w:t>
      </w:r>
      <w:r w:rsidRPr="00DA42C2">
        <w:rPr>
          <w:rFonts w:eastAsia="Calibri"/>
          <w:vertAlign w:val="superscript"/>
        </w:rPr>
        <w:footnoteReference w:id="31"/>
      </w:r>
      <w:r w:rsidRPr="00DA42C2">
        <w:rPr>
          <w:rFonts w:ascii="Times New Roman" w:eastAsia="Calibri" w:hAnsi="Times New Roman" w:cs="Times New Roman"/>
          <w:sz w:val="24"/>
        </w:rPr>
        <w:t>;</w:t>
      </w:r>
    </w:p>
    <w:p w:rsidR="00DA42C2" w:rsidRPr="00DA42C2" w:rsidRDefault="00DA42C2" w:rsidP="00DA42C2">
      <w:pPr>
        <w:pStyle w:val="ListParagraph"/>
        <w:numPr>
          <w:ilvl w:val="2"/>
          <w:numId w:val="30"/>
        </w:numPr>
        <w:spacing w:after="0" w:line="240" w:lineRule="auto"/>
        <w:ind w:left="993"/>
        <w:jc w:val="both"/>
        <w:rPr>
          <w:rFonts w:ascii="Times New Roman" w:eastAsia="Calibri" w:hAnsi="Times New Roman" w:cs="Times New Roman"/>
          <w:sz w:val="24"/>
        </w:rPr>
      </w:pPr>
      <w:r w:rsidRPr="00DA42C2">
        <w:rPr>
          <w:rFonts w:ascii="Times New Roman" w:eastAsia="Calibri" w:hAnsi="Times New Roman" w:cs="Times New Roman"/>
          <w:sz w:val="24"/>
        </w:rPr>
        <w:t>ziņošana par aizdomīgiem darījumiem;</w:t>
      </w:r>
    </w:p>
    <w:p w:rsidR="00DA42C2" w:rsidRPr="00DA42C2" w:rsidRDefault="00DA42C2" w:rsidP="00DA42C2">
      <w:pPr>
        <w:pStyle w:val="ListParagraph"/>
        <w:numPr>
          <w:ilvl w:val="2"/>
          <w:numId w:val="30"/>
        </w:numPr>
        <w:spacing w:after="0" w:line="240" w:lineRule="auto"/>
        <w:ind w:left="993"/>
        <w:jc w:val="both"/>
        <w:rPr>
          <w:rFonts w:ascii="Times New Roman" w:eastAsia="Calibri" w:hAnsi="Times New Roman" w:cs="Times New Roman"/>
          <w:sz w:val="24"/>
        </w:rPr>
      </w:pPr>
      <w:r w:rsidRPr="00DA42C2">
        <w:rPr>
          <w:rFonts w:ascii="Times New Roman" w:eastAsia="Calibri" w:hAnsi="Times New Roman" w:cs="Times New Roman"/>
          <w:sz w:val="24"/>
        </w:rPr>
        <w:t>nelicencētā azartspēļu un izložu tirgus samazināšana;</w:t>
      </w:r>
    </w:p>
    <w:p w:rsidR="00DA42C2" w:rsidRPr="00DA42C2" w:rsidRDefault="00DA42C2" w:rsidP="00DA42C2">
      <w:pPr>
        <w:pStyle w:val="ListParagraph"/>
        <w:numPr>
          <w:ilvl w:val="2"/>
          <w:numId w:val="30"/>
        </w:numPr>
        <w:spacing w:after="0" w:line="240" w:lineRule="auto"/>
        <w:ind w:left="993"/>
        <w:jc w:val="both"/>
        <w:rPr>
          <w:rFonts w:ascii="Times New Roman" w:eastAsia="Calibri" w:hAnsi="Times New Roman" w:cs="Times New Roman"/>
          <w:sz w:val="24"/>
        </w:rPr>
      </w:pPr>
      <w:r w:rsidRPr="00DA42C2">
        <w:rPr>
          <w:rFonts w:ascii="Times New Roman" w:eastAsia="Calibri" w:hAnsi="Times New Roman" w:cs="Times New Roman"/>
          <w:sz w:val="24"/>
        </w:rPr>
        <w:t>Lauku atbalsta dienesta elektroniskās pieteikšanās sistēmas efektīva izmantošana naftas produktu aprites uzraudzības un kontroles veikšanā;</w:t>
      </w:r>
    </w:p>
    <w:p w:rsidR="00DA42C2" w:rsidRPr="00DA42C2" w:rsidRDefault="00DA42C2" w:rsidP="00DA42C2">
      <w:pPr>
        <w:pStyle w:val="ListParagraph"/>
        <w:numPr>
          <w:ilvl w:val="2"/>
          <w:numId w:val="30"/>
        </w:numPr>
        <w:spacing w:after="0" w:line="240" w:lineRule="auto"/>
        <w:ind w:left="993"/>
        <w:jc w:val="both"/>
        <w:rPr>
          <w:rFonts w:ascii="Times New Roman" w:eastAsia="Calibri" w:hAnsi="Times New Roman" w:cs="Times New Roman"/>
          <w:sz w:val="24"/>
        </w:rPr>
      </w:pPr>
      <w:r w:rsidRPr="00DA42C2">
        <w:rPr>
          <w:rFonts w:ascii="Times New Roman" w:eastAsia="Calibri" w:hAnsi="Times New Roman" w:cs="Times New Roman"/>
          <w:sz w:val="24"/>
        </w:rPr>
        <w:t>taksometru pakalpojumu nozares darbības sakārtošana;</w:t>
      </w:r>
    </w:p>
    <w:p w:rsidR="00DA42C2" w:rsidRPr="00DA42C2" w:rsidRDefault="00DA42C2" w:rsidP="00DA42C2">
      <w:pPr>
        <w:pStyle w:val="ListParagraph"/>
        <w:numPr>
          <w:ilvl w:val="2"/>
          <w:numId w:val="30"/>
        </w:numPr>
        <w:spacing w:after="0" w:line="240" w:lineRule="auto"/>
        <w:ind w:left="993"/>
        <w:jc w:val="both"/>
        <w:rPr>
          <w:rFonts w:ascii="Times New Roman" w:eastAsia="Calibri" w:hAnsi="Times New Roman" w:cs="Times New Roman"/>
          <w:sz w:val="24"/>
        </w:rPr>
      </w:pPr>
      <w:r w:rsidRPr="00DA42C2">
        <w:rPr>
          <w:rFonts w:ascii="Times New Roman" w:eastAsia="Calibri" w:hAnsi="Times New Roman" w:cs="Times New Roman"/>
          <w:sz w:val="24"/>
        </w:rPr>
        <w:t>elektroniskā darba laika uzskaite būvniecībā.</w:t>
      </w:r>
    </w:p>
    <w:p w:rsidR="00DA42C2" w:rsidRPr="00DA42C2" w:rsidRDefault="00DA42C2" w:rsidP="00DA42C2">
      <w:pPr>
        <w:spacing w:after="120" w:line="240" w:lineRule="auto"/>
        <w:ind w:firstLine="720"/>
        <w:jc w:val="both"/>
        <w:rPr>
          <w:rFonts w:ascii="Times New Roman" w:eastAsia="Calibri" w:hAnsi="Times New Roman" w:cs="Times New Roman"/>
          <w:sz w:val="24"/>
          <w:szCs w:val="24"/>
        </w:rPr>
      </w:pPr>
    </w:p>
    <w:p w:rsidR="00DA42C2" w:rsidRPr="00DA42C2" w:rsidRDefault="00DA42C2" w:rsidP="00DA42C2">
      <w:pPr>
        <w:spacing w:after="0" w:line="240" w:lineRule="auto"/>
        <w:ind w:firstLine="720"/>
        <w:jc w:val="both"/>
        <w:rPr>
          <w:rFonts w:ascii="Times New Roman" w:eastAsia="Calibri" w:hAnsi="Times New Roman" w:cs="Times New Roman"/>
          <w:sz w:val="24"/>
          <w:szCs w:val="24"/>
        </w:rPr>
      </w:pPr>
      <w:r w:rsidRPr="00DA42C2">
        <w:rPr>
          <w:rFonts w:ascii="Times New Roman" w:eastAsia="Calibri" w:hAnsi="Times New Roman" w:cs="Times New Roman"/>
          <w:sz w:val="24"/>
          <w:szCs w:val="24"/>
        </w:rPr>
        <w:t>2019.gadā tiks turpināti pasākumi uzņēmējdarbības vides sakārtošanai un ēnu ekonomikas mazināšanai sabiedriskās ēdināšanas un viesmīlības jomā, pasažieru pārvadājumu jomā, kā arī apsardzes pakalpojumu jomā. Lai kopīgi cīnītos ar izvairīšanos no nodokļu nomaksas un “</w:t>
      </w:r>
      <w:r w:rsidRPr="00DA42C2">
        <w:rPr>
          <w:rFonts w:ascii="Times New Roman" w:eastAsia="Calibri" w:hAnsi="Times New Roman" w:cs="Times New Roman"/>
          <w:i/>
          <w:sz w:val="24"/>
          <w:szCs w:val="24"/>
        </w:rPr>
        <w:t>aplokšņu algām</w:t>
      </w:r>
      <w:r w:rsidRPr="00DA42C2">
        <w:rPr>
          <w:rFonts w:ascii="Times New Roman" w:eastAsia="Calibri" w:hAnsi="Times New Roman" w:cs="Times New Roman"/>
          <w:sz w:val="24"/>
          <w:szCs w:val="24"/>
        </w:rPr>
        <w:t>”, veicinātu godīgas konkurences apstākļus, kā arī ieinteresētu pašus komersantus izrādīt iniciatīvu un izpratni sakārtot savas nozares nodokļu saistību izpildes jautājumus, F</w:t>
      </w:r>
      <w:r w:rsidR="00AF71D1">
        <w:rPr>
          <w:rFonts w:ascii="Times New Roman" w:eastAsia="Calibri" w:hAnsi="Times New Roman" w:cs="Times New Roman"/>
          <w:sz w:val="24"/>
          <w:szCs w:val="24"/>
        </w:rPr>
        <w:t xml:space="preserve">M </w:t>
      </w:r>
      <w:r w:rsidRPr="00DA42C2">
        <w:rPr>
          <w:rFonts w:ascii="Times New Roman" w:eastAsia="Calibri" w:hAnsi="Times New Roman" w:cs="Times New Roman"/>
          <w:sz w:val="24"/>
          <w:szCs w:val="24"/>
        </w:rPr>
        <w:t xml:space="preserve">un Valsts ieņēmumu dienest aktīvi sadarbojas arī ar nozaru asociācijām. </w:t>
      </w:r>
    </w:p>
    <w:p w:rsidR="00DA42C2" w:rsidRPr="00DA42C2" w:rsidRDefault="00DA42C2" w:rsidP="004B1C2A">
      <w:pPr>
        <w:spacing w:after="0" w:line="240" w:lineRule="auto"/>
        <w:ind w:firstLine="720"/>
        <w:jc w:val="both"/>
        <w:rPr>
          <w:rFonts w:ascii="Times New Roman" w:eastAsia="Calibri" w:hAnsi="Times New Roman" w:cs="Times New Roman"/>
          <w:sz w:val="24"/>
        </w:rPr>
      </w:pPr>
      <w:r w:rsidRPr="00DA42C2">
        <w:rPr>
          <w:rFonts w:ascii="Times New Roman" w:eastAsia="Calibri" w:hAnsi="Times New Roman" w:cs="Times New Roman"/>
          <w:sz w:val="24"/>
        </w:rPr>
        <w:t xml:space="preserve">Saskaņā ar </w:t>
      </w:r>
      <w:r w:rsidR="00351DF7" w:rsidRPr="006C5ABE">
        <w:rPr>
          <w:rFonts w:ascii="Times New Roman" w:eastAsia="Calibri" w:hAnsi="Times New Roman" w:cs="Times New Roman"/>
          <w:color w:val="000000"/>
          <w:sz w:val="24"/>
          <w:szCs w:val="24"/>
        </w:rPr>
        <w:t>M</w:t>
      </w:r>
      <w:r w:rsidR="00351DF7">
        <w:rPr>
          <w:rFonts w:ascii="Times New Roman" w:eastAsia="Calibri" w:hAnsi="Times New Roman" w:cs="Times New Roman"/>
          <w:color w:val="000000"/>
          <w:sz w:val="24"/>
          <w:szCs w:val="24"/>
        </w:rPr>
        <w:t>K</w:t>
      </w:r>
      <w:r w:rsidR="00351DF7" w:rsidRPr="00DA42C2">
        <w:rPr>
          <w:rFonts w:ascii="Times New Roman" w:eastAsia="Calibri" w:hAnsi="Times New Roman" w:cs="Times New Roman"/>
          <w:sz w:val="24"/>
        </w:rPr>
        <w:t xml:space="preserve"> </w:t>
      </w:r>
      <w:r w:rsidRPr="00DA42C2">
        <w:rPr>
          <w:rFonts w:ascii="Times New Roman" w:eastAsia="Calibri" w:hAnsi="Times New Roman" w:cs="Times New Roman"/>
          <w:sz w:val="24"/>
        </w:rPr>
        <w:t>2018.gada 18.decembra sēdē lemto tiek palielināta akciju sabiedrības “Latvijas valsts meži” dividendēs izmaksājamā peļņas daļa par 2018.gadu (faktiskā peļņa lielāka par prognozēto).</w:t>
      </w:r>
    </w:p>
    <w:p w:rsidR="00DA42C2" w:rsidRPr="00DA42C2" w:rsidRDefault="00DA42C2" w:rsidP="004B1C2A">
      <w:pPr>
        <w:spacing w:after="0" w:line="240" w:lineRule="auto"/>
        <w:ind w:firstLine="720"/>
        <w:jc w:val="both"/>
        <w:rPr>
          <w:rFonts w:ascii="Times New Roman" w:eastAsia="Calibri" w:hAnsi="Times New Roman" w:cs="Times New Roman"/>
          <w:sz w:val="24"/>
        </w:rPr>
      </w:pPr>
      <w:r w:rsidRPr="00DA42C2">
        <w:rPr>
          <w:rFonts w:ascii="Times New Roman" w:eastAsia="Calibri" w:hAnsi="Times New Roman" w:cs="Times New Roman"/>
          <w:sz w:val="24"/>
        </w:rPr>
        <w:t xml:space="preserve">Saistībā ar valsts kapitālsabiedrību dividendēm svarīgi atzīmēt, ka 2019.gadā valstij izmaksājamā peļņas daļa par 2018.gada peļņu ir 85%, savukārt turpmākajos gados 50%, kas būtiski samazina ieņēmumu prognozi. Tāpat jāņem vērā, kamēr valdība nav pieņēmusi lēmumu par </w:t>
      </w:r>
      <w:r w:rsidRPr="00DA42C2">
        <w:rPr>
          <w:rFonts w:ascii="Times New Roman" w:eastAsia="Calibri" w:hAnsi="Times New Roman" w:cs="Times New Roman"/>
          <w:i/>
          <w:sz w:val="24"/>
        </w:rPr>
        <w:t>Kompleksiem pasākumiem elektroenerģijas tirgus attīstībai</w:t>
      </w:r>
      <w:r w:rsidRPr="00DA42C2">
        <w:rPr>
          <w:rFonts w:ascii="Times New Roman" w:eastAsia="Calibri" w:hAnsi="Times New Roman" w:cs="Times New Roman"/>
          <w:sz w:val="24"/>
        </w:rPr>
        <w:t>, AS “Latvenergo” dividenžu ieņēmumi 2021.</w:t>
      </w:r>
      <w:r w:rsidR="00DC41EC" w:rsidRPr="00D91646">
        <w:rPr>
          <w:rFonts w:ascii="Times New Roman" w:eastAsia="Calibri" w:hAnsi="Times New Roman" w:cs="Times New Roman"/>
          <w:sz w:val="24"/>
        </w:rPr>
        <w:t xml:space="preserve"> – </w:t>
      </w:r>
      <w:r w:rsidRPr="00DA42C2">
        <w:rPr>
          <w:rFonts w:ascii="Times New Roman" w:eastAsia="Calibri" w:hAnsi="Times New Roman" w:cs="Times New Roman"/>
          <w:sz w:val="24"/>
        </w:rPr>
        <w:t>2022.gadā netiek ietverti budžeta prognozēs.</w:t>
      </w:r>
    </w:p>
    <w:p w:rsidR="00907B96" w:rsidRPr="00782778" w:rsidRDefault="00907B96" w:rsidP="009C44D7">
      <w:pPr>
        <w:spacing w:after="0" w:line="240" w:lineRule="auto"/>
        <w:ind w:firstLine="709"/>
        <w:jc w:val="both"/>
        <w:rPr>
          <w:rFonts w:ascii="Times New Roman" w:eastAsia="Times New Roman" w:hAnsi="Times New Roman" w:cs="Times New Roman"/>
          <w:sz w:val="24"/>
          <w:szCs w:val="20"/>
          <w:highlight w:val="yellow"/>
        </w:rPr>
      </w:pPr>
      <w:r w:rsidRPr="00782778">
        <w:rPr>
          <w:rFonts w:ascii="Times New Roman" w:hAnsi="Times New Roman" w:cs="Times New Roman"/>
          <w:sz w:val="32"/>
          <w:highlight w:val="yellow"/>
        </w:rPr>
        <w:br w:type="page"/>
      </w:r>
    </w:p>
    <w:p w:rsidR="005536A9" w:rsidRPr="004660CE" w:rsidRDefault="005536A9" w:rsidP="000774C9">
      <w:pPr>
        <w:pStyle w:val="Heading1"/>
        <w:numPr>
          <w:ilvl w:val="0"/>
          <w:numId w:val="32"/>
        </w:numPr>
        <w:ind w:left="284" w:hanging="283"/>
        <w:jc w:val="center"/>
        <w:rPr>
          <w:rFonts w:ascii="Times New Roman" w:hAnsi="Times New Roman" w:cs="Times New Roman"/>
          <w:sz w:val="32"/>
        </w:rPr>
      </w:pPr>
      <w:bookmarkStart w:id="78" w:name="_Toc510790675"/>
      <w:bookmarkStart w:id="79" w:name="_Toc5627385"/>
      <w:bookmarkStart w:id="80" w:name="_Toc5798640"/>
      <w:r w:rsidRPr="004660CE">
        <w:rPr>
          <w:rFonts w:ascii="Times New Roman" w:hAnsi="Times New Roman" w:cs="Times New Roman"/>
          <w:sz w:val="32"/>
        </w:rPr>
        <w:lastRenderedPageBreak/>
        <w:t>Publisko finanšu ilgtspēja</w:t>
      </w:r>
      <w:bookmarkEnd w:id="78"/>
      <w:bookmarkEnd w:id="79"/>
      <w:bookmarkEnd w:id="80"/>
    </w:p>
    <w:p w:rsidR="00E773FD" w:rsidRPr="009B0F5F" w:rsidRDefault="00A34463" w:rsidP="000774C9">
      <w:pPr>
        <w:pStyle w:val="Heading2"/>
        <w:numPr>
          <w:ilvl w:val="1"/>
          <w:numId w:val="32"/>
        </w:numPr>
        <w:spacing w:before="240" w:after="120"/>
        <w:ind w:left="1134" w:hanging="425"/>
        <w:rPr>
          <w:rFonts w:ascii="Times New Roman" w:hAnsi="Times New Roman" w:cs="Times New Roman"/>
          <w:sz w:val="24"/>
        </w:rPr>
      </w:pPr>
      <w:bookmarkStart w:id="81" w:name="_Toc510790676"/>
      <w:bookmarkStart w:id="82" w:name="_Toc5627386"/>
      <w:bookmarkStart w:id="83" w:name="_Toc5798641"/>
      <w:r w:rsidRPr="009B0F5F">
        <w:rPr>
          <w:rFonts w:ascii="Times New Roman" w:hAnsi="Times New Roman" w:cs="Times New Roman"/>
          <w:sz w:val="24"/>
        </w:rPr>
        <w:t>Publisko finanšu ilgtermiņa attīstības scenārijs</w:t>
      </w:r>
      <w:bookmarkEnd w:id="81"/>
      <w:bookmarkEnd w:id="82"/>
      <w:bookmarkEnd w:id="83"/>
    </w:p>
    <w:p w:rsidR="009B0F5F" w:rsidRPr="009B0F5F" w:rsidRDefault="009B0F5F" w:rsidP="004C62F9">
      <w:pPr>
        <w:autoSpaceDE w:val="0"/>
        <w:autoSpaceDN w:val="0"/>
        <w:adjustRightInd w:val="0"/>
        <w:spacing w:after="0" w:line="240" w:lineRule="auto"/>
        <w:ind w:firstLine="709"/>
        <w:jc w:val="both"/>
        <w:rPr>
          <w:rFonts w:ascii="Times New Roman" w:eastAsia="Times New Roman" w:hAnsi="Times New Roman" w:cs="Times New Roman"/>
          <w:sz w:val="24"/>
          <w:szCs w:val="20"/>
        </w:rPr>
      </w:pPr>
      <w:r w:rsidRPr="009B0F5F">
        <w:rPr>
          <w:rFonts w:ascii="Times New Roman" w:eastAsia="Times New Roman" w:hAnsi="Times New Roman" w:cs="Times New Roman"/>
          <w:sz w:val="24"/>
          <w:szCs w:val="24"/>
        </w:rPr>
        <w:t xml:space="preserve">Iedzīvotāju mainīgā vecuma struktūra aizvien vairāk ietekmēs valsts finanses turpmākajos gados. Zema dzimstība, augsta mirstība un darbaspēka emigrācija pēdējās desmitgadēs ir radījusi sekas, ko izjūtam jau šodien un kas norāda uz nepieciešamību veikt reformas pensiju, veselības aprūpes un izglītības sistēmās. </w:t>
      </w:r>
    </w:p>
    <w:p w:rsidR="009B0F5F" w:rsidRPr="009B0F5F" w:rsidRDefault="004C62F9" w:rsidP="004C62F9">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rsidR="009B0F5F" w:rsidRPr="009B0F5F">
        <w:rPr>
          <w:rFonts w:ascii="Times New Roman" w:eastAsia="Times New Roman" w:hAnsi="Times New Roman" w:cs="Times New Roman"/>
          <w:sz w:val="24"/>
          <w:szCs w:val="24"/>
        </w:rPr>
        <w:t xml:space="preserve">gada janvārī </w:t>
      </w:r>
      <w:r w:rsidR="00636713">
        <w:rPr>
          <w:rFonts w:ascii="Times New Roman" w:eastAsia="Times New Roman" w:hAnsi="Times New Roman" w:cs="Times New Roman"/>
          <w:sz w:val="24"/>
          <w:szCs w:val="24"/>
        </w:rPr>
        <w:t>EK</w:t>
      </w:r>
      <w:r w:rsidR="009B0F5F" w:rsidRPr="009B0F5F">
        <w:rPr>
          <w:rFonts w:ascii="Times New Roman" w:eastAsia="Times New Roman" w:hAnsi="Times New Roman" w:cs="Times New Roman"/>
          <w:sz w:val="24"/>
          <w:szCs w:val="24"/>
        </w:rPr>
        <w:t xml:space="preserve"> kārtējo reizi publicēja Fiskālās ilgtspējas ziņojumu (</w:t>
      </w:r>
      <w:proofErr w:type="spellStart"/>
      <w:r w:rsidR="009B0F5F" w:rsidRPr="001F62B6">
        <w:rPr>
          <w:rFonts w:ascii="Times New Roman" w:eastAsia="Times New Roman" w:hAnsi="Times New Roman" w:cs="Times New Roman"/>
          <w:i/>
          <w:noProof/>
          <w:sz w:val="24"/>
          <w:szCs w:val="24"/>
        </w:rPr>
        <w:t>Fiscal</w:t>
      </w:r>
      <w:proofErr w:type="spellEnd"/>
      <w:r w:rsidR="009B0F5F" w:rsidRPr="001F62B6">
        <w:rPr>
          <w:rFonts w:ascii="Times New Roman" w:eastAsia="Times New Roman" w:hAnsi="Times New Roman" w:cs="Times New Roman"/>
          <w:i/>
          <w:noProof/>
          <w:sz w:val="24"/>
          <w:szCs w:val="24"/>
        </w:rPr>
        <w:t xml:space="preserve"> Sustainability</w:t>
      </w:r>
      <w:r w:rsidR="009B0F5F" w:rsidRPr="009B0F5F">
        <w:rPr>
          <w:rFonts w:ascii="Times New Roman" w:eastAsia="Times New Roman" w:hAnsi="Times New Roman" w:cs="Times New Roman"/>
          <w:i/>
          <w:noProof/>
          <w:sz w:val="24"/>
          <w:szCs w:val="24"/>
        </w:rPr>
        <w:t xml:space="preserve"> Report 2018</w:t>
      </w:r>
      <w:r w:rsidR="009B0F5F" w:rsidRPr="009B0F5F">
        <w:rPr>
          <w:rFonts w:ascii="Times New Roman" w:eastAsia="Times New Roman" w:hAnsi="Times New Roman" w:cs="Times New Roman"/>
          <w:sz w:val="24"/>
          <w:szCs w:val="24"/>
        </w:rPr>
        <w:t>), kurā Latvijai atkārtoti tiek identificēts potenciāli zems fiskālās ilgtspējas risks visās riska kategorijās (īstermiņa, vidējā termiņa un ilgtermiņa). Tā pamatā ir zems vispārējās valdības budžeta deficīts un parāds, kā arī zemi ar iedzīvotāju novecošanos saistītie budžeta izdevumi ilgtermiņā.</w:t>
      </w:r>
    </w:p>
    <w:p w:rsidR="009B0F5F" w:rsidRPr="009B0F5F" w:rsidRDefault="009B0F5F" w:rsidP="004C62F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B0F5F">
        <w:rPr>
          <w:rFonts w:ascii="Times New Roman" w:eastAsia="Times New Roman" w:hAnsi="Times New Roman" w:cs="Times New Roman"/>
          <w:sz w:val="24"/>
          <w:szCs w:val="24"/>
        </w:rPr>
        <w:t>Taču, neskatoties uz to, ka Latvijai šobrīd ir noteikts zems risks attiecībā uz fiskālo ilgtspēju, lai nodrošinātu publisko finanšu stabilitāti nākotnē, pēdējo gadu laikā Latvijā jau tiek īstenotas nozīmīgas reformas. Pensiju jomā</w:t>
      </w:r>
      <w:r w:rsidR="004C62F9">
        <w:rPr>
          <w:rFonts w:ascii="Times New Roman" w:eastAsia="Times New Roman" w:hAnsi="Times New Roman" w:cs="Times New Roman"/>
          <w:sz w:val="24"/>
          <w:szCs w:val="20"/>
        </w:rPr>
        <w:t xml:space="preserve"> ir noteikts, ka sākot ar 2025.</w:t>
      </w:r>
      <w:r w:rsidRPr="009B0F5F">
        <w:rPr>
          <w:rFonts w:ascii="Times New Roman" w:eastAsia="Times New Roman" w:hAnsi="Times New Roman" w:cs="Times New Roman"/>
          <w:sz w:val="24"/>
          <w:szCs w:val="20"/>
        </w:rPr>
        <w:t xml:space="preserve">gadu </w:t>
      </w:r>
      <w:r w:rsidRPr="009B0F5F">
        <w:rPr>
          <w:rFonts w:ascii="Times New Roman" w:eastAsia="Times New Roman" w:hAnsi="Times New Roman" w:cs="Times New Roman"/>
          <w:sz w:val="24"/>
          <w:szCs w:val="24"/>
        </w:rPr>
        <w:t>pensionēšanās vecums ir 65</w:t>
      </w:r>
      <w:r w:rsidR="004C62F9">
        <w:rPr>
          <w:rFonts w:ascii="Times New Roman" w:eastAsia="Times New Roman" w:hAnsi="Times New Roman" w:cs="Times New Roman"/>
          <w:sz w:val="24"/>
          <w:szCs w:val="24"/>
        </w:rPr>
        <w:t xml:space="preserve"> </w:t>
      </w:r>
      <w:r w:rsidRPr="009B0F5F">
        <w:rPr>
          <w:rFonts w:ascii="Times New Roman" w:eastAsia="Times New Roman" w:hAnsi="Times New Roman" w:cs="Times New Roman"/>
          <w:sz w:val="24"/>
          <w:szCs w:val="24"/>
        </w:rPr>
        <w:t>gadi, līdz tam to pakāpeniski paaugstinot, un minimālajam apdrošināšanas stāžam jābūt 20</w:t>
      </w:r>
      <w:r w:rsidR="004C62F9">
        <w:rPr>
          <w:rFonts w:ascii="Times New Roman" w:eastAsia="Times New Roman" w:hAnsi="Times New Roman" w:cs="Times New Roman"/>
          <w:sz w:val="24"/>
          <w:szCs w:val="24"/>
        </w:rPr>
        <w:t xml:space="preserve"> </w:t>
      </w:r>
      <w:r w:rsidRPr="009B0F5F">
        <w:rPr>
          <w:rFonts w:ascii="Times New Roman" w:eastAsia="Times New Roman" w:hAnsi="Times New Roman" w:cs="Times New Roman"/>
          <w:sz w:val="24"/>
          <w:szCs w:val="24"/>
        </w:rPr>
        <w:t xml:space="preserve">gadiem. Izglītības reformas ietvaros tiek realizēta skolu tīkla optimizācija, tiek strādāts pie kompetenču pieejā balstīta mācību satura ieviešanas vispārizglītojošās skolās, kā arī pedagogu atalgojuma palielināšanas. Veselības aprūpes reforma ietver finansēšanas modeļa maiņu ar mērķi palielināt nozares budžetu, stratēģisko iepirkumu kontroli, valsts finansēto nozares institūciju funkciju pārskatīšanu. </w:t>
      </w:r>
    </w:p>
    <w:p w:rsidR="009B0F5F" w:rsidRPr="009B0F5F" w:rsidRDefault="009B0F5F" w:rsidP="009B0F5F">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B0F5F" w:rsidRPr="006D1A8A" w:rsidRDefault="009B0F5F" w:rsidP="00AB01C8">
      <w:pPr>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D1A8A">
        <w:rPr>
          <w:rFonts w:ascii="Times New Roman" w:eastAsia="Times New Roman" w:hAnsi="Times New Roman" w:cs="Times New Roman"/>
          <w:b/>
          <w:i/>
          <w:sz w:val="24"/>
          <w:szCs w:val="24"/>
        </w:rPr>
        <w:t>Darba tirgus situācija un demogrāfiskās prognozes</w:t>
      </w:r>
    </w:p>
    <w:p w:rsidR="009B0F5F" w:rsidRPr="004B1C2A" w:rsidRDefault="009B0F5F" w:rsidP="00AB01C8">
      <w:pPr>
        <w:spacing w:after="0" w:line="240" w:lineRule="auto"/>
        <w:ind w:firstLine="709"/>
        <w:jc w:val="both"/>
        <w:rPr>
          <w:rFonts w:ascii="Times New Roman" w:eastAsia="Times New Roman" w:hAnsi="Times New Roman" w:cs="Times New Roman"/>
          <w:color w:val="000000"/>
          <w:sz w:val="24"/>
          <w:szCs w:val="24"/>
        </w:rPr>
      </w:pPr>
      <w:r w:rsidRPr="004B1C2A">
        <w:rPr>
          <w:rFonts w:ascii="Times New Roman" w:eastAsia="Times New Roman" w:hAnsi="Times New Roman" w:cs="Times New Roman"/>
          <w:color w:val="000000"/>
          <w:sz w:val="24"/>
          <w:szCs w:val="24"/>
        </w:rPr>
        <w:t>Demogrāfiskā un darba tirgus situācija ilgtermiņā ietekmēs valsts finanšu ilgtspēju, radot ietekmi gan uz nodokļu ieņēmumiem, gan budžeta izdevumiem nākotnē. Iekasēto nodokļu apjoms lielā mērā būs atkarīgs no nodarbināto skaita tendencēm ilgtermiņā.</w:t>
      </w:r>
    </w:p>
    <w:p w:rsidR="009B0F5F" w:rsidRPr="009B0F5F" w:rsidRDefault="004C62F9" w:rsidP="004C62F9">
      <w:pPr>
        <w:spacing w:after="0" w:line="240" w:lineRule="auto"/>
        <w:ind w:firstLine="709"/>
        <w:jc w:val="both"/>
        <w:rPr>
          <w:rFonts w:ascii="Times New Roman" w:eastAsia="Times New Roman" w:hAnsi="Times New Roman" w:cs="Times New Roman"/>
          <w:noProof/>
          <w:color w:val="000000"/>
          <w:sz w:val="24"/>
          <w:szCs w:val="24"/>
        </w:rPr>
      </w:pPr>
      <w:r w:rsidRPr="004B1C2A">
        <w:rPr>
          <w:rFonts w:ascii="Times New Roman" w:eastAsia="Times New Roman" w:hAnsi="Times New Roman" w:cs="Times New Roman"/>
          <w:color w:val="000000"/>
          <w:sz w:val="24"/>
          <w:szCs w:val="24"/>
        </w:rPr>
        <w:t>Kopš 2010.</w:t>
      </w:r>
      <w:r w:rsidR="009B0F5F" w:rsidRPr="004B1C2A">
        <w:rPr>
          <w:rFonts w:ascii="Times New Roman" w:eastAsia="Times New Roman" w:hAnsi="Times New Roman" w:cs="Times New Roman"/>
          <w:color w:val="000000"/>
          <w:sz w:val="24"/>
          <w:szCs w:val="24"/>
        </w:rPr>
        <w:t>gada iedzīvotāju skaits Latvijā ir samazinājies par 186</w:t>
      </w:r>
      <w:r w:rsidRPr="004B1C2A">
        <w:rPr>
          <w:rFonts w:ascii="Times New Roman" w:eastAsia="Times New Roman" w:hAnsi="Times New Roman" w:cs="Times New Roman"/>
          <w:color w:val="000000"/>
          <w:sz w:val="24"/>
          <w:szCs w:val="24"/>
        </w:rPr>
        <w:t xml:space="preserve"> </w:t>
      </w:r>
      <w:r w:rsidR="009B0F5F" w:rsidRPr="004B1C2A">
        <w:rPr>
          <w:rFonts w:ascii="Times New Roman" w:eastAsia="Times New Roman" w:hAnsi="Times New Roman" w:cs="Times New Roman"/>
          <w:color w:val="000000"/>
          <w:sz w:val="24"/>
          <w:szCs w:val="24"/>
        </w:rPr>
        <w:t>tūkstoš</w:t>
      </w:r>
      <w:r w:rsidRPr="004B1C2A">
        <w:rPr>
          <w:rFonts w:ascii="Times New Roman" w:eastAsia="Times New Roman" w:hAnsi="Times New Roman" w:cs="Times New Roman"/>
          <w:color w:val="000000"/>
          <w:sz w:val="24"/>
          <w:szCs w:val="24"/>
        </w:rPr>
        <w:t>iem, un 2018.</w:t>
      </w:r>
      <w:r w:rsidR="009B0F5F" w:rsidRPr="004B1C2A">
        <w:rPr>
          <w:rFonts w:ascii="Times New Roman" w:eastAsia="Times New Roman" w:hAnsi="Times New Roman" w:cs="Times New Roman"/>
          <w:color w:val="000000"/>
          <w:sz w:val="24"/>
          <w:szCs w:val="24"/>
        </w:rPr>
        <w:t xml:space="preserve">gada sākumā tas bija 1 miljons 934 tūkstoši, liecina Centrālās statistikas pārvaldes (CSP) dati. Kopumā </w:t>
      </w:r>
      <w:r w:rsidRPr="004B1C2A">
        <w:rPr>
          <w:rFonts w:ascii="Times New Roman" w:eastAsia="Times New Roman" w:hAnsi="Times New Roman" w:cs="Times New Roman"/>
          <w:color w:val="000000"/>
          <w:sz w:val="24"/>
          <w:szCs w:val="24"/>
        </w:rPr>
        <w:t>kopš 1991.</w:t>
      </w:r>
      <w:r w:rsidR="009B0F5F" w:rsidRPr="004B1C2A">
        <w:rPr>
          <w:rFonts w:ascii="Times New Roman" w:eastAsia="Times New Roman" w:hAnsi="Times New Roman" w:cs="Times New Roman"/>
          <w:color w:val="000000"/>
          <w:sz w:val="24"/>
          <w:szCs w:val="24"/>
        </w:rPr>
        <w:t xml:space="preserve">gada Latvijā ir </w:t>
      </w:r>
      <w:r w:rsidR="009B0F5F" w:rsidRPr="004B1C2A">
        <w:rPr>
          <w:rFonts w:ascii="Times New Roman" w:eastAsia="Times New Roman" w:hAnsi="Times New Roman" w:cs="Times New Roman"/>
          <w:noProof/>
          <w:color w:val="000000"/>
          <w:sz w:val="24"/>
          <w:szCs w:val="24"/>
        </w:rPr>
        <w:t>vērojama depopulācija, ik gadu mirušo skaitam pārsniedzot dzimušo</w:t>
      </w:r>
      <w:r w:rsidR="009B0F5F" w:rsidRPr="009B0F5F">
        <w:rPr>
          <w:rFonts w:ascii="Times New Roman" w:eastAsia="Times New Roman" w:hAnsi="Times New Roman" w:cs="Times New Roman"/>
          <w:noProof/>
          <w:color w:val="000000"/>
          <w:sz w:val="24"/>
          <w:szCs w:val="24"/>
        </w:rPr>
        <w:t xml:space="preserve"> skaitu par v</w:t>
      </w:r>
      <w:r>
        <w:rPr>
          <w:rFonts w:ascii="Times New Roman" w:eastAsia="Times New Roman" w:hAnsi="Times New Roman" w:cs="Times New Roman"/>
          <w:noProof/>
          <w:color w:val="000000"/>
          <w:sz w:val="24"/>
          <w:szCs w:val="24"/>
        </w:rPr>
        <w:t>idēji 8 200 personām gadā. 2016.</w:t>
      </w:r>
      <w:r w:rsidR="009B0F5F" w:rsidRPr="009B0F5F">
        <w:rPr>
          <w:rFonts w:ascii="Times New Roman" w:eastAsia="Times New Roman" w:hAnsi="Times New Roman" w:cs="Times New Roman"/>
          <w:noProof/>
          <w:color w:val="000000"/>
          <w:sz w:val="24"/>
          <w:szCs w:val="24"/>
        </w:rPr>
        <w:t>gadā p</w:t>
      </w:r>
      <w:r>
        <w:rPr>
          <w:rFonts w:ascii="Times New Roman" w:eastAsia="Times New Roman" w:hAnsi="Times New Roman" w:cs="Times New Roman"/>
          <w:noProof/>
          <w:color w:val="000000"/>
          <w:sz w:val="24"/>
          <w:szCs w:val="24"/>
        </w:rPr>
        <w:t>iedzima 21 968 bērni, bet 2017.</w:t>
      </w:r>
      <w:r w:rsidR="009B0F5F" w:rsidRPr="009B0F5F">
        <w:rPr>
          <w:rFonts w:ascii="Times New Roman" w:eastAsia="Times New Roman" w:hAnsi="Times New Roman" w:cs="Times New Roman"/>
          <w:noProof/>
          <w:color w:val="000000"/>
          <w:sz w:val="24"/>
          <w:szCs w:val="24"/>
        </w:rPr>
        <w:t>gadā dzimušo skaits samazinājās par 5,2%, sasni</w:t>
      </w:r>
      <w:r>
        <w:rPr>
          <w:rFonts w:ascii="Times New Roman" w:eastAsia="Times New Roman" w:hAnsi="Times New Roman" w:cs="Times New Roman"/>
          <w:noProof/>
          <w:color w:val="000000"/>
          <w:sz w:val="24"/>
          <w:szCs w:val="24"/>
        </w:rPr>
        <w:t>edzot 20 828 jaundzimušo. 2017.</w:t>
      </w:r>
      <w:r w:rsidR="009B0F5F" w:rsidRPr="009B0F5F">
        <w:rPr>
          <w:rFonts w:ascii="Times New Roman" w:eastAsia="Times New Roman" w:hAnsi="Times New Roman" w:cs="Times New Roman"/>
          <w:noProof/>
          <w:color w:val="000000"/>
          <w:sz w:val="24"/>
          <w:szCs w:val="24"/>
        </w:rPr>
        <w:t xml:space="preserve">gadā atbilstoši </w:t>
      </w:r>
      <w:r w:rsidR="009B0F5F" w:rsidRPr="009B0F5F">
        <w:rPr>
          <w:rFonts w:ascii="Times New Roman" w:eastAsia="Times New Roman" w:hAnsi="Times New Roman" w:cs="Times New Roman"/>
          <w:i/>
          <w:noProof/>
          <w:color w:val="000000"/>
          <w:sz w:val="24"/>
          <w:szCs w:val="24"/>
        </w:rPr>
        <w:t>Eurostat</w:t>
      </w:r>
      <w:r w:rsidR="009B0F5F" w:rsidRPr="009B0F5F">
        <w:rPr>
          <w:rFonts w:ascii="Times New Roman" w:eastAsia="Times New Roman" w:hAnsi="Times New Roman" w:cs="Times New Roman"/>
          <w:noProof/>
          <w:color w:val="000000"/>
          <w:sz w:val="24"/>
          <w:szCs w:val="24"/>
        </w:rPr>
        <w:t xml:space="preserve"> apkopotai informācijai Latvijā dzimstības vispārīgais koeficients bija augstāks (10,7</w:t>
      </w:r>
      <w:r>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dzimušie uz 1</w:t>
      </w:r>
      <w:r>
        <w:rPr>
          <w:rFonts w:ascii="Times New Roman" w:eastAsia="Times New Roman" w:hAnsi="Times New Roman" w:cs="Times New Roman"/>
          <w:noProof/>
          <w:color w:val="000000"/>
          <w:sz w:val="24"/>
          <w:szCs w:val="24"/>
        </w:rPr>
        <w:t> </w:t>
      </w:r>
      <w:r w:rsidR="009B0F5F" w:rsidRPr="009B0F5F">
        <w:rPr>
          <w:rFonts w:ascii="Times New Roman" w:eastAsia="Times New Roman" w:hAnsi="Times New Roman" w:cs="Times New Roman"/>
          <w:noProof/>
          <w:color w:val="000000"/>
          <w:sz w:val="24"/>
          <w:szCs w:val="24"/>
        </w:rPr>
        <w:t>000 iedzīvotājiem) nekā citās ES valstīs. Taču summāra</w:t>
      </w:r>
      <w:r>
        <w:rPr>
          <w:rFonts w:ascii="Times New Roman" w:eastAsia="Times New Roman" w:hAnsi="Times New Roman" w:cs="Times New Roman"/>
          <w:noProof/>
          <w:color w:val="000000"/>
          <w:sz w:val="24"/>
          <w:szCs w:val="24"/>
        </w:rPr>
        <w:t>is dzimstības koeficients 2017.</w:t>
      </w:r>
      <w:r w:rsidR="009B0F5F" w:rsidRPr="009B0F5F">
        <w:rPr>
          <w:rFonts w:ascii="Times New Roman" w:eastAsia="Times New Roman" w:hAnsi="Times New Roman" w:cs="Times New Roman"/>
          <w:noProof/>
          <w:color w:val="000000"/>
          <w:sz w:val="24"/>
          <w:szCs w:val="24"/>
        </w:rPr>
        <w:t>gadā Latvijā bija 1,7, kas joprojām ir tālu no vēlamā bērnu skaita vidēji uz vienu sievieti paaudžu nomaiņai: 2,1</w:t>
      </w:r>
      <w:r w:rsidR="004660CE">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w:t>
      </w:r>
      <w:r w:rsidR="004660CE">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2,2. Salīdzinājumam, 1986.</w:t>
      </w:r>
      <w:r>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1987. gadā, kad piedzima 42</w:t>
      </w:r>
      <w:r>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tūkstoši bērnu gadā,</w:t>
      </w:r>
      <w:r w:rsidR="009B0F5F" w:rsidRPr="009B0F5F" w:rsidDel="00246947">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noProof/>
          <w:color w:val="000000"/>
          <w:sz w:val="24"/>
          <w:szCs w:val="24"/>
        </w:rPr>
        <w:t>summārā dzimstības koeficienta vērtība bija 2,2.</w:t>
      </w:r>
    </w:p>
    <w:p w:rsidR="009B0F5F" w:rsidRPr="009B0F5F" w:rsidRDefault="009B0F5F" w:rsidP="004C62F9">
      <w:pPr>
        <w:spacing w:after="0" w:line="240" w:lineRule="auto"/>
        <w:ind w:firstLine="709"/>
        <w:jc w:val="both"/>
        <w:rPr>
          <w:rFonts w:ascii="Times New Roman" w:eastAsia="Times New Roman" w:hAnsi="Times New Roman" w:cs="Times New Roman"/>
          <w:color w:val="000000"/>
          <w:sz w:val="24"/>
          <w:szCs w:val="24"/>
        </w:rPr>
      </w:pPr>
      <w:r w:rsidRPr="009B0F5F">
        <w:rPr>
          <w:rFonts w:ascii="Times New Roman" w:eastAsia="Times New Roman" w:hAnsi="Times New Roman" w:cs="Times New Roman"/>
          <w:noProof/>
          <w:color w:val="000000"/>
          <w:sz w:val="24"/>
          <w:szCs w:val="24"/>
        </w:rPr>
        <w:t>Augsta emigrāci</w:t>
      </w:r>
      <w:r w:rsidR="004C62F9">
        <w:rPr>
          <w:rFonts w:ascii="Times New Roman" w:eastAsia="Times New Roman" w:hAnsi="Times New Roman" w:cs="Times New Roman"/>
          <w:noProof/>
          <w:color w:val="000000"/>
          <w:sz w:val="24"/>
          <w:szCs w:val="24"/>
        </w:rPr>
        <w:t>ja bija vērojama sākot no 2009.</w:t>
      </w:r>
      <w:r w:rsidRPr="009B0F5F">
        <w:rPr>
          <w:rFonts w:ascii="Times New Roman" w:eastAsia="Times New Roman" w:hAnsi="Times New Roman" w:cs="Times New Roman"/>
          <w:noProof/>
          <w:color w:val="000000"/>
          <w:sz w:val="24"/>
          <w:szCs w:val="24"/>
        </w:rPr>
        <w:t>gada, kad atbilstoši CSP d</w:t>
      </w:r>
      <w:r w:rsidR="004C62F9">
        <w:rPr>
          <w:rFonts w:ascii="Times New Roman" w:eastAsia="Times New Roman" w:hAnsi="Times New Roman" w:cs="Times New Roman"/>
          <w:noProof/>
          <w:color w:val="000000"/>
          <w:sz w:val="24"/>
          <w:szCs w:val="24"/>
        </w:rPr>
        <w:t xml:space="preserve">atiem no valsts izbrauca 38 208 </w:t>
      </w:r>
      <w:r w:rsidRPr="009B0F5F">
        <w:rPr>
          <w:rFonts w:ascii="Times New Roman" w:eastAsia="Times New Roman" w:hAnsi="Times New Roman" w:cs="Times New Roman"/>
          <w:noProof/>
          <w:color w:val="000000"/>
          <w:sz w:val="24"/>
          <w:szCs w:val="24"/>
        </w:rPr>
        <w:t>iedzīvotāju, pamatā ekonomisku apsvērumu motivēti. Pēdējos gados emigrantu skaits samazinās un 201</w:t>
      </w:r>
      <w:r w:rsidR="004C62F9">
        <w:rPr>
          <w:rFonts w:ascii="Times New Roman" w:eastAsia="Times New Roman" w:hAnsi="Times New Roman" w:cs="Times New Roman"/>
          <w:noProof/>
          <w:color w:val="000000"/>
          <w:sz w:val="24"/>
          <w:szCs w:val="24"/>
        </w:rPr>
        <w:t>7.</w:t>
      </w:r>
      <w:r w:rsidRPr="009B0F5F">
        <w:rPr>
          <w:rFonts w:ascii="Times New Roman" w:eastAsia="Times New Roman" w:hAnsi="Times New Roman" w:cs="Times New Roman"/>
          <w:noProof/>
          <w:color w:val="000000"/>
          <w:sz w:val="24"/>
          <w:szCs w:val="24"/>
        </w:rPr>
        <w:t>gadā tie jau bija 17 724 izbraukušo, ka</w:t>
      </w:r>
      <w:r w:rsidR="004C62F9">
        <w:rPr>
          <w:rFonts w:ascii="Times New Roman" w:eastAsia="Times New Roman" w:hAnsi="Times New Roman" w:cs="Times New Roman"/>
          <w:noProof/>
          <w:color w:val="000000"/>
          <w:sz w:val="24"/>
          <w:szCs w:val="24"/>
        </w:rPr>
        <w:t>s ir par 13,9% mazāk nekā 2016.</w:t>
      </w:r>
      <w:r w:rsidRPr="009B0F5F">
        <w:rPr>
          <w:rFonts w:ascii="Times New Roman" w:eastAsia="Times New Roman" w:hAnsi="Times New Roman" w:cs="Times New Roman"/>
          <w:noProof/>
          <w:color w:val="000000"/>
          <w:sz w:val="24"/>
          <w:szCs w:val="24"/>
        </w:rPr>
        <w:t>gadā.</w:t>
      </w:r>
      <w:r w:rsidR="004C62F9">
        <w:rPr>
          <w:rFonts w:ascii="Times New Roman" w:eastAsia="Times New Roman" w:hAnsi="Times New Roman" w:cs="Times New Roman"/>
          <w:noProof/>
          <w:color w:val="000000"/>
          <w:sz w:val="24"/>
          <w:szCs w:val="24"/>
        </w:rPr>
        <w:t xml:space="preserve"> No otras puses, jau kopš 2011.</w:t>
      </w:r>
      <w:r w:rsidRPr="009B0F5F">
        <w:rPr>
          <w:rFonts w:ascii="Times New Roman" w:eastAsia="Times New Roman" w:hAnsi="Times New Roman" w:cs="Times New Roman"/>
          <w:noProof/>
          <w:color w:val="000000"/>
          <w:sz w:val="24"/>
          <w:szCs w:val="24"/>
        </w:rPr>
        <w:t xml:space="preserve">gada ir vērojams iebraucēju skaita </w:t>
      </w:r>
      <w:r w:rsidR="004C62F9">
        <w:rPr>
          <w:rFonts w:ascii="Times New Roman" w:eastAsia="Times New Roman" w:hAnsi="Times New Roman" w:cs="Times New Roman"/>
          <w:noProof/>
          <w:color w:val="000000"/>
          <w:sz w:val="24"/>
          <w:szCs w:val="24"/>
        </w:rPr>
        <w:t>pieaugums, kad, piemēram, 2017.</w:t>
      </w:r>
      <w:r w:rsidRPr="009B0F5F">
        <w:rPr>
          <w:rFonts w:ascii="Times New Roman" w:eastAsia="Times New Roman" w:hAnsi="Times New Roman" w:cs="Times New Roman"/>
          <w:noProof/>
          <w:color w:val="000000"/>
          <w:sz w:val="24"/>
          <w:szCs w:val="24"/>
        </w:rPr>
        <w:t>gadā uz Latviju imigrēja 9</w:t>
      </w:r>
      <w:r w:rsidR="004C62F9">
        <w:rPr>
          <w:rFonts w:ascii="Times New Roman" w:eastAsia="Times New Roman" w:hAnsi="Times New Roman" w:cs="Times New Roman"/>
          <w:noProof/>
          <w:color w:val="000000"/>
          <w:sz w:val="24"/>
          <w:szCs w:val="24"/>
        </w:rPr>
        <w:t> </w:t>
      </w:r>
      <w:r w:rsidRPr="009B0F5F">
        <w:rPr>
          <w:rFonts w:ascii="Times New Roman" w:eastAsia="Times New Roman" w:hAnsi="Times New Roman" w:cs="Times New Roman"/>
          <w:noProof/>
          <w:color w:val="000000"/>
          <w:sz w:val="24"/>
          <w:szCs w:val="24"/>
        </w:rPr>
        <w:t>916 personas, kas ir par 19% vairāk nekā 2016.gadā, ko veicina biznesa vides</w:t>
      </w:r>
      <w:r w:rsidRPr="009B0F5F">
        <w:rPr>
          <w:rFonts w:ascii="Times New Roman" w:eastAsia="Times New Roman" w:hAnsi="Times New Roman" w:cs="Times New Roman"/>
          <w:color w:val="000000"/>
          <w:sz w:val="24"/>
          <w:szCs w:val="24"/>
        </w:rPr>
        <w:t xml:space="preserve"> un sociālekonomisko procesu uzlabošanās, tostarp ārvalstu kompāniju finanšu un IT biroju izvietošana Rīgā, kā arī darbaspēka imports būvniecības nozarē, tādējādi veicinot nodarbinātību.</w:t>
      </w:r>
    </w:p>
    <w:p w:rsidR="009B0F5F" w:rsidRPr="009B0F5F" w:rsidRDefault="009B0F5F" w:rsidP="004C62F9">
      <w:pPr>
        <w:spacing w:after="120" w:line="240" w:lineRule="auto"/>
        <w:ind w:firstLine="709"/>
        <w:jc w:val="both"/>
        <w:rPr>
          <w:rFonts w:ascii="Times New Roman" w:eastAsia="Times New Roman" w:hAnsi="Times New Roman" w:cs="Times New Roman"/>
          <w:color w:val="000000"/>
          <w:sz w:val="24"/>
          <w:szCs w:val="24"/>
        </w:rPr>
      </w:pPr>
      <w:r w:rsidRPr="009B0F5F">
        <w:rPr>
          <w:rFonts w:ascii="Times New Roman" w:eastAsia="Times New Roman" w:hAnsi="Times New Roman" w:cs="Times New Roman"/>
          <w:noProof/>
          <w:sz w:val="24"/>
          <w:szCs w:val="24"/>
        </w:rPr>
        <w:t xml:space="preserve">Atbilstoši </w:t>
      </w:r>
      <w:r w:rsidRPr="009B0F5F">
        <w:rPr>
          <w:rFonts w:ascii="Times New Roman" w:eastAsia="Times New Roman" w:hAnsi="Times New Roman" w:cs="Times New Roman"/>
          <w:i/>
          <w:noProof/>
          <w:sz w:val="24"/>
          <w:szCs w:val="24"/>
        </w:rPr>
        <w:t xml:space="preserve">Eurostat </w:t>
      </w:r>
      <w:r w:rsidRPr="009B0F5F">
        <w:rPr>
          <w:rFonts w:ascii="Times New Roman" w:eastAsia="Times New Roman" w:hAnsi="Times New Roman" w:cs="Times New Roman"/>
          <w:noProof/>
          <w:sz w:val="24"/>
          <w:szCs w:val="24"/>
        </w:rPr>
        <w:t xml:space="preserve">prognozētajam bāzes scenārijam kopējo iedzīvotāju skaita samazināšanos Latvijā nākamajās desmitgadēs </w:t>
      </w:r>
      <w:r w:rsidRPr="009B0F5F">
        <w:rPr>
          <w:rFonts w:ascii="Times New Roman" w:eastAsia="Times New Roman" w:hAnsi="Times New Roman" w:cs="Times New Roman"/>
          <w:noProof/>
          <w:color w:val="000000"/>
          <w:sz w:val="24"/>
          <w:szCs w:val="24"/>
        </w:rPr>
        <w:t xml:space="preserve">ietekmēs gan negatīvs dabiskais pieaugums, gan negatīvs migrācijas saldo </w:t>
      </w:r>
      <w:r w:rsidR="004C62F9">
        <w:rPr>
          <w:rFonts w:ascii="Times New Roman" w:eastAsia="Times New Roman" w:hAnsi="Times New Roman" w:cs="Times New Roman"/>
          <w:noProof/>
          <w:sz w:val="24"/>
          <w:szCs w:val="24"/>
        </w:rPr>
        <w:t xml:space="preserve">(skat. </w:t>
      </w:r>
      <w:r w:rsidR="00AB01C8">
        <w:rPr>
          <w:rFonts w:ascii="Times New Roman" w:eastAsia="Times New Roman" w:hAnsi="Times New Roman" w:cs="Times New Roman"/>
          <w:noProof/>
          <w:sz w:val="24"/>
          <w:szCs w:val="24"/>
        </w:rPr>
        <w:t>6</w:t>
      </w:r>
      <w:r w:rsidR="004C62F9">
        <w:rPr>
          <w:rFonts w:ascii="Times New Roman" w:eastAsia="Times New Roman" w:hAnsi="Times New Roman" w:cs="Times New Roman"/>
          <w:noProof/>
          <w:sz w:val="24"/>
          <w:szCs w:val="24"/>
        </w:rPr>
        <w:t>.1.</w:t>
      </w:r>
      <w:r w:rsidRPr="009B0F5F">
        <w:rPr>
          <w:rFonts w:ascii="Times New Roman" w:eastAsia="Times New Roman" w:hAnsi="Times New Roman" w:cs="Times New Roman"/>
          <w:noProof/>
          <w:sz w:val="24"/>
          <w:szCs w:val="24"/>
        </w:rPr>
        <w:t>attēlu)</w:t>
      </w:r>
      <w:r w:rsidRPr="009B0F5F">
        <w:rPr>
          <w:rFonts w:ascii="Times New Roman" w:eastAsia="Times New Roman" w:hAnsi="Times New Roman" w:cs="Times New Roman"/>
          <w:noProof/>
          <w:color w:val="000000"/>
          <w:sz w:val="24"/>
          <w:szCs w:val="24"/>
        </w:rPr>
        <w:t xml:space="preserve">. </w:t>
      </w:r>
      <w:r w:rsidRPr="009B0F5F">
        <w:rPr>
          <w:rFonts w:ascii="Times New Roman" w:eastAsia="Times New Roman" w:hAnsi="Times New Roman" w:cs="Times New Roman"/>
          <w:i/>
          <w:noProof/>
          <w:color w:val="000000"/>
          <w:sz w:val="24"/>
          <w:szCs w:val="24"/>
        </w:rPr>
        <w:t>Eurostat</w:t>
      </w:r>
      <w:r w:rsidR="004C62F9">
        <w:rPr>
          <w:rFonts w:ascii="Times New Roman" w:eastAsia="Times New Roman" w:hAnsi="Times New Roman" w:cs="Times New Roman"/>
          <w:noProof/>
          <w:color w:val="000000"/>
          <w:sz w:val="24"/>
          <w:szCs w:val="24"/>
        </w:rPr>
        <w:t xml:space="preserve"> pieņem, ka līdz pat 2045.</w:t>
      </w:r>
      <w:r w:rsidRPr="009B0F5F">
        <w:rPr>
          <w:rFonts w:ascii="Times New Roman" w:eastAsia="Times New Roman" w:hAnsi="Times New Roman" w:cs="Times New Roman"/>
          <w:noProof/>
          <w:color w:val="000000"/>
          <w:sz w:val="24"/>
          <w:szCs w:val="24"/>
        </w:rPr>
        <w:t xml:space="preserve">gadam Latvijā </w:t>
      </w:r>
      <w:r w:rsidRPr="009B0F5F">
        <w:rPr>
          <w:rFonts w:ascii="Times New Roman" w:eastAsia="Times New Roman" w:hAnsi="Times New Roman" w:cs="Times New Roman"/>
          <w:noProof/>
          <w:color w:val="000000"/>
          <w:sz w:val="24"/>
          <w:szCs w:val="24"/>
        </w:rPr>
        <w:lastRenderedPageBreak/>
        <w:t>var saglabāties negatīv</w:t>
      </w:r>
      <w:r w:rsidR="004C62F9">
        <w:rPr>
          <w:rFonts w:ascii="Times New Roman" w:eastAsia="Times New Roman" w:hAnsi="Times New Roman" w:cs="Times New Roman"/>
          <w:noProof/>
          <w:color w:val="000000"/>
          <w:sz w:val="24"/>
          <w:szCs w:val="24"/>
        </w:rPr>
        <w:t>s migrācijas saldo. 2070.</w:t>
      </w:r>
      <w:r w:rsidRPr="009B0F5F">
        <w:rPr>
          <w:rFonts w:ascii="Times New Roman" w:eastAsia="Times New Roman" w:hAnsi="Times New Roman" w:cs="Times New Roman"/>
          <w:noProof/>
          <w:color w:val="000000"/>
          <w:sz w:val="24"/>
          <w:szCs w:val="24"/>
        </w:rPr>
        <w:t xml:space="preserve">gadā </w:t>
      </w:r>
      <w:r w:rsidRPr="009B0F5F">
        <w:rPr>
          <w:rFonts w:ascii="Times New Roman" w:eastAsia="Times New Roman" w:hAnsi="Times New Roman" w:cs="Times New Roman"/>
          <w:i/>
          <w:noProof/>
          <w:color w:val="000000"/>
          <w:sz w:val="24"/>
          <w:szCs w:val="24"/>
        </w:rPr>
        <w:t>Eurostat</w:t>
      </w:r>
      <w:r w:rsidRPr="009B0F5F">
        <w:rPr>
          <w:rFonts w:ascii="Times New Roman" w:eastAsia="Times New Roman" w:hAnsi="Times New Roman" w:cs="Times New Roman"/>
          <w:color w:val="000000"/>
          <w:sz w:val="24"/>
          <w:szCs w:val="24"/>
        </w:rPr>
        <w:t xml:space="preserve"> prognozē, ka Latvijā būs 1,4 milj. iedzīvotāju.</w:t>
      </w:r>
    </w:p>
    <w:p w:rsidR="009B0F5F" w:rsidRPr="009B0F5F" w:rsidRDefault="009B0F5F" w:rsidP="00AB01C8">
      <w:pPr>
        <w:spacing w:after="120" w:line="240" w:lineRule="auto"/>
        <w:jc w:val="center"/>
        <w:rPr>
          <w:rFonts w:ascii="Times New Roman" w:eastAsia="Calibri" w:hAnsi="Times New Roman" w:cs="Times New Roman"/>
          <w:b/>
          <w:sz w:val="24"/>
          <w:szCs w:val="24"/>
        </w:rPr>
      </w:pPr>
      <w:r w:rsidRPr="009B0F5F">
        <w:rPr>
          <w:rFonts w:ascii="Times New Roman" w:eastAsia="Times New Roman" w:hAnsi="Times New Roman" w:cs="Times New Roman"/>
          <w:noProof/>
          <w:sz w:val="24"/>
          <w:szCs w:val="20"/>
          <w:lang w:eastAsia="lv-LV"/>
        </w:rPr>
        <w:drawing>
          <wp:anchor distT="0" distB="0" distL="114300" distR="114300" simplePos="0" relativeHeight="251664896" behindDoc="0" locked="0" layoutInCell="1" allowOverlap="1" wp14:anchorId="4BD352D9" wp14:editId="051E242E">
            <wp:simplePos x="0" y="0"/>
            <wp:positionH relativeFrom="column">
              <wp:posOffset>-6571</wp:posOffset>
            </wp:positionH>
            <wp:positionV relativeFrom="paragraph">
              <wp:posOffset>169711</wp:posOffset>
            </wp:positionV>
            <wp:extent cx="5759542" cy="305661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8800"/>
                    <a:stretch/>
                  </pic:blipFill>
                  <pic:spPr bwMode="auto">
                    <a:xfrm>
                      <a:off x="0" y="0"/>
                      <a:ext cx="5759542" cy="3056614"/>
                    </a:xfrm>
                    <a:prstGeom prst="rect">
                      <a:avLst/>
                    </a:prstGeom>
                    <a:noFill/>
                    <a:ln>
                      <a:noFill/>
                    </a:ln>
                    <a:extLst>
                      <a:ext uri="{53640926-AAD7-44D8-BBD7-CCE9431645EC}">
                        <a14:shadowObscured xmlns:a14="http://schemas.microsoft.com/office/drawing/2010/main"/>
                      </a:ext>
                    </a:extLst>
                  </pic:spPr>
                </pic:pic>
              </a:graphicData>
            </a:graphic>
          </wp:anchor>
        </w:drawing>
      </w:r>
      <w:r w:rsidR="00AB01C8">
        <w:rPr>
          <w:rFonts w:ascii="Times New Roman" w:eastAsia="Calibri" w:hAnsi="Times New Roman" w:cs="Times New Roman"/>
          <w:b/>
          <w:sz w:val="24"/>
          <w:szCs w:val="24"/>
        </w:rPr>
        <w:t>6</w:t>
      </w:r>
      <w:r w:rsidR="004C62F9">
        <w:rPr>
          <w:rFonts w:ascii="Times New Roman" w:eastAsia="Calibri" w:hAnsi="Times New Roman" w:cs="Times New Roman"/>
          <w:b/>
          <w:sz w:val="24"/>
          <w:szCs w:val="24"/>
        </w:rPr>
        <w:t>.1.</w:t>
      </w:r>
      <w:r w:rsidRPr="009B0F5F">
        <w:rPr>
          <w:rFonts w:ascii="Times New Roman" w:eastAsia="Calibri" w:hAnsi="Times New Roman" w:cs="Times New Roman"/>
          <w:b/>
          <w:sz w:val="24"/>
          <w:szCs w:val="24"/>
        </w:rPr>
        <w:t>att</w:t>
      </w:r>
      <w:r w:rsidR="004C62F9">
        <w:rPr>
          <w:rFonts w:ascii="Times New Roman" w:eastAsia="Calibri" w:hAnsi="Times New Roman" w:cs="Times New Roman"/>
          <w:b/>
          <w:sz w:val="24"/>
          <w:szCs w:val="24"/>
        </w:rPr>
        <w:t>ēls</w:t>
      </w:r>
      <w:r w:rsidRPr="009B0F5F">
        <w:rPr>
          <w:rFonts w:ascii="Times New Roman" w:eastAsia="Calibri" w:hAnsi="Times New Roman" w:cs="Times New Roman"/>
          <w:b/>
          <w:sz w:val="24"/>
          <w:szCs w:val="24"/>
        </w:rPr>
        <w:t xml:space="preserve">. Iedzīvotāju skaita izmaiņu ietekme kumulatīvi 5 gadu laikā uz </w:t>
      </w:r>
      <w:r w:rsidRPr="009B0F5F">
        <w:rPr>
          <w:rFonts w:ascii="Times New Roman" w:eastAsia="Calibri" w:hAnsi="Times New Roman" w:cs="Times New Roman"/>
          <w:b/>
          <w:i/>
          <w:sz w:val="24"/>
          <w:szCs w:val="24"/>
        </w:rPr>
        <w:t>t</w:t>
      </w:r>
      <w:r w:rsidRPr="009B0F5F">
        <w:rPr>
          <w:rFonts w:ascii="Times New Roman" w:eastAsia="Calibri" w:hAnsi="Times New Roman" w:cs="Times New Roman"/>
          <w:b/>
          <w:sz w:val="24"/>
          <w:szCs w:val="24"/>
        </w:rPr>
        <w:t xml:space="preserve"> gada 1.janvāri pa faktoriem: dzimušo skaits, mirušo skaits un migrācijas saldo, tūkst. (Datu avots: C</w:t>
      </w:r>
      <w:r w:rsidR="009F516D">
        <w:rPr>
          <w:rFonts w:ascii="Times New Roman" w:eastAsia="Calibri" w:hAnsi="Times New Roman" w:cs="Times New Roman"/>
          <w:b/>
          <w:sz w:val="24"/>
          <w:szCs w:val="24"/>
        </w:rPr>
        <w:t>SP</w:t>
      </w:r>
      <w:r w:rsidRPr="009B0F5F">
        <w:rPr>
          <w:rFonts w:ascii="Times New Roman" w:eastAsia="Calibri" w:hAnsi="Times New Roman" w:cs="Times New Roman"/>
          <w:b/>
          <w:sz w:val="24"/>
          <w:szCs w:val="24"/>
        </w:rPr>
        <w:t xml:space="preserve">, </w:t>
      </w:r>
      <w:r w:rsidRPr="009B0F5F">
        <w:rPr>
          <w:rFonts w:ascii="Times New Roman" w:eastAsia="Calibri" w:hAnsi="Times New Roman" w:cs="Times New Roman"/>
          <w:b/>
          <w:i/>
          <w:noProof/>
          <w:sz w:val="24"/>
          <w:szCs w:val="24"/>
        </w:rPr>
        <w:t>Eurostat</w:t>
      </w:r>
      <w:r w:rsidRPr="009B0F5F">
        <w:rPr>
          <w:rFonts w:ascii="Times New Roman" w:eastAsia="Calibri" w:hAnsi="Times New Roman" w:cs="Times New Roman"/>
          <w:b/>
          <w:sz w:val="24"/>
          <w:szCs w:val="24"/>
        </w:rPr>
        <w:t>)</w:t>
      </w:r>
    </w:p>
    <w:p w:rsidR="009B0F5F" w:rsidRPr="009B0F5F" w:rsidRDefault="009B0F5F" w:rsidP="004C62F9">
      <w:pPr>
        <w:spacing w:after="0" w:line="240" w:lineRule="auto"/>
        <w:ind w:firstLine="720"/>
        <w:jc w:val="both"/>
        <w:rPr>
          <w:rFonts w:ascii="Times New Roman" w:eastAsia="Times New Roman" w:hAnsi="Times New Roman" w:cs="Times New Roman"/>
          <w:sz w:val="24"/>
          <w:szCs w:val="20"/>
        </w:rPr>
      </w:pPr>
      <w:r w:rsidRPr="009B0F5F">
        <w:rPr>
          <w:rFonts w:ascii="Times New Roman" w:eastAsia="Times New Roman" w:hAnsi="Times New Roman" w:cs="Times New Roman"/>
          <w:color w:val="000000"/>
          <w:sz w:val="24"/>
          <w:szCs w:val="20"/>
          <w:lang w:eastAsia="lv-LV"/>
        </w:rPr>
        <w:t xml:space="preserve">Līdz ar ekonomiskās izaugsmes paātrināšanos turpināja uzlaboties situācija </w:t>
      </w:r>
      <w:r w:rsidRPr="009B0F5F">
        <w:rPr>
          <w:rFonts w:ascii="Times New Roman" w:eastAsia="Times New Roman" w:hAnsi="Times New Roman" w:cs="Times New Roman"/>
          <w:bCs/>
          <w:color w:val="000000"/>
          <w:sz w:val="24"/>
          <w:szCs w:val="20"/>
          <w:lang w:eastAsia="lv-LV"/>
        </w:rPr>
        <w:t>darba tirgū</w:t>
      </w:r>
      <w:r w:rsidRPr="009B0F5F">
        <w:rPr>
          <w:rFonts w:ascii="Times New Roman" w:eastAsia="Times New Roman" w:hAnsi="Times New Roman" w:cs="Times New Roman"/>
          <w:color w:val="000000"/>
          <w:sz w:val="24"/>
          <w:szCs w:val="20"/>
          <w:lang w:eastAsia="lv-LV"/>
        </w:rPr>
        <w:t xml:space="preserve"> un 2018.gadā būtiski straujāka kļuva bezdarba līmeņa samazināšanās un spēcīgāk auga tautsaimniecībā nodarbināto iedzīvotāju skaits. Bezdarba līmenis </w:t>
      </w:r>
      <w:r w:rsidR="004C62F9">
        <w:rPr>
          <w:rFonts w:ascii="Times New Roman" w:eastAsia="Times New Roman" w:hAnsi="Times New Roman" w:cs="Times New Roman"/>
          <w:color w:val="000000"/>
          <w:sz w:val="24"/>
          <w:szCs w:val="20"/>
          <w:lang w:eastAsia="lv-LV"/>
        </w:rPr>
        <w:t xml:space="preserve">pēc darbaspēka </w:t>
      </w:r>
      <w:proofErr w:type="spellStart"/>
      <w:r w:rsidR="004C62F9">
        <w:rPr>
          <w:rFonts w:ascii="Times New Roman" w:eastAsia="Times New Roman" w:hAnsi="Times New Roman" w:cs="Times New Roman"/>
          <w:color w:val="000000"/>
          <w:sz w:val="24"/>
          <w:szCs w:val="20"/>
          <w:lang w:eastAsia="lv-LV"/>
        </w:rPr>
        <w:t>apsekojuma</w:t>
      </w:r>
      <w:proofErr w:type="spellEnd"/>
      <w:r w:rsidR="004C62F9">
        <w:rPr>
          <w:rFonts w:ascii="Times New Roman" w:eastAsia="Times New Roman" w:hAnsi="Times New Roman" w:cs="Times New Roman"/>
          <w:color w:val="000000"/>
          <w:sz w:val="24"/>
          <w:szCs w:val="20"/>
          <w:lang w:eastAsia="lv-LV"/>
        </w:rPr>
        <w:t xml:space="preserve"> 2018.</w:t>
      </w:r>
      <w:r w:rsidRPr="009B0F5F">
        <w:rPr>
          <w:rFonts w:ascii="Times New Roman" w:eastAsia="Times New Roman" w:hAnsi="Times New Roman" w:cs="Times New Roman"/>
          <w:color w:val="000000"/>
          <w:sz w:val="24"/>
          <w:szCs w:val="20"/>
          <w:lang w:eastAsia="lv-LV"/>
        </w:rPr>
        <w:t>gadā samazinājās par 1,3</w:t>
      </w:r>
      <w:r w:rsidR="004C62F9">
        <w:rPr>
          <w:rFonts w:ascii="Times New Roman" w:eastAsia="Times New Roman" w:hAnsi="Times New Roman" w:cs="Times New Roman"/>
          <w:color w:val="000000"/>
          <w:sz w:val="24"/>
          <w:szCs w:val="20"/>
          <w:lang w:eastAsia="lv-LV"/>
        </w:rPr>
        <w:t xml:space="preserve"> </w:t>
      </w:r>
      <w:r w:rsidRPr="009B0F5F">
        <w:rPr>
          <w:rFonts w:ascii="Times New Roman" w:eastAsia="Times New Roman" w:hAnsi="Times New Roman" w:cs="Times New Roman"/>
          <w:color w:val="000000"/>
          <w:sz w:val="24"/>
          <w:szCs w:val="20"/>
          <w:lang w:eastAsia="lv-LV"/>
        </w:rPr>
        <w:t>procentpunktiem līdz 7,4% no ekonomiski aktīvajiem iedzīvotājiem. Tas bija straujākais bez</w:t>
      </w:r>
      <w:r w:rsidR="004C62F9">
        <w:rPr>
          <w:rFonts w:ascii="Times New Roman" w:eastAsia="Times New Roman" w:hAnsi="Times New Roman" w:cs="Times New Roman"/>
          <w:color w:val="000000"/>
          <w:sz w:val="24"/>
          <w:szCs w:val="20"/>
          <w:lang w:eastAsia="lv-LV"/>
        </w:rPr>
        <w:t>darba līmeņa kritums kopš 2013.</w:t>
      </w:r>
      <w:r w:rsidRPr="009B0F5F">
        <w:rPr>
          <w:rFonts w:ascii="Times New Roman" w:eastAsia="Times New Roman" w:hAnsi="Times New Roman" w:cs="Times New Roman"/>
          <w:color w:val="000000"/>
          <w:sz w:val="24"/>
          <w:szCs w:val="20"/>
          <w:lang w:eastAsia="lv-LV"/>
        </w:rPr>
        <w:t xml:space="preserve">gada. Savukārt, </w:t>
      </w:r>
      <w:r w:rsidRPr="009B0F5F">
        <w:rPr>
          <w:rFonts w:ascii="Times New Roman" w:eastAsia="Times New Roman" w:hAnsi="Times New Roman" w:cs="Times New Roman"/>
          <w:sz w:val="24"/>
          <w:szCs w:val="20"/>
        </w:rPr>
        <w:t>reģistrētā bezdarba līmenis 2018</w:t>
      </w:r>
      <w:r w:rsidR="004C62F9">
        <w:rPr>
          <w:rFonts w:ascii="Times New Roman" w:eastAsia="Times New Roman" w:hAnsi="Times New Roman" w:cs="Times New Roman"/>
          <w:sz w:val="24"/>
          <w:szCs w:val="20"/>
        </w:rPr>
        <w:t>.</w:t>
      </w:r>
      <w:r w:rsidRPr="009B0F5F">
        <w:rPr>
          <w:rFonts w:ascii="Times New Roman" w:eastAsia="Times New Roman" w:hAnsi="Times New Roman" w:cs="Times New Roman"/>
          <w:sz w:val="24"/>
          <w:szCs w:val="20"/>
        </w:rPr>
        <w:t>gada decembra beigās bija samazinājies līdz 6,4%, kas ir par 0,4</w:t>
      </w:r>
      <w:r w:rsidR="004C62F9">
        <w:rPr>
          <w:rFonts w:ascii="Times New Roman" w:eastAsia="Times New Roman" w:hAnsi="Times New Roman" w:cs="Times New Roman"/>
          <w:sz w:val="24"/>
          <w:szCs w:val="20"/>
        </w:rPr>
        <w:t xml:space="preserve"> </w:t>
      </w:r>
      <w:r w:rsidRPr="009B0F5F">
        <w:rPr>
          <w:rFonts w:ascii="Times New Roman" w:eastAsia="Times New Roman" w:hAnsi="Times New Roman" w:cs="Times New Roman"/>
          <w:sz w:val="24"/>
          <w:szCs w:val="20"/>
        </w:rPr>
        <w:t>pr</w:t>
      </w:r>
      <w:r w:rsidR="004C62F9">
        <w:rPr>
          <w:rFonts w:ascii="Times New Roman" w:eastAsia="Times New Roman" w:hAnsi="Times New Roman" w:cs="Times New Roman"/>
          <w:sz w:val="24"/>
          <w:szCs w:val="20"/>
        </w:rPr>
        <w:t>ocentpunktiem zemāks nekā 2017.</w:t>
      </w:r>
      <w:r w:rsidRPr="009B0F5F">
        <w:rPr>
          <w:rFonts w:ascii="Times New Roman" w:eastAsia="Times New Roman" w:hAnsi="Times New Roman" w:cs="Times New Roman"/>
          <w:sz w:val="24"/>
          <w:szCs w:val="20"/>
        </w:rPr>
        <w:t xml:space="preserve">gada decembra beigās. </w:t>
      </w:r>
    </w:p>
    <w:p w:rsidR="009B0F5F" w:rsidRPr="004B1C2A" w:rsidRDefault="009B0F5F" w:rsidP="004C62F9">
      <w:pPr>
        <w:spacing w:after="0" w:line="240" w:lineRule="auto"/>
        <w:ind w:firstLine="720"/>
        <w:jc w:val="both"/>
        <w:rPr>
          <w:rFonts w:ascii="Times New Roman" w:eastAsia="Times New Roman" w:hAnsi="Times New Roman" w:cs="Times New Roman"/>
          <w:color w:val="0000FF"/>
          <w:sz w:val="24"/>
          <w:szCs w:val="20"/>
        </w:rPr>
      </w:pPr>
      <w:r w:rsidRPr="009B0F5F">
        <w:rPr>
          <w:rFonts w:ascii="Times New Roman" w:eastAsia="Times New Roman" w:hAnsi="Times New Roman" w:cs="Times New Roman"/>
          <w:sz w:val="24"/>
          <w:szCs w:val="20"/>
        </w:rPr>
        <w:t>Tautsaimniecībā nodar</w:t>
      </w:r>
      <w:r w:rsidR="004C62F9">
        <w:rPr>
          <w:rFonts w:ascii="Times New Roman" w:eastAsia="Times New Roman" w:hAnsi="Times New Roman" w:cs="Times New Roman"/>
          <w:sz w:val="24"/>
          <w:szCs w:val="20"/>
        </w:rPr>
        <w:t>bināto iedzīvotāju skaits 2018.</w:t>
      </w:r>
      <w:r w:rsidRPr="009B0F5F">
        <w:rPr>
          <w:rFonts w:ascii="Times New Roman" w:eastAsia="Times New Roman" w:hAnsi="Times New Roman" w:cs="Times New Roman"/>
          <w:sz w:val="24"/>
          <w:szCs w:val="20"/>
        </w:rPr>
        <w:t>gadā palielinājās par 1,6% līdz 909,4</w:t>
      </w:r>
      <w:r w:rsidR="004C62F9">
        <w:rPr>
          <w:rFonts w:ascii="Times New Roman" w:eastAsia="Times New Roman" w:hAnsi="Times New Roman" w:cs="Times New Roman"/>
          <w:sz w:val="24"/>
          <w:szCs w:val="20"/>
        </w:rPr>
        <w:t xml:space="preserve"> </w:t>
      </w:r>
      <w:r w:rsidRPr="009B0F5F">
        <w:rPr>
          <w:rFonts w:ascii="Times New Roman" w:eastAsia="Times New Roman" w:hAnsi="Times New Roman" w:cs="Times New Roman"/>
          <w:sz w:val="24"/>
          <w:szCs w:val="20"/>
        </w:rPr>
        <w:t>tūkstošiem, kas bija būtiski straujāk nekā iepriekšējos gados</w:t>
      </w:r>
      <w:r w:rsidRPr="004B1C2A">
        <w:rPr>
          <w:rFonts w:ascii="Times New Roman" w:eastAsia="Times New Roman" w:hAnsi="Times New Roman" w:cs="Times New Roman"/>
          <w:sz w:val="24"/>
          <w:szCs w:val="20"/>
        </w:rPr>
        <w:t xml:space="preserve">. </w:t>
      </w:r>
      <w:r w:rsidRPr="004B1C2A">
        <w:rPr>
          <w:rFonts w:ascii="Times New Roman" w:eastAsia="Times New Roman" w:hAnsi="Times New Roman" w:cs="Times New Roman"/>
          <w:color w:val="000000"/>
          <w:sz w:val="24"/>
          <w:szCs w:val="24"/>
        </w:rPr>
        <w:t>Jau šobrīd novērojams, ka darbspējas vecuma iedzīvotāju (15</w:t>
      </w:r>
      <w:r w:rsidR="004C62F9" w:rsidRPr="004B1C2A">
        <w:rPr>
          <w:rFonts w:ascii="Times New Roman" w:eastAsia="Times New Roman" w:hAnsi="Times New Roman" w:cs="Times New Roman"/>
          <w:noProof/>
          <w:color w:val="000000"/>
          <w:sz w:val="24"/>
          <w:szCs w:val="24"/>
        </w:rPr>
        <w:t xml:space="preserve"> – </w:t>
      </w:r>
      <w:r w:rsidRPr="004B1C2A">
        <w:rPr>
          <w:rFonts w:ascii="Times New Roman" w:eastAsia="Times New Roman" w:hAnsi="Times New Roman" w:cs="Times New Roman"/>
          <w:color w:val="000000"/>
          <w:sz w:val="24"/>
          <w:szCs w:val="24"/>
        </w:rPr>
        <w:t>74 gadi) skaitam pēdējos gados samazinoties aptuveni par 1,5% gadā, bet paātrinoties ekonomikas izaugsmei, arvien palielinās iedzīvotāju ekonomiskās aktivitātes līmenis, ekonomiski aktīvajiem iedzīvotājiem 201</w:t>
      </w:r>
      <w:r w:rsidR="004C62F9" w:rsidRPr="004B1C2A">
        <w:rPr>
          <w:rFonts w:ascii="Times New Roman" w:eastAsia="Times New Roman" w:hAnsi="Times New Roman" w:cs="Times New Roman"/>
          <w:color w:val="000000"/>
          <w:sz w:val="24"/>
          <w:szCs w:val="24"/>
        </w:rPr>
        <w:t>5.gadā sasniedzot 67,5%, 2016.</w:t>
      </w:r>
      <w:r w:rsidRPr="004B1C2A">
        <w:rPr>
          <w:rFonts w:ascii="Times New Roman" w:eastAsia="Times New Roman" w:hAnsi="Times New Roman" w:cs="Times New Roman"/>
          <w:color w:val="000000"/>
          <w:sz w:val="24"/>
          <w:szCs w:val="24"/>
        </w:rPr>
        <w:t>gadā 68,</w:t>
      </w:r>
      <w:r w:rsidR="004C62F9" w:rsidRPr="004B1C2A">
        <w:rPr>
          <w:rFonts w:ascii="Times New Roman" w:eastAsia="Times New Roman" w:hAnsi="Times New Roman" w:cs="Times New Roman"/>
          <w:color w:val="000000"/>
          <w:sz w:val="24"/>
          <w:szCs w:val="24"/>
        </w:rPr>
        <w:t>2%, 2017.gadā 68,9%, bet 2018.</w:t>
      </w:r>
      <w:r w:rsidRPr="004B1C2A">
        <w:rPr>
          <w:rFonts w:ascii="Times New Roman" w:eastAsia="Times New Roman" w:hAnsi="Times New Roman" w:cs="Times New Roman"/>
          <w:color w:val="000000"/>
          <w:sz w:val="24"/>
          <w:szCs w:val="24"/>
        </w:rPr>
        <w:t xml:space="preserve">gadā jau 69,7% no darbspējas vecuma iedzīvotājiem. </w:t>
      </w:r>
      <w:r w:rsidR="00636713" w:rsidRPr="004B1C2A">
        <w:rPr>
          <w:rFonts w:ascii="Times New Roman" w:eastAsia="Times New Roman" w:hAnsi="Times New Roman" w:cs="Times New Roman"/>
          <w:color w:val="000000"/>
          <w:sz w:val="24"/>
          <w:szCs w:val="24"/>
        </w:rPr>
        <w:t>EK</w:t>
      </w:r>
      <w:r w:rsidRPr="004B1C2A">
        <w:rPr>
          <w:rFonts w:ascii="Times New Roman" w:eastAsia="Times New Roman" w:hAnsi="Times New Roman" w:cs="Times New Roman"/>
          <w:color w:val="000000"/>
          <w:sz w:val="24"/>
          <w:szCs w:val="24"/>
        </w:rPr>
        <w:t xml:space="preserve"> prognozē, ka Latvijā kopumā nodarbinātības līme</w:t>
      </w:r>
      <w:r w:rsidR="004C62F9" w:rsidRPr="004B1C2A">
        <w:rPr>
          <w:rFonts w:ascii="Times New Roman" w:eastAsia="Times New Roman" w:hAnsi="Times New Roman" w:cs="Times New Roman"/>
          <w:color w:val="000000"/>
          <w:sz w:val="24"/>
          <w:szCs w:val="24"/>
        </w:rPr>
        <w:t>nis ilgtermiņā pieaugs un 2070.</w:t>
      </w:r>
      <w:r w:rsidRPr="004B1C2A">
        <w:rPr>
          <w:rFonts w:ascii="Times New Roman" w:eastAsia="Times New Roman" w:hAnsi="Times New Roman" w:cs="Times New Roman"/>
          <w:color w:val="000000"/>
          <w:sz w:val="24"/>
          <w:szCs w:val="24"/>
        </w:rPr>
        <w:t>gadā būtu 70,3%.</w:t>
      </w:r>
    </w:p>
    <w:p w:rsidR="009B0F5F" w:rsidRPr="009B0F5F" w:rsidRDefault="009B0F5F" w:rsidP="004C62F9">
      <w:pPr>
        <w:spacing w:after="0" w:line="240" w:lineRule="auto"/>
        <w:ind w:firstLine="720"/>
        <w:jc w:val="both"/>
        <w:rPr>
          <w:rFonts w:ascii="Times New Roman" w:eastAsia="Times New Roman" w:hAnsi="Times New Roman" w:cs="Times New Roman"/>
          <w:color w:val="0000FF"/>
          <w:sz w:val="24"/>
          <w:szCs w:val="20"/>
          <w:u w:val="single"/>
        </w:rPr>
      </w:pPr>
      <w:r w:rsidRPr="004B1C2A">
        <w:rPr>
          <w:rFonts w:ascii="Times New Roman" w:eastAsia="Times New Roman" w:hAnsi="Times New Roman" w:cs="Times New Roman"/>
          <w:color w:val="000000"/>
          <w:sz w:val="24"/>
          <w:szCs w:val="24"/>
        </w:rPr>
        <w:t>Nozīmīg</w:t>
      </w:r>
      <w:r w:rsidR="004C62F9" w:rsidRPr="004B1C2A">
        <w:rPr>
          <w:rFonts w:ascii="Times New Roman" w:eastAsia="Times New Roman" w:hAnsi="Times New Roman" w:cs="Times New Roman"/>
          <w:color w:val="000000"/>
          <w:sz w:val="24"/>
          <w:szCs w:val="24"/>
        </w:rPr>
        <w:t>u daļu no nodarbinātajiem 2018.</w:t>
      </w:r>
      <w:r w:rsidRPr="004B1C2A">
        <w:rPr>
          <w:rFonts w:ascii="Times New Roman" w:eastAsia="Times New Roman" w:hAnsi="Times New Roman" w:cs="Times New Roman"/>
          <w:color w:val="000000"/>
          <w:sz w:val="24"/>
          <w:szCs w:val="24"/>
        </w:rPr>
        <w:t>gadā veidoja vecuma grupa 55</w:t>
      </w:r>
      <w:r w:rsidR="004C62F9" w:rsidRPr="004B1C2A">
        <w:rPr>
          <w:rFonts w:ascii="Times New Roman" w:eastAsia="Times New Roman" w:hAnsi="Times New Roman" w:cs="Times New Roman"/>
          <w:noProof/>
          <w:color w:val="000000"/>
          <w:sz w:val="24"/>
          <w:szCs w:val="24"/>
        </w:rPr>
        <w:t xml:space="preserve"> – </w:t>
      </w:r>
      <w:r w:rsidRPr="004B1C2A">
        <w:rPr>
          <w:rFonts w:ascii="Times New Roman" w:eastAsia="Times New Roman" w:hAnsi="Times New Roman" w:cs="Times New Roman"/>
          <w:color w:val="000000"/>
          <w:sz w:val="24"/>
          <w:szCs w:val="24"/>
        </w:rPr>
        <w:t>64</w:t>
      </w:r>
      <w:r w:rsidR="004C62F9" w:rsidRPr="004B1C2A">
        <w:rPr>
          <w:rFonts w:ascii="Times New Roman" w:eastAsia="Times New Roman" w:hAnsi="Times New Roman" w:cs="Times New Roman"/>
          <w:color w:val="000000"/>
          <w:sz w:val="24"/>
          <w:szCs w:val="24"/>
        </w:rPr>
        <w:t xml:space="preserve"> </w:t>
      </w:r>
      <w:r w:rsidRPr="004B1C2A">
        <w:rPr>
          <w:rFonts w:ascii="Times New Roman" w:eastAsia="Times New Roman" w:hAnsi="Times New Roman" w:cs="Times New Roman"/>
          <w:color w:val="000000"/>
          <w:sz w:val="24"/>
          <w:szCs w:val="24"/>
        </w:rPr>
        <w:t>gadi, kas bija 19,3% no nodarbināta</w:t>
      </w:r>
      <w:r w:rsidR="004C62F9" w:rsidRPr="004B1C2A">
        <w:rPr>
          <w:rFonts w:ascii="Times New Roman" w:eastAsia="Times New Roman" w:hAnsi="Times New Roman" w:cs="Times New Roman"/>
          <w:color w:val="000000"/>
          <w:sz w:val="24"/>
          <w:szCs w:val="24"/>
        </w:rPr>
        <w:t>jiem, un salīdzinājumā ar 2017.</w:t>
      </w:r>
      <w:r w:rsidRPr="004B1C2A">
        <w:rPr>
          <w:rFonts w:ascii="Times New Roman" w:eastAsia="Times New Roman" w:hAnsi="Times New Roman" w:cs="Times New Roman"/>
          <w:color w:val="000000"/>
          <w:sz w:val="24"/>
          <w:szCs w:val="24"/>
        </w:rPr>
        <w:t>gadu šīs vecuma grupas nodarbināto skaits pieauga par 6,0%. Ar</w:t>
      </w:r>
      <w:r w:rsidR="004C62F9" w:rsidRPr="004B1C2A">
        <w:rPr>
          <w:rFonts w:ascii="Times New Roman" w:eastAsia="Times New Roman" w:hAnsi="Times New Roman" w:cs="Times New Roman"/>
          <w:color w:val="000000"/>
          <w:sz w:val="24"/>
          <w:szCs w:val="24"/>
        </w:rPr>
        <w:t>ī vecuma grupā 65</w:t>
      </w:r>
      <w:r w:rsidR="004C62F9" w:rsidRPr="004B1C2A">
        <w:rPr>
          <w:rFonts w:ascii="Times New Roman" w:eastAsia="Times New Roman" w:hAnsi="Times New Roman" w:cs="Times New Roman"/>
          <w:noProof/>
          <w:color w:val="000000"/>
          <w:sz w:val="24"/>
          <w:szCs w:val="24"/>
        </w:rPr>
        <w:t xml:space="preserve"> – </w:t>
      </w:r>
      <w:r w:rsidR="004C62F9" w:rsidRPr="004B1C2A">
        <w:rPr>
          <w:rFonts w:ascii="Times New Roman" w:eastAsia="Times New Roman" w:hAnsi="Times New Roman" w:cs="Times New Roman"/>
          <w:color w:val="000000"/>
          <w:sz w:val="24"/>
          <w:szCs w:val="24"/>
        </w:rPr>
        <w:t>74 gadi 2018.</w:t>
      </w:r>
      <w:r w:rsidRPr="004B1C2A">
        <w:rPr>
          <w:rFonts w:ascii="Times New Roman" w:eastAsia="Times New Roman" w:hAnsi="Times New Roman" w:cs="Times New Roman"/>
          <w:color w:val="000000"/>
          <w:sz w:val="24"/>
          <w:szCs w:val="24"/>
        </w:rPr>
        <w:t xml:space="preserve">gadā bija novērojams nodarbināto pieaugums – par 9,1%, sasniedzot 36 tūkstošus </w:t>
      </w:r>
      <w:r w:rsidRPr="009B0F5F">
        <w:rPr>
          <w:rFonts w:ascii="Times New Roman" w:eastAsia="Times New Roman" w:hAnsi="Times New Roman" w:cs="Times New Roman"/>
          <w:sz w:val="24"/>
          <w:szCs w:val="20"/>
        </w:rPr>
        <w:t xml:space="preserve">(skat. attēlu </w:t>
      </w:r>
      <w:r w:rsidR="00AB01C8">
        <w:rPr>
          <w:rFonts w:ascii="Times New Roman" w:eastAsia="Times New Roman" w:hAnsi="Times New Roman" w:cs="Times New Roman"/>
          <w:sz w:val="24"/>
          <w:szCs w:val="20"/>
        </w:rPr>
        <w:t>6</w:t>
      </w:r>
      <w:r w:rsidRPr="009B0F5F">
        <w:rPr>
          <w:rFonts w:ascii="Times New Roman" w:eastAsia="Times New Roman" w:hAnsi="Times New Roman" w:cs="Times New Roman"/>
          <w:sz w:val="24"/>
          <w:szCs w:val="20"/>
        </w:rPr>
        <w:t>.2.).</w:t>
      </w:r>
    </w:p>
    <w:p w:rsidR="009B0F5F" w:rsidRPr="009B0F5F" w:rsidRDefault="009B0F5F" w:rsidP="004C62F9">
      <w:pPr>
        <w:spacing w:after="0" w:line="240" w:lineRule="auto"/>
        <w:ind w:firstLine="714"/>
        <w:jc w:val="both"/>
        <w:rPr>
          <w:rFonts w:ascii="Times New Roman" w:eastAsia="Times New Roman" w:hAnsi="Times New Roman" w:cs="Times New Roman"/>
          <w:color w:val="000000"/>
          <w:sz w:val="24"/>
          <w:szCs w:val="24"/>
        </w:rPr>
      </w:pPr>
      <w:r w:rsidRPr="009B0F5F">
        <w:rPr>
          <w:rFonts w:ascii="Times New Roman" w:eastAsia="Times New Roman" w:hAnsi="Times New Roman" w:cs="Times New Roman"/>
          <w:color w:val="000000"/>
          <w:sz w:val="24"/>
          <w:szCs w:val="24"/>
        </w:rPr>
        <w:t>Nodarbinātības veicināšanai, it īpaši vecuma grupā 55+, Labklājības ministrija un Ekonomikas ministrija realizē vairākus darba tirgu stimulējošos pasākumus, piemēram:</w:t>
      </w:r>
    </w:p>
    <w:p w:rsidR="009B0F5F" w:rsidRPr="009B0F5F" w:rsidRDefault="009B0F5F" w:rsidP="00DA42C2">
      <w:pPr>
        <w:numPr>
          <w:ilvl w:val="0"/>
          <w:numId w:val="25"/>
        </w:numPr>
        <w:spacing w:after="120" w:line="240" w:lineRule="auto"/>
        <w:ind w:left="714" w:hanging="357"/>
        <w:jc w:val="both"/>
        <w:rPr>
          <w:rFonts w:ascii="Times New Roman" w:eastAsia="Times New Roman" w:hAnsi="Times New Roman" w:cs="Times New Roman"/>
          <w:bCs/>
          <w:noProof/>
          <w:color w:val="000000"/>
          <w:sz w:val="24"/>
          <w:szCs w:val="24"/>
        </w:rPr>
      </w:pPr>
      <w:r w:rsidRPr="009B0F5F">
        <w:rPr>
          <w:rFonts w:ascii="Times New Roman" w:eastAsia="Times New Roman" w:hAnsi="Times New Roman" w:cs="Times New Roman"/>
          <w:color w:val="000000"/>
          <w:sz w:val="24"/>
          <w:szCs w:val="24"/>
        </w:rPr>
        <w:t>Aktīvās novecošanās pasākumi</w:t>
      </w:r>
      <w:r w:rsidRPr="009B0F5F">
        <w:rPr>
          <w:rFonts w:ascii="Times New Roman" w:eastAsia="Times New Roman" w:hAnsi="Times New Roman" w:cs="Times New Roman"/>
          <w:bCs/>
          <w:color w:val="000000"/>
          <w:sz w:val="24"/>
          <w:szCs w:val="24"/>
        </w:rPr>
        <w:t xml:space="preserve"> (izglītojoši semināri un konferences darba devējiem un nodarbinātājiem, kā</w:t>
      </w:r>
      <w:r w:rsidRPr="009B0F5F">
        <w:rPr>
          <w:rFonts w:ascii="Times New Roman" w:eastAsia="Times New Roman" w:hAnsi="Times New Roman" w:cs="Times New Roman"/>
          <w:b/>
          <w:bCs/>
          <w:color w:val="000000"/>
          <w:sz w:val="24"/>
          <w:szCs w:val="24"/>
        </w:rPr>
        <w:t xml:space="preserve"> </w:t>
      </w:r>
      <w:r w:rsidRPr="009B0F5F">
        <w:rPr>
          <w:rFonts w:ascii="Times New Roman" w:eastAsia="Times New Roman" w:hAnsi="Times New Roman" w:cs="Times New Roman"/>
          <w:bCs/>
          <w:color w:val="000000"/>
          <w:sz w:val="24"/>
          <w:szCs w:val="24"/>
        </w:rPr>
        <w:t>paildzināt gados vecāku nodarbināto darbspēju saglabāšanu un nodarbinātību</w:t>
      </w:r>
      <w:r w:rsidRPr="009B0F5F">
        <w:rPr>
          <w:rFonts w:ascii="Times New Roman" w:eastAsia="Times New Roman" w:hAnsi="Times New Roman" w:cs="Times New Roman"/>
          <w:color w:val="000000"/>
          <w:sz w:val="24"/>
          <w:szCs w:val="24"/>
        </w:rPr>
        <w:t>,</w:t>
      </w:r>
      <w:r w:rsidRPr="009B0F5F">
        <w:rPr>
          <w:rFonts w:ascii="Times New Roman" w:eastAsia="Times New Roman" w:hAnsi="Times New Roman" w:cs="Times New Roman"/>
          <w:bCs/>
          <w:color w:val="000000"/>
          <w:sz w:val="24"/>
          <w:szCs w:val="24"/>
        </w:rPr>
        <w:t xml:space="preserve"> darba vietas </w:t>
      </w:r>
      <w:r w:rsidRPr="009B0F5F">
        <w:rPr>
          <w:rFonts w:ascii="Times New Roman" w:eastAsia="Times New Roman" w:hAnsi="Times New Roman" w:cs="Times New Roman"/>
          <w:bCs/>
          <w:noProof/>
          <w:color w:val="000000"/>
          <w:sz w:val="24"/>
          <w:szCs w:val="24"/>
        </w:rPr>
        <w:t xml:space="preserve">pielāgošana atbilstoši ergoterapeita atzinumam, veselības </w:t>
      </w:r>
      <w:r w:rsidRPr="009B0F5F">
        <w:rPr>
          <w:rFonts w:ascii="Times New Roman" w:eastAsia="Times New Roman" w:hAnsi="Times New Roman" w:cs="Times New Roman"/>
          <w:bCs/>
          <w:noProof/>
          <w:color w:val="000000"/>
          <w:sz w:val="24"/>
          <w:szCs w:val="24"/>
        </w:rPr>
        <w:lastRenderedPageBreak/>
        <w:t>uzlabošanas pasākumi, mentorings un alternatīvu darba formu piemērošana, vecāko darbinieku iekļaušana darba kolektīvā; uzsverot viņu priekšrocības darba tirgū).</w:t>
      </w:r>
    </w:p>
    <w:p w:rsidR="009B0F5F" w:rsidRPr="009B0F5F" w:rsidRDefault="009B0F5F" w:rsidP="009B0F5F">
      <w:pPr>
        <w:spacing w:after="120" w:line="240" w:lineRule="auto"/>
        <w:ind w:firstLine="284"/>
        <w:jc w:val="center"/>
        <w:rPr>
          <w:rFonts w:ascii="Times New Roman" w:eastAsia="Times New Roman" w:hAnsi="Times New Roman" w:cs="Times New Roman"/>
          <w:b/>
          <w:sz w:val="24"/>
          <w:szCs w:val="24"/>
        </w:rPr>
      </w:pPr>
      <w:r w:rsidRPr="009B0F5F">
        <w:rPr>
          <w:rFonts w:ascii="Times New Roman" w:eastAsia="Times New Roman" w:hAnsi="Times New Roman" w:cs="Times New Roman"/>
          <w:noProof/>
          <w:sz w:val="24"/>
          <w:szCs w:val="20"/>
          <w:lang w:eastAsia="lv-LV"/>
        </w:rPr>
        <w:drawing>
          <wp:inline distT="0" distB="0" distL="0" distR="0" wp14:anchorId="705EA7EA" wp14:editId="7A5CA67A">
            <wp:extent cx="5684637" cy="295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1390" b="9126"/>
                    <a:stretch/>
                  </pic:blipFill>
                  <pic:spPr bwMode="auto">
                    <a:xfrm>
                      <a:off x="0" y="0"/>
                      <a:ext cx="5684637" cy="2952000"/>
                    </a:xfrm>
                    <a:prstGeom prst="rect">
                      <a:avLst/>
                    </a:prstGeom>
                    <a:noFill/>
                    <a:ln>
                      <a:noFill/>
                    </a:ln>
                    <a:extLst>
                      <a:ext uri="{53640926-AAD7-44D8-BBD7-CCE9431645EC}">
                        <a14:shadowObscured xmlns:a14="http://schemas.microsoft.com/office/drawing/2010/main"/>
                      </a:ext>
                    </a:extLst>
                  </pic:spPr>
                </pic:pic>
              </a:graphicData>
            </a:graphic>
          </wp:inline>
        </w:drawing>
      </w:r>
    </w:p>
    <w:p w:rsidR="009B0F5F" w:rsidRPr="009B0F5F" w:rsidRDefault="00AB01C8" w:rsidP="009B0F5F">
      <w:pPr>
        <w:autoSpaceDE w:val="0"/>
        <w:autoSpaceDN w:val="0"/>
        <w:adjustRightInd w:val="0"/>
        <w:spacing w:after="12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9B0F5F" w:rsidRPr="009B0F5F">
        <w:rPr>
          <w:rFonts w:ascii="Times New Roman" w:eastAsia="Times New Roman" w:hAnsi="Times New Roman" w:cs="Times New Roman"/>
          <w:b/>
          <w:sz w:val="24"/>
          <w:szCs w:val="24"/>
        </w:rPr>
        <w:t>.2. attēls Darbspējas vecuma iedzīvotāju, ekonomiski aktīvo iedzīvotāju, nodarbināto skaits sadalījumā pa vecuma grupām, tūkst. (Datu avots: CSP, EK, FM)</w:t>
      </w:r>
    </w:p>
    <w:p w:rsidR="009B0F5F" w:rsidRPr="009B0F5F" w:rsidRDefault="009B0F5F" w:rsidP="00DA42C2">
      <w:pPr>
        <w:numPr>
          <w:ilvl w:val="0"/>
          <w:numId w:val="25"/>
        </w:numPr>
        <w:spacing w:after="0" w:line="240" w:lineRule="auto"/>
        <w:ind w:left="714" w:hanging="357"/>
        <w:jc w:val="both"/>
        <w:rPr>
          <w:rFonts w:ascii="Times New Roman" w:eastAsia="Times New Roman" w:hAnsi="Times New Roman" w:cs="Times New Roman"/>
          <w:bCs/>
          <w:color w:val="000000"/>
          <w:sz w:val="24"/>
          <w:szCs w:val="24"/>
        </w:rPr>
      </w:pPr>
      <w:r w:rsidRPr="009B0F5F">
        <w:rPr>
          <w:rFonts w:ascii="Times New Roman" w:eastAsia="Times New Roman" w:hAnsi="Times New Roman" w:cs="Times New Roman"/>
          <w:noProof/>
          <w:color w:val="000000"/>
          <w:sz w:val="24"/>
          <w:szCs w:val="24"/>
        </w:rPr>
        <w:t>Pasākumi bezdarba riskam pakļautām personām vecumā no 50 gadiem (</w:t>
      </w:r>
      <w:r w:rsidRPr="009B0F5F">
        <w:rPr>
          <w:rFonts w:ascii="Times New Roman" w:eastAsia="Times New Roman" w:hAnsi="Times New Roman" w:cs="Times New Roman"/>
          <w:bCs/>
          <w:noProof/>
          <w:color w:val="000000"/>
          <w:sz w:val="24"/>
          <w:szCs w:val="24"/>
        </w:rPr>
        <w:t xml:space="preserve">ilgstošie bezdarbnieki, t.sk. bezdarbnieki ar invaliditāti un prognozējamu invaliditāti, kā arī bezdarbnieki, kuriem ir konstatēta vai ir iespējama alkohola, narkotisko vai psihotropo vielu atkarība, tiek iekārtoti piemērotā pastāvīgā darbā, tiek izglītoti piemērotā apmācību programmā vai iesaistīti kādā no </w:t>
      </w:r>
      <w:hyperlink r:id="rId31" w:history="1">
        <w:r w:rsidR="005F72E5" w:rsidRPr="005F72E5">
          <w:rPr>
            <w:rFonts w:ascii="Times New Roman" w:eastAsia="Times New Roman" w:hAnsi="Times New Roman" w:cs="Times New Roman"/>
            <w:noProof/>
            <w:color w:val="000000"/>
            <w:sz w:val="24"/>
            <w:szCs w:val="24"/>
          </w:rPr>
          <w:t>Nodarbinātības valsts aģentūra</w:t>
        </w:r>
      </w:hyperlink>
      <w:r w:rsidR="005F72E5" w:rsidRPr="005F72E5">
        <w:rPr>
          <w:rFonts w:ascii="Times New Roman" w:eastAsia="Times New Roman" w:hAnsi="Times New Roman" w:cs="Times New Roman"/>
          <w:bCs/>
          <w:noProof/>
          <w:color w:val="000000"/>
          <w:sz w:val="24"/>
          <w:szCs w:val="24"/>
        </w:rPr>
        <w:t>s</w:t>
      </w:r>
      <w:r w:rsidRPr="009B0F5F">
        <w:rPr>
          <w:rFonts w:ascii="Times New Roman" w:eastAsia="Times New Roman" w:hAnsi="Times New Roman" w:cs="Times New Roman"/>
          <w:bCs/>
          <w:noProof/>
          <w:color w:val="000000"/>
          <w:sz w:val="24"/>
          <w:szCs w:val="24"/>
        </w:rPr>
        <w:t xml:space="preserve"> piedāvātajiem pasākumiem</w:t>
      </w:r>
      <w:r w:rsidRPr="009B0F5F">
        <w:rPr>
          <w:rFonts w:ascii="Times New Roman" w:eastAsia="Times New Roman" w:hAnsi="Times New Roman" w:cs="Times New Roman"/>
          <w:noProof/>
          <w:color w:val="000000"/>
          <w:sz w:val="24"/>
          <w:szCs w:val="24"/>
        </w:rPr>
        <w:t>,</w:t>
      </w:r>
      <w:r w:rsidRPr="009B0F5F">
        <w:rPr>
          <w:rFonts w:ascii="Times New Roman" w:eastAsia="Times New Roman" w:hAnsi="Times New Roman" w:cs="Times New Roman"/>
          <w:bCs/>
          <w:noProof/>
          <w:color w:val="000000"/>
          <w:sz w:val="24"/>
          <w:szCs w:val="24"/>
        </w:rPr>
        <w:t xml:space="preserve"> gados vecāku bezdarbnieku pašnodarbinātības veicināšana (konsultācijas biznesa plāna sagatavošanā, dotācija līdz 5</w:t>
      </w:r>
      <w:r w:rsidR="004C62F9">
        <w:rPr>
          <w:rFonts w:ascii="Times New Roman" w:eastAsia="Times New Roman" w:hAnsi="Times New Roman" w:cs="Times New Roman"/>
          <w:bCs/>
          <w:noProof/>
          <w:color w:val="000000"/>
          <w:sz w:val="24"/>
          <w:szCs w:val="24"/>
        </w:rPr>
        <w:t> </w:t>
      </w:r>
      <w:r w:rsidRPr="009B0F5F">
        <w:rPr>
          <w:rFonts w:ascii="Times New Roman" w:eastAsia="Times New Roman" w:hAnsi="Times New Roman" w:cs="Times New Roman"/>
          <w:bCs/>
          <w:noProof/>
          <w:color w:val="000000"/>
          <w:sz w:val="24"/>
          <w:szCs w:val="24"/>
        </w:rPr>
        <w:t xml:space="preserve">000 </w:t>
      </w:r>
      <w:r w:rsidRPr="009B0F5F">
        <w:rPr>
          <w:rFonts w:ascii="Times New Roman" w:eastAsia="Times New Roman" w:hAnsi="Times New Roman" w:cs="Times New Roman"/>
          <w:bCs/>
          <w:i/>
          <w:noProof/>
          <w:color w:val="000000"/>
          <w:sz w:val="24"/>
          <w:szCs w:val="24"/>
        </w:rPr>
        <w:t>euro</w:t>
      </w:r>
      <w:r w:rsidRPr="009B0F5F">
        <w:rPr>
          <w:rFonts w:ascii="Times New Roman" w:eastAsia="Times New Roman" w:hAnsi="Times New Roman" w:cs="Times New Roman"/>
          <w:bCs/>
          <w:noProof/>
          <w:color w:val="000000"/>
          <w:sz w:val="24"/>
          <w:szCs w:val="24"/>
        </w:rPr>
        <w:t xml:space="preserve"> veiksmīgāko biznesa plānu izstrādātājiem, algas dotācija minimālas algas apmērā darbības p</w:t>
      </w:r>
      <w:proofErr w:type="spellStart"/>
      <w:r w:rsidRPr="009B0F5F">
        <w:rPr>
          <w:rFonts w:ascii="Times New Roman" w:eastAsia="Times New Roman" w:hAnsi="Times New Roman" w:cs="Times New Roman"/>
          <w:bCs/>
          <w:color w:val="000000"/>
          <w:sz w:val="24"/>
          <w:szCs w:val="24"/>
        </w:rPr>
        <w:t>irmos</w:t>
      </w:r>
      <w:proofErr w:type="spellEnd"/>
      <w:r w:rsidRPr="009B0F5F">
        <w:rPr>
          <w:rFonts w:ascii="Times New Roman" w:eastAsia="Times New Roman" w:hAnsi="Times New Roman" w:cs="Times New Roman"/>
          <w:bCs/>
          <w:color w:val="000000"/>
          <w:sz w:val="24"/>
          <w:szCs w:val="24"/>
        </w:rPr>
        <w:t xml:space="preserve"> 6 mēnešus), līdzfinansētas darba vietas bezdarbniekiem ar invaliditāti, ilgstošiem bezdarbniekiem un bezdarbniekiem vecumā no 55 gadiem, mobilitātes atbalsts reģionos). </w:t>
      </w:r>
    </w:p>
    <w:p w:rsidR="009B0F5F" w:rsidRPr="009B0F5F" w:rsidRDefault="009B0F5F" w:rsidP="00DA42C2">
      <w:pPr>
        <w:numPr>
          <w:ilvl w:val="0"/>
          <w:numId w:val="25"/>
        </w:numPr>
        <w:spacing w:after="0" w:line="240" w:lineRule="auto"/>
        <w:ind w:left="714" w:hanging="357"/>
        <w:jc w:val="both"/>
        <w:rPr>
          <w:rFonts w:ascii="Times New Roman" w:eastAsia="Times New Roman" w:hAnsi="Times New Roman" w:cs="Times New Roman"/>
          <w:bCs/>
          <w:color w:val="000000"/>
          <w:sz w:val="24"/>
          <w:szCs w:val="24"/>
        </w:rPr>
      </w:pPr>
      <w:r w:rsidRPr="009B0F5F">
        <w:rPr>
          <w:rFonts w:ascii="Times New Roman" w:eastAsia="Times New Roman" w:hAnsi="Times New Roman" w:cs="Times New Roman"/>
          <w:sz w:val="24"/>
          <w:szCs w:val="20"/>
        </w:rPr>
        <w:t>Atbalsts sociālajai uzņēmējdarbībai (</w:t>
      </w:r>
      <w:r w:rsidRPr="009B0F5F">
        <w:rPr>
          <w:rFonts w:ascii="Times New Roman" w:eastAsia="Times New Roman" w:hAnsi="Times New Roman" w:cs="Times New Roman"/>
          <w:bCs/>
          <w:color w:val="000000"/>
          <w:sz w:val="24"/>
          <w:szCs w:val="24"/>
        </w:rPr>
        <w:t>“ALTUM” Eiropas Sociālā fonda projekts “Atbalsts sociālajai uzņēmējdarbībai</w:t>
      </w:r>
      <w:r>
        <w:rPr>
          <w:rFonts w:ascii="Times New Roman" w:eastAsia="Times New Roman" w:hAnsi="Times New Roman" w:cs="Times New Roman"/>
          <w:bCs/>
          <w:color w:val="000000"/>
          <w:sz w:val="24"/>
          <w:szCs w:val="24"/>
        </w:rPr>
        <w:t>”, 2018.</w:t>
      </w:r>
      <w:r w:rsidRPr="009B0F5F">
        <w:rPr>
          <w:rFonts w:ascii="Times New Roman" w:eastAsia="Times New Roman" w:hAnsi="Times New Roman" w:cs="Times New Roman"/>
          <w:bCs/>
          <w:color w:val="000000"/>
          <w:sz w:val="24"/>
          <w:szCs w:val="24"/>
        </w:rPr>
        <w:t>gadā stājās s</w:t>
      </w:r>
      <w:r w:rsidR="004C62F9">
        <w:rPr>
          <w:rFonts w:ascii="Times New Roman" w:eastAsia="Times New Roman" w:hAnsi="Times New Roman" w:cs="Times New Roman"/>
          <w:bCs/>
          <w:color w:val="000000"/>
          <w:sz w:val="24"/>
          <w:szCs w:val="24"/>
        </w:rPr>
        <w:t xml:space="preserve">pēkā Sociālā uzņēmuma likums – </w:t>
      </w:r>
      <w:r w:rsidRPr="009B0F5F">
        <w:rPr>
          <w:rFonts w:ascii="Times New Roman" w:eastAsia="Times New Roman" w:hAnsi="Times New Roman" w:cs="Times New Roman"/>
          <w:bCs/>
          <w:color w:val="000000"/>
          <w:sz w:val="24"/>
          <w:szCs w:val="24"/>
        </w:rPr>
        <w:t>tai skaitā 9</w:t>
      </w:r>
      <w:r>
        <w:rPr>
          <w:rFonts w:ascii="Times New Roman" w:eastAsia="Times New Roman" w:hAnsi="Times New Roman" w:cs="Times New Roman"/>
          <w:bCs/>
          <w:color w:val="000000"/>
          <w:sz w:val="24"/>
          <w:szCs w:val="24"/>
        </w:rPr>
        <w:t xml:space="preserve"> </w:t>
      </w:r>
      <w:r w:rsidRPr="009B0F5F">
        <w:rPr>
          <w:rFonts w:ascii="Times New Roman" w:eastAsia="Times New Roman" w:hAnsi="Times New Roman" w:cs="Times New Roman"/>
          <w:bCs/>
          <w:color w:val="000000"/>
          <w:sz w:val="24"/>
          <w:szCs w:val="24"/>
        </w:rPr>
        <w:t>uzņēmumiem, kuriem kā viena no mērķa grupām ir norādīta bezdarbnieki, kuriem ir apgādājamie, bezdarbnieki, kas vecāki par 54 gadiem, un ilgstošie bezdarbnieki, tika piešķirts sociālā uzņēmuma statuss).</w:t>
      </w:r>
    </w:p>
    <w:p w:rsidR="009B0F5F" w:rsidRPr="009B0F5F" w:rsidRDefault="009B0F5F" w:rsidP="00DA42C2">
      <w:pPr>
        <w:numPr>
          <w:ilvl w:val="0"/>
          <w:numId w:val="25"/>
        </w:numPr>
        <w:spacing w:after="0" w:line="240" w:lineRule="auto"/>
        <w:contextualSpacing/>
        <w:jc w:val="both"/>
        <w:rPr>
          <w:rFonts w:ascii="Times New Roman" w:eastAsia="Times New Roman" w:hAnsi="Times New Roman" w:cs="Times New Roman"/>
          <w:bCs/>
          <w:color w:val="000000"/>
          <w:sz w:val="24"/>
          <w:szCs w:val="24"/>
        </w:rPr>
      </w:pPr>
      <w:r w:rsidRPr="009B0F5F">
        <w:rPr>
          <w:rFonts w:ascii="Times New Roman" w:eastAsia="Times New Roman" w:hAnsi="Times New Roman" w:cs="Times New Roman"/>
          <w:color w:val="000000"/>
          <w:sz w:val="24"/>
          <w:szCs w:val="24"/>
        </w:rPr>
        <w:t>Izmai</w:t>
      </w:r>
      <w:r w:rsidR="004C62F9">
        <w:rPr>
          <w:rFonts w:ascii="Times New Roman" w:eastAsia="Times New Roman" w:hAnsi="Times New Roman" w:cs="Times New Roman"/>
          <w:color w:val="000000"/>
          <w:sz w:val="24"/>
          <w:szCs w:val="24"/>
        </w:rPr>
        <w:t>ņas imigrācijas politikā (2017.gada 2.</w:t>
      </w:r>
      <w:r w:rsidRPr="009B0F5F">
        <w:rPr>
          <w:rFonts w:ascii="Times New Roman" w:eastAsia="Times New Roman" w:hAnsi="Times New Roman" w:cs="Times New Roman"/>
          <w:color w:val="000000"/>
          <w:sz w:val="24"/>
          <w:szCs w:val="24"/>
        </w:rPr>
        <w:t xml:space="preserve">februārī Saeima galīgajā lasījumā atbalstīja grozījumus Imigrācijas likumā ar mērķi atvieglot ieceļošanas nosacījumus augsti kvalificētiem nodarbinātajiem, piemēram, inženieriem, būvniekiem, pilotiem, finanšu speciālistiem, vidēja un augsta līmeņa vadītājiem, projektu vadītāji, t.sk. </w:t>
      </w:r>
      <w:r w:rsidRPr="009B0F5F">
        <w:rPr>
          <w:rFonts w:ascii="Times New Roman" w:eastAsia="Times New Roman" w:hAnsi="Times New Roman" w:cs="Times New Roman"/>
          <w:noProof/>
          <w:color w:val="000000"/>
          <w:sz w:val="24"/>
          <w:szCs w:val="24"/>
        </w:rPr>
        <w:t>jaunuzņēmumu (</w:t>
      </w:r>
      <w:r w:rsidRPr="009B0F5F">
        <w:rPr>
          <w:rFonts w:ascii="Times New Roman" w:eastAsia="Times New Roman" w:hAnsi="Times New Roman" w:cs="Times New Roman"/>
          <w:i/>
          <w:noProof/>
          <w:color w:val="000000"/>
          <w:sz w:val="24"/>
          <w:szCs w:val="24"/>
        </w:rPr>
        <w:t>start-up</w:t>
      </w:r>
      <w:r w:rsidRPr="009B0F5F">
        <w:rPr>
          <w:rFonts w:ascii="Times New Roman" w:eastAsia="Times New Roman" w:hAnsi="Times New Roman" w:cs="Times New Roman"/>
          <w:noProof/>
          <w:color w:val="000000"/>
          <w:sz w:val="24"/>
          <w:szCs w:val="24"/>
        </w:rPr>
        <w:t>) dibinātājiem, kā arī nodarbinātajiem profesijās ar būtisku darbaspēka trūkumu).</w:t>
      </w:r>
    </w:p>
    <w:p w:rsidR="009B0F5F" w:rsidRPr="006D1A8A" w:rsidRDefault="009B0F5F" w:rsidP="005E344C">
      <w:pPr>
        <w:spacing w:after="120" w:line="240" w:lineRule="auto"/>
        <w:ind w:left="720"/>
        <w:jc w:val="both"/>
        <w:rPr>
          <w:rFonts w:ascii="Times New Roman" w:eastAsia="Times New Roman" w:hAnsi="Times New Roman" w:cs="Times New Roman"/>
          <w:b/>
          <w:i/>
          <w:color w:val="000000"/>
          <w:sz w:val="24"/>
          <w:szCs w:val="24"/>
        </w:rPr>
      </w:pPr>
      <w:r w:rsidRPr="009B0F5F">
        <w:rPr>
          <w:rFonts w:ascii="Times New Roman" w:eastAsia="Times New Roman" w:hAnsi="Times New Roman" w:cs="Times New Roman"/>
          <w:b/>
          <w:color w:val="000000"/>
          <w:sz w:val="24"/>
          <w:szCs w:val="24"/>
        </w:rPr>
        <w:br/>
      </w:r>
      <w:r w:rsidRPr="006D1A8A">
        <w:rPr>
          <w:rFonts w:ascii="Times New Roman" w:eastAsia="Times New Roman" w:hAnsi="Times New Roman" w:cs="Times New Roman"/>
          <w:b/>
          <w:i/>
          <w:color w:val="000000"/>
          <w:sz w:val="24"/>
          <w:szCs w:val="24"/>
        </w:rPr>
        <w:t>Vispārējās valdības budžeta izdevumu ilgtermiņa prognozes</w:t>
      </w:r>
    </w:p>
    <w:p w:rsidR="009B0F5F" w:rsidRPr="009B0F5F" w:rsidRDefault="009B0F5F" w:rsidP="004C62F9">
      <w:pPr>
        <w:spacing w:after="0" w:line="240" w:lineRule="auto"/>
        <w:ind w:firstLine="720"/>
        <w:jc w:val="both"/>
        <w:rPr>
          <w:rFonts w:ascii="Times New Roman" w:eastAsia="Times New Roman" w:hAnsi="Times New Roman" w:cs="Times New Roman"/>
          <w:sz w:val="24"/>
          <w:szCs w:val="24"/>
        </w:rPr>
      </w:pPr>
      <w:r w:rsidRPr="009B0F5F">
        <w:rPr>
          <w:rFonts w:ascii="Times New Roman" w:eastAsia="Times New Roman" w:hAnsi="Times New Roman" w:cs="Times New Roman"/>
          <w:sz w:val="24"/>
          <w:szCs w:val="24"/>
        </w:rPr>
        <w:t xml:space="preserve">Latvijas fiskālo ilgtspēju ietekmē vispārējās valdības budžeta un parāda saistības, to tendences un nākotnes saistības, pamatā, pensiju un pabalstu izmaksai. Budžeta izdevumu </w:t>
      </w:r>
      <w:r w:rsidRPr="009B0F5F">
        <w:rPr>
          <w:rFonts w:ascii="Times New Roman" w:eastAsia="Times New Roman" w:hAnsi="Times New Roman" w:cs="Times New Roman"/>
          <w:sz w:val="24"/>
          <w:szCs w:val="24"/>
        </w:rPr>
        <w:lastRenderedPageBreak/>
        <w:t>pieaugumu ilgtermiņā ietekmē jau iepriekš pieminētās demogrāfiskās izmaiņas, tai skaitā ar sabiedrības novecošanos saistītu izdevumu pieaugums.</w:t>
      </w:r>
    </w:p>
    <w:p w:rsidR="009B0F5F" w:rsidRPr="009B0F5F" w:rsidRDefault="009B0F5F" w:rsidP="004C62F9">
      <w:pPr>
        <w:spacing w:after="0" w:line="240" w:lineRule="auto"/>
        <w:ind w:firstLine="720"/>
        <w:jc w:val="both"/>
        <w:rPr>
          <w:rFonts w:ascii="Times New Roman" w:eastAsia="Times New Roman" w:hAnsi="Times New Roman" w:cs="Times New Roman"/>
          <w:sz w:val="24"/>
          <w:szCs w:val="24"/>
        </w:rPr>
      </w:pPr>
      <w:r w:rsidRPr="009B0F5F">
        <w:rPr>
          <w:rFonts w:ascii="Times New Roman" w:eastAsia="Times New Roman" w:hAnsi="Times New Roman" w:cs="Times New Roman"/>
          <w:sz w:val="24"/>
          <w:szCs w:val="24"/>
        </w:rPr>
        <w:t>Attiecībā uz ilgtermiņa vispārējās valdības budžeta izdevumu prognozēm atbilstoši bāzes scenārijam, kas i</w:t>
      </w:r>
      <w:r w:rsidR="00636713">
        <w:rPr>
          <w:rFonts w:ascii="Times New Roman" w:eastAsia="Times New Roman" w:hAnsi="Times New Roman" w:cs="Times New Roman"/>
          <w:sz w:val="24"/>
          <w:szCs w:val="24"/>
        </w:rPr>
        <w:t>ekļauts EK</w:t>
      </w:r>
      <w:r w:rsidR="004C62F9">
        <w:rPr>
          <w:rFonts w:ascii="Times New Roman" w:eastAsia="Times New Roman" w:hAnsi="Times New Roman" w:cs="Times New Roman"/>
          <w:sz w:val="24"/>
          <w:szCs w:val="24"/>
        </w:rPr>
        <w:t xml:space="preserve"> 2018.</w:t>
      </w:r>
      <w:r w:rsidRPr="009B0F5F">
        <w:rPr>
          <w:rFonts w:ascii="Times New Roman" w:eastAsia="Times New Roman" w:hAnsi="Times New Roman" w:cs="Times New Roman"/>
          <w:sz w:val="24"/>
          <w:szCs w:val="24"/>
        </w:rPr>
        <w:t xml:space="preserve">gada Novecošanās ziņojumā, tiek prognozēts, ka pie nemainīgas politikas Latvijā 2070.gadā salīdzinājumā ar 2016.gadu ar sabiedrības novecošanos saistīto izdevumu īpatsvars </w:t>
      </w:r>
      <w:r w:rsidR="00A4120C" w:rsidRPr="003C7327">
        <w:rPr>
          <w:rFonts w:ascii="Times New Roman" w:hAnsi="Times New Roman" w:cs="Times New Roman"/>
          <w:color w:val="000000"/>
          <w:sz w:val="24"/>
          <w:szCs w:val="24"/>
          <w:lang w:eastAsia="lv-LV"/>
        </w:rPr>
        <w:t>IKP</w:t>
      </w:r>
      <w:r w:rsidR="00A4120C" w:rsidRPr="009B0F5F">
        <w:rPr>
          <w:rFonts w:ascii="Times New Roman" w:eastAsia="Times New Roman" w:hAnsi="Times New Roman" w:cs="Times New Roman"/>
          <w:sz w:val="24"/>
          <w:szCs w:val="24"/>
        </w:rPr>
        <w:t xml:space="preserve"> </w:t>
      </w:r>
      <w:r w:rsidRPr="009B0F5F">
        <w:rPr>
          <w:rFonts w:ascii="Times New Roman" w:eastAsia="Times New Roman" w:hAnsi="Times New Roman" w:cs="Times New Roman"/>
          <w:sz w:val="24"/>
          <w:szCs w:val="24"/>
        </w:rPr>
        <w:t xml:space="preserve">samazināsies no </w:t>
      </w:r>
      <w:r w:rsidRPr="009B0F5F">
        <w:rPr>
          <w:rFonts w:ascii="Times New Roman" w:eastAsia="Times New Roman" w:hAnsi="Times New Roman" w:cs="Times New Roman"/>
          <w:color w:val="000000"/>
          <w:sz w:val="24"/>
          <w:szCs w:val="24"/>
        </w:rPr>
        <w:t>16,4% no IKP līdz 15,0</w:t>
      </w:r>
      <w:r w:rsidRPr="009B0F5F">
        <w:rPr>
          <w:rFonts w:ascii="Times New Roman" w:eastAsia="Times New Roman" w:hAnsi="Times New Roman" w:cs="Times New Roman"/>
          <w:sz w:val="24"/>
          <w:szCs w:val="24"/>
        </w:rPr>
        <w:t xml:space="preserve">% no IKP (skat. </w:t>
      </w:r>
      <w:r w:rsidR="00AB01C8">
        <w:rPr>
          <w:rFonts w:ascii="Times New Roman" w:eastAsia="Times New Roman" w:hAnsi="Times New Roman" w:cs="Times New Roman"/>
          <w:sz w:val="24"/>
          <w:szCs w:val="24"/>
        </w:rPr>
        <w:t>6</w:t>
      </w:r>
      <w:r w:rsidRPr="009B0F5F">
        <w:rPr>
          <w:rFonts w:ascii="Times New Roman" w:eastAsia="Times New Roman" w:hAnsi="Times New Roman" w:cs="Times New Roman"/>
          <w:sz w:val="24"/>
          <w:szCs w:val="24"/>
        </w:rPr>
        <w:t xml:space="preserve">.3.attēlu). </w:t>
      </w:r>
    </w:p>
    <w:p w:rsidR="009B0F5F" w:rsidRPr="009B0F5F" w:rsidRDefault="009B0F5F" w:rsidP="009B0F5F">
      <w:pPr>
        <w:spacing w:after="120" w:line="240" w:lineRule="auto"/>
        <w:ind w:firstLine="567"/>
        <w:jc w:val="both"/>
        <w:rPr>
          <w:rFonts w:ascii="Times New Roman" w:eastAsia="Times New Roman" w:hAnsi="Times New Roman" w:cs="Times New Roman"/>
          <w:sz w:val="24"/>
          <w:szCs w:val="24"/>
        </w:rPr>
      </w:pPr>
      <w:r w:rsidRPr="009B0F5F">
        <w:rPr>
          <w:rFonts w:ascii="Times New Roman" w:eastAsia="Times New Roman" w:hAnsi="Times New Roman" w:cs="Times New Roman"/>
          <w:noProof/>
          <w:sz w:val="24"/>
          <w:szCs w:val="20"/>
          <w:lang w:eastAsia="lv-LV"/>
        </w:rPr>
        <w:drawing>
          <wp:anchor distT="0" distB="0" distL="114300" distR="114300" simplePos="0" relativeHeight="251656704" behindDoc="0" locked="0" layoutInCell="1" allowOverlap="1" wp14:anchorId="4F6B9ADE" wp14:editId="6E211CEC">
            <wp:simplePos x="0" y="0"/>
            <wp:positionH relativeFrom="margin">
              <wp:posOffset>206375</wp:posOffset>
            </wp:positionH>
            <wp:positionV relativeFrom="paragraph">
              <wp:posOffset>187325</wp:posOffset>
            </wp:positionV>
            <wp:extent cx="5219700" cy="276225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32">
                      <a:extLst>
                        <a:ext uri="{28A0092B-C50C-407E-A947-70E740481C1C}">
                          <a14:useLocalDpi xmlns:a14="http://schemas.microsoft.com/office/drawing/2010/main" val="0"/>
                        </a:ext>
                      </a:extLst>
                    </a:blip>
                    <a:srcRect b="19716"/>
                    <a:stretch/>
                  </pic:blipFill>
                  <pic:spPr bwMode="auto">
                    <a:xfrm>
                      <a:off x="0" y="0"/>
                      <a:ext cx="521970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5F" w:rsidRPr="009B0F5F" w:rsidRDefault="00AB01C8" w:rsidP="009B0F5F">
      <w:pPr>
        <w:spacing w:after="120" w:line="240" w:lineRule="auto"/>
        <w:jc w:val="center"/>
        <w:rPr>
          <w:rFonts w:ascii="Times New Roman" w:eastAsia="Calibri" w:hAnsi="Times New Roman" w:cs="Times New Roman"/>
          <w:b/>
          <w:noProof/>
          <w:color w:val="000000"/>
          <w:sz w:val="24"/>
          <w:szCs w:val="24"/>
        </w:rPr>
      </w:pPr>
      <w:r>
        <w:rPr>
          <w:rFonts w:ascii="Times New Roman" w:eastAsia="Calibri" w:hAnsi="Times New Roman" w:cs="Times New Roman"/>
          <w:b/>
          <w:sz w:val="24"/>
          <w:szCs w:val="24"/>
        </w:rPr>
        <w:t>6</w:t>
      </w:r>
      <w:r w:rsidR="004C62F9">
        <w:rPr>
          <w:rFonts w:ascii="Times New Roman" w:eastAsia="Calibri" w:hAnsi="Times New Roman" w:cs="Times New Roman"/>
          <w:b/>
          <w:sz w:val="24"/>
          <w:szCs w:val="24"/>
        </w:rPr>
        <w:t>.3.</w:t>
      </w:r>
      <w:r w:rsidR="009B0F5F" w:rsidRPr="009B0F5F">
        <w:rPr>
          <w:rFonts w:ascii="Times New Roman" w:eastAsia="Calibri" w:hAnsi="Times New Roman" w:cs="Times New Roman"/>
          <w:b/>
          <w:sz w:val="24"/>
          <w:szCs w:val="24"/>
        </w:rPr>
        <w:t>att</w:t>
      </w:r>
      <w:r w:rsidR="004C62F9">
        <w:rPr>
          <w:rFonts w:ascii="Times New Roman" w:eastAsia="Calibri" w:hAnsi="Times New Roman" w:cs="Times New Roman"/>
          <w:b/>
          <w:sz w:val="24"/>
          <w:szCs w:val="24"/>
        </w:rPr>
        <w:t>ēls</w:t>
      </w:r>
      <w:r w:rsidR="009B0F5F" w:rsidRPr="009B0F5F">
        <w:rPr>
          <w:rFonts w:ascii="Times New Roman" w:eastAsia="Calibri" w:hAnsi="Times New Roman" w:cs="Times New Roman"/>
          <w:b/>
          <w:sz w:val="24"/>
          <w:szCs w:val="24"/>
        </w:rPr>
        <w:t>. Ar sabiedrības novecošanos saistītie vispārējās valdības budžeta izdevumi,</w:t>
      </w:r>
      <w:r w:rsidR="009B0F5F" w:rsidRPr="009B0F5F">
        <w:rPr>
          <w:rFonts w:ascii="Times New Roman" w:eastAsia="Calibri" w:hAnsi="Times New Roman" w:cs="Times New Roman"/>
          <w:b/>
          <w:sz w:val="24"/>
          <w:szCs w:val="24"/>
        </w:rPr>
        <w:br/>
        <w:t xml:space="preserve">% no IKP </w:t>
      </w:r>
      <w:r w:rsidR="009B0F5F" w:rsidRPr="009B0F5F">
        <w:rPr>
          <w:rFonts w:ascii="Times New Roman" w:eastAsia="Calibri" w:hAnsi="Times New Roman" w:cs="Times New Roman"/>
          <w:b/>
          <w:color w:val="000000"/>
          <w:sz w:val="24"/>
          <w:szCs w:val="24"/>
        </w:rPr>
        <w:t xml:space="preserve">(Datu avots: </w:t>
      </w:r>
      <w:r w:rsidR="009B0F5F" w:rsidRPr="009B0F5F">
        <w:rPr>
          <w:rFonts w:ascii="Times New Roman" w:eastAsia="Calibri" w:hAnsi="Times New Roman" w:cs="Times New Roman"/>
          <w:b/>
          <w:i/>
          <w:noProof/>
          <w:color w:val="000000"/>
          <w:sz w:val="24"/>
          <w:szCs w:val="24"/>
        </w:rPr>
        <w:t>EC-EPC The 2018 Ageing Report</w:t>
      </w:r>
      <w:r w:rsidR="009B0F5F" w:rsidRPr="009B0F5F">
        <w:rPr>
          <w:rFonts w:ascii="Times New Roman" w:eastAsia="Calibri" w:hAnsi="Times New Roman" w:cs="Times New Roman"/>
          <w:b/>
          <w:noProof/>
          <w:color w:val="000000"/>
          <w:sz w:val="24"/>
          <w:szCs w:val="24"/>
        </w:rPr>
        <w:t>)</w:t>
      </w:r>
    </w:p>
    <w:p w:rsidR="009B0F5F" w:rsidRPr="009B0F5F" w:rsidRDefault="00636713" w:rsidP="004C62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w:t>
      </w:r>
      <w:r w:rsidR="009B0F5F" w:rsidRPr="009B0F5F">
        <w:rPr>
          <w:rFonts w:ascii="Times New Roman" w:eastAsia="Times New Roman" w:hAnsi="Times New Roman" w:cs="Times New Roman"/>
          <w:sz w:val="24"/>
          <w:szCs w:val="24"/>
        </w:rPr>
        <w:t xml:space="preserve"> prognozē, ka ilgtermiņā budžeta izdevumu samazināšanos pamatā noteiks izdevumu </w:t>
      </w:r>
      <w:r w:rsidR="009B0F5F" w:rsidRPr="009B0F5F">
        <w:rPr>
          <w:rFonts w:ascii="Times New Roman" w:eastAsia="Times New Roman" w:hAnsi="Times New Roman" w:cs="Times New Roman"/>
          <w:b/>
          <w:sz w:val="24"/>
          <w:szCs w:val="24"/>
        </w:rPr>
        <w:t>valsts pensijām</w:t>
      </w:r>
      <w:r w:rsidR="009B0F5F" w:rsidRPr="009B0F5F">
        <w:rPr>
          <w:rFonts w:ascii="Times New Roman" w:eastAsia="Times New Roman" w:hAnsi="Times New Roman" w:cs="Times New Roman"/>
          <w:sz w:val="24"/>
          <w:szCs w:val="24"/>
        </w:rPr>
        <w:t xml:space="preserve"> īpatsvara kritums </w:t>
      </w:r>
      <w:r w:rsidR="00A4120C" w:rsidRPr="003C7327">
        <w:rPr>
          <w:rFonts w:ascii="Times New Roman" w:hAnsi="Times New Roman" w:cs="Times New Roman"/>
          <w:color w:val="000000"/>
          <w:sz w:val="24"/>
          <w:szCs w:val="24"/>
          <w:lang w:eastAsia="lv-LV"/>
        </w:rPr>
        <w:t>IKP</w:t>
      </w:r>
      <w:r w:rsidR="009B0F5F" w:rsidRPr="009B0F5F">
        <w:rPr>
          <w:rFonts w:ascii="Times New Roman" w:eastAsia="Times New Roman" w:hAnsi="Times New Roman" w:cs="Times New Roman"/>
          <w:sz w:val="24"/>
          <w:szCs w:val="24"/>
        </w:rPr>
        <w:t xml:space="preserve">. </w:t>
      </w:r>
      <w:r w:rsidR="009B0F5F" w:rsidRPr="009B0F5F">
        <w:rPr>
          <w:rFonts w:ascii="Times New Roman" w:eastAsia="Times New Roman" w:hAnsi="Times New Roman" w:cs="Times New Roman"/>
          <w:color w:val="000000"/>
          <w:sz w:val="24"/>
          <w:szCs w:val="24"/>
        </w:rPr>
        <w:t xml:space="preserve">Lai arī budžeta izdevumu valsts pensijām īpatsvars </w:t>
      </w:r>
      <w:r w:rsidR="00A4120C" w:rsidRPr="003C7327">
        <w:rPr>
          <w:rFonts w:ascii="Times New Roman" w:hAnsi="Times New Roman" w:cs="Times New Roman"/>
          <w:color w:val="000000"/>
          <w:sz w:val="24"/>
          <w:szCs w:val="24"/>
          <w:lang w:eastAsia="lv-LV"/>
        </w:rPr>
        <w:t>IKP</w:t>
      </w:r>
      <w:r w:rsidR="009B0F5F" w:rsidRPr="009B0F5F">
        <w:rPr>
          <w:rFonts w:ascii="Times New Roman" w:eastAsia="Times New Roman" w:hAnsi="Times New Roman" w:cs="Times New Roman"/>
          <w:color w:val="000000"/>
          <w:sz w:val="24"/>
          <w:szCs w:val="24"/>
        </w:rPr>
        <w:t xml:space="preserve"> ilgtermiņā samazinās (no 7,4% no IKP 20</w:t>
      </w:r>
      <w:r w:rsidR="004C62F9">
        <w:rPr>
          <w:rFonts w:ascii="Times New Roman" w:eastAsia="Times New Roman" w:hAnsi="Times New Roman" w:cs="Times New Roman"/>
          <w:color w:val="000000"/>
          <w:sz w:val="24"/>
          <w:szCs w:val="24"/>
        </w:rPr>
        <w:t>16.gadā līdz 4,7% no IKP 2070.</w:t>
      </w:r>
      <w:r w:rsidR="009B0F5F" w:rsidRPr="009B0F5F">
        <w:rPr>
          <w:rFonts w:ascii="Times New Roman" w:eastAsia="Times New Roman" w:hAnsi="Times New Roman" w:cs="Times New Roman"/>
          <w:color w:val="000000"/>
          <w:sz w:val="24"/>
          <w:szCs w:val="24"/>
        </w:rPr>
        <w:t>gadā), kas uzlabo fiskālās ilgtspējas novērtējumu, vienlaicīgi ir jāvērtē pensiju pietiekamība jeb adekvātums.</w:t>
      </w:r>
    </w:p>
    <w:p w:rsidR="009B0F5F" w:rsidRPr="009B0F5F" w:rsidRDefault="009B0F5F" w:rsidP="004C62F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9B0F5F">
        <w:rPr>
          <w:rFonts w:ascii="Times New Roman" w:eastAsia="Times New Roman" w:hAnsi="Times New Roman" w:cs="Times New Roman"/>
          <w:color w:val="000000"/>
          <w:sz w:val="24"/>
          <w:szCs w:val="24"/>
        </w:rPr>
        <w:t>Saskaņā ar pr</w:t>
      </w:r>
      <w:r w:rsidR="004C62F9">
        <w:rPr>
          <w:rFonts w:ascii="Times New Roman" w:eastAsia="Times New Roman" w:hAnsi="Times New Roman" w:cs="Times New Roman"/>
          <w:color w:val="000000"/>
          <w:sz w:val="24"/>
          <w:szCs w:val="24"/>
        </w:rPr>
        <w:t>ognozēm, kas ir iekļautas 2018.</w:t>
      </w:r>
      <w:r w:rsidRPr="009B0F5F">
        <w:rPr>
          <w:rFonts w:ascii="Times New Roman" w:eastAsia="Times New Roman" w:hAnsi="Times New Roman" w:cs="Times New Roman"/>
          <w:color w:val="000000"/>
          <w:sz w:val="24"/>
          <w:szCs w:val="24"/>
        </w:rPr>
        <w:t xml:space="preserve">gada Pensiju </w:t>
      </w:r>
      <w:r w:rsidRPr="009B0F5F">
        <w:rPr>
          <w:rFonts w:ascii="Times New Roman" w:eastAsia="Times New Roman" w:hAnsi="Times New Roman" w:cs="Times New Roman"/>
          <w:noProof/>
          <w:color w:val="000000"/>
          <w:sz w:val="24"/>
          <w:szCs w:val="24"/>
        </w:rPr>
        <w:t>adekvātuma ziņojumā</w:t>
      </w:r>
      <w:r w:rsidRPr="009B0F5F">
        <w:rPr>
          <w:rFonts w:ascii="Garamond" w:eastAsia="Times New Roman" w:hAnsi="Garamond" w:cs="Times New Roman"/>
          <w:noProof/>
          <w:color w:val="000000"/>
          <w:sz w:val="20"/>
          <w:szCs w:val="24"/>
          <w:vertAlign w:val="superscript"/>
        </w:rPr>
        <w:footnoteReference w:id="32"/>
      </w:r>
      <w:r w:rsidRPr="009B0F5F">
        <w:rPr>
          <w:rFonts w:ascii="Times New Roman" w:eastAsia="Times New Roman" w:hAnsi="Times New Roman" w:cs="Times New Roman"/>
          <w:noProof/>
          <w:color w:val="000000"/>
          <w:sz w:val="24"/>
          <w:szCs w:val="24"/>
        </w:rPr>
        <w:t>, Latvijā teorētiskais ienākumu atvietojuma līmenis</w:t>
      </w:r>
      <w:r w:rsidRPr="009B0F5F">
        <w:rPr>
          <w:rFonts w:ascii="Times New Roman" w:eastAsia="Times New Roman" w:hAnsi="Times New Roman" w:cs="Times New Roman"/>
          <w:color w:val="000000"/>
          <w:sz w:val="24"/>
          <w:szCs w:val="24"/>
        </w:rPr>
        <w:t xml:space="preserve"> 65</w:t>
      </w:r>
      <w:r w:rsidR="004C62F9">
        <w:rPr>
          <w:rFonts w:ascii="Times New Roman" w:eastAsia="Times New Roman" w:hAnsi="Times New Roman" w:cs="Times New Roman"/>
          <w:color w:val="000000"/>
          <w:sz w:val="24"/>
          <w:szCs w:val="24"/>
        </w:rPr>
        <w:t xml:space="preserve"> gadus vecam iedzīvotājam ar 40 </w:t>
      </w:r>
      <w:r w:rsidRPr="009B0F5F">
        <w:rPr>
          <w:rFonts w:ascii="Times New Roman" w:eastAsia="Times New Roman" w:hAnsi="Times New Roman" w:cs="Times New Roman"/>
          <w:color w:val="000000"/>
          <w:sz w:val="24"/>
          <w:szCs w:val="24"/>
        </w:rPr>
        <w:t>gadu darba stāžu būtiski samazināsies, piemēram, zemo ienākuma grupā (</w:t>
      </w:r>
      <w:r w:rsidRPr="009B0F5F">
        <w:rPr>
          <w:rFonts w:ascii="Times New Roman" w:eastAsia="Times New Roman" w:hAnsi="Times New Roman" w:cs="Times New Roman"/>
          <w:sz w:val="24"/>
          <w:szCs w:val="20"/>
        </w:rPr>
        <w:t xml:space="preserve">66% no vidējās algas valstī) </w:t>
      </w:r>
      <w:r w:rsidRPr="009B0F5F">
        <w:rPr>
          <w:rFonts w:ascii="Times New Roman" w:eastAsia="Times New Roman" w:hAnsi="Times New Roman" w:cs="Times New Roman"/>
          <w:color w:val="000000"/>
          <w:sz w:val="24"/>
          <w:szCs w:val="24"/>
        </w:rPr>
        <w:t>no 59,1% no bruto ienāku</w:t>
      </w:r>
      <w:r w:rsidR="004C62F9">
        <w:rPr>
          <w:rFonts w:ascii="Times New Roman" w:eastAsia="Times New Roman" w:hAnsi="Times New Roman" w:cs="Times New Roman"/>
          <w:color w:val="000000"/>
          <w:sz w:val="24"/>
          <w:szCs w:val="24"/>
        </w:rPr>
        <w:t>miem 2016.gadā līdz 39,9% 2056.</w:t>
      </w:r>
      <w:r w:rsidRPr="009B0F5F">
        <w:rPr>
          <w:rFonts w:ascii="Times New Roman" w:eastAsia="Times New Roman" w:hAnsi="Times New Roman" w:cs="Times New Roman"/>
          <w:color w:val="000000"/>
          <w:sz w:val="24"/>
          <w:szCs w:val="24"/>
        </w:rPr>
        <w:t>gadā, vidējo ienākumu grupā (atbilst vidējai algai valstī) no 46</w:t>
      </w:r>
      <w:r w:rsidR="004C62F9">
        <w:rPr>
          <w:rFonts w:ascii="Times New Roman" w:eastAsia="Times New Roman" w:hAnsi="Times New Roman" w:cs="Times New Roman"/>
          <w:color w:val="000000"/>
          <w:sz w:val="24"/>
          <w:szCs w:val="24"/>
        </w:rPr>
        <w:t>,3% 2016.gadā līdz 39,9% 2056.</w:t>
      </w:r>
      <w:r w:rsidRPr="009B0F5F">
        <w:rPr>
          <w:rFonts w:ascii="Times New Roman" w:eastAsia="Times New Roman" w:hAnsi="Times New Roman" w:cs="Times New Roman"/>
          <w:color w:val="000000"/>
          <w:sz w:val="24"/>
          <w:szCs w:val="24"/>
        </w:rPr>
        <w:t>gadā, savukārt augsto ienākumu grupā no 38,0% 2016</w:t>
      </w:r>
      <w:r>
        <w:rPr>
          <w:rFonts w:ascii="Times New Roman" w:eastAsia="Times New Roman" w:hAnsi="Times New Roman" w:cs="Times New Roman"/>
          <w:color w:val="000000"/>
          <w:sz w:val="24"/>
          <w:szCs w:val="24"/>
        </w:rPr>
        <w:t>.</w:t>
      </w:r>
      <w:r w:rsidRPr="009B0F5F">
        <w:rPr>
          <w:rFonts w:ascii="Times New Roman" w:eastAsia="Times New Roman" w:hAnsi="Times New Roman" w:cs="Times New Roman"/>
          <w:color w:val="000000"/>
          <w:sz w:val="24"/>
          <w:szCs w:val="24"/>
        </w:rPr>
        <w:t xml:space="preserve">gadā līdz 28,9% no bruto ienākumiem 2056.gadā (skat. </w:t>
      </w:r>
      <w:r w:rsidR="00AB01C8" w:rsidRPr="00AB01C8">
        <w:rPr>
          <w:rFonts w:ascii="Times New Roman" w:eastAsia="Times New Roman" w:hAnsi="Times New Roman" w:cs="Times New Roman"/>
          <w:color w:val="000000"/>
          <w:sz w:val="24"/>
          <w:szCs w:val="24"/>
        </w:rPr>
        <w:t>6</w:t>
      </w:r>
      <w:r w:rsidRPr="00AB01C8">
        <w:rPr>
          <w:rFonts w:ascii="Times New Roman" w:eastAsia="Times New Roman" w:hAnsi="Times New Roman" w:cs="Times New Roman"/>
          <w:color w:val="000000"/>
          <w:sz w:val="24"/>
          <w:szCs w:val="24"/>
        </w:rPr>
        <w:t>.4.</w:t>
      </w:r>
      <w:r w:rsidRPr="009B0F5F">
        <w:rPr>
          <w:rFonts w:ascii="Times New Roman" w:eastAsia="Times New Roman" w:hAnsi="Times New Roman" w:cs="Times New Roman"/>
          <w:color w:val="000000"/>
          <w:sz w:val="24"/>
          <w:szCs w:val="24"/>
        </w:rPr>
        <w:t xml:space="preserve">attēlu). </w:t>
      </w:r>
    </w:p>
    <w:p w:rsidR="009B0F5F" w:rsidRPr="009B0F5F" w:rsidRDefault="009B0F5F" w:rsidP="004C62F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9B0F5F">
        <w:rPr>
          <w:rFonts w:ascii="Times New Roman" w:eastAsia="Times New Roman" w:hAnsi="Times New Roman" w:cs="Times New Roman"/>
          <w:color w:val="000000"/>
          <w:sz w:val="24"/>
          <w:szCs w:val="24"/>
        </w:rPr>
        <w:t>Tāpat OECD vērtē</w:t>
      </w:r>
      <w:r w:rsidRPr="009B0F5F">
        <w:rPr>
          <w:rFonts w:ascii="Garamond" w:eastAsia="Times New Roman" w:hAnsi="Garamond" w:cs="Times New Roman"/>
          <w:color w:val="000000"/>
          <w:sz w:val="20"/>
          <w:szCs w:val="24"/>
          <w:vertAlign w:val="superscript"/>
        </w:rPr>
        <w:footnoteReference w:id="33"/>
      </w:r>
      <w:r w:rsidRPr="009B0F5F">
        <w:rPr>
          <w:rFonts w:ascii="Times New Roman" w:eastAsia="Times New Roman" w:hAnsi="Times New Roman" w:cs="Times New Roman"/>
          <w:color w:val="000000"/>
          <w:sz w:val="24"/>
          <w:szCs w:val="24"/>
        </w:rPr>
        <w:t xml:space="preserve">, ka Latvijā pieaug cilvēku skaits, kuriem ir saīsināts vai nepietiekams nostrādāto darba gadu skaits, lai kvalificētos vecuma pensijas saņemšanai. Latvijā 11% no darbspējīgajiem 50 gadu vecumā darba stāžs, kurā persona ir bijusi sociālo apdrošināta nepārsniedz 15 gadus. Tāpat Latvija ierindojas to valstu starpā, kuras saskaras ar augstu nabadzības riska līmeni vecāka gadagājuma cilvēku vidū, kas savukārt norāda to, ka šie cilvēki darbspējīgā vecumā bijuši nodarbināti vai nu īsu periodu, vai saņēmuši nelielus ienākumus, no kuriem veiktas sociālās apdrošināšanas iemaksas. Tas nākotnē varētu ietekmēt adekvātu pensiju nodrošinājumu un pieaugošo nabadzību senioru vidū. </w:t>
      </w:r>
    </w:p>
    <w:p w:rsidR="009B0F5F" w:rsidRPr="009B0F5F" w:rsidRDefault="009B0F5F" w:rsidP="004C62F9">
      <w:pPr>
        <w:autoSpaceDE w:val="0"/>
        <w:autoSpaceDN w:val="0"/>
        <w:adjustRightInd w:val="0"/>
        <w:spacing w:after="120" w:line="240" w:lineRule="auto"/>
        <w:ind w:firstLine="720"/>
        <w:jc w:val="both"/>
        <w:rPr>
          <w:rFonts w:ascii="Times New Roman" w:eastAsia="Times New Roman" w:hAnsi="Times New Roman" w:cs="Times New Roman"/>
          <w:noProof/>
          <w:color w:val="000000"/>
          <w:sz w:val="24"/>
          <w:szCs w:val="24"/>
        </w:rPr>
      </w:pPr>
      <w:r w:rsidRPr="009B0F5F">
        <w:rPr>
          <w:rFonts w:ascii="Times New Roman" w:eastAsia="Times New Roman" w:hAnsi="Times New Roman" w:cs="Times New Roman"/>
          <w:noProof/>
          <w:color w:val="000000"/>
          <w:sz w:val="24"/>
          <w:szCs w:val="24"/>
        </w:rPr>
        <w:lastRenderedPageBreak/>
        <w:t>OECD norāda arī, ka tuvāko desmitgažu laikā riska grupā var nonākt arī mikrouzņēmuma nodokļa maksātāji, patentmaksas maksātāji, autoratlīdzības saņēmēji un pašnodarbinātie, jo tie veic samazinātas sociālās apdrošināšanas iemaksas vai neveic vispār.</w:t>
      </w:r>
    </w:p>
    <w:p w:rsidR="009B0F5F" w:rsidRPr="009B0F5F" w:rsidRDefault="009B0F5F" w:rsidP="009B0F5F">
      <w:pPr>
        <w:spacing w:after="120" w:line="240" w:lineRule="auto"/>
        <w:ind w:firstLine="567"/>
        <w:jc w:val="both"/>
        <w:rPr>
          <w:rFonts w:ascii="Times New Roman" w:eastAsia="Times New Roman" w:hAnsi="Times New Roman" w:cs="Times New Roman"/>
          <w:sz w:val="24"/>
          <w:szCs w:val="24"/>
        </w:rPr>
      </w:pPr>
    </w:p>
    <w:p w:rsidR="009B0F5F" w:rsidRPr="009B0F5F" w:rsidRDefault="00D7103F" w:rsidP="00B9378F">
      <w:pPr>
        <w:spacing w:after="120" w:line="240" w:lineRule="auto"/>
        <w:ind w:firstLine="993"/>
        <w:jc w:val="center"/>
        <w:rPr>
          <w:rFonts w:ascii="Times New Roman" w:eastAsia="Times New Roman" w:hAnsi="Times New Roman" w:cs="Times New Roman"/>
          <w:b/>
          <w:color w:val="000000"/>
          <w:sz w:val="24"/>
          <w:szCs w:val="24"/>
        </w:rPr>
      </w:pPr>
      <w:r>
        <w:rPr>
          <w:noProof/>
          <w:lang w:eastAsia="lv-LV"/>
        </w:rPr>
        <w:drawing>
          <wp:inline distT="0" distB="0" distL="0" distR="0" wp14:anchorId="06433B02" wp14:editId="256FEEED">
            <wp:extent cx="4104005" cy="2530475"/>
            <wp:effectExtent l="0" t="0" r="0" b="0"/>
            <wp:docPr id="27" name="Picture 27" descr="cid:image003.png@01D4EBB8.1B05E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EBB8.1B05ECF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104005" cy="2530475"/>
                    </a:xfrm>
                    <a:prstGeom prst="rect">
                      <a:avLst/>
                    </a:prstGeom>
                    <a:noFill/>
                    <a:ln>
                      <a:noFill/>
                    </a:ln>
                  </pic:spPr>
                </pic:pic>
              </a:graphicData>
            </a:graphic>
          </wp:inline>
        </w:drawing>
      </w:r>
      <w:r w:rsidR="00B9378F">
        <w:rPr>
          <w:rFonts w:ascii="Times New Roman" w:eastAsia="Times New Roman" w:hAnsi="Times New Roman" w:cs="Times New Roman"/>
          <w:b/>
          <w:color w:val="000000"/>
          <w:sz w:val="24"/>
          <w:szCs w:val="24"/>
        </w:rPr>
        <w:br/>
      </w:r>
      <w:r w:rsidR="00AB01C8">
        <w:rPr>
          <w:rFonts w:ascii="Times New Roman" w:eastAsia="Times New Roman" w:hAnsi="Times New Roman" w:cs="Times New Roman"/>
          <w:b/>
          <w:color w:val="000000"/>
          <w:sz w:val="24"/>
          <w:szCs w:val="24"/>
        </w:rPr>
        <w:t>6</w:t>
      </w:r>
      <w:r w:rsidR="009B0F5F" w:rsidRPr="009B0F5F">
        <w:rPr>
          <w:rFonts w:ascii="Times New Roman" w:eastAsia="Times New Roman" w:hAnsi="Times New Roman" w:cs="Times New Roman"/>
          <w:b/>
          <w:color w:val="000000"/>
          <w:sz w:val="24"/>
          <w:szCs w:val="24"/>
        </w:rPr>
        <w:t>.4. att</w:t>
      </w:r>
      <w:r w:rsidR="009B0F5F">
        <w:rPr>
          <w:rFonts w:ascii="Times New Roman" w:eastAsia="Times New Roman" w:hAnsi="Times New Roman" w:cs="Times New Roman"/>
          <w:b/>
          <w:color w:val="000000"/>
          <w:sz w:val="24"/>
          <w:szCs w:val="24"/>
        </w:rPr>
        <w:t>ēls</w:t>
      </w:r>
      <w:r w:rsidR="009B0F5F" w:rsidRPr="009B0F5F">
        <w:rPr>
          <w:rFonts w:ascii="Times New Roman" w:eastAsia="Times New Roman" w:hAnsi="Times New Roman" w:cs="Times New Roman"/>
          <w:b/>
          <w:color w:val="000000"/>
          <w:sz w:val="24"/>
          <w:szCs w:val="24"/>
        </w:rPr>
        <w:t>. Teorētiskais ienākumu atvietojuma līmenis ar 40 gadu darba stāžu, % no bruto ienākumiem. (Datu avots</w:t>
      </w:r>
      <w:r w:rsidR="009B0F5F" w:rsidRPr="009B0F5F">
        <w:rPr>
          <w:rFonts w:ascii="Times New Roman" w:eastAsia="Times New Roman" w:hAnsi="Times New Roman" w:cs="Times New Roman"/>
          <w:b/>
          <w:noProof/>
          <w:color w:val="000000"/>
          <w:sz w:val="24"/>
          <w:szCs w:val="24"/>
        </w:rPr>
        <w:t xml:space="preserve">: </w:t>
      </w:r>
      <w:r w:rsidR="009B0F5F" w:rsidRPr="009B0F5F">
        <w:rPr>
          <w:rFonts w:ascii="Times New Roman" w:eastAsia="Times New Roman" w:hAnsi="Times New Roman" w:cs="Times New Roman"/>
          <w:b/>
          <w:i/>
          <w:noProof/>
          <w:color w:val="000000"/>
          <w:sz w:val="24"/>
          <w:szCs w:val="24"/>
        </w:rPr>
        <w:t>Pension Adequacy Report, 2018</w:t>
      </w:r>
      <w:r w:rsidR="009B0F5F" w:rsidRPr="009B0F5F">
        <w:rPr>
          <w:rFonts w:ascii="Times New Roman" w:eastAsia="Times New Roman" w:hAnsi="Times New Roman" w:cs="Times New Roman"/>
          <w:b/>
          <w:color w:val="000000"/>
          <w:sz w:val="24"/>
          <w:szCs w:val="24"/>
        </w:rPr>
        <w:t>)</w:t>
      </w:r>
    </w:p>
    <w:p w:rsidR="009B0F5F" w:rsidRPr="009B0F5F" w:rsidRDefault="009B0F5F" w:rsidP="004C62F9">
      <w:pPr>
        <w:spacing w:after="0" w:line="240" w:lineRule="auto"/>
        <w:ind w:firstLine="720"/>
        <w:jc w:val="both"/>
        <w:rPr>
          <w:rFonts w:ascii="Times New Roman" w:eastAsia="Times New Roman" w:hAnsi="Times New Roman" w:cs="Times New Roman"/>
          <w:noProof/>
          <w:color w:val="000000"/>
          <w:sz w:val="24"/>
          <w:szCs w:val="24"/>
        </w:rPr>
      </w:pPr>
      <w:r w:rsidRPr="009B0F5F">
        <w:rPr>
          <w:rFonts w:ascii="Times New Roman" w:eastAsia="Times New Roman" w:hAnsi="Times New Roman" w:cs="Times New Roman"/>
          <w:noProof/>
          <w:color w:val="000000"/>
          <w:sz w:val="24"/>
          <w:szCs w:val="24"/>
        </w:rPr>
        <w:t>Lai risinātu pensiju pietiekamības problēmu un uzlabotu pensionāru labklājību pēdējos gados stājās spēkā šādas izmaiņas likumdošanā:</w:t>
      </w:r>
    </w:p>
    <w:p w:rsidR="009B0F5F" w:rsidRPr="009B0F5F" w:rsidRDefault="009B0F5F" w:rsidP="00DA42C2">
      <w:pPr>
        <w:numPr>
          <w:ilvl w:val="0"/>
          <w:numId w:val="26"/>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color w:val="000000"/>
          <w:sz w:val="24"/>
          <w:szCs w:val="24"/>
        </w:rPr>
        <w:t>2012.</w:t>
      </w:r>
      <w:r w:rsidRPr="009B0F5F">
        <w:rPr>
          <w:rFonts w:ascii="Times New Roman" w:eastAsia="Times New Roman" w:hAnsi="Times New Roman" w:cs="Times New Roman"/>
          <w:color w:val="000000"/>
          <w:sz w:val="24"/>
          <w:szCs w:val="24"/>
        </w:rPr>
        <w:t xml:space="preserve">gadā tika veikti grozījumi Valsts </w:t>
      </w:r>
      <w:r w:rsidRPr="009B0F5F">
        <w:rPr>
          <w:rFonts w:ascii="Times New Roman" w:eastAsia="Times New Roman" w:hAnsi="Times New Roman" w:cs="Times New Roman"/>
          <w:noProof/>
          <w:color w:val="000000"/>
          <w:sz w:val="24"/>
          <w:szCs w:val="24"/>
        </w:rPr>
        <w:t>fondēto</w:t>
      </w:r>
      <w:r w:rsidRPr="009B0F5F">
        <w:rPr>
          <w:rFonts w:ascii="Times New Roman" w:eastAsia="Times New Roman" w:hAnsi="Times New Roman" w:cs="Times New Roman"/>
          <w:color w:val="000000"/>
          <w:sz w:val="24"/>
          <w:szCs w:val="24"/>
        </w:rPr>
        <w:t xml:space="preserve"> pensiju likumā, kas pēc finanšu un ekonomiskās krīzes paredzēja pakāpeniski atjaunot un paaugstināt iemaksu likmi valsts </w:t>
      </w:r>
      <w:r w:rsidRPr="009B0F5F">
        <w:rPr>
          <w:rFonts w:ascii="Times New Roman" w:eastAsia="Times New Roman" w:hAnsi="Times New Roman" w:cs="Times New Roman"/>
          <w:noProof/>
          <w:color w:val="000000"/>
          <w:sz w:val="24"/>
          <w:szCs w:val="24"/>
        </w:rPr>
        <w:t>fondēto pensiju</w:t>
      </w:r>
      <w:r>
        <w:rPr>
          <w:rFonts w:ascii="Times New Roman" w:eastAsia="Times New Roman" w:hAnsi="Times New Roman" w:cs="Times New Roman"/>
          <w:color w:val="000000"/>
          <w:sz w:val="24"/>
          <w:szCs w:val="24"/>
        </w:rPr>
        <w:t xml:space="preserve"> shēmā. 2016.</w:t>
      </w:r>
      <w:r w:rsidRPr="009B0F5F">
        <w:rPr>
          <w:rFonts w:ascii="Times New Roman" w:eastAsia="Times New Roman" w:hAnsi="Times New Roman" w:cs="Times New Roman"/>
          <w:color w:val="000000"/>
          <w:sz w:val="24"/>
          <w:szCs w:val="24"/>
        </w:rPr>
        <w:t>gadā iemaksu likme tika paaugstināta pēdējo reizi</w:t>
      </w:r>
      <w:r w:rsidRPr="009B0F5F">
        <w:rPr>
          <w:rFonts w:ascii="Times New Roman" w:eastAsia="Times New Roman" w:hAnsi="Times New Roman" w:cs="Times New Roman"/>
          <w:noProof/>
          <w:color w:val="000000"/>
          <w:sz w:val="24"/>
          <w:szCs w:val="24"/>
        </w:rPr>
        <w:t xml:space="preserve"> – </w:t>
      </w:r>
      <w:r w:rsidRPr="009B0F5F">
        <w:rPr>
          <w:rFonts w:ascii="Times New Roman" w:eastAsia="Times New Roman" w:hAnsi="Times New Roman" w:cs="Times New Roman"/>
          <w:color w:val="000000"/>
          <w:sz w:val="24"/>
          <w:szCs w:val="24"/>
        </w:rPr>
        <w:t xml:space="preserve">no 5% līdz 6%. Saskaņā ar AWG prognozēm izdevumi vecuma pensijām, kas tiktu izmaksāti </w:t>
      </w:r>
      <w:r w:rsidRPr="009B0F5F">
        <w:rPr>
          <w:rFonts w:ascii="Times New Roman" w:eastAsia="Times New Roman" w:hAnsi="Times New Roman" w:cs="Times New Roman"/>
          <w:noProof/>
          <w:color w:val="000000"/>
          <w:sz w:val="24"/>
          <w:szCs w:val="24"/>
        </w:rPr>
        <w:t>n</w:t>
      </w:r>
      <w:r>
        <w:rPr>
          <w:rFonts w:ascii="Times New Roman" w:eastAsia="Times New Roman" w:hAnsi="Times New Roman" w:cs="Times New Roman"/>
          <w:noProof/>
          <w:color w:val="000000"/>
          <w:sz w:val="24"/>
          <w:szCs w:val="24"/>
        </w:rPr>
        <w:t>o fondēto pensiju shēmas jeb 2.</w:t>
      </w:r>
      <w:r w:rsidRPr="009B0F5F">
        <w:rPr>
          <w:rFonts w:ascii="Times New Roman" w:eastAsia="Times New Roman" w:hAnsi="Times New Roman" w:cs="Times New Roman"/>
          <w:noProof/>
          <w:color w:val="000000"/>
          <w:sz w:val="24"/>
          <w:szCs w:val="24"/>
        </w:rPr>
        <w:t>līmeņa, 20</w:t>
      </w:r>
      <w:r>
        <w:rPr>
          <w:rFonts w:ascii="Times New Roman" w:eastAsia="Times New Roman" w:hAnsi="Times New Roman" w:cs="Times New Roman"/>
          <w:noProof/>
          <w:color w:val="000000"/>
          <w:sz w:val="24"/>
          <w:szCs w:val="24"/>
        </w:rPr>
        <w:t>60.</w:t>
      </w:r>
      <w:r w:rsidRPr="009B0F5F">
        <w:rPr>
          <w:rFonts w:ascii="Times New Roman" w:eastAsia="Times New Roman" w:hAnsi="Times New Roman" w:cs="Times New Roman"/>
          <w:noProof/>
          <w:color w:val="000000"/>
          <w:sz w:val="24"/>
          <w:szCs w:val="24"/>
        </w:rPr>
        <w:t>gadā varētu sasniegt 2,6% no IKP.</w:t>
      </w:r>
      <w:r w:rsidRPr="009B0F5F">
        <w:rPr>
          <w:rFonts w:ascii="Times New Roman" w:eastAsia="Times New Roman" w:hAnsi="Times New Roman" w:cs="Times New Roman"/>
          <w:sz w:val="24"/>
          <w:szCs w:val="20"/>
        </w:rPr>
        <w:t xml:space="preserve"> </w:t>
      </w:r>
    </w:p>
    <w:p w:rsidR="009B0F5F" w:rsidRPr="009B0F5F" w:rsidRDefault="009B0F5F" w:rsidP="00DA42C2">
      <w:pPr>
        <w:numPr>
          <w:ilvl w:val="0"/>
          <w:numId w:val="26"/>
        </w:numPr>
        <w:autoSpaceDE w:val="0"/>
        <w:autoSpaceDN w:val="0"/>
        <w:adjustRightInd w:val="0"/>
        <w:spacing w:after="0" w:line="240" w:lineRule="auto"/>
        <w:ind w:left="1281" w:hanging="357"/>
        <w:jc w:val="both"/>
        <w:rPr>
          <w:rFonts w:ascii="Times New Roman" w:eastAsia="Times New Roman" w:hAnsi="Times New Roman" w:cs="Times New Roman"/>
          <w:noProof/>
          <w:color w:val="000000"/>
          <w:sz w:val="24"/>
          <w:szCs w:val="24"/>
        </w:rPr>
      </w:pPr>
      <w:r w:rsidRPr="009B0F5F">
        <w:rPr>
          <w:rFonts w:ascii="Times New Roman" w:eastAsia="Times New Roman" w:hAnsi="Times New Roman" w:cs="Times New Roman"/>
          <w:noProof/>
          <w:color w:val="000000"/>
          <w:sz w:val="24"/>
          <w:szCs w:val="24"/>
        </w:rPr>
        <w:t>No</w:t>
      </w:r>
      <w:r>
        <w:rPr>
          <w:rFonts w:ascii="Times New Roman" w:eastAsia="Times New Roman" w:hAnsi="Times New Roman" w:cs="Times New Roman"/>
          <w:noProof/>
          <w:color w:val="000000"/>
          <w:sz w:val="24"/>
          <w:szCs w:val="24"/>
        </w:rPr>
        <w:t xml:space="preserve"> 2018.gada 1.</w:t>
      </w:r>
      <w:r w:rsidRPr="009B0F5F">
        <w:rPr>
          <w:rFonts w:ascii="Times New Roman" w:eastAsia="Times New Roman" w:hAnsi="Times New Roman" w:cs="Times New Roman"/>
          <w:noProof/>
          <w:color w:val="000000"/>
          <w:sz w:val="24"/>
          <w:szCs w:val="24"/>
        </w:rPr>
        <w:t>janvāra saimnieciskās darbības veicējiem – autoratlīdzību saņēmējiem, pašnodarbinātajām personām tiek piemērota</w:t>
      </w:r>
      <w:r w:rsidRPr="009B0F5F">
        <w:rPr>
          <w:rFonts w:ascii="Times New Roman" w:eastAsia="Times New Roman" w:hAnsi="Times New Roman" w:cs="Times New Roman"/>
          <w:color w:val="000000"/>
          <w:sz w:val="24"/>
          <w:szCs w:val="24"/>
        </w:rPr>
        <w:t xml:space="preserve"> VSAOI likme 5% apmērā pensiju apdrošināšanai.</w:t>
      </w:r>
    </w:p>
    <w:p w:rsidR="009B0F5F" w:rsidRPr="009B0F5F" w:rsidRDefault="009B0F5F" w:rsidP="00DA42C2">
      <w:pPr>
        <w:numPr>
          <w:ilvl w:val="0"/>
          <w:numId w:val="26"/>
        </w:numPr>
        <w:autoSpaceDE w:val="0"/>
        <w:autoSpaceDN w:val="0"/>
        <w:adjustRightInd w:val="0"/>
        <w:spacing w:after="0" w:line="240" w:lineRule="auto"/>
        <w:ind w:left="1281" w:hanging="357"/>
        <w:jc w:val="both"/>
        <w:rPr>
          <w:rFonts w:ascii="Times New Roman" w:eastAsia="Times New Roman" w:hAnsi="Times New Roman" w:cs="Times New Roman"/>
          <w:noProof/>
          <w:color w:val="000000"/>
          <w:sz w:val="24"/>
          <w:szCs w:val="24"/>
        </w:rPr>
      </w:pPr>
      <w:r w:rsidRPr="009B0F5F">
        <w:rPr>
          <w:rFonts w:ascii="Times New Roman" w:eastAsia="Times New Roman" w:hAnsi="Times New Roman" w:cs="Times New Roman"/>
          <w:sz w:val="24"/>
          <w:szCs w:val="20"/>
        </w:rPr>
        <w:t>2018.gada 1.oktobrī tika pārskatītas (indeksētas) vecuma, invaliditātes, izdienas, apgādnieka zaudējuma pensijas un apdrošināšanas atlīdzības, kuras piešķirtas (pārrēķinātas) līdz 2018.gada 30.septembrim un kuru apmērs nepā</w:t>
      </w:r>
      <w:r>
        <w:rPr>
          <w:rFonts w:ascii="Times New Roman" w:eastAsia="Times New Roman" w:hAnsi="Times New Roman" w:cs="Times New Roman"/>
          <w:sz w:val="24"/>
          <w:szCs w:val="20"/>
        </w:rPr>
        <w:t xml:space="preserve">rsniedz 382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Times New Roman" w:hAnsi="Times New Roman" w:cs="Times New Roman"/>
          <w:sz w:val="24"/>
          <w:szCs w:val="20"/>
        </w:rPr>
        <w:t xml:space="preserve">, bet tām pensijām un apdrošināšanas atlīdzībām, kuru apmērs pārsniedz 382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Times New Roman" w:hAnsi="Times New Roman" w:cs="Times New Roman"/>
          <w:sz w:val="24"/>
          <w:szCs w:val="20"/>
        </w:rPr>
        <w:t xml:space="preserve">, indeksē tikai tās daļu – 382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Times New Roman" w:hAnsi="Times New Roman" w:cs="Times New Roman"/>
          <w:sz w:val="24"/>
          <w:szCs w:val="20"/>
        </w:rPr>
        <w:t xml:space="preserve">. Vienlaikus indeksa aprēķina formulā, kuru veido faktiskais </w:t>
      </w:r>
      <w:r w:rsidR="009F516D" w:rsidRPr="009F516D">
        <w:rPr>
          <w:rFonts w:ascii="Times New Roman" w:hAnsi="Times New Roman"/>
          <w:sz w:val="24"/>
        </w:rPr>
        <w:t>PCI</w:t>
      </w:r>
      <w:r w:rsidRPr="009B0F5F">
        <w:rPr>
          <w:rFonts w:ascii="Times New Roman" w:eastAsia="Times New Roman" w:hAnsi="Times New Roman" w:cs="Times New Roman"/>
          <w:sz w:val="24"/>
          <w:szCs w:val="20"/>
        </w:rPr>
        <w:t xml:space="preserve"> un apdrošināšanas iemaksu algu summas reālā pieauguma procenti, ņemtas vērā šādas izmaiņas. Ja personas apdrošināšanas stāžs ir no 30 līdz 39 gadiem, tad aprēķina formulā tiek ņemti 60% algas pieauguma (iepriekš 50%), savukārt, ja apdrošināšanas stāžs ir 40 un vairāk darba gadi, tad 70% no reālā algu pieauguma (iepriekš 50%).</w:t>
      </w:r>
    </w:p>
    <w:p w:rsidR="009B0F5F" w:rsidRPr="009B0F5F" w:rsidRDefault="009B0F5F" w:rsidP="00DA42C2">
      <w:pPr>
        <w:numPr>
          <w:ilvl w:val="0"/>
          <w:numId w:val="26"/>
        </w:numPr>
        <w:autoSpaceDE w:val="0"/>
        <w:autoSpaceDN w:val="0"/>
        <w:adjustRightInd w:val="0"/>
        <w:spacing w:after="0" w:line="240" w:lineRule="auto"/>
        <w:ind w:left="1281" w:hanging="357"/>
        <w:jc w:val="both"/>
        <w:rPr>
          <w:rFonts w:ascii="Times New Roman" w:eastAsia="Times New Roman" w:hAnsi="Times New Roman" w:cs="Times New Roman"/>
          <w:noProof/>
          <w:color w:val="000000"/>
          <w:sz w:val="24"/>
          <w:szCs w:val="24"/>
        </w:rPr>
      </w:pPr>
      <w:r>
        <w:rPr>
          <w:rFonts w:ascii="Times New Roman" w:eastAsia="Calibri" w:hAnsi="Times New Roman" w:cs="Times New Roman"/>
          <w:color w:val="000000"/>
          <w:sz w:val="24"/>
          <w:szCs w:val="24"/>
          <w:lang w:eastAsia="lv-LV"/>
        </w:rPr>
        <w:t>No 2019.gada 1.</w:t>
      </w:r>
      <w:r w:rsidRPr="009B0F5F">
        <w:rPr>
          <w:rFonts w:ascii="Times New Roman" w:eastAsia="Calibri" w:hAnsi="Times New Roman" w:cs="Times New Roman"/>
          <w:color w:val="000000"/>
          <w:sz w:val="24"/>
          <w:szCs w:val="24"/>
          <w:lang w:eastAsia="lv-LV"/>
        </w:rPr>
        <w:t>janvāra pensijas saņēmēja nāves gadījumā pārdzīvojušajam laulātajam, kurš ir Latvijas Republikas vecuma, invaliditātes, izdienas vai speciālās valsts pensijas saņēmējs, piešķir pabalstu 50% apmērā no mirušajam laulātajam piešķirtās pensijas (ieskaitot piemaksu pie pensijas par apdrošināšana</w:t>
      </w:r>
      <w:r>
        <w:rPr>
          <w:rFonts w:ascii="Times New Roman" w:eastAsia="Calibri" w:hAnsi="Times New Roman" w:cs="Times New Roman"/>
          <w:color w:val="000000"/>
          <w:sz w:val="24"/>
          <w:szCs w:val="24"/>
          <w:lang w:eastAsia="lv-LV"/>
        </w:rPr>
        <w:t>s stāžu, kas uzkrāts līdz 1995.gada 31.</w:t>
      </w:r>
      <w:r w:rsidRPr="009B0F5F">
        <w:rPr>
          <w:rFonts w:ascii="Times New Roman" w:eastAsia="Calibri" w:hAnsi="Times New Roman" w:cs="Times New Roman"/>
          <w:color w:val="000000"/>
          <w:sz w:val="24"/>
          <w:szCs w:val="24"/>
          <w:lang w:eastAsia="lv-LV"/>
        </w:rPr>
        <w:t>decembrim), un ir tiesības saņemt pabalstu 12 mēnešus no pensijas saņēmēja nāves dienas.</w:t>
      </w:r>
    </w:p>
    <w:p w:rsidR="009B0F5F" w:rsidRPr="009B0F5F" w:rsidRDefault="009B0F5F" w:rsidP="00DA42C2">
      <w:pPr>
        <w:numPr>
          <w:ilvl w:val="0"/>
          <w:numId w:val="26"/>
        </w:numPr>
        <w:autoSpaceDE w:val="0"/>
        <w:autoSpaceDN w:val="0"/>
        <w:adjustRightInd w:val="0"/>
        <w:spacing w:after="0" w:line="240" w:lineRule="auto"/>
        <w:ind w:left="1281" w:hanging="357"/>
        <w:jc w:val="both"/>
        <w:rPr>
          <w:rFonts w:ascii="Times New Roman" w:eastAsia="Times New Roman" w:hAnsi="Times New Roman" w:cs="Times New Roman"/>
          <w:noProof/>
          <w:color w:val="000000"/>
          <w:sz w:val="24"/>
          <w:szCs w:val="24"/>
        </w:rPr>
      </w:pPr>
      <w:r>
        <w:rPr>
          <w:rFonts w:ascii="Times New Roman" w:eastAsia="Calibri" w:hAnsi="Times New Roman" w:cs="Times New Roman"/>
          <w:color w:val="000000"/>
          <w:sz w:val="24"/>
          <w:szCs w:val="24"/>
          <w:lang w:eastAsia="lv-LV"/>
        </w:rPr>
        <w:lastRenderedPageBreak/>
        <w:t>No 2019.gada 1.</w:t>
      </w:r>
      <w:r w:rsidRPr="009B0F5F">
        <w:rPr>
          <w:rFonts w:ascii="Times New Roman" w:eastAsia="Calibri" w:hAnsi="Times New Roman" w:cs="Times New Roman"/>
          <w:color w:val="000000"/>
          <w:sz w:val="24"/>
          <w:szCs w:val="24"/>
          <w:lang w:eastAsia="lv-LV"/>
        </w:rPr>
        <w:t>oktobra vecuma pensijām, kas aprēķinātas par 45 un vairāk gadu apdrošināšanas stāžu, pensiju indeksācijā piemēros faktisko patēriņa cenu indeksu un 80% (iepriekš 70%) no apdrošināšanas iemaksu algu summas reālā pieauguma procentiem.</w:t>
      </w:r>
    </w:p>
    <w:p w:rsidR="009B0F5F" w:rsidRPr="009B0F5F" w:rsidRDefault="009B0F5F" w:rsidP="00DA42C2">
      <w:pPr>
        <w:numPr>
          <w:ilvl w:val="0"/>
          <w:numId w:val="26"/>
        </w:numPr>
        <w:autoSpaceDE w:val="0"/>
        <w:autoSpaceDN w:val="0"/>
        <w:adjustRightInd w:val="0"/>
        <w:spacing w:after="0" w:line="240" w:lineRule="auto"/>
        <w:ind w:left="1281" w:hanging="357"/>
        <w:jc w:val="both"/>
        <w:rPr>
          <w:rFonts w:ascii="Times New Roman" w:eastAsia="Times New Roman" w:hAnsi="Times New Roman" w:cs="Times New Roman"/>
          <w:noProof/>
          <w:color w:val="000000"/>
          <w:sz w:val="24"/>
          <w:szCs w:val="24"/>
        </w:rPr>
      </w:pPr>
      <w:r w:rsidRPr="009B0F5F">
        <w:rPr>
          <w:rFonts w:ascii="Times New Roman" w:eastAsia="Times New Roman" w:hAnsi="Times New Roman" w:cs="Times New Roman"/>
          <w:sz w:val="24"/>
          <w:szCs w:val="20"/>
        </w:rPr>
        <w:t>No</w:t>
      </w:r>
      <w:r>
        <w:rPr>
          <w:rFonts w:ascii="Times New Roman" w:eastAsia="Times New Roman" w:hAnsi="Times New Roman" w:cs="Times New Roman"/>
          <w:sz w:val="24"/>
          <w:szCs w:val="20"/>
        </w:rPr>
        <w:t xml:space="preserve"> 2019.gada 1.</w:t>
      </w:r>
      <w:r w:rsidRPr="009B0F5F">
        <w:rPr>
          <w:rFonts w:ascii="Times New Roman" w:eastAsia="Times New Roman" w:hAnsi="Times New Roman" w:cs="Times New Roman"/>
          <w:sz w:val="24"/>
          <w:szCs w:val="20"/>
        </w:rPr>
        <w:t>oktobra piemaksas apmēru par vienu apdrošināšanas stā</w:t>
      </w:r>
      <w:r>
        <w:rPr>
          <w:rFonts w:ascii="Times New Roman" w:eastAsia="Times New Roman" w:hAnsi="Times New Roman" w:cs="Times New Roman"/>
          <w:sz w:val="24"/>
          <w:szCs w:val="20"/>
        </w:rPr>
        <w:t>ža gadu, kas uzkrāts līdz 1995.gada 31.</w:t>
      </w:r>
      <w:r w:rsidRPr="009B0F5F">
        <w:rPr>
          <w:rFonts w:ascii="Times New Roman" w:eastAsia="Times New Roman" w:hAnsi="Times New Roman" w:cs="Times New Roman"/>
          <w:sz w:val="24"/>
          <w:szCs w:val="20"/>
        </w:rPr>
        <w:t xml:space="preserve">decembrim (1,50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Times New Roman" w:hAnsi="Times New Roman" w:cs="Times New Roman"/>
          <w:sz w:val="24"/>
          <w:szCs w:val="20"/>
        </w:rPr>
        <w:t xml:space="preserve"> pens</w:t>
      </w:r>
      <w:r>
        <w:rPr>
          <w:rFonts w:ascii="Times New Roman" w:eastAsia="Times New Roman" w:hAnsi="Times New Roman" w:cs="Times New Roman"/>
          <w:sz w:val="24"/>
          <w:szCs w:val="20"/>
        </w:rPr>
        <w:t>ijām, kas piešķirtas līdz 1996.</w:t>
      </w:r>
      <w:r w:rsidRPr="009B0F5F">
        <w:rPr>
          <w:rFonts w:ascii="Times New Roman" w:eastAsia="Times New Roman" w:hAnsi="Times New Roman" w:cs="Times New Roman"/>
          <w:sz w:val="24"/>
          <w:szCs w:val="20"/>
        </w:rPr>
        <w:t xml:space="preserve">gadam, un </w:t>
      </w:r>
      <w:r>
        <w:rPr>
          <w:rFonts w:ascii="Times New Roman" w:eastAsia="Times New Roman" w:hAnsi="Times New Roman" w:cs="Times New Roman"/>
          <w:sz w:val="24"/>
          <w:szCs w:val="20"/>
        </w:rPr>
        <w:t xml:space="preserve">1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Times New Roman" w:hAnsi="Times New Roman" w:cs="Times New Roman"/>
          <w:sz w:val="24"/>
          <w:szCs w:val="20"/>
        </w:rPr>
        <w:t xml:space="preserve"> pe</w:t>
      </w:r>
      <w:r>
        <w:rPr>
          <w:rFonts w:ascii="Times New Roman" w:eastAsia="Times New Roman" w:hAnsi="Times New Roman" w:cs="Times New Roman"/>
          <w:sz w:val="24"/>
          <w:szCs w:val="20"/>
        </w:rPr>
        <w:t>nsijām, kas piešķirtas no 1997.</w:t>
      </w:r>
      <w:r w:rsidRPr="009B0F5F">
        <w:rPr>
          <w:rFonts w:ascii="Times New Roman" w:eastAsia="Times New Roman" w:hAnsi="Times New Roman" w:cs="Times New Roman"/>
          <w:sz w:val="24"/>
          <w:szCs w:val="20"/>
        </w:rPr>
        <w:t>gada), pārskatīs, ņemot vērā faktisko patēriņa cenu indeksu un 50% no apdrošināšanas iemaksu algu summas reālā pieauguma procentiem.</w:t>
      </w:r>
    </w:p>
    <w:p w:rsidR="009B0F5F" w:rsidRPr="009B0F5F" w:rsidRDefault="009B0F5F" w:rsidP="00DA42C2">
      <w:pPr>
        <w:numPr>
          <w:ilvl w:val="0"/>
          <w:numId w:val="26"/>
        </w:numPr>
        <w:autoSpaceDE w:val="0"/>
        <w:autoSpaceDN w:val="0"/>
        <w:adjustRightInd w:val="0"/>
        <w:spacing w:after="0" w:line="240" w:lineRule="auto"/>
        <w:ind w:left="1281" w:hanging="357"/>
        <w:jc w:val="both"/>
        <w:rPr>
          <w:rFonts w:ascii="Times New Roman" w:eastAsia="Times New Roman" w:hAnsi="Times New Roman" w:cs="Times New Roman"/>
          <w:noProof/>
          <w:color w:val="000000"/>
          <w:sz w:val="24"/>
          <w:szCs w:val="24"/>
        </w:rPr>
      </w:pPr>
      <w:r>
        <w:rPr>
          <w:rFonts w:ascii="Times New Roman" w:eastAsia="Calibri" w:hAnsi="Times New Roman" w:cs="Times New Roman"/>
          <w:color w:val="000000"/>
          <w:sz w:val="24"/>
          <w:szCs w:val="24"/>
          <w:lang w:eastAsia="lv-LV"/>
        </w:rPr>
        <w:t>2019.</w:t>
      </w:r>
      <w:r w:rsidRPr="009B0F5F">
        <w:rPr>
          <w:rFonts w:ascii="Times New Roman" w:eastAsia="Calibri" w:hAnsi="Times New Roman" w:cs="Times New Roman"/>
          <w:color w:val="000000"/>
          <w:sz w:val="24"/>
          <w:szCs w:val="24"/>
          <w:lang w:eastAsia="lv-LV"/>
        </w:rPr>
        <w:t>gadā pensionāra neapliekamais minimums ir paaugstināts par 20</w:t>
      </w:r>
      <w:r>
        <w:rPr>
          <w:rFonts w:ascii="Times New Roman" w:eastAsia="Calibri" w:hAnsi="Times New Roman" w:cs="Times New Roman"/>
          <w:color w:val="000000"/>
          <w:sz w:val="24"/>
          <w:szCs w:val="24"/>
          <w:lang w:eastAsia="lv-LV"/>
        </w:rPr>
        <w:t xml:space="preserve">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Calibri" w:hAnsi="Times New Roman" w:cs="Times New Roman"/>
          <w:color w:val="000000"/>
          <w:sz w:val="24"/>
          <w:szCs w:val="24"/>
          <w:lang w:eastAsia="lv-LV"/>
        </w:rPr>
        <w:t xml:space="preserve">, sasniedzot 270 </w:t>
      </w:r>
      <w:proofErr w:type="spellStart"/>
      <w:r w:rsidRPr="009B0F5F">
        <w:rPr>
          <w:rFonts w:ascii="Times New Roman" w:eastAsia="Calibri" w:hAnsi="Times New Roman" w:cs="Times New Roman"/>
          <w:i/>
          <w:color w:val="000000"/>
          <w:sz w:val="24"/>
          <w:szCs w:val="24"/>
          <w:lang w:eastAsia="lv-LV"/>
        </w:rPr>
        <w:t>euro</w:t>
      </w:r>
      <w:proofErr w:type="spellEnd"/>
      <w:r w:rsidRPr="009B0F5F">
        <w:rPr>
          <w:rFonts w:ascii="Times New Roman" w:eastAsia="Calibri" w:hAnsi="Times New Roman" w:cs="Times New Roman"/>
          <w:color w:val="000000"/>
          <w:sz w:val="24"/>
          <w:szCs w:val="24"/>
          <w:lang w:eastAsia="lv-LV"/>
        </w:rPr>
        <w:t xml:space="preserve"> mēnesī.</w:t>
      </w:r>
    </w:p>
    <w:p w:rsidR="00AB01C8" w:rsidRDefault="00AB01C8" w:rsidP="004C62F9">
      <w:pPr>
        <w:spacing w:after="0" w:line="240" w:lineRule="auto"/>
        <w:ind w:firstLine="720"/>
        <w:jc w:val="both"/>
        <w:rPr>
          <w:rFonts w:ascii="Times New Roman" w:eastAsia="Times New Roman" w:hAnsi="Times New Roman" w:cs="Times New Roman"/>
          <w:noProof/>
          <w:sz w:val="24"/>
          <w:szCs w:val="24"/>
        </w:rPr>
      </w:pPr>
    </w:p>
    <w:p w:rsidR="009B0F5F" w:rsidRPr="009B0F5F" w:rsidRDefault="00636713" w:rsidP="004C62F9">
      <w:pPr>
        <w:spacing w:after="0" w:line="240" w:lineRule="auto"/>
        <w:ind w:firstLine="7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rPr>
        <w:t>Atbilstoši EK</w:t>
      </w:r>
      <w:r w:rsidR="009B0F5F" w:rsidRPr="009B0F5F">
        <w:rPr>
          <w:rFonts w:ascii="Times New Roman" w:eastAsia="Times New Roman" w:hAnsi="Times New Roman" w:cs="Times New Roman"/>
          <w:noProof/>
          <w:sz w:val="24"/>
          <w:szCs w:val="24"/>
        </w:rPr>
        <w:t xml:space="preserve"> prognozētajam bāzes scenārijam budžeta izdevumi </w:t>
      </w:r>
      <w:r w:rsidR="009B0F5F" w:rsidRPr="009B0F5F">
        <w:rPr>
          <w:rFonts w:ascii="Times New Roman" w:eastAsia="Times New Roman" w:hAnsi="Times New Roman" w:cs="Times New Roman"/>
          <w:b/>
          <w:noProof/>
          <w:sz w:val="24"/>
          <w:szCs w:val="24"/>
        </w:rPr>
        <w:t>veselības aprūpei</w:t>
      </w:r>
      <w:r w:rsidR="009B0F5F" w:rsidRPr="009B0F5F">
        <w:rPr>
          <w:rFonts w:ascii="Times New Roman" w:eastAsia="Times New Roman" w:hAnsi="Times New Roman" w:cs="Times New Roman"/>
          <w:noProof/>
          <w:sz w:val="24"/>
          <w:szCs w:val="24"/>
        </w:rPr>
        <w:t xml:space="preserve"> ilgtermiņā</w:t>
      </w:r>
      <w:r w:rsidR="009B0F5F">
        <w:rPr>
          <w:rFonts w:ascii="Times New Roman" w:eastAsia="Times New Roman" w:hAnsi="Times New Roman" w:cs="Times New Roman"/>
          <w:noProof/>
          <w:sz w:val="24"/>
          <w:szCs w:val="24"/>
        </w:rPr>
        <w:t xml:space="preserve"> pieaugs – no 3,7% no IKP 2016.gadā līdz 4,3% no IKP 2070.</w:t>
      </w:r>
      <w:r w:rsidR="009B0F5F" w:rsidRPr="009B0F5F">
        <w:rPr>
          <w:rFonts w:ascii="Times New Roman" w:eastAsia="Times New Roman" w:hAnsi="Times New Roman" w:cs="Times New Roman"/>
          <w:noProof/>
          <w:sz w:val="24"/>
          <w:szCs w:val="24"/>
        </w:rPr>
        <w:t>gadā. Veselīgā mūža ilgums Latvijā ir visīsākais starp ES valstīm.</w:t>
      </w:r>
      <w:r w:rsidR="009B0F5F" w:rsidRPr="009B0F5F">
        <w:rPr>
          <w:rFonts w:ascii="Times New Roman" w:eastAsia="Times New Roman" w:hAnsi="Times New Roman" w:cs="Times New Roman"/>
          <w:noProof/>
          <w:sz w:val="24"/>
          <w:szCs w:val="20"/>
        </w:rPr>
        <w:t xml:space="preserve"> Onkoloģisko pacientu skaits Latvijā ir 1,3 reizes lielāks (3,55%) nekā vidēji ES (2,7%). </w:t>
      </w:r>
      <w:r w:rsidR="009B0F5F" w:rsidRPr="009B0F5F">
        <w:rPr>
          <w:rFonts w:ascii="Times New Roman" w:eastAsia="Times New Roman" w:hAnsi="Times New Roman" w:cs="Times New Roman"/>
          <w:noProof/>
          <w:sz w:val="24"/>
          <w:szCs w:val="24"/>
        </w:rPr>
        <w:t xml:space="preserve">Mirstība no sirds asinsvadu slimībām Latvijā ir 2,3 reizes lielāka kā vidēji ES valstīs, </w:t>
      </w:r>
      <w:r w:rsidR="009B0F5F" w:rsidRPr="009B0F5F">
        <w:rPr>
          <w:rFonts w:ascii="Times New Roman" w:eastAsia="Times New Roman" w:hAnsi="Times New Roman" w:cs="Times New Roman"/>
          <w:color w:val="000000"/>
          <w:sz w:val="24"/>
          <w:szCs w:val="24"/>
          <w:shd w:val="clear" w:color="auto" w:fill="FFFFFF"/>
        </w:rPr>
        <w:t>mirstība no ļaundabīgajiem audzējiem</w:t>
      </w:r>
      <w:r w:rsidR="009B0F5F" w:rsidRPr="009B0F5F">
        <w:rPr>
          <w:rFonts w:ascii="Times New Roman" w:eastAsia="Times New Roman" w:hAnsi="Times New Roman" w:cs="Times New Roman"/>
          <w:noProof/>
          <w:sz w:val="24"/>
          <w:szCs w:val="24"/>
        </w:rPr>
        <w:t xml:space="preserve"> – </w:t>
      </w:r>
      <w:r w:rsidR="009B0F5F" w:rsidRPr="009B0F5F">
        <w:rPr>
          <w:rFonts w:ascii="Times New Roman" w:eastAsia="Times New Roman" w:hAnsi="Times New Roman" w:cs="Times New Roman"/>
          <w:color w:val="000000"/>
          <w:sz w:val="24"/>
          <w:szCs w:val="24"/>
          <w:shd w:val="clear" w:color="auto" w:fill="FFFFFF"/>
        </w:rPr>
        <w:t>1,18 reizes lielāka.</w:t>
      </w:r>
      <w:r w:rsidR="009B0F5F" w:rsidRPr="009B0F5F">
        <w:rPr>
          <w:rFonts w:ascii="Times New Roman" w:eastAsia="Times New Roman" w:hAnsi="Times New Roman" w:cs="Times New Roman"/>
          <w:noProof/>
          <w:color w:val="000000"/>
          <w:sz w:val="24"/>
          <w:szCs w:val="24"/>
        </w:rPr>
        <w:t xml:space="preserve"> </w:t>
      </w:r>
      <w:r w:rsidR="009B0F5F" w:rsidRPr="009B0F5F">
        <w:rPr>
          <w:rFonts w:ascii="Times New Roman" w:eastAsia="Times New Roman" w:hAnsi="Times New Roman" w:cs="Times New Roman"/>
          <w:color w:val="000000"/>
          <w:sz w:val="24"/>
          <w:szCs w:val="24"/>
          <w:shd w:val="clear" w:color="auto" w:fill="FFFFFF"/>
        </w:rPr>
        <w:t>Iedzīvotāji, kuri savu veselību vērt</w:t>
      </w:r>
      <w:r w:rsidR="009B0F5F">
        <w:rPr>
          <w:rFonts w:ascii="Times New Roman" w:eastAsia="Times New Roman" w:hAnsi="Times New Roman" w:cs="Times New Roman"/>
          <w:color w:val="000000"/>
          <w:sz w:val="24"/>
          <w:szCs w:val="24"/>
          <w:shd w:val="clear" w:color="auto" w:fill="FFFFFF"/>
        </w:rPr>
        <w:t>ē kā labu vai ļoti labu Latvijā</w:t>
      </w:r>
      <w:r w:rsidR="009B0F5F" w:rsidRPr="009B0F5F">
        <w:rPr>
          <w:rFonts w:ascii="Times New Roman" w:eastAsia="Times New Roman" w:hAnsi="Times New Roman" w:cs="Times New Roman"/>
          <w:noProof/>
          <w:sz w:val="24"/>
          <w:szCs w:val="24"/>
        </w:rPr>
        <w:t xml:space="preserve"> – </w:t>
      </w:r>
      <w:r w:rsidR="009B0F5F" w:rsidRPr="009B0F5F">
        <w:rPr>
          <w:rFonts w:ascii="Times New Roman" w:eastAsia="Times New Roman" w:hAnsi="Times New Roman" w:cs="Times New Roman"/>
          <w:color w:val="000000"/>
          <w:sz w:val="24"/>
          <w:szCs w:val="24"/>
          <w:shd w:val="clear" w:color="auto" w:fill="FFFFFF"/>
        </w:rPr>
        <w:t>46,2%, ES vidēji</w:t>
      </w:r>
      <w:r w:rsidR="009B0F5F" w:rsidRPr="009B0F5F">
        <w:rPr>
          <w:rFonts w:ascii="Times New Roman" w:eastAsia="Times New Roman" w:hAnsi="Times New Roman" w:cs="Times New Roman"/>
          <w:noProof/>
          <w:sz w:val="24"/>
          <w:szCs w:val="24"/>
        </w:rPr>
        <w:t xml:space="preserve"> – </w:t>
      </w:r>
      <w:r w:rsidR="009B0F5F" w:rsidRPr="009B0F5F">
        <w:rPr>
          <w:rFonts w:ascii="Times New Roman" w:eastAsia="Times New Roman" w:hAnsi="Times New Roman" w:cs="Times New Roman"/>
          <w:color w:val="000000"/>
          <w:sz w:val="24"/>
          <w:szCs w:val="24"/>
          <w:shd w:val="clear" w:color="auto" w:fill="FFFFFF"/>
        </w:rPr>
        <w:t>67%. Mirstība (visi nāves cēloņi) Latvijā ir 1,5 reizes augstāka kā vidēji ES, vīriešiem šī atšķirība ir vēl lielāka</w:t>
      </w:r>
      <w:r w:rsidR="009B0F5F" w:rsidRPr="009B0F5F">
        <w:rPr>
          <w:rFonts w:ascii="Times New Roman" w:eastAsia="Times New Roman" w:hAnsi="Times New Roman" w:cs="Times New Roman"/>
          <w:noProof/>
          <w:sz w:val="24"/>
          <w:szCs w:val="24"/>
        </w:rPr>
        <w:t xml:space="preserve"> – </w:t>
      </w:r>
      <w:r w:rsidR="009B0F5F" w:rsidRPr="009B0F5F">
        <w:rPr>
          <w:rFonts w:ascii="Times New Roman" w:eastAsia="Times New Roman" w:hAnsi="Times New Roman" w:cs="Times New Roman"/>
          <w:color w:val="000000"/>
          <w:sz w:val="24"/>
          <w:szCs w:val="24"/>
          <w:shd w:val="clear" w:color="auto" w:fill="FFFFFF"/>
        </w:rPr>
        <w:t xml:space="preserve">1,7 reizes. </w:t>
      </w:r>
      <w:r w:rsidR="009B0F5F" w:rsidRPr="009B0F5F">
        <w:rPr>
          <w:rFonts w:ascii="Times New Roman" w:eastAsia="Times New Roman" w:hAnsi="Times New Roman" w:cs="Times New Roman"/>
          <w:noProof/>
          <w:color w:val="000000"/>
          <w:sz w:val="24"/>
          <w:szCs w:val="24"/>
        </w:rPr>
        <w:t>G</w:t>
      </w:r>
      <w:r w:rsidR="009B0F5F" w:rsidRPr="009B0F5F">
        <w:rPr>
          <w:rFonts w:ascii="PT Serif" w:eastAsia="Times New Roman" w:hAnsi="PT Serif" w:cs="Times New Roman"/>
          <w:noProof/>
          <w:color w:val="000000"/>
          <w:sz w:val="24"/>
          <w:szCs w:val="20"/>
          <w:shd w:val="clear" w:color="auto" w:fill="FFFFFF"/>
        </w:rPr>
        <w:t>aidīšanas laiks uz ambulatorajiem veselības aprūpes pakalpojumiem svārstās no 20 dienām līdz pat 680</w:t>
      </w:r>
      <w:r w:rsidR="009B0F5F">
        <w:rPr>
          <w:rFonts w:ascii="PT Serif" w:eastAsia="Times New Roman" w:hAnsi="PT Serif" w:cs="Times New Roman"/>
          <w:noProof/>
          <w:color w:val="000000"/>
          <w:sz w:val="24"/>
          <w:szCs w:val="20"/>
          <w:shd w:val="clear" w:color="auto" w:fill="FFFFFF"/>
        </w:rPr>
        <w:t xml:space="preserve"> </w:t>
      </w:r>
      <w:r w:rsidR="009B0F5F" w:rsidRPr="009B0F5F">
        <w:rPr>
          <w:rFonts w:ascii="PT Serif" w:eastAsia="Times New Roman" w:hAnsi="PT Serif" w:cs="Times New Roman"/>
          <w:noProof/>
          <w:color w:val="000000"/>
          <w:sz w:val="24"/>
          <w:szCs w:val="20"/>
          <w:shd w:val="clear" w:color="auto" w:fill="FFFFFF"/>
        </w:rPr>
        <w:t>dienām</w:t>
      </w:r>
      <w:r w:rsidR="009B0F5F" w:rsidRPr="009B0F5F">
        <w:rPr>
          <w:rFonts w:ascii="Garamond" w:eastAsia="Times New Roman" w:hAnsi="Garamond" w:cs="Times New Roman"/>
          <w:noProof/>
          <w:color w:val="000000"/>
          <w:sz w:val="20"/>
          <w:szCs w:val="20"/>
          <w:shd w:val="clear" w:color="auto" w:fill="FFFFFF"/>
          <w:vertAlign w:val="superscript"/>
        </w:rPr>
        <w:footnoteReference w:id="34"/>
      </w:r>
      <w:r w:rsidR="009B0F5F" w:rsidRPr="009B0F5F">
        <w:rPr>
          <w:rFonts w:ascii="PT Serif" w:eastAsia="Times New Roman" w:hAnsi="PT Serif" w:cs="Times New Roman"/>
          <w:noProof/>
          <w:color w:val="000000"/>
          <w:sz w:val="24"/>
          <w:szCs w:val="20"/>
          <w:shd w:val="clear" w:color="auto" w:fill="FFFFFF"/>
        </w:rPr>
        <w:t xml:space="preserve">. Ilgs gaidīšanas laiks veselības aprūpes pakalpojumu saņemšanai būtiski ietekmē arī pakalpojumu pēctecības un nepārtrauktas nodrošināšanas iespējas. </w:t>
      </w:r>
    </w:p>
    <w:p w:rsidR="009B0F5F" w:rsidRPr="009B0F5F" w:rsidRDefault="009B0F5F" w:rsidP="004C62F9">
      <w:pPr>
        <w:spacing w:after="0" w:line="240" w:lineRule="auto"/>
        <w:ind w:firstLine="720"/>
        <w:jc w:val="both"/>
        <w:rPr>
          <w:rFonts w:ascii="Times New Roman" w:eastAsia="Times New Roman" w:hAnsi="Times New Roman" w:cs="Times New Roman"/>
          <w:noProof/>
          <w:color w:val="000000"/>
          <w:sz w:val="24"/>
          <w:szCs w:val="24"/>
        </w:rPr>
      </w:pPr>
      <w:r w:rsidRPr="009B0F5F">
        <w:rPr>
          <w:rFonts w:ascii="Times New Roman" w:eastAsia="Times New Roman" w:hAnsi="Times New Roman" w:cs="Times New Roman"/>
          <w:noProof/>
          <w:sz w:val="24"/>
          <w:szCs w:val="24"/>
        </w:rPr>
        <w:t xml:space="preserve">Veselības aprūpes joma </w:t>
      </w:r>
      <w:r w:rsidR="00394618">
        <w:rPr>
          <w:rFonts w:ascii="Times New Roman" w:eastAsia="Times New Roman" w:hAnsi="Times New Roman" w:cs="Times New Roman"/>
          <w:noProof/>
          <w:sz w:val="24"/>
          <w:szCs w:val="24"/>
        </w:rPr>
        <w:t>ir</w:t>
      </w:r>
      <w:r w:rsidRPr="009B0F5F">
        <w:rPr>
          <w:rFonts w:ascii="Times New Roman" w:eastAsia="Times New Roman" w:hAnsi="Times New Roman" w:cs="Times New Roman"/>
          <w:noProof/>
          <w:sz w:val="24"/>
          <w:szCs w:val="24"/>
        </w:rPr>
        <w:t xml:space="preserve"> noteikta kā viena no primārām, kurā ir nepieciešams veikt reformas, kas uzlabotu</w:t>
      </w:r>
      <w:r w:rsidRPr="009B0F5F">
        <w:rPr>
          <w:rFonts w:ascii="Times New Roman" w:eastAsia="Times New Roman" w:hAnsi="Times New Roman" w:cs="Times New Roman"/>
          <w:noProof/>
          <w:color w:val="000000"/>
          <w:sz w:val="24"/>
          <w:szCs w:val="24"/>
        </w:rPr>
        <w:t xml:space="preserve"> veselības aprūpes pakalpojumu pieejamību</w:t>
      </w:r>
      <w:r w:rsidR="00394618">
        <w:rPr>
          <w:rFonts w:ascii="Times New Roman" w:eastAsia="Times New Roman" w:hAnsi="Times New Roman" w:cs="Times New Roman"/>
          <w:noProof/>
          <w:color w:val="000000"/>
          <w:sz w:val="24"/>
          <w:szCs w:val="24"/>
        </w:rPr>
        <w:t xml:space="preserve"> (detalizētākam izklāstam skat. sadaļu 3.1.3.). </w:t>
      </w:r>
    </w:p>
    <w:p w:rsidR="009B0F5F" w:rsidRPr="00DB1AEB" w:rsidRDefault="00394618" w:rsidP="00DB1AEB">
      <w:pPr>
        <w:spacing w:after="0" w:line="240" w:lineRule="auto"/>
        <w:ind w:firstLine="720"/>
        <w:jc w:val="both"/>
        <w:rPr>
          <w:rFonts w:ascii="Times New Roman" w:hAnsi="Times New Roman"/>
          <w:color w:val="000000"/>
          <w:sz w:val="24"/>
        </w:rPr>
      </w:pPr>
      <w:r>
        <w:rPr>
          <w:rFonts w:ascii="Times New Roman" w:eastAsia="Times New Roman" w:hAnsi="Times New Roman" w:cs="Times New Roman"/>
          <w:noProof/>
          <w:color w:val="000000"/>
          <w:sz w:val="24"/>
          <w:szCs w:val="24"/>
        </w:rPr>
        <w:t>V</w:t>
      </w:r>
      <w:r w:rsidR="009B0F5F" w:rsidRPr="009B0F5F">
        <w:rPr>
          <w:rFonts w:ascii="Times New Roman" w:eastAsia="Times New Roman" w:hAnsi="Times New Roman" w:cs="Times New Roman"/>
          <w:noProof/>
          <w:color w:val="000000"/>
          <w:sz w:val="24"/>
          <w:szCs w:val="24"/>
        </w:rPr>
        <w:t xml:space="preserve">eselības reformas ietvaros 2017.gada 14.decembrī Saeima pieņēma Veselības aprūpes finansēšanas likumu, kas paredz </w:t>
      </w:r>
      <w:r w:rsidR="009B0F5F" w:rsidRPr="009B0F5F">
        <w:rPr>
          <w:rFonts w:ascii="Times New Roman" w:eastAsia="Times New Roman" w:hAnsi="Times New Roman" w:cs="Times New Roman"/>
          <w:noProof/>
          <w:sz w:val="24"/>
          <w:szCs w:val="24"/>
        </w:rPr>
        <w:t>mainīt veselības aprūpes finansēšanas sistēmu un ieviest valsts</w:t>
      </w:r>
      <w:r w:rsidR="009B0F5F" w:rsidRPr="009B0F5F">
        <w:rPr>
          <w:rFonts w:ascii="Times New Roman" w:eastAsia="Times New Roman" w:hAnsi="Times New Roman" w:cs="Times New Roman"/>
          <w:sz w:val="24"/>
          <w:szCs w:val="24"/>
        </w:rPr>
        <w:t xml:space="preserve"> obligāto veselības apdrošināšanu, kuras pamatā ir visas sabiedrības solidāra iesaiste atbildīgā nodokļu maksāšanā, lai veicinātu atbilstošu veselības aprūpes finansējumu, sasniedzot finansējuma apmēru 4% no IKP 2020.gadā, tādējādi sekmējot veselības aprūpes pieejamību un sabiedrības veselības rādītāju uzlabošanos, kā arī gādājot par mediķu atalgojuma palielinājumu. Kopš 2018.gada tika rasts risinājums papildu finansējuma piesaiste, novirzot 1 procentpunktu no sociālā nodokļa iemaksām veselības aprūpei. Pateicoties šim regulējumam 2018.gadā izdevās novirzīt 85,6 milj. </w:t>
      </w:r>
      <w:proofErr w:type="spellStart"/>
      <w:r w:rsidR="009B0F5F" w:rsidRPr="009B0F5F">
        <w:rPr>
          <w:rFonts w:ascii="Times New Roman" w:eastAsia="Times New Roman" w:hAnsi="Times New Roman" w:cs="Times New Roman"/>
          <w:i/>
          <w:sz w:val="24"/>
          <w:szCs w:val="24"/>
        </w:rPr>
        <w:t>euro</w:t>
      </w:r>
      <w:proofErr w:type="spellEnd"/>
      <w:r w:rsidR="009B0F5F" w:rsidRPr="009B0F5F">
        <w:rPr>
          <w:rFonts w:ascii="Times New Roman" w:eastAsia="Times New Roman" w:hAnsi="Times New Roman" w:cs="Times New Roman"/>
          <w:sz w:val="24"/>
          <w:szCs w:val="24"/>
        </w:rPr>
        <w:t xml:space="preserve"> mediķu atalgojuma palielināšanai. Palielinot finansējumu veselības nozarei, samazināsies potenciāli zaudēto mūža gadu apjoms, tautsaimniecībai radot papildus ieņēmumus. </w:t>
      </w:r>
    </w:p>
    <w:p w:rsidR="00502866" w:rsidRPr="00782778" w:rsidRDefault="00502866" w:rsidP="00A8311B">
      <w:pPr>
        <w:spacing w:after="0"/>
        <w:rPr>
          <w:rFonts w:ascii="Times New Roman" w:eastAsiaTheme="majorEastAsia" w:hAnsi="Times New Roman" w:cs="Times New Roman"/>
          <w:b/>
          <w:bCs/>
          <w:smallCaps/>
          <w:color w:val="000000" w:themeColor="text1"/>
          <w:sz w:val="24"/>
          <w:szCs w:val="28"/>
          <w:highlight w:val="yellow"/>
        </w:rPr>
      </w:pPr>
    </w:p>
    <w:p w:rsidR="005C4F32" w:rsidRPr="00DC25E6" w:rsidRDefault="00A34463" w:rsidP="000774C9">
      <w:pPr>
        <w:pStyle w:val="Heading2"/>
        <w:numPr>
          <w:ilvl w:val="1"/>
          <w:numId w:val="32"/>
        </w:numPr>
        <w:spacing w:before="0" w:after="120"/>
        <w:ind w:left="1134" w:hanging="425"/>
        <w:rPr>
          <w:rFonts w:ascii="Times New Roman" w:hAnsi="Times New Roman" w:cs="Times New Roman"/>
          <w:sz w:val="24"/>
        </w:rPr>
      </w:pPr>
      <w:bookmarkStart w:id="84" w:name="_Toc510790677"/>
      <w:bookmarkStart w:id="85" w:name="_Toc5627387"/>
      <w:bookmarkStart w:id="86" w:name="_Toc5798642"/>
      <w:r w:rsidRPr="00DC25E6">
        <w:rPr>
          <w:rFonts w:ascii="Times New Roman" w:hAnsi="Times New Roman" w:cs="Times New Roman"/>
          <w:sz w:val="24"/>
        </w:rPr>
        <w:t>Valsts sniegtie galvojumi</w:t>
      </w:r>
      <w:bookmarkEnd w:id="84"/>
      <w:bookmarkEnd w:id="85"/>
      <w:bookmarkEnd w:id="86"/>
    </w:p>
    <w:p w:rsidR="00DC25E6" w:rsidRPr="00DC25E6" w:rsidRDefault="00DC25E6" w:rsidP="00AB01C8">
      <w:pPr>
        <w:spacing w:after="0" w:line="240" w:lineRule="auto"/>
        <w:ind w:firstLine="567"/>
        <w:jc w:val="both"/>
        <w:rPr>
          <w:rFonts w:ascii="Times New Roman" w:hAnsi="Times New Roman" w:cs="Times New Roman"/>
          <w:sz w:val="24"/>
          <w:szCs w:val="24"/>
        </w:rPr>
      </w:pPr>
      <w:r w:rsidRPr="00DC25E6">
        <w:rPr>
          <w:rFonts w:ascii="Times New Roman" w:hAnsi="Times New Roman" w:cs="Times New Roman"/>
          <w:sz w:val="24"/>
          <w:szCs w:val="24"/>
        </w:rPr>
        <w:t>Likumā “Par valsts budžetu 2018</w:t>
      </w:r>
      <w:r>
        <w:rPr>
          <w:rFonts w:ascii="Times New Roman" w:hAnsi="Times New Roman" w:cs="Times New Roman"/>
          <w:sz w:val="24"/>
          <w:szCs w:val="24"/>
        </w:rPr>
        <w:t>.</w:t>
      </w:r>
      <w:r w:rsidRPr="00DC25E6">
        <w:rPr>
          <w:rFonts w:ascii="Times New Roman" w:hAnsi="Times New Roman" w:cs="Times New Roman"/>
          <w:sz w:val="24"/>
          <w:szCs w:val="24"/>
        </w:rPr>
        <w:t xml:space="preserve">gadam” noteikts, ka finanšu ministrs valsts vārdā var sniegt galvojumus par studējošo un studiju kreditēšanu 35,9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apmērā, t.sk. studiju kredītus ar valsts vārdā sniegtu galvojumu 25,2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apmērā un studējošā kredītus ar valsts vārdā sniegtu galvojumu 10,7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apmērā. 2018.gadā atbilstoši likumam ir izsniegti studiju kredīti ar valsts vārdā sniegtu galvojumu 7</w:t>
      </w:r>
      <w:r>
        <w:rPr>
          <w:rFonts w:ascii="Times New Roman" w:hAnsi="Times New Roman" w:cs="Times New Roman"/>
          <w:sz w:val="24"/>
          <w:szCs w:val="24"/>
        </w:rPr>
        <w:t xml:space="preserve"> </w:t>
      </w:r>
      <w:r w:rsidRPr="00DC25E6">
        <w:rPr>
          <w:rFonts w:ascii="Times New Roman" w:hAnsi="Times New Roman" w:cs="Times New Roman"/>
          <w:sz w:val="24"/>
          <w:szCs w:val="24"/>
        </w:rPr>
        <w:t>milj.</w:t>
      </w:r>
      <w:r w:rsidR="00917436">
        <w:rPr>
          <w:rFonts w:ascii="Times New Roman" w:hAnsi="Times New Roman" w:cs="Times New Roman"/>
          <w:sz w:val="24"/>
          <w:szCs w:val="24"/>
        </w:rPr>
        <w:t xml:space="preserve">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apmērā, savukārt, studējošā kredīti ar valsts vārdā sniegtu galvojumu 1,5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i/>
          <w:sz w:val="24"/>
          <w:szCs w:val="24"/>
        </w:rPr>
        <w:t xml:space="preserve"> </w:t>
      </w:r>
      <w:r w:rsidRPr="00DC25E6">
        <w:rPr>
          <w:rFonts w:ascii="Times New Roman" w:hAnsi="Times New Roman" w:cs="Times New Roman"/>
          <w:sz w:val="24"/>
          <w:szCs w:val="24"/>
        </w:rPr>
        <w:t xml:space="preserve">apmērā.  </w:t>
      </w:r>
    </w:p>
    <w:p w:rsidR="00DC25E6" w:rsidRPr="00DC25E6" w:rsidRDefault="00DC25E6" w:rsidP="00AB01C8">
      <w:pPr>
        <w:spacing w:line="240" w:lineRule="auto"/>
        <w:ind w:firstLine="567"/>
        <w:jc w:val="both"/>
        <w:rPr>
          <w:rFonts w:ascii="Times New Roman" w:hAnsi="Times New Roman" w:cs="Times New Roman"/>
          <w:sz w:val="24"/>
          <w:szCs w:val="24"/>
        </w:rPr>
      </w:pPr>
      <w:r w:rsidRPr="00DC25E6">
        <w:rPr>
          <w:rFonts w:ascii="Times New Roman" w:hAnsi="Times New Roman" w:cs="Times New Roman"/>
          <w:sz w:val="24"/>
          <w:szCs w:val="24"/>
        </w:rPr>
        <w:lastRenderedPageBreak/>
        <w:t>Saskaņā ar V</w:t>
      </w:r>
      <w:r w:rsidR="00457767">
        <w:rPr>
          <w:rFonts w:ascii="Times New Roman" w:hAnsi="Times New Roman" w:cs="Times New Roman"/>
          <w:sz w:val="24"/>
          <w:szCs w:val="24"/>
        </w:rPr>
        <w:t xml:space="preserve">K </w:t>
      </w:r>
      <w:r w:rsidRPr="00DC25E6">
        <w:rPr>
          <w:rFonts w:ascii="Times New Roman" w:hAnsi="Times New Roman" w:cs="Times New Roman"/>
          <w:sz w:val="24"/>
          <w:szCs w:val="24"/>
        </w:rPr>
        <w:t xml:space="preserve">datiem, valsts galvoto aizdevumu saistību apjoms kopš 2015.gada ir stabilizējies 1,7% apmērā no </w:t>
      </w:r>
      <w:r w:rsidR="00A4120C" w:rsidRPr="003C7327">
        <w:rPr>
          <w:rFonts w:ascii="Times New Roman" w:hAnsi="Times New Roman" w:cs="Times New Roman"/>
          <w:color w:val="000000"/>
          <w:sz w:val="24"/>
          <w:szCs w:val="24"/>
          <w:lang w:eastAsia="lv-LV"/>
        </w:rPr>
        <w:t>IKP</w:t>
      </w:r>
      <w:r w:rsidRPr="00DC25E6">
        <w:rPr>
          <w:rFonts w:ascii="Times New Roman" w:hAnsi="Times New Roman" w:cs="Times New Roman"/>
          <w:sz w:val="24"/>
          <w:szCs w:val="24"/>
        </w:rPr>
        <w:t xml:space="preserve">, 2018.gada beigās veidojot 477,6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w:t>
      </w:r>
      <w:r w:rsidRPr="00AB01C8">
        <w:rPr>
          <w:rFonts w:ascii="Times New Roman" w:hAnsi="Times New Roman" w:cs="Times New Roman"/>
          <w:sz w:val="24"/>
          <w:szCs w:val="24"/>
        </w:rPr>
        <w:t>sk</w:t>
      </w:r>
      <w:r w:rsidR="006D1A8A">
        <w:rPr>
          <w:rFonts w:ascii="Times New Roman" w:hAnsi="Times New Roman" w:cs="Times New Roman"/>
          <w:sz w:val="24"/>
          <w:szCs w:val="24"/>
        </w:rPr>
        <w:t>at</w:t>
      </w:r>
      <w:r w:rsidRPr="00AB01C8">
        <w:rPr>
          <w:rFonts w:ascii="Times New Roman" w:hAnsi="Times New Roman" w:cs="Times New Roman"/>
          <w:sz w:val="24"/>
          <w:szCs w:val="24"/>
        </w:rPr>
        <w:t xml:space="preserve">. </w:t>
      </w:r>
      <w:r w:rsidR="00AB01C8" w:rsidRPr="00AB01C8">
        <w:rPr>
          <w:rFonts w:ascii="Times New Roman" w:hAnsi="Times New Roman" w:cs="Times New Roman"/>
          <w:sz w:val="24"/>
          <w:szCs w:val="24"/>
        </w:rPr>
        <w:t>6.5.</w:t>
      </w:r>
      <w:r w:rsidRPr="00AB01C8">
        <w:rPr>
          <w:rFonts w:ascii="Times New Roman" w:hAnsi="Times New Roman" w:cs="Times New Roman"/>
          <w:sz w:val="24"/>
          <w:szCs w:val="24"/>
        </w:rPr>
        <w:t>attēlu</w:t>
      </w:r>
      <w:r w:rsidRPr="00DC25E6">
        <w:rPr>
          <w:rFonts w:ascii="Times New Roman" w:hAnsi="Times New Roman" w:cs="Times New Roman"/>
          <w:sz w:val="24"/>
          <w:szCs w:val="24"/>
        </w:rPr>
        <w:t xml:space="preserve">). Valsts galvoto aizdevumu portfelī lielāko apjomu veido valsts galvojumi par valsts </w:t>
      </w:r>
      <w:r w:rsidR="005F72E5">
        <w:rPr>
          <w:rFonts w:ascii="Times New Roman" w:hAnsi="Times New Roman" w:cs="Times New Roman"/>
          <w:sz w:val="24"/>
          <w:szCs w:val="24"/>
        </w:rPr>
        <w:t>„ALTUM”</w:t>
      </w:r>
      <w:r w:rsidRPr="00DC25E6">
        <w:rPr>
          <w:rFonts w:ascii="Times New Roman" w:hAnsi="Times New Roman" w:cs="Times New Roman"/>
          <w:sz w:val="24"/>
          <w:szCs w:val="24"/>
        </w:rPr>
        <w:t xml:space="preserve"> saistībām valsts atbalsta programmu īstenošanai (219,9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ārstniecības iestāžu galvoto aizdevumu saistības (139,7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un valsts galvojumi studējošo un studiju kreditēšanai (80,8 milj.</w:t>
      </w:r>
      <w:r w:rsidR="00917436">
        <w:rPr>
          <w:rFonts w:ascii="Times New Roman" w:hAnsi="Times New Roman" w:cs="Times New Roman"/>
          <w:sz w:val="24"/>
          <w:szCs w:val="24"/>
        </w:rPr>
        <w:t xml:space="preserve">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w:t>
      </w:r>
    </w:p>
    <w:p w:rsidR="00DC25E6" w:rsidRPr="00DC25E6" w:rsidRDefault="00DC25E6" w:rsidP="00AB01C8">
      <w:pPr>
        <w:spacing w:line="240" w:lineRule="auto"/>
        <w:ind w:firstLine="567"/>
        <w:jc w:val="both"/>
        <w:rPr>
          <w:rFonts w:ascii="Times New Roman" w:hAnsi="Times New Roman" w:cs="Times New Roman"/>
          <w:sz w:val="24"/>
          <w:szCs w:val="24"/>
        </w:rPr>
      </w:pPr>
    </w:p>
    <w:p w:rsidR="00DC25E6" w:rsidRPr="00DC25E6" w:rsidRDefault="00DC25E6" w:rsidP="00AB01C8">
      <w:pPr>
        <w:spacing w:line="240" w:lineRule="auto"/>
        <w:jc w:val="center"/>
        <w:rPr>
          <w:rFonts w:ascii="Times New Roman" w:hAnsi="Times New Roman" w:cs="Times New Roman"/>
          <w:b/>
          <w:bCs/>
          <w:sz w:val="24"/>
          <w:szCs w:val="24"/>
        </w:rPr>
      </w:pPr>
      <w:r w:rsidRPr="00DC25E6">
        <w:rPr>
          <w:rFonts w:ascii="Times New Roman" w:hAnsi="Times New Roman" w:cs="Times New Roman"/>
          <w:b/>
          <w:bCs/>
          <w:noProof/>
          <w:sz w:val="24"/>
          <w:szCs w:val="24"/>
          <w:lang w:eastAsia="lv-LV"/>
        </w:rPr>
        <w:drawing>
          <wp:inline distT="0" distB="0" distL="0" distR="0" wp14:anchorId="2DB5BBCA" wp14:editId="2FF1FBDE">
            <wp:extent cx="4346713" cy="197676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8022" cy="1986451"/>
                    </a:xfrm>
                    <a:prstGeom prst="rect">
                      <a:avLst/>
                    </a:prstGeom>
                    <a:noFill/>
                  </pic:spPr>
                </pic:pic>
              </a:graphicData>
            </a:graphic>
          </wp:inline>
        </w:drawing>
      </w:r>
    </w:p>
    <w:p w:rsidR="00DC25E6" w:rsidRPr="00DC25E6" w:rsidRDefault="00AB01C8" w:rsidP="00AB01C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6.5.</w:t>
      </w:r>
      <w:r w:rsidR="00DC25E6" w:rsidRPr="00DC25E6">
        <w:rPr>
          <w:rFonts w:ascii="Times New Roman" w:hAnsi="Times New Roman" w:cs="Times New Roman"/>
          <w:b/>
          <w:bCs/>
          <w:sz w:val="24"/>
          <w:szCs w:val="24"/>
        </w:rPr>
        <w:t xml:space="preserve">Valsts galvoto aizdevumu atlikums attiecīgā gada beigās (milj. </w:t>
      </w:r>
      <w:proofErr w:type="spellStart"/>
      <w:r w:rsidR="00DC25E6" w:rsidRPr="00DC25E6">
        <w:rPr>
          <w:rFonts w:ascii="Times New Roman" w:hAnsi="Times New Roman" w:cs="Times New Roman"/>
          <w:b/>
          <w:bCs/>
          <w:i/>
          <w:sz w:val="24"/>
          <w:szCs w:val="24"/>
        </w:rPr>
        <w:t>euro</w:t>
      </w:r>
      <w:proofErr w:type="spellEnd"/>
      <w:r w:rsidR="00DC25E6" w:rsidRPr="00DC25E6">
        <w:rPr>
          <w:rFonts w:ascii="Times New Roman" w:hAnsi="Times New Roman" w:cs="Times New Roman"/>
          <w:b/>
          <w:bCs/>
          <w:sz w:val="24"/>
          <w:szCs w:val="24"/>
        </w:rPr>
        <w:t>)</w:t>
      </w:r>
    </w:p>
    <w:p w:rsidR="00DC25E6" w:rsidRPr="00DC25E6" w:rsidRDefault="00DC25E6" w:rsidP="00AB01C8">
      <w:pPr>
        <w:spacing w:line="240" w:lineRule="auto"/>
        <w:jc w:val="center"/>
        <w:rPr>
          <w:rFonts w:ascii="Times New Roman" w:hAnsi="Times New Roman" w:cs="Times New Roman"/>
          <w:bCs/>
          <w:i/>
          <w:color w:val="FF0000"/>
          <w:sz w:val="24"/>
          <w:szCs w:val="24"/>
        </w:rPr>
      </w:pPr>
      <w:r w:rsidRPr="00DC25E6">
        <w:rPr>
          <w:rFonts w:ascii="Times New Roman" w:hAnsi="Times New Roman" w:cs="Times New Roman"/>
          <w:bCs/>
          <w:i/>
          <w:sz w:val="24"/>
          <w:szCs w:val="24"/>
        </w:rPr>
        <w:t>Avots: V</w:t>
      </w:r>
      <w:r w:rsidR="00457767">
        <w:rPr>
          <w:rFonts w:ascii="Times New Roman" w:hAnsi="Times New Roman" w:cs="Times New Roman"/>
          <w:bCs/>
          <w:i/>
          <w:sz w:val="24"/>
          <w:szCs w:val="24"/>
        </w:rPr>
        <w:t>K</w:t>
      </w:r>
    </w:p>
    <w:p w:rsidR="00DC25E6" w:rsidRPr="00DC25E6" w:rsidRDefault="00DC25E6" w:rsidP="004B1C2A">
      <w:pPr>
        <w:spacing w:line="240" w:lineRule="auto"/>
        <w:ind w:firstLine="720"/>
        <w:jc w:val="both"/>
        <w:rPr>
          <w:rFonts w:ascii="Times New Roman" w:hAnsi="Times New Roman" w:cs="Times New Roman"/>
          <w:sz w:val="24"/>
          <w:szCs w:val="24"/>
        </w:rPr>
      </w:pPr>
      <w:r w:rsidRPr="00DC25E6">
        <w:rPr>
          <w:rFonts w:ascii="Times New Roman" w:hAnsi="Times New Roman" w:cs="Times New Roman"/>
          <w:sz w:val="24"/>
          <w:szCs w:val="24"/>
        </w:rPr>
        <w:t xml:space="preserve">Pastāvot varbūtībai, ka riskantāko valsts galvoto aizdevumu saistības vai to daļa varētu netikt izpildītas noteiktajā termiņā, likumā “Par valsts budžetu 2019.gadam” noteiktas valdības rīcības pieļaujamās robežas, lai segtu izdevumus, kas var rasties, pildot uz valsts budžetu attiecināmās valsts galvotā parāda saistības. Izvērtējot aizņēmēju finansiālo stāvokli, līdzšinējo </w:t>
      </w:r>
      <w:proofErr w:type="spellStart"/>
      <w:r w:rsidRPr="00DC25E6">
        <w:rPr>
          <w:rFonts w:ascii="Times New Roman" w:hAnsi="Times New Roman" w:cs="Times New Roman"/>
          <w:sz w:val="24"/>
          <w:szCs w:val="24"/>
        </w:rPr>
        <w:t>kredītvēsturi</w:t>
      </w:r>
      <w:proofErr w:type="spellEnd"/>
      <w:r w:rsidRPr="00DC25E6">
        <w:rPr>
          <w:rFonts w:ascii="Times New Roman" w:hAnsi="Times New Roman" w:cs="Times New Roman"/>
          <w:sz w:val="24"/>
          <w:szCs w:val="24"/>
        </w:rPr>
        <w:t xml:space="preserve">, nodrošinājuma likviditāti un apjomu, kā arī citu pieejamo informāciju, valdības rīcības pieļaujamās robežas riskanto valsts galvoto aizdevumu saistību izpildei 2019.gadā ir noteiktas 0,3 milj. </w:t>
      </w:r>
      <w:proofErr w:type="spellStart"/>
      <w:r w:rsidRPr="00DC25E6">
        <w:rPr>
          <w:rFonts w:ascii="Times New Roman" w:hAnsi="Times New Roman" w:cs="Times New Roman"/>
          <w:i/>
          <w:sz w:val="24"/>
          <w:szCs w:val="24"/>
        </w:rPr>
        <w:t>euro</w:t>
      </w:r>
      <w:proofErr w:type="spellEnd"/>
      <w:r w:rsidRPr="00DC25E6">
        <w:rPr>
          <w:rFonts w:ascii="Times New Roman" w:hAnsi="Times New Roman" w:cs="Times New Roman"/>
          <w:sz w:val="24"/>
          <w:szCs w:val="24"/>
        </w:rPr>
        <w:t xml:space="preserve"> apmērā.</w:t>
      </w:r>
      <w:r w:rsidRPr="00DC25E6">
        <w:rPr>
          <w:rFonts w:ascii="Times New Roman" w:hAnsi="Times New Roman" w:cs="Times New Roman"/>
          <w:sz w:val="24"/>
          <w:szCs w:val="24"/>
          <w:lang w:eastAsia="lv-LV"/>
        </w:rPr>
        <w:t xml:space="preserve"> </w:t>
      </w:r>
    </w:p>
    <w:p w:rsidR="002C7C43" w:rsidRPr="00782778" w:rsidRDefault="002C7C43">
      <w:pPr>
        <w:rPr>
          <w:rFonts w:ascii="Times New Roman" w:eastAsiaTheme="majorEastAsia" w:hAnsi="Times New Roman" w:cs="Times New Roman"/>
          <w:b/>
          <w:bCs/>
          <w:smallCaps/>
          <w:color w:val="000000" w:themeColor="text1"/>
          <w:sz w:val="32"/>
          <w:szCs w:val="36"/>
          <w:highlight w:val="yellow"/>
        </w:rPr>
      </w:pPr>
    </w:p>
    <w:p w:rsidR="00436C53" w:rsidRPr="00782778" w:rsidRDefault="00436C53">
      <w:pPr>
        <w:rPr>
          <w:rFonts w:ascii="Times New Roman" w:eastAsiaTheme="majorEastAsia" w:hAnsi="Times New Roman" w:cs="Times New Roman"/>
          <w:b/>
          <w:bCs/>
          <w:smallCaps/>
          <w:color w:val="000000" w:themeColor="text1"/>
          <w:sz w:val="32"/>
          <w:szCs w:val="36"/>
          <w:highlight w:val="yellow"/>
        </w:rPr>
      </w:pPr>
      <w:r w:rsidRPr="00782778">
        <w:rPr>
          <w:rFonts w:ascii="Times New Roman" w:hAnsi="Times New Roman" w:cs="Times New Roman"/>
          <w:sz w:val="32"/>
          <w:highlight w:val="yellow"/>
        </w:rPr>
        <w:br w:type="page"/>
      </w:r>
    </w:p>
    <w:p w:rsidR="003F78CC" w:rsidRPr="00DC25E6" w:rsidRDefault="005536A9" w:rsidP="000774C9">
      <w:pPr>
        <w:pStyle w:val="Heading1"/>
        <w:numPr>
          <w:ilvl w:val="0"/>
          <w:numId w:val="32"/>
        </w:numPr>
        <w:ind w:left="284" w:hanging="283"/>
        <w:jc w:val="center"/>
        <w:rPr>
          <w:rFonts w:ascii="Times New Roman" w:hAnsi="Times New Roman" w:cs="Times New Roman"/>
          <w:sz w:val="32"/>
        </w:rPr>
      </w:pPr>
      <w:bookmarkStart w:id="87" w:name="_Toc510790678"/>
      <w:bookmarkStart w:id="88" w:name="_Toc5627388"/>
      <w:bookmarkStart w:id="89" w:name="_Toc5798643"/>
      <w:r w:rsidRPr="00DC25E6">
        <w:rPr>
          <w:rFonts w:ascii="Times New Roman" w:hAnsi="Times New Roman" w:cs="Times New Roman"/>
          <w:sz w:val="32"/>
        </w:rPr>
        <w:lastRenderedPageBreak/>
        <w:t>Valsts finanšu institucionālās iezīmes</w:t>
      </w:r>
      <w:bookmarkEnd w:id="87"/>
      <w:bookmarkEnd w:id="88"/>
      <w:bookmarkEnd w:id="89"/>
    </w:p>
    <w:p w:rsidR="003666E9" w:rsidRPr="004660CE" w:rsidRDefault="00A34463" w:rsidP="000774C9">
      <w:pPr>
        <w:pStyle w:val="Heading2"/>
        <w:numPr>
          <w:ilvl w:val="1"/>
          <w:numId w:val="32"/>
        </w:numPr>
        <w:spacing w:before="240" w:after="120"/>
        <w:ind w:left="1134" w:hanging="425"/>
        <w:rPr>
          <w:rFonts w:ascii="Times New Roman" w:hAnsi="Times New Roman" w:cs="Times New Roman"/>
          <w:sz w:val="24"/>
        </w:rPr>
      </w:pPr>
      <w:bookmarkStart w:id="90" w:name="_Toc510790679"/>
      <w:bookmarkStart w:id="91" w:name="_Toc5627389"/>
      <w:bookmarkStart w:id="92" w:name="_Toc5798644"/>
      <w:r w:rsidRPr="004660CE">
        <w:rPr>
          <w:rFonts w:ascii="Times New Roman" w:hAnsi="Times New Roman" w:cs="Times New Roman"/>
          <w:sz w:val="24"/>
        </w:rPr>
        <w:t>Valsts budžeta noteikumu ieviešana</w:t>
      </w:r>
      <w:r w:rsidR="003666E9" w:rsidRPr="004660CE">
        <w:rPr>
          <w:rFonts w:ascii="Times New Roman" w:hAnsi="Times New Roman" w:cs="Times New Roman"/>
          <w:sz w:val="24"/>
        </w:rPr>
        <w:t xml:space="preserve"> un citas institucionālās attīstības attiecībā uz valsts finansēm</w:t>
      </w:r>
      <w:bookmarkEnd w:id="90"/>
      <w:bookmarkEnd w:id="91"/>
      <w:bookmarkEnd w:id="92"/>
    </w:p>
    <w:p w:rsidR="00CF5EB7" w:rsidRPr="00063589" w:rsidRDefault="00CF5EB7" w:rsidP="00CF5EB7">
      <w:pPr>
        <w:spacing w:after="0" w:line="240" w:lineRule="auto"/>
        <w:ind w:firstLine="709"/>
        <w:jc w:val="both"/>
        <w:rPr>
          <w:rFonts w:ascii="Times New Roman" w:eastAsia="Times New Roman" w:hAnsi="Times New Roman"/>
          <w:color w:val="000000"/>
          <w:sz w:val="24"/>
          <w:szCs w:val="24"/>
        </w:rPr>
      </w:pPr>
      <w:r w:rsidRPr="00063589">
        <w:rPr>
          <w:rFonts w:ascii="Times New Roman" w:eastAsia="Times New Roman" w:hAnsi="Times New Roman" w:cs="Times New Roman"/>
          <w:sz w:val="24"/>
          <w:szCs w:val="20"/>
        </w:rPr>
        <w:t xml:space="preserve">Līdz ar ES ekonomiskās un fiskālās pārvaldības stiprināšanu, ņemot vērā jaunos ES fiskālās disciplīnas nosacījumus, </w:t>
      </w:r>
      <w:r w:rsidRPr="00063589">
        <w:rPr>
          <w:rFonts w:ascii="Times New Roman" w:eastAsia="Times New Roman" w:hAnsi="Times New Roman"/>
          <w:color w:val="000000"/>
          <w:sz w:val="24"/>
          <w:szCs w:val="24"/>
        </w:rPr>
        <w:t xml:space="preserve">Latvija Līguma par stabilitāti, koordināciju un pārvaldību ekonomiskajā un monetārajā savienībā (turpmāk – Līgums) regulējumu ieviesa ar diviem normatīvajiem aktiem – likumu „Par Līgumu par stabilitāti, koordināciju un pārvaldību ekonomiskajā un monetārajā savienībā” un FDL. </w:t>
      </w:r>
      <w:r w:rsidRPr="00063589">
        <w:rPr>
          <w:rFonts w:ascii="Times New Roman" w:eastAsia="Times New Roman" w:hAnsi="Times New Roman" w:cs="Times New Roman"/>
          <w:sz w:val="24"/>
          <w:szCs w:val="20"/>
        </w:rPr>
        <w:t>Kopš FDL stāšanās spēkā 2013.gadā valsts budžeta un Ietvara likuma veidošanas procesā tiek nodrošināta fiskālo nosacījumu ieviešana saskaņā SIP noteikumiem:</w:t>
      </w:r>
    </w:p>
    <w:p w:rsidR="00CF5EB7" w:rsidRPr="00063589" w:rsidRDefault="00CF5EB7" w:rsidP="00CB411A">
      <w:pPr>
        <w:numPr>
          <w:ilvl w:val="0"/>
          <w:numId w:val="16"/>
        </w:numPr>
        <w:spacing w:after="0" w:line="240" w:lineRule="auto"/>
        <w:ind w:left="709"/>
        <w:jc w:val="both"/>
        <w:rPr>
          <w:rFonts w:ascii="Times New Roman" w:eastAsia="Times New Roman" w:hAnsi="Times New Roman" w:cs="Times New Roman"/>
          <w:color w:val="000000"/>
          <w:sz w:val="24"/>
          <w:szCs w:val="24"/>
          <w:lang w:eastAsia="lv-LV"/>
        </w:rPr>
      </w:pPr>
      <w:r w:rsidRPr="00063589">
        <w:rPr>
          <w:rFonts w:ascii="Times New Roman" w:eastAsia="Times New Roman" w:hAnsi="Times New Roman" w:cs="Times New Roman"/>
          <w:b/>
          <w:color w:val="000000"/>
          <w:sz w:val="24"/>
          <w:szCs w:val="24"/>
          <w:lang w:eastAsia="lv-LV"/>
        </w:rPr>
        <w:t>Bilances nosacījums</w:t>
      </w:r>
      <w:r w:rsidRPr="00063589">
        <w:rPr>
          <w:rFonts w:ascii="Times New Roman" w:eastAsia="Times New Roman" w:hAnsi="Times New Roman" w:cs="Times New Roman"/>
          <w:color w:val="000000"/>
          <w:sz w:val="24"/>
          <w:szCs w:val="24"/>
          <w:lang w:eastAsia="lv-LV"/>
        </w:rPr>
        <w:t>.</w:t>
      </w:r>
      <w:r w:rsidR="006D382A" w:rsidRPr="00063589">
        <w:rPr>
          <w:rFonts w:ascii="Times New Roman" w:eastAsia="Times New Roman" w:hAnsi="Times New Roman" w:cs="Times New Roman"/>
          <w:color w:val="000000"/>
          <w:sz w:val="24"/>
          <w:szCs w:val="24"/>
          <w:lang w:eastAsia="lv-LV"/>
        </w:rPr>
        <w:t xml:space="preserve"> </w:t>
      </w:r>
      <w:r w:rsidRPr="00063589">
        <w:rPr>
          <w:rFonts w:ascii="Times New Roman" w:eastAsia="Times New Roman" w:hAnsi="Times New Roman" w:cs="Times New Roman"/>
          <w:color w:val="000000"/>
          <w:sz w:val="24"/>
          <w:szCs w:val="24"/>
          <w:lang w:eastAsia="lv-LV"/>
        </w:rPr>
        <w:t>FDL paredz sabalansētu budžetu strukturālajā izteiksmē, nosakot, ka strukturālā bilance nedrīkst būt mazāka par -0,5% no IKP;</w:t>
      </w:r>
    </w:p>
    <w:p w:rsidR="00CF5EB7" w:rsidRPr="00063589" w:rsidRDefault="00CF5EB7" w:rsidP="00CB411A">
      <w:pPr>
        <w:numPr>
          <w:ilvl w:val="0"/>
          <w:numId w:val="16"/>
        </w:numPr>
        <w:spacing w:after="0" w:line="240" w:lineRule="auto"/>
        <w:ind w:left="709"/>
        <w:jc w:val="both"/>
        <w:rPr>
          <w:rFonts w:ascii="Times New Roman" w:eastAsia="Times New Roman" w:hAnsi="Times New Roman" w:cs="Times New Roman"/>
          <w:color w:val="000000"/>
          <w:sz w:val="24"/>
          <w:szCs w:val="24"/>
          <w:lang w:eastAsia="lv-LV"/>
        </w:rPr>
      </w:pPr>
      <w:r w:rsidRPr="00063589">
        <w:rPr>
          <w:rFonts w:ascii="Times New Roman" w:eastAsia="Times New Roman" w:hAnsi="Times New Roman" w:cs="Times New Roman"/>
          <w:b/>
          <w:color w:val="000000"/>
          <w:sz w:val="24"/>
          <w:szCs w:val="24"/>
          <w:lang w:eastAsia="lv-LV"/>
        </w:rPr>
        <w:t>Izdevumu pieauguma tempa nosacījums</w:t>
      </w:r>
      <w:r w:rsidRPr="00063589">
        <w:rPr>
          <w:rFonts w:ascii="Times New Roman" w:eastAsia="Times New Roman" w:hAnsi="Times New Roman" w:cs="Times New Roman"/>
          <w:color w:val="000000"/>
          <w:sz w:val="24"/>
          <w:szCs w:val="24"/>
          <w:lang w:eastAsia="lv-LV"/>
        </w:rPr>
        <w:t>.</w:t>
      </w:r>
      <w:r w:rsidR="006D382A" w:rsidRPr="00063589">
        <w:rPr>
          <w:rFonts w:ascii="Times New Roman" w:eastAsia="Times New Roman" w:hAnsi="Times New Roman" w:cs="Times New Roman"/>
          <w:color w:val="000000"/>
          <w:sz w:val="24"/>
          <w:szCs w:val="24"/>
          <w:lang w:eastAsia="lv-LV"/>
        </w:rPr>
        <w:t xml:space="preserve"> </w:t>
      </w:r>
      <w:r w:rsidRPr="00063589">
        <w:rPr>
          <w:rFonts w:ascii="Times New Roman" w:eastAsia="Times New Roman" w:hAnsi="Times New Roman" w:cs="Times New Roman"/>
          <w:color w:val="000000"/>
          <w:sz w:val="24"/>
          <w:szCs w:val="24"/>
          <w:lang w:eastAsia="lv-LV"/>
        </w:rPr>
        <w:t xml:space="preserve">FDL paredz, ka papildus tam, ka tiek ierobežots strukturālais deficīts, tiek noteikts arī, ka izdevumi, izslēdzot IKP </w:t>
      </w:r>
      <w:proofErr w:type="spellStart"/>
      <w:r w:rsidRPr="00063589">
        <w:rPr>
          <w:rFonts w:ascii="Times New Roman" w:eastAsia="Times New Roman" w:hAnsi="Times New Roman" w:cs="Times New Roman"/>
          <w:color w:val="000000"/>
          <w:sz w:val="24"/>
          <w:szCs w:val="24"/>
          <w:lang w:eastAsia="lv-LV"/>
        </w:rPr>
        <w:t>deflatoru</w:t>
      </w:r>
      <w:proofErr w:type="spellEnd"/>
      <w:r w:rsidRPr="00063589">
        <w:rPr>
          <w:rFonts w:ascii="Times New Roman" w:eastAsia="Times New Roman" w:hAnsi="Times New Roman" w:cs="Times New Roman"/>
          <w:color w:val="000000"/>
          <w:sz w:val="24"/>
          <w:szCs w:val="24"/>
          <w:lang w:eastAsia="lv-LV"/>
        </w:rPr>
        <w:t>, nedrīkst augt ātrāk kā vidējais potenciālā IKP pieaugums. Jāmin, ka šim nosacījumam ir paredzēti izņēmumi saskaņā ar Padomes Regulas Nr. 1175/2011 9.pantā noteiktajām atkāpēm;</w:t>
      </w:r>
    </w:p>
    <w:p w:rsidR="00CF5EB7" w:rsidRPr="00063589" w:rsidRDefault="00CF5EB7" w:rsidP="00CB411A">
      <w:pPr>
        <w:pStyle w:val="BodyTextIndent2"/>
        <w:numPr>
          <w:ilvl w:val="0"/>
          <w:numId w:val="16"/>
        </w:numPr>
        <w:spacing w:before="0" w:after="0"/>
        <w:ind w:left="709"/>
        <w:rPr>
          <w:szCs w:val="24"/>
        </w:rPr>
      </w:pPr>
      <w:r w:rsidRPr="00063589">
        <w:rPr>
          <w:b/>
          <w:color w:val="000000"/>
          <w:szCs w:val="24"/>
          <w:lang w:eastAsia="lv-LV"/>
        </w:rPr>
        <w:t>Valsts budžeta izdevumu sliekšņu noteikšana vidējā termiņā</w:t>
      </w:r>
      <w:r w:rsidRPr="00063589">
        <w:rPr>
          <w:color w:val="000000"/>
          <w:szCs w:val="24"/>
          <w:lang w:eastAsia="lv-LV"/>
        </w:rPr>
        <w:t>.</w:t>
      </w:r>
      <w:r w:rsidR="006D382A" w:rsidRPr="00063589">
        <w:rPr>
          <w:color w:val="000000"/>
          <w:szCs w:val="24"/>
          <w:lang w:eastAsia="lv-LV"/>
        </w:rPr>
        <w:t xml:space="preserve"> </w:t>
      </w:r>
      <w:r w:rsidRPr="00063589">
        <w:rPr>
          <w:color w:val="000000"/>
          <w:szCs w:val="24"/>
          <w:lang w:eastAsia="lv-LV"/>
        </w:rPr>
        <w:t xml:space="preserve">FDL dod sākotnējos fiskālos rādītājus, saskaņā ar kuriem tiek izstrādāts Ietvara likums. Šajā likumā viens no būtiskākajiem rādītājiem ir valsts izdevumu sliekšņi turpmākajiem 3 gadiem. FDL nosaka, ka kā standarta nosacījums darbojas šo izdevumu sliekšņu stabilitātes nosacījums – Ietvara likuma pirmā un otrā gada izdevumu sliekšņi tiek pārmantoti no iepriekšējā Ietvara likuma otrā un trešā gada izdevumu sliekšņiem. Kā atkāpe no minētā nosacījuma – izdevumu sliekšņi netiek pārmantoti, ja sliekšņu lielums saskaņā ar atjaunotajām makroekonomiskajām prognozēm atšķiras no pārmantotajiem sliekšņiem vairāk kā par 0,1% no IKP. </w:t>
      </w:r>
    </w:p>
    <w:p w:rsidR="00CF5EB7" w:rsidRPr="00063589" w:rsidRDefault="00CF5EB7" w:rsidP="00CF5EB7">
      <w:pPr>
        <w:spacing w:after="0" w:line="240" w:lineRule="auto"/>
        <w:ind w:firstLine="720"/>
        <w:jc w:val="both"/>
        <w:rPr>
          <w:rFonts w:ascii="Times New Roman" w:eastAsia="Times New Roman" w:hAnsi="Times New Roman" w:cs="Times New Roman"/>
          <w:sz w:val="24"/>
          <w:szCs w:val="20"/>
        </w:rPr>
      </w:pPr>
      <w:r w:rsidRPr="00063589">
        <w:rPr>
          <w:rFonts w:ascii="Times New Roman" w:eastAsia="Times New Roman" w:hAnsi="Times New Roman" w:cs="Times New Roman"/>
          <w:sz w:val="24"/>
          <w:szCs w:val="20"/>
        </w:rPr>
        <w:t xml:space="preserve">Fiskālo nosacījumu ieviešanā Latvijas nacionālajā likumdošanā iesaistās EK, kas izriet no Līguma 8.panta 1.punkta, kurš paredz, ka EK ir aicināta laikus iesniegt Līgumslēdzējai pusei ziņojumu par noteikumiem, kurus katra no tām pieņēmusi. EK uzdevums ir uzraudzīt kā katra Līgumslēdzēja puse ir ieviesusi Fiskālā kompakta nosacījumus nacionālajā likumdošanā. </w:t>
      </w:r>
    </w:p>
    <w:p w:rsidR="00CF5EB7" w:rsidRPr="004660CE" w:rsidRDefault="00CF5EB7" w:rsidP="00CF5EB7">
      <w:pPr>
        <w:spacing w:after="0" w:line="240" w:lineRule="auto"/>
        <w:ind w:firstLine="709"/>
        <w:jc w:val="both"/>
        <w:rPr>
          <w:rFonts w:ascii="Times New Roman" w:hAnsi="Times New Roman"/>
          <w:bCs/>
          <w:sz w:val="24"/>
          <w:szCs w:val="24"/>
        </w:rPr>
      </w:pPr>
      <w:r w:rsidRPr="004660CE">
        <w:rPr>
          <w:rFonts w:ascii="Times New Roman" w:hAnsi="Times New Roman"/>
          <w:bCs/>
          <w:sz w:val="24"/>
          <w:szCs w:val="24"/>
        </w:rPr>
        <w:t>201</w:t>
      </w:r>
      <w:r w:rsidR="00DC25E6" w:rsidRPr="004660CE">
        <w:rPr>
          <w:rFonts w:ascii="Times New Roman" w:hAnsi="Times New Roman"/>
          <w:bCs/>
          <w:sz w:val="24"/>
          <w:szCs w:val="24"/>
        </w:rPr>
        <w:t>8</w:t>
      </w:r>
      <w:r w:rsidRPr="004660CE">
        <w:rPr>
          <w:rFonts w:ascii="Times New Roman" w:hAnsi="Times New Roman"/>
          <w:bCs/>
          <w:sz w:val="24"/>
          <w:szCs w:val="24"/>
        </w:rPr>
        <w:t xml:space="preserve">.gada </w:t>
      </w:r>
      <w:r w:rsidR="004660CE" w:rsidRPr="004660CE">
        <w:rPr>
          <w:rFonts w:ascii="Times New Roman" w:hAnsi="Times New Roman"/>
          <w:bCs/>
          <w:sz w:val="24"/>
          <w:szCs w:val="24"/>
        </w:rPr>
        <w:t>7</w:t>
      </w:r>
      <w:r w:rsidRPr="004660CE">
        <w:rPr>
          <w:rFonts w:ascii="Times New Roman" w:hAnsi="Times New Roman"/>
          <w:bCs/>
          <w:sz w:val="24"/>
          <w:szCs w:val="24"/>
        </w:rPr>
        <w:t>.</w:t>
      </w:r>
      <w:r w:rsidR="004660CE" w:rsidRPr="004660CE">
        <w:rPr>
          <w:rFonts w:ascii="Times New Roman" w:hAnsi="Times New Roman"/>
          <w:bCs/>
          <w:sz w:val="24"/>
          <w:szCs w:val="24"/>
        </w:rPr>
        <w:t>martā</w:t>
      </w:r>
      <w:r w:rsidRPr="004660CE">
        <w:rPr>
          <w:rFonts w:ascii="Times New Roman" w:hAnsi="Times New Roman"/>
          <w:bCs/>
          <w:sz w:val="24"/>
          <w:szCs w:val="24"/>
        </w:rPr>
        <w:t xml:space="preserve"> tika publicēts EK ziņojums, kurā secināts, ka Latvijas nacionālie fiskālie nosacījumi ir saskaņā ar </w:t>
      </w:r>
      <w:r w:rsidRPr="004660CE">
        <w:rPr>
          <w:rFonts w:ascii="Times New Roman" w:eastAsia="Times New Roman" w:hAnsi="Times New Roman" w:cs="Times New Roman"/>
          <w:sz w:val="24"/>
          <w:szCs w:val="20"/>
        </w:rPr>
        <w:t>Līguma 3.panta 2.punkta prasībām, ņemot vērā arī Latvijas sniegtos skaidrojumus par EK norādītajām neskaidrībām.</w:t>
      </w:r>
    </w:p>
    <w:p w:rsidR="00DD4F0C" w:rsidRPr="00782778" w:rsidRDefault="00DD4F0C" w:rsidP="00711F13">
      <w:pPr>
        <w:spacing w:after="0" w:line="240" w:lineRule="auto"/>
        <w:ind w:firstLine="567"/>
        <w:jc w:val="both"/>
        <w:rPr>
          <w:rFonts w:ascii="Times New Roman" w:eastAsia="Times New Roman" w:hAnsi="Times New Roman" w:cs="Times New Roman"/>
          <w:sz w:val="24"/>
          <w:szCs w:val="20"/>
          <w:highlight w:val="yellow"/>
        </w:rPr>
      </w:pPr>
    </w:p>
    <w:p w:rsidR="00A34463" w:rsidRPr="00FA7A04" w:rsidRDefault="00A34463" w:rsidP="000774C9">
      <w:pPr>
        <w:pStyle w:val="Heading2"/>
        <w:numPr>
          <w:ilvl w:val="1"/>
          <w:numId w:val="32"/>
        </w:numPr>
        <w:spacing w:before="0" w:after="120"/>
        <w:ind w:left="1134" w:hanging="425"/>
        <w:rPr>
          <w:rFonts w:ascii="Times New Roman" w:hAnsi="Times New Roman" w:cs="Times New Roman"/>
          <w:sz w:val="24"/>
        </w:rPr>
      </w:pPr>
      <w:bookmarkStart w:id="93" w:name="_Toc510790680"/>
      <w:bookmarkStart w:id="94" w:name="_Toc5627390"/>
      <w:bookmarkStart w:id="95" w:name="_Toc5798645"/>
      <w:r w:rsidRPr="00FA7A04">
        <w:rPr>
          <w:rFonts w:ascii="Times New Roman" w:hAnsi="Times New Roman" w:cs="Times New Roman"/>
          <w:sz w:val="24"/>
        </w:rPr>
        <w:t>Vidēja termiņa budžeta plānošana</w:t>
      </w:r>
      <w:bookmarkEnd w:id="93"/>
      <w:bookmarkEnd w:id="94"/>
      <w:bookmarkEnd w:id="95"/>
    </w:p>
    <w:p w:rsidR="007B1AAB" w:rsidRPr="007B1AAB" w:rsidRDefault="007B1AAB" w:rsidP="002010CB">
      <w:pPr>
        <w:spacing w:after="0" w:line="240" w:lineRule="auto"/>
        <w:ind w:firstLine="709"/>
        <w:jc w:val="both"/>
        <w:rPr>
          <w:rFonts w:ascii="Times New Roman" w:hAnsi="Times New Roman" w:cs="Times New Roman"/>
          <w:sz w:val="24"/>
          <w:szCs w:val="24"/>
        </w:rPr>
      </w:pPr>
      <w:bookmarkStart w:id="96" w:name="_Toc510790681"/>
      <w:r w:rsidRPr="007B1AAB">
        <w:rPr>
          <w:rFonts w:ascii="Times New Roman" w:hAnsi="Times New Roman" w:cs="Times New Roman"/>
          <w:sz w:val="24"/>
          <w:szCs w:val="24"/>
        </w:rPr>
        <w:t xml:space="preserve">Atbilstoši LBFV vidēja termiņa valsts budžeta plānošana ir process, kurā tiek noteikti pieejamie resursi vidējam termiņam un nodrošināta šo resursu izlietošana atbilstoši valdības noteiktajām prioritātēm. Ar vidēju termiņu saprotams triju gadu periods, ko veido saimnieciskais gads, kuram plāno valsts budžetu, un tam sekojošie divi saimnieciskie gadi. </w:t>
      </w:r>
    </w:p>
    <w:p w:rsidR="007B1AAB" w:rsidRPr="007B1AAB" w:rsidRDefault="007B1AAB" w:rsidP="002010CB">
      <w:pPr>
        <w:spacing w:after="0" w:line="240" w:lineRule="auto"/>
        <w:ind w:firstLine="709"/>
        <w:jc w:val="both"/>
        <w:rPr>
          <w:rFonts w:ascii="Times New Roman" w:hAnsi="Times New Roman" w:cs="Times New Roman"/>
          <w:sz w:val="24"/>
          <w:szCs w:val="24"/>
        </w:rPr>
      </w:pPr>
      <w:r w:rsidRPr="007B1AAB">
        <w:rPr>
          <w:rFonts w:ascii="Times New Roman" w:hAnsi="Times New Roman" w:cs="Times New Roman"/>
          <w:sz w:val="24"/>
          <w:szCs w:val="24"/>
        </w:rPr>
        <w:t xml:space="preserve">Kopš 2007.gada valstī tika sagatavots vidēja termiņa makroekonomiskās attīstības un fiskālās politikas ietvars (turpmāk – Ietvars) nākamajiem trijiem saimnieciskajiem gadiem, iekļaujot tajā vidēja termiņa valsts makroekonomiskās situācijas analīzi, valdības fiskālās politikas mērķus vidējam termiņam, valsts budžeta ieņēmumu prognozes un maksimāli pieļaujamo valsts budžeta kopējo izdevumu apjomu katrai ministrijai un citām centrālajām valsts iestādēm vidējam termiņam. Ņemot vērā, ka Ietvaram nebija juridiski saistošs raksturs un tas tikai indikatīvi norādīja maksimāli pieļaujamo valsts budžeta kopējo izdevumu apjomu </w:t>
      </w:r>
      <w:r w:rsidRPr="007B1AAB">
        <w:rPr>
          <w:rFonts w:ascii="Times New Roman" w:hAnsi="Times New Roman" w:cs="Times New Roman"/>
          <w:sz w:val="24"/>
          <w:szCs w:val="24"/>
        </w:rPr>
        <w:lastRenderedPageBreak/>
        <w:t xml:space="preserve">vidējam termiņam, radās nepieciešamība nostiprināt vidējā termiņa budžeta plānošanas sistēmu. Līdz ar to tika veikti attiecīgi grozījumi LBFV un, sākot ar 2012.gada 1.janvāri, Ietvaru, ko kopš 2007.gada apstiprināja MK, sāka izstrādāt likuma formā kā Ietvara likumu, kuru apstiprina Saeima. Tādējādi Ietvara likumā iekļautajiem sasniedzamajiem finanšu rādītājiem ir juridiski saistošs spēks un uz tiem ir jābalstās gadskārtējā valsts budžeta likuma izstrādāšanā, kā arī turpmāko Ietvara likumu izstrādāšanā. </w:t>
      </w:r>
    </w:p>
    <w:p w:rsidR="007B1AAB" w:rsidRPr="007B1AAB" w:rsidRDefault="007B1AAB" w:rsidP="002010CB">
      <w:pPr>
        <w:spacing w:after="0" w:line="240" w:lineRule="auto"/>
        <w:ind w:firstLine="709"/>
        <w:jc w:val="both"/>
        <w:rPr>
          <w:rFonts w:ascii="Times New Roman" w:hAnsi="Times New Roman" w:cs="Times New Roman"/>
          <w:sz w:val="24"/>
          <w:szCs w:val="24"/>
        </w:rPr>
      </w:pPr>
      <w:r w:rsidRPr="007B1AAB">
        <w:rPr>
          <w:rFonts w:ascii="Times New Roman" w:hAnsi="Times New Roman" w:cs="Times New Roman"/>
          <w:sz w:val="24"/>
          <w:szCs w:val="24"/>
        </w:rPr>
        <w:t xml:space="preserve">Ietvara likumu izstrādā katru gadu nākamo triju gadu periodam. Turklāt katra nākamā Ietvara likuma perioda pirmajam un otrajam gadam tiek izmantoti iepriekšējā Ietvara likumā noteiktie rādītāji, kas precizēti atbilstoši normatīvajos aktos noteiktajiem gadījumiem, savukārt trešajā gadā plānotie rādītāji ir jauni. Vienlaikus Ietvara likums tiek sasaistīts ar attīstības plānošanas dokumentiem, nodrošinot pieejamo resursu sasaisti ar valdības politikas prioritātēm vidējā termiņā un tas pakļaujas FDL noteiktajiem fiskālajiem nosacījumiem, nodrošinot pārredzamu un atbildīgu fiskālo politiku. Tādējādi Ietvara likums ir galvenais instruments fiskālās disciplīnas ievērošanā. </w:t>
      </w:r>
    </w:p>
    <w:p w:rsidR="007B1AAB" w:rsidRPr="007B1AAB" w:rsidRDefault="007B1AAB" w:rsidP="002010CB">
      <w:pPr>
        <w:spacing w:after="0" w:line="240" w:lineRule="auto"/>
        <w:jc w:val="both"/>
        <w:rPr>
          <w:rFonts w:ascii="Times New Roman" w:hAnsi="Times New Roman" w:cs="Times New Roman"/>
          <w:sz w:val="24"/>
          <w:szCs w:val="24"/>
        </w:rPr>
      </w:pPr>
      <w:r w:rsidRPr="007B1AAB">
        <w:rPr>
          <w:rFonts w:ascii="Times New Roman" w:hAnsi="Times New Roman" w:cs="Times New Roman"/>
          <w:sz w:val="24"/>
          <w:szCs w:val="24"/>
        </w:rPr>
        <w:tab/>
        <w:t xml:space="preserve">Ietvara likuma darbības perioda pirmais gads tiek detalizēti izvērsts gadskārtējā valsts budžeta likumā. Ietvara likumā katram likuma perioda gadam tiek norādīti vidēja termiņa budžeta mērķi un Nacionālajā attīstības plānā noteiktie prioritārie attīstības virzieni, valdības fiskālās politikas mērķu formulējums, maksimāli pieļaujamais valsts budžeta izdevumu kopapjoms (arī izdevumu kopapjoms katram budžeta resoram), </w:t>
      </w:r>
      <w:r w:rsidR="00A4120C" w:rsidRPr="003C7327">
        <w:rPr>
          <w:rFonts w:ascii="Times New Roman" w:hAnsi="Times New Roman" w:cs="Times New Roman"/>
          <w:color w:val="000000"/>
          <w:sz w:val="24"/>
          <w:szCs w:val="24"/>
          <w:lang w:eastAsia="lv-LV"/>
        </w:rPr>
        <w:t>IKP</w:t>
      </w:r>
      <w:r w:rsidR="00A4120C" w:rsidRPr="007B1AAB">
        <w:rPr>
          <w:rFonts w:ascii="Times New Roman" w:hAnsi="Times New Roman" w:cs="Times New Roman"/>
          <w:sz w:val="24"/>
          <w:szCs w:val="24"/>
        </w:rPr>
        <w:t xml:space="preserve"> </w:t>
      </w:r>
      <w:r w:rsidRPr="007B1AAB">
        <w:rPr>
          <w:rFonts w:ascii="Times New Roman" w:hAnsi="Times New Roman" w:cs="Times New Roman"/>
          <w:sz w:val="24"/>
          <w:szCs w:val="24"/>
        </w:rPr>
        <w:t xml:space="preserve">prognozes, valsts budžeta ieņēmumu prognozes, valsts budžeta finansiālās bilances apjoms (maksimālais deficīta līmenis un vai minimālais pārpalikuma līmenis). Atbilstoši FDL nosacījumiem vienlaikus ar Ietvara likumu 2015. – 2017.gadam tika pirmo reizi izstrādāta Fiskālo risku deklarācija, kuras mērķis ir nodrošināt fiskālo risku vispārēju vadību, kā arī fiskālo rādītāju stabilitāti vidējā termiņā. </w:t>
      </w:r>
      <w:r w:rsidR="00480EF7" w:rsidRPr="00480EF7">
        <w:rPr>
          <w:rFonts w:ascii="Times New Roman" w:hAnsi="Times New Roman" w:cs="Times New Roman"/>
          <w:sz w:val="24"/>
          <w:szCs w:val="24"/>
        </w:rPr>
        <w:t>Lai gan LPBV nosaka, ka Ietvara likums tiek izstrādāts pavasarī un tiek iesniegts</w:t>
      </w:r>
      <w:r w:rsidR="00480EF7">
        <w:rPr>
          <w:rFonts w:ascii="Times New Roman" w:hAnsi="Times New Roman" w:cs="Times New Roman"/>
          <w:sz w:val="24"/>
          <w:szCs w:val="24"/>
        </w:rPr>
        <w:t xml:space="preserve"> Saeimā līdz attiecīgā gada 15.</w:t>
      </w:r>
      <w:r w:rsidR="00480EF7" w:rsidRPr="00480EF7">
        <w:rPr>
          <w:rFonts w:ascii="Times New Roman" w:hAnsi="Times New Roman" w:cs="Times New Roman"/>
          <w:sz w:val="24"/>
          <w:szCs w:val="24"/>
        </w:rPr>
        <w:t xml:space="preserve">maijam, faktiski, saskaņā ar pārejas noteikumiem, Ietvara likums tiek sagatavots rudenī un iesniegts Saeimā vienlaicīgi ar valsts budžeta likumu līdz attiecīgā gada </w:t>
      </w:r>
      <w:r w:rsidR="00480EF7">
        <w:rPr>
          <w:rFonts w:ascii="Times New Roman" w:hAnsi="Times New Roman" w:cs="Times New Roman"/>
          <w:sz w:val="24"/>
          <w:szCs w:val="24"/>
        </w:rPr>
        <w:t>15.</w:t>
      </w:r>
      <w:r w:rsidR="00480EF7" w:rsidRPr="00480EF7">
        <w:rPr>
          <w:rFonts w:ascii="Times New Roman" w:hAnsi="Times New Roman" w:cs="Times New Roman"/>
          <w:sz w:val="24"/>
          <w:szCs w:val="24"/>
        </w:rPr>
        <w:t>oktobrim.</w:t>
      </w:r>
    </w:p>
    <w:p w:rsidR="007B1AAB" w:rsidRPr="007B1AAB" w:rsidRDefault="007B1AAB" w:rsidP="002010CB">
      <w:pPr>
        <w:spacing w:after="0" w:line="240" w:lineRule="auto"/>
        <w:ind w:firstLine="709"/>
        <w:jc w:val="both"/>
        <w:rPr>
          <w:rFonts w:ascii="Times New Roman" w:hAnsi="Times New Roman" w:cs="Times New Roman"/>
          <w:sz w:val="24"/>
          <w:szCs w:val="24"/>
        </w:rPr>
      </w:pPr>
      <w:r w:rsidRPr="007B1AAB">
        <w:rPr>
          <w:rFonts w:ascii="Times New Roman" w:hAnsi="Times New Roman" w:cs="Times New Roman"/>
          <w:sz w:val="24"/>
          <w:szCs w:val="24"/>
        </w:rPr>
        <w:t>Latvija kā ES dalībv</w:t>
      </w:r>
      <w:r w:rsidR="00636713">
        <w:rPr>
          <w:rFonts w:ascii="Times New Roman" w:hAnsi="Times New Roman" w:cs="Times New Roman"/>
          <w:sz w:val="24"/>
          <w:szCs w:val="24"/>
        </w:rPr>
        <w:t>alsts iesniedz EK</w:t>
      </w:r>
      <w:r w:rsidRPr="007B1AAB">
        <w:rPr>
          <w:rFonts w:ascii="Times New Roman" w:hAnsi="Times New Roman" w:cs="Times New Roman"/>
          <w:sz w:val="24"/>
          <w:szCs w:val="24"/>
        </w:rPr>
        <w:t xml:space="preserve"> Stabilitātes programmu. Latvija kā </w:t>
      </w:r>
      <w:proofErr w:type="spellStart"/>
      <w:r w:rsidRPr="007B1AAB">
        <w:rPr>
          <w:rFonts w:ascii="Times New Roman" w:hAnsi="Times New Roman" w:cs="Times New Roman"/>
          <w:i/>
          <w:sz w:val="24"/>
          <w:szCs w:val="24"/>
        </w:rPr>
        <w:t>e</w:t>
      </w:r>
      <w:r w:rsidR="00FA7A04">
        <w:rPr>
          <w:rFonts w:ascii="Times New Roman" w:hAnsi="Times New Roman" w:cs="Times New Roman"/>
          <w:i/>
          <w:sz w:val="24"/>
          <w:szCs w:val="24"/>
        </w:rPr>
        <w:t>u</w:t>
      </w:r>
      <w:r w:rsidRPr="007B1AAB">
        <w:rPr>
          <w:rFonts w:ascii="Times New Roman" w:hAnsi="Times New Roman" w:cs="Times New Roman"/>
          <w:i/>
          <w:sz w:val="24"/>
          <w:szCs w:val="24"/>
        </w:rPr>
        <w:t>ro</w:t>
      </w:r>
      <w:proofErr w:type="spellEnd"/>
      <w:r w:rsidRPr="007B1AAB">
        <w:rPr>
          <w:rFonts w:ascii="Times New Roman" w:hAnsi="Times New Roman" w:cs="Times New Roman"/>
          <w:sz w:val="24"/>
          <w:szCs w:val="24"/>
        </w:rPr>
        <w:t xml:space="preserve"> zonas dalībvalsts sagatavo arī Vispārējās valdības budžeta plāna projektu, kurā tiek norādītas galveno nākamā gada budžeta rādītāju prognozes – ieņēmumi, izdevumi, deficīts un valsts parāds, ietverot valsts budžetu, pašvaldību budžetu, no valsts budžeta daļēji finansēto atvasināto publisko personu budžetu un vispārējā valdības sektorā ieskaitītās komercsabiedrības. Minētā plāna mērķ</w:t>
      </w:r>
      <w:r w:rsidR="009F516D">
        <w:rPr>
          <w:rFonts w:ascii="Times New Roman" w:hAnsi="Times New Roman" w:cs="Times New Roman"/>
          <w:sz w:val="24"/>
          <w:szCs w:val="24"/>
        </w:rPr>
        <w:t>is ir iesniegt EK</w:t>
      </w:r>
      <w:r w:rsidRPr="007B1AAB">
        <w:rPr>
          <w:rFonts w:ascii="Times New Roman" w:hAnsi="Times New Roman" w:cs="Times New Roman"/>
          <w:sz w:val="24"/>
          <w:szCs w:val="24"/>
        </w:rPr>
        <w:t xml:space="preserve"> informāciju, kas ļautu tai novērtēt plānotā budžeta atbilstību ES tiesību normām fiskālās disciplīnas jomā. Ja </w:t>
      </w:r>
      <w:r w:rsidR="009F516D">
        <w:rPr>
          <w:rFonts w:ascii="Times New Roman" w:hAnsi="Times New Roman" w:cs="Times New Roman"/>
          <w:sz w:val="24"/>
          <w:szCs w:val="24"/>
        </w:rPr>
        <w:t>EK</w:t>
      </w:r>
      <w:r w:rsidR="009F516D" w:rsidRPr="007B1AAB">
        <w:rPr>
          <w:rFonts w:ascii="Times New Roman" w:hAnsi="Times New Roman" w:cs="Times New Roman"/>
          <w:sz w:val="24"/>
          <w:szCs w:val="24"/>
        </w:rPr>
        <w:t xml:space="preserve"> </w:t>
      </w:r>
      <w:r w:rsidRPr="007B1AAB">
        <w:rPr>
          <w:rFonts w:ascii="Times New Roman" w:hAnsi="Times New Roman" w:cs="Times New Roman"/>
          <w:sz w:val="24"/>
          <w:szCs w:val="24"/>
        </w:rPr>
        <w:t xml:space="preserve">konstatē, ka budžeta plāns būtiski pārkāpj ES fiskālās disciplīnas noteikumus, tā var noraidīt budžeta plānu un pieprasīt dalībvalstij veikt izmaiņas un iesniegt to atkārtoti. Tāpat </w:t>
      </w:r>
      <w:r w:rsidR="009F516D">
        <w:rPr>
          <w:rFonts w:ascii="Times New Roman" w:hAnsi="Times New Roman" w:cs="Times New Roman"/>
          <w:sz w:val="24"/>
          <w:szCs w:val="24"/>
        </w:rPr>
        <w:t>EK</w:t>
      </w:r>
      <w:r w:rsidRPr="007B1AAB">
        <w:rPr>
          <w:rFonts w:ascii="Times New Roman" w:hAnsi="Times New Roman" w:cs="Times New Roman"/>
          <w:sz w:val="24"/>
          <w:szCs w:val="24"/>
        </w:rPr>
        <w:t xml:space="preserve"> savā atzinumā var sniegt rekomendācijas plāna uzlabošanai. Procedūra paredz, ka nacionālie parlamenti ņem vērā </w:t>
      </w:r>
      <w:r w:rsidR="009F516D">
        <w:rPr>
          <w:rFonts w:ascii="Times New Roman" w:hAnsi="Times New Roman" w:cs="Times New Roman"/>
          <w:sz w:val="24"/>
          <w:szCs w:val="24"/>
        </w:rPr>
        <w:t>EK</w:t>
      </w:r>
      <w:r w:rsidR="009F516D" w:rsidRPr="007B1AAB">
        <w:rPr>
          <w:rFonts w:ascii="Times New Roman" w:hAnsi="Times New Roman" w:cs="Times New Roman"/>
          <w:sz w:val="24"/>
          <w:szCs w:val="24"/>
        </w:rPr>
        <w:t xml:space="preserve"> </w:t>
      </w:r>
      <w:r w:rsidRPr="007B1AAB">
        <w:rPr>
          <w:rFonts w:ascii="Times New Roman" w:hAnsi="Times New Roman" w:cs="Times New Roman"/>
          <w:sz w:val="24"/>
          <w:szCs w:val="24"/>
        </w:rPr>
        <w:t xml:space="preserve">atzinumu, pieņemot galīgajā lasījumā valsts budžetu. </w:t>
      </w:r>
    </w:p>
    <w:p w:rsidR="00A34463" w:rsidRPr="007D4AE9" w:rsidRDefault="00A34463" w:rsidP="000774C9">
      <w:pPr>
        <w:pStyle w:val="Heading2"/>
        <w:numPr>
          <w:ilvl w:val="1"/>
          <w:numId w:val="32"/>
        </w:numPr>
        <w:spacing w:before="240" w:after="120"/>
        <w:ind w:left="1134" w:hanging="425"/>
        <w:rPr>
          <w:rFonts w:ascii="Times New Roman" w:hAnsi="Times New Roman" w:cs="Times New Roman"/>
          <w:sz w:val="24"/>
        </w:rPr>
      </w:pPr>
      <w:bookmarkStart w:id="97" w:name="_Toc5627391"/>
      <w:bookmarkStart w:id="98" w:name="_Toc5798646"/>
      <w:r w:rsidRPr="007D4AE9">
        <w:rPr>
          <w:rFonts w:ascii="Times New Roman" w:hAnsi="Times New Roman" w:cs="Times New Roman"/>
          <w:sz w:val="24"/>
        </w:rPr>
        <w:t>Budžeta procedūras, t.sk. valsts finanšu statistikas pārvalde</w:t>
      </w:r>
      <w:bookmarkEnd w:id="96"/>
      <w:bookmarkEnd w:id="97"/>
      <w:bookmarkEnd w:id="98"/>
    </w:p>
    <w:p w:rsidR="00551458" w:rsidRPr="007D4AE9" w:rsidRDefault="00551458" w:rsidP="000774C9">
      <w:pPr>
        <w:pStyle w:val="Heading3"/>
        <w:numPr>
          <w:ilvl w:val="2"/>
          <w:numId w:val="32"/>
        </w:numPr>
        <w:spacing w:before="120" w:after="120" w:line="240" w:lineRule="auto"/>
        <w:ind w:left="1134" w:hanging="425"/>
        <w:rPr>
          <w:rFonts w:ascii="Times New Roman" w:hAnsi="Times New Roman" w:cs="Times New Roman"/>
          <w:sz w:val="24"/>
          <w:szCs w:val="24"/>
        </w:rPr>
      </w:pPr>
      <w:bookmarkStart w:id="99" w:name="_Toc510790682"/>
      <w:bookmarkStart w:id="100" w:name="_Toc5627392"/>
      <w:bookmarkStart w:id="101" w:name="_Toc5798647"/>
      <w:r w:rsidRPr="007D4AE9">
        <w:rPr>
          <w:rFonts w:ascii="Times New Roman" w:hAnsi="Times New Roman" w:cs="Times New Roman"/>
          <w:sz w:val="24"/>
          <w:szCs w:val="24"/>
        </w:rPr>
        <w:t>Budžeta procedūras</w:t>
      </w:r>
      <w:bookmarkEnd w:id="99"/>
      <w:bookmarkEnd w:id="100"/>
      <w:bookmarkEnd w:id="101"/>
    </w:p>
    <w:p w:rsidR="00312522" w:rsidRPr="00312522" w:rsidRDefault="00312522" w:rsidP="002010CB">
      <w:pPr>
        <w:pStyle w:val="Default"/>
        <w:ind w:firstLine="709"/>
        <w:jc w:val="both"/>
      </w:pPr>
      <w:bookmarkStart w:id="102" w:name="_Toc510790683"/>
      <w:r w:rsidRPr="00312522">
        <w:t xml:space="preserve">Latvijas Republikas Satversme nosaka, ka Saeima ik gadu pirms saimnieciskā gada sākšanās lemj par valsts ienākumu un izdevumu budžetu, kura projektu tai iesniedz MK. </w:t>
      </w:r>
      <w:r w:rsidRPr="00312522">
        <w:rPr>
          <w:bCs/>
        </w:rPr>
        <w:t xml:space="preserve">Gadskārtējo valsts budžeta likumu apstiprina Saeima. </w:t>
      </w:r>
    </w:p>
    <w:p w:rsidR="00312522" w:rsidRPr="00312522" w:rsidRDefault="00312522" w:rsidP="002010CB">
      <w:pPr>
        <w:pStyle w:val="Default"/>
        <w:ind w:firstLine="709"/>
        <w:jc w:val="both"/>
      </w:pPr>
      <w:r w:rsidRPr="00312522">
        <w:t xml:space="preserve">Valsts budžeta līdzekļu izdevumu plānošanā sākotnēji tiek aprēķināti un saskaņoti bāzes izdevumi. Bāzes izdevumu aprēķinu un to sasaistes principus ar Ietvara likumu nosaka MK 2012.gada 11.decembra noteikumi Nr.867 „Kārtība, kādā nosakāms maksimāli pieļaujamais valsts budžeta izdevumu kopapjoms un maksimāli pieļaujamais valsts budžeta izdevumu </w:t>
      </w:r>
      <w:r w:rsidRPr="00312522">
        <w:lastRenderedPageBreak/>
        <w:t>kopējais apjoms katrai ministrijai un citām centrālajām valsts iestādēm vidējam termiņam”. Tādējādi tiek noteikts nepieciešamais izdevumu apjoms, lai nodrošinātu valsts funkciju izpildi nemainīgā līmenī. Bāzes izdevumus apstiprina MK.</w:t>
      </w:r>
    </w:p>
    <w:p w:rsidR="00312522" w:rsidRPr="00312522" w:rsidRDefault="00312522" w:rsidP="002010CB">
      <w:pPr>
        <w:pStyle w:val="Default"/>
        <w:ind w:firstLine="709"/>
        <w:jc w:val="both"/>
      </w:pPr>
      <w:r w:rsidRPr="00312522">
        <w:t>Kopš 2016.gada kā budžeta procesa sastāvdaļa ir ieviesta pastāvīga un sistemātiska valsts budžeta izdevumu pārskatīšana, par kuru plašāka informācija ir sniegta 6.1.sadaļā.</w:t>
      </w:r>
    </w:p>
    <w:p w:rsidR="00312522" w:rsidRPr="00312522" w:rsidRDefault="00312522" w:rsidP="002010CB">
      <w:pPr>
        <w:pStyle w:val="Default"/>
        <w:ind w:firstLine="720"/>
        <w:jc w:val="both"/>
        <w:rPr>
          <w:color w:val="auto"/>
        </w:rPr>
      </w:pPr>
      <w:r w:rsidRPr="00312522">
        <w:rPr>
          <w:color w:val="auto"/>
        </w:rPr>
        <w:t>Ja attiecīgajos nākamajos saimnieciskajos gados atbilstoši aktuālākajām makroekonomiskās attīstības prognozēm būs pieejami līdzekļi attīstības izdevumiem, ministrijas un citas centrālās valsts iestādes sagatavo priekšlikumus atbalstāmajiem prioritārajiem pasākumiem. Priekšlikumus pasākumiem gatavo, pamatojoties uz Nacionālajā attīstības plānā, Valsts aizsardzības koncepcijā un citos attīstības plānošanas dokumentos noteiktajām prioritātēm un mērķiem. Tādējādi tiek nodrošināta valstī noteikto prioritāšu sasaiste ar valsts budžetā pieejamajiem resursiem vidējam termiņam.</w:t>
      </w:r>
    </w:p>
    <w:p w:rsidR="00312522" w:rsidRPr="00312522" w:rsidRDefault="00312522" w:rsidP="002010CB">
      <w:pPr>
        <w:pStyle w:val="Default"/>
        <w:ind w:firstLine="720"/>
        <w:jc w:val="both"/>
        <w:rPr>
          <w:color w:val="auto"/>
        </w:rPr>
      </w:pPr>
      <w:r w:rsidRPr="00312522">
        <w:t xml:space="preserve">Aprēķinot maksimāli pieļaujamo valsts budžeta izdevumu kopapjomu, kas sastāv no valsts pamatbudžeta un valsts speciālā budžeta bāzes izdevumiem un valsts pamatbudžeta un valsts speciālā budžeta attīstības izdevumiem, FM pamatojas uz Ietvara likumu, prognozēm par makroekonomisko attīstību, kā arī ievēro valstī noteiktos fiskālos nosacījumus. Pamatojoties uz MK apstiprinātiem lēmumiem par bāzes izdevumiem un prioritāro pasākumu finansēšanu, ministrijas un citas centrālās valsts iestādes izstrādā un iesniedz FM budžeta </w:t>
      </w:r>
      <w:r w:rsidRPr="00312522">
        <w:rPr>
          <w:color w:val="auto"/>
        </w:rPr>
        <w:t>pieprasījumus. FM sagatavo un iesniedz Ietvara likuma projektu (ar paskaidrojumiem, fiskālo risku deklarāciju, Fiskālās disciplīnas padomes fiskālās disciplīnas uzraudzības ziņojumu) un gadskārtējā valsts budžeta likuma projektu (ar paskaidrojumiem) izskatīšanai MK.</w:t>
      </w:r>
    </w:p>
    <w:p w:rsidR="00312522" w:rsidRPr="00312522" w:rsidRDefault="00312522" w:rsidP="002010CB">
      <w:pPr>
        <w:pStyle w:val="Default"/>
        <w:ind w:firstLine="720"/>
        <w:jc w:val="both"/>
        <w:rPr>
          <w:color w:val="auto"/>
        </w:rPr>
      </w:pPr>
      <w:r w:rsidRPr="00312522">
        <w:rPr>
          <w:color w:val="auto"/>
        </w:rPr>
        <w:t xml:space="preserve">Lai nodrošinātu sabiedrībai uzskatāmu priekšstatu par resursiem, kādi ir iesaistīti valsts pamatfunkciju īstenošanā un ES un citu ārvalstu politiku instrumentu pasākumu ieviešanā, budžets tiek sagatavots šādās sadaļās: </w:t>
      </w:r>
    </w:p>
    <w:p w:rsidR="00312522" w:rsidRPr="00312522" w:rsidRDefault="00312522" w:rsidP="00DA42C2">
      <w:pPr>
        <w:pStyle w:val="Default"/>
        <w:numPr>
          <w:ilvl w:val="0"/>
          <w:numId w:val="10"/>
        </w:numPr>
        <w:ind w:left="993"/>
        <w:jc w:val="both"/>
        <w:rPr>
          <w:color w:val="auto"/>
        </w:rPr>
      </w:pPr>
      <w:r w:rsidRPr="00312522">
        <w:rPr>
          <w:color w:val="auto"/>
        </w:rPr>
        <w:t>valsts pamatfunkciju īstenošana (izņemot ES politiku instrumentu un pārējās ārvalstu finanšu palīdzības līdzfinansētos un finansētos projektus un pasākumus);</w:t>
      </w:r>
    </w:p>
    <w:p w:rsidR="00312522" w:rsidRPr="00312522" w:rsidRDefault="00312522" w:rsidP="00DA42C2">
      <w:pPr>
        <w:pStyle w:val="Default"/>
        <w:numPr>
          <w:ilvl w:val="0"/>
          <w:numId w:val="10"/>
        </w:numPr>
        <w:ind w:left="993"/>
        <w:jc w:val="both"/>
        <w:rPr>
          <w:color w:val="auto"/>
        </w:rPr>
      </w:pPr>
      <w:r w:rsidRPr="00312522">
        <w:rPr>
          <w:color w:val="auto"/>
        </w:rPr>
        <w:t>ES politiku instrumentu un pārējās ārvalstu finanšu palīdzības līdzfinansēto un finansēto projektu un pasākumu īstenošana.</w:t>
      </w:r>
    </w:p>
    <w:p w:rsidR="00312522" w:rsidRPr="00312522" w:rsidRDefault="00312522" w:rsidP="002010CB">
      <w:pPr>
        <w:pStyle w:val="Default"/>
        <w:ind w:left="993" w:firstLine="360"/>
        <w:jc w:val="both"/>
        <w:rPr>
          <w:color w:val="auto"/>
        </w:rPr>
      </w:pPr>
      <w:r w:rsidRPr="00312522">
        <w:rPr>
          <w:color w:val="auto"/>
        </w:rPr>
        <w:t xml:space="preserve">Gadskārtējā valsts budžeta likumprojekta sagatavošanas procesā tiek kompleksi vērtēti un pēc tam valsts budžeta likumā atspoguļoti šādi rādītāji: </w:t>
      </w:r>
    </w:p>
    <w:p w:rsidR="00312522" w:rsidRPr="00312522" w:rsidRDefault="00312522" w:rsidP="002010CB">
      <w:pPr>
        <w:pStyle w:val="Default"/>
        <w:numPr>
          <w:ilvl w:val="0"/>
          <w:numId w:val="4"/>
        </w:numPr>
        <w:ind w:left="993"/>
        <w:jc w:val="both"/>
        <w:rPr>
          <w:color w:val="auto"/>
        </w:rPr>
      </w:pPr>
      <w:r w:rsidRPr="00312522">
        <w:rPr>
          <w:color w:val="auto"/>
        </w:rPr>
        <w:t>valsts budžeta ieņēmumi sadalījumā pa ieņēmumu veidiem (sadalījumā pa atbildīgajām ministrijām);</w:t>
      </w:r>
    </w:p>
    <w:p w:rsidR="00312522" w:rsidRPr="00312522" w:rsidRDefault="00312522" w:rsidP="002010CB">
      <w:pPr>
        <w:pStyle w:val="Default"/>
        <w:numPr>
          <w:ilvl w:val="0"/>
          <w:numId w:val="4"/>
        </w:numPr>
        <w:ind w:left="993"/>
        <w:jc w:val="both"/>
        <w:rPr>
          <w:color w:val="auto"/>
        </w:rPr>
      </w:pPr>
      <w:r w:rsidRPr="00312522">
        <w:rPr>
          <w:color w:val="auto"/>
        </w:rPr>
        <w:t xml:space="preserve">valsts budžeta izdevumi sadalījumā pa programmām (apakšprogrammām) un izdevumu veidiem atbilstoši ekonomiskajai būtībai; </w:t>
      </w:r>
    </w:p>
    <w:p w:rsidR="00312522" w:rsidRPr="00312522" w:rsidRDefault="00312522" w:rsidP="002010CB">
      <w:pPr>
        <w:pStyle w:val="Default"/>
        <w:numPr>
          <w:ilvl w:val="0"/>
          <w:numId w:val="4"/>
        </w:numPr>
        <w:ind w:left="993"/>
        <w:jc w:val="both"/>
        <w:rPr>
          <w:color w:val="auto"/>
        </w:rPr>
      </w:pPr>
      <w:r w:rsidRPr="00312522">
        <w:rPr>
          <w:color w:val="auto"/>
        </w:rPr>
        <w:t xml:space="preserve">valsts budžeta finansiālā bilance; </w:t>
      </w:r>
    </w:p>
    <w:p w:rsidR="00312522" w:rsidRPr="00312522" w:rsidRDefault="00312522" w:rsidP="002010CB">
      <w:pPr>
        <w:pStyle w:val="Default"/>
        <w:numPr>
          <w:ilvl w:val="0"/>
          <w:numId w:val="4"/>
        </w:numPr>
        <w:ind w:left="993"/>
        <w:jc w:val="both"/>
        <w:rPr>
          <w:color w:val="auto"/>
        </w:rPr>
      </w:pPr>
      <w:r w:rsidRPr="00312522">
        <w:rPr>
          <w:color w:val="auto"/>
        </w:rPr>
        <w:t xml:space="preserve">valsts parāda maksimāli pieļaujamais apjoms saimnieciskā gada beigās; </w:t>
      </w:r>
    </w:p>
    <w:p w:rsidR="00312522" w:rsidRPr="00312522" w:rsidRDefault="00312522" w:rsidP="002010CB">
      <w:pPr>
        <w:pStyle w:val="Default"/>
        <w:numPr>
          <w:ilvl w:val="0"/>
          <w:numId w:val="4"/>
        </w:numPr>
        <w:ind w:left="993"/>
        <w:jc w:val="both"/>
        <w:rPr>
          <w:color w:val="auto"/>
        </w:rPr>
      </w:pPr>
      <w:r w:rsidRPr="00312522">
        <w:rPr>
          <w:color w:val="auto"/>
        </w:rPr>
        <w:t xml:space="preserve">valsts vārdā izsniedzamo galvojumu apmērs; </w:t>
      </w:r>
    </w:p>
    <w:p w:rsidR="00312522" w:rsidRPr="00312522" w:rsidRDefault="00312522" w:rsidP="002010CB">
      <w:pPr>
        <w:pStyle w:val="Default"/>
        <w:numPr>
          <w:ilvl w:val="0"/>
          <w:numId w:val="4"/>
        </w:numPr>
        <w:ind w:left="993"/>
        <w:jc w:val="both"/>
        <w:rPr>
          <w:color w:val="auto"/>
        </w:rPr>
      </w:pPr>
      <w:r w:rsidRPr="00312522">
        <w:rPr>
          <w:color w:val="auto"/>
        </w:rPr>
        <w:t xml:space="preserve">valsts budžeta aizdevumu kopējais palielinājums; </w:t>
      </w:r>
    </w:p>
    <w:p w:rsidR="00312522" w:rsidRPr="00312522" w:rsidRDefault="00312522" w:rsidP="002010CB">
      <w:pPr>
        <w:pStyle w:val="Default"/>
        <w:numPr>
          <w:ilvl w:val="0"/>
          <w:numId w:val="4"/>
        </w:numPr>
        <w:ind w:left="993"/>
        <w:jc w:val="both"/>
        <w:rPr>
          <w:color w:val="auto"/>
        </w:rPr>
      </w:pPr>
      <w:r w:rsidRPr="00312522">
        <w:rPr>
          <w:color w:val="auto"/>
        </w:rPr>
        <w:t xml:space="preserve">valsts budžeta mērķdotāciju apmērs pašvaldībām, kā arī valsts budžeta dotācijas apmērs pašvaldību finanšu izlīdzināšanas fondam; </w:t>
      </w:r>
    </w:p>
    <w:p w:rsidR="00312522" w:rsidRPr="00312522" w:rsidRDefault="00312522" w:rsidP="002010CB">
      <w:pPr>
        <w:pStyle w:val="Default"/>
        <w:numPr>
          <w:ilvl w:val="0"/>
          <w:numId w:val="4"/>
        </w:numPr>
        <w:ind w:left="993"/>
        <w:jc w:val="both"/>
        <w:rPr>
          <w:color w:val="auto"/>
        </w:rPr>
      </w:pPr>
      <w:r w:rsidRPr="00312522">
        <w:rPr>
          <w:color w:val="auto"/>
        </w:rPr>
        <w:t xml:space="preserve">pašvaldību aizņēmumu kopējais palielinājums un pašvaldību sniegto galvojumu kopējais palielinājums; </w:t>
      </w:r>
    </w:p>
    <w:p w:rsidR="00312522" w:rsidRPr="00312522" w:rsidRDefault="00312522" w:rsidP="002010CB">
      <w:pPr>
        <w:pStyle w:val="Default"/>
        <w:numPr>
          <w:ilvl w:val="0"/>
          <w:numId w:val="4"/>
        </w:numPr>
        <w:ind w:left="993"/>
        <w:jc w:val="both"/>
        <w:rPr>
          <w:color w:val="auto"/>
        </w:rPr>
      </w:pPr>
      <w:r w:rsidRPr="00312522">
        <w:rPr>
          <w:color w:val="auto"/>
        </w:rPr>
        <w:t xml:space="preserve">citi nosacījumi, piemēram, valsts </w:t>
      </w:r>
      <w:proofErr w:type="spellStart"/>
      <w:r w:rsidRPr="00312522">
        <w:rPr>
          <w:color w:val="auto"/>
        </w:rPr>
        <w:t>fondēto</w:t>
      </w:r>
      <w:proofErr w:type="spellEnd"/>
      <w:r w:rsidRPr="00312522">
        <w:rPr>
          <w:color w:val="auto"/>
        </w:rPr>
        <w:t xml:space="preserve"> pensiju shēmas iemaksu likme un iemaksu summa. </w:t>
      </w:r>
    </w:p>
    <w:p w:rsidR="00312522" w:rsidRPr="00312522" w:rsidRDefault="00312522" w:rsidP="002010CB">
      <w:pPr>
        <w:pStyle w:val="Default"/>
        <w:ind w:firstLine="720"/>
        <w:jc w:val="both"/>
        <w:rPr>
          <w:b/>
          <w:bCs/>
          <w:color w:val="auto"/>
        </w:rPr>
      </w:pPr>
      <w:r w:rsidRPr="00312522">
        <w:rPr>
          <w:color w:val="auto"/>
        </w:rPr>
        <w:t xml:space="preserve">Gadskārtējā valsts budžeta likumprojekta paskaidrojumos tiek ietverts makroekonomiskās attīstības scenārija apraksts, fiskālais apskats, ieņēmumu prognožu analīze, valsts budžeta izdevumu plānošanas būtiskākie elementi, ministriju izdevumu paskaidrojumi, valsts budžeta izdevumi funkcionālajā, administratīvajā un ekonomisko kategoriju sadalījumā, </w:t>
      </w:r>
      <w:r w:rsidRPr="00312522">
        <w:rPr>
          <w:color w:val="auto"/>
        </w:rPr>
        <w:lastRenderedPageBreak/>
        <w:t xml:space="preserve">kā arī informācija par plānotajiem investīciju projektiem, informācija par valsts finansiālajām saistībām (kopsavilkums), kā arī informācija par budžeta likumprojektu paketes ietvaros veiktajiem grozījumiem normatīvajos aktos. Ministrijas un citas centrālās valsts iestādes paskaidrojumos iekļauj Politikas un resursu vadības kartes, prioritāros pasākumus un to īstenošanas rezultātā sagaidāmos darbības rezultātus un to rezultatīvos rādītājus, optimizācijas pasākumus, kā arī katrai pamatbudžeta vai speciālā budžeta programmai (apakšprogrammai) norāda mērķi, galvenās aktivitātes un izpildītājus, darbības rezultātus un to rezultatīvos rādītājus, finansiālos rādītājus un kopējo izdevumu izmaiņas. </w:t>
      </w:r>
    </w:p>
    <w:p w:rsidR="00312522" w:rsidRPr="00312522" w:rsidRDefault="00312522" w:rsidP="002010CB">
      <w:pPr>
        <w:pStyle w:val="Default"/>
        <w:ind w:firstLine="720"/>
        <w:jc w:val="both"/>
      </w:pPr>
      <w:r w:rsidRPr="00312522">
        <w:t xml:space="preserve">Neatkarīgo iestāžu (tiesas, Valsts kontroles, </w:t>
      </w:r>
      <w:proofErr w:type="spellStart"/>
      <w:r w:rsidRPr="00312522">
        <w:t>Tiesībsarga</w:t>
      </w:r>
      <w:proofErr w:type="spellEnd"/>
      <w:r w:rsidRPr="00312522">
        <w:t xml:space="preserve"> un citas) budžeta pieprasījumiem ir īpaša loma budžeta procesā. LBFV nosaka, ka MK, sagatavojot Ietvara likuma projektu un </w:t>
      </w:r>
      <w:r w:rsidRPr="00312522">
        <w:rPr>
          <w:color w:val="auto"/>
        </w:rPr>
        <w:t>gadskārtējā valsts budžeta likuma projektu,</w:t>
      </w:r>
      <w:r w:rsidRPr="00312522">
        <w:t xml:space="preserve"> ir jāuzklausa neatkarīgo iestāžu viedoklis par attiecīgo iestāžu finansējuma sadaļām, jāpamato MK viedoklis finansējuma samazinājuma gadījumā, kā arī minēto sarunu rezultāti protokola veidā ir jādara zināmi likumdevējam, pievienojot tos attiecīgajiem likumprojektiem.</w:t>
      </w:r>
    </w:p>
    <w:p w:rsidR="00312522" w:rsidRPr="00312522" w:rsidRDefault="00312522" w:rsidP="00CB411A">
      <w:pPr>
        <w:pStyle w:val="Default"/>
        <w:ind w:firstLine="720"/>
        <w:jc w:val="both"/>
      </w:pPr>
      <w:r w:rsidRPr="00312522">
        <w:t xml:space="preserve">Valsts budžeta likumprojekta un </w:t>
      </w:r>
      <w:r w:rsidR="00304153" w:rsidRPr="003C7327">
        <w:rPr>
          <w:color w:val="000000" w:themeColor="text1"/>
        </w:rPr>
        <w:t>Ietvara</w:t>
      </w:r>
      <w:r w:rsidR="00304153" w:rsidRPr="00312522">
        <w:t xml:space="preserve"> </w:t>
      </w:r>
      <w:r w:rsidRPr="00312522">
        <w:t xml:space="preserve">likumprojekta izstrādes gaitā notiek LPS un FM sarunas, kuru rezultātā tiek sagatavots MK un LPS protokola projekts, kas tiek iesniegts izskatīšanai paplašinātajā MK komitejas sēdē. Protokola projektā tiek iekļauti jautājumi par pašvaldību nodokļu ieņēmumu, </w:t>
      </w:r>
      <w:proofErr w:type="spellStart"/>
      <w:r w:rsidRPr="00312522">
        <w:t>nenodokļu</w:t>
      </w:r>
      <w:proofErr w:type="spellEnd"/>
      <w:r w:rsidRPr="00312522">
        <w:t xml:space="preserve"> ieņēmumu un citu ieņēmumu prognozēm, valsts budžeta </w:t>
      </w:r>
      <w:proofErr w:type="spellStart"/>
      <w:r w:rsidRPr="00312522">
        <w:t>transfertiem</w:t>
      </w:r>
      <w:proofErr w:type="spellEnd"/>
      <w:r w:rsidRPr="00312522">
        <w:t xml:space="preserve"> pašvaldībām, pašvaldību aizņēmumiem, galvojumiem, ilgtermiņa saistību apmēru un nosacījumiem, pašvaldību finanšu izlīdzināšanu, kā arī citi ar pašvaldību darbību un finansēm saistīti jautājumi. Protokols tiek pievienots gadskārtējā valsts budžeta likumprojektam un </w:t>
      </w:r>
      <w:r w:rsidR="00304153" w:rsidRPr="003C7327">
        <w:rPr>
          <w:color w:val="000000" w:themeColor="text1"/>
        </w:rPr>
        <w:t>Ietvara</w:t>
      </w:r>
      <w:r w:rsidR="00304153" w:rsidRPr="00312522">
        <w:t xml:space="preserve"> </w:t>
      </w:r>
      <w:r w:rsidRPr="00312522">
        <w:t xml:space="preserve">likumprojektam, MK to iesniedzot Saeimā. </w:t>
      </w:r>
    </w:p>
    <w:p w:rsidR="00312522" w:rsidRPr="00312522" w:rsidRDefault="00312522" w:rsidP="00CB411A">
      <w:pPr>
        <w:pStyle w:val="Default"/>
        <w:ind w:firstLine="720"/>
        <w:jc w:val="both"/>
      </w:pPr>
      <w:r w:rsidRPr="00312522">
        <w:t xml:space="preserve">Ja, sākoties saimnieciskajam gadam, nav stājies spēkā gadskārtējais valsts budžeta likums, finanšu ministrs apstiprina valsts darbībai nepieciešamos valsts budžeta izdevumus, aizdevumu un aizņēmumu limitus ar noteikumu, ka izdevumi nepārsniedz </w:t>
      </w:r>
      <w:r w:rsidR="00304153" w:rsidRPr="003C7327">
        <w:rPr>
          <w:color w:val="000000" w:themeColor="text1"/>
        </w:rPr>
        <w:t>Ietvara</w:t>
      </w:r>
      <w:r w:rsidR="00304153" w:rsidRPr="00312522">
        <w:t xml:space="preserve"> </w:t>
      </w:r>
      <w:r w:rsidRPr="00312522">
        <w:t>likumā attiecīgajam gadam noteikto maksimāli pieļaujamo valsts budžeta kopējo izdevumu apjomu katrai ministrijai un citai centrālajai valsts iestādei, veicot LBFV noteiktās korekcijas.</w:t>
      </w:r>
    </w:p>
    <w:p w:rsidR="00312522" w:rsidRPr="00312522" w:rsidRDefault="00312522" w:rsidP="00CB411A">
      <w:pPr>
        <w:pStyle w:val="Default"/>
        <w:ind w:firstLine="720"/>
        <w:jc w:val="both"/>
      </w:pPr>
      <w:r w:rsidRPr="00312522">
        <w:t xml:space="preserve">Atbilstoši likumam „Par pašvaldību budžetiem”, pašvaldības izstrādā savus budžetus ne vēlāk kā divu mēnešu laikā pēc gadskārtējā valsts budžeta likuma izsludināšanas. </w:t>
      </w:r>
    </w:p>
    <w:p w:rsidR="00312522" w:rsidRPr="00312522" w:rsidRDefault="00312522" w:rsidP="00CB411A">
      <w:pPr>
        <w:pStyle w:val="Default"/>
        <w:ind w:firstLine="720"/>
        <w:jc w:val="both"/>
      </w:pPr>
      <w:r w:rsidRPr="00312522">
        <w:t xml:space="preserve">Ja līdz saimnieciskā gada sākumam pašvaldības budžets nav apstiprināts, pašvaldības izdevumi mēnesī nedrīkst pārsniegt divpadsmito daļu no iepriekšējā gada izdevumiem ar noteikumu, ka salīdzinājumā ar iepriekšējo gadu pašvaldībai nesamazinās izpildāmo funkciju apjoms. </w:t>
      </w:r>
    </w:p>
    <w:p w:rsidR="00312522" w:rsidRPr="00312522" w:rsidRDefault="00312522" w:rsidP="00CB411A">
      <w:pPr>
        <w:pStyle w:val="Default"/>
        <w:ind w:firstLine="720"/>
        <w:jc w:val="both"/>
      </w:pPr>
      <w:r w:rsidRPr="00312522">
        <w:t>Pašvaldībām likumā “Par pašvaldību budžetiem” ir noteikti stingri nosacījumi budžeta plānošanas un izpildes jomā – pašvaldību budžeta asignējumi nedrīkst pārsniegt budžetā plānotos apjomus.</w:t>
      </w:r>
    </w:p>
    <w:p w:rsidR="00312522" w:rsidRPr="00312522" w:rsidRDefault="00312522" w:rsidP="00CB411A">
      <w:pPr>
        <w:pStyle w:val="Default"/>
        <w:ind w:firstLine="720"/>
        <w:jc w:val="both"/>
      </w:pPr>
      <w:r w:rsidRPr="00312522">
        <w:t xml:space="preserve">MK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 </w:t>
      </w:r>
    </w:p>
    <w:p w:rsidR="00A34463" w:rsidRPr="00F4598A" w:rsidRDefault="00551458" w:rsidP="000774C9">
      <w:pPr>
        <w:pStyle w:val="Heading3"/>
        <w:numPr>
          <w:ilvl w:val="2"/>
          <w:numId w:val="32"/>
        </w:numPr>
        <w:spacing w:before="240" w:after="120" w:line="240" w:lineRule="auto"/>
        <w:ind w:left="1134" w:hanging="425"/>
        <w:rPr>
          <w:rFonts w:ascii="Times New Roman" w:hAnsi="Times New Roman" w:cs="Times New Roman"/>
          <w:sz w:val="24"/>
          <w:szCs w:val="24"/>
        </w:rPr>
      </w:pPr>
      <w:bookmarkStart w:id="103" w:name="_Toc5627393"/>
      <w:bookmarkStart w:id="104" w:name="_Toc5798648"/>
      <w:r w:rsidRPr="00F4598A">
        <w:rPr>
          <w:rFonts w:ascii="Times New Roman" w:hAnsi="Times New Roman" w:cs="Times New Roman"/>
          <w:sz w:val="24"/>
          <w:szCs w:val="24"/>
        </w:rPr>
        <w:t>Valsts finanšu statistikas pārvaldība</w:t>
      </w:r>
      <w:bookmarkEnd w:id="102"/>
      <w:bookmarkEnd w:id="103"/>
      <w:bookmarkEnd w:id="104"/>
    </w:p>
    <w:p w:rsidR="00E371FF" w:rsidRPr="00E371FF" w:rsidRDefault="002010CB" w:rsidP="002010CB">
      <w:pPr>
        <w:pStyle w:val="BodyTextIndent2"/>
        <w:spacing w:before="0" w:after="0"/>
        <w:rPr>
          <w:szCs w:val="24"/>
        </w:rPr>
      </w:pPr>
      <w:r>
        <w:rPr>
          <w:szCs w:val="24"/>
        </w:rPr>
        <w:t>CSP</w:t>
      </w:r>
      <w:r w:rsidR="00E371FF" w:rsidRPr="00E371FF">
        <w:rPr>
          <w:szCs w:val="24"/>
        </w:rPr>
        <w:t xml:space="preserve"> apkopo valdības finanšu statistiku atbilstoši Eiropas Parlamenta un Padomes R</w:t>
      </w:r>
      <w:r w:rsidR="00F4765E">
        <w:rPr>
          <w:szCs w:val="24"/>
        </w:rPr>
        <w:t>egulas (ES) Nr. 549/2013 (2013.gada 21.</w:t>
      </w:r>
      <w:r w:rsidR="00E371FF" w:rsidRPr="00E371FF">
        <w:rPr>
          <w:szCs w:val="24"/>
        </w:rPr>
        <w:t xml:space="preserve">maijs) par </w:t>
      </w:r>
      <w:r w:rsidR="00917436">
        <w:rPr>
          <w:szCs w:val="24"/>
        </w:rPr>
        <w:t>EKS 2010</w:t>
      </w:r>
      <w:r w:rsidR="00E371FF" w:rsidRPr="00E371FF">
        <w:rPr>
          <w:szCs w:val="24"/>
        </w:rPr>
        <w:t xml:space="preserve"> prasībām.</w:t>
      </w:r>
    </w:p>
    <w:p w:rsidR="00E371FF" w:rsidRPr="00E371FF" w:rsidRDefault="00E371FF" w:rsidP="002010CB">
      <w:pPr>
        <w:pStyle w:val="BodyTextIndent2"/>
        <w:spacing w:before="0" w:after="0"/>
        <w:rPr>
          <w:szCs w:val="24"/>
        </w:rPr>
      </w:pPr>
      <w:r w:rsidRPr="00E371FF">
        <w:rPr>
          <w:szCs w:val="24"/>
        </w:rPr>
        <w:t xml:space="preserve">Vispārējās valdības sektora (S.13) ietvars Latvijā atbilstoši EKS 2010 metodoloģijai sastāv no trim </w:t>
      </w:r>
      <w:proofErr w:type="spellStart"/>
      <w:r w:rsidRPr="00E371FF">
        <w:rPr>
          <w:szCs w:val="24"/>
        </w:rPr>
        <w:t>apakšsektoriem</w:t>
      </w:r>
      <w:proofErr w:type="spellEnd"/>
      <w:r w:rsidRPr="00E371FF">
        <w:rPr>
          <w:szCs w:val="24"/>
        </w:rPr>
        <w:t xml:space="preserve">: centrālās valdības </w:t>
      </w:r>
      <w:proofErr w:type="spellStart"/>
      <w:r w:rsidRPr="00E371FF">
        <w:rPr>
          <w:szCs w:val="24"/>
        </w:rPr>
        <w:t>apakšsektora</w:t>
      </w:r>
      <w:proofErr w:type="spellEnd"/>
      <w:r w:rsidRPr="00E371FF">
        <w:rPr>
          <w:szCs w:val="24"/>
        </w:rPr>
        <w:t xml:space="preserve"> (S.1311), pašvaldību </w:t>
      </w:r>
      <w:proofErr w:type="spellStart"/>
      <w:r w:rsidRPr="00E371FF">
        <w:rPr>
          <w:szCs w:val="24"/>
        </w:rPr>
        <w:t>apakšsektora</w:t>
      </w:r>
      <w:proofErr w:type="spellEnd"/>
      <w:r w:rsidRPr="00E371FF">
        <w:rPr>
          <w:szCs w:val="24"/>
        </w:rPr>
        <w:t xml:space="preserve"> (S.1313) un sociālās apdrošināšanas </w:t>
      </w:r>
      <w:proofErr w:type="spellStart"/>
      <w:r w:rsidRPr="00E371FF">
        <w:rPr>
          <w:szCs w:val="24"/>
        </w:rPr>
        <w:t>apakšsektora</w:t>
      </w:r>
      <w:proofErr w:type="spellEnd"/>
      <w:r w:rsidRPr="00E371FF">
        <w:rPr>
          <w:szCs w:val="24"/>
        </w:rPr>
        <w:t xml:space="preserve"> (S.1314).</w:t>
      </w:r>
    </w:p>
    <w:p w:rsidR="00E371FF" w:rsidRPr="00E371FF" w:rsidRDefault="00E371FF" w:rsidP="002010CB">
      <w:pPr>
        <w:pStyle w:val="BodyTextIndent2"/>
        <w:spacing w:before="0" w:after="0"/>
        <w:rPr>
          <w:szCs w:val="24"/>
        </w:rPr>
      </w:pPr>
      <w:r w:rsidRPr="00E371FF">
        <w:rPr>
          <w:szCs w:val="24"/>
        </w:rPr>
        <w:t xml:space="preserve">Atbilstoši </w:t>
      </w:r>
      <w:r w:rsidR="00351DF7" w:rsidRPr="006C5ABE">
        <w:rPr>
          <w:rFonts w:eastAsia="Calibri"/>
          <w:color w:val="000000"/>
          <w:szCs w:val="24"/>
        </w:rPr>
        <w:t>M</w:t>
      </w:r>
      <w:r w:rsidR="00351DF7">
        <w:rPr>
          <w:rFonts w:eastAsia="Calibri"/>
          <w:color w:val="000000"/>
          <w:szCs w:val="24"/>
        </w:rPr>
        <w:t>K</w:t>
      </w:r>
      <w:r w:rsidR="00351DF7" w:rsidRPr="00E371FF">
        <w:rPr>
          <w:szCs w:val="24"/>
        </w:rPr>
        <w:t xml:space="preserve"> </w:t>
      </w:r>
      <w:r w:rsidRPr="00E371FF">
        <w:rPr>
          <w:szCs w:val="24"/>
        </w:rPr>
        <w:t>2013.gada 10.decembra noteikumu Nr. 1456 “Noteikumi par institucionālo sektoru klasifikāciju” 6.punktam, CSP sagatavo un uztur vispār</w:t>
      </w:r>
      <w:r w:rsidR="00AB01C8">
        <w:rPr>
          <w:szCs w:val="24"/>
        </w:rPr>
        <w:t xml:space="preserve">ējās valdības </w:t>
      </w:r>
      <w:r w:rsidR="00AB01C8">
        <w:rPr>
          <w:szCs w:val="24"/>
        </w:rPr>
        <w:lastRenderedPageBreak/>
        <w:t>sektora sarakstu.</w:t>
      </w:r>
      <w:r w:rsidRPr="00E371FF">
        <w:rPr>
          <w:szCs w:val="24"/>
        </w:rPr>
        <w:t xml:space="preserve"> Lai sagatavotu sarakstu un lemtu par tajā iekļaujamajām vienībām CSP ievēro EKS 2010 prasības, kā arī E</w:t>
      </w:r>
      <w:r w:rsidR="009F516D">
        <w:rPr>
          <w:szCs w:val="24"/>
        </w:rPr>
        <w:t>S</w:t>
      </w:r>
      <w:r w:rsidRPr="00E371FF">
        <w:rPr>
          <w:szCs w:val="24"/>
        </w:rPr>
        <w:t xml:space="preserve"> Statistikas biroja </w:t>
      </w:r>
      <w:proofErr w:type="spellStart"/>
      <w:r w:rsidRPr="00E371FF">
        <w:rPr>
          <w:i/>
          <w:szCs w:val="24"/>
        </w:rPr>
        <w:t>Eurostat</w:t>
      </w:r>
      <w:proofErr w:type="spellEnd"/>
      <w:r w:rsidRPr="00E371FF">
        <w:rPr>
          <w:i/>
          <w:szCs w:val="24"/>
        </w:rPr>
        <w:t xml:space="preserve"> </w:t>
      </w:r>
      <w:r w:rsidRPr="00E371FF">
        <w:rPr>
          <w:szCs w:val="24"/>
        </w:rPr>
        <w:t xml:space="preserve">Rokasgrāmatā par valdības deficītu un valsts parādu definētos principus, kas paredz uz vispārējās valdības sektoru attiecināt valsts un pašvaldību kontrolētas un pārsvarā finansētas kapitālsabiedrības. </w:t>
      </w:r>
    </w:p>
    <w:p w:rsidR="00480EF7" w:rsidRDefault="00E371FF" w:rsidP="002010CB">
      <w:pPr>
        <w:pStyle w:val="BodyTextIndent2"/>
        <w:spacing w:before="0" w:after="0"/>
      </w:pPr>
      <w:r w:rsidRPr="00E371FF">
        <w:rPr>
          <w:szCs w:val="24"/>
        </w:rPr>
        <w:t xml:space="preserve">Vispārējās valdības sektorā uz 2018.gada 31.decembri bija 938 neatkarīgas budžeta iestādes, no tām centrālās valdības </w:t>
      </w:r>
      <w:proofErr w:type="spellStart"/>
      <w:r w:rsidRPr="00E371FF">
        <w:rPr>
          <w:szCs w:val="24"/>
        </w:rPr>
        <w:t>apakšsektorā</w:t>
      </w:r>
      <w:proofErr w:type="spellEnd"/>
      <w:r w:rsidRPr="00E371FF">
        <w:rPr>
          <w:szCs w:val="24"/>
        </w:rPr>
        <w:t xml:space="preserve"> </w:t>
      </w:r>
      <w:r w:rsidR="00480EF7" w:rsidRPr="00E371FF">
        <w:rPr>
          <w:szCs w:val="24"/>
        </w:rPr>
        <w:t>–</w:t>
      </w:r>
      <w:r w:rsidRPr="00E371FF">
        <w:rPr>
          <w:szCs w:val="24"/>
        </w:rPr>
        <w:t xml:space="preserve"> 226 iestādes, pašvaldību </w:t>
      </w:r>
      <w:proofErr w:type="spellStart"/>
      <w:r w:rsidRPr="00E371FF">
        <w:rPr>
          <w:szCs w:val="24"/>
        </w:rPr>
        <w:t>apakšsektorā</w:t>
      </w:r>
      <w:proofErr w:type="spellEnd"/>
      <w:r w:rsidRPr="00E371FF">
        <w:rPr>
          <w:szCs w:val="24"/>
        </w:rPr>
        <w:t xml:space="preserve"> – 711 iestādes un sociālās apdrošināšanas fonda </w:t>
      </w:r>
      <w:proofErr w:type="spellStart"/>
      <w:r w:rsidRPr="00E371FF">
        <w:rPr>
          <w:szCs w:val="24"/>
        </w:rPr>
        <w:t>apakšsektorā</w:t>
      </w:r>
      <w:proofErr w:type="spellEnd"/>
      <w:r w:rsidRPr="00E371FF">
        <w:rPr>
          <w:szCs w:val="24"/>
        </w:rPr>
        <w:t xml:space="preserve"> – viena iestāde, bez tam </w:t>
      </w:r>
      <w:r w:rsidR="00480EF7" w:rsidRPr="00E371FF">
        <w:rPr>
          <w:szCs w:val="24"/>
        </w:rPr>
        <w:t>–</w:t>
      </w:r>
      <w:r w:rsidRPr="00E371FF">
        <w:rPr>
          <w:szCs w:val="24"/>
        </w:rPr>
        <w:t xml:space="preserve"> </w:t>
      </w:r>
      <w:r w:rsidR="00480EF7">
        <w:t xml:space="preserve">131 valsts un pašvaldību kontrolēta un </w:t>
      </w:r>
      <w:r w:rsidR="00480EF7" w:rsidRPr="00551709">
        <w:t xml:space="preserve">finansēta kapitālsabiedrība, no tām valsts kontrolētas – </w:t>
      </w:r>
      <w:r w:rsidR="00480EF7">
        <w:t>52</w:t>
      </w:r>
      <w:r w:rsidR="00480EF7" w:rsidRPr="00551709">
        <w:t xml:space="preserve"> kapitālsabiedrības, pašvaldību kontrolētas – </w:t>
      </w:r>
      <w:r w:rsidR="00480EF7">
        <w:t>79</w:t>
      </w:r>
      <w:r w:rsidR="00480EF7" w:rsidRPr="00551709">
        <w:t xml:space="preserve"> kapitālsabiedrības.</w:t>
      </w:r>
      <w:r w:rsidR="00480EF7">
        <w:t xml:space="preserve"> </w:t>
      </w:r>
      <w:r w:rsidR="002937C1">
        <w:t xml:space="preserve">Kopā </w:t>
      </w:r>
      <w:proofErr w:type="spellStart"/>
      <w:r w:rsidR="002937C1">
        <w:t>visparējās</w:t>
      </w:r>
      <w:proofErr w:type="spellEnd"/>
      <w:r w:rsidR="002937C1">
        <w:t xml:space="preserve"> valdības sektorā ir 1 069 vienības.</w:t>
      </w:r>
    </w:p>
    <w:p w:rsidR="00E371FF" w:rsidRPr="00E371FF" w:rsidRDefault="00E371FF" w:rsidP="002010CB">
      <w:pPr>
        <w:pStyle w:val="BodyTextIndent2"/>
        <w:spacing w:before="0" w:after="0"/>
        <w:rPr>
          <w:i/>
          <w:szCs w:val="24"/>
        </w:rPr>
      </w:pPr>
      <w:r w:rsidRPr="00E371FF">
        <w:rPr>
          <w:szCs w:val="24"/>
        </w:rPr>
        <w:t>CSP katru ceturksni aprēķina šādus vispārējās valdības sektora rādītājus</w:t>
      </w:r>
      <w:r w:rsidR="009023BA" w:rsidRPr="00E53D87">
        <w:rPr>
          <w:rFonts w:eastAsia="Calibri"/>
        </w:rPr>
        <w:t xml:space="preserve"> – </w:t>
      </w:r>
      <w:r w:rsidRPr="00E371FF">
        <w:rPr>
          <w:szCs w:val="24"/>
        </w:rPr>
        <w:t xml:space="preserve">ieņēmumus, izdevumus, deficītu, parādu un sagatavo vispārējās valdības ceturkšņa finanšu kontus. Informācija tiek publicēta CSP mājaslapā un nosūtīta uz </w:t>
      </w:r>
      <w:proofErr w:type="spellStart"/>
      <w:r w:rsidR="00480EF7">
        <w:rPr>
          <w:i/>
          <w:szCs w:val="24"/>
        </w:rPr>
        <w:t>Eurostat</w:t>
      </w:r>
      <w:proofErr w:type="spellEnd"/>
      <w:r w:rsidRPr="00E371FF">
        <w:rPr>
          <w:i/>
          <w:szCs w:val="24"/>
        </w:rPr>
        <w:t xml:space="preserve"> </w:t>
      </w:r>
      <w:r w:rsidRPr="00E371FF">
        <w:rPr>
          <w:szCs w:val="24"/>
        </w:rPr>
        <w:t>trīs mēnešus pēc pārskata perioda beigām.</w:t>
      </w:r>
      <w:r w:rsidRPr="00E371FF">
        <w:rPr>
          <w:i/>
          <w:szCs w:val="24"/>
        </w:rPr>
        <w:t xml:space="preserve"> </w:t>
      </w:r>
    </w:p>
    <w:p w:rsidR="00E371FF" w:rsidRPr="00E371FF" w:rsidRDefault="00E371FF" w:rsidP="002010CB">
      <w:pPr>
        <w:pStyle w:val="BodyTextIndent"/>
        <w:spacing w:after="0"/>
        <w:ind w:left="0" w:firstLine="720"/>
        <w:rPr>
          <w:szCs w:val="24"/>
        </w:rPr>
      </w:pPr>
      <w:r w:rsidRPr="00E371FF">
        <w:rPr>
          <w:szCs w:val="24"/>
        </w:rPr>
        <w:t>Bez tam CSP katru ga</w:t>
      </w:r>
      <w:r w:rsidR="007140C9">
        <w:rPr>
          <w:szCs w:val="24"/>
        </w:rPr>
        <w:t>du noteiktajos termiņos līdz 1.</w:t>
      </w:r>
      <w:r w:rsidRPr="00E371FF">
        <w:rPr>
          <w:szCs w:val="24"/>
        </w:rPr>
        <w:t xml:space="preserve">aprīlim (operatīvie dati) un līdz 1. oktobrim (gala dati) sagatavo un iesniedz vispārējās valdības budžeta deficīta un parāda notifikāciju (turpmāk – Notifikācija) </w:t>
      </w:r>
      <w:proofErr w:type="spellStart"/>
      <w:r w:rsidRPr="00E371FF">
        <w:rPr>
          <w:i/>
          <w:szCs w:val="24"/>
        </w:rPr>
        <w:t>Eurostat</w:t>
      </w:r>
      <w:proofErr w:type="spellEnd"/>
      <w:r w:rsidRPr="00E371FF">
        <w:rPr>
          <w:szCs w:val="24"/>
        </w:rPr>
        <w:t xml:space="preserve">. </w:t>
      </w:r>
    </w:p>
    <w:p w:rsidR="00E371FF" w:rsidRPr="00E371FF" w:rsidRDefault="00E371FF" w:rsidP="002010CB">
      <w:pPr>
        <w:pStyle w:val="BodyTextIndent"/>
        <w:spacing w:after="0"/>
        <w:ind w:left="0"/>
        <w:rPr>
          <w:rStyle w:val="IntenseReference"/>
          <w:szCs w:val="24"/>
        </w:rPr>
      </w:pPr>
      <w:r w:rsidRPr="00E371FF">
        <w:rPr>
          <w:szCs w:val="24"/>
        </w:rPr>
        <w:t xml:space="preserve">Notifikācija tiek sagatavota atbilstoši </w:t>
      </w:r>
      <w:r w:rsidR="00351DF7" w:rsidRPr="006C5ABE">
        <w:rPr>
          <w:rFonts w:eastAsia="Calibri"/>
          <w:color w:val="000000"/>
          <w:szCs w:val="24"/>
        </w:rPr>
        <w:t>M</w:t>
      </w:r>
      <w:r w:rsidR="00351DF7">
        <w:rPr>
          <w:rFonts w:eastAsia="Calibri"/>
          <w:color w:val="000000"/>
          <w:szCs w:val="24"/>
        </w:rPr>
        <w:t>K</w:t>
      </w:r>
      <w:r w:rsidR="00351DF7" w:rsidRPr="00E371FF">
        <w:rPr>
          <w:szCs w:val="24"/>
        </w:rPr>
        <w:t xml:space="preserve"> </w:t>
      </w:r>
      <w:r w:rsidRPr="00E371FF">
        <w:rPr>
          <w:szCs w:val="24"/>
        </w:rPr>
        <w:t xml:space="preserve">2015.gada 22.decembra noteikumu Nr. 756 “Kārtība kādā sagatavo vispārējās valdības budžeta deficīta un parāda notifikāciju” prasībām. Par Notifikācijas sagatavošanu un iesniegšanu </w:t>
      </w:r>
      <w:proofErr w:type="spellStart"/>
      <w:r w:rsidRPr="00E371FF">
        <w:rPr>
          <w:i/>
          <w:szCs w:val="24"/>
        </w:rPr>
        <w:t>Eurostat</w:t>
      </w:r>
      <w:proofErr w:type="spellEnd"/>
      <w:r w:rsidRPr="00E371FF">
        <w:rPr>
          <w:szCs w:val="24"/>
        </w:rPr>
        <w:t xml:space="preserve"> atbildīgā iestāde ir CSP, kura vada regulāras starpinstitūciju darba grupas sanāksmes. Notifikācijas sagatavošanā ir iesaistīti speciālisti no F</w:t>
      </w:r>
      <w:r w:rsidR="009F516D">
        <w:rPr>
          <w:szCs w:val="24"/>
        </w:rPr>
        <w:t>M</w:t>
      </w:r>
      <w:r w:rsidRPr="00E371FF">
        <w:rPr>
          <w:szCs w:val="24"/>
        </w:rPr>
        <w:t xml:space="preserve">, </w:t>
      </w:r>
      <w:r w:rsidR="006A570D">
        <w:rPr>
          <w:szCs w:val="24"/>
        </w:rPr>
        <w:t>VK</w:t>
      </w:r>
      <w:r w:rsidRPr="00E371FF">
        <w:rPr>
          <w:szCs w:val="24"/>
        </w:rPr>
        <w:t xml:space="preserve">, Centrālās finanšu un līgumu aģentūras, Aizsardzības ministrijas un Valsts sociālās apdrošināšanas aģentūras. Vajadzības gadījumā tiek piesaistīti speciālisti no citām institūcijām (Ekonomikas ministrijas, Labklājības ministrijas, Rīgas Domes </w:t>
      </w:r>
      <w:proofErr w:type="spellStart"/>
      <w:r w:rsidRPr="00E371FF">
        <w:rPr>
          <w:szCs w:val="24"/>
        </w:rPr>
        <w:t>u.c</w:t>
      </w:r>
      <w:proofErr w:type="spellEnd"/>
      <w:r w:rsidRPr="00E371FF">
        <w:rPr>
          <w:szCs w:val="24"/>
        </w:rPr>
        <w:t xml:space="preserve">). </w:t>
      </w:r>
    </w:p>
    <w:p w:rsidR="00E371FF" w:rsidRPr="00E371FF" w:rsidRDefault="00E371FF" w:rsidP="002010CB">
      <w:pPr>
        <w:pStyle w:val="BodyTextIndent2"/>
        <w:spacing w:before="0" w:after="0"/>
        <w:rPr>
          <w:szCs w:val="24"/>
        </w:rPr>
      </w:pPr>
      <w:r w:rsidRPr="00E371FF">
        <w:rPr>
          <w:szCs w:val="24"/>
        </w:rPr>
        <w:t xml:space="preserve">Notifikāciju rezultāti tiek izmantoti valstu izvērtēšanai par to, kā tiek nodrošināta ekonomisko rādītāju atbilstība Māstrihtas līgumā noteiktajiem kritērijiem, t.i., plānotā un faktiskā vispārējās valdības sektora budžeta deficīta attiecība pret </w:t>
      </w:r>
      <w:r w:rsidR="00A4120C" w:rsidRPr="003C7327">
        <w:rPr>
          <w:color w:val="000000"/>
          <w:szCs w:val="24"/>
          <w:lang w:eastAsia="lv-LV"/>
        </w:rPr>
        <w:t>IKP</w:t>
      </w:r>
      <w:r w:rsidR="00A4120C" w:rsidRPr="00E371FF">
        <w:rPr>
          <w:szCs w:val="24"/>
        </w:rPr>
        <w:t xml:space="preserve"> </w:t>
      </w:r>
      <w:r w:rsidRPr="00E371FF">
        <w:rPr>
          <w:szCs w:val="24"/>
        </w:rPr>
        <w:t>ti</w:t>
      </w:r>
      <w:r w:rsidR="00480EF7">
        <w:rPr>
          <w:szCs w:val="24"/>
        </w:rPr>
        <w:t>rgus cenās nedrīkst pārsniegt 3</w:t>
      </w:r>
      <w:r w:rsidRPr="00E371FF">
        <w:rPr>
          <w:szCs w:val="24"/>
        </w:rPr>
        <w:t xml:space="preserve">% un valdības parāda attiecība pret </w:t>
      </w:r>
      <w:r w:rsidR="00A4120C" w:rsidRPr="003C7327">
        <w:rPr>
          <w:color w:val="000000"/>
          <w:szCs w:val="24"/>
          <w:lang w:eastAsia="lv-LV"/>
        </w:rPr>
        <w:t>IKP</w:t>
      </w:r>
      <w:r w:rsidRPr="00E371FF">
        <w:rPr>
          <w:szCs w:val="24"/>
        </w:rPr>
        <w:t xml:space="preserve"> tirgus ce</w:t>
      </w:r>
      <w:r w:rsidR="00F4765E">
        <w:rPr>
          <w:szCs w:val="24"/>
        </w:rPr>
        <w:t>nās nedrīkst būt lielāka par 60</w:t>
      </w:r>
      <w:r w:rsidRPr="00E371FF">
        <w:rPr>
          <w:szCs w:val="24"/>
        </w:rPr>
        <w:t>%, kas aprēķināti atbilstoši EKS 2010 prasībām</w:t>
      </w:r>
      <w:r w:rsidR="00480EF7">
        <w:rPr>
          <w:szCs w:val="24"/>
        </w:rPr>
        <w:t xml:space="preserve">, kā arī, kā tiek ievēroti Stabilitātes un Izaugsmes </w:t>
      </w:r>
      <w:proofErr w:type="spellStart"/>
      <w:r w:rsidR="00480EF7">
        <w:rPr>
          <w:szCs w:val="24"/>
        </w:rPr>
        <w:t>pakta</w:t>
      </w:r>
      <w:proofErr w:type="spellEnd"/>
      <w:r w:rsidR="00480EF7">
        <w:rPr>
          <w:szCs w:val="24"/>
        </w:rPr>
        <w:t xml:space="preserve"> fiskālie nosacījumi. </w:t>
      </w:r>
    </w:p>
    <w:p w:rsidR="00E371FF" w:rsidRPr="00E371FF" w:rsidRDefault="00E371FF" w:rsidP="002010CB">
      <w:pPr>
        <w:pStyle w:val="BodyTextIndent2"/>
        <w:spacing w:before="0" w:after="0"/>
        <w:rPr>
          <w:szCs w:val="24"/>
        </w:rPr>
      </w:pPr>
      <w:r w:rsidRPr="00E371FF">
        <w:rPr>
          <w:szCs w:val="24"/>
        </w:rPr>
        <w:t>Padomes Direktīva 2011/85ES (2011.gada 8.novembris)</w:t>
      </w:r>
      <w:r w:rsidRPr="00E371FF">
        <w:rPr>
          <w:b/>
          <w:bCs/>
          <w:color w:val="000000"/>
          <w:szCs w:val="24"/>
          <w:shd w:val="clear" w:color="auto" w:fill="FFFFFF"/>
        </w:rPr>
        <w:t xml:space="preserve"> </w:t>
      </w:r>
      <w:r w:rsidRPr="00E371FF">
        <w:rPr>
          <w:bCs/>
          <w:color w:val="000000"/>
          <w:szCs w:val="24"/>
          <w:shd w:val="clear" w:color="auto" w:fill="FFFFFF"/>
        </w:rPr>
        <w:t xml:space="preserve">par prasībām dalībvalstu budžeta struktūrām nosaka detalizētus noteikumus ES dalībvalstīm, lai stiprinātu ES fiskālo un ekonomikas pārvaldību, neveidotu pārmērīgu budžeta deficītu. Ar CSP administratīvo atbalstu </w:t>
      </w:r>
      <w:r w:rsidRPr="00E371FF">
        <w:rPr>
          <w:szCs w:val="24"/>
        </w:rPr>
        <w:t>tiek sagatavoti un publiskoti fiskālie dati. Tā F</w:t>
      </w:r>
      <w:r w:rsidR="009F516D">
        <w:rPr>
          <w:szCs w:val="24"/>
        </w:rPr>
        <w:t xml:space="preserve">M </w:t>
      </w:r>
      <w:r w:rsidRPr="00E371FF">
        <w:rPr>
          <w:szCs w:val="24"/>
        </w:rPr>
        <w:t>mājas lapā pieejama detalizēta pārejas tabula budžeta datiem no naudas plūsmas pēc nacionālās klasifikācijas uz vispārējās valdības sektora datiem pēc EKS 2010 metodoloģijas. Regulāri tiek publiskota šāda informācija:</w:t>
      </w:r>
    </w:p>
    <w:p w:rsidR="00E371FF" w:rsidRPr="00E371FF" w:rsidRDefault="00E371FF" w:rsidP="00DA42C2">
      <w:pPr>
        <w:pStyle w:val="BodyTextIndent2"/>
        <w:numPr>
          <w:ilvl w:val="0"/>
          <w:numId w:val="5"/>
        </w:numPr>
        <w:spacing w:before="0" w:after="0"/>
        <w:rPr>
          <w:szCs w:val="24"/>
        </w:rPr>
      </w:pPr>
      <w:r w:rsidRPr="00E371FF">
        <w:rPr>
          <w:szCs w:val="24"/>
        </w:rPr>
        <w:t>fiskālie dati (mēneša un ceturkšņa dati);</w:t>
      </w:r>
    </w:p>
    <w:p w:rsidR="00E371FF" w:rsidRPr="00E371FF" w:rsidRDefault="00E371FF" w:rsidP="00DA42C2">
      <w:pPr>
        <w:pStyle w:val="BodyTextIndent2"/>
        <w:numPr>
          <w:ilvl w:val="0"/>
          <w:numId w:val="5"/>
        </w:numPr>
        <w:spacing w:before="0" w:after="0"/>
        <w:rPr>
          <w:szCs w:val="24"/>
        </w:rPr>
      </w:pPr>
      <w:r w:rsidRPr="00E371FF">
        <w:rPr>
          <w:szCs w:val="24"/>
        </w:rPr>
        <w:t>valdības galvojumi (gada dati);</w:t>
      </w:r>
    </w:p>
    <w:p w:rsidR="00E371FF" w:rsidRPr="00E371FF" w:rsidRDefault="00E371FF" w:rsidP="00DA42C2">
      <w:pPr>
        <w:pStyle w:val="BodyTextIndent2"/>
        <w:numPr>
          <w:ilvl w:val="0"/>
          <w:numId w:val="5"/>
        </w:numPr>
        <w:spacing w:before="0" w:after="0"/>
        <w:rPr>
          <w:szCs w:val="24"/>
        </w:rPr>
      </w:pPr>
      <w:r w:rsidRPr="00E371FF">
        <w:rPr>
          <w:szCs w:val="24"/>
        </w:rPr>
        <w:t>nedrošās prasības (aizdevumi) (gada dati);</w:t>
      </w:r>
    </w:p>
    <w:p w:rsidR="00E371FF" w:rsidRPr="00E371FF" w:rsidRDefault="00E371FF" w:rsidP="00DA42C2">
      <w:pPr>
        <w:pStyle w:val="BodyTextIndent2"/>
        <w:numPr>
          <w:ilvl w:val="0"/>
          <w:numId w:val="5"/>
        </w:numPr>
        <w:spacing w:before="0" w:after="0"/>
        <w:rPr>
          <w:szCs w:val="24"/>
        </w:rPr>
      </w:pPr>
      <w:r w:rsidRPr="00E371FF">
        <w:rPr>
          <w:szCs w:val="24"/>
        </w:rPr>
        <w:t>nenokārtotās saistības, kas attiecas uz ārpusbilances publiskajām un privātajām partnerībām (gada dati);</w:t>
      </w:r>
    </w:p>
    <w:p w:rsidR="00E371FF" w:rsidRPr="00E371FF" w:rsidRDefault="00E371FF" w:rsidP="00DA42C2">
      <w:pPr>
        <w:pStyle w:val="BodyTextIndent2"/>
        <w:numPr>
          <w:ilvl w:val="0"/>
          <w:numId w:val="5"/>
        </w:numPr>
        <w:spacing w:before="0" w:after="0"/>
        <w:rPr>
          <w:szCs w:val="24"/>
        </w:rPr>
      </w:pPr>
      <w:r w:rsidRPr="00E371FF">
        <w:rPr>
          <w:szCs w:val="24"/>
        </w:rPr>
        <w:t>ārpus vispārējās valdības sektora klasificētu valdības kontrolētu kapitālsabiedrību saistības (gada dati);</w:t>
      </w:r>
    </w:p>
    <w:p w:rsidR="00E371FF" w:rsidRPr="00E371FF" w:rsidRDefault="00E371FF" w:rsidP="00DA42C2">
      <w:pPr>
        <w:pStyle w:val="BodyTextIndent2"/>
        <w:numPr>
          <w:ilvl w:val="0"/>
          <w:numId w:val="5"/>
        </w:numPr>
        <w:spacing w:before="0" w:after="0"/>
        <w:rPr>
          <w:szCs w:val="24"/>
        </w:rPr>
      </w:pPr>
      <w:r w:rsidRPr="00E371FF">
        <w:rPr>
          <w:szCs w:val="24"/>
        </w:rPr>
        <w:t>vispārējās valdības sektora līdzdalības vērtība kapitālsabiedrību kapitālā (gada dati).</w:t>
      </w:r>
    </w:p>
    <w:p w:rsidR="009D2D01" w:rsidRPr="00782778" w:rsidRDefault="009D2D01" w:rsidP="00DA42C2">
      <w:pPr>
        <w:pStyle w:val="BodyTextIndent2"/>
        <w:numPr>
          <w:ilvl w:val="0"/>
          <w:numId w:val="5"/>
        </w:numPr>
        <w:spacing w:before="0" w:after="0"/>
        <w:ind w:left="1077" w:hanging="357"/>
        <w:rPr>
          <w:rFonts w:eastAsiaTheme="majorEastAsia"/>
          <w:b/>
          <w:bCs/>
          <w:smallCaps/>
          <w:color w:val="000000" w:themeColor="text1"/>
          <w:sz w:val="32"/>
          <w:szCs w:val="32"/>
          <w:highlight w:val="yellow"/>
        </w:rPr>
      </w:pPr>
      <w:r w:rsidRPr="00782778">
        <w:rPr>
          <w:sz w:val="32"/>
          <w:szCs w:val="32"/>
          <w:highlight w:val="yellow"/>
        </w:rPr>
        <w:br w:type="page"/>
      </w:r>
    </w:p>
    <w:p w:rsidR="00A34463" w:rsidRPr="00AF71D1" w:rsidRDefault="00F51615" w:rsidP="00F51615">
      <w:pPr>
        <w:pStyle w:val="Heading1"/>
        <w:numPr>
          <w:ilvl w:val="0"/>
          <w:numId w:val="0"/>
        </w:numPr>
        <w:jc w:val="center"/>
        <w:rPr>
          <w:rFonts w:ascii="Times New Roman" w:hAnsi="Times New Roman" w:cs="Times New Roman"/>
          <w:sz w:val="32"/>
          <w:szCs w:val="32"/>
        </w:rPr>
      </w:pPr>
      <w:bookmarkStart w:id="105" w:name="_Toc510790684"/>
      <w:bookmarkStart w:id="106" w:name="_Toc5627394"/>
      <w:bookmarkStart w:id="107" w:name="_Toc5798649"/>
      <w:r w:rsidRPr="00AF71D1">
        <w:rPr>
          <w:rFonts w:ascii="Times New Roman" w:hAnsi="Times New Roman" w:cs="Times New Roman"/>
          <w:sz w:val="32"/>
          <w:szCs w:val="32"/>
        </w:rPr>
        <w:lastRenderedPageBreak/>
        <w:t>Pielikumi</w:t>
      </w:r>
      <w:bookmarkEnd w:id="105"/>
      <w:bookmarkEnd w:id="106"/>
      <w:bookmarkEnd w:id="107"/>
    </w:p>
    <w:p w:rsidR="005C4806" w:rsidRDefault="005C4806" w:rsidP="005C4806">
      <w:pPr>
        <w:pStyle w:val="T"/>
        <w:spacing w:before="360"/>
        <w:ind w:left="0"/>
        <w:rPr>
          <w:rFonts w:ascii="Times New Roman" w:hAnsi="Times New Roman"/>
          <w:color w:val="000000"/>
        </w:rPr>
      </w:pPr>
      <w:r w:rsidRPr="00A8311B">
        <w:rPr>
          <w:rFonts w:ascii="Times New Roman" w:hAnsi="Times New Roman"/>
          <w:color w:val="000000"/>
        </w:rPr>
        <w:t>1a.tabula. Izaugsme un ar to saistītie faktori</w:t>
      </w:r>
    </w:p>
    <w:tbl>
      <w:tblPr>
        <w:tblStyle w:val="GridTable6Colorful-Accent15"/>
        <w:tblW w:w="9073" w:type="dxa"/>
        <w:jc w:val="center"/>
        <w:tblLayout w:type="fixed"/>
        <w:tblLook w:val="04A0" w:firstRow="1" w:lastRow="0" w:firstColumn="1" w:lastColumn="0" w:noHBand="0" w:noVBand="1"/>
      </w:tblPr>
      <w:tblGrid>
        <w:gridCol w:w="3256"/>
        <w:gridCol w:w="998"/>
        <w:gridCol w:w="803"/>
        <w:gridCol w:w="803"/>
        <w:gridCol w:w="803"/>
        <w:gridCol w:w="803"/>
        <w:gridCol w:w="803"/>
        <w:gridCol w:w="804"/>
      </w:tblGrid>
      <w:tr w:rsidR="005C4806" w:rsidRPr="006D1A8A" w:rsidTr="00E43D36">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EEAF6"/>
            <w:vAlign w:val="center"/>
            <w:hideMark/>
          </w:tcPr>
          <w:p w:rsidR="005C4806" w:rsidRPr="006D1A8A" w:rsidRDefault="005C4806" w:rsidP="00792B82">
            <w:pPr>
              <w:autoSpaceDE w:val="0"/>
              <w:autoSpaceDN w:val="0"/>
              <w:adjustRightInd w:val="0"/>
              <w:spacing w:line="259" w:lineRule="auto"/>
              <w:jc w:val="both"/>
              <w:rPr>
                <w:rFonts w:ascii="Times New Roman" w:eastAsia="Times New Roman" w:hAnsi="Times New Roman" w:cs="Times New Roman"/>
                <w:b w:val="0"/>
                <w:bCs w:val="0"/>
                <w:color w:val="000000"/>
                <w:sz w:val="20"/>
                <w:szCs w:val="20"/>
                <w:lang w:eastAsia="lv-LV"/>
              </w:rPr>
            </w:pPr>
          </w:p>
        </w:tc>
        <w:tc>
          <w:tcPr>
            <w:tcW w:w="998" w:type="dxa"/>
            <w:vMerge w:val="restart"/>
            <w:shd w:val="clear" w:color="auto" w:fill="DEEAF6"/>
            <w:noWrap/>
            <w:vAlign w:val="center"/>
            <w:hideMark/>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bCs w:val="0"/>
                <w:color w:val="000000"/>
                <w:sz w:val="20"/>
                <w:szCs w:val="20"/>
                <w:lang w:eastAsia="lv-LV"/>
              </w:rPr>
              <w:t>EKS Kods</w:t>
            </w:r>
          </w:p>
        </w:tc>
        <w:tc>
          <w:tcPr>
            <w:tcW w:w="803" w:type="dxa"/>
            <w:noWrap/>
            <w:vAlign w:val="center"/>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bCs w:val="0"/>
                <w:color w:val="000000"/>
                <w:sz w:val="20"/>
                <w:szCs w:val="20"/>
                <w:lang w:eastAsia="lv-LV"/>
              </w:rPr>
              <w:t>2018</w:t>
            </w:r>
          </w:p>
        </w:tc>
        <w:tc>
          <w:tcPr>
            <w:tcW w:w="803" w:type="dxa"/>
            <w:noWrap/>
            <w:vAlign w:val="center"/>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bCs w:val="0"/>
                <w:color w:val="000000"/>
                <w:sz w:val="20"/>
                <w:szCs w:val="20"/>
                <w:lang w:eastAsia="lv-LV"/>
              </w:rPr>
              <w:t>2018</w:t>
            </w:r>
          </w:p>
        </w:tc>
        <w:tc>
          <w:tcPr>
            <w:tcW w:w="803" w:type="dxa"/>
            <w:noWrap/>
            <w:vAlign w:val="center"/>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bCs w:val="0"/>
                <w:color w:val="000000"/>
                <w:sz w:val="20"/>
                <w:szCs w:val="20"/>
                <w:lang w:eastAsia="lv-LV"/>
              </w:rPr>
              <w:t>2019</w:t>
            </w:r>
          </w:p>
        </w:tc>
        <w:tc>
          <w:tcPr>
            <w:tcW w:w="803" w:type="dxa"/>
            <w:noWrap/>
            <w:vAlign w:val="center"/>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bCs w:val="0"/>
                <w:color w:val="000000"/>
                <w:sz w:val="20"/>
                <w:szCs w:val="20"/>
                <w:lang w:eastAsia="lv-LV"/>
              </w:rPr>
              <w:t>2020</w:t>
            </w:r>
          </w:p>
        </w:tc>
        <w:tc>
          <w:tcPr>
            <w:tcW w:w="803" w:type="dxa"/>
            <w:noWrap/>
            <w:vAlign w:val="center"/>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Cs w:val="0"/>
                <w:color w:val="000000"/>
                <w:sz w:val="20"/>
                <w:szCs w:val="20"/>
                <w:lang w:eastAsia="lv-LV"/>
              </w:rPr>
              <w:t>2021</w:t>
            </w:r>
          </w:p>
        </w:tc>
        <w:tc>
          <w:tcPr>
            <w:tcW w:w="804" w:type="dxa"/>
            <w:noWrap/>
            <w:vAlign w:val="center"/>
          </w:tcPr>
          <w:p w:rsidR="005C4806" w:rsidRPr="006D1A8A"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Cs w:val="0"/>
                <w:color w:val="000000"/>
                <w:sz w:val="20"/>
                <w:szCs w:val="20"/>
                <w:lang w:eastAsia="lv-LV"/>
              </w:rPr>
              <w:t>2022</w:t>
            </w:r>
          </w:p>
        </w:tc>
      </w:tr>
      <w:tr w:rsidR="005C4806" w:rsidRPr="006D1A8A" w:rsidTr="00E43D36">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EEAF6"/>
            <w:vAlign w:val="center"/>
            <w:hideMark/>
          </w:tcPr>
          <w:p w:rsidR="005C4806" w:rsidRPr="006D1A8A" w:rsidRDefault="005C4806" w:rsidP="00792B82">
            <w:pPr>
              <w:autoSpaceDE w:val="0"/>
              <w:autoSpaceDN w:val="0"/>
              <w:adjustRightInd w:val="0"/>
              <w:spacing w:line="259" w:lineRule="auto"/>
              <w:jc w:val="both"/>
              <w:rPr>
                <w:rFonts w:ascii="Times New Roman" w:eastAsia="Times New Roman" w:hAnsi="Times New Roman" w:cs="Times New Roman"/>
                <w:b w:val="0"/>
                <w:bCs w:val="0"/>
                <w:color w:val="000000"/>
                <w:sz w:val="20"/>
                <w:szCs w:val="20"/>
                <w:lang w:eastAsia="lv-LV"/>
              </w:rPr>
            </w:pPr>
          </w:p>
        </w:tc>
        <w:tc>
          <w:tcPr>
            <w:tcW w:w="998" w:type="dxa"/>
            <w:vMerge/>
            <w:shd w:val="clear" w:color="auto" w:fill="DEEAF6"/>
            <w:vAlign w:val="center"/>
            <w:hideMark/>
          </w:tcPr>
          <w:p w:rsidR="005C4806" w:rsidRPr="006D1A8A" w:rsidRDefault="005C4806" w:rsidP="00792B82">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03" w:type="dxa"/>
            <w:noWrap/>
            <w:vAlign w:val="center"/>
            <w:hideMark/>
          </w:tcPr>
          <w:p w:rsidR="005C4806" w:rsidRPr="006D1A8A" w:rsidRDefault="005C4806" w:rsidP="00792B82">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 xml:space="preserve">milj. </w:t>
            </w:r>
            <w:proofErr w:type="spellStart"/>
            <w:r w:rsidRPr="006D1A8A">
              <w:rPr>
                <w:rFonts w:ascii="Times New Roman" w:eastAsia="Times New Roman" w:hAnsi="Times New Roman" w:cs="Times New Roman"/>
                <w:i/>
                <w:iCs/>
                <w:color w:val="000000"/>
                <w:sz w:val="20"/>
                <w:szCs w:val="20"/>
                <w:lang w:eastAsia="lv-LV"/>
              </w:rPr>
              <w:t>euro</w:t>
            </w:r>
            <w:proofErr w:type="spellEnd"/>
          </w:p>
        </w:tc>
        <w:tc>
          <w:tcPr>
            <w:tcW w:w="4016" w:type="dxa"/>
            <w:gridSpan w:val="5"/>
            <w:vAlign w:val="center"/>
          </w:tcPr>
          <w:p w:rsidR="005C4806" w:rsidRPr="006D1A8A" w:rsidRDefault="005C4806" w:rsidP="00792B82">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Pieaugums %</w:t>
            </w:r>
          </w:p>
        </w:tc>
      </w:tr>
      <w:tr w:rsidR="00072903" w:rsidRPr="006D1A8A" w:rsidTr="00792B82">
        <w:trPr>
          <w:trHeight w:val="16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1. IKP 2010.gada cenās</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B1*g</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23 860</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4,8</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3,2</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3,0</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2,9</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2,9</w:t>
            </w:r>
          </w:p>
        </w:tc>
      </w:tr>
      <w:tr w:rsidR="00072903" w:rsidRPr="006D1A8A" w:rsidTr="00792B82">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2. IKP faktiskajās cenās</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B1*g</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29 424</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8,8</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6,4</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5,9</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5,5</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5,5</w:t>
            </w:r>
          </w:p>
        </w:tc>
      </w:tr>
      <w:tr w:rsidR="00072903" w:rsidRPr="006D1A8A" w:rsidTr="00792B82">
        <w:trPr>
          <w:trHeight w:val="118"/>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rsidR="00072903" w:rsidRPr="006D1A8A" w:rsidRDefault="00072903" w:rsidP="00072903">
            <w:pPr>
              <w:autoSpaceDE w:val="0"/>
              <w:autoSpaceDN w:val="0"/>
              <w:adjustRightInd w:val="0"/>
              <w:spacing w:line="259" w:lineRule="auto"/>
              <w:jc w:val="center"/>
              <w:rPr>
                <w:rFonts w:ascii="Times New Roman" w:eastAsia="Times New Roman" w:hAnsi="Times New Roman" w:cs="Times New Roman"/>
                <w:b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IKP pēc izlietojuma 2010.gada cenās</w:t>
            </w:r>
          </w:p>
        </w:tc>
      </w:tr>
      <w:tr w:rsidR="00072903" w:rsidRPr="006D1A8A" w:rsidTr="001671E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3. Privātais patēriņš</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P3</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14 660</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4,6</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4,3</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3,6</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3,6</w:t>
            </w:r>
          </w:p>
        </w:tc>
        <w:tc>
          <w:tcPr>
            <w:tcW w:w="804"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3,6</w:t>
            </w:r>
          </w:p>
        </w:tc>
      </w:tr>
      <w:tr w:rsidR="00072903" w:rsidRPr="006D1A8A" w:rsidTr="001671E3">
        <w:trPr>
          <w:trHeight w:val="20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4. Sabiedriskais patēriņš</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P3</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4 039</w:t>
            </w:r>
          </w:p>
        </w:tc>
        <w:tc>
          <w:tcPr>
            <w:tcW w:w="803" w:type="dxa"/>
            <w:noWrap/>
            <w:hideMark/>
          </w:tcPr>
          <w:p w:rsidR="00072903" w:rsidRPr="003F5DD1"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4,0</w:t>
            </w:r>
          </w:p>
        </w:tc>
        <w:tc>
          <w:tcPr>
            <w:tcW w:w="803" w:type="dxa"/>
            <w:noWrap/>
            <w:hideMark/>
          </w:tcPr>
          <w:p w:rsidR="00072903" w:rsidRPr="003F5DD1"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3,6</w:t>
            </w:r>
          </w:p>
        </w:tc>
        <w:tc>
          <w:tcPr>
            <w:tcW w:w="803" w:type="dxa"/>
            <w:noWrap/>
            <w:hideMark/>
          </w:tcPr>
          <w:p w:rsidR="00072903" w:rsidRPr="003F5DD1"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3,0</w:t>
            </w:r>
          </w:p>
        </w:tc>
        <w:tc>
          <w:tcPr>
            <w:tcW w:w="803" w:type="dxa"/>
            <w:noWrap/>
            <w:hideMark/>
          </w:tcPr>
          <w:p w:rsidR="00072903" w:rsidRPr="003F5DD1"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3,0</w:t>
            </w:r>
          </w:p>
        </w:tc>
        <w:tc>
          <w:tcPr>
            <w:tcW w:w="804" w:type="dxa"/>
            <w:noWrap/>
            <w:hideMark/>
          </w:tcPr>
          <w:p w:rsidR="00072903" w:rsidRPr="003F5DD1"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3,0</w:t>
            </w:r>
          </w:p>
        </w:tc>
      </w:tr>
      <w:tr w:rsidR="00072903" w:rsidRPr="006D1A8A" w:rsidTr="001671E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5. Kopējā pamatkapitāla veidošana</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P51</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5 559</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16,2</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7,7</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6,0</w:t>
            </w:r>
          </w:p>
        </w:tc>
        <w:tc>
          <w:tcPr>
            <w:tcW w:w="803"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6,0</w:t>
            </w:r>
          </w:p>
        </w:tc>
        <w:tc>
          <w:tcPr>
            <w:tcW w:w="804" w:type="dxa"/>
            <w:noWrap/>
            <w:hideMark/>
          </w:tcPr>
          <w:p w:rsidR="00072903" w:rsidRPr="003F5DD1"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F5DD1">
              <w:rPr>
                <w:rFonts w:ascii="Times New Roman" w:eastAsia="Times New Roman" w:hAnsi="Times New Roman" w:cs="Times New Roman"/>
                <w:color w:val="000000"/>
                <w:sz w:val="20"/>
                <w:szCs w:val="20"/>
                <w:lang w:eastAsia="lv-LV"/>
              </w:rPr>
              <w:t>6,0</w:t>
            </w:r>
          </w:p>
        </w:tc>
      </w:tr>
      <w:tr w:rsidR="00072903" w:rsidRPr="006D1A8A" w:rsidTr="00792B82">
        <w:trPr>
          <w:trHeight w:val="24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6. Krājumu pārmaiņas un vērtslietu iegāde</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P52+P53</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758</w:t>
            </w:r>
          </w:p>
        </w:tc>
        <w:tc>
          <w:tcPr>
            <w:tcW w:w="803" w:type="dxa"/>
            <w:noWrap/>
            <w:vAlign w:val="center"/>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w:t>
            </w:r>
          </w:p>
        </w:tc>
        <w:tc>
          <w:tcPr>
            <w:tcW w:w="803" w:type="dxa"/>
            <w:noWrap/>
            <w:vAlign w:val="center"/>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w:t>
            </w:r>
          </w:p>
        </w:tc>
        <w:tc>
          <w:tcPr>
            <w:tcW w:w="803" w:type="dxa"/>
            <w:noWrap/>
            <w:vAlign w:val="center"/>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w:t>
            </w:r>
          </w:p>
        </w:tc>
        <w:tc>
          <w:tcPr>
            <w:tcW w:w="803" w:type="dxa"/>
            <w:noWrap/>
            <w:vAlign w:val="center"/>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w:t>
            </w:r>
          </w:p>
        </w:tc>
        <w:tc>
          <w:tcPr>
            <w:tcW w:w="804" w:type="dxa"/>
            <w:noWrap/>
            <w:vAlign w:val="center"/>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w:t>
            </w:r>
          </w:p>
        </w:tc>
      </w:tr>
      <w:tr w:rsidR="00072903" w:rsidRPr="006D1A8A" w:rsidTr="00792B8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7. Eksports</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P6</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14 863</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2,5</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3,2</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4,1</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4,0</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3,9</w:t>
            </w:r>
          </w:p>
        </w:tc>
      </w:tr>
      <w:tr w:rsidR="00072903" w:rsidRPr="006D1A8A" w:rsidTr="00792B82">
        <w:trPr>
          <w:trHeight w:val="201"/>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8. Imports</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P7</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16 019</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6,8</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5,7</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5,2</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5,0</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4,9</w:t>
            </w:r>
          </w:p>
        </w:tc>
      </w:tr>
      <w:tr w:rsidR="00072903" w:rsidRPr="006D1A8A" w:rsidTr="00792B8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rsidR="00072903" w:rsidRPr="006D1A8A" w:rsidRDefault="00072903" w:rsidP="00072903">
            <w:pPr>
              <w:autoSpaceDE w:val="0"/>
              <w:autoSpaceDN w:val="0"/>
              <w:adjustRightInd w:val="0"/>
              <w:spacing w:line="259" w:lineRule="auto"/>
              <w:jc w:val="center"/>
              <w:rPr>
                <w:rFonts w:ascii="Times New Roman" w:eastAsia="Times New Roman" w:hAnsi="Times New Roman" w:cs="Times New Roman"/>
                <w:b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Ieguldījums IKP izaugsmē</w:t>
            </w:r>
          </w:p>
        </w:tc>
      </w:tr>
      <w:tr w:rsidR="00072903" w:rsidRPr="006D1A8A" w:rsidTr="00792B82">
        <w:trPr>
          <w:trHeight w:val="14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9. Kopējais iekšzemes pieprasījums</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6,9</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5,0</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4,2</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4,0</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4,1</w:t>
            </w:r>
          </w:p>
        </w:tc>
      </w:tr>
      <w:tr w:rsidR="00072903" w:rsidRPr="006D1A8A" w:rsidTr="00792B82">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 xml:space="preserve">10. Krājumu pārmaiņas un vērtslietu iegāde </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P52+P53</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0,7</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0,0</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-0,2</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-0,2</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-0,2</w:t>
            </w:r>
          </w:p>
        </w:tc>
      </w:tr>
      <w:tr w:rsidR="00072903" w:rsidRPr="006D1A8A" w:rsidTr="00792B82">
        <w:trPr>
          <w:trHeight w:val="34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072903" w:rsidRPr="006D1A8A" w:rsidRDefault="00072903" w:rsidP="00072903">
            <w:pPr>
              <w:autoSpaceDE w:val="0"/>
              <w:autoSpaceDN w:val="0"/>
              <w:adjustRightInd w:val="0"/>
              <w:spacing w:line="259" w:lineRule="auto"/>
              <w:rPr>
                <w:rFonts w:ascii="Times New Roman" w:eastAsia="Times New Roman" w:hAnsi="Times New Roman" w:cs="Times New Roman"/>
                <w:bCs w:val="0"/>
                <w:color w:val="000000"/>
                <w:sz w:val="20"/>
                <w:szCs w:val="20"/>
                <w:lang w:eastAsia="lv-LV"/>
              </w:rPr>
            </w:pPr>
            <w:r w:rsidRPr="006D1A8A">
              <w:rPr>
                <w:rFonts w:ascii="Times New Roman" w:eastAsia="Times New Roman" w:hAnsi="Times New Roman" w:cs="Times New Roman"/>
                <w:b w:val="0"/>
                <w:bCs w:val="0"/>
                <w:color w:val="000000"/>
                <w:sz w:val="20"/>
                <w:szCs w:val="20"/>
                <w:lang w:eastAsia="lv-LV"/>
              </w:rPr>
              <w:t>11. Eksporta-importa bilance</w:t>
            </w:r>
          </w:p>
        </w:tc>
        <w:tc>
          <w:tcPr>
            <w:tcW w:w="998"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B11</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-2,9</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-1,8</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-1,0</w:t>
            </w:r>
          </w:p>
        </w:tc>
        <w:tc>
          <w:tcPr>
            <w:tcW w:w="803"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-1,0</w:t>
            </w:r>
          </w:p>
        </w:tc>
        <w:tc>
          <w:tcPr>
            <w:tcW w:w="804" w:type="dxa"/>
            <w:noWrap/>
            <w:vAlign w:val="center"/>
            <w:hideMark/>
          </w:tcPr>
          <w:p w:rsidR="00072903" w:rsidRPr="006D1A8A"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D1A8A">
              <w:rPr>
                <w:rFonts w:ascii="Times New Roman" w:eastAsia="Times New Roman" w:hAnsi="Times New Roman" w:cs="Times New Roman"/>
                <w:color w:val="000000"/>
                <w:sz w:val="20"/>
                <w:szCs w:val="20"/>
                <w:lang w:eastAsia="lv-LV"/>
              </w:rPr>
              <w:t>-1,0</w:t>
            </w:r>
          </w:p>
        </w:tc>
      </w:tr>
    </w:tbl>
    <w:p w:rsidR="005C4806" w:rsidRDefault="005C4806" w:rsidP="005C4806">
      <w:pPr>
        <w:pStyle w:val="T"/>
        <w:spacing w:after="0"/>
        <w:ind w:left="0"/>
        <w:rPr>
          <w:rFonts w:ascii="Times New Roman" w:hAnsi="Times New Roman"/>
          <w:color w:val="000000"/>
        </w:rPr>
      </w:pPr>
    </w:p>
    <w:p w:rsidR="005C4806" w:rsidRDefault="005C4806" w:rsidP="005C4806">
      <w:pPr>
        <w:pStyle w:val="T"/>
        <w:spacing w:after="0"/>
        <w:ind w:left="0"/>
        <w:rPr>
          <w:rFonts w:ascii="Times New Roman" w:hAnsi="Times New Roman"/>
          <w:color w:val="000000"/>
        </w:rPr>
      </w:pPr>
      <w:r w:rsidRPr="008A3375">
        <w:rPr>
          <w:rFonts w:ascii="Times New Roman" w:hAnsi="Times New Roman"/>
          <w:color w:val="000000"/>
        </w:rPr>
        <w:t>1b.tabula. Patēriņa cenu izmaiņas</w:t>
      </w:r>
    </w:p>
    <w:tbl>
      <w:tblPr>
        <w:tblStyle w:val="GridTable6Colorful-Accent11"/>
        <w:tblW w:w="9151" w:type="dxa"/>
        <w:jc w:val="center"/>
        <w:tblLayout w:type="fixed"/>
        <w:tblLook w:val="04A0" w:firstRow="1" w:lastRow="0" w:firstColumn="1" w:lastColumn="0" w:noHBand="0" w:noVBand="1"/>
      </w:tblPr>
      <w:tblGrid>
        <w:gridCol w:w="3285"/>
        <w:gridCol w:w="1114"/>
        <w:gridCol w:w="850"/>
        <w:gridCol w:w="780"/>
        <w:gridCol w:w="780"/>
        <w:gridCol w:w="781"/>
        <w:gridCol w:w="780"/>
        <w:gridCol w:w="781"/>
      </w:tblGrid>
      <w:tr w:rsidR="005C4806" w:rsidRPr="008A3375" w:rsidTr="00DB1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rsidR="005C4806" w:rsidRPr="008A3375" w:rsidRDefault="005C4806" w:rsidP="00792B82">
            <w:pPr>
              <w:spacing w:line="256" w:lineRule="auto"/>
              <w:rPr>
                <w:rFonts w:ascii="Times New Roman" w:eastAsia="Times New Roman" w:hAnsi="Times New Roman" w:cs="Times New Roman"/>
                <w:color w:val="auto"/>
                <w:sz w:val="20"/>
                <w:szCs w:val="20"/>
              </w:rPr>
            </w:pPr>
          </w:p>
        </w:tc>
        <w:tc>
          <w:tcPr>
            <w:tcW w:w="1114" w:type="dxa"/>
            <w:vAlign w:val="center"/>
            <w:hideMark/>
          </w:tcPr>
          <w:p w:rsidR="005C4806" w:rsidRPr="008A3375" w:rsidRDefault="005C4806" w:rsidP="00792B82">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EKS</w:t>
            </w:r>
          </w:p>
          <w:p w:rsidR="005C4806" w:rsidRPr="008A3375" w:rsidRDefault="005C4806" w:rsidP="00792B82">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Kods</w:t>
            </w:r>
          </w:p>
        </w:tc>
        <w:tc>
          <w:tcPr>
            <w:tcW w:w="850" w:type="dxa"/>
            <w:vAlign w:val="center"/>
            <w:hideMark/>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2018</w:t>
            </w:r>
          </w:p>
        </w:tc>
        <w:tc>
          <w:tcPr>
            <w:tcW w:w="780" w:type="dxa"/>
            <w:vAlign w:val="center"/>
            <w:hideMark/>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2018</w:t>
            </w:r>
          </w:p>
        </w:tc>
        <w:tc>
          <w:tcPr>
            <w:tcW w:w="780" w:type="dxa"/>
            <w:vAlign w:val="center"/>
            <w:hideMark/>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2019</w:t>
            </w:r>
          </w:p>
        </w:tc>
        <w:tc>
          <w:tcPr>
            <w:tcW w:w="781" w:type="dxa"/>
            <w:vAlign w:val="center"/>
            <w:hideMark/>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2020</w:t>
            </w:r>
          </w:p>
        </w:tc>
        <w:tc>
          <w:tcPr>
            <w:tcW w:w="780" w:type="dxa"/>
            <w:vAlign w:val="center"/>
            <w:hideMark/>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eastAsia="lv-LV"/>
              </w:rPr>
            </w:pPr>
            <w:r>
              <w:rPr>
                <w:rFonts w:ascii="Times New Roman" w:eastAsia="Times New Roman" w:hAnsi="Times New Roman" w:cs="Times New Roman"/>
                <w:bCs w:val="0"/>
                <w:color w:val="000000"/>
                <w:sz w:val="20"/>
                <w:szCs w:val="24"/>
                <w:lang w:eastAsia="lv-LV"/>
              </w:rPr>
              <w:t>2021</w:t>
            </w:r>
          </w:p>
        </w:tc>
        <w:tc>
          <w:tcPr>
            <w:tcW w:w="781" w:type="dxa"/>
            <w:vAlign w:val="center"/>
            <w:hideMark/>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eastAsia="lv-LV"/>
              </w:rPr>
            </w:pPr>
            <w:r>
              <w:rPr>
                <w:rFonts w:ascii="Times New Roman" w:eastAsia="Times New Roman" w:hAnsi="Times New Roman" w:cs="Times New Roman"/>
                <w:bCs w:val="0"/>
                <w:color w:val="000000"/>
                <w:sz w:val="20"/>
                <w:szCs w:val="24"/>
                <w:lang w:eastAsia="lv-LV"/>
              </w:rPr>
              <w:t>2022</w:t>
            </w:r>
          </w:p>
        </w:tc>
      </w:tr>
      <w:tr w:rsidR="005C4806" w:rsidRPr="008A3375"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rsidR="005C4806" w:rsidRPr="008A3375" w:rsidRDefault="005C4806" w:rsidP="00792B82">
            <w:pPr>
              <w:spacing w:line="256" w:lineRule="auto"/>
              <w:rPr>
                <w:rFonts w:ascii="Times New Roman" w:eastAsia="Times New Roman" w:hAnsi="Times New Roman" w:cs="Times New Roman"/>
                <w:snapToGrid w:val="0"/>
                <w:color w:val="auto"/>
                <w:sz w:val="20"/>
                <w:szCs w:val="20"/>
              </w:rPr>
            </w:pPr>
          </w:p>
        </w:tc>
        <w:tc>
          <w:tcPr>
            <w:tcW w:w="1114" w:type="dxa"/>
            <w:vAlign w:val="center"/>
          </w:tcPr>
          <w:p w:rsidR="005C4806" w:rsidRPr="008A3375" w:rsidRDefault="005C4806" w:rsidP="00792B82">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hideMark/>
          </w:tcPr>
          <w:p w:rsidR="005C4806" w:rsidRPr="008A3375" w:rsidRDefault="005C4806" w:rsidP="00792B82">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līmenis</w:t>
            </w:r>
          </w:p>
        </w:tc>
        <w:tc>
          <w:tcPr>
            <w:tcW w:w="3902" w:type="dxa"/>
            <w:gridSpan w:val="5"/>
            <w:vAlign w:val="center"/>
            <w:hideMark/>
          </w:tcPr>
          <w:p w:rsidR="005C4806" w:rsidRPr="008A3375" w:rsidRDefault="005C4806" w:rsidP="00792B82">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Pieaugums %</w:t>
            </w:r>
          </w:p>
        </w:tc>
      </w:tr>
      <w:tr w:rsidR="00072903" w:rsidRPr="008A3375" w:rsidTr="00DB1AE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1. IKP deflators</w:t>
            </w:r>
          </w:p>
        </w:tc>
        <w:tc>
          <w:tcPr>
            <w:tcW w:w="1114"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9</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1</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8</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5</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5</w:t>
            </w:r>
          </w:p>
        </w:tc>
      </w:tr>
      <w:tr w:rsidR="00072903" w:rsidRPr="008A3375"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2. Privātā patēriņa deflators</w:t>
            </w:r>
          </w:p>
        </w:tc>
        <w:tc>
          <w:tcPr>
            <w:tcW w:w="1114" w:type="dxa"/>
            <w:vAlign w:val="center"/>
          </w:tcPr>
          <w:p w:rsidR="00072903" w:rsidRPr="008A3375" w:rsidRDefault="00072903" w:rsidP="0007290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072903" w:rsidRPr="008A3375" w:rsidRDefault="00072903" w:rsidP="0007290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6</w:t>
            </w: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5</w:t>
            </w:r>
          </w:p>
        </w:tc>
        <w:tc>
          <w:tcPr>
            <w:tcW w:w="781"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2</w:t>
            </w: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1</w:t>
            </w:r>
          </w:p>
        </w:tc>
        <w:tc>
          <w:tcPr>
            <w:tcW w:w="781"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0</w:t>
            </w:r>
          </w:p>
        </w:tc>
      </w:tr>
      <w:tr w:rsidR="00072903" w:rsidRPr="008A3375" w:rsidTr="00DB1AE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 xml:space="preserve">3. </w:t>
            </w:r>
            <w:r w:rsidRPr="008A3375">
              <w:rPr>
                <w:rFonts w:ascii="Times New Roman" w:eastAsia="Times New Roman" w:hAnsi="Times New Roman" w:cs="Times New Roman"/>
                <w:b w:val="0"/>
                <w:noProof/>
                <w:color w:val="auto"/>
                <w:sz w:val="20"/>
                <w:szCs w:val="20"/>
              </w:rPr>
              <w:t>SPCI izmaiņas (gads pret gadu)</w:t>
            </w:r>
          </w:p>
        </w:tc>
        <w:tc>
          <w:tcPr>
            <w:tcW w:w="1114"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5</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5</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2</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1</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0</w:t>
            </w:r>
          </w:p>
        </w:tc>
      </w:tr>
      <w:tr w:rsidR="00072903" w:rsidRPr="008A3375"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4. Sabiedriskā patēriņa deflators</w:t>
            </w:r>
          </w:p>
        </w:tc>
        <w:tc>
          <w:tcPr>
            <w:tcW w:w="1114" w:type="dxa"/>
            <w:vAlign w:val="center"/>
          </w:tcPr>
          <w:p w:rsidR="00072903" w:rsidRPr="008A3375" w:rsidRDefault="00072903" w:rsidP="0007290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072903" w:rsidRPr="008A3375" w:rsidRDefault="00072903" w:rsidP="0007290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8</w:t>
            </w: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1</w:t>
            </w:r>
          </w:p>
        </w:tc>
        <w:tc>
          <w:tcPr>
            <w:tcW w:w="781"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6</w:t>
            </w: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3</w:t>
            </w:r>
          </w:p>
        </w:tc>
        <w:tc>
          <w:tcPr>
            <w:tcW w:w="781"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3</w:t>
            </w:r>
          </w:p>
        </w:tc>
      </w:tr>
      <w:tr w:rsidR="00072903" w:rsidRPr="008A3375" w:rsidTr="00DB1AE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5. Investīciju deflators</w:t>
            </w:r>
          </w:p>
        </w:tc>
        <w:tc>
          <w:tcPr>
            <w:tcW w:w="1114"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3</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3</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1</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9</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9</w:t>
            </w:r>
          </w:p>
        </w:tc>
      </w:tr>
      <w:tr w:rsidR="00072903" w:rsidRPr="008A3375"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6. Eksporta (preču un pakalpojumu) deflators</w:t>
            </w:r>
          </w:p>
        </w:tc>
        <w:tc>
          <w:tcPr>
            <w:tcW w:w="1114" w:type="dxa"/>
            <w:vAlign w:val="center"/>
          </w:tcPr>
          <w:p w:rsidR="00072903" w:rsidRPr="008A3375" w:rsidRDefault="00072903" w:rsidP="0007290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072903" w:rsidRPr="008A3375" w:rsidRDefault="00072903" w:rsidP="0007290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4</w:t>
            </w: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6</w:t>
            </w:r>
          </w:p>
        </w:tc>
        <w:tc>
          <w:tcPr>
            <w:tcW w:w="781"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0</w:t>
            </w:r>
          </w:p>
        </w:tc>
        <w:tc>
          <w:tcPr>
            <w:tcW w:w="780"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1</w:t>
            </w:r>
          </w:p>
        </w:tc>
        <w:tc>
          <w:tcPr>
            <w:tcW w:w="781" w:type="dxa"/>
            <w:vAlign w:val="center"/>
          </w:tcPr>
          <w:p w:rsidR="00072903" w:rsidRPr="00E776C9"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2</w:t>
            </w:r>
          </w:p>
        </w:tc>
      </w:tr>
      <w:tr w:rsidR="00072903" w:rsidRPr="008A3375" w:rsidTr="00DB1AE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072903" w:rsidRPr="008A3375" w:rsidRDefault="00072903" w:rsidP="00072903">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7. Importa (preču un pakalpojumu) deflators</w:t>
            </w:r>
          </w:p>
        </w:tc>
        <w:tc>
          <w:tcPr>
            <w:tcW w:w="1114"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072903" w:rsidRPr="008A3375" w:rsidRDefault="00072903" w:rsidP="0007290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3</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5</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0</w:t>
            </w:r>
          </w:p>
        </w:tc>
        <w:tc>
          <w:tcPr>
            <w:tcW w:w="780"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0</w:t>
            </w:r>
          </w:p>
        </w:tc>
        <w:tc>
          <w:tcPr>
            <w:tcW w:w="781" w:type="dxa"/>
            <w:vAlign w:val="center"/>
          </w:tcPr>
          <w:p w:rsidR="00072903" w:rsidRPr="00E776C9"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E776C9">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E776C9">
              <w:rPr>
                <w:rFonts w:ascii="Times New Roman" w:eastAsia="Times New Roman" w:hAnsi="Times New Roman" w:cs="Times New Roman"/>
                <w:color w:val="000000"/>
                <w:sz w:val="20"/>
                <w:szCs w:val="24"/>
                <w:lang w:eastAsia="lv-LV"/>
              </w:rPr>
              <w:t>0</w:t>
            </w:r>
          </w:p>
        </w:tc>
      </w:tr>
    </w:tbl>
    <w:p w:rsidR="005C4806" w:rsidRPr="00F51615" w:rsidRDefault="005C4806" w:rsidP="005C4806">
      <w:pPr>
        <w:spacing w:after="0" w:line="240" w:lineRule="auto"/>
        <w:rPr>
          <w:rFonts w:ascii="Times New Roman" w:hAnsi="Times New Roman" w:cs="Times New Roman"/>
          <w:b/>
          <w:color w:val="000000"/>
        </w:rPr>
      </w:pPr>
    </w:p>
    <w:p w:rsidR="005C4806" w:rsidRPr="00C81719" w:rsidRDefault="005C4806" w:rsidP="005C4806">
      <w:pPr>
        <w:spacing w:after="0" w:line="240" w:lineRule="auto"/>
        <w:rPr>
          <w:rFonts w:ascii="Times New Roman" w:hAnsi="Times New Roman" w:cs="Times New Roman"/>
          <w:b/>
          <w:color w:val="000000"/>
          <w:sz w:val="24"/>
        </w:rPr>
      </w:pPr>
      <w:r>
        <w:rPr>
          <w:rFonts w:ascii="Times New Roman" w:hAnsi="Times New Roman" w:cs="Times New Roman"/>
          <w:b/>
          <w:color w:val="000000"/>
          <w:sz w:val="24"/>
        </w:rPr>
        <w:t>1c.</w:t>
      </w:r>
      <w:r w:rsidRPr="00C81719">
        <w:rPr>
          <w:rFonts w:ascii="Times New Roman" w:hAnsi="Times New Roman" w:cs="Times New Roman"/>
          <w:b/>
          <w:color w:val="000000"/>
          <w:sz w:val="24"/>
        </w:rPr>
        <w:t>tabula. Darba tirgus attīstība</w:t>
      </w:r>
    </w:p>
    <w:tbl>
      <w:tblPr>
        <w:tblStyle w:val="GridTable6Colorful-Accent11"/>
        <w:tblW w:w="9151" w:type="dxa"/>
        <w:jc w:val="center"/>
        <w:tblLayout w:type="fixed"/>
        <w:tblLook w:val="04A0" w:firstRow="1" w:lastRow="0" w:firstColumn="1" w:lastColumn="0" w:noHBand="0" w:noVBand="1"/>
      </w:tblPr>
      <w:tblGrid>
        <w:gridCol w:w="3182"/>
        <w:gridCol w:w="686"/>
        <w:gridCol w:w="1372"/>
        <w:gridCol w:w="782"/>
        <w:gridCol w:w="782"/>
        <w:gridCol w:w="782"/>
        <w:gridCol w:w="782"/>
        <w:gridCol w:w="783"/>
      </w:tblGrid>
      <w:tr w:rsidR="005C4806" w:rsidRPr="00E055A8" w:rsidTr="00DB1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5C4806" w:rsidRPr="00E055A8" w:rsidRDefault="005C4806" w:rsidP="00792B82">
            <w:pPr>
              <w:rPr>
                <w:rFonts w:ascii="Times New Roman" w:eastAsia="Times New Roman" w:hAnsi="Times New Roman" w:cs="Times New Roman"/>
                <w:color w:val="auto"/>
                <w:sz w:val="20"/>
                <w:szCs w:val="20"/>
              </w:rPr>
            </w:pPr>
          </w:p>
        </w:tc>
        <w:tc>
          <w:tcPr>
            <w:tcW w:w="686" w:type="dxa"/>
            <w:vAlign w:val="center"/>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11D34">
              <w:rPr>
                <w:rFonts w:ascii="Times New Roman" w:eastAsia="Times New Roman" w:hAnsi="Times New Roman" w:cs="Times New Roman"/>
                <w:color w:val="auto"/>
                <w:sz w:val="20"/>
                <w:szCs w:val="20"/>
              </w:rPr>
              <w:t>EKS</w:t>
            </w:r>
          </w:p>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11D34">
              <w:rPr>
                <w:rFonts w:ascii="Times New Roman" w:eastAsia="Times New Roman" w:hAnsi="Times New Roman" w:cs="Times New Roman"/>
                <w:color w:val="auto"/>
                <w:sz w:val="20"/>
                <w:szCs w:val="20"/>
              </w:rPr>
              <w:t>Kods</w:t>
            </w:r>
          </w:p>
        </w:tc>
        <w:tc>
          <w:tcPr>
            <w:tcW w:w="1372" w:type="dxa"/>
            <w:vAlign w:val="center"/>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2018</w:t>
            </w:r>
          </w:p>
        </w:tc>
        <w:tc>
          <w:tcPr>
            <w:tcW w:w="782" w:type="dxa"/>
            <w:vAlign w:val="center"/>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2018</w:t>
            </w:r>
          </w:p>
        </w:tc>
        <w:tc>
          <w:tcPr>
            <w:tcW w:w="782" w:type="dxa"/>
            <w:vAlign w:val="center"/>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2019</w:t>
            </w:r>
          </w:p>
        </w:tc>
        <w:tc>
          <w:tcPr>
            <w:tcW w:w="782" w:type="dxa"/>
            <w:vAlign w:val="center"/>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bCs w:val="0"/>
                <w:color w:val="000000"/>
                <w:sz w:val="20"/>
                <w:szCs w:val="24"/>
                <w:lang w:eastAsia="lv-LV"/>
              </w:rPr>
              <w:t>2020</w:t>
            </w:r>
          </w:p>
        </w:tc>
        <w:tc>
          <w:tcPr>
            <w:tcW w:w="782" w:type="dxa"/>
            <w:vAlign w:val="center"/>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eastAsia="lv-LV"/>
              </w:rPr>
            </w:pPr>
            <w:r>
              <w:rPr>
                <w:rFonts w:ascii="Times New Roman" w:eastAsia="Times New Roman" w:hAnsi="Times New Roman" w:cs="Times New Roman"/>
                <w:bCs w:val="0"/>
                <w:color w:val="000000"/>
                <w:sz w:val="20"/>
                <w:szCs w:val="24"/>
                <w:lang w:eastAsia="lv-LV"/>
              </w:rPr>
              <w:t>2021</w:t>
            </w:r>
          </w:p>
        </w:tc>
        <w:tc>
          <w:tcPr>
            <w:tcW w:w="783" w:type="dxa"/>
            <w:vAlign w:val="center"/>
          </w:tcPr>
          <w:p w:rsidR="005C4806" w:rsidRPr="00B20730" w:rsidRDefault="005C4806" w:rsidP="00792B82">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eastAsia="lv-LV"/>
              </w:rPr>
            </w:pPr>
            <w:r>
              <w:rPr>
                <w:rFonts w:ascii="Times New Roman" w:eastAsia="Times New Roman" w:hAnsi="Times New Roman" w:cs="Times New Roman"/>
                <w:bCs w:val="0"/>
                <w:color w:val="000000"/>
                <w:sz w:val="20"/>
                <w:szCs w:val="24"/>
                <w:lang w:eastAsia="lv-LV"/>
              </w:rPr>
              <w:t>2022</w:t>
            </w:r>
          </w:p>
        </w:tc>
      </w:tr>
      <w:tr w:rsidR="005C4806" w:rsidRPr="00E055A8"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5C4806" w:rsidRPr="00E055A8" w:rsidRDefault="005C4806" w:rsidP="00792B82">
            <w:pPr>
              <w:jc w:val="center"/>
              <w:rPr>
                <w:rFonts w:ascii="Times New Roman" w:eastAsia="Times New Roman" w:hAnsi="Times New Roman" w:cs="Times New Roman"/>
                <w:sz w:val="20"/>
                <w:szCs w:val="20"/>
              </w:rPr>
            </w:pPr>
          </w:p>
        </w:tc>
        <w:tc>
          <w:tcPr>
            <w:tcW w:w="686" w:type="dxa"/>
            <w:vAlign w:val="center"/>
          </w:tcPr>
          <w:p w:rsidR="005C4806" w:rsidRPr="00E055A8"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72" w:type="dxa"/>
            <w:vAlign w:val="center"/>
          </w:tcPr>
          <w:p w:rsidR="005C4806" w:rsidRPr="00E055A8"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E055A8">
              <w:rPr>
                <w:rFonts w:ascii="Times New Roman" w:eastAsia="Times New Roman" w:hAnsi="Times New Roman" w:cs="Times New Roman"/>
                <w:color w:val="auto"/>
                <w:sz w:val="20"/>
                <w:szCs w:val="20"/>
              </w:rPr>
              <w:t>Līmenis</w:t>
            </w:r>
          </w:p>
        </w:tc>
        <w:tc>
          <w:tcPr>
            <w:tcW w:w="3911" w:type="dxa"/>
            <w:gridSpan w:val="5"/>
            <w:vAlign w:val="center"/>
          </w:tcPr>
          <w:p w:rsidR="005C4806" w:rsidRPr="00E055A8"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E055A8">
              <w:rPr>
                <w:rFonts w:ascii="Times New Roman" w:eastAsia="Times New Roman" w:hAnsi="Times New Roman" w:cs="Times New Roman"/>
                <w:color w:val="auto"/>
                <w:sz w:val="20"/>
                <w:szCs w:val="20"/>
              </w:rPr>
              <w:t>Pieaugums %</w:t>
            </w:r>
          </w:p>
        </w:tc>
      </w:tr>
      <w:tr w:rsidR="00072903" w:rsidRPr="00376EA0" w:rsidTr="00DB1AEB">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1. Nodarbinātība, cilvēki, tūkst</w:t>
            </w:r>
          </w:p>
        </w:tc>
        <w:tc>
          <w:tcPr>
            <w:tcW w:w="686" w:type="dxa"/>
            <w:vAlign w:val="center"/>
          </w:tcPr>
          <w:p w:rsidR="00072903" w:rsidRPr="00E055A8" w:rsidRDefault="00072903" w:rsidP="0007290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909</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6</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5</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1</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1</w:t>
            </w:r>
          </w:p>
        </w:tc>
        <w:tc>
          <w:tcPr>
            <w:tcW w:w="783"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1</w:t>
            </w:r>
          </w:p>
        </w:tc>
      </w:tr>
      <w:tr w:rsidR="00072903" w:rsidRPr="00376EA0"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2. Nodarbinātība, darba stundas</w:t>
            </w:r>
            <w:r>
              <w:rPr>
                <w:rFonts w:ascii="Times New Roman" w:eastAsia="Times New Roman" w:hAnsi="Times New Roman" w:cs="Times New Roman"/>
                <w:b w:val="0"/>
                <w:snapToGrid w:val="0"/>
                <w:color w:val="auto"/>
                <w:sz w:val="20"/>
                <w:szCs w:val="20"/>
              </w:rPr>
              <w:t xml:space="preserve"> uz vienu nodarbināto</w:t>
            </w:r>
          </w:p>
        </w:tc>
        <w:tc>
          <w:tcPr>
            <w:tcW w:w="686" w:type="dxa"/>
            <w:vAlign w:val="center"/>
          </w:tcPr>
          <w:p w:rsidR="00072903" w:rsidRPr="00E055A8" w:rsidRDefault="00072903" w:rsidP="0007290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 </w:t>
            </w:r>
            <w:r>
              <w:rPr>
                <w:rFonts w:ascii="Times New Roman" w:eastAsia="Times New Roman" w:hAnsi="Times New Roman" w:cs="Times New Roman"/>
                <w:color w:val="000000"/>
                <w:sz w:val="20"/>
                <w:szCs w:val="24"/>
                <w:lang w:eastAsia="lv-LV"/>
              </w:rPr>
              <w:t>1608,8</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 </w:t>
            </w:r>
            <w:r>
              <w:rPr>
                <w:rFonts w:ascii="Times New Roman" w:eastAsia="Times New Roman" w:hAnsi="Times New Roman" w:cs="Times New Roman"/>
                <w:color w:val="000000"/>
                <w:sz w:val="20"/>
                <w:szCs w:val="24"/>
                <w:lang w:eastAsia="lv-LV"/>
              </w:rPr>
              <w:t>-4,7</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,0</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0,0</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0,0</w:t>
            </w:r>
          </w:p>
        </w:tc>
        <w:tc>
          <w:tcPr>
            <w:tcW w:w="783"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0,0</w:t>
            </w:r>
          </w:p>
        </w:tc>
      </w:tr>
      <w:tr w:rsidR="00072903" w:rsidRPr="00376EA0" w:rsidTr="00DB1AEB">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3. Bezdarba līmenis (%)</w:t>
            </w:r>
          </w:p>
        </w:tc>
        <w:tc>
          <w:tcPr>
            <w:tcW w:w="686" w:type="dxa"/>
            <w:vAlign w:val="center"/>
          </w:tcPr>
          <w:p w:rsidR="00072903" w:rsidRPr="00E055A8" w:rsidRDefault="00072903" w:rsidP="0007290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 </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7</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4</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7</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0</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5</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3</w:t>
            </w:r>
          </w:p>
        </w:tc>
        <w:tc>
          <w:tcPr>
            <w:tcW w:w="783"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6</w:t>
            </w:r>
          </w:p>
        </w:tc>
      </w:tr>
      <w:tr w:rsidR="00072903" w:rsidRPr="00376EA0"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4. Darba ražīgums, uz nodarbināto</w:t>
            </w:r>
          </w:p>
        </w:tc>
        <w:tc>
          <w:tcPr>
            <w:tcW w:w="686" w:type="dxa"/>
            <w:vAlign w:val="center"/>
          </w:tcPr>
          <w:p w:rsidR="00072903" w:rsidRPr="00E055A8" w:rsidRDefault="00072903" w:rsidP="0007290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bottom"/>
          </w:tcPr>
          <w:p w:rsidR="00072903" w:rsidRDefault="00072903" w:rsidP="00072903">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hAnsi="Garamond"/>
                <w:color w:val="000000"/>
              </w:rPr>
            </w:pPr>
          </w:p>
        </w:tc>
        <w:tc>
          <w:tcPr>
            <w:tcW w:w="782" w:type="dxa"/>
            <w:vAlign w:val="bottom"/>
          </w:tcPr>
          <w:p w:rsidR="00072903" w:rsidRPr="00956154"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2,9</w:t>
            </w:r>
          </w:p>
        </w:tc>
        <w:tc>
          <w:tcPr>
            <w:tcW w:w="782" w:type="dxa"/>
            <w:vAlign w:val="bottom"/>
          </w:tcPr>
          <w:p w:rsidR="00072903" w:rsidRPr="00956154"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2,7</w:t>
            </w:r>
          </w:p>
        </w:tc>
        <w:tc>
          <w:tcPr>
            <w:tcW w:w="782" w:type="dxa"/>
            <w:vAlign w:val="bottom"/>
          </w:tcPr>
          <w:p w:rsidR="00072903" w:rsidRPr="00956154"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2,9</w:t>
            </w:r>
          </w:p>
        </w:tc>
        <w:tc>
          <w:tcPr>
            <w:tcW w:w="782" w:type="dxa"/>
            <w:vAlign w:val="bottom"/>
          </w:tcPr>
          <w:p w:rsidR="00072903" w:rsidRPr="00956154"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3,0</w:t>
            </w:r>
          </w:p>
        </w:tc>
        <w:tc>
          <w:tcPr>
            <w:tcW w:w="783" w:type="dxa"/>
            <w:vAlign w:val="bottom"/>
          </w:tcPr>
          <w:p w:rsidR="00072903" w:rsidRPr="00956154"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3,0</w:t>
            </w:r>
          </w:p>
        </w:tc>
      </w:tr>
      <w:tr w:rsidR="00072903" w:rsidRPr="00376EA0" w:rsidTr="00DB1AEB">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5. Darba ražīgums, uz darba stundu</w:t>
            </w:r>
          </w:p>
        </w:tc>
        <w:tc>
          <w:tcPr>
            <w:tcW w:w="686" w:type="dxa"/>
            <w:vAlign w:val="center"/>
          </w:tcPr>
          <w:p w:rsidR="00072903" w:rsidRPr="00E055A8" w:rsidRDefault="00072903" w:rsidP="0007290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 </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 </w:t>
            </w:r>
            <w:r>
              <w:rPr>
                <w:rFonts w:ascii="Times New Roman" w:eastAsia="Times New Roman" w:hAnsi="Times New Roman" w:cs="Times New Roman"/>
                <w:color w:val="000000"/>
                <w:sz w:val="20"/>
                <w:szCs w:val="24"/>
                <w:lang w:eastAsia="lv-LV"/>
              </w:rPr>
              <w:t>6,9</w:t>
            </w:r>
          </w:p>
        </w:tc>
        <w:tc>
          <w:tcPr>
            <w:tcW w:w="782" w:type="dxa"/>
            <w:vAlign w:val="bottom"/>
          </w:tcPr>
          <w:p w:rsidR="00072903" w:rsidRPr="00956154"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2,7</w:t>
            </w:r>
          </w:p>
        </w:tc>
        <w:tc>
          <w:tcPr>
            <w:tcW w:w="782" w:type="dxa"/>
            <w:vAlign w:val="bottom"/>
          </w:tcPr>
          <w:p w:rsidR="00072903" w:rsidRPr="00956154"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2,9</w:t>
            </w:r>
          </w:p>
        </w:tc>
        <w:tc>
          <w:tcPr>
            <w:tcW w:w="782" w:type="dxa"/>
            <w:vAlign w:val="bottom"/>
          </w:tcPr>
          <w:p w:rsidR="00072903" w:rsidRPr="00956154"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3,0</w:t>
            </w:r>
          </w:p>
        </w:tc>
        <w:tc>
          <w:tcPr>
            <w:tcW w:w="783" w:type="dxa"/>
            <w:vAlign w:val="bottom"/>
          </w:tcPr>
          <w:p w:rsidR="00072903" w:rsidRPr="00956154"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56154">
              <w:rPr>
                <w:rFonts w:ascii="Times New Roman" w:eastAsia="Times New Roman" w:hAnsi="Times New Roman" w:cs="Times New Roman"/>
                <w:color w:val="000000"/>
                <w:sz w:val="20"/>
                <w:szCs w:val="24"/>
                <w:lang w:eastAsia="lv-LV"/>
              </w:rPr>
              <w:t>3,0</w:t>
            </w:r>
          </w:p>
        </w:tc>
      </w:tr>
      <w:tr w:rsidR="00072903" w:rsidRPr="00376EA0" w:rsidTr="00DB1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 xml:space="preserve">6. Atlīdzība nodarbinātajiem, milj. </w:t>
            </w:r>
            <w:proofErr w:type="spellStart"/>
            <w:r w:rsidRPr="00B5365D">
              <w:rPr>
                <w:rFonts w:ascii="Times New Roman" w:eastAsia="Times New Roman" w:hAnsi="Times New Roman" w:cs="Times New Roman"/>
                <w:b w:val="0"/>
                <w:i/>
                <w:snapToGrid w:val="0"/>
                <w:color w:val="auto"/>
                <w:sz w:val="20"/>
                <w:szCs w:val="20"/>
              </w:rPr>
              <w:t>euro</w:t>
            </w:r>
            <w:proofErr w:type="spellEnd"/>
            <w:r w:rsidRPr="00B5365D">
              <w:rPr>
                <w:rFonts w:ascii="Times New Roman" w:eastAsia="Times New Roman" w:hAnsi="Times New Roman" w:cs="Times New Roman"/>
                <w:b w:val="0"/>
                <w:snapToGrid w:val="0"/>
                <w:color w:val="auto"/>
                <w:sz w:val="20"/>
                <w:szCs w:val="20"/>
              </w:rPr>
              <w:t>, faktiskās cenās</w:t>
            </w:r>
          </w:p>
        </w:tc>
        <w:tc>
          <w:tcPr>
            <w:tcW w:w="686" w:type="dxa"/>
            <w:vAlign w:val="center"/>
          </w:tcPr>
          <w:p w:rsidR="00072903" w:rsidRPr="00E055A8" w:rsidRDefault="00072903" w:rsidP="0007290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D.1</w:t>
            </w:r>
          </w:p>
        </w:tc>
        <w:tc>
          <w:tcPr>
            <w:tcW w:w="1372" w:type="dxa"/>
            <w:vAlign w:val="center"/>
          </w:tcPr>
          <w:p w:rsidR="00072903" w:rsidRPr="0088786A"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8786A">
              <w:rPr>
                <w:rFonts w:ascii="Times New Roman" w:eastAsia="Times New Roman" w:hAnsi="Times New Roman" w:cs="Times New Roman"/>
                <w:color w:val="000000"/>
                <w:sz w:val="20"/>
                <w:szCs w:val="24"/>
                <w:lang w:eastAsia="lv-LV"/>
              </w:rPr>
              <w:t>12</w:t>
            </w:r>
            <w:r>
              <w:rPr>
                <w:rFonts w:ascii="Times New Roman" w:eastAsia="Times New Roman" w:hAnsi="Times New Roman" w:cs="Times New Roman"/>
                <w:color w:val="000000"/>
                <w:sz w:val="20"/>
                <w:szCs w:val="24"/>
                <w:lang w:eastAsia="lv-LV"/>
              </w:rPr>
              <w:t xml:space="preserve"> </w:t>
            </w:r>
            <w:r w:rsidRPr="0088786A">
              <w:rPr>
                <w:rFonts w:ascii="Times New Roman" w:eastAsia="Times New Roman" w:hAnsi="Times New Roman" w:cs="Times New Roman"/>
                <w:color w:val="000000"/>
                <w:sz w:val="20"/>
                <w:szCs w:val="24"/>
                <w:lang w:eastAsia="lv-LV"/>
              </w:rPr>
              <w:t>584</w:t>
            </w:r>
            <w:r w:rsidRPr="00376EA0">
              <w:rPr>
                <w:rFonts w:ascii="Times New Roman" w:eastAsia="Times New Roman" w:hAnsi="Times New Roman" w:cs="Times New Roman"/>
                <w:color w:val="000000"/>
                <w:sz w:val="20"/>
                <w:szCs w:val="24"/>
                <w:lang w:eastAsia="lv-LV"/>
              </w:rPr>
              <w:t> </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10,4</w:t>
            </w:r>
            <w:r w:rsidRPr="00376EA0">
              <w:rPr>
                <w:rFonts w:ascii="Times New Roman" w:eastAsia="Times New Roman" w:hAnsi="Times New Roman" w:cs="Times New Roman"/>
                <w:color w:val="000000"/>
                <w:sz w:val="20"/>
                <w:szCs w:val="24"/>
                <w:lang w:eastAsia="lv-LV"/>
              </w:rPr>
              <w:t> </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7,0</w:t>
            </w:r>
            <w:r w:rsidRPr="00376EA0">
              <w:rPr>
                <w:rFonts w:ascii="Times New Roman" w:eastAsia="Times New Roman" w:hAnsi="Times New Roman" w:cs="Times New Roman"/>
                <w:color w:val="000000"/>
                <w:sz w:val="20"/>
                <w:szCs w:val="24"/>
                <w:lang w:eastAsia="lv-LV"/>
              </w:rPr>
              <w:t> </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 </w:t>
            </w:r>
            <w:r>
              <w:rPr>
                <w:rFonts w:ascii="Times New Roman" w:eastAsia="Times New Roman" w:hAnsi="Times New Roman" w:cs="Times New Roman"/>
                <w:color w:val="000000"/>
                <w:sz w:val="20"/>
                <w:szCs w:val="24"/>
                <w:lang w:eastAsia="lv-LV"/>
              </w:rPr>
              <w:t>5,6</w:t>
            </w:r>
          </w:p>
        </w:tc>
        <w:tc>
          <w:tcPr>
            <w:tcW w:w="782"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4,9</w:t>
            </w:r>
            <w:r w:rsidRPr="00376EA0">
              <w:rPr>
                <w:rFonts w:ascii="Times New Roman" w:eastAsia="Times New Roman" w:hAnsi="Times New Roman" w:cs="Times New Roman"/>
                <w:color w:val="000000"/>
                <w:sz w:val="20"/>
                <w:szCs w:val="24"/>
                <w:lang w:eastAsia="lv-LV"/>
              </w:rPr>
              <w:t> </w:t>
            </w:r>
          </w:p>
        </w:tc>
        <w:tc>
          <w:tcPr>
            <w:tcW w:w="783" w:type="dxa"/>
            <w:vAlign w:val="center"/>
          </w:tcPr>
          <w:p w:rsidR="00072903" w:rsidRPr="00376EA0" w:rsidRDefault="00072903" w:rsidP="00072903">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4,9</w:t>
            </w:r>
            <w:r w:rsidRPr="00376EA0">
              <w:rPr>
                <w:rFonts w:ascii="Times New Roman" w:eastAsia="Times New Roman" w:hAnsi="Times New Roman" w:cs="Times New Roman"/>
                <w:color w:val="000000"/>
                <w:sz w:val="20"/>
                <w:szCs w:val="24"/>
                <w:lang w:eastAsia="lv-LV"/>
              </w:rPr>
              <w:t> </w:t>
            </w:r>
          </w:p>
        </w:tc>
      </w:tr>
      <w:tr w:rsidR="00072903" w:rsidRPr="00376EA0" w:rsidTr="00DB1AEB">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072903" w:rsidRPr="00B5365D" w:rsidRDefault="00072903" w:rsidP="00072903">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 xml:space="preserve">7. </w:t>
            </w:r>
            <w:r>
              <w:rPr>
                <w:rFonts w:ascii="Times New Roman" w:eastAsia="Times New Roman" w:hAnsi="Times New Roman" w:cs="Times New Roman"/>
                <w:b w:val="0"/>
                <w:snapToGrid w:val="0"/>
                <w:color w:val="auto"/>
                <w:sz w:val="20"/>
                <w:szCs w:val="20"/>
              </w:rPr>
              <w:t>Bruto darba samaksa</w:t>
            </w:r>
            <w:r w:rsidRPr="00B5365D">
              <w:rPr>
                <w:rFonts w:ascii="Times New Roman" w:eastAsia="Times New Roman" w:hAnsi="Times New Roman" w:cs="Times New Roman"/>
                <w:b w:val="0"/>
                <w:snapToGrid w:val="0"/>
                <w:color w:val="auto"/>
                <w:sz w:val="20"/>
                <w:szCs w:val="20"/>
              </w:rPr>
              <w:t xml:space="preserve">, </w:t>
            </w:r>
            <w:proofErr w:type="spellStart"/>
            <w:r w:rsidRPr="00B5365D">
              <w:rPr>
                <w:rFonts w:ascii="Times New Roman" w:eastAsia="Times New Roman" w:hAnsi="Times New Roman" w:cs="Times New Roman"/>
                <w:b w:val="0"/>
                <w:i/>
                <w:snapToGrid w:val="0"/>
                <w:color w:val="auto"/>
                <w:sz w:val="20"/>
                <w:szCs w:val="20"/>
              </w:rPr>
              <w:t>euro</w:t>
            </w:r>
            <w:proofErr w:type="spellEnd"/>
          </w:p>
        </w:tc>
        <w:tc>
          <w:tcPr>
            <w:tcW w:w="686" w:type="dxa"/>
            <w:vAlign w:val="center"/>
          </w:tcPr>
          <w:p w:rsidR="00072903" w:rsidRPr="00E055A8" w:rsidRDefault="00072903" w:rsidP="0007290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1004</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8</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4</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5</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5</w:t>
            </w:r>
          </w:p>
        </w:tc>
        <w:tc>
          <w:tcPr>
            <w:tcW w:w="782"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0</w:t>
            </w:r>
          </w:p>
        </w:tc>
        <w:tc>
          <w:tcPr>
            <w:tcW w:w="783" w:type="dxa"/>
            <w:vAlign w:val="center"/>
          </w:tcPr>
          <w:p w:rsidR="00072903" w:rsidRPr="00376EA0" w:rsidRDefault="00072903" w:rsidP="00072903">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376EA0">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376EA0">
              <w:rPr>
                <w:rFonts w:ascii="Times New Roman" w:eastAsia="Times New Roman" w:hAnsi="Times New Roman" w:cs="Times New Roman"/>
                <w:color w:val="000000"/>
                <w:sz w:val="20"/>
                <w:szCs w:val="24"/>
                <w:lang w:eastAsia="lv-LV"/>
              </w:rPr>
              <w:t>0</w:t>
            </w:r>
          </w:p>
        </w:tc>
      </w:tr>
    </w:tbl>
    <w:p w:rsidR="005C4806" w:rsidRDefault="005C4806" w:rsidP="005C4806">
      <w:pPr>
        <w:pStyle w:val="T"/>
        <w:spacing w:after="0"/>
        <w:ind w:left="0"/>
        <w:rPr>
          <w:rFonts w:ascii="Times New Roman" w:hAnsi="Times New Roman"/>
          <w:color w:val="000000"/>
        </w:rPr>
      </w:pPr>
    </w:p>
    <w:p w:rsidR="005C4806" w:rsidRPr="00F51615" w:rsidRDefault="005C4806" w:rsidP="005C4806">
      <w:pPr>
        <w:pStyle w:val="T"/>
        <w:spacing w:after="0"/>
        <w:ind w:left="0"/>
        <w:rPr>
          <w:rFonts w:ascii="Times New Roman" w:hAnsi="Times New Roman"/>
          <w:color w:val="000000"/>
        </w:rPr>
      </w:pPr>
      <w:r w:rsidRPr="0009714C">
        <w:rPr>
          <w:rFonts w:ascii="Times New Roman" w:hAnsi="Times New Roman"/>
          <w:color w:val="000000"/>
        </w:rPr>
        <w:t>1d.tabula. Sektoru bilances</w:t>
      </w:r>
    </w:p>
    <w:tbl>
      <w:tblPr>
        <w:tblStyle w:val="GridTable6Colorful-Accent11"/>
        <w:tblW w:w="9543" w:type="dxa"/>
        <w:jc w:val="center"/>
        <w:tblLayout w:type="fixed"/>
        <w:tblLook w:val="04A0" w:firstRow="1" w:lastRow="0" w:firstColumn="1" w:lastColumn="0" w:noHBand="0" w:noVBand="1"/>
      </w:tblPr>
      <w:tblGrid>
        <w:gridCol w:w="4649"/>
        <w:gridCol w:w="960"/>
        <w:gridCol w:w="786"/>
        <w:gridCol w:w="787"/>
        <w:gridCol w:w="787"/>
        <w:gridCol w:w="787"/>
        <w:gridCol w:w="787"/>
      </w:tblGrid>
      <w:tr w:rsidR="005C4806" w:rsidRPr="00F11D34" w:rsidTr="00E43D3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49" w:type="dxa"/>
            <w:vMerge w:val="restart"/>
            <w:shd w:val="clear" w:color="auto" w:fill="DEEAF6"/>
            <w:vAlign w:val="center"/>
            <w:hideMark/>
          </w:tcPr>
          <w:p w:rsidR="005C4806" w:rsidRPr="00F11D34" w:rsidRDefault="005C4806" w:rsidP="00792B82">
            <w:pPr>
              <w:jc w:val="center"/>
              <w:rPr>
                <w:rFonts w:ascii="Times New Roman" w:eastAsia="Calibri" w:hAnsi="Times New Roman" w:cs="Times New Roman"/>
                <w:color w:val="000000"/>
                <w:sz w:val="20"/>
                <w:szCs w:val="20"/>
              </w:rPr>
            </w:pPr>
            <w:r w:rsidRPr="00F11D34">
              <w:rPr>
                <w:rFonts w:ascii="Times New Roman" w:eastAsia="Calibri" w:hAnsi="Times New Roman" w:cs="Times New Roman"/>
                <w:color w:val="000000"/>
                <w:sz w:val="20"/>
                <w:szCs w:val="20"/>
              </w:rPr>
              <w:t>% no IKP</w:t>
            </w:r>
          </w:p>
        </w:tc>
        <w:tc>
          <w:tcPr>
            <w:tcW w:w="960" w:type="dxa"/>
            <w:vMerge w:val="restart"/>
            <w:shd w:val="clear" w:color="auto" w:fill="DEEAF6"/>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color w:val="000000"/>
                <w:sz w:val="20"/>
                <w:szCs w:val="20"/>
              </w:rPr>
              <w:t>EKS kods</w:t>
            </w:r>
          </w:p>
        </w:tc>
        <w:tc>
          <w:tcPr>
            <w:tcW w:w="786" w:type="dxa"/>
            <w:vMerge w:val="restart"/>
            <w:shd w:val="clear" w:color="auto" w:fill="DEEAF6"/>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2018</w:t>
            </w:r>
          </w:p>
        </w:tc>
        <w:tc>
          <w:tcPr>
            <w:tcW w:w="787" w:type="dxa"/>
            <w:vMerge w:val="restart"/>
            <w:shd w:val="clear" w:color="auto" w:fill="DEEAF6"/>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2019</w:t>
            </w:r>
          </w:p>
        </w:tc>
        <w:tc>
          <w:tcPr>
            <w:tcW w:w="787" w:type="dxa"/>
            <w:vMerge w:val="restart"/>
            <w:shd w:val="clear" w:color="auto" w:fill="DEEAF6"/>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2020</w:t>
            </w:r>
          </w:p>
        </w:tc>
        <w:tc>
          <w:tcPr>
            <w:tcW w:w="787" w:type="dxa"/>
            <w:vMerge w:val="restart"/>
            <w:shd w:val="clear" w:color="auto" w:fill="DEEAF6"/>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2021</w:t>
            </w:r>
          </w:p>
        </w:tc>
        <w:tc>
          <w:tcPr>
            <w:tcW w:w="787" w:type="dxa"/>
            <w:vMerge w:val="restart"/>
            <w:shd w:val="clear" w:color="auto" w:fill="DEEAF6"/>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2022</w:t>
            </w:r>
          </w:p>
        </w:tc>
      </w:tr>
      <w:tr w:rsidR="00DB1AEB" w:rsidRPr="00F11D34" w:rsidTr="00E43D3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649" w:type="dxa"/>
            <w:vMerge/>
            <w:shd w:val="clear" w:color="auto" w:fill="DEEAF6"/>
            <w:hideMark/>
          </w:tcPr>
          <w:p w:rsidR="005C4806" w:rsidRPr="00F11D34" w:rsidRDefault="005C4806" w:rsidP="00792B82">
            <w:pPr>
              <w:rPr>
                <w:rFonts w:ascii="Times New Roman" w:eastAsia="Calibri" w:hAnsi="Times New Roman" w:cs="Times New Roman"/>
                <w:b w:val="0"/>
                <w:color w:val="000000"/>
                <w:sz w:val="20"/>
                <w:szCs w:val="20"/>
              </w:rPr>
            </w:pPr>
          </w:p>
        </w:tc>
        <w:tc>
          <w:tcPr>
            <w:tcW w:w="960" w:type="dxa"/>
            <w:vMerge/>
            <w:shd w:val="clear" w:color="auto" w:fill="DEEAF6"/>
            <w:vAlign w:val="center"/>
            <w:hideMark/>
          </w:tcPr>
          <w:p w:rsidR="005C4806" w:rsidRPr="00F11D34"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Merge/>
            <w:shd w:val="clear" w:color="auto" w:fill="DEEAF6"/>
            <w:vAlign w:val="center"/>
            <w:hideMark/>
          </w:tcPr>
          <w:p w:rsidR="005C4806" w:rsidRPr="00F11D34"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shd w:val="clear" w:color="auto" w:fill="DEEAF6"/>
            <w:vAlign w:val="center"/>
            <w:hideMark/>
          </w:tcPr>
          <w:p w:rsidR="005C4806" w:rsidRPr="00F11D34"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shd w:val="clear" w:color="auto" w:fill="DEEAF6"/>
            <w:vAlign w:val="center"/>
            <w:hideMark/>
          </w:tcPr>
          <w:p w:rsidR="005C4806" w:rsidRPr="00F11D34"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shd w:val="clear" w:color="auto" w:fill="DEEAF6"/>
            <w:vAlign w:val="center"/>
            <w:hideMark/>
          </w:tcPr>
          <w:p w:rsidR="005C4806" w:rsidRPr="00F11D34"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shd w:val="clear" w:color="auto" w:fill="DEEAF6"/>
            <w:vAlign w:val="center"/>
            <w:hideMark/>
          </w:tcPr>
          <w:p w:rsidR="005C4806" w:rsidRPr="00F11D34" w:rsidRDefault="005C4806" w:rsidP="00792B8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r>
      <w:tr w:rsidR="00072903" w:rsidRPr="00F11D34" w:rsidTr="00DB1AEB">
        <w:trPr>
          <w:trHeight w:val="207"/>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1. Tekošais un kapitāla konts</w:t>
            </w:r>
          </w:p>
        </w:tc>
        <w:tc>
          <w:tcPr>
            <w:tcW w:w="960" w:type="dxa"/>
            <w:vAlign w:val="center"/>
            <w:hideMark/>
          </w:tcPr>
          <w:p w:rsidR="00072903" w:rsidRPr="00F11D34"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B.9</w:t>
            </w:r>
          </w:p>
        </w:tc>
        <w:tc>
          <w:tcPr>
            <w:tcW w:w="786"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1</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7</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6</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-2</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1</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1</w:t>
            </w:r>
          </w:p>
        </w:tc>
      </w:tr>
      <w:tr w:rsidR="00072903" w:rsidRPr="00F11D34" w:rsidTr="00DB1AEB">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t.sk.:</w:t>
            </w:r>
          </w:p>
        </w:tc>
        <w:tc>
          <w:tcPr>
            <w:tcW w:w="960" w:type="dxa"/>
            <w:vAlign w:val="center"/>
            <w:hideMark/>
          </w:tcPr>
          <w:p w:rsidR="00072903" w:rsidRPr="00F11D34"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noWrap/>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 </w:t>
            </w:r>
          </w:p>
        </w:tc>
        <w:tc>
          <w:tcPr>
            <w:tcW w:w="787" w:type="dxa"/>
            <w:noWrap/>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 </w:t>
            </w:r>
          </w:p>
        </w:tc>
        <w:tc>
          <w:tcPr>
            <w:tcW w:w="787" w:type="dxa"/>
            <w:noWrap/>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 </w:t>
            </w:r>
          </w:p>
        </w:tc>
        <w:tc>
          <w:tcPr>
            <w:tcW w:w="787" w:type="dxa"/>
            <w:noWrap/>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 </w:t>
            </w:r>
          </w:p>
        </w:tc>
        <w:tc>
          <w:tcPr>
            <w:tcW w:w="787" w:type="dxa"/>
            <w:noWrap/>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 </w:t>
            </w:r>
          </w:p>
        </w:tc>
      </w:tr>
      <w:tr w:rsidR="00072903" w:rsidRPr="00F11D34" w:rsidTr="00DB1AEB">
        <w:trPr>
          <w:trHeight w:val="230"/>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Preču un pakalpojumu bilance</w:t>
            </w:r>
          </w:p>
        </w:tc>
        <w:tc>
          <w:tcPr>
            <w:tcW w:w="960" w:type="dxa"/>
            <w:vAlign w:val="center"/>
            <w:hideMark/>
          </w:tcPr>
          <w:p w:rsidR="00072903" w:rsidRPr="00F11D34"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2</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-2</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5</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2</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8</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-4</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4</w:t>
            </w:r>
          </w:p>
        </w:tc>
      </w:tr>
      <w:tr w:rsidR="00072903" w:rsidRPr="00F11D34" w:rsidTr="00DB1AE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Ienākumu un pārvedumu bilance</w:t>
            </w:r>
          </w:p>
        </w:tc>
        <w:tc>
          <w:tcPr>
            <w:tcW w:w="960" w:type="dxa"/>
            <w:vAlign w:val="center"/>
            <w:hideMark/>
          </w:tcPr>
          <w:p w:rsidR="00072903" w:rsidRPr="00F11D34"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5</w:t>
            </w:r>
          </w:p>
        </w:tc>
        <w:tc>
          <w:tcPr>
            <w:tcW w:w="787"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3</w:t>
            </w:r>
          </w:p>
        </w:tc>
        <w:tc>
          <w:tcPr>
            <w:tcW w:w="787"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0</w:t>
            </w:r>
          </w:p>
        </w:tc>
        <w:tc>
          <w:tcPr>
            <w:tcW w:w="787"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0</w:t>
            </w:r>
          </w:p>
        </w:tc>
        <w:tc>
          <w:tcPr>
            <w:tcW w:w="787"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3</w:t>
            </w:r>
          </w:p>
        </w:tc>
      </w:tr>
      <w:tr w:rsidR="00072903" w:rsidRPr="00F11D34" w:rsidTr="00DB1AEB">
        <w:trPr>
          <w:trHeight w:val="252"/>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Kapitāla konts</w:t>
            </w:r>
          </w:p>
        </w:tc>
        <w:tc>
          <w:tcPr>
            <w:tcW w:w="960" w:type="dxa"/>
            <w:vAlign w:val="center"/>
            <w:hideMark/>
          </w:tcPr>
          <w:p w:rsidR="00072903" w:rsidRPr="00F11D34"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7</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6</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6</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7</w:t>
            </w:r>
          </w:p>
        </w:tc>
        <w:tc>
          <w:tcPr>
            <w:tcW w:w="787"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6</w:t>
            </w:r>
          </w:p>
        </w:tc>
      </w:tr>
      <w:tr w:rsidR="00072903" w:rsidRPr="00F11D34" w:rsidTr="00DB1AE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2. Neto aizdevumi/ aizņemšanās privātajā sektorā</w:t>
            </w:r>
          </w:p>
        </w:tc>
        <w:tc>
          <w:tcPr>
            <w:tcW w:w="960" w:type="dxa"/>
            <w:vAlign w:val="center"/>
            <w:hideMark/>
          </w:tcPr>
          <w:p w:rsidR="00072903" w:rsidRPr="00F11D34"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B.9</w:t>
            </w:r>
          </w:p>
        </w:tc>
        <w:tc>
          <w:tcPr>
            <w:tcW w:w="786"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7</w:t>
            </w:r>
          </w:p>
        </w:tc>
        <w:tc>
          <w:tcPr>
            <w:tcW w:w="787" w:type="dxa"/>
            <w:vAlign w:val="center"/>
          </w:tcPr>
          <w:p w:rsidR="00072903" w:rsidRPr="006D1A8A"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6D1A8A">
              <w:rPr>
                <w:rFonts w:ascii="Times New Roman" w:eastAsia="Arial Unicode MS" w:hAnsi="Times New Roman" w:cs="Times New Roman"/>
                <w:color w:val="auto"/>
                <w:sz w:val="20"/>
              </w:rPr>
              <w:t>-0,2</w:t>
            </w:r>
          </w:p>
        </w:tc>
        <w:tc>
          <w:tcPr>
            <w:tcW w:w="787" w:type="dxa"/>
            <w:vAlign w:val="center"/>
          </w:tcPr>
          <w:p w:rsidR="00072903" w:rsidRPr="006D1A8A"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6D1A8A">
              <w:rPr>
                <w:rFonts w:ascii="Times New Roman" w:eastAsia="Arial Unicode MS" w:hAnsi="Times New Roman" w:cs="Times New Roman"/>
                <w:color w:val="auto"/>
                <w:sz w:val="20"/>
              </w:rPr>
              <w:t>-1,2</w:t>
            </w:r>
          </w:p>
        </w:tc>
        <w:tc>
          <w:tcPr>
            <w:tcW w:w="787" w:type="dxa"/>
            <w:vAlign w:val="center"/>
          </w:tcPr>
          <w:p w:rsidR="00072903" w:rsidRPr="006D1A8A"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6D1A8A">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9</w:t>
            </w:r>
          </w:p>
        </w:tc>
        <w:tc>
          <w:tcPr>
            <w:tcW w:w="787" w:type="dxa"/>
            <w:vAlign w:val="center"/>
          </w:tcPr>
          <w:p w:rsidR="00072903" w:rsidRPr="006D1A8A"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6D1A8A">
              <w:rPr>
                <w:rFonts w:ascii="Times New Roman" w:eastAsia="Arial Unicode MS" w:hAnsi="Times New Roman" w:cs="Times New Roman"/>
                <w:color w:val="auto"/>
                <w:sz w:val="20"/>
              </w:rPr>
              <w:t>-2,</w:t>
            </w:r>
            <w:r>
              <w:rPr>
                <w:rFonts w:ascii="Times New Roman" w:eastAsia="Arial Unicode MS" w:hAnsi="Times New Roman" w:cs="Times New Roman"/>
                <w:color w:val="auto"/>
                <w:sz w:val="20"/>
              </w:rPr>
              <w:t>8</w:t>
            </w:r>
          </w:p>
        </w:tc>
      </w:tr>
      <w:tr w:rsidR="00072903" w:rsidRPr="00F11D34" w:rsidTr="00DB1AEB">
        <w:trPr>
          <w:trHeight w:val="272"/>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3. Neto aizdevumi/ aizņemšanās vispārējās valdības sektorā</w:t>
            </w:r>
          </w:p>
        </w:tc>
        <w:tc>
          <w:tcPr>
            <w:tcW w:w="960" w:type="dxa"/>
            <w:vAlign w:val="center"/>
            <w:hideMark/>
          </w:tcPr>
          <w:p w:rsidR="00072903" w:rsidRPr="00F11D34"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EDP B.9</w:t>
            </w:r>
          </w:p>
        </w:tc>
        <w:tc>
          <w:tcPr>
            <w:tcW w:w="786" w:type="dxa"/>
            <w:vAlign w:val="center"/>
          </w:tcPr>
          <w:p w:rsidR="00072903" w:rsidRPr="00E776C9"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E776C9">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E776C9">
              <w:rPr>
                <w:rFonts w:ascii="Times New Roman" w:eastAsia="Arial Unicode MS" w:hAnsi="Times New Roman" w:cs="Times New Roman"/>
                <w:color w:val="auto"/>
                <w:sz w:val="20"/>
              </w:rPr>
              <w:t>7</w:t>
            </w:r>
          </w:p>
        </w:tc>
        <w:tc>
          <w:tcPr>
            <w:tcW w:w="787" w:type="dxa"/>
            <w:vAlign w:val="center"/>
          </w:tcPr>
          <w:p w:rsidR="00072903" w:rsidRPr="006D1A8A"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6D1A8A">
              <w:rPr>
                <w:rFonts w:ascii="Times New Roman" w:eastAsia="Arial Unicode MS" w:hAnsi="Times New Roman" w:cs="Times New Roman"/>
                <w:color w:val="auto"/>
                <w:sz w:val="20"/>
              </w:rPr>
              <w:t>-0,5</w:t>
            </w:r>
          </w:p>
        </w:tc>
        <w:tc>
          <w:tcPr>
            <w:tcW w:w="787" w:type="dxa"/>
            <w:vAlign w:val="center"/>
          </w:tcPr>
          <w:p w:rsidR="00072903" w:rsidRPr="006D1A8A"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rPr>
            </w:pPr>
            <w:r w:rsidRPr="006D1A8A">
              <w:rPr>
                <w:rFonts w:ascii="Times New Roman" w:hAnsi="Times New Roman"/>
                <w:color w:val="auto"/>
                <w:sz w:val="20"/>
              </w:rPr>
              <w:t>-0,</w:t>
            </w:r>
            <w:r>
              <w:rPr>
                <w:rFonts w:ascii="Times New Roman" w:hAnsi="Times New Roman"/>
                <w:color w:val="auto"/>
                <w:sz w:val="20"/>
              </w:rPr>
              <w:t>4</w:t>
            </w:r>
          </w:p>
        </w:tc>
        <w:tc>
          <w:tcPr>
            <w:tcW w:w="787" w:type="dxa"/>
            <w:vAlign w:val="center"/>
          </w:tcPr>
          <w:p w:rsidR="00072903" w:rsidRPr="006D1A8A"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rPr>
            </w:pPr>
            <w:r w:rsidRPr="006D1A8A">
              <w:rPr>
                <w:rFonts w:ascii="Times New Roman" w:hAnsi="Times New Roman"/>
                <w:color w:val="auto"/>
                <w:sz w:val="20"/>
              </w:rPr>
              <w:t>-0,</w:t>
            </w:r>
            <w:r>
              <w:rPr>
                <w:rFonts w:ascii="Times New Roman" w:hAnsi="Times New Roman"/>
                <w:color w:val="auto"/>
                <w:sz w:val="20"/>
              </w:rPr>
              <w:t>2</w:t>
            </w:r>
          </w:p>
        </w:tc>
        <w:tc>
          <w:tcPr>
            <w:tcW w:w="787" w:type="dxa"/>
            <w:vAlign w:val="center"/>
          </w:tcPr>
          <w:p w:rsidR="00072903" w:rsidRPr="006D1A8A"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rPr>
            </w:pPr>
            <w:r w:rsidRPr="006D1A8A">
              <w:rPr>
                <w:rFonts w:ascii="Times New Roman" w:hAnsi="Times New Roman"/>
                <w:color w:val="auto"/>
                <w:sz w:val="20"/>
              </w:rPr>
              <w:t>-0,</w:t>
            </w:r>
            <w:r>
              <w:rPr>
                <w:rFonts w:ascii="Times New Roman" w:hAnsi="Times New Roman"/>
                <w:color w:val="auto"/>
                <w:sz w:val="20"/>
              </w:rPr>
              <w:t>3</w:t>
            </w:r>
          </w:p>
        </w:tc>
      </w:tr>
      <w:tr w:rsidR="00072903" w:rsidRPr="00F11D34" w:rsidTr="00DB1AEB">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072903" w:rsidRPr="00F11D34" w:rsidRDefault="00072903" w:rsidP="00072903">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4. Statistiskā novirze</w:t>
            </w:r>
          </w:p>
        </w:tc>
        <w:tc>
          <w:tcPr>
            <w:tcW w:w="960" w:type="dxa"/>
            <w:vAlign w:val="center"/>
            <w:hideMark/>
          </w:tcPr>
          <w:p w:rsidR="00072903" w:rsidRPr="00F11D34"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auto"/>
                <w:sz w:val="20"/>
              </w:rPr>
            </w:pPr>
            <w:r w:rsidRPr="00E776C9">
              <w:rPr>
                <w:rFonts w:ascii="Times New Roman" w:eastAsia="Arial Unicode MS" w:hAnsi="Times New Roman" w:cs="Times New Roman"/>
                <w:i/>
                <w:color w:val="auto"/>
                <w:sz w:val="20"/>
              </w:rPr>
              <w:t>0</w:t>
            </w:r>
          </w:p>
        </w:tc>
        <w:tc>
          <w:tcPr>
            <w:tcW w:w="787" w:type="dxa"/>
            <w:vAlign w:val="center"/>
          </w:tcPr>
          <w:p w:rsidR="00072903" w:rsidRPr="00E776C9"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auto"/>
                <w:sz w:val="20"/>
              </w:rPr>
            </w:pPr>
            <w:r w:rsidRPr="00E776C9">
              <w:rPr>
                <w:rFonts w:ascii="Times New Roman" w:eastAsia="Arial Unicode MS" w:hAnsi="Times New Roman" w:cs="Times New Roman"/>
                <w:i/>
                <w:color w:val="auto"/>
                <w:sz w:val="20"/>
              </w:rPr>
              <w:t>0</w:t>
            </w:r>
          </w:p>
        </w:tc>
        <w:tc>
          <w:tcPr>
            <w:tcW w:w="787" w:type="dxa"/>
            <w:vAlign w:val="center"/>
          </w:tcPr>
          <w:p w:rsidR="00072903" w:rsidRPr="00DB1AEB"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rPr>
            </w:pPr>
            <w:r w:rsidRPr="00DB1AEB">
              <w:rPr>
                <w:rFonts w:ascii="Times New Roman" w:hAnsi="Times New Roman"/>
                <w:i/>
                <w:color w:val="auto"/>
                <w:sz w:val="20"/>
              </w:rPr>
              <w:t>0</w:t>
            </w:r>
          </w:p>
        </w:tc>
        <w:tc>
          <w:tcPr>
            <w:tcW w:w="787" w:type="dxa"/>
            <w:vAlign w:val="center"/>
          </w:tcPr>
          <w:p w:rsidR="00072903" w:rsidRPr="00DB1AEB"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rPr>
            </w:pPr>
            <w:r w:rsidRPr="00DB1AEB">
              <w:rPr>
                <w:rFonts w:ascii="Times New Roman" w:hAnsi="Times New Roman"/>
                <w:i/>
                <w:color w:val="auto"/>
                <w:sz w:val="20"/>
              </w:rPr>
              <w:t>0</w:t>
            </w:r>
          </w:p>
        </w:tc>
        <w:tc>
          <w:tcPr>
            <w:tcW w:w="787" w:type="dxa"/>
            <w:vAlign w:val="center"/>
          </w:tcPr>
          <w:p w:rsidR="00072903" w:rsidRPr="00DB1AEB"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rPr>
            </w:pPr>
            <w:r w:rsidRPr="00DB1AEB">
              <w:rPr>
                <w:rFonts w:ascii="Times New Roman" w:hAnsi="Times New Roman"/>
                <w:i/>
                <w:color w:val="auto"/>
                <w:sz w:val="20"/>
              </w:rPr>
              <w:t>0</w:t>
            </w:r>
          </w:p>
        </w:tc>
      </w:tr>
    </w:tbl>
    <w:p w:rsidR="005C4806" w:rsidRDefault="005C4806" w:rsidP="005C4806">
      <w:pPr>
        <w:spacing w:after="0"/>
        <w:rPr>
          <w:rFonts w:ascii="Times New Roman" w:hAnsi="Times New Roman" w:cs="Times New Roman"/>
          <w:b/>
          <w:color w:val="000000"/>
          <w:sz w:val="24"/>
          <w:szCs w:val="24"/>
        </w:rPr>
      </w:pPr>
    </w:p>
    <w:p w:rsidR="00094C88" w:rsidRPr="00362E0A" w:rsidRDefault="00C81719" w:rsidP="00FC55D0">
      <w:pPr>
        <w:spacing w:after="0"/>
        <w:rPr>
          <w:rFonts w:ascii="Times New Roman" w:hAnsi="Times New Roman" w:cs="Times New Roman"/>
          <w:b/>
          <w:color w:val="000000"/>
          <w:szCs w:val="24"/>
        </w:rPr>
      </w:pPr>
      <w:r w:rsidRPr="00362E0A">
        <w:rPr>
          <w:rFonts w:ascii="Times New Roman" w:hAnsi="Times New Roman" w:cs="Times New Roman"/>
          <w:b/>
          <w:color w:val="000000"/>
          <w:sz w:val="24"/>
          <w:szCs w:val="24"/>
        </w:rPr>
        <w:t>2a.</w:t>
      </w:r>
      <w:r w:rsidR="00F51615" w:rsidRPr="00362E0A">
        <w:rPr>
          <w:rFonts w:ascii="Times New Roman" w:hAnsi="Times New Roman" w:cs="Times New Roman"/>
          <w:b/>
          <w:color w:val="000000"/>
          <w:sz w:val="24"/>
          <w:szCs w:val="24"/>
        </w:rPr>
        <w:t xml:space="preserve">tabula. Vispārējās valdības budžeta attīstība </w:t>
      </w:r>
    </w:p>
    <w:tbl>
      <w:tblPr>
        <w:tblStyle w:val="GridTable6Colorful-Accent11"/>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362E0A" w:rsidRPr="00362E0A" w:rsidTr="00DB1A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p>
        </w:tc>
        <w:tc>
          <w:tcPr>
            <w:tcW w:w="1134"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EKS kods</w:t>
            </w:r>
          </w:p>
        </w:tc>
        <w:tc>
          <w:tcPr>
            <w:tcW w:w="1134"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2018*</w:t>
            </w:r>
          </w:p>
        </w:tc>
        <w:tc>
          <w:tcPr>
            <w:tcW w:w="861"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2018*</w:t>
            </w:r>
          </w:p>
        </w:tc>
        <w:tc>
          <w:tcPr>
            <w:tcW w:w="708"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2019</w:t>
            </w:r>
          </w:p>
        </w:tc>
        <w:tc>
          <w:tcPr>
            <w:tcW w:w="709"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2020</w:t>
            </w:r>
          </w:p>
        </w:tc>
        <w:tc>
          <w:tcPr>
            <w:tcW w:w="709"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2021</w:t>
            </w:r>
          </w:p>
        </w:tc>
        <w:tc>
          <w:tcPr>
            <w:tcW w:w="709"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2022</w:t>
            </w:r>
          </w:p>
        </w:tc>
      </w:tr>
      <w:tr w:rsidR="00125819" w:rsidRPr="00362E0A" w:rsidTr="00DB1AEB">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362E0A" w:rsidRDefault="00125819" w:rsidP="00125819">
            <w:pPr>
              <w:rPr>
                <w:rFonts w:ascii="Times New Roman" w:eastAsia="Times New Roman" w:hAnsi="Times New Roman" w:cs="Times New Roman"/>
                <w:b w:val="0"/>
                <w:color w:val="auto"/>
                <w:sz w:val="20"/>
                <w:szCs w:val="20"/>
                <w:lang w:eastAsia="lv-LV"/>
              </w:rPr>
            </w:pPr>
          </w:p>
        </w:tc>
        <w:tc>
          <w:tcPr>
            <w:tcW w:w="1134" w:type="dxa"/>
            <w:vAlign w:val="center"/>
            <w:hideMark/>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hideMark/>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 xml:space="preserve">milj. </w:t>
            </w:r>
            <w:proofErr w:type="spellStart"/>
            <w:r w:rsidRPr="00362E0A">
              <w:rPr>
                <w:rFonts w:ascii="Times New Roman" w:eastAsia="Times New Roman" w:hAnsi="Times New Roman" w:cs="Times New Roman"/>
                <w:bCs/>
                <w:i/>
                <w:color w:val="auto"/>
                <w:sz w:val="20"/>
                <w:szCs w:val="20"/>
                <w:lang w:eastAsia="lv-LV"/>
              </w:rPr>
              <w:t>euro</w:t>
            </w:r>
            <w:proofErr w:type="spellEnd"/>
          </w:p>
        </w:tc>
        <w:tc>
          <w:tcPr>
            <w:tcW w:w="3696" w:type="dxa"/>
            <w:gridSpan w:val="5"/>
            <w:vAlign w:val="center"/>
            <w:hideMark/>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 no IKP</w:t>
            </w:r>
          </w:p>
        </w:tc>
      </w:tr>
      <w:tr w:rsidR="00125819" w:rsidRPr="00362E0A" w:rsidTr="00DB1AEB">
        <w:trPr>
          <w:trHeight w:val="225"/>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rsidR="00125819" w:rsidRPr="00362E0A" w:rsidRDefault="00125819" w:rsidP="00A8311B">
            <w:pPr>
              <w:jc w:val="cente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Neto aizdevumi (+) vai aizņēmumi (–) (B.9) pa apakš</w:t>
            </w:r>
            <w:r w:rsidR="00C222F0" w:rsidRPr="00362E0A">
              <w:rPr>
                <w:rFonts w:ascii="Times New Roman" w:eastAsia="Times New Roman" w:hAnsi="Times New Roman" w:cs="Times New Roman"/>
                <w:b w:val="0"/>
                <w:color w:val="auto"/>
                <w:sz w:val="20"/>
                <w:szCs w:val="20"/>
                <w:lang w:eastAsia="lv-LV"/>
              </w:rPr>
              <w:t>-</w:t>
            </w:r>
            <w:r w:rsidRPr="00362E0A">
              <w:rPr>
                <w:rFonts w:ascii="Times New Roman" w:eastAsia="Times New Roman" w:hAnsi="Times New Roman" w:cs="Times New Roman"/>
                <w:b w:val="0"/>
                <w:color w:val="auto"/>
                <w:sz w:val="20"/>
                <w:szCs w:val="20"/>
                <w:lang w:eastAsia="lv-LV"/>
              </w:rPr>
              <w:t>sektoriem</w:t>
            </w:r>
          </w:p>
        </w:tc>
      </w:tr>
    </w:tbl>
    <w:tbl>
      <w:tblPr>
        <w:tblStyle w:val="GridTable6Colorful-Accent110"/>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DB1AEB" w:rsidRPr="00362E0A" w:rsidTr="00DB1AE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 Vispārējā valdība</w:t>
            </w:r>
          </w:p>
        </w:tc>
        <w:tc>
          <w:tcPr>
            <w:tcW w:w="1134"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S.13</w:t>
            </w:r>
          </w:p>
        </w:tc>
        <w:tc>
          <w:tcPr>
            <w:tcW w:w="1134"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-198,9</w:t>
            </w:r>
          </w:p>
        </w:tc>
        <w:tc>
          <w:tcPr>
            <w:tcW w:w="861"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-0,7</w:t>
            </w:r>
          </w:p>
        </w:tc>
        <w:tc>
          <w:tcPr>
            <w:tcW w:w="708"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-0,5</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-0,</w:t>
            </w:r>
            <w:r w:rsidR="00270363" w:rsidRPr="00270363">
              <w:rPr>
                <w:rFonts w:ascii="Times New Roman" w:eastAsia="Times New Roman" w:hAnsi="Times New Roman" w:cs="Times New Roman"/>
                <w:color w:val="auto"/>
                <w:sz w:val="20"/>
                <w:szCs w:val="20"/>
                <w:lang w:eastAsia="lv-LV"/>
              </w:rPr>
              <w:t>4</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-0,</w:t>
            </w:r>
            <w:r w:rsidR="00270363" w:rsidRPr="00270363">
              <w:rPr>
                <w:rFonts w:ascii="Times New Roman" w:eastAsia="Times New Roman" w:hAnsi="Times New Roman" w:cs="Times New Roman"/>
                <w:color w:val="auto"/>
                <w:sz w:val="20"/>
                <w:szCs w:val="20"/>
                <w:lang w:eastAsia="lv-LV"/>
              </w:rPr>
              <w:t>2</w:t>
            </w:r>
          </w:p>
        </w:tc>
        <w:tc>
          <w:tcPr>
            <w:tcW w:w="709" w:type="dxa"/>
            <w:vAlign w:val="center"/>
          </w:tcPr>
          <w:p w:rsidR="00362E0A" w:rsidRPr="00362E0A" w:rsidRDefault="00270363"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270363">
              <w:rPr>
                <w:rFonts w:ascii="Times New Roman" w:eastAsia="Times New Roman" w:hAnsi="Times New Roman" w:cs="Times New Roman"/>
                <w:color w:val="auto"/>
                <w:sz w:val="20"/>
                <w:szCs w:val="20"/>
                <w:lang w:eastAsia="lv-LV"/>
              </w:rPr>
              <w:t>-</w:t>
            </w:r>
            <w:r w:rsidR="00362E0A" w:rsidRPr="00362E0A">
              <w:rPr>
                <w:rFonts w:ascii="Times New Roman" w:eastAsia="Times New Roman" w:hAnsi="Times New Roman" w:cs="Times New Roman"/>
                <w:color w:val="auto"/>
                <w:sz w:val="20"/>
                <w:szCs w:val="20"/>
                <w:lang w:eastAsia="lv-LV"/>
              </w:rPr>
              <w:t>0,</w:t>
            </w:r>
            <w:r w:rsidRPr="00270363">
              <w:rPr>
                <w:rFonts w:ascii="Times New Roman" w:eastAsia="Times New Roman" w:hAnsi="Times New Roman" w:cs="Times New Roman"/>
                <w:color w:val="auto"/>
                <w:sz w:val="20"/>
                <w:szCs w:val="20"/>
                <w:lang w:eastAsia="lv-LV"/>
              </w:rPr>
              <w:t>3</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2. Centrālā valdība</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S.1311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-226,0</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-0,9</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5</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6</w:t>
            </w:r>
          </w:p>
        </w:tc>
      </w:tr>
      <w:tr w:rsidR="00DB1AEB" w:rsidRPr="00362E0A" w:rsidTr="00DB1AEB">
        <w:trPr>
          <w:trHeight w:val="13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3. Pavalsts valdība</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S.1312</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 </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 </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 </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4. Vietējā valdība</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S.1313</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-158,5</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-0,5</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-0,3</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-0,1</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r>
      <w:tr w:rsidR="00DB1AEB" w:rsidRPr="00362E0A" w:rsidTr="00DB1AEB">
        <w:trPr>
          <w:trHeight w:val="22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5. Sociālās nodrošināšanas fondi</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S.1314</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185,6</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0,6</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0,7</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0,3</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0,3</w:t>
            </w:r>
          </w:p>
        </w:tc>
      </w:tr>
    </w:tbl>
    <w:tbl>
      <w:tblPr>
        <w:tblStyle w:val="GridTable6Colorful-Accent11"/>
        <w:tblW w:w="9645" w:type="dxa"/>
        <w:jc w:val="center"/>
        <w:tblLayout w:type="fixed"/>
        <w:tblLook w:val="04A0" w:firstRow="1" w:lastRow="0" w:firstColumn="1" w:lastColumn="0" w:noHBand="0" w:noVBand="1"/>
      </w:tblPr>
      <w:tblGrid>
        <w:gridCol w:w="9645"/>
      </w:tblGrid>
      <w:tr w:rsidR="00125819" w:rsidRPr="00362E0A" w:rsidTr="00DB1AEB">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rsidR="00125819" w:rsidRPr="00362E0A" w:rsidRDefault="00125819" w:rsidP="00A8311B">
            <w:pPr>
              <w:jc w:val="center"/>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bCs w:val="0"/>
                <w:color w:val="auto"/>
                <w:sz w:val="20"/>
                <w:szCs w:val="20"/>
                <w:lang w:eastAsia="lv-LV"/>
              </w:rPr>
              <w:t>Vispārējā valdība (S.13)</w:t>
            </w:r>
          </w:p>
        </w:tc>
      </w:tr>
    </w:tbl>
    <w:tbl>
      <w:tblPr>
        <w:tblStyle w:val="GridTable6Colorful-Accent110"/>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DB1AEB" w:rsidRPr="00362E0A" w:rsidTr="00DB1AEB">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6. Kopējie ieņēmumi</w:t>
            </w:r>
          </w:p>
        </w:tc>
        <w:tc>
          <w:tcPr>
            <w:tcW w:w="1134"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TR</w:t>
            </w:r>
          </w:p>
        </w:tc>
        <w:tc>
          <w:tcPr>
            <w:tcW w:w="1134"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10 907,6</w:t>
            </w:r>
          </w:p>
        </w:tc>
        <w:tc>
          <w:tcPr>
            <w:tcW w:w="861"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37,1</w:t>
            </w:r>
          </w:p>
        </w:tc>
        <w:tc>
          <w:tcPr>
            <w:tcW w:w="708"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36,2</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35,9</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35,4</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34,9</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7. Kopējie izdevumi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TE</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11 106,6</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37,7</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36,7</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w:t>
            </w:r>
            <w:r w:rsidR="00270363" w:rsidRPr="00270363">
              <w:rPr>
                <w:rFonts w:ascii="Times New Roman" w:eastAsia="Times New Roman" w:hAnsi="Times New Roman" w:cs="Times New Roman"/>
                <w:bCs/>
                <w:color w:val="auto"/>
                <w:sz w:val="20"/>
                <w:szCs w:val="20"/>
                <w:lang w:eastAsia="lv-LV"/>
              </w:rPr>
              <w:t>4</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w:t>
            </w:r>
            <w:r w:rsidR="00270363" w:rsidRPr="00270363">
              <w:rPr>
                <w:rFonts w:ascii="Times New Roman" w:eastAsia="Times New Roman" w:hAnsi="Times New Roman" w:cs="Times New Roman"/>
                <w:bCs/>
                <w:color w:val="auto"/>
                <w:sz w:val="20"/>
                <w:szCs w:val="20"/>
                <w:lang w:eastAsia="lv-LV"/>
              </w:rPr>
              <w:t>6</w:t>
            </w:r>
          </w:p>
        </w:tc>
        <w:tc>
          <w:tcPr>
            <w:tcW w:w="709" w:type="dxa"/>
            <w:vAlign w:val="center"/>
          </w:tcPr>
          <w:p w:rsidR="00362E0A" w:rsidRPr="00362E0A" w:rsidRDefault="00270363"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70363">
              <w:rPr>
                <w:rFonts w:ascii="Times New Roman" w:eastAsia="Times New Roman" w:hAnsi="Times New Roman" w:cs="Times New Roman"/>
                <w:bCs/>
                <w:color w:val="auto"/>
                <w:sz w:val="20"/>
                <w:szCs w:val="20"/>
                <w:lang w:eastAsia="lv-LV"/>
              </w:rPr>
              <w:t>35,2</w:t>
            </w:r>
          </w:p>
        </w:tc>
      </w:tr>
      <w:tr w:rsidR="00DB1AEB" w:rsidRPr="00362E0A" w:rsidTr="00DB1AEB">
        <w:trPr>
          <w:trHeight w:val="1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8. Budžeta bilance</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B.9</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-198,9</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-0,7</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2</w:t>
            </w:r>
          </w:p>
        </w:tc>
        <w:tc>
          <w:tcPr>
            <w:tcW w:w="709" w:type="dxa"/>
            <w:vAlign w:val="center"/>
          </w:tcPr>
          <w:p w:rsidR="00362E0A" w:rsidRPr="00362E0A" w:rsidRDefault="00270363"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70363">
              <w:rPr>
                <w:rFonts w:ascii="Times New Roman" w:eastAsia="Times New Roman" w:hAnsi="Times New Roman" w:cs="Times New Roman"/>
                <w:bCs/>
                <w:color w:val="auto"/>
                <w:sz w:val="20"/>
                <w:szCs w:val="20"/>
                <w:lang w:eastAsia="lv-LV"/>
              </w:rPr>
              <w:t>-</w:t>
            </w:r>
            <w:r w:rsidR="00362E0A" w:rsidRPr="00362E0A">
              <w:rPr>
                <w:rFonts w:ascii="Times New Roman" w:eastAsia="Times New Roman" w:hAnsi="Times New Roman" w:cs="Times New Roman"/>
                <w:bCs/>
                <w:color w:val="auto"/>
                <w:sz w:val="20"/>
                <w:szCs w:val="20"/>
                <w:lang w:eastAsia="lv-LV"/>
              </w:rPr>
              <w:t>0,</w:t>
            </w:r>
            <w:r w:rsidRPr="00270363">
              <w:rPr>
                <w:rFonts w:ascii="Times New Roman" w:eastAsia="Times New Roman" w:hAnsi="Times New Roman" w:cs="Times New Roman"/>
                <w:bCs/>
                <w:color w:val="auto"/>
                <w:sz w:val="20"/>
                <w:szCs w:val="20"/>
                <w:lang w:eastAsia="lv-LV"/>
              </w:rPr>
              <w:t>3</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9. Procentu izdevumi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D.41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231,8</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0,7</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r>
      <w:tr w:rsidR="00DB1AEB" w:rsidRPr="00362E0A" w:rsidTr="00DB1AEB">
        <w:trPr>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10. Primārā bilance</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32,8</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0,1</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0,2</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w:t>
            </w:r>
            <w:r w:rsidR="00270363" w:rsidRPr="00270363">
              <w:rPr>
                <w:rFonts w:ascii="Times New Roman" w:eastAsia="Times New Roman" w:hAnsi="Times New Roman" w:cs="Times New Roman"/>
                <w:bCs/>
                <w:color w:val="auto"/>
                <w:sz w:val="20"/>
                <w:szCs w:val="20"/>
                <w:lang w:eastAsia="lv-LV"/>
              </w:rPr>
              <w:t>,5</w:t>
            </w:r>
          </w:p>
        </w:tc>
      </w:tr>
      <w:tr w:rsidR="00125819" w:rsidRPr="00362E0A" w:rsidTr="00DB1AEB">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362E0A" w:rsidRDefault="00125819" w:rsidP="00125819">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11. Vienreizēji un citi īslaicīgi pasākumi</w:t>
            </w:r>
            <w:r w:rsidR="006F5741">
              <w:rPr>
                <w:rStyle w:val="FootnoteReference"/>
                <w:rFonts w:eastAsia="Times New Roman" w:cs="Times New Roman"/>
                <w:b w:val="0"/>
                <w:color w:val="auto"/>
                <w:szCs w:val="20"/>
                <w:lang w:eastAsia="lv-LV"/>
              </w:rPr>
              <w:footnoteReference w:id="35"/>
            </w:r>
          </w:p>
        </w:tc>
        <w:tc>
          <w:tcPr>
            <w:tcW w:w="1134" w:type="dxa"/>
            <w:vAlign w:val="center"/>
            <w:hideMark/>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61" w:type="dxa"/>
            <w:vAlign w:val="center"/>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8" w:type="dxa"/>
            <w:vAlign w:val="center"/>
          </w:tcPr>
          <w:p w:rsidR="00125819" w:rsidRPr="00362E0A" w:rsidRDefault="006F5741"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0,1</w:t>
            </w:r>
          </w:p>
        </w:tc>
        <w:tc>
          <w:tcPr>
            <w:tcW w:w="709" w:type="dxa"/>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tcPr>
          <w:p w:rsidR="00125819" w:rsidRPr="00362E0A"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bl>
    <w:tbl>
      <w:tblPr>
        <w:tblStyle w:val="GridTable6Colorful-Accent11"/>
        <w:tblW w:w="9645" w:type="dxa"/>
        <w:jc w:val="center"/>
        <w:tblLayout w:type="fixed"/>
        <w:tblLook w:val="04A0" w:firstRow="1" w:lastRow="0" w:firstColumn="1" w:lastColumn="0" w:noHBand="0" w:noVBand="1"/>
      </w:tblPr>
      <w:tblGrid>
        <w:gridCol w:w="9645"/>
      </w:tblGrid>
      <w:tr w:rsidR="00125819" w:rsidRPr="00362E0A" w:rsidTr="00DB1AE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rsidR="00125819" w:rsidRPr="00362E0A" w:rsidRDefault="00125819" w:rsidP="00A8311B">
            <w:pPr>
              <w:jc w:val="center"/>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bCs w:val="0"/>
                <w:color w:val="auto"/>
                <w:sz w:val="20"/>
                <w:szCs w:val="20"/>
                <w:lang w:eastAsia="lv-LV"/>
              </w:rPr>
              <w:t>Ieņēmumu sadaļas</w:t>
            </w:r>
          </w:p>
        </w:tc>
      </w:tr>
    </w:tbl>
    <w:tbl>
      <w:tblPr>
        <w:tblStyle w:val="GridTable6Colorful-Accent110"/>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362E0A" w:rsidRPr="00362E0A" w:rsidTr="00DB1AEB">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12. Nodokļi kopā (12=12a+12b+12c)</w:t>
            </w:r>
          </w:p>
        </w:tc>
        <w:tc>
          <w:tcPr>
            <w:tcW w:w="1134"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p>
        </w:tc>
        <w:tc>
          <w:tcPr>
            <w:tcW w:w="1134"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6 231,2</w:t>
            </w:r>
          </w:p>
        </w:tc>
        <w:tc>
          <w:tcPr>
            <w:tcW w:w="861"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21,2</w:t>
            </w:r>
          </w:p>
        </w:tc>
        <w:tc>
          <w:tcPr>
            <w:tcW w:w="708"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20,7</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20,9</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20,8</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20,6</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12a. Ražošanas un importa nodokļi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D.2</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4 082,6</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13,9</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14,1</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14,3</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14,2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14,0</w:t>
            </w:r>
          </w:p>
        </w:tc>
      </w:tr>
      <w:tr w:rsidR="00362E0A" w:rsidRPr="00362E0A" w:rsidTr="00DB1AEB">
        <w:trPr>
          <w:trHeight w:val="2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12b. Ienākuma un mantas kārtējie nodokļi</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D.5</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2 145,9</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7,3</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6,6</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6,6</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6,6</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12c. Kapitāla nodokļi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D.91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2,7</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0,0</w:t>
            </w:r>
          </w:p>
        </w:tc>
      </w:tr>
      <w:tr w:rsidR="00362E0A" w:rsidRPr="00362E0A" w:rsidTr="00DB1AEB">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13. Sociālās iemaksas</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D.61</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2 733,7</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9,3</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9,4</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14. Īpašuma ienākumi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D.4</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252,1</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0,9</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0,7</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0,5</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0,2</w:t>
            </w:r>
          </w:p>
        </w:tc>
      </w:tr>
      <w:tr w:rsidR="00362E0A" w:rsidRPr="00362E0A" w:rsidTr="00DB1AEB">
        <w:trPr>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15. Pārējie ieņēmumi</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w:t>
            </w:r>
            <w:r w:rsidRPr="00362E0A">
              <w:rPr>
                <w:lang w:eastAsia="lv-LV"/>
              </w:rPr>
              <w:t> </w:t>
            </w:r>
            <w:r w:rsidRPr="00362E0A">
              <w:rPr>
                <w:rFonts w:ascii="Times New Roman" w:eastAsia="Times New Roman" w:hAnsi="Times New Roman" w:cs="Times New Roman"/>
                <w:bCs/>
                <w:color w:val="auto"/>
                <w:sz w:val="20"/>
                <w:szCs w:val="20"/>
                <w:lang w:eastAsia="lv-LV"/>
              </w:rPr>
              <w:t>690,7</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5,7</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5,2</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5,0</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4,7</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16. Kopējie ieņēmumi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TR</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10 907,6</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37,1</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35,9</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35,4</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34,9</w:t>
            </w:r>
          </w:p>
        </w:tc>
      </w:tr>
      <w:tr w:rsidR="00362E0A" w:rsidRPr="00362E0A" w:rsidTr="00DB1AEB">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Nodokļu slogs (D.2**+D.5+D.61+D.91-D.995)</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9 025,0</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30,7</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30,5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30,2</w:t>
            </w:r>
          </w:p>
        </w:tc>
      </w:tr>
    </w:tbl>
    <w:tbl>
      <w:tblPr>
        <w:tblStyle w:val="GridTable6Colorful-Accent11"/>
        <w:tblW w:w="9645" w:type="dxa"/>
        <w:jc w:val="center"/>
        <w:tblLayout w:type="fixed"/>
        <w:tblLook w:val="04A0" w:firstRow="1" w:lastRow="0" w:firstColumn="1" w:lastColumn="0" w:noHBand="0" w:noVBand="1"/>
      </w:tblPr>
      <w:tblGrid>
        <w:gridCol w:w="9645"/>
      </w:tblGrid>
      <w:tr w:rsidR="00125819" w:rsidRPr="00362E0A" w:rsidTr="00DB1AEB">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rsidR="00125819" w:rsidRPr="00362E0A" w:rsidRDefault="00125819" w:rsidP="00A8311B">
            <w:pPr>
              <w:jc w:val="center"/>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bCs w:val="0"/>
                <w:color w:val="auto"/>
                <w:sz w:val="20"/>
                <w:szCs w:val="20"/>
                <w:lang w:eastAsia="lv-LV"/>
              </w:rPr>
              <w:t>Izdevumu sadaļas</w:t>
            </w:r>
          </w:p>
        </w:tc>
      </w:tr>
    </w:tbl>
    <w:tbl>
      <w:tblPr>
        <w:tblStyle w:val="GridTable6Colorful-Accent110"/>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362E0A" w:rsidRPr="00362E0A" w:rsidTr="00DB1AEB">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17. Atlīdzība nodarbinātajiem un starppatēriņš</w:t>
            </w:r>
          </w:p>
        </w:tc>
        <w:tc>
          <w:tcPr>
            <w:tcW w:w="1134" w:type="dxa"/>
            <w:vAlign w:val="center"/>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D.1+P.2</w:t>
            </w:r>
          </w:p>
        </w:tc>
        <w:tc>
          <w:tcPr>
            <w:tcW w:w="1134"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4 729,7</w:t>
            </w:r>
          </w:p>
        </w:tc>
        <w:tc>
          <w:tcPr>
            <w:tcW w:w="861"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16,1</w:t>
            </w:r>
          </w:p>
        </w:tc>
        <w:tc>
          <w:tcPr>
            <w:tcW w:w="708"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15,8</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15,1</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14,</w:t>
            </w:r>
            <w:r w:rsidR="00270363" w:rsidRPr="00270363">
              <w:rPr>
                <w:rFonts w:ascii="Times New Roman" w:eastAsia="Times New Roman" w:hAnsi="Times New Roman" w:cs="Times New Roman"/>
                <w:color w:val="auto"/>
                <w:sz w:val="20"/>
                <w:szCs w:val="20"/>
                <w:lang w:eastAsia="lv-LV"/>
              </w:rPr>
              <w:t>7</w:t>
            </w:r>
          </w:p>
        </w:tc>
        <w:tc>
          <w:tcPr>
            <w:tcW w:w="709" w:type="dxa"/>
            <w:vAlign w:val="center"/>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362E0A">
              <w:rPr>
                <w:rFonts w:ascii="Times New Roman" w:eastAsia="Times New Roman" w:hAnsi="Times New Roman" w:cs="Times New Roman"/>
                <w:color w:val="auto"/>
                <w:sz w:val="20"/>
                <w:szCs w:val="20"/>
                <w:lang w:eastAsia="lv-LV"/>
              </w:rPr>
              <w:t>14,</w:t>
            </w:r>
            <w:r w:rsidR="00270363" w:rsidRPr="00270363">
              <w:rPr>
                <w:rFonts w:ascii="Times New Roman" w:eastAsia="Times New Roman" w:hAnsi="Times New Roman" w:cs="Times New Roman"/>
                <w:color w:val="auto"/>
                <w:sz w:val="20"/>
                <w:szCs w:val="20"/>
                <w:lang w:eastAsia="lv-LV"/>
              </w:rPr>
              <w:t>2</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17a. Atlīdzība nodarbinātajiem</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2 978,0</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10,1</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10,3</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9,9</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9,6</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9,</w:t>
            </w:r>
            <w:r w:rsidR="00270363" w:rsidRPr="00270363">
              <w:rPr>
                <w:rFonts w:ascii="Times New Roman" w:eastAsia="Times New Roman" w:hAnsi="Times New Roman" w:cs="Times New Roman"/>
                <w:bCs/>
                <w:color w:val="auto"/>
                <w:sz w:val="20"/>
                <w:szCs w:val="20"/>
                <w:lang w:eastAsia="lv-LV"/>
              </w:rPr>
              <w:t>3</w:t>
            </w:r>
          </w:p>
        </w:tc>
      </w:tr>
      <w:tr w:rsidR="00362E0A" w:rsidRPr="00362E0A" w:rsidTr="00DB1AEB">
        <w:trPr>
          <w:trHeight w:val="18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17b. Starppatēriņš</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P.2</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1 751,7</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6,0</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5,2</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5,1</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w:t>
            </w:r>
            <w:r w:rsidR="00270363" w:rsidRPr="00270363">
              <w:rPr>
                <w:rFonts w:ascii="Times New Roman" w:eastAsia="Times New Roman" w:hAnsi="Times New Roman" w:cs="Times New Roman"/>
                <w:bCs/>
                <w:color w:val="auto"/>
                <w:sz w:val="20"/>
                <w:szCs w:val="20"/>
                <w:lang w:eastAsia="lv-LV"/>
              </w:rPr>
              <w:t>9</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lastRenderedPageBreak/>
              <w:t>18. Sociālie maksājumi (18=18a+18b)</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w:t>
            </w:r>
            <w:r w:rsidRPr="00362E0A">
              <w:rPr>
                <w:lang w:eastAsia="lv-LV"/>
              </w:rPr>
              <w:t> </w:t>
            </w:r>
            <w:r w:rsidRPr="00362E0A">
              <w:rPr>
                <w:rFonts w:ascii="Times New Roman" w:eastAsia="Times New Roman" w:hAnsi="Times New Roman" w:cs="Times New Roman"/>
                <w:bCs/>
                <w:color w:val="auto"/>
                <w:sz w:val="20"/>
                <w:szCs w:val="20"/>
                <w:lang w:eastAsia="lv-LV"/>
              </w:rPr>
              <w:t>383,1</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11,5</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11,6</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w:t>
            </w:r>
            <w:r w:rsidR="00270363" w:rsidRPr="00270363">
              <w:rPr>
                <w:rFonts w:ascii="Times New Roman" w:eastAsia="Times New Roman" w:hAnsi="Times New Roman" w:cs="Times New Roman"/>
                <w:bCs/>
                <w:color w:val="auto"/>
                <w:sz w:val="20"/>
                <w:szCs w:val="20"/>
                <w:lang w:eastAsia="lv-LV"/>
              </w:rPr>
              <w:t>7</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w:t>
            </w:r>
            <w:r w:rsidR="00270363" w:rsidRPr="00270363">
              <w:rPr>
                <w:rFonts w:ascii="Times New Roman" w:eastAsia="Times New Roman" w:hAnsi="Times New Roman" w:cs="Times New Roman"/>
                <w:bCs/>
                <w:color w:val="auto"/>
                <w:sz w:val="20"/>
                <w:szCs w:val="20"/>
                <w:lang w:eastAsia="lv-LV"/>
              </w:rPr>
              <w:t>9</w:t>
            </w:r>
          </w:p>
        </w:tc>
      </w:tr>
      <w:tr w:rsidR="00362E0A" w:rsidRPr="00362E0A" w:rsidTr="00DB1AEB">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tai skaitā bezdarbnieku pabalsti</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120,0</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0,4</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0,4</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18a. Sociālie pārvedumi piegādāti caur tirgus ražotājiem</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D.6311, D.63121, D.63131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357,8</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1,2</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w:t>
            </w:r>
            <w:r w:rsidR="00270363" w:rsidRPr="00270363">
              <w:rPr>
                <w:rFonts w:ascii="Times New Roman" w:eastAsia="Times New Roman" w:hAnsi="Times New Roman" w:cs="Times New Roman"/>
                <w:bCs/>
                <w:color w:val="auto"/>
                <w:sz w:val="20"/>
                <w:szCs w:val="20"/>
                <w:lang w:eastAsia="lv-LV"/>
              </w:rPr>
              <w:t>3</w:t>
            </w:r>
          </w:p>
        </w:tc>
      </w:tr>
      <w:tr w:rsidR="00362E0A" w:rsidRPr="00362E0A" w:rsidTr="00DB1AEB">
        <w:trPr>
          <w:trHeight w:val="33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18b. Sociālie pārvedumi, kas nav sociālie pārvedumi natūrā</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D.62</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3 025,3</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10,3</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10,6</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w:t>
            </w:r>
            <w:r w:rsidR="00270363" w:rsidRPr="00270363">
              <w:rPr>
                <w:rFonts w:ascii="Times New Roman" w:eastAsia="Times New Roman" w:hAnsi="Times New Roman" w:cs="Times New Roman"/>
                <w:bCs/>
                <w:color w:val="auto"/>
                <w:sz w:val="20"/>
                <w:szCs w:val="20"/>
                <w:lang w:eastAsia="lv-LV"/>
              </w:rPr>
              <w:t>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w:t>
            </w:r>
            <w:r w:rsidR="00270363" w:rsidRPr="00270363">
              <w:rPr>
                <w:rFonts w:ascii="Times New Roman" w:eastAsia="Times New Roman" w:hAnsi="Times New Roman" w:cs="Times New Roman"/>
                <w:bCs/>
                <w:color w:val="auto"/>
                <w:sz w:val="20"/>
                <w:szCs w:val="20"/>
                <w:lang w:eastAsia="lv-LV"/>
              </w:rPr>
              <w:t>7</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19.=9. Procentu izdevumi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D.41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231,8</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0,7</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0,8</w:t>
            </w:r>
          </w:p>
        </w:tc>
      </w:tr>
      <w:tr w:rsidR="00362E0A" w:rsidRPr="00362E0A" w:rsidTr="00DB1AEB">
        <w:trPr>
          <w:trHeight w:val="18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20. Subsīdijas</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D.3</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492,5</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1,7</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1,6</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1,5</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1,4</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21. Bruto kopējā pamatkapitāla veidošana</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P.51</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1 589,2</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5,4</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5,1</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w:t>
            </w:r>
            <w:r w:rsidR="00270363" w:rsidRPr="00270363">
              <w:rPr>
                <w:rFonts w:ascii="Times New Roman" w:eastAsia="Times New Roman" w:hAnsi="Times New Roman" w:cs="Times New Roman"/>
                <w:bCs/>
                <w:color w:val="auto"/>
                <w:sz w:val="20"/>
                <w:szCs w:val="20"/>
                <w:lang w:eastAsia="lv-LV"/>
              </w:rPr>
              <w:t>9</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w:t>
            </w:r>
            <w:r w:rsidR="00270363" w:rsidRPr="00270363">
              <w:rPr>
                <w:rFonts w:ascii="Times New Roman" w:eastAsia="Times New Roman" w:hAnsi="Times New Roman" w:cs="Times New Roman"/>
                <w:bCs/>
                <w:color w:val="auto"/>
                <w:sz w:val="20"/>
                <w:szCs w:val="20"/>
                <w:lang w:eastAsia="lv-LV"/>
              </w:rPr>
              <w:t>7</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4,</w:t>
            </w:r>
            <w:r w:rsidR="00270363" w:rsidRPr="00270363">
              <w:rPr>
                <w:rFonts w:ascii="Times New Roman" w:eastAsia="Times New Roman" w:hAnsi="Times New Roman" w:cs="Times New Roman"/>
                <w:bCs/>
                <w:color w:val="auto"/>
                <w:sz w:val="20"/>
                <w:szCs w:val="20"/>
                <w:lang w:eastAsia="lv-LV"/>
              </w:rPr>
              <w:t>4</w:t>
            </w:r>
          </w:p>
        </w:tc>
      </w:tr>
      <w:tr w:rsidR="00362E0A" w:rsidRPr="00362E0A" w:rsidTr="00DB1AEB">
        <w:trPr>
          <w:trHeight w:val="12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 xml:space="preserve">22. Kapitālo izdevumu </w:t>
            </w:r>
            <w:proofErr w:type="spellStart"/>
            <w:r w:rsidRPr="00362E0A">
              <w:rPr>
                <w:rFonts w:ascii="Times New Roman" w:eastAsia="Times New Roman" w:hAnsi="Times New Roman" w:cs="Times New Roman"/>
                <w:b w:val="0"/>
                <w:color w:val="auto"/>
                <w:sz w:val="20"/>
                <w:szCs w:val="20"/>
                <w:lang w:eastAsia="lv-LV"/>
              </w:rPr>
              <w:t>transferti</w:t>
            </w:r>
            <w:proofErr w:type="spellEnd"/>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D.9</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68,0</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0,2</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0,1</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0,1</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0,1</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0,1</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23. Pārējie izdevumi</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612,3</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2,1</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2,3</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2,4</w:t>
            </w:r>
          </w:p>
        </w:tc>
      </w:tr>
      <w:tr w:rsidR="00362E0A" w:rsidRPr="00362E0A" w:rsidTr="00DB1AEB">
        <w:trPr>
          <w:trHeight w:val="21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24.=7. Kopējie izdevumi</w:t>
            </w:r>
          </w:p>
        </w:tc>
        <w:tc>
          <w:tcPr>
            <w:tcW w:w="1134" w:type="dxa"/>
            <w:vAlign w:val="center"/>
            <w:hideMark/>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TE</w:t>
            </w:r>
          </w:p>
        </w:tc>
        <w:tc>
          <w:tcPr>
            <w:tcW w:w="1134"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11 106,6</w:t>
            </w:r>
          </w:p>
        </w:tc>
        <w:tc>
          <w:tcPr>
            <w:tcW w:w="861"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37,7</w:t>
            </w:r>
          </w:p>
        </w:tc>
        <w:tc>
          <w:tcPr>
            <w:tcW w:w="708"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36,7</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w:t>
            </w:r>
            <w:r w:rsidR="00270363" w:rsidRPr="00270363">
              <w:rPr>
                <w:rFonts w:ascii="Times New Roman" w:eastAsia="Times New Roman" w:hAnsi="Times New Roman" w:cs="Times New Roman"/>
                <w:bCs/>
                <w:color w:val="auto"/>
                <w:sz w:val="20"/>
                <w:szCs w:val="20"/>
                <w:lang w:eastAsia="lv-LV"/>
              </w:rPr>
              <w:t>4</w:t>
            </w:r>
          </w:p>
        </w:tc>
        <w:tc>
          <w:tcPr>
            <w:tcW w:w="709" w:type="dxa"/>
            <w:vAlign w:val="center"/>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w:t>
            </w:r>
            <w:r w:rsidR="00270363" w:rsidRPr="00270363">
              <w:rPr>
                <w:rFonts w:ascii="Times New Roman" w:eastAsia="Times New Roman" w:hAnsi="Times New Roman" w:cs="Times New Roman"/>
                <w:bCs/>
                <w:color w:val="auto"/>
                <w:sz w:val="20"/>
                <w:szCs w:val="20"/>
                <w:lang w:eastAsia="lv-LV"/>
              </w:rPr>
              <w:t>6</w:t>
            </w:r>
          </w:p>
        </w:tc>
        <w:tc>
          <w:tcPr>
            <w:tcW w:w="709" w:type="dxa"/>
            <w:vAlign w:val="center"/>
          </w:tcPr>
          <w:p w:rsidR="00362E0A" w:rsidRPr="00362E0A" w:rsidRDefault="00270363"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70363">
              <w:rPr>
                <w:rFonts w:ascii="Times New Roman" w:eastAsia="Times New Roman" w:hAnsi="Times New Roman" w:cs="Times New Roman"/>
                <w:bCs/>
                <w:color w:val="auto"/>
                <w:sz w:val="20"/>
                <w:szCs w:val="20"/>
                <w:lang w:eastAsia="lv-LV"/>
              </w:rPr>
              <w:t>35,2</w:t>
            </w:r>
          </w:p>
        </w:tc>
      </w:tr>
      <w:tr w:rsidR="00362E0A" w:rsidRPr="00782778" w:rsidTr="00DB1AEB">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Valdības patēriņš</w:t>
            </w:r>
          </w:p>
        </w:tc>
        <w:tc>
          <w:tcPr>
            <w:tcW w:w="1134" w:type="dxa"/>
            <w:vAlign w:val="center"/>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P.3</w:t>
            </w:r>
          </w:p>
        </w:tc>
        <w:tc>
          <w:tcPr>
            <w:tcW w:w="1134"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5 300,9</w:t>
            </w:r>
          </w:p>
        </w:tc>
        <w:tc>
          <w:tcPr>
            <w:tcW w:w="861"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18,0</w:t>
            </w:r>
          </w:p>
        </w:tc>
        <w:tc>
          <w:tcPr>
            <w:tcW w:w="708"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17,8</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17,2</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16,9</w:t>
            </w:r>
          </w:p>
        </w:tc>
        <w:tc>
          <w:tcPr>
            <w:tcW w:w="709" w:type="dxa"/>
            <w:vAlign w:val="center"/>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16,1</w:t>
            </w:r>
          </w:p>
        </w:tc>
      </w:tr>
    </w:tbl>
    <w:p w:rsidR="00542988" w:rsidRPr="00362E0A" w:rsidRDefault="00527227" w:rsidP="00F171EC">
      <w:pPr>
        <w:spacing w:after="0" w:line="240" w:lineRule="auto"/>
        <w:rPr>
          <w:rFonts w:ascii="Times New Roman" w:eastAsia="Times New Roman" w:hAnsi="Times New Roman" w:cs="Times New Roman"/>
          <w:sz w:val="20"/>
          <w:szCs w:val="20"/>
          <w:lang w:eastAsia="lv-LV"/>
        </w:rPr>
      </w:pPr>
      <w:r w:rsidRPr="00362E0A">
        <w:rPr>
          <w:rFonts w:ascii="Times New Roman" w:eastAsia="Times New Roman" w:hAnsi="Times New Roman" w:cs="Times New Roman"/>
          <w:sz w:val="20"/>
          <w:szCs w:val="20"/>
          <w:lang w:eastAsia="lv-LV"/>
        </w:rPr>
        <w:t xml:space="preserve">* </w:t>
      </w:r>
      <w:r w:rsidR="00E42D7B" w:rsidRPr="00362E0A">
        <w:rPr>
          <w:rFonts w:ascii="Times New Roman" w:eastAsia="Times New Roman" w:hAnsi="Times New Roman" w:cs="Times New Roman"/>
          <w:sz w:val="20"/>
          <w:szCs w:val="20"/>
          <w:lang w:eastAsia="lv-LV"/>
        </w:rPr>
        <w:t>FM</w:t>
      </w:r>
      <w:r w:rsidRPr="00362E0A">
        <w:rPr>
          <w:rFonts w:ascii="Times New Roman" w:eastAsia="Times New Roman" w:hAnsi="Times New Roman" w:cs="Times New Roman"/>
          <w:sz w:val="20"/>
          <w:szCs w:val="20"/>
          <w:lang w:eastAsia="lv-LV"/>
        </w:rPr>
        <w:t xml:space="preserve"> novērtējums</w:t>
      </w:r>
    </w:p>
    <w:p w:rsidR="00B557A0" w:rsidRPr="00362E0A" w:rsidRDefault="00527227" w:rsidP="00B557A0">
      <w:pPr>
        <w:spacing w:after="0" w:line="240" w:lineRule="auto"/>
        <w:rPr>
          <w:rFonts w:ascii="Times New Roman" w:eastAsia="Times New Roman" w:hAnsi="Times New Roman" w:cs="Times New Roman"/>
          <w:sz w:val="20"/>
          <w:szCs w:val="20"/>
          <w:lang w:eastAsia="lv-LV"/>
        </w:rPr>
      </w:pPr>
      <w:r w:rsidRPr="00362E0A">
        <w:rPr>
          <w:rFonts w:ascii="Times New Roman" w:eastAsia="Times New Roman" w:hAnsi="Times New Roman" w:cs="Times New Roman"/>
          <w:sz w:val="20"/>
          <w:szCs w:val="20"/>
          <w:lang w:eastAsia="lv-LV"/>
        </w:rPr>
        <w:t>** Ieskaitot ES budžetā iekasēto nodokļu daļu</w:t>
      </w:r>
    </w:p>
    <w:p w:rsidR="00736241" w:rsidRPr="00782778" w:rsidRDefault="00736241" w:rsidP="00FC55D0">
      <w:pPr>
        <w:spacing w:after="0" w:line="240" w:lineRule="auto"/>
        <w:rPr>
          <w:rFonts w:ascii="Times New Roman" w:eastAsia="Times New Roman" w:hAnsi="Times New Roman" w:cs="Times New Roman"/>
          <w:sz w:val="20"/>
          <w:szCs w:val="20"/>
          <w:highlight w:val="yellow"/>
          <w:lang w:eastAsia="lv-LV"/>
        </w:rPr>
      </w:pPr>
    </w:p>
    <w:p w:rsidR="00F51615" w:rsidRPr="00362E0A" w:rsidRDefault="00C81719" w:rsidP="00FC55D0">
      <w:pPr>
        <w:spacing w:after="0"/>
        <w:rPr>
          <w:rFonts w:ascii="Times New Roman" w:hAnsi="Times New Roman" w:cs="Times New Roman"/>
          <w:b/>
          <w:sz w:val="24"/>
          <w:szCs w:val="24"/>
        </w:rPr>
      </w:pPr>
      <w:r w:rsidRPr="00362E0A">
        <w:rPr>
          <w:rFonts w:ascii="Times New Roman" w:hAnsi="Times New Roman" w:cs="Times New Roman"/>
          <w:b/>
          <w:sz w:val="24"/>
          <w:szCs w:val="24"/>
        </w:rPr>
        <w:t>2b.</w:t>
      </w:r>
      <w:r w:rsidR="00F51615" w:rsidRPr="00362E0A">
        <w:rPr>
          <w:rFonts w:ascii="Times New Roman" w:hAnsi="Times New Roman" w:cs="Times New Roman"/>
          <w:b/>
          <w:sz w:val="24"/>
          <w:szCs w:val="24"/>
        </w:rPr>
        <w:t>tabula. Prognozes pie nemainīgas politikas</w:t>
      </w:r>
    </w:p>
    <w:tbl>
      <w:tblPr>
        <w:tblStyle w:val="GridTable6Colorful-Accent11"/>
        <w:tblW w:w="9533" w:type="dxa"/>
        <w:jc w:val="center"/>
        <w:tblLook w:val="04A0" w:firstRow="1" w:lastRow="0" w:firstColumn="1" w:lastColumn="0" w:noHBand="0" w:noVBand="1"/>
      </w:tblPr>
      <w:tblGrid>
        <w:gridCol w:w="4717"/>
        <w:gridCol w:w="1134"/>
        <w:gridCol w:w="798"/>
        <w:gridCol w:w="708"/>
        <w:gridCol w:w="758"/>
        <w:gridCol w:w="709"/>
        <w:gridCol w:w="709"/>
      </w:tblGrid>
      <w:tr w:rsidR="00362E0A" w:rsidRPr="00362E0A" w:rsidTr="00DB1A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17" w:type="dxa"/>
            <w:hideMark/>
          </w:tcPr>
          <w:p w:rsidR="00362E0A" w:rsidRPr="00362E0A" w:rsidRDefault="00362E0A" w:rsidP="00362E0A">
            <w:pPr>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 </w:t>
            </w:r>
          </w:p>
        </w:tc>
        <w:tc>
          <w:tcPr>
            <w:tcW w:w="1134" w:type="dxa"/>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2018</w:t>
            </w:r>
          </w:p>
        </w:tc>
        <w:tc>
          <w:tcPr>
            <w:tcW w:w="798" w:type="dxa"/>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2018</w:t>
            </w:r>
          </w:p>
        </w:tc>
        <w:tc>
          <w:tcPr>
            <w:tcW w:w="708" w:type="dxa"/>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2019</w:t>
            </w:r>
          </w:p>
        </w:tc>
        <w:tc>
          <w:tcPr>
            <w:tcW w:w="758" w:type="dxa"/>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2020</w:t>
            </w:r>
          </w:p>
        </w:tc>
        <w:tc>
          <w:tcPr>
            <w:tcW w:w="709" w:type="dxa"/>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2021</w:t>
            </w:r>
          </w:p>
        </w:tc>
        <w:tc>
          <w:tcPr>
            <w:tcW w:w="709" w:type="dxa"/>
            <w:hideMark/>
          </w:tcPr>
          <w:p w:rsidR="00362E0A" w:rsidRPr="00362E0A" w:rsidRDefault="00362E0A" w:rsidP="00362E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2022</w:t>
            </w:r>
          </w:p>
        </w:tc>
      </w:tr>
      <w:tr w:rsidR="00362E0A" w:rsidRPr="00362E0A" w:rsidTr="00DB1A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17" w:type="dxa"/>
            <w:hideMark/>
          </w:tcPr>
          <w:p w:rsidR="00362E0A" w:rsidRPr="00362E0A" w:rsidRDefault="00362E0A" w:rsidP="00362E0A">
            <w:pPr>
              <w:rPr>
                <w:rFonts w:ascii="Times New Roman" w:eastAsia="Times New Roman" w:hAnsi="Times New Roman" w:cs="Times New Roman"/>
                <w:color w:val="auto"/>
                <w:sz w:val="20"/>
                <w:szCs w:val="20"/>
                <w:lang w:eastAsia="lv-LV"/>
              </w:rPr>
            </w:pPr>
            <w:r w:rsidRPr="00362E0A">
              <w:rPr>
                <w:rFonts w:ascii="Times New Roman" w:eastAsia="Times New Roman" w:hAnsi="Times New Roman" w:cs="Times New Roman"/>
                <w:color w:val="auto"/>
                <w:sz w:val="20"/>
                <w:szCs w:val="20"/>
                <w:lang w:eastAsia="lv-LV"/>
              </w:rPr>
              <w:t> </w:t>
            </w:r>
          </w:p>
        </w:tc>
        <w:tc>
          <w:tcPr>
            <w:tcW w:w="1134" w:type="dxa"/>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362E0A">
              <w:rPr>
                <w:rFonts w:ascii="Times New Roman" w:eastAsia="Times New Roman" w:hAnsi="Times New Roman" w:cs="Times New Roman"/>
                <w:b/>
                <w:bCs/>
                <w:color w:val="auto"/>
                <w:sz w:val="20"/>
                <w:szCs w:val="20"/>
                <w:lang w:eastAsia="lv-LV"/>
              </w:rPr>
              <w:t xml:space="preserve">milj. </w:t>
            </w:r>
            <w:proofErr w:type="spellStart"/>
            <w:r w:rsidRPr="00362E0A">
              <w:rPr>
                <w:rFonts w:ascii="Times New Roman" w:eastAsia="Times New Roman" w:hAnsi="Times New Roman" w:cs="Times New Roman"/>
                <w:b/>
                <w:bCs/>
                <w:i/>
                <w:color w:val="auto"/>
                <w:sz w:val="20"/>
                <w:szCs w:val="20"/>
                <w:lang w:eastAsia="lv-LV"/>
              </w:rPr>
              <w:t>euro</w:t>
            </w:r>
            <w:proofErr w:type="spellEnd"/>
          </w:p>
        </w:tc>
        <w:tc>
          <w:tcPr>
            <w:tcW w:w="3682" w:type="dxa"/>
            <w:gridSpan w:val="5"/>
            <w:hideMark/>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362E0A">
              <w:rPr>
                <w:rFonts w:ascii="Times New Roman" w:eastAsia="Times New Roman" w:hAnsi="Times New Roman" w:cs="Times New Roman"/>
                <w:b/>
                <w:bCs/>
                <w:color w:val="auto"/>
                <w:sz w:val="20"/>
                <w:szCs w:val="20"/>
                <w:lang w:eastAsia="lv-LV"/>
              </w:rPr>
              <w:t>% no IKP</w:t>
            </w:r>
          </w:p>
        </w:tc>
      </w:tr>
      <w:tr w:rsidR="00362E0A" w:rsidRPr="00362E0A" w:rsidTr="00DB1AEB">
        <w:trPr>
          <w:trHeight w:val="300"/>
          <w:jc w:val="center"/>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1. Kopējie ieņēmumi pie nemainīgas politikas</w:t>
            </w:r>
          </w:p>
        </w:tc>
        <w:tc>
          <w:tcPr>
            <w:tcW w:w="1134" w:type="dxa"/>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10</w:t>
            </w:r>
            <w:r w:rsidRPr="00362E0A">
              <w:rPr>
                <w:lang w:eastAsia="lv-LV"/>
              </w:rPr>
              <w:t> </w:t>
            </w:r>
            <w:r w:rsidRPr="00362E0A">
              <w:rPr>
                <w:rFonts w:ascii="Times New Roman" w:eastAsia="Times New Roman" w:hAnsi="Times New Roman" w:cs="Times New Roman"/>
                <w:bCs/>
                <w:color w:val="auto"/>
                <w:sz w:val="20"/>
                <w:szCs w:val="20"/>
                <w:lang w:eastAsia="lv-LV"/>
              </w:rPr>
              <w:t>907,6</w:t>
            </w:r>
          </w:p>
        </w:tc>
        <w:tc>
          <w:tcPr>
            <w:tcW w:w="798" w:type="dxa"/>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37,1</w:t>
            </w:r>
          </w:p>
        </w:tc>
        <w:tc>
          <w:tcPr>
            <w:tcW w:w="708" w:type="dxa"/>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36,2</w:t>
            </w:r>
          </w:p>
        </w:tc>
        <w:tc>
          <w:tcPr>
            <w:tcW w:w="758" w:type="dxa"/>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35,9</w:t>
            </w:r>
          </w:p>
        </w:tc>
        <w:tc>
          <w:tcPr>
            <w:tcW w:w="709" w:type="dxa"/>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35,4</w:t>
            </w:r>
          </w:p>
        </w:tc>
        <w:tc>
          <w:tcPr>
            <w:tcW w:w="709" w:type="dxa"/>
          </w:tcPr>
          <w:p w:rsidR="00362E0A" w:rsidRPr="00362E0A" w:rsidRDefault="00362E0A" w:rsidP="00362E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34,9</w:t>
            </w:r>
          </w:p>
        </w:tc>
      </w:tr>
      <w:tr w:rsidR="00DB1AEB" w:rsidRPr="00782778" w:rsidTr="00DB1AE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rsidR="00362E0A" w:rsidRPr="00362E0A" w:rsidRDefault="00362E0A" w:rsidP="00362E0A">
            <w:pPr>
              <w:rPr>
                <w:rFonts w:ascii="Times New Roman" w:eastAsia="Times New Roman" w:hAnsi="Times New Roman" w:cs="Times New Roman"/>
                <w:b w:val="0"/>
                <w:color w:val="auto"/>
                <w:sz w:val="20"/>
                <w:szCs w:val="20"/>
                <w:lang w:eastAsia="lv-LV"/>
              </w:rPr>
            </w:pPr>
            <w:r w:rsidRPr="00362E0A">
              <w:rPr>
                <w:rFonts w:ascii="Times New Roman" w:eastAsia="Times New Roman" w:hAnsi="Times New Roman" w:cs="Times New Roman"/>
                <w:b w:val="0"/>
                <w:color w:val="auto"/>
                <w:sz w:val="20"/>
                <w:szCs w:val="20"/>
                <w:lang w:eastAsia="lv-LV"/>
              </w:rPr>
              <w:t>2. Kopējie izdevumi pie nemainīgas politikas</w:t>
            </w:r>
          </w:p>
        </w:tc>
        <w:tc>
          <w:tcPr>
            <w:tcW w:w="1134" w:type="dxa"/>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11 106,6</w:t>
            </w:r>
          </w:p>
        </w:tc>
        <w:tc>
          <w:tcPr>
            <w:tcW w:w="798" w:type="dxa"/>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37,7</w:t>
            </w:r>
          </w:p>
        </w:tc>
        <w:tc>
          <w:tcPr>
            <w:tcW w:w="708" w:type="dxa"/>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36,7</w:t>
            </w:r>
          </w:p>
        </w:tc>
        <w:tc>
          <w:tcPr>
            <w:tcW w:w="758" w:type="dxa"/>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36,3</w:t>
            </w:r>
          </w:p>
        </w:tc>
        <w:tc>
          <w:tcPr>
            <w:tcW w:w="709" w:type="dxa"/>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35,8</w:t>
            </w:r>
          </w:p>
        </w:tc>
        <w:tc>
          <w:tcPr>
            <w:tcW w:w="709" w:type="dxa"/>
          </w:tcPr>
          <w:p w:rsidR="00362E0A" w:rsidRPr="00362E0A" w:rsidRDefault="00362E0A" w:rsidP="00362E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62E0A">
              <w:rPr>
                <w:rFonts w:ascii="Times New Roman" w:eastAsia="Times New Roman" w:hAnsi="Times New Roman" w:cs="Times New Roman"/>
                <w:bCs/>
                <w:color w:val="auto"/>
                <w:sz w:val="20"/>
                <w:szCs w:val="20"/>
                <w:lang w:eastAsia="lv-LV"/>
              </w:rPr>
              <w:t>34,6</w:t>
            </w:r>
          </w:p>
        </w:tc>
      </w:tr>
    </w:tbl>
    <w:p w:rsidR="006D5FB6" w:rsidRPr="00782778" w:rsidRDefault="006D5FB6" w:rsidP="00FC55D0">
      <w:pPr>
        <w:spacing w:after="0"/>
        <w:rPr>
          <w:rFonts w:ascii="Times New Roman" w:hAnsi="Times New Roman" w:cs="Times New Roman"/>
          <w:b/>
          <w:szCs w:val="24"/>
          <w:highlight w:val="yellow"/>
        </w:rPr>
      </w:pPr>
    </w:p>
    <w:p w:rsidR="00F51615" w:rsidRPr="00B43197" w:rsidRDefault="00C81719" w:rsidP="00FC55D0">
      <w:pPr>
        <w:spacing w:after="0"/>
        <w:rPr>
          <w:rFonts w:ascii="Times New Roman" w:hAnsi="Times New Roman" w:cs="Times New Roman"/>
          <w:b/>
          <w:sz w:val="24"/>
          <w:szCs w:val="24"/>
        </w:rPr>
      </w:pPr>
      <w:r w:rsidRPr="00B43197">
        <w:rPr>
          <w:rFonts w:ascii="Times New Roman" w:hAnsi="Times New Roman" w:cs="Times New Roman"/>
          <w:b/>
          <w:sz w:val="24"/>
          <w:szCs w:val="24"/>
        </w:rPr>
        <w:t>2c.</w:t>
      </w:r>
      <w:r w:rsidR="00F51615" w:rsidRPr="00B43197">
        <w:rPr>
          <w:rFonts w:ascii="Times New Roman" w:hAnsi="Times New Roman" w:cs="Times New Roman"/>
          <w:b/>
          <w:sz w:val="24"/>
          <w:szCs w:val="24"/>
        </w:rPr>
        <w:t>tabula. Izdevumi, kas tiek izslēgti no izdevumu kritērija</w:t>
      </w:r>
    </w:p>
    <w:tbl>
      <w:tblPr>
        <w:tblStyle w:val="GridTable6Colorful-Accent11"/>
        <w:tblW w:w="8393" w:type="dxa"/>
        <w:tblInd w:w="-176" w:type="dxa"/>
        <w:tblLayout w:type="fixed"/>
        <w:tblLook w:val="04A0" w:firstRow="1" w:lastRow="0" w:firstColumn="1" w:lastColumn="0" w:noHBand="0" w:noVBand="1"/>
      </w:tblPr>
      <w:tblGrid>
        <w:gridCol w:w="3970"/>
        <w:gridCol w:w="742"/>
        <w:gridCol w:w="704"/>
        <w:gridCol w:w="851"/>
        <w:gridCol w:w="708"/>
        <w:gridCol w:w="709"/>
        <w:gridCol w:w="709"/>
      </w:tblGrid>
      <w:tr w:rsidR="007E0178" w:rsidRPr="00782778" w:rsidTr="006D1A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0" w:type="dxa"/>
          </w:tcPr>
          <w:p w:rsidR="007E0178" w:rsidRPr="00782778" w:rsidRDefault="007E0178" w:rsidP="007E0178">
            <w:pPr>
              <w:jc w:val="center"/>
              <w:rPr>
                <w:rFonts w:ascii="Times New Roman" w:eastAsia="Times New Roman" w:hAnsi="Times New Roman" w:cs="Times New Roman"/>
                <w:b w:val="0"/>
                <w:sz w:val="20"/>
                <w:szCs w:val="20"/>
                <w:highlight w:val="yellow"/>
                <w:lang w:eastAsia="lv-LV"/>
              </w:rPr>
            </w:pPr>
          </w:p>
        </w:tc>
        <w:tc>
          <w:tcPr>
            <w:tcW w:w="742" w:type="dxa"/>
            <w:vAlign w:val="center"/>
          </w:tcPr>
          <w:p w:rsidR="007E0178" w:rsidRPr="00782778" w:rsidRDefault="007E0178" w:rsidP="007E01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highlight w:val="yellow"/>
                <w:lang w:eastAsia="lv-LV"/>
              </w:rPr>
            </w:pPr>
            <w:r>
              <w:rPr>
                <w:rFonts w:ascii="Times New Roman" w:eastAsia="Times New Roman" w:hAnsi="Times New Roman" w:cs="Times New Roman"/>
                <w:bCs w:val="0"/>
                <w:color w:val="auto"/>
                <w:sz w:val="20"/>
                <w:szCs w:val="20"/>
                <w:lang w:eastAsia="lv-LV"/>
              </w:rPr>
              <w:t>2018</w:t>
            </w:r>
          </w:p>
        </w:tc>
        <w:tc>
          <w:tcPr>
            <w:tcW w:w="704" w:type="dxa"/>
            <w:vAlign w:val="center"/>
          </w:tcPr>
          <w:p w:rsidR="007E0178" w:rsidRPr="00782778" w:rsidRDefault="007E0178" w:rsidP="007E01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highlight w:val="yellow"/>
                <w:lang w:eastAsia="lv-LV"/>
              </w:rPr>
            </w:pPr>
            <w:r>
              <w:rPr>
                <w:rFonts w:ascii="Times New Roman" w:eastAsia="Times New Roman" w:hAnsi="Times New Roman" w:cs="Times New Roman"/>
                <w:bCs w:val="0"/>
                <w:color w:val="auto"/>
                <w:sz w:val="20"/>
                <w:szCs w:val="20"/>
                <w:lang w:eastAsia="lv-LV"/>
              </w:rPr>
              <w:t>2018</w:t>
            </w:r>
          </w:p>
        </w:tc>
        <w:tc>
          <w:tcPr>
            <w:tcW w:w="851" w:type="dxa"/>
            <w:vAlign w:val="center"/>
          </w:tcPr>
          <w:p w:rsidR="007E0178" w:rsidRPr="00782778" w:rsidRDefault="007E0178" w:rsidP="007E01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highlight w:val="yellow"/>
                <w:lang w:eastAsia="lv-LV"/>
              </w:rPr>
            </w:pPr>
            <w:r>
              <w:rPr>
                <w:rFonts w:ascii="Times New Roman" w:eastAsia="Times New Roman" w:hAnsi="Times New Roman" w:cs="Times New Roman"/>
                <w:bCs w:val="0"/>
                <w:color w:val="auto"/>
                <w:sz w:val="20"/>
                <w:szCs w:val="20"/>
                <w:lang w:eastAsia="lv-LV"/>
              </w:rPr>
              <w:t>2019</w:t>
            </w:r>
          </w:p>
        </w:tc>
        <w:tc>
          <w:tcPr>
            <w:tcW w:w="708" w:type="dxa"/>
            <w:vAlign w:val="center"/>
          </w:tcPr>
          <w:p w:rsidR="007E0178" w:rsidRPr="00782778" w:rsidRDefault="007E0178" w:rsidP="007E01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highlight w:val="yellow"/>
                <w:lang w:eastAsia="lv-LV"/>
              </w:rPr>
            </w:pPr>
            <w:r>
              <w:rPr>
                <w:rFonts w:ascii="Times New Roman" w:eastAsia="Times New Roman" w:hAnsi="Times New Roman" w:cs="Times New Roman"/>
                <w:bCs w:val="0"/>
                <w:color w:val="auto"/>
                <w:sz w:val="20"/>
                <w:szCs w:val="20"/>
                <w:lang w:eastAsia="lv-LV"/>
              </w:rPr>
              <w:t>2020</w:t>
            </w:r>
          </w:p>
        </w:tc>
        <w:tc>
          <w:tcPr>
            <w:tcW w:w="709" w:type="dxa"/>
            <w:vAlign w:val="center"/>
          </w:tcPr>
          <w:p w:rsidR="007E0178" w:rsidRPr="00782778" w:rsidRDefault="007E0178" w:rsidP="007E01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highlight w:val="yellow"/>
                <w:lang w:eastAsia="lv-LV"/>
              </w:rPr>
            </w:pPr>
            <w:r>
              <w:rPr>
                <w:rFonts w:ascii="Times New Roman" w:eastAsia="Times New Roman" w:hAnsi="Times New Roman" w:cs="Times New Roman"/>
                <w:bCs w:val="0"/>
                <w:color w:val="auto"/>
                <w:sz w:val="20"/>
                <w:szCs w:val="20"/>
                <w:lang w:eastAsia="lv-LV"/>
              </w:rPr>
              <w:t>2021</w:t>
            </w:r>
          </w:p>
        </w:tc>
        <w:tc>
          <w:tcPr>
            <w:tcW w:w="709" w:type="dxa"/>
            <w:vAlign w:val="center"/>
          </w:tcPr>
          <w:p w:rsidR="007E0178" w:rsidRPr="00782778" w:rsidRDefault="007E0178" w:rsidP="007E01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highlight w:val="yellow"/>
                <w:lang w:eastAsia="lv-LV"/>
              </w:rPr>
            </w:pPr>
            <w:r>
              <w:rPr>
                <w:rFonts w:ascii="Times New Roman" w:eastAsia="Times New Roman" w:hAnsi="Times New Roman" w:cs="Times New Roman"/>
                <w:bCs w:val="0"/>
                <w:color w:val="auto"/>
                <w:sz w:val="20"/>
                <w:szCs w:val="20"/>
                <w:lang w:eastAsia="lv-LV"/>
              </w:rPr>
              <w:t>2022</w:t>
            </w:r>
          </w:p>
        </w:tc>
      </w:tr>
      <w:tr w:rsidR="007E0178" w:rsidRPr="00782778" w:rsidTr="006D1A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0" w:type="dxa"/>
          </w:tcPr>
          <w:p w:rsidR="007E0178" w:rsidRPr="00782778" w:rsidRDefault="007E0178" w:rsidP="007E0178">
            <w:pPr>
              <w:jc w:val="center"/>
              <w:rPr>
                <w:rFonts w:ascii="Times New Roman" w:eastAsia="Times New Roman" w:hAnsi="Times New Roman" w:cs="Times New Roman"/>
                <w:b w:val="0"/>
                <w:sz w:val="20"/>
                <w:szCs w:val="20"/>
                <w:highlight w:val="yellow"/>
                <w:lang w:eastAsia="lv-LV"/>
              </w:rPr>
            </w:pPr>
          </w:p>
        </w:tc>
        <w:tc>
          <w:tcPr>
            <w:tcW w:w="742" w:type="dxa"/>
            <w:vAlign w:val="center"/>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highlight w:val="yellow"/>
                <w:lang w:eastAsia="lv-LV"/>
              </w:rPr>
            </w:pPr>
            <w:r w:rsidRPr="00B11ACB">
              <w:rPr>
                <w:rFonts w:ascii="Times New Roman" w:eastAsia="Times New Roman" w:hAnsi="Times New Roman" w:cs="Times New Roman"/>
                <w:b/>
                <w:bCs/>
                <w:color w:val="auto"/>
                <w:sz w:val="20"/>
                <w:szCs w:val="20"/>
                <w:lang w:eastAsia="lv-LV"/>
              </w:rPr>
              <w:t>milj.</w:t>
            </w:r>
            <w:r>
              <w:rPr>
                <w:rFonts w:ascii="Times New Roman" w:eastAsia="Times New Roman" w:hAnsi="Times New Roman" w:cs="Times New Roman"/>
                <w:b/>
                <w:bCs/>
                <w:color w:val="auto"/>
                <w:sz w:val="20"/>
                <w:szCs w:val="20"/>
                <w:lang w:eastAsia="lv-LV"/>
              </w:rPr>
              <w:t xml:space="preserve"> </w:t>
            </w:r>
            <w:proofErr w:type="spellStart"/>
            <w:r w:rsidRPr="00736241">
              <w:rPr>
                <w:rFonts w:ascii="Times New Roman" w:eastAsia="Times New Roman" w:hAnsi="Times New Roman" w:cs="Times New Roman"/>
                <w:b/>
                <w:bCs/>
                <w:i/>
                <w:color w:val="auto"/>
                <w:sz w:val="20"/>
                <w:szCs w:val="20"/>
                <w:lang w:eastAsia="lv-LV"/>
              </w:rPr>
              <w:t>euro</w:t>
            </w:r>
            <w:proofErr w:type="spellEnd"/>
          </w:p>
        </w:tc>
        <w:tc>
          <w:tcPr>
            <w:tcW w:w="3681" w:type="dxa"/>
            <w:gridSpan w:val="5"/>
            <w:vAlign w:val="center"/>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highlight w:val="yellow"/>
                <w:lang w:eastAsia="lv-LV"/>
              </w:rPr>
            </w:pPr>
            <w:r w:rsidRPr="00B11ACB">
              <w:rPr>
                <w:rFonts w:ascii="Times New Roman" w:eastAsia="Times New Roman" w:hAnsi="Times New Roman" w:cs="Times New Roman"/>
                <w:b/>
                <w:bCs/>
                <w:color w:val="auto"/>
                <w:sz w:val="20"/>
                <w:szCs w:val="20"/>
                <w:lang w:eastAsia="lv-LV"/>
              </w:rPr>
              <w:t>% no IKP</w:t>
            </w:r>
          </w:p>
        </w:tc>
      </w:tr>
      <w:tr w:rsidR="007E0178" w:rsidRPr="00782778" w:rsidTr="006D1A8A">
        <w:trPr>
          <w:trHeight w:val="20"/>
        </w:trPr>
        <w:tc>
          <w:tcPr>
            <w:cnfStyle w:val="001000000000" w:firstRow="0" w:lastRow="0" w:firstColumn="1" w:lastColumn="0" w:oddVBand="0" w:evenVBand="0" w:oddHBand="0" w:evenHBand="0" w:firstRowFirstColumn="0" w:firstRowLastColumn="0" w:lastRowFirstColumn="0" w:lastRowLastColumn="0"/>
            <w:tcW w:w="3970" w:type="dxa"/>
            <w:hideMark/>
          </w:tcPr>
          <w:p w:rsidR="007E0178" w:rsidRPr="00782778" w:rsidRDefault="007E0178" w:rsidP="007E0178">
            <w:pPr>
              <w:jc w:val="both"/>
              <w:rPr>
                <w:rFonts w:ascii="Times New Roman" w:eastAsia="Times New Roman" w:hAnsi="Times New Roman" w:cs="Times New Roman"/>
                <w:b w:val="0"/>
                <w:color w:val="auto"/>
                <w:sz w:val="20"/>
                <w:szCs w:val="20"/>
                <w:highlight w:val="yellow"/>
                <w:lang w:eastAsia="lv-LV"/>
              </w:rPr>
            </w:pPr>
            <w:r>
              <w:rPr>
                <w:rFonts w:ascii="Times New Roman" w:eastAsia="Times New Roman" w:hAnsi="Times New Roman" w:cs="Times New Roman"/>
                <w:b w:val="0"/>
                <w:color w:val="auto"/>
                <w:sz w:val="20"/>
                <w:szCs w:val="20"/>
                <w:lang w:eastAsia="lv-LV"/>
              </w:rPr>
              <w:t>1.</w:t>
            </w:r>
            <w:r w:rsidRPr="0061493E">
              <w:rPr>
                <w:rFonts w:ascii="Times New Roman" w:eastAsia="Times New Roman" w:hAnsi="Times New Roman" w:cs="Times New Roman"/>
                <w:b w:val="0"/>
                <w:color w:val="auto"/>
                <w:sz w:val="20"/>
                <w:szCs w:val="20"/>
                <w:lang w:eastAsia="lv-LV"/>
              </w:rPr>
              <w:t>Izdevumi ārvalstu finanšu palīdzības projektiem, kas atbilst saņemtajiem ārvalstu finanšu palīdzības ieņēmumiem</w:t>
            </w:r>
          </w:p>
        </w:tc>
        <w:tc>
          <w:tcPr>
            <w:tcW w:w="742"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474,4</w:t>
            </w:r>
          </w:p>
        </w:tc>
        <w:tc>
          <w:tcPr>
            <w:tcW w:w="704"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1,6</w:t>
            </w:r>
          </w:p>
        </w:tc>
        <w:tc>
          <w:tcPr>
            <w:tcW w:w="851"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1,4</w:t>
            </w:r>
          </w:p>
        </w:tc>
        <w:tc>
          <w:tcPr>
            <w:tcW w:w="708"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1,3</w:t>
            </w:r>
          </w:p>
        </w:tc>
        <w:tc>
          <w:tcPr>
            <w:tcW w:w="709"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1,5</w:t>
            </w:r>
          </w:p>
        </w:tc>
        <w:tc>
          <w:tcPr>
            <w:tcW w:w="709"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1,4</w:t>
            </w:r>
          </w:p>
        </w:tc>
      </w:tr>
      <w:tr w:rsidR="00DB1AEB" w:rsidRPr="00782778" w:rsidTr="006D1A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0" w:type="dxa"/>
            <w:hideMark/>
          </w:tcPr>
          <w:p w:rsidR="007E0178" w:rsidRPr="00782778" w:rsidRDefault="007E0178" w:rsidP="007E0178">
            <w:pPr>
              <w:ind w:firstLineChars="100" w:firstLine="200"/>
              <w:jc w:val="both"/>
              <w:rPr>
                <w:rFonts w:ascii="Times New Roman" w:eastAsia="Times New Roman" w:hAnsi="Times New Roman" w:cs="Times New Roman"/>
                <w:b w:val="0"/>
                <w:color w:val="auto"/>
                <w:sz w:val="20"/>
                <w:szCs w:val="20"/>
                <w:highlight w:val="yellow"/>
                <w:lang w:eastAsia="lv-LV"/>
              </w:rPr>
            </w:pPr>
            <w:r w:rsidRPr="0061493E">
              <w:rPr>
                <w:rFonts w:ascii="Times New Roman" w:eastAsia="Times New Roman" w:hAnsi="Times New Roman" w:cs="Times New Roman"/>
                <w:b w:val="0"/>
                <w:color w:val="auto"/>
                <w:sz w:val="20"/>
                <w:szCs w:val="20"/>
                <w:lang w:eastAsia="lv-LV"/>
              </w:rPr>
              <w:t>1.a no kuriem kapitālie izdevumi (bruto pamatkapitāla veidošana), kas atbilst saņemtajiem ārvalstu finanšu palīdzības ieņēmumiem</w:t>
            </w:r>
          </w:p>
        </w:tc>
        <w:tc>
          <w:tcPr>
            <w:tcW w:w="742"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306,4</w:t>
            </w:r>
          </w:p>
        </w:tc>
        <w:tc>
          <w:tcPr>
            <w:tcW w:w="704"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1,0</w:t>
            </w:r>
          </w:p>
        </w:tc>
        <w:tc>
          <w:tcPr>
            <w:tcW w:w="851"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0,9</w:t>
            </w:r>
          </w:p>
        </w:tc>
        <w:tc>
          <w:tcPr>
            <w:tcW w:w="708"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0,9</w:t>
            </w:r>
          </w:p>
        </w:tc>
        <w:tc>
          <w:tcPr>
            <w:tcW w:w="709"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1,0</w:t>
            </w:r>
          </w:p>
        </w:tc>
        <w:tc>
          <w:tcPr>
            <w:tcW w:w="709"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0,9</w:t>
            </w:r>
          </w:p>
        </w:tc>
      </w:tr>
      <w:tr w:rsidR="007E0178" w:rsidRPr="00782778" w:rsidTr="006D1A8A">
        <w:trPr>
          <w:trHeight w:val="20"/>
        </w:trPr>
        <w:tc>
          <w:tcPr>
            <w:cnfStyle w:val="001000000000" w:firstRow="0" w:lastRow="0" w:firstColumn="1" w:lastColumn="0" w:oddVBand="0" w:evenVBand="0" w:oddHBand="0" w:evenHBand="0" w:firstRowFirstColumn="0" w:firstRowLastColumn="0" w:lastRowFirstColumn="0" w:lastRowLastColumn="0"/>
            <w:tcW w:w="3970" w:type="dxa"/>
            <w:hideMark/>
          </w:tcPr>
          <w:p w:rsidR="007E0178" w:rsidRPr="00782778" w:rsidRDefault="007E0178" w:rsidP="007E0178">
            <w:pPr>
              <w:jc w:val="both"/>
              <w:rPr>
                <w:rFonts w:ascii="Times New Roman" w:eastAsia="Times New Roman" w:hAnsi="Times New Roman" w:cs="Times New Roman"/>
                <w:b w:val="0"/>
                <w:color w:val="auto"/>
                <w:sz w:val="20"/>
                <w:szCs w:val="20"/>
                <w:highlight w:val="yellow"/>
                <w:lang w:eastAsia="lv-LV"/>
              </w:rPr>
            </w:pPr>
            <w:r>
              <w:rPr>
                <w:rFonts w:ascii="Times New Roman" w:eastAsia="Times New Roman" w:hAnsi="Times New Roman" w:cs="Times New Roman"/>
                <w:b w:val="0"/>
                <w:color w:val="auto"/>
                <w:sz w:val="20"/>
                <w:szCs w:val="20"/>
                <w:lang w:eastAsia="lv-LV"/>
              </w:rPr>
              <w:t>2.</w:t>
            </w:r>
            <w:r w:rsidRPr="0061493E">
              <w:rPr>
                <w:rFonts w:ascii="Times New Roman" w:eastAsia="Times New Roman" w:hAnsi="Times New Roman" w:cs="Times New Roman"/>
                <w:b w:val="0"/>
                <w:color w:val="auto"/>
                <w:sz w:val="20"/>
                <w:szCs w:val="20"/>
                <w:lang w:eastAsia="lv-LV"/>
              </w:rPr>
              <w:t>Cikliskie izdevumi bezdarbnieku pabalstiem</w:t>
            </w:r>
          </w:p>
        </w:tc>
        <w:tc>
          <w:tcPr>
            <w:tcW w:w="742"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-10,1</w:t>
            </w:r>
          </w:p>
        </w:tc>
        <w:tc>
          <w:tcPr>
            <w:tcW w:w="704"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c>
          <w:tcPr>
            <w:tcW w:w="851"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c>
          <w:tcPr>
            <w:tcW w:w="708"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c>
          <w:tcPr>
            <w:tcW w:w="709"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c>
          <w:tcPr>
            <w:tcW w:w="709"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r>
      <w:tr w:rsidR="00DB1AEB" w:rsidRPr="00782778" w:rsidTr="006D1A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0" w:type="dxa"/>
            <w:hideMark/>
          </w:tcPr>
          <w:p w:rsidR="007E0178" w:rsidRPr="00782778" w:rsidRDefault="007E0178" w:rsidP="007E0178">
            <w:pPr>
              <w:jc w:val="both"/>
              <w:rPr>
                <w:rFonts w:ascii="Times New Roman" w:eastAsia="Times New Roman" w:hAnsi="Times New Roman" w:cs="Times New Roman"/>
                <w:b w:val="0"/>
                <w:color w:val="auto"/>
                <w:sz w:val="20"/>
                <w:szCs w:val="20"/>
                <w:highlight w:val="yellow"/>
                <w:lang w:eastAsia="lv-LV"/>
              </w:rPr>
            </w:pPr>
            <w:r>
              <w:rPr>
                <w:rFonts w:ascii="Times New Roman" w:eastAsia="Times New Roman" w:hAnsi="Times New Roman" w:cs="Times New Roman"/>
                <w:b w:val="0"/>
                <w:color w:val="auto"/>
                <w:sz w:val="20"/>
                <w:szCs w:val="20"/>
                <w:lang w:eastAsia="lv-LV"/>
              </w:rPr>
              <w:t>3.</w:t>
            </w:r>
            <w:r w:rsidRPr="0061493E">
              <w:rPr>
                <w:rFonts w:ascii="Times New Roman" w:eastAsia="Times New Roman" w:hAnsi="Times New Roman" w:cs="Times New Roman"/>
                <w:b w:val="0"/>
                <w:color w:val="auto"/>
                <w:sz w:val="20"/>
                <w:szCs w:val="20"/>
                <w:lang w:eastAsia="lv-LV"/>
              </w:rPr>
              <w:t>Diskrecionāri ieņēmumu pasākumi</w:t>
            </w:r>
          </w:p>
        </w:tc>
        <w:tc>
          <w:tcPr>
            <w:tcW w:w="742"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-68,0</w:t>
            </w:r>
          </w:p>
        </w:tc>
        <w:tc>
          <w:tcPr>
            <w:tcW w:w="704"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-0,2</w:t>
            </w:r>
          </w:p>
        </w:tc>
        <w:tc>
          <w:tcPr>
            <w:tcW w:w="851"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0,2</w:t>
            </w:r>
          </w:p>
        </w:tc>
        <w:tc>
          <w:tcPr>
            <w:tcW w:w="708"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-0,4</w:t>
            </w:r>
          </w:p>
        </w:tc>
        <w:tc>
          <w:tcPr>
            <w:tcW w:w="709"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c>
          <w:tcPr>
            <w:tcW w:w="709" w:type="dxa"/>
            <w:vAlign w:val="center"/>
            <w:hideMark/>
          </w:tcPr>
          <w:p w:rsidR="007E0178" w:rsidRPr="00782778" w:rsidRDefault="007E0178" w:rsidP="007E01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r w:rsidRPr="00A52BEA">
              <w:rPr>
                <w:rFonts w:ascii="Times New Roman" w:hAnsi="Times New Roman" w:cs="Times New Roman"/>
                <w:color w:val="000000" w:themeColor="text1"/>
                <w:sz w:val="20"/>
                <w:szCs w:val="20"/>
              </w:rPr>
              <w:t>0,0</w:t>
            </w:r>
          </w:p>
        </w:tc>
      </w:tr>
      <w:tr w:rsidR="007E0178" w:rsidRPr="00782778" w:rsidTr="006D1A8A">
        <w:trPr>
          <w:trHeight w:val="20"/>
        </w:trPr>
        <w:tc>
          <w:tcPr>
            <w:cnfStyle w:val="001000000000" w:firstRow="0" w:lastRow="0" w:firstColumn="1" w:lastColumn="0" w:oddVBand="0" w:evenVBand="0" w:oddHBand="0" w:evenHBand="0" w:firstRowFirstColumn="0" w:firstRowLastColumn="0" w:lastRowFirstColumn="0" w:lastRowLastColumn="0"/>
            <w:tcW w:w="3970" w:type="dxa"/>
            <w:hideMark/>
          </w:tcPr>
          <w:p w:rsidR="007E0178" w:rsidRPr="00782778" w:rsidRDefault="007E0178" w:rsidP="007E0178">
            <w:pPr>
              <w:jc w:val="both"/>
              <w:rPr>
                <w:rFonts w:ascii="Times New Roman" w:eastAsia="Times New Roman" w:hAnsi="Times New Roman" w:cs="Times New Roman"/>
                <w:b w:val="0"/>
                <w:color w:val="auto"/>
                <w:sz w:val="20"/>
                <w:szCs w:val="20"/>
                <w:highlight w:val="yellow"/>
                <w:lang w:eastAsia="lv-LV"/>
              </w:rPr>
            </w:pPr>
            <w:r>
              <w:rPr>
                <w:rFonts w:ascii="Times New Roman" w:eastAsia="Times New Roman" w:hAnsi="Times New Roman" w:cs="Times New Roman"/>
                <w:b w:val="0"/>
                <w:color w:val="auto"/>
                <w:sz w:val="20"/>
                <w:szCs w:val="20"/>
                <w:lang w:eastAsia="lv-LV"/>
              </w:rPr>
              <w:t>4.</w:t>
            </w:r>
            <w:r w:rsidRPr="0061493E">
              <w:rPr>
                <w:rFonts w:ascii="Times New Roman" w:eastAsia="Times New Roman" w:hAnsi="Times New Roman" w:cs="Times New Roman"/>
                <w:b w:val="0"/>
                <w:color w:val="auto"/>
                <w:sz w:val="20"/>
                <w:szCs w:val="20"/>
                <w:lang w:eastAsia="lv-LV"/>
              </w:rPr>
              <w:t>Ieņēmumu palielinājums, kas apstiprināts ar likumu</w:t>
            </w:r>
          </w:p>
        </w:tc>
        <w:tc>
          <w:tcPr>
            <w:tcW w:w="742"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p>
        </w:tc>
        <w:tc>
          <w:tcPr>
            <w:tcW w:w="704"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p>
        </w:tc>
        <w:tc>
          <w:tcPr>
            <w:tcW w:w="851"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p>
        </w:tc>
        <w:tc>
          <w:tcPr>
            <w:tcW w:w="708"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p>
        </w:tc>
        <w:tc>
          <w:tcPr>
            <w:tcW w:w="709"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p>
        </w:tc>
        <w:tc>
          <w:tcPr>
            <w:tcW w:w="709" w:type="dxa"/>
            <w:vAlign w:val="center"/>
            <w:hideMark/>
          </w:tcPr>
          <w:p w:rsidR="007E0178" w:rsidRPr="00782778" w:rsidRDefault="007E0178" w:rsidP="007E0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highlight w:val="yellow"/>
                <w:lang w:eastAsia="lv-LV"/>
              </w:rPr>
            </w:pPr>
          </w:p>
        </w:tc>
      </w:tr>
    </w:tbl>
    <w:p w:rsidR="00ED4215" w:rsidRPr="00782778" w:rsidRDefault="00ED4215" w:rsidP="00393D5A">
      <w:pPr>
        <w:spacing w:after="0" w:line="240" w:lineRule="auto"/>
        <w:rPr>
          <w:rFonts w:ascii="Times New Roman" w:hAnsi="Times New Roman" w:cs="Times New Roman"/>
          <w:b/>
          <w:szCs w:val="24"/>
          <w:highlight w:val="yellow"/>
        </w:rPr>
      </w:pPr>
    </w:p>
    <w:p w:rsidR="00094C88" w:rsidRPr="00112DB6" w:rsidRDefault="00C81719" w:rsidP="00393D5A">
      <w:pPr>
        <w:spacing w:after="0" w:line="240" w:lineRule="auto"/>
        <w:rPr>
          <w:sz w:val="24"/>
        </w:rPr>
      </w:pPr>
      <w:r w:rsidRPr="00112DB6">
        <w:rPr>
          <w:rFonts w:ascii="Times New Roman" w:hAnsi="Times New Roman" w:cs="Times New Roman"/>
          <w:b/>
          <w:sz w:val="24"/>
          <w:szCs w:val="24"/>
        </w:rPr>
        <w:t>3.</w:t>
      </w:r>
      <w:r w:rsidR="00F51615" w:rsidRPr="00112DB6">
        <w:rPr>
          <w:rFonts w:ascii="Times New Roman" w:hAnsi="Times New Roman" w:cs="Times New Roman"/>
          <w:b/>
          <w:sz w:val="24"/>
          <w:szCs w:val="24"/>
        </w:rPr>
        <w:t>tabula. Vispārējās valdības izdevumi funkciju sadalījumā</w:t>
      </w:r>
    </w:p>
    <w:tbl>
      <w:tblPr>
        <w:tblStyle w:val="GridTable6Colorful-Accent11"/>
        <w:tblW w:w="6752" w:type="dxa"/>
        <w:tblInd w:w="-176" w:type="dxa"/>
        <w:tblLook w:val="04A0" w:firstRow="1" w:lastRow="0" w:firstColumn="1" w:lastColumn="0" w:noHBand="0" w:noVBand="1"/>
      </w:tblPr>
      <w:tblGrid>
        <w:gridCol w:w="4140"/>
        <w:gridCol w:w="1023"/>
        <w:gridCol w:w="794"/>
        <w:gridCol w:w="795"/>
      </w:tblGrid>
      <w:tr w:rsidR="00112DB6" w:rsidRPr="00112DB6" w:rsidTr="00DB1AE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00112DB6" w:rsidRPr="00112DB6" w:rsidRDefault="00112DB6" w:rsidP="00112DB6">
            <w:pPr>
              <w:jc w:val="center"/>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 no IKP</w:t>
            </w:r>
          </w:p>
        </w:tc>
        <w:tc>
          <w:tcPr>
            <w:tcW w:w="1023" w:type="dxa"/>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COFOG kods</w:t>
            </w:r>
          </w:p>
        </w:tc>
        <w:tc>
          <w:tcPr>
            <w:tcW w:w="794" w:type="dxa"/>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112DB6">
              <w:rPr>
                <w:rFonts w:ascii="Times New Roman" w:eastAsia="Times New Roman" w:hAnsi="Times New Roman" w:cs="Times New Roman"/>
                <w:color w:val="auto"/>
                <w:sz w:val="20"/>
                <w:szCs w:val="20"/>
                <w:lang w:eastAsia="lv-LV"/>
              </w:rPr>
              <w:t>2017</w:t>
            </w:r>
          </w:p>
        </w:tc>
        <w:tc>
          <w:tcPr>
            <w:tcW w:w="795" w:type="dxa"/>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112DB6">
              <w:rPr>
                <w:rFonts w:ascii="Times New Roman" w:eastAsia="Times New Roman" w:hAnsi="Times New Roman" w:cs="Times New Roman"/>
                <w:color w:val="auto"/>
                <w:sz w:val="20"/>
                <w:szCs w:val="20"/>
                <w:lang w:eastAsia="lv-LV"/>
              </w:rPr>
              <w:t>2022</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1. Vispārējie sabiedriskie pakalpojumi</w:t>
            </w:r>
          </w:p>
        </w:tc>
        <w:tc>
          <w:tcPr>
            <w:tcW w:w="1023"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1</w:t>
            </w:r>
          </w:p>
        </w:tc>
        <w:tc>
          <w:tcPr>
            <w:tcW w:w="794"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4,1</w:t>
            </w:r>
          </w:p>
        </w:tc>
        <w:tc>
          <w:tcPr>
            <w:tcW w:w="795"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3,9</w:t>
            </w:r>
          </w:p>
        </w:tc>
      </w:tr>
      <w:tr w:rsidR="00112DB6" w:rsidRPr="00112DB6" w:rsidTr="00DB1AEB">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2. Aizsardzība</w:t>
            </w:r>
          </w:p>
        </w:tc>
        <w:tc>
          <w:tcPr>
            <w:tcW w:w="1023"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2</w:t>
            </w:r>
          </w:p>
        </w:tc>
        <w:tc>
          <w:tcPr>
            <w:tcW w:w="794"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1,7</w:t>
            </w:r>
          </w:p>
        </w:tc>
        <w:tc>
          <w:tcPr>
            <w:tcW w:w="795"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2,0</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3. Sabiedriskā kārtība un drošība</w:t>
            </w:r>
          </w:p>
        </w:tc>
        <w:tc>
          <w:tcPr>
            <w:tcW w:w="1023"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3</w:t>
            </w:r>
          </w:p>
        </w:tc>
        <w:tc>
          <w:tcPr>
            <w:tcW w:w="794"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2,3</w:t>
            </w:r>
          </w:p>
        </w:tc>
        <w:tc>
          <w:tcPr>
            <w:tcW w:w="795"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1,5</w:t>
            </w:r>
          </w:p>
        </w:tc>
      </w:tr>
      <w:tr w:rsidR="00112DB6" w:rsidRPr="00112DB6" w:rsidTr="00DB1AEB">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4. Ekonomiskā darbība</w:t>
            </w:r>
          </w:p>
        </w:tc>
        <w:tc>
          <w:tcPr>
            <w:tcW w:w="1023"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4</w:t>
            </w:r>
          </w:p>
        </w:tc>
        <w:tc>
          <w:tcPr>
            <w:tcW w:w="794"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5,5</w:t>
            </w:r>
          </w:p>
        </w:tc>
        <w:tc>
          <w:tcPr>
            <w:tcW w:w="795"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5,</w:t>
            </w:r>
            <w:r w:rsidR="00395636">
              <w:rPr>
                <w:rFonts w:ascii="Times New Roman" w:eastAsia="Times New Roman" w:hAnsi="Times New Roman" w:cs="Times New Roman"/>
                <w:bCs/>
                <w:color w:val="auto"/>
                <w:sz w:val="20"/>
                <w:szCs w:val="20"/>
                <w:lang w:eastAsia="lv-LV"/>
              </w:rPr>
              <w:t>4</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5. Vides aizsardzība</w:t>
            </w:r>
          </w:p>
        </w:tc>
        <w:tc>
          <w:tcPr>
            <w:tcW w:w="1023"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5</w:t>
            </w:r>
          </w:p>
        </w:tc>
        <w:tc>
          <w:tcPr>
            <w:tcW w:w="794"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0,6</w:t>
            </w:r>
          </w:p>
        </w:tc>
        <w:tc>
          <w:tcPr>
            <w:tcW w:w="795"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0,2</w:t>
            </w:r>
          </w:p>
        </w:tc>
      </w:tr>
      <w:tr w:rsidR="00112DB6" w:rsidRPr="00112DB6" w:rsidTr="00DB1AEB">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6. Mājoklis un komunālā saimniecība</w:t>
            </w:r>
          </w:p>
        </w:tc>
        <w:tc>
          <w:tcPr>
            <w:tcW w:w="1023"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6</w:t>
            </w:r>
          </w:p>
        </w:tc>
        <w:tc>
          <w:tcPr>
            <w:tcW w:w="794"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1,1</w:t>
            </w:r>
          </w:p>
        </w:tc>
        <w:tc>
          <w:tcPr>
            <w:tcW w:w="795"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0,7</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7. Veselība</w:t>
            </w:r>
          </w:p>
        </w:tc>
        <w:tc>
          <w:tcPr>
            <w:tcW w:w="1023"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7</w:t>
            </w:r>
          </w:p>
        </w:tc>
        <w:tc>
          <w:tcPr>
            <w:tcW w:w="794"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3,5</w:t>
            </w:r>
          </w:p>
        </w:tc>
        <w:tc>
          <w:tcPr>
            <w:tcW w:w="795"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3,5</w:t>
            </w:r>
          </w:p>
        </w:tc>
      </w:tr>
      <w:tr w:rsidR="00112DB6" w:rsidRPr="00112DB6" w:rsidTr="00DB1AEB">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8. Atpūta, kultūra un reliģija</w:t>
            </w:r>
          </w:p>
        </w:tc>
        <w:tc>
          <w:tcPr>
            <w:tcW w:w="1023"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8</w:t>
            </w:r>
          </w:p>
        </w:tc>
        <w:tc>
          <w:tcPr>
            <w:tcW w:w="794"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1,7</w:t>
            </w:r>
          </w:p>
        </w:tc>
        <w:tc>
          <w:tcPr>
            <w:tcW w:w="795"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1,0</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9. Izglītība</w:t>
            </w:r>
          </w:p>
        </w:tc>
        <w:tc>
          <w:tcPr>
            <w:tcW w:w="1023"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9</w:t>
            </w:r>
          </w:p>
        </w:tc>
        <w:tc>
          <w:tcPr>
            <w:tcW w:w="794"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5,8</w:t>
            </w:r>
          </w:p>
        </w:tc>
        <w:tc>
          <w:tcPr>
            <w:tcW w:w="795"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5,2</w:t>
            </w:r>
          </w:p>
        </w:tc>
      </w:tr>
      <w:tr w:rsidR="00112DB6" w:rsidRPr="00112DB6" w:rsidTr="00DB1AEB">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10. Sociālā aizsardzība</w:t>
            </w:r>
          </w:p>
        </w:tc>
        <w:tc>
          <w:tcPr>
            <w:tcW w:w="1023"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12DB6">
              <w:rPr>
                <w:rFonts w:ascii="Times New Roman" w:eastAsia="Times New Roman" w:hAnsi="Times New Roman" w:cs="Times New Roman"/>
                <w:color w:val="000000"/>
                <w:sz w:val="20"/>
                <w:szCs w:val="20"/>
                <w:lang w:eastAsia="lv-LV"/>
              </w:rPr>
              <w:t>10</w:t>
            </w:r>
          </w:p>
        </w:tc>
        <w:tc>
          <w:tcPr>
            <w:tcW w:w="794"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11,7</w:t>
            </w:r>
          </w:p>
        </w:tc>
        <w:tc>
          <w:tcPr>
            <w:tcW w:w="795" w:type="dxa"/>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12DB6">
              <w:rPr>
                <w:rFonts w:ascii="Times New Roman" w:eastAsia="Times New Roman" w:hAnsi="Times New Roman" w:cs="Times New Roman"/>
                <w:bCs/>
                <w:color w:val="auto"/>
                <w:sz w:val="20"/>
                <w:szCs w:val="20"/>
                <w:lang w:eastAsia="lv-LV"/>
              </w:rPr>
              <w:t>11,9</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112DB6" w:rsidRPr="00112DB6" w:rsidRDefault="00112DB6" w:rsidP="00112DB6">
            <w:pPr>
              <w:rPr>
                <w:rFonts w:ascii="Times New Roman" w:eastAsia="Times New Roman" w:hAnsi="Times New Roman" w:cs="Times New Roman"/>
                <w:b w:val="0"/>
                <w:color w:val="000000"/>
                <w:sz w:val="20"/>
                <w:szCs w:val="20"/>
                <w:lang w:eastAsia="lv-LV"/>
              </w:rPr>
            </w:pPr>
            <w:r w:rsidRPr="00112DB6">
              <w:rPr>
                <w:rFonts w:ascii="Times New Roman" w:eastAsia="Times New Roman" w:hAnsi="Times New Roman" w:cs="Times New Roman"/>
                <w:b w:val="0"/>
                <w:color w:val="000000"/>
                <w:sz w:val="20"/>
                <w:szCs w:val="20"/>
                <w:lang w:eastAsia="lv-LV"/>
              </w:rPr>
              <w:t>11. Kopējie izdevumi</w:t>
            </w:r>
            <w:r w:rsidR="000274EE">
              <w:rPr>
                <w:rFonts w:ascii="Times New Roman" w:eastAsia="Times New Roman" w:hAnsi="Times New Roman" w:cs="Times New Roman"/>
                <w:b w:val="0"/>
                <w:color w:val="000000"/>
                <w:sz w:val="20"/>
                <w:szCs w:val="20"/>
                <w:lang w:eastAsia="lv-LV"/>
              </w:rPr>
              <w:t>*</w:t>
            </w:r>
          </w:p>
        </w:tc>
        <w:tc>
          <w:tcPr>
            <w:tcW w:w="1023"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12DB6">
              <w:rPr>
                <w:rFonts w:ascii="Times New Roman" w:eastAsia="Times New Roman" w:hAnsi="Times New Roman" w:cs="Times New Roman"/>
                <w:b/>
                <w:bCs/>
                <w:color w:val="000000"/>
                <w:sz w:val="20"/>
                <w:szCs w:val="20"/>
                <w:lang w:eastAsia="lv-LV"/>
              </w:rPr>
              <w:t>TE</w:t>
            </w:r>
          </w:p>
        </w:tc>
        <w:tc>
          <w:tcPr>
            <w:tcW w:w="794"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112DB6">
              <w:rPr>
                <w:rFonts w:ascii="Times New Roman" w:eastAsia="Times New Roman" w:hAnsi="Times New Roman" w:cs="Times New Roman"/>
                <w:b/>
                <w:bCs/>
                <w:color w:val="auto"/>
                <w:sz w:val="20"/>
                <w:szCs w:val="20"/>
                <w:lang w:eastAsia="lv-LV"/>
              </w:rPr>
              <w:t>37,8</w:t>
            </w:r>
          </w:p>
        </w:tc>
        <w:tc>
          <w:tcPr>
            <w:tcW w:w="795" w:type="dxa"/>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112DB6">
              <w:rPr>
                <w:rFonts w:ascii="Times New Roman" w:eastAsia="Times New Roman" w:hAnsi="Times New Roman" w:cs="Times New Roman"/>
                <w:b/>
                <w:bCs/>
                <w:color w:val="auto"/>
                <w:sz w:val="20"/>
                <w:szCs w:val="20"/>
                <w:lang w:eastAsia="lv-LV"/>
              </w:rPr>
              <w:t>35,</w:t>
            </w:r>
            <w:r w:rsidR="00395636">
              <w:rPr>
                <w:rFonts w:ascii="Times New Roman" w:eastAsia="Times New Roman" w:hAnsi="Times New Roman" w:cs="Times New Roman"/>
                <w:b/>
                <w:bCs/>
                <w:color w:val="auto"/>
                <w:sz w:val="20"/>
                <w:szCs w:val="20"/>
                <w:lang w:eastAsia="lv-LV"/>
              </w:rPr>
              <w:t>2</w:t>
            </w:r>
          </w:p>
        </w:tc>
      </w:tr>
    </w:tbl>
    <w:p w:rsidR="000274EE" w:rsidRDefault="000274EE" w:rsidP="00393D5A">
      <w:pPr>
        <w:spacing w:after="0" w:line="240" w:lineRule="auto"/>
        <w:rPr>
          <w:rFonts w:ascii="Times New Roman" w:hAnsi="Times New Roman" w:cs="Times New Roman"/>
          <w:sz w:val="20"/>
        </w:rPr>
      </w:pPr>
    </w:p>
    <w:p w:rsidR="003E3615" w:rsidRPr="00112DB6" w:rsidRDefault="003E3615" w:rsidP="00393D5A">
      <w:pPr>
        <w:spacing w:after="0" w:line="240" w:lineRule="auto"/>
        <w:rPr>
          <w:rFonts w:ascii="Times New Roman" w:hAnsi="Times New Roman" w:cs="Times New Roman"/>
          <w:sz w:val="20"/>
        </w:rPr>
      </w:pPr>
      <w:r w:rsidRPr="00112DB6">
        <w:rPr>
          <w:rFonts w:ascii="Times New Roman" w:hAnsi="Times New Roman" w:cs="Times New Roman"/>
          <w:sz w:val="20"/>
        </w:rPr>
        <w:lastRenderedPageBreak/>
        <w:t xml:space="preserve">* ieskaitot fiskālā nodrošinājuma rezervi (0,1% no IKP) un </w:t>
      </w:r>
      <w:r w:rsidR="005D2553">
        <w:rPr>
          <w:rFonts w:ascii="Times New Roman" w:hAnsi="Times New Roman" w:cs="Times New Roman"/>
          <w:sz w:val="20"/>
        </w:rPr>
        <w:t>pieņēmumus par fiskālās telpas sadali</w:t>
      </w:r>
    </w:p>
    <w:p w:rsidR="005C3D64" w:rsidRDefault="005C3D64" w:rsidP="00393D5A">
      <w:pPr>
        <w:spacing w:after="0" w:line="240" w:lineRule="auto"/>
        <w:rPr>
          <w:rFonts w:ascii="Times New Roman" w:hAnsi="Times New Roman" w:cs="Times New Roman"/>
          <w:b/>
          <w:bCs/>
          <w:sz w:val="24"/>
          <w:szCs w:val="32"/>
          <w:highlight w:val="yellow"/>
          <w:lang w:eastAsia="lv-LV"/>
        </w:rPr>
      </w:pPr>
    </w:p>
    <w:p w:rsidR="00DF4C38" w:rsidRDefault="00DF4C38" w:rsidP="00393D5A">
      <w:pPr>
        <w:spacing w:after="0" w:line="240" w:lineRule="auto"/>
        <w:rPr>
          <w:rFonts w:ascii="Times New Roman" w:hAnsi="Times New Roman" w:cs="Times New Roman"/>
          <w:b/>
          <w:bCs/>
          <w:sz w:val="24"/>
          <w:szCs w:val="32"/>
          <w:highlight w:val="yellow"/>
          <w:lang w:eastAsia="lv-LV"/>
        </w:rPr>
      </w:pPr>
    </w:p>
    <w:p w:rsidR="00DF4C38" w:rsidRPr="00782778" w:rsidRDefault="00DF4C38" w:rsidP="00393D5A">
      <w:pPr>
        <w:spacing w:after="0" w:line="240" w:lineRule="auto"/>
        <w:rPr>
          <w:rFonts w:ascii="Times New Roman" w:hAnsi="Times New Roman" w:cs="Times New Roman"/>
          <w:b/>
          <w:bCs/>
          <w:sz w:val="24"/>
          <w:szCs w:val="32"/>
          <w:highlight w:val="yellow"/>
          <w:lang w:eastAsia="lv-LV"/>
        </w:rPr>
      </w:pPr>
    </w:p>
    <w:p w:rsidR="0009609E" w:rsidRPr="002F4FBB" w:rsidRDefault="00C81719" w:rsidP="00393D5A">
      <w:pPr>
        <w:spacing w:after="0" w:line="240" w:lineRule="auto"/>
        <w:rPr>
          <w:rFonts w:ascii="Times New Roman" w:hAnsi="Times New Roman" w:cs="Times New Roman"/>
          <w:b/>
          <w:bCs/>
          <w:szCs w:val="32"/>
          <w:lang w:eastAsia="lv-LV"/>
        </w:rPr>
      </w:pPr>
      <w:r w:rsidRPr="002F4FBB">
        <w:rPr>
          <w:rFonts w:ascii="Times New Roman" w:hAnsi="Times New Roman" w:cs="Times New Roman"/>
          <w:b/>
          <w:bCs/>
          <w:sz w:val="24"/>
          <w:szCs w:val="32"/>
          <w:lang w:eastAsia="lv-LV"/>
        </w:rPr>
        <w:t>4.</w:t>
      </w:r>
      <w:r w:rsidR="00F51615" w:rsidRPr="002F4FBB">
        <w:rPr>
          <w:rFonts w:ascii="Times New Roman" w:hAnsi="Times New Roman" w:cs="Times New Roman"/>
          <w:b/>
          <w:bCs/>
          <w:sz w:val="24"/>
          <w:szCs w:val="32"/>
          <w:lang w:eastAsia="lv-LV"/>
        </w:rPr>
        <w:t>tabula. Vispārējās valdības parāda attīstība un parāda izmaiņas ietekmējošie faktori 201</w:t>
      </w:r>
      <w:r w:rsidR="00822A46" w:rsidRPr="002F4FBB">
        <w:rPr>
          <w:rFonts w:ascii="Times New Roman" w:hAnsi="Times New Roman" w:cs="Times New Roman"/>
          <w:b/>
          <w:bCs/>
          <w:sz w:val="24"/>
          <w:szCs w:val="32"/>
          <w:lang w:eastAsia="lv-LV"/>
        </w:rPr>
        <w:t>8</w:t>
      </w:r>
      <w:r w:rsidR="00FD5100" w:rsidRPr="002F4FBB">
        <w:rPr>
          <w:rFonts w:ascii="Times New Roman" w:hAnsi="Times New Roman" w:cs="Times New Roman"/>
          <w:b/>
          <w:bCs/>
          <w:sz w:val="24"/>
          <w:szCs w:val="32"/>
          <w:lang w:eastAsia="lv-LV"/>
        </w:rPr>
        <w:t>.</w:t>
      </w:r>
      <w:r w:rsidR="00FC55D0" w:rsidRPr="002F4FBB">
        <w:t xml:space="preserve"> </w:t>
      </w:r>
      <w:r w:rsidR="00FC55D0" w:rsidRPr="002F4FBB">
        <w:rPr>
          <w:rFonts w:ascii="Times New Roman" w:hAnsi="Times New Roman" w:cs="Times New Roman"/>
          <w:b/>
          <w:bCs/>
          <w:sz w:val="24"/>
          <w:szCs w:val="32"/>
          <w:lang w:eastAsia="lv-LV"/>
        </w:rPr>
        <w:t xml:space="preserve">– </w:t>
      </w:r>
      <w:r w:rsidR="00FD5100" w:rsidRPr="002F4FBB">
        <w:rPr>
          <w:rFonts w:ascii="Times New Roman" w:hAnsi="Times New Roman" w:cs="Times New Roman"/>
          <w:b/>
          <w:bCs/>
          <w:sz w:val="24"/>
          <w:szCs w:val="32"/>
          <w:lang w:eastAsia="lv-LV"/>
        </w:rPr>
        <w:t>202</w:t>
      </w:r>
      <w:r w:rsidR="002F4FBB" w:rsidRPr="002F4FBB">
        <w:rPr>
          <w:rFonts w:ascii="Times New Roman" w:hAnsi="Times New Roman" w:cs="Times New Roman"/>
          <w:b/>
          <w:bCs/>
          <w:sz w:val="24"/>
          <w:szCs w:val="32"/>
          <w:lang w:eastAsia="lv-LV"/>
        </w:rPr>
        <w:t>8</w:t>
      </w:r>
      <w:r w:rsidR="00F51615" w:rsidRPr="002F4FBB">
        <w:rPr>
          <w:rFonts w:ascii="Times New Roman" w:hAnsi="Times New Roman" w:cs="Times New Roman"/>
          <w:b/>
          <w:bCs/>
          <w:sz w:val="24"/>
          <w:szCs w:val="32"/>
          <w:lang w:eastAsia="lv-LV"/>
        </w:rPr>
        <w:t>.gadā</w:t>
      </w:r>
    </w:p>
    <w:tbl>
      <w:tblPr>
        <w:tblStyle w:val="GridTable6Colorful-Accent11"/>
        <w:tblW w:w="8926" w:type="dxa"/>
        <w:tblLayout w:type="fixed"/>
        <w:tblLook w:val="04A0" w:firstRow="1" w:lastRow="0" w:firstColumn="1" w:lastColumn="0" w:noHBand="0" w:noVBand="1"/>
      </w:tblPr>
      <w:tblGrid>
        <w:gridCol w:w="3539"/>
        <w:gridCol w:w="1134"/>
        <w:gridCol w:w="851"/>
        <w:gridCol w:w="850"/>
        <w:gridCol w:w="851"/>
        <w:gridCol w:w="850"/>
        <w:gridCol w:w="851"/>
      </w:tblGrid>
      <w:tr w:rsidR="002F4FBB" w:rsidRPr="002F4FBB" w:rsidTr="00DB1AE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jc w:val="cente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color w:val="auto"/>
                <w:sz w:val="20"/>
                <w:szCs w:val="20"/>
                <w:lang w:eastAsia="lv-LV"/>
              </w:rPr>
              <w:t>% no IKP</w:t>
            </w:r>
          </w:p>
        </w:tc>
        <w:tc>
          <w:tcPr>
            <w:tcW w:w="1134" w:type="dxa"/>
            <w:hideMark/>
          </w:tcPr>
          <w:p w:rsidR="002F4FBB" w:rsidRPr="002F4FBB" w:rsidRDefault="002F4FBB" w:rsidP="002F4F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2F4FBB">
              <w:rPr>
                <w:rFonts w:ascii="Times New Roman" w:eastAsia="Times New Roman" w:hAnsi="Times New Roman" w:cs="Times New Roman"/>
                <w:color w:val="auto"/>
                <w:sz w:val="20"/>
                <w:szCs w:val="20"/>
                <w:lang w:eastAsia="lv-LV"/>
              </w:rPr>
              <w:t>EKS Kods</w:t>
            </w:r>
          </w:p>
        </w:tc>
        <w:tc>
          <w:tcPr>
            <w:tcW w:w="851" w:type="dxa"/>
            <w:noWrap/>
            <w:vAlign w:val="center"/>
          </w:tcPr>
          <w:p w:rsidR="002F4FBB" w:rsidRPr="002F4FBB" w:rsidRDefault="002F4FBB" w:rsidP="002F4F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2F4FBB">
              <w:rPr>
                <w:rFonts w:ascii="Times New Roman" w:hAnsi="Times New Roman" w:cs="Times New Roman"/>
                <w:bCs w:val="0"/>
                <w:color w:val="000000" w:themeColor="text1"/>
                <w:sz w:val="20"/>
                <w:szCs w:val="20"/>
              </w:rPr>
              <w:t>2018</w:t>
            </w:r>
          </w:p>
        </w:tc>
        <w:tc>
          <w:tcPr>
            <w:tcW w:w="850" w:type="dxa"/>
            <w:noWrap/>
            <w:vAlign w:val="center"/>
          </w:tcPr>
          <w:p w:rsidR="002F4FBB" w:rsidRPr="002F4FBB" w:rsidRDefault="002F4FBB" w:rsidP="002F4F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2F4FBB">
              <w:rPr>
                <w:rFonts w:ascii="Times New Roman" w:hAnsi="Times New Roman" w:cs="Times New Roman"/>
                <w:bCs w:val="0"/>
                <w:color w:val="000000" w:themeColor="text1"/>
                <w:sz w:val="20"/>
                <w:szCs w:val="20"/>
              </w:rPr>
              <w:t>2019</w:t>
            </w:r>
          </w:p>
        </w:tc>
        <w:tc>
          <w:tcPr>
            <w:tcW w:w="851" w:type="dxa"/>
            <w:noWrap/>
            <w:vAlign w:val="center"/>
          </w:tcPr>
          <w:p w:rsidR="002F4FBB" w:rsidRPr="002F4FBB" w:rsidRDefault="002F4FBB" w:rsidP="002F4F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2F4FBB">
              <w:rPr>
                <w:rFonts w:ascii="Times New Roman" w:hAnsi="Times New Roman" w:cs="Times New Roman"/>
                <w:bCs w:val="0"/>
                <w:color w:val="000000" w:themeColor="text1"/>
                <w:sz w:val="20"/>
                <w:szCs w:val="20"/>
              </w:rPr>
              <w:t>2020</w:t>
            </w:r>
          </w:p>
        </w:tc>
        <w:tc>
          <w:tcPr>
            <w:tcW w:w="850" w:type="dxa"/>
            <w:noWrap/>
            <w:vAlign w:val="center"/>
          </w:tcPr>
          <w:p w:rsidR="002F4FBB" w:rsidRPr="002F4FBB" w:rsidRDefault="002F4FBB" w:rsidP="002F4F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2F4FBB">
              <w:rPr>
                <w:rFonts w:ascii="Times New Roman" w:hAnsi="Times New Roman" w:cs="Times New Roman"/>
                <w:bCs w:val="0"/>
                <w:color w:val="000000" w:themeColor="text1"/>
                <w:sz w:val="20"/>
                <w:szCs w:val="20"/>
              </w:rPr>
              <w:t>2021</w:t>
            </w:r>
          </w:p>
        </w:tc>
        <w:tc>
          <w:tcPr>
            <w:tcW w:w="851" w:type="dxa"/>
            <w:noWrap/>
            <w:vAlign w:val="center"/>
          </w:tcPr>
          <w:p w:rsidR="002F4FBB" w:rsidRPr="002F4FBB" w:rsidRDefault="002F4FBB" w:rsidP="002F4F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2F4FBB">
              <w:rPr>
                <w:rFonts w:ascii="Times New Roman" w:hAnsi="Times New Roman" w:cs="Times New Roman"/>
                <w:bCs w:val="0"/>
                <w:color w:val="000000" w:themeColor="text1"/>
                <w:sz w:val="20"/>
                <w:szCs w:val="20"/>
              </w:rPr>
              <w:t>2022</w:t>
            </w:r>
          </w:p>
        </w:tc>
      </w:tr>
      <w:tr w:rsidR="00DB1AEB" w:rsidRPr="002F4FBB" w:rsidTr="00DB1AE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b w:val="0"/>
                <w:color w:val="auto"/>
                <w:sz w:val="20"/>
                <w:szCs w:val="20"/>
                <w:lang w:eastAsia="lv-LV"/>
              </w:rPr>
              <w:t>1. Bruto parāds</w:t>
            </w:r>
          </w:p>
        </w:tc>
        <w:tc>
          <w:tcPr>
            <w:tcW w:w="1134" w:type="dxa"/>
            <w:noWrap/>
            <w:hideMark/>
          </w:tcPr>
          <w:p w:rsidR="002F4FBB" w:rsidRPr="002F4FBB" w:rsidRDefault="002F4FBB" w:rsidP="002F4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F4FBB">
              <w:rPr>
                <w:rFonts w:ascii="Times New Roman" w:eastAsia="Times New Roman" w:hAnsi="Times New Roman" w:cs="Times New Roman"/>
                <w:bCs/>
                <w:color w:val="auto"/>
                <w:sz w:val="20"/>
                <w:szCs w:val="20"/>
                <w:lang w:eastAsia="lv-LV"/>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36,1</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37,4</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36,1</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33,5</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33,1</w:t>
            </w:r>
          </w:p>
        </w:tc>
      </w:tr>
      <w:tr w:rsidR="002F4FBB" w:rsidRPr="002F4FBB" w:rsidTr="00DB1AEB">
        <w:trPr>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b w:val="0"/>
                <w:color w:val="auto"/>
                <w:sz w:val="20"/>
                <w:szCs w:val="20"/>
                <w:lang w:eastAsia="lv-LV"/>
              </w:rPr>
              <w:t>2. Bruto parāda izmaiņas</w:t>
            </w:r>
          </w:p>
        </w:tc>
        <w:tc>
          <w:tcPr>
            <w:tcW w:w="1134" w:type="dxa"/>
            <w:noWrap/>
            <w:hideMark/>
          </w:tcPr>
          <w:p w:rsidR="002F4FBB" w:rsidRPr="002F4FBB" w:rsidRDefault="002F4FBB" w:rsidP="002F4F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F4FBB">
              <w:rPr>
                <w:rFonts w:ascii="Times New Roman" w:eastAsia="Times New Roman" w:hAnsi="Times New Roman" w:cs="Times New Roman"/>
                <w:bCs/>
                <w:color w:val="auto"/>
                <w:sz w:val="20"/>
                <w:szCs w:val="20"/>
                <w:lang w:eastAsia="lv-LV"/>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-0,7</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3,5</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0,8</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-0,8</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1,3</w:t>
            </w:r>
          </w:p>
        </w:tc>
      </w:tr>
      <w:tr w:rsidR="00DB1E82" w:rsidRPr="002F4FBB" w:rsidTr="00DB1AE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075" w:type="dxa"/>
            <w:gridSpan w:val="6"/>
            <w:hideMark/>
          </w:tcPr>
          <w:p w:rsidR="00DB1E82" w:rsidRPr="002F4FBB" w:rsidRDefault="00DB1E82" w:rsidP="00DB1E82">
            <w:pPr>
              <w:jc w:val="cente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Kopējā parāda izmaiņas ietekmējošie faktori</w:t>
            </w:r>
          </w:p>
        </w:tc>
        <w:tc>
          <w:tcPr>
            <w:tcW w:w="851" w:type="dxa"/>
            <w:hideMark/>
          </w:tcPr>
          <w:p w:rsidR="00DB1E82" w:rsidRPr="002F4FBB"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2F4FBB" w:rsidRPr="002F4FBB" w:rsidTr="00DB1AEB">
        <w:trPr>
          <w:trHeight w:val="267"/>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b w:val="0"/>
                <w:color w:val="auto"/>
                <w:sz w:val="20"/>
                <w:szCs w:val="20"/>
                <w:lang w:eastAsia="lv-LV"/>
              </w:rPr>
              <w:t>3. Primārā bilance</w:t>
            </w:r>
          </w:p>
        </w:tc>
        <w:tc>
          <w:tcPr>
            <w:tcW w:w="1134" w:type="dxa"/>
            <w:noWrap/>
            <w:hideMark/>
          </w:tcPr>
          <w:p w:rsidR="002F4FBB" w:rsidRPr="002F4FBB" w:rsidRDefault="002F4FBB" w:rsidP="002F4F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F4FBB">
              <w:rPr>
                <w:rFonts w:ascii="Times New Roman" w:eastAsia="Times New Roman" w:hAnsi="Times New Roman" w:cs="Times New Roman"/>
                <w:bCs/>
                <w:color w:val="auto"/>
                <w:sz w:val="20"/>
                <w:szCs w:val="20"/>
                <w:lang w:eastAsia="lv-LV"/>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0,1</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0,2</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0,5</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0,4</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1,0</w:t>
            </w:r>
          </w:p>
        </w:tc>
      </w:tr>
      <w:tr w:rsidR="00DB1AEB" w:rsidRPr="002F4FBB" w:rsidTr="00DB1AE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b w:val="0"/>
                <w:color w:val="auto"/>
                <w:sz w:val="20"/>
                <w:szCs w:val="20"/>
                <w:lang w:eastAsia="lv-LV"/>
              </w:rPr>
              <w:t>4. Procentu maksājumi</w:t>
            </w:r>
          </w:p>
        </w:tc>
        <w:tc>
          <w:tcPr>
            <w:tcW w:w="1134" w:type="dxa"/>
            <w:hideMark/>
          </w:tcPr>
          <w:p w:rsidR="002F4FBB" w:rsidRPr="002F4FBB" w:rsidRDefault="002F4FBB" w:rsidP="002F4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F4FBB">
              <w:rPr>
                <w:rFonts w:ascii="Times New Roman" w:eastAsia="Times New Roman" w:hAnsi="Times New Roman" w:cs="Times New Roman"/>
                <w:bCs/>
                <w:color w:val="auto"/>
                <w:sz w:val="20"/>
                <w:szCs w:val="20"/>
                <w:lang w:eastAsia="lv-LV"/>
              </w:rPr>
              <w:t>EDP D.41</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0,8</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0,7</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0,8</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0,8</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0,8</w:t>
            </w:r>
          </w:p>
        </w:tc>
      </w:tr>
      <w:tr w:rsidR="002F4FBB" w:rsidRPr="002F4FBB" w:rsidTr="00DB1AEB">
        <w:trPr>
          <w:trHeight w:val="261"/>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b w:val="0"/>
                <w:color w:val="auto"/>
                <w:sz w:val="20"/>
                <w:szCs w:val="20"/>
                <w:lang w:eastAsia="lv-LV"/>
              </w:rPr>
              <w:t>5. Krājumu izmaiņas, t.sk.</w:t>
            </w:r>
          </w:p>
        </w:tc>
        <w:tc>
          <w:tcPr>
            <w:tcW w:w="1134" w:type="dxa"/>
            <w:hideMark/>
          </w:tcPr>
          <w:p w:rsidR="002F4FBB" w:rsidRPr="002F4FBB" w:rsidRDefault="002F4FBB" w:rsidP="002F4F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F4FBB">
              <w:rPr>
                <w:rFonts w:ascii="Times New Roman" w:eastAsia="Times New Roman" w:hAnsi="Times New Roman" w:cs="Times New Roman"/>
                <w:bCs/>
                <w:color w:val="auto"/>
                <w:sz w:val="20"/>
                <w:szCs w:val="20"/>
                <w:lang w:eastAsia="lv-LV"/>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-1,4</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3,0</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0,4</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-1,1</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1,6</w:t>
            </w:r>
          </w:p>
        </w:tc>
      </w:tr>
      <w:tr w:rsidR="00DB1AEB" w:rsidRPr="002F4FBB" w:rsidTr="00DB1AE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39" w:type="dxa"/>
            <w:hideMark/>
          </w:tcPr>
          <w:p w:rsidR="002F4FBB" w:rsidRPr="002F4FBB" w:rsidRDefault="002F4FBB" w:rsidP="002F4FBB">
            <w:pPr>
              <w:rPr>
                <w:rFonts w:ascii="Times New Roman" w:eastAsia="Times New Roman" w:hAnsi="Times New Roman" w:cs="Times New Roman"/>
                <w:b w:val="0"/>
                <w:bCs w:val="0"/>
                <w:color w:val="auto"/>
                <w:sz w:val="20"/>
                <w:szCs w:val="20"/>
                <w:lang w:eastAsia="lv-LV"/>
              </w:rPr>
            </w:pPr>
            <w:r w:rsidRPr="002F4FBB">
              <w:rPr>
                <w:rFonts w:ascii="Times New Roman" w:eastAsia="Times New Roman" w:hAnsi="Times New Roman" w:cs="Times New Roman"/>
                <w:b w:val="0"/>
                <w:color w:val="auto"/>
                <w:sz w:val="20"/>
                <w:szCs w:val="20"/>
                <w:lang w:eastAsia="lv-LV"/>
              </w:rPr>
              <w:t>Valsts parāda netiešā procentu likme</w:t>
            </w:r>
          </w:p>
        </w:tc>
        <w:tc>
          <w:tcPr>
            <w:tcW w:w="1134" w:type="dxa"/>
            <w:noWrap/>
            <w:hideMark/>
          </w:tcPr>
          <w:p w:rsidR="002F4FBB" w:rsidRPr="002F4FBB" w:rsidRDefault="002F4FBB" w:rsidP="002F4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2F4FBB">
              <w:rPr>
                <w:rFonts w:ascii="Times New Roman" w:eastAsia="Times New Roman" w:hAnsi="Times New Roman" w:cs="Times New Roman"/>
                <w:bCs/>
                <w:color w:val="auto"/>
                <w:sz w:val="20"/>
                <w:szCs w:val="20"/>
                <w:lang w:eastAsia="lv-LV"/>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2,1</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2,2</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2,3</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2,2</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2,5</w:t>
            </w:r>
          </w:p>
        </w:tc>
      </w:tr>
      <w:tr w:rsidR="00DB1E82" w:rsidRPr="002F4FBB" w:rsidTr="00DB1AEB">
        <w:trPr>
          <w:trHeight w:val="255"/>
        </w:trPr>
        <w:tc>
          <w:tcPr>
            <w:cnfStyle w:val="001000000000" w:firstRow="0" w:lastRow="0" w:firstColumn="1" w:lastColumn="0" w:oddVBand="0" w:evenVBand="0" w:oddHBand="0" w:evenHBand="0" w:firstRowFirstColumn="0" w:firstRowLastColumn="0" w:lastRowFirstColumn="0" w:lastRowLastColumn="0"/>
            <w:tcW w:w="8075" w:type="dxa"/>
            <w:gridSpan w:val="6"/>
            <w:hideMark/>
          </w:tcPr>
          <w:p w:rsidR="00DB1E82" w:rsidRPr="002F4FBB" w:rsidRDefault="00DB1E82" w:rsidP="00DB1E82">
            <w:pPr>
              <w:jc w:val="cente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Citi mainīgie</w:t>
            </w:r>
          </w:p>
        </w:tc>
        <w:tc>
          <w:tcPr>
            <w:tcW w:w="851" w:type="dxa"/>
            <w:hideMark/>
          </w:tcPr>
          <w:p w:rsidR="00DB1E82" w:rsidRPr="002F4FBB"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DB1AEB" w:rsidRPr="002F4FBB" w:rsidTr="00DB1A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6. Likvīdi finanšu aktīvi</w:t>
            </w:r>
          </w:p>
        </w:tc>
        <w:tc>
          <w:tcPr>
            <w:tcW w:w="1134" w:type="dxa"/>
            <w:noWrap/>
            <w:hideMark/>
          </w:tcPr>
          <w:p w:rsidR="002F4FBB" w:rsidRPr="002F4FBB" w:rsidRDefault="002F4FBB" w:rsidP="002F4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2F4FBB">
              <w:rPr>
                <w:rFonts w:ascii="Times New Roman" w:eastAsia="Times New Roman" w:hAnsi="Times New Roman" w:cs="Times New Roman"/>
                <w:color w:val="auto"/>
                <w:sz w:val="20"/>
                <w:szCs w:val="20"/>
                <w:lang w:eastAsia="lv-LV"/>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8,4</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r>
      <w:tr w:rsidR="002F4FBB" w:rsidRPr="002F4FBB" w:rsidTr="00DB1AEB">
        <w:trPr>
          <w:trHeight w:val="252"/>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7. Neto finansiālais parāds (7=1-6)</w:t>
            </w:r>
          </w:p>
        </w:tc>
        <w:tc>
          <w:tcPr>
            <w:tcW w:w="1134" w:type="dxa"/>
            <w:noWrap/>
            <w:hideMark/>
          </w:tcPr>
          <w:p w:rsidR="002F4FBB" w:rsidRPr="002F4FBB" w:rsidRDefault="002F4FBB" w:rsidP="002F4F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2F4FBB">
              <w:rPr>
                <w:rFonts w:ascii="Times New Roman" w:eastAsia="Times New Roman" w:hAnsi="Times New Roman" w:cs="Times New Roman"/>
                <w:color w:val="auto"/>
                <w:sz w:val="20"/>
                <w:szCs w:val="20"/>
                <w:lang w:eastAsia="lv-LV"/>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27,7</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r>
      <w:tr w:rsidR="00DB1AEB" w:rsidRPr="002F4FBB" w:rsidTr="00DB1AE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39" w:type="dxa"/>
            <w:hideMark/>
          </w:tcPr>
          <w:p w:rsidR="002F4FBB" w:rsidRPr="002F4FBB" w:rsidRDefault="002F4FBB" w:rsidP="002F4FBB">
            <w:pP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8. Parāda amortizācija</w:t>
            </w:r>
          </w:p>
        </w:tc>
        <w:tc>
          <w:tcPr>
            <w:tcW w:w="1134" w:type="dxa"/>
            <w:noWrap/>
            <w:hideMark/>
          </w:tcPr>
          <w:p w:rsidR="002F4FBB" w:rsidRPr="002F4FBB" w:rsidRDefault="002F4FBB" w:rsidP="002F4FB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2F4FBB">
              <w:rPr>
                <w:rFonts w:ascii="Times New Roman" w:eastAsia="Times New Roman" w:hAnsi="Times New Roman" w:cs="Times New Roman"/>
                <w:color w:val="auto"/>
                <w:sz w:val="20"/>
                <w:szCs w:val="20"/>
                <w:lang w:eastAsia="lv-LV"/>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2,6</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1,2</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3,8</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4,1</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0,6</w:t>
            </w:r>
          </w:p>
        </w:tc>
      </w:tr>
      <w:tr w:rsidR="002F4FBB" w:rsidRPr="002F4FBB" w:rsidTr="00DB1AEB">
        <w:trPr>
          <w:trHeight w:val="415"/>
        </w:trPr>
        <w:tc>
          <w:tcPr>
            <w:cnfStyle w:val="001000000000" w:firstRow="0" w:lastRow="0" w:firstColumn="1" w:lastColumn="0" w:oddVBand="0" w:evenVBand="0" w:oddHBand="0" w:evenHBand="0" w:firstRowFirstColumn="0" w:firstRowLastColumn="0" w:lastRowFirstColumn="0" w:lastRowLastColumn="0"/>
            <w:tcW w:w="3539" w:type="dxa"/>
            <w:hideMark/>
          </w:tcPr>
          <w:p w:rsidR="002F4FBB" w:rsidRPr="002F4FBB" w:rsidRDefault="002F4FBB" w:rsidP="002F4FBB">
            <w:pP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 xml:space="preserve">9. Ārvalstu valūtā </w:t>
            </w:r>
            <w:proofErr w:type="spellStart"/>
            <w:r w:rsidRPr="002F4FBB">
              <w:rPr>
                <w:rFonts w:ascii="Times New Roman" w:eastAsia="Times New Roman" w:hAnsi="Times New Roman" w:cs="Times New Roman"/>
                <w:b w:val="0"/>
                <w:color w:val="auto"/>
                <w:sz w:val="20"/>
                <w:szCs w:val="20"/>
                <w:lang w:eastAsia="lv-LV"/>
              </w:rPr>
              <w:t>denominētā</w:t>
            </w:r>
            <w:proofErr w:type="spellEnd"/>
            <w:r w:rsidRPr="002F4FBB">
              <w:rPr>
                <w:rFonts w:ascii="Times New Roman" w:eastAsia="Times New Roman" w:hAnsi="Times New Roman" w:cs="Times New Roman"/>
                <w:b w:val="0"/>
                <w:color w:val="auto"/>
                <w:sz w:val="20"/>
                <w:szCs w:val="20"/>
                <w:lang w:eastAsia="lv-LV"/>
              </w:rPr>
              <w:t xml:space="preserve"> parāda īpatsvars</w:t>
            </w:r>
          </w:p>
        </w:tc>
        <w:tc>
          <w:tcPr>
            <w:tcW w:w="1134" w:type="dxa"/>
            <w:noWrap/>
            <w:hideMark/>
          </w:tcPr>
          <w:p w:rsidR="002F4FBB" w:rsidRPr="002F4FBB" w:rsidRDefault="002F4FBB" w:rsidP="002F4F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2F4FBB">
              <w:rPr>
                <w:rFonts w:ascii="Times New Roman" w:eastAsia="Times New Roman" w:hAnsi="Times New Roman" w:cs="Times New Roman"/>
                <w:color w:val="auto"/>
                <w:sz w:val="20"/>
                <w:szCs w:val="20"/>
                <w:lang w:eastAsia="lv-LV"/>
              </w:rPr>
              <w:t> </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10,5</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10,0</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4,4</w:t>
            </w:r>
          </w:p>
        </w:tc>
        <w:tc>
          <w:tcPr>
            <w:tcW w:w="850"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1,3</w:t>
            </w:r>
          </w:p>
        </w:tc>
        <w:tc>
          <w:tcPr>
            <w:tcW w:w="851" w:type="dxa"/>
            <w:noWrap/>
            <w:vAlign w:val="center"/>
          </w:tcPr>
          <w:p w:rsidR="002F4FBB" w:rsidRPr="002F4FBB" w:rsidRDefault="002F4FBB" w:rsidP="002F4F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1,2</w:t>
            </w:r>
          </w:p>
        </w:tc>
      </w:tr>
      <w:tr w:rsidR="00DB1AEB" w:rsidRPr="00782778" w:rsidTr="00DB1A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39" w:type="dxa"/>
            <w:noWrap/>
            <w:hideMark/>
          </w:tcPr>
          <w:p w:rsidR="002F4FBB" w:rsidRPr="002F4FBB" w:rsidRDefault="002F4FBB" w:rsidP="002F4FBB">
            <w:pPr>
              <w:rPr>
                <w:rFonts w:ascii="Times New Roman" w:eastAsia="Times New Roman" w:hAnsi="Times New Roman" w:cs="Times New Roman"/>
                <w:b w:val="0"/>
                <w:color w:val="auto"/>
                <w:sz w:val="20"/>
                <w:szCs w:val="20"/>
                <w:lang w:eastAsia="lv-LV"/>
              </w:rPr>
            </w:pPr>
            <w:r w:rsidRPr="002F4FBB">
              <w:rPr>
                <w:rFonts w:ascii="Times New Roman" w:eastAsia="Times New Roman" w:hAnsi="Times New Roman" w:cs="Times New Roman"/>
                <w:b w:val="0"/>
                <w:color w:val="auto"/>
                <w:sz w:val="20"/>
                <w:szCs w:val="20"/>
                <w:lang w:eastAsia="lv-LV"/>
              </w:rPr>
              <w:t>10. Vidējā dzēšana</w:t>
            </w:r>
          </w:p>
        </w:tc>
        <w:tc>
          <w:tcPr>
            <w:tcW w:w="1134" w:type="dxa"/>
            <w:noWrap/>
            <w:hideMark/>
          </w:tcPr>
          <w:p w:rsidR="002F4FBB" w:rsidRPr="002F4FBB" w:rsidRDefault="002F4FBB" w:rsidP="002F4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2F4FBB">
              <w:rPr>
                <w:rFonts w:ascii="Times New Roman" w:eastAsia="Times New Roman" w:hAnsi="Times New Roman" w:cs="Times New Roman"/>
                <w:color w:val="auto"/>
                <w:sz w:val="20"/>
                <w:szCs w:val="20"/>
                <w:lang w:eastAsia="lv-LV"/>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7,63 gadi</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0"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c>
          <w:tcPr>
            <w:tcW w:w="851" w:type="dxa"/>
            <w:noWrap/>
            <w:vAlign w:val="center"/>
          </w:tcPr>
          <w:p w:rsidR="002F4FBB" w:rsidRPr="002F4FBB" w:rsidRDefault="002F4FBB" w:rsidP="002F4F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F4FBB">
              <w:rPr>
                <w:rFonts w:ascii="Times New Roman" w:hAnsi="Times New Roman" w:cs="Times New Roman"/>
                <w:color w:val="000000" w:themeColor="text1"/>
                <w:sz w:val="20"/>
                <w:szCs w:val="20"/>
              </w:rPr>
              <w:t> </w:t>
            </w:r>
          </w:p>
        </w:tc>
      </w:tr>
    </w:tbl>
    <w:p w:rsidR="006D382A" w:rsidRPr="00782778" w:rsidRDefault="006D382A" w:rsidP="00FC55D0">
      <w:pPr>
        <w:pStyle w:val="T"/>
        <w:spacing w:after="0"/>
        <w:ind w:left="0"/>
        <w:jc w:val="both"/>
        <w:rPr>
          <w:rFonts w:ascii="Times New Roman" w:hAnsi="Times New Roman"/>
          <w:color w:val="000000"/>
          <w:szCs w:val="24"/>
          <w:highlight w:val="yellow"/>
        </w:rPr>
      </w:pPr>
    </w:p>
    <w:p w:rsidR="00F51615" w:rsidRPr="00112DB6" w:rsidRDefault="00C81719" w:rsidP="00FC55D0">
      <w:pPr>
        <w:pStyle w:val="T"/>
        <w:spacing w:after="0"/>
        <w:ind w:left="0"/>
        <w:jc w:val="both"/>
        <w:rPr>
          <w:rFonts w:ascii="Times New Roman" w:hAnsi="Times New Roman"/>
          <w:color w:val="000000"/>
          <w:szCs w:val="24"/>
        </w:rPr>
      </w:pPr>
      <w:r w:rsidRPr="00112DB6">
        <w:rPr>
          <w:rFonts w:ascii="Times New Roman" w:hAnsi="Times New Roman"/>
          <w:color w:val="000000"/>
          <w:szCs w:val="24"/>
        </w:rPr>
        <w:t>5.</w:t>
      </w:r>
      <w:r w:rsidR="00F51615" w:rsidRPr="00112DB6">
        <w:rPr>
          <w:rFonts w:ascii="Times New Roman" w:hAnsi="Times New Roman"/>
          <w:color w:val="000000"/>
          <w:szCs w:val="24"/>
        </w:rPr>
        <w:t>tabula. Cikliskā attīstība</w:t>
      </w:r>
    </w:p>
    <w:tbl>
      <w:tblPr>
        <w:tblStyle w:val="GridTable6Colorful-Accent11"/>
        <w:tblW w:w="9352" w:type="dxa"/>
        <w:jc w:val="center"/>
        <w:tblLook w:val="04A0" w:firstRow="1" w:lastRow="0" w:firstColumn="1" w:lastColumn="0" w:noHBand="0" w:noVBand="1"/>
      </w:tblPr>
      <w:tblGrid>
        <w:gridCol w:w="3681"/>
        <w:gridCol w:w="840"/>
        <w:gridCol w:w="803"/>
        <w:gridCol w:w="1007"/>
        <w:gridCol w:w="1007"/>
        <w:gridCol w:w="1007"/>
        <w:gridCol w:w="1007"/>
      </w:tblGrid>
      <w:tr w:rsidR="00112DB6" w:rsidRPr="00112DB6" w:rsidTr="00E43D36">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noWrap/>
            <w:vAlign w:val="center"/>
            <w:hideMark/>
          </w:tcPr>
          <w:p w:rsidR="00112DB6" w:rsidRPr="00112DB6" w:rsidRDefault="00112DB6" w:rsidP="00112DB6">
            <w:pPr>
              <w:jc w:val="center"/>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 xml:space="preserve">% no IKP </w:t>
            </w:r>
          </w:p>
        </w:tc>
        <w:tc>
          <w:tcPr>
            <w:tcW w:w="840" w:type="dxa"/>
            <w:shd w:val="clear" w:color="auto" w:fill="DEEAF6"/>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EKS Kods</w:t>
            </w:r>
          </w:p>
        </w:tc>
        <w:tc>
          <w:tcPr>
            <w:tcW w:w="803" w:type="dxa"/>
            <w:shd w:val="clear" w:color="auto" w:fill="DEEAF6"/>
            <w:noWrap/>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112DB6">
              <w:rPr>
                <w:rFonts w:ascii="Times New Roman" w:hAnsi="Times New Roman" w:cs="Times New Roman"/>
                <w:bCs w:val="0"/>
                <w:color w:val="000000" w:themeColor="text1"/>
                <w:sz w:val="20"/>
                <w:szCs w:val="20"/>
              </w:rPr>
              <w:t>2018</w:t>
            </w:r>
          </w:p>
        </w:tc>
        <w:tc>
          <w:tcPr>
            <w:tcW w:w="1007" w:type="dxa"/>
            <w:shd w:val="clear" w:color="auto" w:fill="DEEAF6"/>
            <w:noWrap/>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112DB6">
              <w:rPr>
                <w:rFonts w:ascii="Times New Roman" w:hAnsi="Times New Roman" w:cs="Times New Roman"/>
                <w:bCs w:val="0"/>
                <w:color w:val="000000" w:themeColor="text1"/>
                <w:sz w:val="20"/>
                <w:szCs w:val="20"/>
              </w:rPr>
              <w:t>2019</w:t>
            </w:r>
          </w:p>
        </w:tc>
        <w:tc>
          <w:tcPr>
            <w:tcW w:w="1007" w:type="dxa"/>
            <w:shd w:val="clear" w:color="auto" w:fill="DEEAF6"/>
            <w:noWrap/>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112DB6">
              <w:rPr>
                <w:rFonts w:ascii="Times New Roman" w:hAnsi="Times New Roman" w:cs="Times New Roman"/>
                <w:bCs w:val="0"/>
                <w:color w:val="000000" w:themeColor="text1"/>
                <w:sz w:val="20"/>
                <w:szCs w:val="20"/>
              </w:rPr>
              <w:t>2020</w:t>
            </w:r>
          </w:p>
        </w:tc>
        <w:tc>
          <w:tcPr>
            <w:tcW w:w="1007" w:type="dxa"/>
            <w:shd w:val="clear" w:color="auto" w:fill="DEEAF6"/>
            <w:noWrap/>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112DB6">
              <w:rPr>
                <w:rFonts w:ascii="Times New Roman" w:hAnsi="Times New Roman" w:cs="Times New Roman"/>
                <w:bCs w:val="0"/>
                <w:color w:val="000000" w:themeColor="text1"/>
                <w:sz w:val="20"/>
                <w:szCs w:val="20"/>
              </w:rPr>
              <w:t>2021</w:t>
            </w:r>
          </w:p>
        </w:tc>
        <w:tc>
          <w:tcPr>
            <w:tcW w:w="1007" w:type="dxa"/>
            <w:shd w:val="clear" w:color="auto" w:fill="DEEAF6"/>
            <w:noWrap/>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112DB6">
              <w:rPr>
                <w:rFonts w:ascii="Times New Roman" w:hAnsi="Times New Roman" w:cs="Times New Roman"/>
                <w:bCs w:val="0"/>
                <w:color w:val="000000" w:themeColor="text1"/>
                <w:sz w:val="20"/>
                <w:szCs w:val="20"/>
              </w:rPr>
              <w:t>2022</w:t>
            </w:r>
          </w:p>
        </w:tc>
      </w:tr>
    </w:tbl>
    <w:tbl>
      <w:tblPr>
        <w:tblStyle w:val="GridTable6Colorful-Accent110"/>
        <w:tblW w:w="9352" w:type="dxa"/>
        <w:jc w:val="center"/>
        <w:tblLook w:val="04A0" w:firstRow="1" w:lastRow="0" w:firstColumn="1" w:lastColumn="0" w:noHBand="0" w:noVBand="1"/>
      </w:tblPr>
      <w:tblGrid>
        <w:gridCol w:w="3681"/>
        <w:gridCol w:w="840"/>
        <w:gridCol w:w="803"/>
        <w:gridCol w:w="1007"/>
        <w:gridCol w:w="1007"/>
        <w:gridCol w:w="1007"/>
        <w:gridCol w:w="1007"/>
      </w:tblGrid>
      <w:tr w:rsidR="00DB1AEB" w:rsidRPr="00112DB6" w:rsidTr="00DB1AEB">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1. IKP pieaugums salīdzināmās cenās (%)</w:t>
            </w:r>
          </w:p>
        </w:tc>
        <w:tc>
          <w:tcPr>
            <w:tcW w:w="840" w:type="dxa"/>
            <w:noWrap/>
            <w:vAlign w:val="center"/>
            <w:hideMark/>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B1g</w:t>
            </w:r>
          </w:p>
        </w:tc>
        <w:tc>
          <w:tcPr>
            <w:tcW w:w="803" w:type="dxa"/>
            <w:noWrap/>
            <w:vAlign w:val="bottom"/>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4,8</w:t>
            </w:r>
          </w:p>
        </w:tc>
        <w:tc>
          <w:tcPr>
            <w:tcW w:w="1007" w:type="dxa"/>
            <w:noWrap/>
            <w:vAlign w:val="bottom"/>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3,2</w:t>
            </w:r>
          </w:p>
        </w:tc>
        <w:tc>
          <w:tcPr>
            <w:tcW w:w="1007" w:type="dxa"/>
            <w:noWrap/>
            <w:vAlign w:val="bottom"/>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3,0</w:t>
            </w:r>
          </w:p>
        </w:tc>
        <w:tc>
          <w:tcPr>
            <w:tcW w:w="1007" w:type="dxa"/>
            <w:noWrap/>
            <w:vAlign w:val="bottom"/>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2,9</w:t>
            </w:r>
          </w:p>
        </w:tc>
        <w:tc>
          <w:tcPr>
            <w:tcW w:w="1007" w:type="dxa"/>
            <w:noWrap/>
            <w:vAlign w:val="bottom"/>
          </w:tcPr>
          <w:p w:rsidR="00112DB6" w:rsidRPr="00112DB6" w:rsidRDefault="00112DB6" w:rsidP="00112D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2,9</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2. Faktiskā budžeta bilance</w:t>
            </w:r>
          </w:p>
        </w:tc>
        <w:tc>
          <w:tcPr>
            <w:tcW w:w="840" w:type="dxa"/>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B.9</w:t>
            </w: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-0,7</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-0,5</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4</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2</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3</w:t>
            </w:r>
          </w:p>
        </w:tc>
      </w:tr>
      <w:tr w:rsidR="00DB1AEB" w:rsidRPr="00112DB6" w:rsidTr="00DB1AEB">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3. Procentu izdevumi</w:t>
            </w:r>
          </w:p>
        </w:tc>
        <w:tc>
          <w:tcPr>
            <w:tcW w:w="840" w:type="dxa"/>
            <w:noWrap/>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D.41</w:t>
            </w:r>
          </w:p>
        </w:tc>
        <w:tc>
          <w:tcPr>
            <w:tcW w:w="803"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0,8</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0,7</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0,8</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0,8</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0,8</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4. Vienreizēji un citi īslaicīgi pasākumi</w:t>
            </w:r>
            <w:r w:rsidR="006B2F8D">
              <w:rPr>
                <w:rStyle w:val="FootnoteReference"/>
                <w:rFonts w:cs="Times New Roman"/>
                <w:b w:val="0"/>
                <w:color w:val="000000" w:themeColor="text1"/>
                <w:szCs w:val="20"/>
              </w:rPr>
              <w:footnoteReference w:id="36"/>
            </w:r>
          </w:p>
        </w:tc>
        <w:tc>
          <w:tcPr>
            <w:tcW w:w="840" w:type="dxa"/>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 </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0,1</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DB1AEB" w:rsidRPr="00112DB6" w:rsidTr="00DB1AEB">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5. Potenciālā IKP pieaugums (%)</w:t>
            </w:r>
          </w:p>
        </w:tc>
        <w:tc>
          <w:tcPr>
            <w:tcW w:w="840" w:type="dxa"/>
            <w:noWrap/>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3,5</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3,5</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3,4</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3,2</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3,2</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ind w:firstLineChars="100" w:firstLine="200"/>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ieguldījums:</w:t>
            </w:r>
          </w:p>
        </w:tc>
        <w:tc>
          <w:tcPr>
            <w:tcW w:w="840" w:type="dxa"/>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 </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 </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DB1AEB" w:rsidRPr="00112DB6" w:rsidTr="00DB1AEB">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ind w:firstLineChars="200" w:firstLine="400"/>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 xml:space="preserve"> - nodarbinātības</w:t>
            </w:r>
          </w:p>
        </w:tc>
        <w:tc>
          <w:tcPr>
            <w:tcW w:w="840" w:type="dxa"/>
            <w:noWrap/>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0,4</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0,2</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0,1</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-0,1</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-0,1</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ind w:firstLineChars="200" w:firstLine="400"/>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 xml:space="preserve"> - kapitāla</w:t>
            </w:r>
          </w:p>
        </w:tc>
        <w:tc>
          <w:tcPr>
            <w:tcW w:w="840" w:type="dxa"/>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1,2</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1,3</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1,3</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1,3</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1,3</w:t>
            </w:r>
          </w:p>
        </w:tc>
      </w:tr>
      <w:tr w:rsidR="00DB1AEB" w:rsidRPr="00112DB6" w:rsidTr="00DB1AEB">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ind w:firstLineChars="200" w:firstLine="400"/>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 xml:space="preserve"> - kopējās ražošanas faktoru produktivitātes</w:t>
            </w:r>
          </w:p>
        </w:tc>
        <w:tc>
          <w:tcPr>
            <w:tcW w:w="840" w:type="dxa"/>
            <w:noWrap/>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1,9</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2,0</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2,0</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2,0</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2,0</w:t>
            </w:r>
          </w:p>
        </w:tc>
      </w:tr>
      <w:tr w:rsidR="00112DB6" w:rsidRPr="00112DB6" w:rsidTr="008839A4">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 xml:space="preserve">6. Starpība starp faktisko un potenciālo IKP </w:t>
            </w:r>
            <w:r w:rsidRPr="00112DB6">
              <w:rPr>
                <w:rFonts w:ascii="Times New Roman" w:hAnsi="Times New Roman" w:cs="Times New Roman"/>
                <w:b w:val="0"/>
                <w:color w:val="000000" w:themeColor="text1"/>
                <w:sz w:val="20"/>
                <w:szCs w:val="20"/>
              </w:rPr>
              <w:br/>
              <w:t>(% no potenciālā IKP)</w:t>
            </w:r>
          </w:p>
        </w:tc>
        <w:tc>
          <w:tcPr>
            <w:tcW w:w="840" w:type="dxa"/>
            <w:shd w:val="clear" w:color="auto" w:fill="DEEAF6"/>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1,7</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1,4</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1,0</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0,7</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0,4</w:t>
            </w:r>
          </w:p>
        </w:tc>
      </w:tr>
      <w:tr w:rsidR="00DB1AEB" w:rsidRPr="00112DB6" w:rsidTr="00DB1AEB">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7. Budžeta bilances cikliskā komponente</w:t>
            </w:r>
          </w:p>
        </w:tc>
        <w:tc>
          <w:tcPr>
            <w:tcW w:w="840" w:type="dxa"/>
            <w:noWrap/>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0,7</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0,5</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0,4</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0,3</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0,2</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8. Cikliski koriģētā bilance (2–7)</w:t>
            </w:r>
          </w:p>
        </w:tc>
        <w:tc>
          <w:tcPr>
            <w:tcW w:w="840" w:type="dxa"/>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-1,3</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-1,1</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8</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5</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5</w:t>
            </w:r>
          </w:p>
        </w:tc>
      </w:tr>
      <w:tr w:rsidR="00DB1AEB" w:rsidRPr="00112DB6" w:rsidTr="00DB1AEB">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9. Cikliski koriģētā primārā bilance (8+3)</w:t>
            </w:r>
          </w:p>
        </w:tc>
        <w:tc>
          <w:tcPr>
            <w:tcW w:w="840" w:type="dxa"/>
            <w:noWrap/>
            <w:vAlign w:val="center"/>
            <w:hideMark/>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-0,5</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-0,3</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0</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3</w:t>
            </w:r>
          </w:p>
        </w:tc>
        <w:tc>
          <w:tcPr>
            <w:tcW w:w="1007" w:type="dxa"/>
            <w:noWrap/>
            <w:vAlign w:val="bottom"/>
          </w:tcPr>
          <w:p w:rsidR="00112DB6" w:rsidRPr="00112DB6" w:rsidRDefault="00112DB6" w:rsidP="00112D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3</w:t>
            </w:r>
          </w:p>
        </w:tc>
      </w:tr>
      <w:tr w:rsidR="00112DB6" w:rsidRPr="00112DB6" w:rsidTr="00DB1AE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112DB6" w:rsidRPr="00112DB6" w:rsidRDefault="00112DB6" w:rsidP="00112DB6">
            <w:pPr>
              <w:rPr>
                <w:rFonts w:ascii="Times New Roman" w:hAnsi="Times New Roman" w:cs="Times New Roman"/>
                <w:b w:val="0"/>
                <w:color w:val="000000" w:themeColor="text1"/>
                <w:sz w:val="20"/>
                <w:szCs w:val="20"/>
              </w:rPr>
            </w:pPr>
            <w:r w:rsidRPr="00112DB6">
              <w:rPr>
                <w:rFonts w:ascii="Times New Roman" w:hAnsi="Times New Roman" w:cs="Times New Roman"/>
                <w:b w:val="0"/>
                <w:color w:val="000000" w:themeColor="text1"/>
                <w:sz w:val="20"/>
                <w:szCs w:val="20"/>
              </w:rPr>
              <w:t>10. Strukturālā bilance (8–4)</w:t>
            </w:r>
            <w:r w:rsidR="006B2F8D">
              <w:rPr>
                <w:rStyle w:val="FootnoteReference"/>
                <w:rFonts w:cs="Times New Roman"/>
                <w:b w:val="0"/>
                <w:color w:val="000000" w:themeColor="text1"/>
                <w:szCs w:val="20"/>
              </w:rPr>
              <w:footnoteReference w:id="37"/>
            </w:r>
          </w:p>
        </w:tc>
        <w:tc>
          <w:tcPr>
            <w:tcW w:w="840" w:type="dxa"/>
            <w:noWrap/>
            <w:vAlign w:val="center"/>
            <w:hideMark/>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-1,3</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-1,1</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8</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5</w:t>
            </w:r>
          </w:p>
        </w:tc>
        <w:tc>
          <w:tcPr>
            <w:tcW w:w="1007" w:type="dxa"/>
            <w:noWrap/>
            <w:vAlign w:val="bottom"/>
          </w:tcPr>
          <w:p w:rsidR="00112DB6" w:rsidRPr="00112DB6" w:rsidRDefault="00112DB6" w:rsidP="00112D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12DB6">
              <w:rPr>
                <w:rFonts w:ascii="Times New Roman" w:hAnsi="Times New Roman" w:cs="Times New Roman"/>
                <w:color w:val="000000" w:themeColor="text1"/>
                <w:sz w:val="20"/>
                <w:szCs w:val="20"/>
              </w:rPr>
              <w:t>-0,</w:t>
            </w:r>
            <w:r w:rsidR="00395636" w:rsidRPr="00395636">
              <w:rPr>
                <w:rFonts w:ascii="Times New Roman" w:hAnsi="Times New Roman" w:cs="Times New Roman"/>
                <w:color w:val="000000" w:themeColor="text1"/>
                <w:sz w:val="20"/>
                <w:szCs w:val="20"/>
              </w:rPr>
              <w:t>5</w:t>
            </w:r>
          </w:p>
        </w:tc>
      </w:tr>
    </w:tbl>
    <w:p w:rsidR="001C6BF2" w:rsidRDefault="001C6BF2" w:rsidP="00393D5A">
      <w:pPr>
        <w:pStyle w:val="T"/>
        <w:keepNext w:val="0"/>
        <w:spacing w:after="0"/>
        <w:ind w:left="-142" w:right="-142"/>
        <w:jc w:val="both"/>
        <w:rPr>
          <w:rFonts w:ascii="Times New Roman" w:hAnsi="Times New Roman"/>
          <w:color w:val="000000"/>
          <w:sz w:val="20"/>
          <w:szCs w:val="24"/>
        </w:rPr>
      </w:pPr>
    </w:p>
    <w:p w:rsidR="00916F9A" w:rsidRDefault="00916F9A" w:rsidP="00FC55D0">
      <w:pPr>
        <w:pStyle w:val="T"/>
        <w:keepNext w:val="0"/>
        <w:spacing w:after="0"/>
        <w:ind w:left="0"/>
        <w:jc w:val="both"/>
        <w:rPr>
          <w:rFonts w:ascii="Times New Roman" w:hAnsi="Times New Roman"/>
          <w:color w:val="000000"/>
          <w:sz w:val="20"/>
          <w:szCs w:val="24"/>
        </w:rPr>
      </w:pPr>
    </w:p>
    <w:p w:rsidR="00094C88" w:rsidRPr="00077549" w:rsidRDefault="00C81719" w:rsidP="00FC55D0">
      <w:pPr>
        <w:pStyle w:val="T"/>
        <w:spacing w:after="0"/>
        <w:ind w:left="0"/>
        <w:rPr>
          <w:rFonts w:ascii="Times New Roman" w:hAnsi="Times New Roman"/>
          <w:color w:val="000000"/>
          <w:szCs w:val="24"/>
        </w:rPr>
      </w:pPr>
      <w:r w:rsidRPr="00077549">
        <w:rPr>
          <w:rFonts w:ascii="Times New Roman" w:hAnsi="Times New Roman"/>
          <w:color w:val="000000"/>
          <w:szCs w:val="24"/>
        </w:rPr>
        <w:t>6.</w:t>
      </w:r>
      <w:r w:rsidR="00F51615" w:rsidRPr="00077549">
        <w:rPr>
          <w:rFonts w:ascii="Times New Roman" w:hAnsi="Times New Roman"/>
          <w:color w:val="000000"/>
          <w:szCs w:val="24"/>
        </w:rPr>
        <w:t xml:space="preserve">tabula. Salīdzinājums ar </w:t>
      </w:r>
      <w:r w:rsidR="003D38BE" w:rsidRPr="00077549">
        <w:rPr>
          <w:rFonts w:ascii="Times New Roman" w:hAnsi="Times New Roman"/>
          <w:color w:val="000000"/>
          <w:szCs w:val="24"/>
        </w:rPr>
        <w:t>Stabilitātes programmas 201</w:t>
      </w:r>
      <w:r w:rsidR="00077549" w:rsidRPr="00077549">
        <w:rPr>
          <w:rFonts w:ascii="Times New Roman" w:hAnsi="Times New Roman"/>
          <w:color w:val="000000"/>
          <w:szCs w:val="24"/>
        </w:rPr>
        <w:t>8</w:t>
      </w:r>
      <w:r w:rsidR="003D38BE" w:rsidRPr="00077549">
        <w:rPr>
          <w:rFonts w:ascii="Times New Roman" w:hAnsi="Times New Roman"/>
          <w:color w:val="000000"/>
          <w:szCs w:val="24"/>
        </w:rPr>
        <w:t>.</w:t>
      </w:r>
      <w:r w:rsidR="00FC55D0" w:rsidRPr="00077549">
        <w:rPr>
          <w:rFonts w:eastAsia="Calibri"/>
        </w:rPr>
        <w:t xml:space="preserve"> </w:t>
      </w:r>
      <w:r w:rsidR="00FC55D0" w:rsidRPr="00077549">
        <w:rPr>
          <w:rFonts w:ascii="Times New Roman" w:hAnsi="Times New Roman"/>
          <w:color w:val="000000"/>
          <w:szCs w:val="24"/>
        </w:rPr>
        <w:t xml:space="preserve">– </w:t>
      </w:r>
      <w:r w:rsidR="003D38BE" w:rsidRPr="00077549">
        <w:rPr>
          <w:rFonts w:ascii="Times New Roman" w:hAnsi="Times New Roman"/>
          <w:color w:val="000000"/>
          <w:szCs w:val="24"/>
        </w:rPr>
        <w:t>20</w:t>
      </w:r>
      <w:r w:rsidR="00FD5100" w:rsidRPr="00077549">
        <w:rPr>
          <w:rFonts w:ascii="Times New Roman" w:hAnsi="Times New Roman"/>
          <w:color w:val="000000"/>
          <w:szCs w:val="24"/>
        </w:rPr>
        <w:t>2</w:t>
      </w:r>
      <w:r w:rsidR="00077549" w:rsidRPr="00077549">
        <w:rPr>
          <w:rFonts w:ascii="Times New Roman" w:hAnsi="Times New Roman"/>
          <w:color w:val="000000"/>
          <w:szCs w:val="24"/>
        </w:rPr>
        <w:t>1</w:t>
      </w:r>
      <w:r w:rsidR="00F51615" w:rsidRPr="00077549">
        <w:rPr>
          <w:rFonts w:ascii="Times New Roman" w:hAnsi="Times New Roman"/>
          <w:color w:val="000000"/>
          <w:szCs w:val="24"/>
        </w:rPr>
        <w:t>.gadam prognozēm</w:t>
      </w:r>
    </w:p>
    <w:tbl>
      <w:tblPr>
        <w:tblW w:w="9335"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4389"/>
        <w:gridCol w:w="694"/>
        <w:gridCol w:w="850"/>
        <w:gridCol w:w="851"/>
        <w:gridCol w:w="850"/>
        <w:gridCol w:w="851"/>
        <w:gridCol w:w="850"/>
      </w:tblGrid>
      <w:tr w:rsidR="00077549" w:rsidRPr="006C3F86" w:rsidTr="008325B9">
        <w:trPr>
          <w:jc w:val="center"/>
        </w:trPr>
        <w:tc>
          <w:tcPr>
            <w:tcW w:w="4389" w:type="dxa"/>
            <w:shd w:val="clear" w:color="auto" w:fill="auto"/>
          </w:tcPr>
          <w:p w:rsidR="00077549" w:rsidRPr="006C3F86" w:rsidRDefault="00077549" w:rsidP="00DC25E6">
            <w:pPr>
              <w:spacing w:after="0" w:line="240" w:lineRule="auto"/>
              <w:rPr>
                <w:rFonts w:ascii="Times New Roman" w:hAnsi="Times New Roman"/>
                <w:b/>
                <w:bCs/>
                <w:sz w:val="20"/>
                <w:szCs w:val="20"/>
              </w:rPr>
            </w:pPr>
          </w:p>
        </w:tc>
        <w:tc>
          <w:tcPr>
            <w:tcW w:w="694" w:type="dxa"/>
            <w:shd w:val="clear" w:color="auto" w:fill="auto"/>
            <w:vAlign w:val="center"/>
          </w:tcPr>
          <w:p w:rsidR="00077549" w:rsidRPr="006C3F86" w:rsidRDefault="00077549" w:rsidP="00DC25E6">
            <w:pPr>
              <w:spacing w:after="0" w:line="240" w:lineRule="auto"/>
              <w:jc w:val="center"/>
              <w:rPr>
                <w:rFonts w:ascii="Times New Roman" w:hAnsi="Times New Roman"/>
                <w:b/>
                <w:bCs/>
                <w:sz w:val="20"/>
                <w:szCs w:val="20"/>
              </w:rPr>
            </w:pPr>
            <w:r w:rsidRPr="00A07882">
              <w:rPr>
                <w:rFonts w:ascii="Times New Roman" w:hAnsi="Times New Roman"/>
                <w:b/>
                <w:bCs/>
                <w:sz w:val="20"/>
                <w:szCs w:val="20"/>
              </w:rPr>
              <w:t>EKS kods</w:t>
            </w:r>
          </w:p>
        </w:tc>
        <w:tc>
          <w:tcPr>
            <w:tcW w:w="850" w:type="dxa"/>
            <w:shd w:val="clear" w:color="auto" w:fill="auto"/>
            <w:vAlign w:val="center"/>
          </w:tcPr>
          <w:p w:rsidR="00077549" w:rsidRPr="006C3F86" w:rsidRDefault="00077549" w:rsidP="00DC25E6">
            <w:pPr>
              <w:spacing w:after="0" w:line="240" w:lineRule="auto"/>
              <w:jc w:val="center"/>
              <w:rPr>
                <w:rFonts w:ascii="Times New Roman" w:hAnsi="Times New Roman"/>
                <w:b/>
                <w:bCs/>
                <w:sz w:val="20"/>
                <w:szCs w:val="20"/>
              </w:rPr>
            </w:pPr>
            <w:r>
              <w:rPr>
                <w:rFonts w:ascii="Times New Roman" w:hAnsi="Times New Roman"/>
                <w:b/>
                <w:bCs/>
                <w:sz w:val="20"/>
                <w:szCs w:val="20"/>
              </w:rPr>
              <w:t>2018</w:t>
            </w:r>
          </w:p>
        </w:tc>
        <w:tc>
          <w:tcPr>
            <w:tcW w:w="851" w:type="dxa"/>
            <w:shd w:val="clear" w:color="auto" w:fill="auto"/>
            <w:vAlign w:val="center"/>
          </w:tcPr>
          <w:p w:rsidR="00077549" w:rsidRPr="006C3F86" w:rsidRDefault="00077549" w:rsidP="00DC25E6">
            <w:pPr>
              <w:spacing w:after="0" w:line="240" w:lineRule="auto"/>
              <w:jc w:val="center"/>
              <w:rPr>
                <w:rFonts w:ascii="Times New Roman" w:hAnsi="Times New Roman"/>
                <w:b/>
                <w:bCs/>
                <w:sz w:val="20"/>
                <w:szCs w:val="20"/>
              </w:rPr>
            </w:pPr>
            <w:r w:rsidRPr="00A07882">
              <w:rPr>
                <w:rFonts w:ascii="Times New Roman" w:hAnsi="Times New Roman"/>
                <w:b/>
                <w:bCs/>
                <w:sz w:val="20"/>
                <w:szCs w:val="20"/>
              </w:rPr>
              <w:t>201</w:t>
            </w:r>
            <w:r>
              <w:rPr>
                <w:rFonts w:ascii="Times New Roman" w:hAnsi="Times New Roman"/>
                <w:b/>
                <w:bCs/>
                <w:sz w:val="20"/>
                <w:szCs w:val="20"/>
              </w:rPr>
              <w:t>9</w:t>
            </w:r>
          </w:p>
        </w:tc>
        <w:tc>
          <w:tcPr>
            <w:tcW w:w="850" w:type="dxa"/>
            <w:shd w:val="clear" w:color="auto" w:fill="auto"/>
            <w:vAlign w:val="center"/>
          </w:tcPr>
          <w:p w:rsidR="00077549" w:rsidRPr="006C3F86" w:rsidRDefault="00077549" w:rsidP="00DC25E6">
            <w:pPr>
              <w:spacing w:after="0" w:line="240" w:lineRule="auto"/>
              <w:jc w:val="center"/>
              <w:rPr>
                <w:rFonts w:ascii="Times New Roman" w:hAnsi="Times New Roman"/>
                <w:b/>
                <w:bCs/>
                <w:sz w:val="20"/>
                <w:szCs w:val="20"/>
              </w:rPr>
            </w:pPr>
            <w:r>
              <w:rPr>
                <w:rFonts w:ascii="Times New Roman" w:hAnsi="Times New Roman"/>
                <w:b/>
                <w:bCs/>
                <w:sz w:val="20"/>
                <w:szCs w:val="20"/>
              </w:rPr>
              <w:t>2020</w:t>
            </w:r>
          </w:p>
        </w:tc>
        <w:tc>
          <w:tcPr>
            <w:tcW w:w="851" w:type="dxa"/>
            <w:shd w:val="clear" w:color="auto" w:fill="auto"/>
            <w:vAlign w:val="center"/>
          </w:tcPr>
          <w:p w:rsidR="00077549" w:rsidRPr="006C3F86" w:rsidRDefault="00077549" w:rsidP="00DC25E6">
            <w:pPr>
              <w:spacing w:after="0" w:line="240" w:lineRule="auto"/>
              <w:jc w:val="center"/>
              <w:rPr>
                <w:rFonts w:ascii="Times New Roman" w:hAnsi="Times New Roman"/>
                <w:b/>
                <w:bCs/>
                <w:sz w:val="20"/>
                <w:szCs w:val="20"/>
              </w:rPr>
            </w:pPr>
            <w:r>
              <w:rPr>
                <w:rFonts w:ascii="Times New Roman" w:hAnsi="Times New Roman"/>
                <w:b/>
                <w:bCs/>
                <w:sz w:val="20"/>
                <w:szCs w:val="20"/>
              </w:rPr>
              <w:t>2021</w:t>
            </w:r>
          </w:p>
        </w:tc>
        <w:tc>
          <w:tcPr>
            <w:tcW w:w="850" w:type="dxa"/>
            <w:shd w:val="clear" w:color="auto" w:fill="auto"/>
            <w:vAlign w:val="center"/>
          </w:tcPr>
          <w:p w:rsidR="00077549" w:rsidRPr="006C3F86" w:rsidRDefault="00077549" w:rsidP="00DC25E6">
            <w:pPr>
              <w:spacing w:after="0" w:line="240" w:lineRule="auto"/>
              <w:jc w:val="center"/>
              <w:rPr>
                <w:rFonts w:ascii="Times New Roman" w:hAnsi="Times New Roman"/>
                <w:b/>
                <w:bCs/>
                <w:sz w:val="20"/>
                <w:szCs w:val="20"/>
              </w:rPr>
            </w:pPr>
            <w:r>
              <w:rPr>
                <w:rFonts w:ascii="Times New Roman" w:hAnsi="Times New Roman"/>
                <w:b/>
                <w:bCs/>
                <w:sz w:val="20"/>
                <w:szCs w:val="20"/>
              </w:rPr>
              <w:t>2022</w:t>
            </w:r>
          </w:p>
        </w:tc>
      </w:tr>
      <w:tr w:rsidR="00077549" w:rsidRPr="006C3F86" w:rsidTr="008325B9">
        <w:trPr>
          <w:jc w:val="center"/>
        </w:trPr>
        <w:tc>
          <w:tcPr>
            <w:tcW w:w="4389" w:type="dxa"/>
            <w:shd w:val="clear" w:color="auto" w:fill="DEEAF6"/>
          </w:tcPr>
          <w:p w:rsidR="00077549" w:rsidRPr="006D1A8A" w:rsidRDefault="00077549" w:rsidP="006D1A8A">
            <w:pPr>
              <w:spacing w:after="0" w:line="240" w:lineRule="auto"/>
              <w:rPr>
                <w:rFonts w:ascii="Times New Roman" w:eastAsia="Times New Roman" w:hAnsi="Times New Roman" w:cs="Times New Roman"/>
                <w:b/>
                <w:bCs/>
                <w:sz w:val="20"/>
                <w:szCs w:val="20"/>
                <w:lang w:eastAsia="lv-LV"/>
              </w:rPr>
            </w:pPr>
            <w:r w:rsidRPr="006D1A8A">
              <w:rPr>
                <w:rFonts w:ascii="Times New Roman" w:eastAsia="Times New Roman" w:hAnsi="Times New Roman" w:cs="Times New Roman"/>
                <w:b/>
                <w:bCs/>
                <w:sz w:val="20"/>
                <w:szCs w:val="20"/>
                <w:lang w:eastAsia="lv-LV"/>
              </w:rPr>
              <w:t>IKP pieaugums (%)</w:t>
            </w:r>
          </w:p>
        </w:tc>
        <w:tc>
          <w:tcPr>
            <w:tcW w:w="694"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r w:rsidRPr="006D1A8A">
              <w:rPr>
                <w:rFonts w:ascii="Times New Roman" w:eastAsia="Times New Roman" w:hAnsi="Times New Roman" w:cs="Times New Roman"/>
                <w:b/>
                <w:bCs/>
                <w:sz w:val="20"/>
                <w:szCs w:val="20"/>
                <w:lang w:eastAsia="lv-LV"/>
              </w:rPr>
              <w:t>B1g</w:t>
            </w: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1"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1"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r>
      <w:tr w:rsidR="00112DB6" w:rsidRPr="006C3F86" w:rsidTr="008325B9">
        <w:trPr>
          <w:jc w:val="center"/>
        </w:trPr>
        <w:tc>
          <w:tcPr>
            <w:tcW w:w="4389" w:type="dxa"/>
            <w:shd w:val="clear" w:color="auto" w:fill="auto"/>
          </w:tcPr>
          <w:p w:rsidR="00112DB6" w:rsidRPr="006C3F86" w:rsidRDefault="00112DB6" w:rsidP="00112DB6">
            <w:pPr>
              <w:spacing w:after="0" w:line="240" w:lineRule="auto"/>
              <w:jc w:val="right"/>
              <w:rPr>
                <w:rFonts w:ascii="Times New Roman" w:hAnsi="Times New Roman"/>
                <w:bCs/>
                <w:sz w:val="20"/>
                <w:szCs w:val="20"/>
              </w:rPr>
            </w:pPr>
            <w:r>
              <w:rPr>
                <w:rFonts w:ascii="Times New Roman" w:hAnsi="Times New Roman"/>
                <w:bCs/>
                <w:sz w:val="20"/>
                <w:szCs w:val="20"/>
              </w:rPr>
              <w:t>2018.</w:t>
            </w:r>
            <w:r w:rsidRPr="00A07882">
              <w:rPr>
                <w:rFonts w:ascii="Times New Roman" w:hAnsi="Times New Roman"/>
                <w:bCs/>
                <w:sz w:val="20"/>
                <w:szCs w:val="20"/>
              </w:rPr>
              <w:t>gads</w:t>
            </w:r>
          </w:p>
        </w:tc>
        <w:tc>
          <w:tcPr>
            <w:tcW w:w="694" w:type="dxa"/>
            <w:shd w:val="clear" w:color="auto" w:fill="auto"/>
            <w:vAlign w:val="center"/>
          </w:tcPr>
          <w:p w:rsidR="00112DB6" w:rsidRPr="006C3F86" w:rsidRDefault="00112DB6" w:rsidP="00112DB6">
            <w:pPr>
              <w:spacing w:after="0" w:line="240" w:lineRule="auto"/>
              <w:jc w:val="center"/>
              <w:rPr>
                <w:rFonts w:ascii="Times New Roman" w:hAnsi="Times New Roman"/>
                <w:sz w:val="20"/>
                <w:szCs w:val="20"/>
              </w:rPr>
            </w:pPr>
          </w:p>
        </w:tc>
        <w:tc>
          <w:tcPr>
            <w:tcW w:w="850"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4,0</w:t>
            </w:r>
          </w:p>
        </w:tc>
        <w:tc>
          <w:tcPr>
            <w:tcW w:w="851"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3,4</w:t>
            </w:r>
          </w:p>
        </w:tc>
        <w:tc>
          <w:tcPr>
            <w:tcW w:w="850"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3,0</w:t>
            </w:r>
          </w:p>
        </w:tc>
        <w:tc>
          <w:tcPr>
            <w:tcW w:w="851"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2,9</w:t>
            </w:r>
          </w:p>
        </w:tc>
        <w:tc>
          <w:tcPr>
            <w:tcW w:w="850"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w:t>
            </w:r>
          </w:p>
        </w:tc>
      </w:tr>
      <w:tr w:rsidR="00112DB6" w:rsidRPr="006C3F86" w:rsidTr="008325B9">
        <w:trPr>
          <w:jc w:val="center"/>
        </w:trPr>
        <w:tc>
          <w:tcPr>
            <w:tcW w:w="4389" w:type="dxa"/>
            <w:shd w:val="clear" w:color="auto" w:fill="DEEAF6"/>
          </w:tcPr>
          <w:p w:rsidR="00112DB6" w:rsidRPr="006C3F86" w:rsidRDefault="00112DB6" w:rsidP="00112DB6">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vAlign w:val="center"/>
          </w:tcPr>
          <w:p w:rsidR="00112DB6" w:rsidRPr="006C3F86" w:rsidRDefault="00112DB6" w:rsidP="00112DB6">
            <w:pPr>
              <w:spacing w:after="0" w:line="240" w:lineRule="auto"/>
              <w:jc w:val="center"/>
              <w:rPr>
                <w:rFonts w:ascii="Times New Roman" w:hAnsi="Times New Roman"/>
                <w:sz w:val="20"/>
                <w:szCs w:val="20"/>
              </w:rPr>
            </w:pPr>
          </w:p>
        </w:tc>
        <w:tc>
          <w:tcPr>
            <w:tcW w:w="850" w:type="dxa"/>
            <w:shd w:val="clear" w:color="auto" w:fill="DEEAF6"/>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4,8</w:t>
            </w:r>
          </w:p>
        </w:tc>
        <w:tc>
          <w:tcPr>
            <w:tcW w:w="851" w:type="dxa"/>
            <w:shd w:val="clear" w:color="auto" w:fill="DEEAF6"/>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3,2</w:t>
            </w:r>
          </w:p>
        </w:tc>
        <w:tc>
          <w:tcPr>
            <w:tcW w:w="850" w:type="dxa"/>
            <w:shd w:val="clear" w:color="auto" w:fill="DEEAF6"/>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3,0</w:t>
            </w:r>
          </w:p>
        </w:tc>
        <w:tc>
          <w:tcPr>
            <w:tcW w:w="851" w:type="dxa"/>
            <w:shd w:val="clear" w:color="auto" w:fill="DEEAF6"/>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2,9</w:t>
            </w:r>
          </w:p>
        </w:tc>
        <w:tc>
          <w:tcPr>
            <w:tcW w:w="850" w:type="dxa"/>
            <w:shd w:val="clear" w:color="auto" w:fill="DEEAF6"/>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2,9</w:t>
            </w:r>
          </w:p>
        </w:tc>
      </w:tr>
      <w:tr w:rsidR="00112DB6" w:rsidRPr="006C3F86" w:rsidTr="008325B9">
        <w:trPr>
          <w:jc w:val="center"/>
        </w:trPr>
        <w:tc>
          <w:tcPr>
            <w:tcW w:w="4389" w:type="dxa"/>
            <w:shd w:val="clear" w:color="auto" w:fill="auto"/>
          </w:tcPr>
          <w:p w:rsidR="00112DB6" w:rsidRPr="006C3F86" w:rsidRDefault="00112DB6" w:rsidP="00112DB6">
            <w:pPr>
              <w:spacing w:after="0" w:line="240" w:lineRule="auto"/>
              <w:jc w:val="right"/>
              <w:rPr>
                <w:rFonts w:ascii="Times New Roman" w:hAnsi="Times New Roman"/>
                <w:bCs/>
                <w:snapToGrid w:val="0"/>
                <w:sz w:val="20"/>
                <w:szCs w:val="20"/>
              </w:rPr>
            </w:pPr>
            <w:r w:rsidRPr="00A07882">
              <w:rPr>
                <w:rFonts w:ascii="Times New Roman" w:hAnsi="Times New Roman"/>
                <w:bCs/>
                <w:snapToGrid w:val="0"/>
                <w:sz w:val="20"/>
                <w:szCs w:val="20"/>
              </w:rPr>
              <w:t>Izmaiņas</w:t>
            </w:r>
          </w:p>
        </w:tc>
        <w:tc>
          <w:tcPr>
            <w:tcW w:w="694" w:type="dxa"/>
            <w:shd w:val="clear" w:color="auto" w:fill="auto"/>
            <w:vAlign w:val="center"/>
          </w:tcPr>
          <w:p w:rsidR="00112DB6" w:rsidRPr="006C3F86" w:rsidRDefault="00112DB6" w:rsidP="00112DB6">
            <w:pPr>
              <w:spacing w:after="0" w:line="240" w:lineRule="auto"/>
              <w:jc w:val="center"/>
              <w:rPr>
                <w:rFonts w:ascii="Times New Roman" w:hAnsi="Times New Roman"/>
                <w:sz w:val="20"/>
                <w:szCs w:val="20"/>
              </w:rPr>
            </w:pPr>
          </w:p>
        </w:tc>
        <w:tc>
          <w:tcPr>
            <w:tcW w:w="850"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0,8</w:t>
            </w:r>
          </w:p>
        </w:tc>
        <w:tc>
          <w:tcPr>
            <w:tcW w:w="851"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-0,2</w:t>
            </w:r>
          </w:p>
        </w:tc>
        <w:tc>
          <w:tcPr>
            <w:tcW w:w="850"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0,0</w:t>
            </w:r>
          </w:p>
        </w:tc>
        <w:tc>
          <w:tcPr>
            <w:tcW w:w="851"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0,0</w:t>
            </w:r>
          </w:p>
        </w:tc>
        <w:tc>
          <w:tcPr>
            <w:tcW w:w="850" w:type="dxa"/>
            <w:shd w:val="clear" w:color="auto" w:fill="auto"/>
            <w:vAlign w:val="bottom"/>
          </w:tcPr>
          <w:p w:rsidR="00112DB6" w:rsidRPr="006C3F86"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w:t>
            </w:r>
          </w:p>
        </w:tc>
      </w:tr>
      <w:tr w:rsidR="00077549" w:rsidRPr="006C3F86" w:rsidTr="008325B9">
        <w:trPr>
          <w:jc w:val="center"/>
        </w:trPr>
        <w:tc>
          <w:tcPr>
            <w:tcW w:w="4389" w:type="dxa"/>
            <w:shd w:val="clear" w:color="auto" w:fill="DEEAF6"/>
          </w:tcPr>
          <w:p w:rsidR="00077549" w:rsidRPr="006D1A8A" w:rsidRDefault="00077549" w:rsidP="006D1A8A">
            <w:pPr>
              <w:spacing w:after="0" w:line="240" w:lineRule="auto"/>
              <w:rPr>
                <w:rFonts w:ascii="Times New Roman" w:eastAsia="Times New Roman" w:hAnsi="Times New Roman" w:cs="Times New Roman"/>
                <w:b/>
                <w:bCs/>
                <w:sz w:val="20"/>
                <w:szCs w:val="20"/>
                <w:lang w:eastAsia="lv-LV"/>
              </w:rPr>
            </w:pPr>
            <w:r w:rsidRPr="006D1A8A">
              <w:rPr>
                <w:rFonts w:ascii="Times New Roman" w:eastAsia="Times New Roman" w:hAnsi="Times New Roman" w:cs="Times New Roman"/>
                <w:b/>
                <w:bCs/>
                <w:sz w:val="20"/>
                <w:szCs w:val="20"/>
                <w:lang w:eastAsia="lv-LV"/>
              </w:rPr>
              <w:t>Faktiskā budžeta bilance</w:t>
            </w:r>
          </w:p>
          <w:p w:rsidR="00077549" w:rsidRPr="006D1A8A" w:rsidRDefault="00077549" w:rsidP="006D1A8A">
            <w:pPr>
              <w:spacing w:after="0" w:line="240" w:lineRule="auto"/>
              <w:rPr>
                <w:rFonts w:ascii="Times New Roman" w:eastAsia="Times New Roman" w:hAnsi="Times New Roman" w:cs="Times New Roman"/>
                <w:b/>
                <w:bCs/>
                <w:sz w:val="20"/>
                <w:szCs w:val="20"/>
                <w:lang w:eastAsia="lv-LV"/>
              </w:rPr>
            </w:pPr>
            <w:r w:rsidRPr="006D1A8A">
              <w:rPr>
                <w:rFonts w:ascii="Times New Roman" w:eastAsia="Times New Roman" w:hAnsi="Times New Roman" w:cs="Times New Roman"/>
                <w:b/>
                <w:bCs/>
                <w:sz w:val="20"/>
                <w:szCs w:val="20"/>
                <w:lang w:eastAsia="lv-LV"/>
              </w:rPr>
              <w:t>(% no IKP)</w:t>
            </w:r>
          </w:p>
        </w:tc>
        <w:tc>
          <w:tcPr>
            <w:tcW w:w="694"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r w:rsidRPr="006D1A8A">
              <w:rPr>
                <w:rFonts w:ascii="Times New Roman" w:eastAsia="Times New Roman" w:hAnsi="Times New Roman" w:cs="Times New Roman"/>
                <w:b/>
                <w:bCs/>
                <w:sz w:val="20"/>
                <w:szCs w:val="20"/>
                <w:lang w:eastAsia="lv-LV"/>
              </w:rPr>
              <w:t>B.9</w:t>
            </w: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1"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1"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r>
      <w:tr w:rsidR="00112DB6" w:rsidRPr="006C3F86" w:rsidTr="008325B9">
        <w:trPr>
          <w:jc w:val="center"/>
        </w:trPr>
        <w:tc>
          <w:tcPr>
            <w:tcW w:w="4389" w:type="dxa"/>
            <w:shd w:val="clear" w:color="auto" w:fill="auto"/>
          </w:tcPr>
          <w:p w:rsidR="00112DB6" w:rsidRPr="006C3F86" w:rsidRDefault="00112DB6" w:rsidP="00112DB6">
            <w:pPr>
              <w:spacing w:after="0" w:line="240" w:lineRule="auto"/>
              <w:jc w:val="right"/>
              <w:rPr>
                <w:rFonts w:ascii="Times New Roman" w:hAnsi="Times New Roman"/>
                <w:bCs/>
                <w:sz w:val="20"/>
                <w:szCs w:val="20"/>
              </w:rPr>
            </w:pPr>
            <w:r>
              <w:rPr>
                <w:rFonts w:ascii="Times New Roman" w:hAnsi="Times New Roman"/>
                <w:bCs/>
                <w:sz w:val="20"/>
                <w:szCs w:val="20"/>
              </w:rPr>
              <w:t>2018.</w:t>
            </w:r>
            <w:r w:rsidRPr="00A07882">
              <w:rPr>
                <w:rFonts w:ascii="Times New Roman" w:hAnsi="Times New Roman"/>
                <w:bCs/>
                <w:sz w:val="20"/>
                <w:szCs w:val="20"/>
              </w:rPr>
              <w:t>gads</w:t>
            </w:r>
          </w:p>
        </w:tc>
        <w:tc>
          <w:tcPr>
            <w:tcW w:w="694" w:type="dxa"/>
            <w:shd w:val="clear" w:color="auto" w:fill="auto"/>
            <w:vAlign w:val="center"/>
          </w:tcPr>
          <w:p w:rsidR="00112DB6" w:rsidRPr="006C3F86" w:rsidRDefault="00112DB6" w:rsidP="00112DB6">
            <w:pPr>
              <w:spacing w:after="0" w:line="240" w:lineRule="auto"/>
              <w:jc w:val="center"/>
              <w:rPr>
                <w:rFonts w:ascii="Times New Roman" w:hAnsi="Times New Roman"/>
                <w:sz w:val="20"/>
                <w:szCs w:val="20"/>
              </w:rPr>
            </w:pPr>
          </w:p>
        </w:tc>
        <w:tc>
          <w:tcPr>
            <w:tcW w:w="850" w:type="dxa"/>
            <w:shd w:val="clear" w:color="auto" w:fill="auto"/>
            <w:vAlign w:val="bottom"/>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-0,9</w:t>
            </w:r>
          </w:p>
        </w:tc>
        <w:tc>
          <w:tcPr>
            <w:tcW w:w="851" w:type="dxa"/>
            <w:shd w:val="clear" w:color="auto" w:fill="auto"/>
            <w:vAlign w:val="bottom"/>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-0,9</w:t>
            </w:r>
          </w:p>
        </w:tc>
        <w:tc>
          <w:tcPr>
            <w:tcW w:w="850" w:type="dxa"/>
            <w:shd w:val="clear" w:color="auto" w:fill="auto"/>
            <w:vAlign w:val="bottom"/>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-0,4</w:t>
            </w:r>
          </w:p>
        </w:tc>
        <w:tc>
          <w:tcPr>
            <w:tcW w:w="851" w:type="dxa"/>
            <w:shd w:val="clear" w:color="auto" w:fill="auto"/>
            <w:vAlign w:val="bottom"/>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-0,4</w:t>
            </w:r>
          </w:p>
        </w:tc>
        <w:tc>
          <w:tcPr>
            <w:tcW w:w="850" w:type="dxa"/>
            <w:shd w:val="clear" w:color="auto" w:fill="auto"/>
            <w:vAlign w:val="bottom"/>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 xml:space="preserve"> -</w:t>
            </w:r>
          </w:p>
        </w:tc>
      </w:tr>
      <w:tr w:rsidR="00112DB6" w:rsidRPr="006C3F86" w:rsidTr="008325B9">
        <w:trPr>
          <w:jc w:val="center"/>
        </w:trPr>
        <w:tc>
          <w:tcPr>
            <w:tcW w:w="4389" w:type="dxa"/>
            <w:shd w:val="clear" w:color="auto" w:fill="DEEAF6"/>
          </w:tcPr>
          <w:p w:rsidR="00112DB6" w:rsidRPr="006C3F86" w:rsidRDefault="00112DB6" w:rsidP="00112DB6">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vAlign w:val="center"/>
          </w:tcPr>
          <w:p w:rsidR="00112DB6" w:rsidRPr="006C3F86" w:rsidRDefault="00112DB6" w:rsidP="00112DB6">
            <w:pPr>
              <w:spacing w:after="0" w:line="240" w:lineRule="auto"/>
              <w:jc w:val="center"/>
              <w:rPr>
                <w:rFonts w:ascii="Times New Roman" w:hAnsi="Times New Roman"/>
                <w:sz w:val="20"/>
                <w:szCs w:val="20"/>
              </w:rPr>
            </w:pPr>
          </w:p>
        </w:tc>
        <w:tc>
          <w:tcPr>
            <w:tcW w:w="850" w:type="dxa"/>
            <w:shd w:val="clear" w:color="auto" w:fill="DEEAF6"/>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-0,7</w:t>
            </w:r>
          </w:p>
        </w:tc>
        <w:tc>
          <w:tcPr>
            <w:tcW w:w="851" w:type="dxa"/>
            <w:shd w:val="clear" w:color="auto" w:fill="DEEAF6"/>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-0,5</w:t>
            </w:r>
          </w:p>
        </w:tc>
        <w:tc>
          <w:tcPr>
            <w:tcW w:w="850" w:type="dxa"/>
            <w:shd w:val="clear" w:color="auto" w:fill="DEEAF6"/>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w:t>
            </w:r>
            <w:r w:rsidR="001C6BF2" w:rsidRPr="001C6BF2">
              <w:rPr>
                <w:rFonts w:ascii="Times New Roman" w:eastAsia="Calibri" w:hAnsi="Times New Roman"/>
                <w:sz w:val="20"/>
                <w:szCs w:val="20"/>
              </w:rPr>
              <w:t>4</w:t>
            </w:r>
          </w:p>
        </w:tc>
        <w:tc>
          <w:tcPr>
            <w:tcW w:w="851" w:type="dxa"/>
            <w:shd w:val="clear" w:color="auto" w:fill="DEEAF6"/>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w:t>
            </w:r>
            <w:r w:rsidR="001C6BF2" w:rsidRPr="001C6BF2">
              <w:rPr>
                <w:rFonts w:ascii="Times New Roman" w:eastAsia="Calibri" w:hAnsi="Times New Roman"/>
                <w:sz w:val="20"/>
                <w:szCs w:val="20"/>
              </w:rPr>
              <w:t>2</w:t>
            </w:r>
          </w:p>
        </w:tc>
        <w:tc>
          <w:tcPr>
            <w:tcW w:w="850" w:type="dxa"/>
            <w:shd w:val="clear" w:color="auto" w:fill="DEEAF6"/>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w:t>
            </w:r>
            <w:r w:rsidR="001C6BF2" w:rsidRPr="001C6BF2">
              <w:rPr>
                <w:rFonts w:ascii="Times New Roman" w:eastAsia="Calibri" w:hAnsi="Times New Roman"/>
                <w:sz w:val="20"/>
                <w:szCs w:val="20"/>
              </w:rPr>
              <w:t>3</w:t>
            </w:r>
          </w:p>
        </w:tc>
      </w:tr>
      <w:tr w:rsidR="00112DB6" w:rsidRPr="006C3F86" w:rsidTr="008325B9">
        <w:trPr>
          <w:jc w:val="center"/>
        </w:trPr>
        <w:tc>
          <w:tcPr>
            <w:tcW w:w="4389" w:type="dxa"/>
            <w:shd w:val="clear" w:color="auto" w:fill="auto"/>
          </w:tcPr>
          <w:p w:rsidR="00112DB6" w:rsidRPr="006C3F86" w:rsidRDefault="00112DB6" w:rsidP="00112DB6">
            <w:pPr>
              <w:spacing w:after="0" w:line="240" w:lineRule="auto"/>
              <w:jc w:val="right"/>
              <w:rPr>
                <w:rFonts w:ascii="Times New Roman" w:hAnsi="Times New Roman"/>
                <w:bCs/>
                <w:snapToGrid w:val="0"/>
                <w:sz w:val="20"/>
                <w:szCs w:val="20"/>
              </w:rPr>
            </w:pPr>
            <w:r w:rsidRPr="00A07882">
              <w:rPr>
                <w:rFonts w:ascii="Times New Roman" w:hAnsi="Times New Roman"/>
                <w:bCs/>
                <w:snapToGrid w:val="0"/>
                <w:sz w:val="20"/>
                <w:szCs w:val="20"/>
              </w:rPr>
              <w:t>Izmaiņas</w:t>
            </w:r>
          </w:p>
        </w:tc>
        <w:tc>
          <w:tcPr>
            <w:tcW w:w="694" w:type="dxa"/>
            <w:shd w:val="clear" w:color="auto" w:fill="auto"/>
            <w:vAlign w:val="center"/>
          </w:tcPr>
          <w:p w:rsidR="00112DB6" w:rsidRPr="006C3F86" w:rsidRDefault="00112DB6" w:rsidP="00112DB6">
            <w:pPr>
              <w:spacing w:after="0" w:line="240" w:lineRule="auto"/>
              <w:jc w:val="center"/>
              <w:rPr>
                <w:rFonts w:ascii="Times New Roman" w:hAnsi="Times New Roman"/>
                <w:sz w:val="20"/>
                <w:szCs w:val="20"/>
              </w:rPr>
            </w:pPr>
          </w:p>
        </w:tc>
        <w:tc>
          <w:tcPr>
            <w:tcW w:w="850" w:type="dxa"/>
            <w:shd w:val="clear" w:color="auto" w:fill="auto"/>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0,27</w:t>
            </w:r>
          </w:p>
        </w:tc>
        <w:tc>
          <w:tcPr>
            <w:tcW w:w="851" w:type="dxa"/>
            <w:shd w:val="clear" w:color="auto" w:fill="auto"/>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w:t>
            </w:r>
            <w:r w:rsidR="000B2D85">
              <w:rPr>
                <w:rFonts w:ascii="Times New Roman" w:eastAsia="Calibri" w:hAnsi="Times New Roman"/>
                <w:sz w:val="20"/>
                <w:szCs w:val="20"/>
              </w:rPr>
              <w:t>4</w:t>
            </w:r>
          </w:p>
        </w:tc>
        <w:tc>
          <w:tcPr>
            <w:tcW w:w="850" w:type="dxa"/>
            <w:shd w:val="clear" w:color="auto" w:fill="auto"/>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w:t>
            </w:r>
            <w:r w:rsidR="00E37CCD">
              <w:rPr>
                <w:rFonts w:ascii="Times New Roman" w:eastAsia="Calibri" w:hAnsi="Times New Roman"/>
                <w:sz w:val="20"/>
                <w:szCs w:val="20"/>
              </w:rPr>
              <w:t>0</w:t>
            </w:r>
          </w:p>
        </w:tc>
        <w:tc>
          <w:tcPr>
            <w:tcW w:w="851" w:type="dxa"/>
            <w:shd w:val="clear" w:color="auto" w:fill="auto"/>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0,</w:t>
            </w:r>
            <w:r w:rsidR="001C6BF2" w:rsidRPr="001C6BF2">
              <w:rPr>
                <w:rFonts w:ascii="Times New Roman" w:eastAsia="Calibri" w:hAnsi="Times New Roman"/>
                <w:sz w:val="20"/>
                <w:szCs w:val="20"/>
              </w:rPr>
              <w:t>14</w:t>
            </w:r>
          </w:p>
        </w:tc>
        <w:tc>
          <w:tcPr>
            <w:tcW w:w="850" w:type="dxa"/>
            <w:shd w:val="clear" w:color="auto" w:fill="auto"/>
          </w:tcPr>
          <w:p w:rsidR="00112DB6" w:rsidRPr="00AC5954" w:rsidRDefault="00112DB6" w:rsidP="00112DB6">
            <w:pPr>
              <w:spacing w:after="0" w:line="240" w:lineRule="auto"/>
              <w:jc w:val="center"/>
              <w:rPr>
                <w:rFonts w:ascii="Times New Roman" w:eastAsia="Calibri" w:hAnsi="Times New Roman"/>
                <w:sz w:val="20"/>
                <w:szCs w:val="20"/>
              </w:rPr>
            </w:pPr>
            <w:r w:rsidRPr="00112DB6">
              <w:rPr>
                <w:rFonts w:ascii="Times New Roman" w:eastAsia="Calibri" w:hAnsi="Times New Roman"/>
                <w:sz w:val="20"/>
                <w:szCs w:val="20"/>
              </w:rPr>
              <w:t xml:space="preserve"> -</w:t>
            </w:r>
          </w:p>
        </w:tc>
      </w:tr>
      <w:tr w:rsidR="00077549" w:rsidRPr="006C3F86" w:rsidTr="008325B9">
        <w:trPr>
          <w:jc w:val="center"/>
        </w:trPr>
        <w:tc>
          <w:tcPr>
            <w:tcW w:w="4389" w:type="dxa"/>
            <w:shd w:val="clear" w:color="auto" w:fill="DEEAF6"/>
          </w:tcPr>
          <w:p w:rsidR="00077549" w:rsidRPr="006D1A8A" w:rsidRDefault="00077549" w:rsidP="006D1A8A">
            <w:pPr>
              <w:spacing w:after="0" w:line="240" w:lineRule="auto"/>
              <w:rPr>
                <w:rFonts w:ascii="Times New Roman" w:eastAsia="Times New Roman" w:hAnsi="Times New Roman" w:cs="Times New Roman"/>
                <w:b/>
                <w:bCs/>
                <w:sz w:val="20"/>
                <w:szCs w:val="20"/>
                <w:lang w:eastAsia="lv-LV"/>
              </w:rPr>
            </w:pPr>
            <w:r w:rsidRPr="006D1A8A">
              <w:rPr>
                <w:rFonts w:ascii="Times New Roman" w:eastAsia="Times New Roman" w:hAnsi="Times New Roman" w:cs="Times New Roman"/>
                <w:b/>
                <w:bCs/>
                <w:sz w:val="20"/>
                <w:szCs w:val="20"/>
                <w:lang w:eastAsia="lv-LV"/>
              </w:rPr>
              <w:t>Vispārējās valdības kopējais parāds (% no IKP)</w:t>
            </w:r>
          </w:p>
        </w:tc>
        <w:tc>
          <w:tcPr>
            <w:tcW w:w="694"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tabs>
                <w:tab w:val="decimal" w:pos="330"/>
              </w:tabs>
              <w:spacing w:after="0" w:line="240" w:lineRule="auto"/>
              <w:jc w:val="center"/>
              <w:rPr>
                <w:rFonts w:ascii="Times New Roman" w:eastAsia="Times New Roman" w:hAnsi="Times New Roman" w:cs="Times New Roman"/>
                <w:b/>
                <w:bCs/>
                <w:sz w:val="20"/>
                <w:szCs w:val="20"/>
                <w:lang w:eastAsia="lv-LV"/>
              </w:rPr>
            </w:pPr>
          </w:p>
        </w:tc>
        <w:tc>
          <w:tcPr>
            <w:tcW w:w="851" w:type="dxa"/>
            <w:shd w:val="clear" w:color="auto" w:fill="DEEAF6"/>
            <w:vAlign w:val="center"/>
          </w:tcPr>
          <w:p w:rsidR="00077549" w:rsidRPr="006D1A8A" w:rsidRDefault="00077549" w:rsidP="006D1A8A">
            <w:pPr>
              <w:tabs>
                <w:tab w:val="decimal" w:pos="330"/>
              </w:tabs>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tabs>
                <w:tab w:val="decimal" w:pos="330"/>
              </w:tabs>
              <w:spacing w:after="0" w:line="240" w:lineRule="auto"/>
              <w:jc w:val="center"/>
              <w:rPr>
                <w:rFonts w:ascii="Times New Roman" w:eastAsia="Times New Roman" w:hAnsi="Times New Roman" w:cs="Times New Roman"/>
                <w:b/>
                <w:bCs/>
                <w:sz w:val="20"/>
                <w:szCs w:val="20"/>
                <w:lang w:eastAsia="lv-LV"/>
              </w:rPr>
            </w:pPr>
          </w:p>
        </w:tc>
        <w:tc>
          <w:tcPr>
            <w:tcW w:w="851" w:type="dxa"/>
            <w:shd w:val="clear" w:color="auto" w:fill="DEEAF6"/>
            <w:vAlign w:val="center"/>
          </w:tcPr>
          <w:p w:rsidR="00077549" w:rsidRPr="006D1A8A" w:rsidRDefault="00077549" w:rsidP="006D1A8A">
            <w:pPr>
              <w:tabs>
                <w:tab w:val="decimal" w:pos="330"/>
              </w:tabs>
              <w:spacing w:after="0" w:line="240" w:lineRule="auto"/>
              <w:jc w:val="center"/>
              <w:rPr>
                <w:rFonts w:ascii="Times New Roman" w:eastAsia="Times New Roman" w:hAnsi="Times New Roman" w:cs="Times New Roman"/>
                <w:b/>
                <w:bCs/>
                <w:sz w:val="20"/>
                <w:szCs w:val="20"/>
                <w:lang w:eastAsia="lv-LV"/>
              </w:rPr>
            </w:pPr>
          </w:p>
        </w:tc>
        <w:tc>
          <w:tcPr>
            <w:tcW w:w="850" w:type="dxa"/>
            <w:shd w:val="clear" w:color="auto" w:fill="DEEAF6"/>
            <w:vAlign w:val="center"/>
          </w:tcPr>
          <w:p w:rsidR="00077549" w:rsidRPr="006D1A8A" w:rsidRDefault="00077549" w:rsidP="006D1A8A">
            <w:pPr>
              <w:spacing w:after="0" w:line="240" w:lineRule="auto"/>
              <w:jc w:val="center"/>
              <w:rPr>
                <w:rFonts w:ascii="Times New Roman" w:eastAsia="Times New Roman" w:hAnsi="Times New Roman" w:cs="Times New Roman"/>
                <w:b/>
                <w:bCs/>
                <w:sz w:val="20"/>
                <w:szCs w:val="20"/>
                <w:lang w:eastAsia="lv-LV"/>
              </w:rPr>
            </w:pPr>
          </w:p>
        </w:tc>
      </w:tr>
      <w:tr w:rsidR="00077549" w:rsidRPr="00C10F9A" w:rsidTr="008325B9">
        <w:trPr>
          <w:jc w:val="center"/>
        </w:trPr>
        <w:tc>
          <w:tcPr>
            <w:tcW w:w="4389" w:type="dxa"/>
            <w:shd w:val="clear" w:color="auto" w:fill="auto"/>
          </w:tcPr>
          <w:p w:rsidR="00077549" w:rsidRPr="00C10F9A" w:rsidRDefault="00077549" w:rsidP="00DC25E6">
            <w:pPr>
              <w:spacing w:after="0" w:line="240" w:lineRule="auto"/>
              <w:jc w:val="right"/>
              <w:rPr>
                <w:rFonts w:ascii="Times New Roman" w:hAnsi="Times New Roman"/>
                <w:bCs/>
                <w:sz w:val="20"/>
                <w:szCs w:val="20"/>
              </w:rPr>
            </w:pPr>
            <w:r>
              <w:rPr>
                <w:rFonts w:ascii="Times New Roman" w:hAnsi="Times New Roman"/>
                <w:bCs/>
                <w:sz w:val="20"/>
                <w:szCs w:val="20"/>
              </w:rPr>
              <w:t>2018.</w:t>
            </w:r>
            <w:r w:rsidRPr="00A07882">
              <w:rPr>
                <w:rFonts w:ascii="Times New Roman" w:hAnsi="Times New Roman"/>
                <w:bCs/>
                <w:sz w:val="20"/>
                <w:szCs w:val="20"/>
              </w:rPr>
              <w:t>gads</w:t>
            </w:r>
          </w:p>
        </w:tc>
        <w:tc>
          <w:tcPr>
            <w:tcW w:w="694" w:type="dxa"/>
            <w:shd w:val="clear" w:color="auto" w:fill="auto"/>
            <w:vAlign w:val="center"/>
          </w:tcPr>
          <w:p w:rsidR="00077549" w:rsidRPr="00C10F9A" w:rsidRDefault="00077549" w:rsidP="00DC25E6">
            <w:pPr>
              <w:spacing w:after="0" w:line="240" w:lineRule="auto"/>
              <w:jc w:val="center"/>
              <w:rPr>
                <w:rFonts w:ascii="Times New Roman" w:hAnsi="Times New Roman"/>
                <w:sz w:val="20"/>
                <w:szCs w:val="20"/>
              </w:rPr>
            </w:pPr>
          </w:p>
        </w:tc>
        <w:tc>
          <w:tcPr>
            <w:tcW w:w="850"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38,4</w:t>
            </w:r>
          </w:p>
        </w:tc>
        <w:tc>
          <w:tcPr>
            <w:tcW w:w="851"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37,4</w:t>
            </w:r>
          </w:p>
        </w:tc>
        <w:tc>
          <w:tcPr>
            <w:tcW w:w="850"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38,0</w:t>
            </w:r>
          </w:p>
        </w:tc>
        <w:tc>
          <w:tcPr>
            <w:tcW w:w="851"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35,6</w:t>
            </w:r>
          </w:p>
        </w:tc>
        <w:tc>
          <w:tcPr>
            <w:tcW w:w="850" w:type="dxa"/>
            <w:shd w:val="clear" w:color="auto" w:fill="auto"/>
          </w:tcPr>
          <w:p w:rsidR="00077549" w:rsidRPr="0012337B" w:rsidRDefault="00077549" w:rsidP="00DC25E6">
            <w:pPr>
              <w:tabs>
                <w:tab w:val="decimal" w:pos="330"/>
              </w:tabs>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w:t>
            </w:r>
          </w:p>
        </w:tc>
      </w:tr>
      <w:tr w:rsidR="00077549" w:rsidRPr="00C10F9A" w:rsidTr="008325B9">
        <w:trPr>
          <w:trHeight w:val="70"/>
          <w:jc w:val="center"/>
        </w:trPr>
        <w:tc>
          <w:tcPr>
            <w:tcW w:w="4389" w:type="dxa"/>
            <w:shd w:val="clear" w:color="auto" w:fill="DEEAF6"/>
          </w:tcPr>
          <w:p w:rsidR="00077549" w:rsidRPr="00C10F9A" w:rsidRDefault="00077549" w:rsidP="00DC25E6">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vAlign w:val="center"/>
          </w:tcPr>
          <w:p w:rsidR="00077549" w:rsidRPr="00C10F9A" w:rsidRDefault="00077549" w:rsidP="00DC25E6">
            <w:pPr>
              <w:spacing w:after="0" w:line="240" w:lineRule="auto"/>
              <w:jc w:val="center"/>
              <w:rPr>
                <w:rFonts w:ascii="Times New Roman" w:hAnsi="Times New Roman"/>
                <w:sz w:val="20"/>
                <w:szCs w:val="20"/>
              </w:rPr>
            </w:pPr>
          </w:p>
        </w:tc>
        <w:tc>
          <w:tcPr>
            <w:tcW w:w="850" w:type="dxa"/>
            <w:shd w:val="clear" w:color="auto" w:fill="DEEAF6"/>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36,1</w:t>
            </w:r>
          </w:p>
        </w:tc>
        <w:tc>
          <w:tcPr>
            <w:tcW w:w="851" w:type="dxa"/>
            <w:shd w:val="clear" w:color="auto" w:fill="DEEAF6"/>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37,4</w:t>
            </w:r>
          </w:p>
        </w:tc>
        <w:tc>
          <w:tcPr>
            <w:tcW w:w="850" w:type="dxa"/>
            <w:shd w:val="clear" w:color="auto" w:fill="DEEAF6"/>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36,1</w:t>
            </w:r>
          </w:p>
        </w:tc>
        <w:tc>
          <w:tcPr>
            <w:tcW w:w="851" w:type="dxa"/>
            <w:shd w:val="clear" w:color="auto" w:fill="DEEAF6"/>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33,5</w:t>
            </w:r>
          </w:p>
        </w:tc>
        <w:tc>
          <w:tcPr>
            <w:tcW w:w="850" w:type="dxa"/>
            <w:shd w:val="clear" w:color="auto" w:fill="DEEAF6"/>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33,1</w:t>
            </w:r>
          </w:p>
        </w:tc>
      </w:tr>
      <w:tr w:rsidR="00077549" w:rsidRPr="00C10F9A" w:rsidTr="008325B9">
        <w:trPr>
          <w:jc w:val="center"/>
        </w:trPr>
        <w:tc>
          <w:tcPr>
            <w:tcW w:w="4389" w:type="dxa"/>
            <w:shd w:val="clear" w:color="auto" w:fill="auto"/>
          </w:tcPr>
          <w:p w:rsidR="00077549" w:rsidRPr="00C10F9A" w:rsidRDefault="00077549" w:rsidP="00DC25E6">
            <w:pPr>
              <w:spacing w:after="0" w:line="240" w:lineRule="auto"/>
              <w:jc w:val="right"/>
              <w:rPr>
                <w:rFonts w:ascii="Times New Roman" w:hAnsi="Times New Roman"/>
                <w:bCs/>
                <w:snapToGrid w:val="0"/>
                <w:sz w:val="20"/>
                <w:szCs w:val="20"/>
              </w:rPr>
            </w:pPr>
            <w:r w:rsidRPr="001361E8">
              <w:rPr>
                <w:rFonts w:ascii="Times New Roman" w:hAnsi="Times New Roman"/>
                <w:sz w:val="20"/>
              </w:rPr>
              <w:t>Izmaiņas</w:t>
            </w:r>
          </w:p>
        </w:tc>
        <w:tc>
          <w:tcPr>
            <w:tcW w:w="694" w:type="dxa"/>
            <w:shd w:val="clear" w:color="auto" w:fill="auto"/>
            <w:vAlign w:val="center"/>
          </w:tcPr>
          <w:p w:rsidR="00077549" w:rsidRPr="00C10F9A" w:rsidRDefault="00077549" w:rsidP="00DC25E6">
            <w:pPr>
              <w:spacing w:after="0" w:line="240" w:lineRule="auto"/>
              <w:jc w:val="center"/>
              <w:rPr>
                <w:rFonts w:ascii="Times New Roman" w:hAnsi="Times New Roman"/>
                <w:sz w:val="20"/>
                <w:szCs w:val="20"/>
              </w:rPr>
            </w:pPr>
          </w:p>
        </w:tc>
        <w:tc>
          <w:tcPr>
            <w:tcW w:w="850"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-2,3</w:t>
            </w:r>
          </w:p>
        </w:tc>
        <w:tc>
          <w:tcPr>
            <w:tcW w:w="851"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-0,0</w:t>
            </w:r>
          </w:p>
        </w:tc>
        <w:tc>
          <w:tcPr>
            <w:tcW w:w="850"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-1,9</w:t>
            </w:r>
          </w:p>
        </w:tc>
        <w:tc>
          <w:tcPr>
            <w:tcW w:w="851"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-2,1</w:t>
            </w:r>
          </w:p>
        </w:tc>
        <w:tc>
          <w:tcPr>
            <w:tcW w:w="850" w:type="dxa"/>
            <w:shd w:val="clear" w:color="auto" w:fill="auto"/>
          </w:tcPr>
          <w:p w:rsidR="00077549" w:rsidRPr="0012337B" w:rsidRDefault="00077549" w:rsidP="00DC25E6">
            <w:pPr>
              <w:spacing w:after="0" w:line="240" w:lineRule="auto"/>
              <w:jc w:val="center"/>
              <w:rPr>
                <w:rFonts w:ascii="Times New Roman" w:eastAsia="Calibri" w:hAnsi="Times New Roman"/>
                <w:sz w:val="20"/>
                <w:szCs w:val="20"/>
              </w:rPr>
            </w:pPr>
            <w:r w:rsidRPr="0012337B">
              <w:rPr>
                <w:rFonts w:ascii="Times New Roman" w:eastAsia="Calibri" w:hAnsi="Times New Roman"/>
                <w:sz w:val="20"/>
                <w:szCs w:val="20"/>
              </w:rPr>
              <w:t>-</w:t>
            </w:r>
          </w:p>
        </w:tc>
      </w:tr>
    </w:tbl>
    <w:p w:rsidR="00527227" w:rsidRPr="00782778" w:rsidRDefault="00527227" w:rsidP="00FC55D0">
      <w:pPr>
        <w:pStyle w:val="T"/>
        <w:spacing w:after="0"/>
        <w:ind w:left="0"/>
        <w:rPr>
          <w:rFonts w:ascii="Times New Roman" w:hAnsi="Times New Roman"/>
          <w:color w:val="000000"/>
          <w:szCs w:val="24"/>
          <w:highlight w:val="yellow"/>
        </w:rPr>
      </w:pPr>
    </w:p>
    <w:p w:rsidR="00F51615" w:rsidRPr="00112DB6" w:rsidRDefault="00C81719" w:rsidP="00FC55D0">
      <w:pPr>
        <w:spacing w:after="0"/>
        <w:rPr>
          <w:rFonts w:ascii="Times New Roman" w:hAnsi="Times New Roman" w:cs="Times New Roman"/>
          <w:b/>
          <w:sz w:val="24"/>
          <w:szCs w:val="24"/>
        </w:rPr>
      </w:pPr>
      <w:r w:rsidRPr="00112DB6">
        <w:rPr>
          <w:rFonts w:ascii="Times New Roman" w:hAnsi="Times New Roman" w:cs="Times New Roman"/>
          <w:b/>
          <w:sz w:val="24"/>
          <w:szCs w:val="24"/>
        </w:rPr>
        <w:t>7.</w:t>
      </w:r>
      <w:r w:rsidR="00F51615" w:rsidRPr="00112DB6">
        <w:rPr>
          <w:rFonts w:ascii="Times New Roman" w:hAnsi="Times New Roman" w:cs="Times New Roman"/>
          <w:b/>
          <w:sz w:val="24"/>
          <w:szCs w:val="24"/>
        </w:rPr>
        <w:t>tabula. Publisko finanšu ilgtspēja</w:t>
      </w:r>
      <w:r w:rsidR="003028D0" w:rsidRPr="00112DB6">
        <w:rPr>
          <w:rStyle w:val="FootnoteReference"/>
          <w:rFonts w:ascii="Times New Roman" w:hAnsi="Times New Roman" w:cs="Times New Roman"/>
          <w:b/>
          <w:sz w:val="24"/>
          <w:szCs w:val="24"/>
        </w:rPr>
        <w:footnoteReference w:id="38"/>
      </w:r>
    </w:p>
    <w:tbl>
      <w:tblPr>
        <w:tblStyle w:val="GridTable6Colorful-Accent51"/>
        <w:tblW w:w="9356" w:type="dxa"/>
        <w:tblInd w:w="-147"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4395"/>
        <w:gridCol w:w="709"/>
        <w:gridCol w:w="708"/>
        <w:gridCol w:w="709"/>
        <w:gridCol w:w="709"/>
        <w:gridCol w:w="709"/>
        <w:gridCol w:w="708"/>
        <w:gridCol w:w="709"/>
      </w:tblGrid>
      <w:tr w:rsidR="008839A4" w:rsidRPr="008839A4" w:rsidTr="0072691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hideMark/>
          </w:tcPr>
          <w:p w:rsidR="00DF38C8" w:rsidRPr="008839A4" w:rsidRDefault="00DF38C8" w:rsidP="008839A4">
            <w:pPr>
              <w:jc w:val="cente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 no IKP</w:t>
            </w:r>
          </w:p>
        </w:tc>
        <w:tc>
          <w:tcPr>
            <w:tcW w:w="709"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2016</w:t>
            </w:r>
          </w:p>
        </w:tc>
        <w:tc>
          <w:tcPr>
            <w:tcW w:w="708"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2020</w:t>
            </w:r>
          </w:p>
        </w:tc>
        <w:tc>
          <w:tcPr>
            <w:tcW w:w="709"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2030</w:t>
            </w:r>
          </w:p>
        </w:tc>
        <w:tc>
          <w:tcPr>
            <w:tcW w:w="709"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2040</w:t>
            </w:r>
          </w:p>
        </w:tc>
        <w:tc>
          <w:tcPr>
            <w:tcW w:w="709"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2050</w:t>
            </w:r>
          </w:p>
        </w:tc>
        <w:tc>
          <w:tcPr>
            <w:tcW w:w="708"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2060</w:t>
            </w:r>
          </w:p>
        </w:tc>
        <w:tc>
          <w:tcPr>
            <w:tcW w:w="709" w:type="dxa"/>
            <w:tcBorders>
              <w:bottom w:val="none" w:sz="0" w:space="0" w:color="auto"/>
            </w:tcBorders>
            <w:noWrap/>
            <w:hideMark/>
          </w:tcPr>
          <w:p w:rsidR="00DF38C8" w:rsidRPr="008839A4" w:rsidRDefault="00DF38C8" w:rsidP="00DF38C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2070</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Ar vecumu saistītie vispārējās valdības budžeta izdevumi</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16,4</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15,7</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16,1</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16,2</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15,9</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16,2</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15,0</w:t>
            </w:r>
          </w:p>
        </w:tc>
      </w:tr>
      <w:tr w:rsidR="008839A4" w:rsidRPr="008839A4" w:rsidTr="00726917">
        <w:trPr>
          <w:trHeight w:val="9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 xml:space="preserve">Pensiju izdevumi (valsts pensijām), </w:t>
            </w:r>
            <w:r w:rsidRPr="008839A4">
              <w:rPr>
                <w:rFonts w:ascii="Times New Roman" w:eastAsia="Times New Roman" w:hAnsi="Times New Roman" w:cs="Times New Roman"/>
                <w:color w:val="000000" w:themeColor="text1"/>
                <w:sz w:val="20"/>
                <w:szCs w:val="20"/>
                <w:lang w:eastAsia="lv-LV"/>
              </w:rPr>
              <w:br/>
              <w:t>ieskaitot valsts sociālā nodrošinājuma pabalstu, bet neieskaitot 2.pensiju līmeni, no tām:</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7,4</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6,8</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6,3</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6,1</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5,6</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4,7</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jc w:val="right"/>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 xml:space="preserve">      Vecuma un priekšlaicīgās pensijas - uz iemaksām balstītās</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6,6</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6,1</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5,6</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5,8</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5,6</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5,2</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4,2</w:t>
            </w:r>
          </w:p>
        </w:tc>
      </w:tr>
      <w:tr w:rsidR="008839A4" w:rsidRPr="008839A4" w:rsidTr="00726917">
        <w:trPr>
          <w:trHeight w:val="6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jc w:val="right"/>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 xml:space="preserve">       Citas pensijas</w:t>
            </w:r>
            <w:r w:rsidRPr="008839A4">
              <w:rPr>
                <w:rFonts w:ascii="Times New Roman" w:eastAsia="Times New Roman" w:hAnsi="Times New Roman" w:cs="Times New Roman"/>
                <w:color w:val="000000" w:themeColor="text1"/>
                <w:sz w:val="20"/>
                <w:szCs w:val="20"/>
                <w:lang w:eastAsia="lv-LV"/>
              </w:rPr>
              <w:br/>
              <w:t xml:space="preserve">       (t.sk. invaliditātes, apgādnieka zaudējuma gadījumā)</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0,8</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0,7</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0,6</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0,5</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0,5</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0,5</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0,5</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Ne-sociālās apdrošināšanas pensijas</w:t>
            </w:r>
            <w:r w:rsidRPr="008839A4">
              <w:rPr>
                <w:rFonts w:ascii="Times New Roman" w:eastAsia="Times New Roman" w:hAnsi="Times New Roman" w:cs="Times New Roman"/>
                <w:color w:val="000000" w:themeColor="text1"/>
                <w:sz w:val="20"/>
                <w:szCs w:val="20"/>
                <w:lang w:eastAsia="lv-LV"/>
              </w:rPr>
              <w:br/>
              <w:t>(iesk. minimālās pensijas un minimālā ienākuma nodrošināšanu)</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r>
      <w:tr w:rsidR="008839A4" w:rsidRPr="008839A4" w:rsidTr="00726917">
        <w:trPr>
          <w:trHeight w:val="3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Veselības aprūpes izdevumi</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3,7</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3,9</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4,4</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4,5</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4,4</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4,3</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Ilglaicīgās aprūpes izdevumi</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0,4</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0,4</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0,5</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0,5</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0,6</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0,6</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0,6</w:t>
            </w:r>
          </w:p>
        </w:tc>
      </w:tr>
      <w:tr w:rsidR="008839A4" w:rsidRPr="008839A4" w:rsidTr="00726917">
        <w:trPr>
          <w:trHeight w:val="3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Izglītības izdevumi</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4,5</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4,8</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4,6</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4,5</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5,0</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726917">
            <w:pPr>
              <w:tabs>
                <w:tab w:val="right" w:pos="4032"/>
              </w:tabs>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Izdevumi bezdarbnieku pabalstiem</w:t>
            </w:r>
            <w:r w:rsidR="00726917">
              <w:rPr>
                <w:rFonts w:ascii="Times New Roman" w:eastAsia="Times New Roman" w:hAnsi="Times New Roman" w:cs="Times New Roman"/>
                <w:color w:val="000000" w:themeColor="text1"/>
                <w:sz w:val="20"/>
                <w:szCs w:val="20"/>
                <w:lang w:eastAsia="lv-LV"/>
              </w:rPr>
              <w:tab/>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0,4</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0,4</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0,3</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0,3</w:t>
            </w:r>
          </w:p>
        </w:tc>
      </w:tr>
      <w:tr w:rsidR="008839A4" w:rsidRPr="008839A4" w:rsidTr="00726917">
        <w:trPr>
          <w:trHeight w:val="96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Sociālās apdrošināšanas iemaksas valsts pensiju speciālajā budžetā, tai skaitā iemaksas invaliditātes apdrošināšanai un citi ieņēmumi pensiju budžetā</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6,8</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7,5</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6,7</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6,6</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6,5</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6,5</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6,5</w:t>
            </w:r>
          </w:p>
        </w:tc>
      </w:tr>
      <w:tr w:rsidR="00726917" w:rsidRPr="008839A4" w:rsidTr="0072691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356" w:type="dxa"/>
            <w:gridSpan w:val="8"/>
            <w:shd w:val="clear" w:color="auto" w:fill="DEEAF6"/>
          </w:tcPr>
          <w:p w:rsidR="00726917" w:rsidRPr="008839A4" w:rsidRDefault="00726917"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Sistēmiskas pensiju reformas</w:t>
            </w:r>
          </w:p>
        </w:tc>
      </w:tr>
      <w:tr w:rsidR="008839A4" w:rsidRPr="008839A4" w:rsidTr="00726917">
        <w:trPr>
          <w:trHeight w:val="33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 xml:space="preserve">Sociālās apdrošināšanas iemaksas valsts </w:t>
            </w:r>
            <w:proofErr w:type="spellStart"/>
            <w:r w:rsidRPr="008839A4">
              <w:rPr>
                <w:rFonts w:ascii="Times New Roman" w:eastAsia="Times New Roman" w:hAnsi="Times New Roman" w:cs="Times New Roman"/>
                <w:color w:val="000000" w:themeColor="text1"/>
                <w:sz w:val="20"/>
                <w:szCs w:val="20"/>
                <w:lang w:eastAsia="lv-LV"/>
              </w:rPr>
              <w:t>fondēto</w:t>
            </w:r>
            <w:proofErr w:type="spellEnd"/>
            <w:r w:rsidRPr="008839A4">
              <w:rPr>
                <w:rFonts w:ascii="Times New Roman" w:eastAsia="Times New Roman" w:hAnsi="Times New Roman" w:cs="Times New Roman"/>
                <w:color w:val="000000" w:themeColor="text1"/>
                <w:sz w:val="20"/>
                <w:szCs w:val="20"/>
                <w:lang w:eastAsia="lv-LV"/>
              </w:rPr>
              <w:t xml:space="preserve"> pensiju shēmā</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1,7</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 xml:space="preserve">Pensiju izdevumi no valsts </w:t>
            </w:r>
            <w:proofErr w:type="spellStart"/>
            <w:r w:rsidRPr="008839A4">
              <w:rPr>
                <w:rFonts w:ascii="Times New Roman" w:eastAsia="Times New Roman" w:hAnsi="Times New Roman" w:cs="Times New Roman"/>
                <w:color w:val="000000" w:themeColor="text1"/>
                <w:sz w:val="20"/>
                <w:szCs w:val="20"/>
                <w:lang w:eastAsia="lv-LV"/>
              </w:rPr>
              <w:t>fondēto</w:t>
            </w:r>
            <w:proofErr w:type="spellEnd"/>
            <w:r w:rsidRPr="008839A4">
              <w:rPr>
                <w:rFonts w:ascii="Times New Roman" w:eastAsia="Times New Roman" w:hAnsi="Times New Roman" w:cs="Times New Roman"/>
                <w:color w:val="000000" w:themeColor="text1"/>
                <w:sz w:val="20"/>
                <w:szCs w:val="20"/>
                <w:lang w:eastAsia="lv-LV"/>
              </w:rPr>
              <w:t xml:space="preserve"> pensiju shēmas</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0,0</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0,7</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1,5</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2,6</w:t>
            </w:r>
          </w:p>
        </w:tc>
      </w:tr>
      <w:tr w:rsidR="00726917" w:rsidRPr="008839A4" w:rsidTr="00726917">
        <w:trPr>
          <w:trHeight w:val="330"/>
        </w:trPr>
        <w:tc>
          <w:tcPr>
            <w:cnfStyle w:val="001000000000" w:firstRow="0" w:lastRow="0" w:firstColumn="1" w:lastColumn="0" w:oddVBand="0" w:evenVBand="0" w:oddHBand="0" w:evenHBand="0" w:firstRowFirstColumn="0" w:firstRowLastColumn="0" w:lastRowFirstColumn="0" w:lastRowLastColumn="0"/>
            <w:tcW w:w="9356" w:type="dxa"/>
            <w:gridSpan w:val="8"/>
            <w:shd w:val="clear" w:color="auto" w:fill="auto"/>
          </w:tcPr>
          <w:p w:rsidR="00726917" w:rsidRPr="00726917" w:rsidRDefault="00726917" w:rsidP="00DF38C8">
            <w:pPr>
              <w:rPr>
                <w:rFonts w:ascii="Times New Roman" w:eastAsia="Times New Roman" w:hAnsi="Times New Roman" w:cs="Times New Roman"/>
                <w:color w:val="000000" w:themeColor="text1"/>
                <w:sz w:val="20"/>
                <w:szCs w:val="20"/>
                <w:lang w:eastAsia="lv-LV"/>
              </w:rPr>
            </w:pPr>
            <w:r w:rsidRPr="00726917">
              <w:rPr>
                <w:rFonts w:ascii="Times New Roman" w:eastAsia="Times New Roman" w:hAnsi="Times New Roman" w:cs="Times New Roman"/>
                <w:color w:val="000000" w:themeColor="text1"/>
                <w:sz w:val="20"/>
                <w:szCs w:val="20"/>
                <w:lang w:eastAsia="lv-LV"/>
              </w:rPr>
              <w:t>Pieņēmumi</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Darba produktivitātes (stundā) pieaugums, %</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1,6</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4,8</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3,9</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2,4</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1,8</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1,5</w:t>
            </w:r>
          </w:p>
        </w:tc>
      </w:tr>
      <w:tr w:rsidR="008839A4" w:rsidRPr="008839A4" w:rsidTr="00726917">
        <w:trPr>
          <w:trHeight w:val="3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lastRenderedPageBreak/>
              <w:t>Potenciālā IKP pieaugums, % salīdzināmās cenās</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1,4</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4,2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2,7</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1,7</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0,9</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1,5</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Līdzdalības līmenis, vīrieši (vecuma grupa 20-64)</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83,8</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82,9</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83,3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83,8</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84,2</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86,3</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85,0</w:t>
            </w:r>
          </w:p>
        </w:tc>
      </w:tr>
      <w:tr w:rsidR="008839A4" w:rsidRPr="008839A4" w:rsidTr="00726917">
        <w:trPr>
          <w:trHeight w:val="3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Līdzdalības līmenis, sievietes (vecuma grupa 20-64)</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78,6</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79,2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81,2</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81,4</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82,3</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84,7</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83,3</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Līdzdalības līmenis, kopā (vecuma grupa 20-64)</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81,2</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81,0</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82,2</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82,6</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83,3</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85,5</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84,2</w:t>
            </w:r>
          </w:p>
        </w:tc>
      </w:tr>
      <w:tr w:rsidR="008839A4" w:rsidRPr="008839A4" w:rsidTr="00726917">
        <w:trPr>
          <w:trHeight w:val="300"/>
        </w:trPr>
        <w:tc>
          <w:tcPr>
            <w:cnfStyle w:val="001000000000" w:firstRow="0" w:lastRow="0" w:firstColumn="1" w:lastColumn="0" w:oddVBand="0" w:evenVBand="0" w:oddHBand="0" w:evenHBand="0" w:firstRowFirstColumn="0" w:firstRowLastColumn="0" w:lastRowFirstColumn="0" w:lastRowLastColumn="0"/>
            <w:tcW w:w="4395" w:type="dxa"/>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Bezdarba līmenis (vecuma grupa 20-64)</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9,8</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9,0</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9,7</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8,8</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7,9</w:t>
            </w:r>
          </w:p>
        </w:tc>
        <w:tc>
          <w:tcPr>
            <w:tcW w:w="708"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7,9</w:t>
            </w:r>
          </w:p>
        </w:tc>
        <w:tc>
          <w:tcPr>
            <w:tcW w:w="709" w:type="dxa"/>
            <w:noWrap/>
            <w:hideMark/>
          </w:tcPr>
          <w:p w:rsidR="00DF38C8" w:rsidRPr="008839A4" w:rsidRDefault="00DF38C8" w:rsidP="00DF38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7,9</w:t>
            </w:r>
          </w:p>
        </w:tc>
      </w:tr>
      <w:tr w:rsidR="008839A4" w:rsidRPr="008839A4" w:rsidTr="00726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DEEAF6"/>
            <w:hideMark/>
          </w:tcPr>
          <w:p w:rsidR="00DF38C8" w:rsidRPr="008839A4" w:rsidRDefault="00DF38C8" w:rsidP="00DF38C8">
            <w:pPr>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Iedzīvotāji (vecuma grupa 65+), % no kopējā iedzīvotāju skaita</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19,8</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20,8</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25,4</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29,2</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31,6</w:t>
            </w:r>
          </w:p>
        </w:tc>
        <w:tc>
          <w:tcPr>
            <w:tcW w:w="708"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33,1</w:t>
            </w:r>
          </w:p>
        </w:tc>
        <w:tc>
          <w:tcPr>
            <w:tcW w:w="709" w:type="dxa"/>
            <w:shd w:val="clear" w:color="auto" w:fill="DEEAF6"/>
            <w:noWrap/>
            <w:hideMark/>
          </w:tcPr>
          <w:p w:rsidR="00DF38C8" w:rsidRPr="008839A4" w:rsidRDefault="00DF38C8" w:rsidP="00DF38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8839A4">
              <w:rPr>
                <w:rFonts w:ascii="Times New Roman" w:eastAsia="Times New Roman" w:hAnsi="Times New Roman" w:cs="Times New Roman"/>
                <w:color w:val="000000" w:themeColor="text1"/>
                <w:sz w:val="20"/>
                <w:szCs w:val="20"/>
                <w:lang w:eastAsia="lv-LV"/>
              </w:rPr>
              <w:t>29,6</w:t>
            </w:r>
          </w:p>
        </w:tc>
      </w:tr>
    </w:tbl>
    <w:p w:rsidR="00FC55D0" w:rsidRPr="00782778" w:rsidRDefault="00DF38C8" w:rsidP="00C11D88">
      <w:pPr>
        <w:rPr>
          <w:rFonts w:ascii="Times New Roman" w:hAnsi="Times New Roman" w:cs="Times New Roman"/>
          <w:b/>
          <w:bCs/>
          <w:color w:val="000000"/>
          <w:sz w:val="24"/>
          <w:szCs w:val="24"/>
          <w:highlight w:val="yellow"/>
        </w:rPr>
      </w:pPr>
      <w:r w:rsidRPr="00DF38C8">
        <w:rPr>
          <w:rFonts w:ascii="Times New Roman" w:eastAsia="Times New Roman" w:hAnsi="Times New Roman" w:cs="Times New Roman"/>
          <w:color w:val="000000"/>
          <w:sz w:val="18"/>
          <w:szCs w:val="18"/>
          <w:lang w:eastAsia="lv-LV"/>
        </w:rPr>
        <w:t xml:space="preserve">Datu avots:  EC EPC AWG, </w:t>
      </w:r>
      <w:proofErr w:type="spellStart"/>
      <w:r w:rsidRPr="00DF38C8">
        <w:rPr>
          <w:rFonts w:ascii="Times New Roman" w:eastAsia="Times New Roman" w:hAnsi="Times New Roman" w:cs="Times New Roman"/>
          <w:color w:val="000000"/>
          <w:sz w:val="18"/>
          <w:szCs w:val="18"/>
          <w:lang w:eastAsia="lv-LV"/>
        </w:rPr>
        <w:t>The</w:t>
      </w:r>
      <w:proofErr w:type="spellEnd"/>
      <w:r w:rsidRPr="00DF38C8">
        <w:rPr>
          <w:rFonts w:ascii="Times New Roman" w:eastAsia="Times New Roman" w:hAnsi="Times New Roman" w:cs="Times New Roman"/>
          <w:color w:val="000000"/>
          <w:sz w:val="18"/>
          <w:szCs w:val="18"/>
          <w:lang w:eastAsia="lv-LV"/>
        </w:rPr>
        <w:t xml:space="preserve"> 2018 </w:t>
      </w:r>
      <w:proofErr w:type="spellStart"/>
      <w:r w:rsidRPr="00DF38C8">
        <w:rPr>
          <w:rFonts w:ascii="Times New Roman" w:eastAsia="Times New Roman" w:hAnsi="Times New Roman" w:cs="Times New Roman"/>
          <w:color w:val="000000"/>
          <w:sz w:val="18"/>
          <w:szCs w:val="18"/>
          <w:lang w:eastAsia="lv-LV"/>
        </w:rPr>
        <w:t>Ageing</w:t>
      </w:r>
      <w:proofErr w:type="spellEnd"/>
      <w:r w:rsidRPr="00DF38C8">
        <w:rPr>
          <w:rFonts w:ascii="Times New Roman" w:eastAsia="Times New Roman" w:hAnsi="Times New Roman" w:cs="Times New Roman"/>
          <w:color w:val="000000"/>
          <w:sz w:val="18"/>
          <w:szCs w:val="18"/>
          <w:lang w:eastAsia="lv-LV"/>
        </w:rPr>
        <w:t xml:space="preserve"> </w:t>
      </w:r>
      <w:proofErr w:type="spellStart"/>
      <w:r w:rsidRPr="00DF38C8">
        <w:rPr>
          <w:rFonts w:ascii="Times New Roman" w:eastAsia="Times New Roman" w:hAnsi="Times New Roman" w:cs="Times New Roman"/>
          <w:color w:val="000000"/>
          <w:sz w:val="18"/>
          <w:szCs w:val="18"/>
          <w:lang w:eastAsia="lv-LV"/>
        </w:rPr>
        <w:t>Report</w:t>
      </w:r>
      <w:proofErr w:type="spellEnd"/>
    </w:p>
    <w:p w:rsidR="003666E9" w:rsidRPr="002F4FBB" w:rsidRDefault="005A7265" w:rsidP="00FC55D0">
      <w:pPr>
        <w:spacing w:after="0"/>
        <w:rPr>
          <w:rFonts w:ascii="Times New Roman" w:hAnsi="Times New Roman" w:cs="Times New Roman"/>
          <w:sz w:val="24"/>
        </w:rPr>
      </w:pPr>
      <w:r w:rsidRPr="002F4FBB">
        <w:rPr>
          <w:rFonts w:ascii="Times New Roman" w:hAnsi="Times New Roman" w:cs="Times New Roman"/>
          <w:b/>
          <w:bCs/>
          <w:color w:val="000000"/>
          <w:sz w:val="24"/>
          <w:szCs w:val="24"/>
        </w:rPr>
        <w:t>7a.tabula</w:t>
      </w:r>
      <w:r w:rsidR="003666E9" w:rsidRPr="002F4FBB">
        <w:rPr>
          <w:rFonts w:ascii="Times New Roman" w:hAnsi="Times New Roman" w:cs="Times New Roman"/>
          <w:b/>
          <w:bCs/>
          <w:color w:val="000000"/>
          <w:sz w:val="24"/>
          <w:szCs w:val="24"/>
        </w:rPr>
        <w:t xml:space="preserve"> Netiešās saistības</w:t>
      </w:r>
    </w:p>
    <w:tbl>
      <w:tblPr>
        <w:tblStyle w:val="GridTable6Colorful-Accent11"/>
        <w:tblW w:w="0" w:type="auto"/>
        <w:tblLayout w:type="fixed"/>
        <w:tblLook w:val="04A0" w:firstRow="1" w:lastRow="0" w:firstColumn="1" w:lastColumn="0" w:noHBand="0" w:noVBand="1"/>
      </w:tblPr>
      <w:tblGrid>
        <w:gridCol w:w="3387"/>
        <w:gridCol w:w="993"/>
      </w:tblGrid>
      <w:tr w:rsidR="00F51615" w:rsidRPr="002F4FBB" w:rsidTr="00DB1AEB">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387" w:type="dxa"/>
            <w:vAlign w:val="center"/>
          </w:tcPr>
          <w:p w:rsidR="00F51615" w:rsidRPr="002F4FBB" w:rsidRDefault="00F51615" w:rsidP="003028D0">
            <w:pPr>
              <w:autoSpaceDE w:val="0"/>
              <w:autoSpaceDN w:val="0"/>
              <w:adjustRightInd w:val="0"/>
              <w:jc w:val="center"/>
              <w:rPr>
                <w:rFonts w:ascii="Times New Roman" w:hAnsi="Times New Roman" w:cs="Times New Roman"/>
                <w:color w:val="000000"/>
                <w:sz w:val="20"/>
                <w:szCs w:val="20"/>
              </w:rPr>
            </w:pPr>
            <w:r w:rsidRPr="002F4FBB">
              <w:rPr>
                <w:rFonts w:ascii="Times New Roman" w:hAnsi="Times New Roman" w:cs="Times New Roman"/>
                <w:color w:val="000000"/>
                <w:sz w:val="20"/>
                <w:szCs w:val="20"/>
              </w:rPr>
              <w:t>% no IKP</w:t>
            </w:r>
          </w:p>
        </w:tc>
        <w:tc>
          <w:tcPr>
            <w:tcW w:w="993" w:type="dxa"/>
            <w:vAlign w:val="center"/>
          </w:tcPr>
          <w:p w:rsidR="00F51615" w:rsidRPr="008839A4" w:rsidRDefault="00DB1E82" w:rsidP="002F4FB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rPr>
            </w:pPr>
            <w:r w:rsidRPr="008839A4">
              <w:rPr>
                <w:rFonts w:ascii="Times New Roman" w:hAnsi="Times New Roman"/>
                <w:color w:val="000000"/>
                <w:sz w:val="20"/>
              </w:rPr>
              <w:t>201</w:t>
            </w:r>
            <w:r w:rsidR="002F4FBB" w:rsidRPr="008839A4">
              <w:rPr>
                <w:rFonts w:ascii="Times New Roman" w:hAnsi="Times New Roman"/>
                <w:color w:val="000000"/>
                <w:sz w:val="20"/>
              </w:rPr>
              <w:t>8</w:t>
            </w:r>
          </w:p>
        </w:tc>
      </w:tr>
      <w:tr w:rsidR="00F51615" w:rsidRPr="002F4FBB" w:rsidTr="00DB1AE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387" w:type="dxa"/>
          </w:tcPr>
          <w:p w:rsidR="00F51615" w:rsidRPr="002F4FBB" w:rsidRDefault="00FA4740" w:rsidP="003E2559">
            <w:pPr>
              <w:rPr>
                <w:rFonts w:ascii="Times New Roman" w:hAnsi="Times New Roman" w:cs="Times New Roman"/>
                <w:b w:val="0"/>
                <w:bCs w:val="0"/>
                <w:color w:val="000000"/>
                <w:sz w:val="20"/>
                <w:szCs w:val="20"/>
              </w:rPr>
            </w:pPr>
            <w:r w:rsidRPr="002F4FBB">
              <w:rPr>
                <w:rFonts w:ascii="Times New Roman" w:hAnsi="Times New Roman" w:cs="Times New Roman"/>
                <w:b w:val="0"/>
                <w:color w:val="000000"/>
                <w:sz w:val="20"/>
                <w:szCs w:val="20"/>
              </w:rPr>
              <w:t xml:space="preserve">Valsts un pašvaldību </w:t>
            </w:r>
            <w:r w:rsidR="003E2559" w:rsidRPr="002F4FBB">
              <w:rPr>
                <w:rFonts w:ascii="Times New Roman" w:hAnsi="Times New Roman" w:cs="Times New Roman"/>
                <w:b w:val="0"/>
                <w:color w:val="000000"/>
                <w:sz w:val="20"/>
                <w:szCs w:val="20"/>
              </w:rPr>
              <w:t>galvojumi</w:t>
            </w:r>
          </w:p>
        </w:tc>
        <w:tc>
          <w:tcPr>
            <w:tcW w:w="993" w:type="dxa"/>
            <w:vAlign w:val="center"/>
          </w:tcPr>
          <w:p w:rsidR="00F51615" w:rsidRPr="002F4FBB" w:rsidRDefault="00DB1E82" w:rsidP="00DB1E8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2F4FBB">
              <w:rPr>
                <w:rFonts w:ascii="Times New Roman" w:hAnsi="Times New Roman"/>
                <w:color w:val="000000"/>
                <w:sz w:val="20"/>
              </w:rPr>
              <w:t>1,4%</w:t>
            </w:r>
          </w:p>
        </w:tc>
      </w:tr>
      <w:tr w:rsidR="00F51615" w:rsidRPr="00782778" w:rsidTr="00DB1AEB">
        <w:trPr>
          <w:trHeight w:val="133"/>
        </w:trPr>
        <w:tc>
          <w:tcPr>
            <w:cnfStyle w:val="001000000000" w:firstRow="0" w:lastRow="0" w:firstColumn="1" w:lastColumn="0" w:oddVBand="0" w:evenVBand="0" w:oddHBand="0" w:evenHBand="0" w:firstRowFirstColumn="0" w:firstRowLastColumn="0" w:lastRowFirstColumn="0" w:lastRowLastColumn="0"/>
            <w:tcW w:w="3387" w:type="dxa"/>
          </w:tcPr>
          <w:p w:rsidR="00F51615" w:rsidRPr="002F4FBB" w:rsidRDefault="00B74A90" w:rsidP="00FA4740">
            <w:pPr>
              <w:rPr>
                <w:rFonts w:ascii="Times New Roman" w:hAnsi="Times New Roman" w:cs="Times New Roman"/>
                <w:b w:val="0"/>
                <w:i/>
                <w:iCs/>
                <w:color w:val="000000"/>
                <w:sz w:val="20"/>
                <w:szCs w:val="20"/>
              </w:rPr>
            </w:pPr>
            <w:r w:rsidRPr="002F4FBB">
              <w:rPr>
                <w:rFonts w:ascii="Times New Roman" w:hAnsi="Times New Roman" w:cs="Times New Roman"/>
                <w:b w:val="0"/>
                <w:i/>
                <w:iCs/>
                <w:color w:val="000000"/>
                <w:sz w:val="20"/>
                <w:szCs w:val="20"/>
              </w:rPr>
              <w:t>No kurām saistīti</w:t>
            </w:r>
            <w:r w:rsidR="00F51615" w:rsidRPr="002F4FBB">
              <w:rPr>
                <w:rFonts w:ascii="Times New Roman" w:hAnsi="Times New Roman" w:cs="Times New Roman"/>
                <w:b w:val="0"/>
                <w:i/>
                <w:iCs/>
                <w:color w:val="000000"/>
                <w:sz w:val="20"/>
                <w:szCs w:val="20"/>
              </w:rPr>
              <w:t xml:space="preserve"> ar finanšu sektoru </w:t>
            </w:r>
          </w:p>
        </w:tc>
        <w:tc>
          <w:tcPr>
            <w:tcW w:w="993" w:type="dxa"/>
            <w:vAlign w:val="center"/>
          </w:tcPr>
          <w:p w:rsidR="00F51615" w:rsidRPr="002F4FBB" w:rsidRDefault="00DB1E82" w:rsidP="002F4FB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2F4FBB">
              <w:rPr>
                <w:rFonts w:ascii="Times New Roman" w:hAnsi="Times New Roman"/>
                <w:color w:val="000000"/>
                <w:sz w:val="20"/>
              </w:rPr>
              <w:t>0,</w:t>
            </w:r>
            <w:r w:rsidR="002F4FBB" w:rsidRPr="002F4FBB">
              <w:rPr>
                <w:rFonts w:ascii="Times New Roman" w:hAnsi="Times New Roman"/>
                <w:color w:val="000000"/>
                <w:sz w:val="20"/>
              </w:rPr>
              <w:t>8</w:t>
            </w:r>
            <w:r w:rsidRPr="002F4FBB">
              <w:rPr>
                <w:rFonts w:ascii="Times New Roman" w:hAnsi="Times New Roman"/>
                <w:color w:val="000000"/>
                <w:sz w:val="20"/>
              </w:rPr>
              <w:t>%</w:t>
            </w:r>
          </w:p>
        </w:tc>
      </w:tr>
    </w:tbl>
    <w:p w:rsidR="00A82ADD" w:rsidRPr="00782778" w:rsidRDefault="00A82ADD" w:rsidP="00FC55D0">
      <w:pPr>
        <w:pStyle w:val="T"/>
        <w:keepNext w:val="0"/>
        <w:spacing w:after="0"/>
        <w:ind w:left="0"/>
        <w:rPr>
          <w:rFonts w:ascii="Times New Roman" w:hAnsi="Times New Roman"/>
          <w:color w:val="000000"/>
          <w:szCs w:val="24"/>
          <w:highlight w:val="yellow"/>
        </w:rPr>
      </w:pPr>
    </w:p>
    <w:p w:rsidR="005C4806" w:rsidRDefault="005C4806" w:rsidP="005C4806">
      <w:pPr>
        <w:pStyle w:val="T"/>
        <w:spacing w:after="0"/>
        <w:ind w:left="0"/>
        <w:rPr>
          <w:rFonts w:ascii="Times New Roman" w:hAnsi="Times New Roman"/>
          <w:color w:val="000000"/>
          <w:szCs w:val="24"/>
        </w:rPr>
      </w:pPr>
      <w:r w:rsidRPr="00B20730">
        <w:rPr>
          <w:rFonts w:ascii="Times New Roman" w:hAnsi="Times New Roman"/>
          <w:color w:val="000000"/>
          <w:szCs w:val="24"/>
        </w:rPr>
        <w:t>8.tabula. Ārējās vides pamata pieņēmumi</w:t>
      </w:r>
    </w:p>
    <w:tbl>
      <w:tblPr>
        <w:tblStyle w:val="GridTable6Colorful-Accent11"/>
        <w:tblW w:w="9072" w:type="dxa"/>
        <w:jc w:val="center"/>
        <w:tblLook w:val="04A0" w:firstRow="1" w:lastRow="0" w:firstColumn="1" w:lastColumn="0" w:noHBand="0" w:noVBand="1"/>
      </w:tblPr>
      <w:tblGrid>
        <w:gridCol w:w="4819"/>
        <w:gridCol w:w="850"/>
        <w:gridCol w:w="851"/>
        <w:gridCol w:w="850"/>
        <w:gridCol w:w="851"/>
        <w:gridCol w:w="851"/>
      </w:tblGrid>
      <w:tr w:rsidR="005C4806" w:rsidRPr="003028D0" w:rsidTr="00DF4C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tcPr>
          <w:p w:rsidR="005C4806" w:rsidRPr="003028D0" w:rsidRDefault="005C4806" w:rsidP="00792B82">
            <w:pPr>
              <w:rPr>
                <w:rFonts w:ascii="Times New Roman" w:eastAsia="Calibri" w:hAnsi="Times New Roman" w:cs="Times New Roman"/>
                <w:color w:val="auto"/>
                <w:sz w:val="20"/>
                <w:szCs w:val="20"/>
              </w:rPr>
            </w:pPr>
          </w:p>
        </w:tc>
        <w:tc>
          <w:tcPr>
            <w:tcW w:w="850" w:type="dxa"/>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2018</w:t>
            </w:r>
          </w:p>
        </w:tc>
        <w:tc>
          <w:tcPr>
            <w:tcW w:w="851" w:type="dxa"/>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2019</w:t>
            </w:r>
          </w:p>
        </w:tc>
        <w:tc>
          <w:tcPr>
            <w:tcW w:w="850" w:type="dxa"/>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2020</w:t>
            </w:r>
          </w:p>
        </w:tc>
        <w:tc>
          <w:tcPr>
            <w:tcW w:w="851" w:type="dxa"/>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2021</w:t>
            </w:r>
          </w:p>
        </w:tc>
        <w:tc>
          <w:tcPr>
            <w:tcW w:w="851" w:type="dxa"/>
            <w:vAlign w:val="center"/>
            <w:hideMark/>
          </w:tcPr>
          <w:p w:rsidR="005C4806" w:rsidRPr="00F11D34" w:rsidRDefault="005C4806" w:rsidP="00792B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2022</w:t>
            </w:r>
          </w:p>
        </w:tc>
      </w:tr>
      <w:tr w:rsidR="00072903" w:rsidRPr="003028D0" w:rsidTr="00DF4C3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 xml:space="preserve">Īstermiņa procentu likme </w:t>
            </w:r>
            <w:proofErr w:type="spellStart"/>
            <w:r w:rsidRPr="008839A4">
              <w:rPr>
                <w:rFonts w:ascii="Times New Roman" w:eastAsia="Calibri" w:hAnsi="Times New Roman" w:cs="Times New Roman"/>
                <w:i/>
                <w:color w:val="auto"/>
                <w:sz w:val="20"/>
                <w:szCs w:val="20"/>
                <w:lang w:eastAsia="lv-LV"/>
              </w:rPr>
              <w:t>euro</w:t>
            </w:r>
            <w:proofErr w:type="spellEnd"/>
            <w:r w:rsidRPr="008839A4">
              <w:rPr>
                <w:rFonts w:ascii="Times New Roman" w:eastAsia="Calibri" w:hAnsi="Times New Roman" w:cs="Times New Roman"/>
                <w:color w:val="auto"/>
                <w:sz w:val="20"/>
                <w:szCs w:val="20"/>
                <w:lang w:eastAsia="lv-LV"/>
              </w:rPr>
              <w:t xml:space="preserve"> zonā (gada vidējā)</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3</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3</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1</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0</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1</w:t>
            </w:r>
          </w:p>
        </w:tc>
      </w:tr>
      <w:tr w:rsidR="00072903" w:rsidRPr="003028D0" w:rsidTr="00DF4C38">
        <w:trPr>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 xml:space="preserve">Ilgtermiņa procentu likme </w:t>
            </w:r>
            <w:proofErr w:type="spellStart"/>
            <w:r w:rsidRPr="008839A4">
              <w:rPr>
                <w:rFonts w:ascii="Times New Roman" w:eastAsia="Calibri" w:hAnsi="Times New Roman" w:cs="Times New Roman"/>
                <w:i/>
                <w:color w:val="auto"/>
                <w:sz w:val="20"/>
                <w:szCs w:val="20"/>
                <w:lang w:eastAsia="lv-LV"/>
              </w:rPr>
              <w:t>euro</w:t>
            </w:r>
            <w:proofErr w:type="spellEnd"/>
            <w:r w:rsidRPr="008839A4">
              <w:rPr>
                <w:rFonts w:ascii="Times New Roman" w:eastAsia="Calibri" w:hAnsi="Times New Roman" w:cs="Times New Roman"/>
                <w:color w:val="auto"/>
                <w:sz w:val="20"/>
                <w:szCs w:val="20"/>
                <w:lang w:eastAsia="lv-LV"/>
              </w:rPr>
              <w:t xml:space="preserve"> zonā (gada vidējā)</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4</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3</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5</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9</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0</w:t>
            </w:r>
          </w:p>
        </w:tc>
      </w:tr>
      <w:tr w:rsidR="00072903" w:rsidRPr="003028D0" w:rsidTr="00DF4C3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highlight w:val="yellow"/>
              </w:rPr>
            </w:pPr>
            <w:r w:rsidRPr="008839A4">
              <w:rPr>
                <w:rFonts w:ascii="Times New Roman" w:eastAsia="Calibri" w:hAnsi="Times New Roman" w:cs="Times New Roman"/>
                <w:color w:val="auto"/>
                <w:sz w:val="20"/>
                <w:szCs w:val="20"/>
                <w:lang w:eastAsia="lv-LV"/>
              </w:rPr>
              <w:t>EUR/USD kurss (gada vidējais)</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18</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5</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,15</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,15</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5</w:t>
            </w:r>
          </w:p>
        </w:tc>
      </w:tr>
      <w:tr w:rsidR="00072903" w:rsidRPr="003028D0" w:rsidTr="00DF4C38">
        <w:trPr>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Nominālais efektīvais maiņas kurss ES</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4</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8</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0</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0</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0</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0</w:t>
            </w:r>
          </w:p>
        </w:tc>
      </w:tr>
      <w:tr w:rsidR="00072903" w:rsidRPr="003028D0" w:rsidTr="00DF4C3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Pasaules IKP, izņemot ES, pieaugums salīdzināmās cenās, %</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9</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8</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8</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7</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6</w:t>
            </w:r>
          </w:p>
        </w:tc>
      </w:tr>
      <w:tr w:rsidR="00072903" w:rsidRPr="003028D0" w:rsidTr="00DF4C38">
        <w:trPr>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ES IKP pieaugums salīdzināmās cenās, %</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9</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3</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6</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8</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8</w:t>
            </w:r>
          </w:p>
        </w:tc>
      </w:tr>
      <w:tr w:rsidR="00072903" w:rsidRPr="003028D0" w:rsidTr="00DF4C3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lang w:eastAsia="lv-LV"/>
              </w:rPr>
            </w:pPr>
            <w:r w:rsidRPr="008839A4">
              <w:rPr>
                <w:rFonts w:ascii="Times New Roman" w:eastAsia="Calibri" w:hAnsi="Times New Roman" w:cs="Times New Roman"/>
                <w:color w:val="auto"/>
                <w:sz w:val="20"/>
                <w:szCs w:val="20"/>
                <w:lang w:eastAsia="lv-LV"/>
              </w:rPr>
              <w:t>Pasaules preču un pakalpojumu tirdzniecības apjomu izmaiņas ES eksporta tirgos, izslēdzot ES, %</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4</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3</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7</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4</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2</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2</w:t>
            </w:r>
          </w:p>
        </w:tc>
      </w:tr>
      <w:tr w:rsidR="00072903" w:rsidRPr="003028D0" w:rsidTr="00DF4C38">
        <w:trPr>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Pasaules preču un pakalpojumu importa apjomu izmaiņas, izslēdzot ES, %</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4</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8</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9</w:t>
            </w:r>
          </w:p>
        </w:tc>
        <w:tc>
          <w:tcPr>
            <w:tcW w:w="850"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6</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5</w:t>
            </w:r>
          </w:p>
        </w:tc>
        <w:tc>
          <w:tcPr>
            <w:tcW w:w="851" w:type="dxa"/>
            <w:vAlign w:val="center"/>
          </w:tcPr>
          <w:p w:rsidR="00072903" w:rsidRPr="00376EA0" w:rsidRDefault="00072903" w:rsidP="0007290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5</w:t>
            </w:r>
          </w:p>
        </w:tc>
      </w:tr>
      <w:tr w:rsidR="00072903" w:rsidRPr="003028D0" w:rsidTr="00DF4C3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9" w:type="dxa"/>
            <w:hideMark/>
          </w:tcPr>
          <w:p w:rsidR="00072903" w:rsidRPr="008839A4" w:rsidRDefault="00072903" w:rsidP="00072903">
            <w:pPr>
              <w:jc w:val="both"/>
              <w:rPr>
                <w:rFonts w:ascii="Times New Roman" w:eastAsia="Calibri" w:hAnsi="Times New Roman" w:cs="Times New Roman"/>
                <w:color w:val="auto"/>
                <w:sz w:val="20"/>
                <w:szCs w:val="20"/>
              </w:rPr>
            </w:pPr>
            <w:r w:rsidRPr="008839A4">
              <w:rPr>
                <w:rFonts w:ascii="Times New Roman" w:eastAsia="Calibri" w:hAnsi="Times New Roman" w:cs="Times New Roman"/>
                <w:color w:val="auto"/>
                <w:sz w:val="20"/>
                <w:szCs w:val="20"/>
                <w:lang w:eastAsia="lv-LV"/>
              </w:rPr>
              <w:t>Naftas cena (</w:t>
            </w:r>
            <w:proofErr w:type="spellStart"/>
            <w:r w:rsidRPr="008839A4">
              <w:rPr>
                <w:rFonts w:ascii="Times New Roman" w:eastAsia="Calibri" w:hAnsi="Times New Roman" w:cs="Times New Roman"/>
                <w:i/>
                <w:color w:val="auto"/>
                <w:sz w:val="20"/>
                <w:szCs w:val="20"/>
                <w:lang w:eastAsia="lv-LV"/>
              </w:rPr>
              <w:t>Brent</w:t>
            </w:r>
            <w:proofErr w:type="spellEnd"/>
            <w:r w:rsidRPr="008839A4">
              <w:rPr>
                <w:rFonts w:ascii="Times New Roman" w:eastAsia="Calibri" w:hAnsi="Times New Roman" w:cs="Times New Roman"/>
                <w:color w:val="auto"/>
                <w:sz w:val="20"/>
                <w:szCs w:val="20"/>
                <w:lang w:eastAsia="lv-LV"/>
              </w:rPr>
              <w:t>, USD par barelu)</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376EA0">
              <w:rPr>
                <w:rFonts w:ascii="Times New Roman" w:eastAsia="Arial Unicode MS" w:hAnsi="Times New Roman" w:cs="Times New Roman"/>
                <w:color w:val="auto"/>
                <w:sz w:val="20"/>
              </w:rPr>
              <w:t>71</w:t>
            </w:r>
            <w:r>
              <w:rPr>
                <w:rFonts w:ascii="Times New Roman" w:eastAsia="Arial Unicode MS" w:hAnsi="Times New Roman" w:cs="Times New Roman"/>
                <w:color w:val="auto"/>
                <w:sz w:val="20"/>
              </w:rPr>
              <w:t>,</w:t>
            </w:r>
            <w:r w:rsidRPr="00376EA0">
              <w:rPr>
                <w:rFonts w:ascii="Times New Roman" w:eastAsia="Arial Unicode MS" w:hAnsi="Times New Roman" w:cs="Times New Roman"/>
                <w:color w:val="auto"/>
                <w:sz w:val="20"/>
              </w:rPr>
              <w:t>9</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Pr>
                <w:rFonts w:ascii="Times New Roman" w:eastAsia="Arial Unicode MS" w:hAnsi="Times New Roman" w:cs="Times New Roman"/>
                <w:color w:val="auto"/>
                <w:sz w:val="20"/>
              </w:rPr>
              <w:t>70,0</w:t>
            </w:r>
          </w:p>
        </w:tc>
        <w:tc>
          <w:tcPr>
            <w:tcW w:w="850"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Pr>
                <w:rFonts w:ascii="Times New Roman" w:eastAsia="Arial Unicode MS" w:hAnsi="Times New Roman" w:cs="Times New Roman"/>
                <w:color w:val="auto"/>
                <w:sz w:val="20"/>
              </w:rPr>
              <w:t>65,0</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Pr>
                <w:rFonts w:ascii="Times New Roman" w:eastAsia="Arial Unicode MS" w:hAnsi="Times New Roman" w:cs="Times New Roman"/>
                <w:color w:val="auto"/>
                <w:sz w:val="20"/>
              </w:rPr>
              <w:t>65,0</w:t>
            </w:r>
          </w:p>
        </w:tc>
        <w:tc>
          <w:tcPr>
            <w:tcW w:w="851" w:type="dxa"/>
            <w:vAlign w:val="center"/>
          </w:tcPr>
          <w:p w:rsidR="00072903" w:rsidRPr="00376EA0" w:rsidRDefault="00072903" w:rsidP="0007290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Pr>
                <w:rFonts w:ascii="Times New Roman" w:eastAsia="Arial Unicode MS" w:hAnsi="Times New Roman" w:cs="Times New Roman"/>
                <w:color w:val="auto"/>
                <w:sz w:val="20"/>
              </w:rPr>
              <w:t>65,0</w:t>
            </w:r>
          </w:p>
        </w:tc>
      </w:tr>
    </w:tbl>
    <w:p w:rsidR="005C4806" w:rsidRDefault="005C4806" w:rsidP="005C4806">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p>
    <w:p w:rsidR="0024257A" w:rsidRDefault="0024257A" w:rsidP="003E2FE0">
      <w:pPr>
        <w:tabs>
          <w:tab w:val="left" w:pos="988"/>
        </w:tabs>
        <w:rPr>
          <w:rFonts w:ascii="Times New Roman" w:hAnsi="Times New Roman" w:cs="Times New Roman"/>
          <w:sz w:val="20"/>
        </w:rPr>
      </w:pPr>
    </w:p>
    <w:p w:rsidR="0024257A" w:rsidRDefault="0024257A" w:rsidP="00DB1AEB">
      <w:pPr>
        <w:tabs>
          <w:tab w:val="left" w:pos="988"/>
        </w:tabs>
        <w:rPr>
          <w:rFonts w:ascii="Times New Roman" w:hAnsi="Times New Roman" w:cs="Times New Roman"/>
          <w:sz w:val="20"/>
        </w:rPr>
      </w:pPr>
    </w:p>
    <w:p w:rsidR="00AD2545" w:rsidRPr="003C41F6" w:rsidRDefault="00AD2545" w:rsidP="00AD2545">
      <w:pPr>
        <w:spacing w:after="0" w:line="240" w:lineRule="auto"/>
        <w:ind w:firstLine="709"/>
        <w:jc w:val="both"/>
        <w:rPr>
          <w:rFonts w:ascii="Times New Roman" w:hAnsi="Times New Roman"/>
          <w:sz w:val="28"/>
          <w:szCs w:val="28"/>
        </w:rPr>
      </w:pPr>
      <w:bookmarkStart w:id="108" w:name="_GoBack"/>
      <w:bookmarkEnd w:id="108"/>
    </w:p>
    <w:p w:rsidR="00AD2545" w:rsidRPr="00AD2545" w:rsidRDefault="00AD2545" w:rsidP="00AD2545">
      <w:pPr>
        <w:tabs>
          <w:tab w:val="left" w:pos="851"/>
          <w:tab w:val="left" w:pos="6663"/>
        </w:tabs>
        <w:spacing w:after="0" w:line="240" w:lineRule="auto"/>
        <w:rPr>
          <w:rFonts w:ascii="Times New Roman" w:hAnsi="Times New Roman"/>
          <w:sz w:val="24"/>
          <w:szCs w:val="24"/>
        </w:rPr>
      </w:pPr>
      <w:r w:rsidRPr="00AD2545">
        <w:rPr>
          <w:rFonts w:ascii="Times New Roman" w:hAnsi="Times New Roman"/>
          <w:sz w:val="24"/>
          <w:szCs w:val="24"/>
        </w:rPr>
        <w:t xml:space="preserve">Finanšu ministra vietā – </w:t>
      </w:r>
      <w:r w:rsidRPr="00AD2545">
        <w:rPr>
          <w:rFonts w:ascii="Times New Roman" w:hAnsi="Times New Roman"/>
          <w:sz w:val="24"/>
          <w:szCs w:val="24"/>
        </w:rPr>
        <w:br/>
      </w:r>
      <w:r w:rsidRPr="00AD2545">
        <w:rPr>
          <w:rFonts w:ascii="Times New Roman" w:hAnsi="Times New Roman" w:cs="Times New Roman"/>
          <w:sz w:val="24"/>
          <w:szCs w:val="24"/>
        </w:rPr>
        <w:t>Vides aizsardzības un reģionālās attīstības ministrs</w:t>
      </w:r>
      <w:r w:rsidRPr="00AD2545">
        <w:rPr>
          <w:rFonts w:ascii="Times New Roman" w:hAnsi="Times New Roman"/>
          <w:sz w:val="24"/>
          <w:szCs w:val="24"/>
        </w:rPr>
        <w:tab/>
      </w:r>
      <w:r w:rsidRPr="00AD2545">
        <w:rPr>
          <w:rFonts w:ascii="Times New Roman" w:hAnsi="Times New Roman"/>
          <w:sz w:val="24"/>
          <w:szCs w:val="24"/>
        </w:rPr>
        <w:tab/>
      </w:r>
      <w:r w:rsidRPr="00AD2545">
        <w:rPr>
          <w:rFonts w:ascii="Times New Roman" w:hAnsi="Times New Roman"/>
          <w:sz w:val="24"/>
          <w:szCs w:val="24"/>
        </w:rPr>
        <w:tab/>
        <w:t xml:space="preserve">       J. Pūce</w:t>
      </w: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037763" w:rsidRDefault="00037763" w:rsidP="003E2FE0">
      <w:pPr>
        <w:tabs>
          <w:tab w:val="left" w:pos="988"/>
        </w:tabs>
        <w:rPr>
          <w:rFonts w:ascii="Times New Roman" w:hAnsi="Times New Roman" w:cs="Times New Roman"/>
          <w:sz w:val="24"/>
        </w:rPr>
      </w:pPr>
    </w:p>
    <w:p w:rsidR="00DF4C38" w:rsidRDefault="00DF4C38" w:rsidP="003E2FE0">
      <w:pPr>
        <w:tabs>
          <w:tab w:val="left" w:pos="988"/>
        </w:tabs>
        <w:rPr>
          <w:rFonts w:ascii="Times New Roman" w:hAnsi="Times New Roman" w:cs="Times New Roman"/>
          <w:sz w:val="24"/>
        </w:rPr>
      </w:pPr>
    </w:p>
    <w:p w:rsidR="004C78CD" w:rsidRDefault="004C78CD" w:rsidP="003E2FE0">
      <w:pPr>
        <w:tabs>
          <w:tab w:val="left" w:pos="988"/>
        </w:tabs>
        <w:rPr>
          <w:rFonts w:ascii="Times New Roman" w:hAnsi="Times New Roman" w:cs="Times New Roman"/>
          <w:sz w:val="24"/>
        </w:rPr>
      </w:pPr>
    </w:p>
    <w:p w:rsidR="0024257A" w:rsidRPr="0024257A" w:rsidRDefault="00FD5100" w:rsidP="0024257A">
      <w:pPr>
        <w:tabs>
          <w:tab w:val="left" w:pos="988"/>
        </w:tabs>
        <w:spacing w:after="0" w:line="240" w:lineRule="auto"/>
        <w:rPr>
          <w:rFonts w:ascii="Times New Roman" w:hAnsi="Times New Roman" w:cs="Times New Roman"/>
          <w:sz w:val="20"/>
        </w:rPr>
      </w:pPr>
      <w:r>
        <w:rPr>
          <w:rFonts w:ascii="Times New Roman" w:hAnsi="Times New Roman" w:cs="Times New Roman"/>
          <w:sz w:val="20"/>
        </w:rPr>
        <w:t>Gusāre</w:t>
      </w:r>
      <w:r w:rsidR="00CC4C28">
        <w:rPr>
          <w:rFonts w:ascii="Times New Roman" w:hAnsi="Times New Roman" w:cs="Times New Roman"/>
          <w:sz w:val="20"/>
        </w:rPr>
        <w:t xml:space="preserve"> </w:t>
      </w:r>
      <w:r w:rsidR="00CC4C28" w:rsidRPr="00CC4C28">
        <w:rPr>
          <w:rFonts w:ascii="Times New Roman" w:hAnsi="Times New Roman" w:cs="Times New Roman"/>
          <w:sz w:val="20"/>
        </w:rPr>
        <w:t>670</w:t>
      </w:r>
      <w:r w:rsidR="002525FA">
        <w:rPr>
          <w:rFonts w:ascii="Times New Roman" w:hAnsi="Times New Roman" w:cs="Times New Roman"/>
          <w:sz w:val="20"/>
        </w:rPr>
        <w:t>839</w:t>
      </w:r>
      <w:r w:rsidR="00CC4C28" w:rsidRPr="00CC4C28">
        <w:rPr>
          <w:rFonts w:ascii="Times New Roman" w:hAnsi="Times New Roman" w:cs="Times New Roman"/>
          <w:sz w:val="20"/>
        </w:rPr>
        <w:t>11</w:t>
      </w:r>
    </w:p>
    <w:p w:rsidR="0024257A" w:rsidRPr="0024257A" w:rsidRDefault="00BE281B" w:rsidP="0024257A">
      <w:pPr>
        <w:tabs>
          <w:tab w:val="left" w:pos="988"/>
        </w:tabs>
        <w:spacing w:after="0" w:line="240" w:lineRule="auto"/>
        <w:rPr>
          <w:rFonts w:ascii="Times New Roman" w:hAnsi="Times New Roman" w:cs="Times New Roman"/>
          <w:sz w:val="20"/>
        </w:rPr>
      </w:pPr>
      <w:hyperlink r:id="rId36" w:history="1">
        <w:r w:rsidR="00254666" w:rsidRPr="00AF6B4D">
          <w:rPr>
            <w:rStyle w:val="Hyperlink"/>
            <w:rFonts w:ascii="Times New Roman" w:hAnsi="Times New Roman" w:cs="Times New Roman"/>
            <w:sz w:val="20"/>
          </w:rPr>
          <w:t>elina.gusare@fm.gov.lv</w:t>
        </w:r>
      </w:hyperlink>
    </w:p>
    <w:sectPr w:rsidR="0024257A" w:rsidRPr="0024257A" w:rsidSect="008275AC">
      <w:footerReference w:type="default" r:id="rId37"/>
      <w:pgSz w:w="11906" w:h="16838"/>
      <w:pgMar w:top="1418" w:right="1134" w:bottom="709" w:left="1701"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81B" w:rsidRDefault="00BE281B" w:rsidP="00623757">
      <w:pPr>
        <w:spacing w:after="0" w:line="240" w:lineRule="auto"/>
      </w:pPr>
      <w:r>
        <w:separator/>
      </w:r>
    </w:p>
  </w:endnote>
  <w:endnote w:type="continuationSeparator" w:id="0">
    <w:p w:rsidR="00BE281B" w:rsidRDefault="00BE281B" w:rsidP="00623757">
      <w:pPr>
        <w:spacing w:after="0" w:line="240" w:lineRule="auto"/>
      </w:pPr>
      <w:r>
        <w:continuationSeparator/>
      </w:r>
    </w:p>
  </w:endnote>
  <w:endnote w:type="continuationNotice" w:id="1">
    <w:p w:rsidR="00BE281B" w:rsidRDefault="00BE28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Open Sans">
    <w:altName w:val="Times New Roman"/>
    <w:charset w:val="00"/>
    <w:family w:val="auto"/>
    <w:pitch w:val="default"/>
  </w:font>
  <w:font w:name="Arial">
    <w:panose1 w:val="020B0604020202020204"/>
    <w:charset w:val="BA"/>
    <w:family w:val="swiss"/>
    <w:pitch w:val="variable"/>
    <w:sig w:usb0="E0002EFF" w:usb1="C0007843" w:usb2="00000009" w:usb3="00000000" w:csb0="000001FF"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446761671"/>
      <w:docPartObj>
        <w:docPartGallery w:val="Page Numbers (Bottom of Page)"/>
        <w:docPartUnique/>
      </w:docPartObj>
    </w:sdtPr>
    <w:sdtEndPr>
      <w:rPr>
        <w:noProof/>
      </w:rPr>
    </w:sdtEndPr>
    <w:sdtContent>
      <w:p w:rsidR="00BE281B" w:rsidRPr="00E829CD" w:rsidRDefault="00BE281B" w:rsidP="00492A61">
        <w:pPr>
          <w:pStyle w:val="Footer"/>
          <w:spacing w:before="120"/>
          <w:rPr>
            <w:rFonts w:ascii="Times New Roman" w:hAnsi="Times New Roman" w:cs="Times New Roman"/>
            <w:noProof/>
            <w:sz w:val="20"/>
          </w:rPr>
        </w:pPr>
        <w:r>
          <w:rPr>
            <w:rFonts w:ascii="Times New Roman" w:hAnsi="Times New Roman" w:cs="Times New Roman"/>
            <w:noProof/>
            <w:sz w:val="20"/>
          </w:rPr>
          <w:fldChar w:fldCharType="begin"/>
        </w:r>
        <w:r>
          <w:rPr>
            <w:rFonts w:ascii="Times New Roman" w:hAnsi="Times New Roman" w:cs="Times New Roman"/>
            <w:noProof/>
            <w:sz w:val="20"/>
          </w:rPr>
          <w:instrText xml:space="preserve"> FILENAME   \* MERGEFORMAT </w:instrText>
        </w:r>
        <w:r>
          <w:rPr>
            <w:rFonts w:ascii="Times New Roman" w:hAnsi="Times New Roman" w:cs="Times New Roman"/>
            <w:noProof/>
            <w:sz w:val="20"/>
          </w:rPr>
          <w:fldChar w:fldCharType="separate"/>
        </w:r>
        <w:r w:rsidR="00072903">
          <w:rPr>
            <w:rFonts w:ascii="Times New Roman" w:hAnsi="Times New Roman" w:cs="Times New Roman"/>
            <w:noProof/>
            <w:sz w:val="20"/>
          </w:rPr>
          <w:t>FMInfo_10042019_SP.docx</w:t>
        </w:r>
        <w:r>
          <w:rPr>
            <w:rFonts w:ascii="Times New Roman" w:hAnsi="Times New Roman" w:cs="Times New Roman"/>
            <w:noProof/>
            <w:sz w:val="20"/>
          </w:rPr>
          <w:fldChar w:fldCharType="end"/>
        </w:r>
        <w:r w:rsidRPr="00B71182">
          <w:rPr>
            <w:rFonts w:ascii="Times New Roman" w:hAnsi="Times New Roman" w:cs="Times New Roman"/>
            <w:sz w:val="20"/>
          </w:rPr>
          <w:t xml:space="preserve">; </w:t>
        </w:r>
      </w:p>
      <w:p w:rsidR="00BE281B" w:rsidRPr="002D4AED" w:rsidRDefault="00BE281B" w:rsidP="00FB1293">
        <w:pPr>
          <w:pStyle w:val="Footer"/>
          <w:tabs>
            <w:tab w:val="right" w:pos="9071"/>
          </w:tabs>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D4AED">
          <w:rPr>
            <w:rFonts w:ascii="Times New Roman" w:hAnsi="Times New Roman" w:cs="Times New Roman"/>
            <w:sz w:val="24"/>
          </w:rPr>
          <w:fldChar w:fldCharType="begin"/>
        </w:r>
        <w:r w:rsidRPr="002D4AED">
          <w:rPr>
            <w:rFonts w:ascii="Times New Roman" w:hAnsi="Times New Roman" w:cs="Times New Roman"/>
            <w:sz w:val="24"/>
          </w:rPr>
          <w:instrText xml:space="preserve"> PAGE   \* MERGEFORMAT </w:instrText>
        </w:r>
        <w:r w:rsidRPr="002D4AED">
          <w:rPr>
            <w:rFonts w:ascii="Times New Roman" w:hAnsi="Times New Roman" w:cs="Times New Roman"/>
            <w:sz w:val="24"/>
          </w:rPr>
          <w:fldChar w:fldCharType="separate"/>
        </w:r>
        <w:r w:rsidR="00072903">
          <w:rPr>
            <w:rFonts w:ascii="Times New Roman" w:hAnsi="Times New Roman" w:cs="Times New Roman"/>
            <w:noProof/>
            <w:sz w:val="24"/>
          </w:rPr>
          <w:t>84</w:t>
        </w:r>
        <w:r w:rsidRPr="002D4AED">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81B" w:rsidRDefault="00BE281B" w:rsidP="00623757">
      <w:pPr>
        <w:spacing w:after="0" w:line="240" w:lineRule="auto"/>
      </w:pPr>
      <w:r>
        <w:separator/>
      </w:r>
    </w:p>
  </w:footnote>
  <w:footnote w:type="continuationSeparator" w:id="0">
    <w:p w:rsidR="00BE281B" w:rsidRDefault="00BE281B" w:rsidP="00623757">
      <w:pPr>
        <w:spacing w:after="0" w:line="240" w:lineRule="auto"/>
      </w:pPr>
      <w:r>
        <w:continuationSeparator/>
      </w:r>
    </w:p>
  </w:footnote>
  <w:footnote w:type="continuationNotice" w:id="1">
    <w:p w:rsidR="00BE281B" w:rsidRDefault="00BE281B">
      <w:pPr>
        <w:spacing w:after="0" w:line="240" w:lineRule="auto"/>
      </w:pPr>
    </w:p>
  </w:footnote>
  <w:footnote w:id="2">
    <w:p w:rsidR="00BE281B" w:rsidRDefault="00BE281B" w:rsidP="00E53D87">
      <w:pPr>
        <w:pStyle w:val="FootnoteText"/>
        <w:ind w:left="142" w:hanging="142"/>
      </w:pPr>
      <w:r w:rsidRPr="00E0787A">
        <w:rPr>
          <w:rStyle w:val="FootnoteReference"/>
        </w:rPr>
        <w:footnoteRef/>
      </w:r>
      <w:r>
        <w:t xml:space="preserve"> </w:t>
      </w:r>
      <w:r w:rsidRPr="00D316B2">
        <w:t>Latvijas ārējās tirdzniecības galveno partnervalst</w:t>
      </w:r>
      <w:r>
        <w:t xml:space="preserve">u (Lietuva, Igaunija, Krievija, Zviedrija, </w:t>
      </w:r>
      <w:r w:rsidRPr="00D316B2">
        <w:t>Vā</w:t>
      </w:r>
      <w:r>
        <w:t>cija, Lielbritānija, Dānija</w:t>
      </w:r>
      <w:r w:rsidRPr="00D316B2">
        <w:t>) vidējā izaugsme, svērta ar vidējo eksporta ī</w:t>
      </w:r>
      <w:r>
        <w:t>patsvaru uz konkrēto valsti 2018.gadā</w:t>
      </w:r>
      <w:r w:rsidRPr="00D316B2">
        <w:t>.</w:t>
      </w:r>
    </w:p>
  </w:footnote>
  <w:footnote w:id="3">
    <w:p w:rsidR="00BE281B" w:rsidRPr="001762B5" w:rsidRDefault="00BE281B" w:rsidP="00832C2A">
      <w:pPr>
        <w:pStyle w:val="FootnoteText"/>
      </w:pPr>
      <w:r>
        <w:rPr>
          <w:rStyle w:val="FootnoteReference"/>
          <w:rFonts w:eastAsiaTheme="majorEastAsia"/>
        </w:rPr>
        <w:footnoteRef/>
      </w:r>
      <w:r>
        <w:t xml:space="preserve"> </w:t>
      </w:r>
      <w:proofErr w:type="spellStart"/>
      <w:r>
        <w:rPr>
          <w:i/>
        </w:rPr>
        <w:t>Plaus</w:t>
      </w:r>
      <w:r w:rsidRPr="001762B5">
        <w:rPr>
          <w:i/>
        </w:rPr>
        <w:t>ibility</w:t>
      </w:r>
      <w:proofErr w:type="spellEnd"/>
      <w:r w:rsidRPr="001762B5">
        <w:rPr>
          <w:i/>
        </w:rPr>
        <w:t xml:space="preserve"> </w:t>
      </w:r>
      <w:proofErr w:type="spellStart"/>
      <w:r w:rsidRPr="001762B5">
        <w:rPr>
          <w:i/>
        </w:rPr>
        <w:t>tool</w:t>
      </w:r>
      <w:proofErr w:type="spellEnd"/>
    </w:p>
  </w:footnote>
  <w:footnote w:id="4">
    <w:p w:rsidR="00BE281B" w:rsidRDefault="00BE281B" w:rsidP="00CC1A43">
      <w:pPr>
        <w:pStyle w:val="FootnoteText"/>
        <w:ind w:left="0" w:firstLine="0"/>
        <w:jc w:val="both"/>
      </w:pPr>
      <w:r>
        <w:rPr>
          <w:rStyle w:val="FootnoteReference"/>
        </w:rPr>
        <w:footnoteRef/>
      </w:r>
      <w:r>
        <w:t xml:space="preserve"> </w:t>
      </w:r>
      <w:r w:rsidRPr="00845D85">
        <w:t>Eiropas Parlamenta un Pado</w:t>
      </w:r>
      <w:r w:rsidRPr="00E21B58">
        <w:t>mes Regula (ES) Nr. 1175/2011 (2011. gada 16. novembris</w:t>
      </w:r>
      <w:r w:rsidRPr="00845D85">
        <w:t>), ar ko groza Padomes Regulu (EK) Nr. 1466/97 par budžeta stāvokļa uzraudzības un ekonomikas politikas uzraudzības un koordinācijas stiprināšanu</w:t>
      </w:r>
      <w:r>
        <w:t>.</w:t>
      </w:r>
    </w:p>
  </w:footnote>
  <w:footnote w:id="5">
    <w:p w:rsidR="00BE281B" w:rsidRPr="00925FDA" w:rsidRDefault="00BE281B" w:rsidP="00C63F8C">
      <w:pPr>
        <w:pStyle w:val="FootnoteText"/>
        <w:ind w:left="0" w:firstLine="0"/>
        <w:jc w:val="both"/>
      </w:pPr>
      <w:r>
        <w:rPr>
          <w:rStyle w:val="FootnoteReference"/>
        </w:rPr>
        <w:footnoteRef/>
      </w:r>
      <w:r>
        <w:t xml:space="preserve"> </w:t>
      </w:r>
      <w:r w:rsidRPr="00C63F8C">
        <w:t xml:space="preserve">EK 2015.gada 13.janvāra komunikācija Eiropas Parlamentam, Padomei, Eiropas Centrālai bankai, Ekonomikas un sociālo lietu komitejai, Reģionu komitejai un Eiropas Investīciju bankai par Stabilitātes un izaugsmes </w:t>
      </w:r>
      <w:proofErr w:type="spellStart"/>
      <w:r w:rsidRPr="00C63F8C">
        <w:t>pakta</w:t>
      </w:r>
      <w:proofErr w:type="spellEnd"/>
      <w:r w:rsidRPr="00C63F8C">
        <w:t xml:space="preserve"> regulējumā esošās elastības vislabāko izmantošanu.</w:t>
      </w:r>
    </w:p>
  </w:footnote>
  <w:footnote w:id="6">
    <w:p w:rsidR="00BE281B" w:rsidRPr="00C63F8C" w:rsidRDefault="00BE281B" w:rsidP="00C63F8C">
      <w:pPr>
        <w:pStyle w:val="FootnoteText"/>
        <w:jc w:val="both"/>
      </w:pPr>
      <w:r w:rsidRPr="00C63F8C">
        <w:rPr>
          <w:rStyle w:val="FootnoteReference"/>
        </w:rPr>
        <w:footnoteRef/>
      </w:r>
      <w:r w:rsidRPr="00C63F8C">
        <w:t xml:space="preserve"> Latvijai šis rādītājs ir noteikts 1,7% no IKP no 2017.gada.</w:t>
      </w:r>
    </w:p>
  </w:footnote>
  <w:footnote w:id="7">
    <w:p w:rsidR="00BE281B" w:rsidRPr="00C63F8C" w:rsidRDefault="00BE281B" w:rsidP="00C63F8C">
      <w:pPr>
        <w:pStyle w:val="FootnoteText"/>
        <w:rPr>
          <w:i/>
        </w:rPr>
      </w:pPr>
      <w:r w:rsidRPr="00C63F8C">
        <w:rPr>
          <w:rStyle w:val="FootnoteReference"/>
        </w:rPr>
        <w:footnoteRef/>
      </w:r>
      <w:r w:rsidRPr="00C63F8C">
        <w:t xml:space="preserve"> Datu avots: </w:t>
      </w:r>
      <w:proofErr w:type="spellStart"/>
      <w:r w:rsidRPr="00C63F8C">
        <w:rPr>
          <w:i/>
        </w:rPr>
        <w:t>Eurostat</w:t>
      </w:r>
      <w:proofErr w:type="spellEnd"/>
    </w:p>
  </w:footnote>
  <w:footnote w:id="8">
    <w:p w:rsidR="00BE281B" w:rsidRPr="00C63F8C" w:rsidRDefault="00BE281B" w:rsidP="00C63F8C">
      <w:pPr>
        <w:pStyle w:val="FootnoteText"/>
        <w:ind w:left="0" w:firstLine="0"/>
        <w:jc w:val="both"/>
        <w:rPr>
          <w:bCs/>
          <w:kern w:val="36"/>
        </w:rPr>
      </w:pPr>
      <w:r w:rsidRPr="00C63F8C">
        <w:rPr>
          <w:rStyle w:val="FootnoteReference"/>
        </w:rPr>
        <w:footnoteRef/>
      </w:r>
      <w:r w:rsidRPr="00C63F8C">
        <w:t xml:space="preserve"> </w:t>
      </w:r>
      <w:r w:rsidRPr="00C63F8C">
        <w:rPr>
          <w:bCs/>
          <w:kern w:val="36"/>
        </w:rPr>
        <w:t>Kopējais V</w:t>
      </w:r>
      <w:r>
        <w:rPr>
          <w:bCs/>
          <w:kern w:val="36"/>
        </w:rPr>
        <w:t>eselības ministrijas</w:t>
      </w:r>
      <w:r w:rsidRPr="00C63F8C">
        <w:rPr>
          <w:bCs/>
          <w:kern w:val="36"/>
        </w:rPr>
        <w:t xml:space="preserve"> budžets pamatfunkcijām, milj. </w:t>
      </w:r>
      <w:proofErr w:type="spellStart"/>
      <w:r w:rsidRPr="00C63F8C">
        <w:rPr>
          <w:bCs/>
          <w:i/>
          <w:kern w:val="36"/>
        </w:rPr>
        <w:t>euro</w:t>
      </w:r>
      <w:proofErr w:type="spellEnd"/>
      <w:r w:rsidRPr="00C63F8C">
        <w:rPr>
          <w:bCs/>
          <w:kern w:val="36"/>
        </w:rPr>
        <w:t>, 0-64 gadi: scenārijs atbilstoši Lat</w:t>
      </w:r>
      <w:r>
        <w:rPr>
          <w:bCs/>
          <w:kern w:val="36"/>
        </w:rPr>
        <w:t xml:space="preserve">vijas Universitātes pētījumam: </w:t>
      </w:r>
      <w:r w:rsidRPr="00C63F8C">
        <w:rPr>
          <w:bCs/>
          <w:kern w:val="36"/>
        </w:rPr>
        <w:t>“</w:t>
      </w:r>
      <w:proofErr w:type="spellStart"/>
      <w:r w:rsidRPr="00C63F8C">
        <w:rPr>
          <w:bCs/>
          <w:kern w:val="36"/>
        </w:rPr>
        <w:t>Izvērtējums</w:t>
      </w:r>
      <w:proofErr w:type="spellEnd"/>
      <w:r w:rsidRPr="00C63F8C">
        <w:rPr>
          <w:bCs/>
          <w:kern w:val="36"/>
        </w:rPr>
        <w:t xml:space="preserve"> Sabiedrības veselības pamatnostādņu 2014.–2020.gadam izstrādei” un faktiskais finansējums minētajai mērķa grupai ieskaitot deficīta atkāpes finansējumu. </w:t>
      </w:r>
    </w:p>
  </w:footnote>
  <w:footnote w:id="9">
    <w:p w:rsidR="00BE281B" w:rsidRPr="001E7D28" w:rsidRDefault="00BE281B" w:rsidP="00F1520C">
      <w:pPr>
        <w:pStyle w:val="FootnoteText"/>
        <w:ind w:left="0" w:hanging="56"/>
        <w:jc w:val="both"/>
      </w:pPr>
      <w:r>
        <w:rPr>
          <w:rStyle w:val="FootnoteReference"/>
        </w:rPr>
        <w:footnoteRef/>
      </w:r>
      <w:r>
        <w:t xml:space="preserve"> Ar detalizētu informāciju par veselības reformas īstenošanas rezultātiem 2017.gadā iespējams iepazīties FM tīmekļa vietnē – </w:t>
      </w:r>
      <w:r w:rsidRPr="00F63457">
        <w:t>http://www.fm.gov.lv/lv/sadalas/tautsaimniecibas_analize/fiskala_politika/stab</w:t>
      </w:r>
      <w:r>
        <w:t>ilitates_konvergences_programma</w:t>
      </w:r>
    </w:p>
  </w:footnote>
  <w:footnote w:id="10">
    <w:p w:rsidR="00BE281B" w:rsidRPr="00F63457" w:rsidRDefault="00BE281B" w:rsidP="00B83698">
      <w:pPr>
        <w:pStyle w:val="FootnoteText"/>
        <w:ind w:left="0" w:firstLine="0"/>
      </w:pPr>
      <w:r>
        <w:rPr>
          <w:rStyle w:val="FootnoteReference"/>
        </w:rPr>
        <w:footnoteRef/>
      </w:r>
      <w:r>
        <w:t xml:space="preserve"> Ar detalizētu informāciju par veselības reformas īstenošanas rezultātiem 2018.gadā iespējams iepazīties Finanšu ministrijas tīmekļa vietnē – </w:t>
      </w:r>
      <w:r w:rsidRPr="00F63457">
        <w:t>http://www.fm.gov.lv/lv/sadalas/tautsaimniecibas_analize/fiskala_politika/stab</w:t>
      </w:r>
      <w:r>
        <w:t>ilitates_konvergences_programma</w:t>
      </w:r>
    </w:p>
  </w:footnote>
  <w:footnote w:id="11">
    <w:p w:rsidR="00BE281B" w:rsidRPr="00492A61" w:rsidRDefault="00BE281B" w:rsidP="006A5EC3">
      <w:pPr>
        <w:pStyle w:val="FootnoteText"/>
        <w:jc w:val="both"/>
        <w:rPr>
          <w:color w:val="000000" w:themeColor="text1"/>
        </w:rPr>
      </w:pPr>
      <w:r w:rsidRPr="00492A61">
        <w:rPr>
          <w:rStyle w:val="FootnoteReference"/>
          <w:rFonts w:eastAsiaTheme="majorEastAsia"/>
          <w:color w:val="000000" w:themeColor="text1"/>
        </w:rPr>
        <w:footnoteRef/>
      </w:r>
      <w:r w:rsidRPr="00492A61">
        <w:rPr>
          <w:color w:val="000000" w:themeColor="text1"/>
        </w:rPr>
        <w:t xml:space="preserve"> Diskontēts 2014.gada vērtībās; kumulatīvais efekts.</w:t>
      </w:r>
    </w:p>
  </w:footnote>
  <w:footnote w:id="12">
    <w:p w:rsidR="00BE281B" w:rsidRPr="00492A61" w:rsidRDefault="00BE281B" w:rsidP="006A5EC3">
      <w:pPr>
        <w:pStyle w:val="FootnoteText"/>
        <w:jc w:val="both"/>
        <w:rPr>
          <w:color w:val="000000" w:themeColor="text1"/>
        </w:rPr>
      </w:pPr>
      <w:r w:rsidRPr="00492A61">
        <w:rPr>
          <w:rStyle w:val="FootnoteReference"/>
          <w:rFonts w:eastAsiaTheme="majorEastAsia"/>
          <w:color w:val="000000" w:themeColor="text1"/>
        </w:rPr>
        <w:footnoteRef/>
      </w:r>
      <w:r w:rsidRPr="00492A61">
        <w:rPr>
          <w:color w:val="000000" w:themeColor="text1"/>
        </w:rPr>
        <w:t xml:space="preserve"> X apzīmē 2013.gadu. </w:t>
      </w:r>
    </w:p>
  </w:footnote>
  <w:footnote w:id="13">
    <w:p w:rsidR="00BE281B" w:rsidRPr="00492A61" w:rsidRDefault="00BE281B" w:rsidP="006A5EC3">
      <w:pPr>
        <w:pStyle w:val="FootnoteText"/>
        <w:jc w:val="both"/>
        <w:rPr>
          <w:color w:val="000000" w:themeColor="text1"/>
        </w:rPr>
      </w:pPr>
      <w:r w:rsidRPr="00492A61">
        <w:rPr>
          <w:rStyle w:val="FootnoteReference"/>
          <w:rFonts w:eastAsiaTheme="majorEastAsia"/>
          <w:color w:val="000000" w:themeColor="text1"/>
        </w:rPr>
        <w:footnoteRef/>
      </w:r>
      <w:r w:rsidRPr="00492A61">
        <w:rPr>
          <w:color w:val="000000" w:themeColor="text1"/>
        </w:rPr>
        <w:t xml:space="preserve"> Tautsaimniecības izlaide dalīta ar 2014.gada IKP faktiskajās cenās.</w:t>
      </w:r>
    </w:p>
  </w:footnote>
  <w:footnote w:id="14">
    <w:p w:rsidR="00BE281B" w:rsidRPr="00492A61" w:rsidRDefault="00BE281B" w:rsidP="006A5EC3">
      <w:pPr>
        <w:pStyle w:val="FootnoteText"/>
        <w:jc w:val="both"/>
        <w:rPr>
          <w:color w:val="000000" w:themeColor="text1"/>
        </w:rPr>
      </w:pPr>
      <w:r w:rsidRPr="00492A61">
        <w:rPr>
          <w:rStyle w:val="FootnoteReference"/>
          <w:rFonts w:eastAsiaTheme="majorEastAsia"/>
          <w:color w:val="000000" w:themeColor="text1"/>
        </w:rPr>
        <w:footnoteRef/>
      </w:r>
      <w:r w:rsidRPr="00492A61">
        <w:rPr>
          <w:color w:val="000000" w:themeColor="text1"/>
        </w:rPr>
        <w:t xml:space="preserve"> Nodarbinātības pieaugums dalīts ar nodarbināto skaitu vecuma grupā 15-64 gadi (2012.gadā).</w:t>
      </w:r>
    </w:p>
  </w:footnote>
  <w:footnote w:id="15">
    <w:p w:rsidR="00BE281B" w:rsidRPr="00492A61" w:rsidRDefault="00BE281B" w:rsidP="006A5EC3">
      <w:pPr>
        <w:pStyle w:val="FootnoteText"/>
        <w:jc w:val="both"/>
        <w:rPr>
          <w:color w:val="000000" w:themeColor="text1"/>
        </w:rPr>
      </w:pPr>
      <w:r w:rsidRPr="00492A61">
        <w:rPr>
          <w:rStyle w:val="FootnoteReference"/>
          <w:rFonts w:eastAsiaTheme="majorEastAsia"/>
          <w:color w:val="000000" w:themeColor="text1"/>
        </w:rPr>
        <w:footnoteRef/>
      </w:r>
      <w:r w:rsidRPr="00492A61">
        <w:rPr>
          <w:color w:val="000000" w:themeColor="text1"/>
        </w:rPr>
        <w:t xml:space="preserve"> Tiešā fiskālā ietekme, kas attiecināma uz vecuma grupu – 0-64 gadi.</w:t>
      </w:r>
    </w:p>
  </w:footnote>
  <w:footnote w:id="16">
    <w:p w:rsidR="00BE281B" w:rsidRPr="00492A61" w:rsidRDefault="00BE281B" w:rsidP="006A5EC3">
      <w:pPr>
        <w:pStyle w:val="FootnoteText"/>
        <w:jc w:val="both"/>
        <w:rPr>
          <w:color w:val="000000" w:themeColor="text1"/>
        </w:rPr>
      </w:pPr>
      <w:r w:rsidRPr="00492A61">
        <w:rPr>
          <w:rStyle w:val="FootnoteReference"/>
          <w:rFonts w:eastAsiaTheme="majorEastAsia"/>
          <w:color w:val="000000" w:themeColor="text1"/>
        </w:rPr>
        <w:footnoteRef/>
      </w:r>
      <w:r w:rsidRPr="00492A61">
        <w:rPr>
          <w:color w:val="000000" w:themeColor="text1"/>
        </w:rPr>
        <w:t xml:space="preserve"> Novērtējot netiešo ietekmi uz budžetu, tiek izmantota budžeta bilances elastība 0,43 (5 gadiem) un 0,41 (10 gadi un vairāk.</w:t>
      </w:r>
    </w:p>
  </w:footnote>
  <w:footnote w:id="17">
    <w:p w:rsidR="00BE281B" w:rsidRPr="002E0871" w:rsidRDefault="00BE281B" w:rsidP="00124554">
      <w:pPr>
        <w:pStyle w:val="FootnoteText"/>
      </w:pPr>
      <w:r w:rsidRPr="002E0871">
        <w:rPr>
          <w:rStyle w:val="FootnoteCharacters"/>
          <w:rFonts w:eastAsiaTheme="majorEastAsia"/>
        </w:rPr>
        <w:footnoteRef/>
      </w:r>
      <w:r w:rsidRPr="002E0871">
        <w:tab/>
      </w:r>
      <w:r>
        <w:t>Nodokļu slogs (D.2 (iesk.ES daļu)+D.5+D.61+D91).</w:t>
      </w:r>
    </w:p>
  </w:footnote>
  <w:footnote w:id="18">
    <w:p w:rsidR="00BE281B" w:rsidRPr="007D58DD" w:rsidRDefault="00BE281B" w:rsidP="00560DC2">
      <w:pPr>
        <w:pStyle w:val="FootnoteText"/>
        <w:spacing w:after="240"/>
        <w:ind w:left="0" w:hanging="56"/>
        <w:jc w:val="both"/>
      </w:pPr>
      <w:r>
        <w:rPr>
          <w:rStyle w:val="FootnoteReference"/>
          <w:rFonts w:eastAsiaTheme="majorEastAsia"/>
        </w:rPr>
        <w:footnoteRef/>
      </w:r>
      <w:r>
        <w:t xml:space="preserve"> </w:t>
      </w:r>
      <w:r w:rsidRPr="00920FC7">
        <w:t>Budžeta bilances cikliskās komponentes aprēķinā izmantota budžeta pus-elastība 0,</w:t>
      </w:r>
      <w:r w:rsidRPr="004E1E2C">
        <w:t xml:space="preserve">38 (Datu avots: </w:t>
      </w:r>
      <w:r>
        <w:rPr>
          <w:lang w:val="en-GB"/>
        </w:rPr>
        <w:t>An update of the semi-elasticities of the budget balance based on new weights. Note to the attention of the members of the Output Gap Working Group</w:t>
      </w:r>
      <w:r w:rsidRPr="004E1E2C">
        <w:rPr>
          <w:noProof/>
          <w:szCs w:val="24"/>
          <w:lang w:val="en-GB"/>
        </w:rPr>
        <w:t>).</w:t>
      </w:r>
    </w:p>
  </w:footnote>
  <w:footnote w:id="19">
    <w:p w:rsidR="00BE281B" w:rsidRDefault="00BE281B" w:rsidP="00560DC2">
      <w:pPr>
        <w:pStyle w:val="FootnoteText"/>
        <w:ind w:left="0" w:firstLine="0"/>
        <w:jc w:val="both"/>
      </w:pPr>
      <w:r>
        <w:rPr>
          <w:rStyle w:val="FootnoteReference"/>
        </w:rPr>
        <w:footnoteRef/>
      </w:r>
      <w:r>
        <w:t xml:space="preserve"> </w:t>
      </w:r>
      <w:r w:rsidRPr="00120ED6">
        <w:t xml:space="preserve">Ieņēmumu daļa 18,2 milj. </w:t>
      </w:r>
      <w:proofErr w:type="spellStart"/>
      <w:r w:rsidRPr="00560DC2">
        <w:rPr>
          <w:i/>
        </w:rPr>
        <w:t>euro</w:t>
      </w:r>
      <w:proofErr w:type="spellEnd"/>
      <w:r w:rsidRPr="00120ED6">
        <w:t xml:space="preserve"> apmērā no Latvijai piešķirto emisijas kvotu izsolīšanas, kas notika 2018.gada novembrī un ir attiecināms uz apjoma pieaugumu ir iekļauta budžeta plāna projektā kā vienreizējs pasākums. Savukārt ieņēmumu pieaugums no šī darījumā, kas ir attiecināms uz cenas svārstībām 2019.gadā šajā budžeta plānā netiek uzskatīts par vienreizēju pasākumu.</w:t>
      </w:r>
    </w:p>
  </w:footnote>
  <w:footnote w:id="20">
    <w:p w:rsidR="00BE281B" w:rsidRDefault="00BE281B" w:rsidP="00560DC2">
      <w:pPr>
        <w:pStyle w:val="FootnoteText"/>
        <w:ind w:left="0"/>
        <w:jc w:val="both"/>
      </w:pPr>
      <w:r>
        <w:rPr>
          <w:rStyle w:val="FootnoteReference"/>
        </w:rPr>
        <w:footnoteRef/>
      </w:r>
      <w:r>
        <w:t xml:space="preserve"> </w:t>
      </w:r>
      <w:r w:rsidRPr="003463F3">
        <w:rPr>
          <w:snapToGrid/>
        </w:rPr>
        <w:t xml:space="preserve">Lai atvieglotu datu salīdzināmību, strukturālā bilance 2019. un 2020. gadā ir parādīta kopā ar nodokļu reformas neto ieņēmumu samazinājumu, attiecīgi 0,5% no IKP un 0,3% no IKP, kas ir īslaicīgs un Latvijas fiskālajā ietvarā tiek atzīts par vienreizējo pasākumu, bet EK šo efektu ietver strukturālajā bilancē, jo ieņēmumus samazinošos/ izdevumus palielinošos pasākumus EK kā likums neatzīst par vienreizējiem/ īslaicīgajiem pasākumiem.  </w:t>
      </w:r>
    </w:p>
  </w:footnote>
  <w:footnote w:id="21">
    <w:p w:rsidR="00BE281B" w:rsidRDefault="00BE281B">
      <w:pPr>
        <w:pStyle w:val="FootnoteText"/>
      </w:pPr>
      <w:r>
        <w:rPr>
          <w:rStyle w:val="FootnoteReference"/>
        </w:rPr>
        <w:footnoteRef/>
      </w:r>
      <w:r>
        <w:t xml:space="preserve"> </w:t>
      </w:r>
      <w:r w:rsidRPr="00920FC7">
        <w:t>Budžeta bilances cikliskās komponentes aprēķinā izmantota budžeta pus-elastība 0,</w:t>
      </w:r>
      <w:r w:rsidRPr="004E1E2C">
        <w:t xml:space="preserve">38 (Datu avots: </w:t>
      </w:r>
      <w:r>
        <w:rPr>
          <w:lang w:val="en-GB"/>
        </w:rPr>
        <w:t>An update of the semi-elasticities of the budget balance based on new weights. Note to the attention of the members of the Output Gap Working Group</w:t>
      </w:r>
      <w:r w:rsidRPr="004E1E2C">
        <w:rPr>
          <w:noProof/>
          <w:szCs w:val="24"/>
          <w:lang w:val="en-GB"/>
        </w:rPr>
        <w:t>).</w:t>
      </w:r>
    </w:p>
  </w:footnote>
  <w:footnote w:id="22">
    <w:p w:rsidR="00BE281B" w:rsidRDefault="00BE281B" w:rsidP="00120ED6">
      <w:pPr>
        <w:pStyle w:val="FootnoteText"/>
        <w:jc w:val="both"/>
      </w:pPr>
      <w:r>
        <w:rPr>
          <w:rStyle w:val="FootnoteReference"/>
        </w:rPr>
        <w:footnoteRef/>
      </w:r>
      <w:r>
        <w:t xml:space="preserve"> </w:t>
      </w:r>
      <w:r w:rsidRPr="00120ED6">
        <w:t xml:space="preserve">Ieņēmumu daļa 18,2 milj. </w:t>
      </w:r>
      <w:proofErr w:type="spellStart"/>
      <w:r w:rsidRPr="001A7DF4">
        <w:rPr>
          <w:i/>
        </w:rPr>
        <w:t>euro</w:t>
      </w:r>
      <w:proofErr w:type="spellEnd"/>
      <w:r w:rsidRPr="00120ED6">
        <w:t xml:space="preserve"> apmērā no Latvijai piešķirto emisijas kvotu izsolīšanas, kas notika 2018.gada novembrī un ir attiecināms uz apjoma pieaugumu ir iekļauta budžeta plāna projektā kā vienreizējs pasākums. Savukārt ieņēmumu pieaugums no šī darījumā, kas ir attiecināms uz cenas svārstībām 2019.gadā šajā budžeta plānā netiek uzskatīts par vienreizēju pasākumu.</w:t>
      </w:r>
    </w:p>
  </w:footnote>
  <w:footnote w:id="23">
    <w:p w:rsidR="00BE281B" w:rsidRPr="00120ED6" w:rsidRDefault="00BE281B" w:rsidP="00120ED6">
      <w:pPr>
        <w:pStyle w:val="FootnoteText"/>
        <w:jc w:val="both"/>
      </w:pPr>
      <w:r>
        <w:rPr>
          <w:rStyle w:val="FootnoteReference"/>
        </w:rPr>
        <w:footnoteRef/>
      </w:r>
      <w:r>
        <w:t xml:space="preserve"> </w:t>
      </w:r>
      <w:r w:rsidRPr="003463F3">
        <w:rPr>
          <w:snapToGrid/>
        </w:rPr>
        <w:t xml:space="preserve">Lai atvieglotu datu salīdzināmību, strukturālā bilance 2019. un 2020. gadā ir parādīta kopā ar nodokļu reformas neto ieņēmumu samazinājumu, attiecīgi 0,5% no IKP un 0,3% no IKP, kas ir īslaicīgs un Latvijas fiskālajā ietvarā tiek atzīts par vienreizējo pasākumu, bet EK šo efektu ietver strukturālajā bilancē, jo ieņēmumus samazinošos/ izdevumus palielinošos pasākumus EK </w:t>
      </w:r>
      <w:r>
        <w:rPr>
          <w:snapToGrid/>
        </w:rPr>
        <w:t>parasti</w:t>
      </w:r>
      <w:r w:rsidRPr="003463F3">
        <w:rPr>
          <w:snapToGrid/>
        </w:rPr>
        <w:t xml:space="preserve"> neatzīst par vienreizējiem/ īslaicīgajiem pasākumiem.</w:t>
      </w:r>
    </w:p>
  </w:footnote>
  <w:footnote w:id="24">
    <w:p w:rsidR="00BE281B" w:rsidRDefault="00BE281B" w:rsidP="00602382">
      <w:pPr>
        <w:pStyle w:val="FootnoteText"/>
      </w:pPr>
      <w:r>
        <w:rPr>
          <w:rStyle w:val="FootnoteReference"/>
        </w:rPr>
        <w:footnoteRef/>
      </w:r>
      <w:r>
        <w:t xml:space="preserve"> Ņemot vērā </w:t>
      </w:r>
      <w:r w:rsidRPr="0060070B">
        <w:t>Valsts kases administrētajiem ārējiem aizņēmumiem un parāda vērtspapīriem piesaistīto atvasināto finanšu instrumentu valūtas rezultāt</w:t>
      </w:r>
      <w:r>
        <w:t>u</w:t>
      </w:r>
    </w:p>
  </w:footnote>
  <w:footnote w:id="25">
    <w:p w:rsidR="00BE281B" w:rsidRPr="00461783" w:rsidRDefault="00BE281B" w:rsidP="00691C52">
      <w:pPr>
        <w:pStyle w:val="FootnoteText"/>
      </w:pPr>
      <w:r>
        <w:rPr>
          <w:rStyle w:val="FootnoteReference"/>
        </w:rPr>
        <w:footnoteRef/>
      </w:r>
      <w:r>
        <w:t xml:space="preserve"> Atskaitot iemaksas valsts </w:t>
      </w:r>
      <w:proofErr w:type="spellStart"/>
      <w:r>
        <w:t>fondēto</w:t>
      </w:r>
      <w:proofErr w:type="spellEnd"/>
      <w:r>
        <w:t xml:space="preserve"> pensiju shēmā un iemaksas 3.pensiju līmenī</w:t>
      </w:r>
    </w:p>
  </w:footnote>
  <w:footnote w:id="26">
    <w:p w:rsidR="00BE281B" w:rsidRPr="00386491" w:rsidRDefault="00BE281B" w:rsidP="00691C52">
      <w:pPr>
        <w:pStyle w:val="FootnoteText"/>
      </w:pPr>
      <w:r>
        <w:rPr>
          <w:rStyle w:val="FootnoteReference"/>
        </w:rPr>
        <w:footnoteRef/>
      </w:r>
      <w:r>
        <w:t xml:space="preserve"> Izmaiņas pieauguma tempos salīdzinājumā ar bāzes scenāriju, procentpunktos (%)</w:t>
      </w:r>
    </w:p>
  </w:footnote>
  <w:footnote w:id="27">
    <w:p w:rsidR="00BE281B" w:rsidRPr="00461783" w:rsidRDefault="00BE281B" w:rsidP="00691C52">
      <w:pPr>
        <w:pStyle w:val="FootnoteText"/>
      </w:pPr>
      <w:r>
        <w:rPr>
          <w:rStyle w:val="FootnoteReference"/>
        </w:rPr>
        <w:footnoteRef/>
      </w:r>
      <w:r>
        <w:t xml:space="preserve"> Atskaitot iemaksas valsts </w:t>
      </w:r>
      <w:proofErr w:type="spellStart"/>
      <w:r>
        <w:t>fondēto</w:t>
      </w:r>
      <w:proofErr w:type="spellEnd"/>
      <w:r>
        <w:t xml:space="preserve"> pensiju shēmā un iemaksas 3.pensiju līmenī</w:t>
      </w:r>
    </w:p>
  </w:footnote>
  <w:footnote w:id="28">
    <w:p w:rsidR="00BE281B" w:rsidRPr="00386491" w:rsidRDefault="00BE281B" w:rsidP="00691C52">
      <w:pPr>
        <w:pStyle w:val="FootnoteText"/>
      </w:pPr>
      <w:r>
        <w:rPr>
          <w:rStyle w:val="FootnoteReference"/>
        </w:rPr>
        <w:footnoteRef/>
      </w:r>
      <w:r>
        <w:t xml:space="preserve"> Izmaiņas pieauguma tempos salīdzinājumā ar bāzes scenāriju, procentpunktos (%)</w:t>
      </w:r>
    </w:p>
  </w:footnote>
  <w:footnote w:id="29">
    <w:p w:rsidR="00BE281B" w:rsidRDefault="00BE281B" w:rsidP="00D91646">
      <w:pPr>
        <w:pStyle w:val="FootnoteText"/>
        <w:jc w:val="both"/>
      </w:pPr>
      <w:r>
        <w:rPr>
          <w:rStyle w:val="FootnoteReference"/>
        </w:rPr>
        <w:footnoteRef/>
      </w:r>
      <w:r>
        <w:t xml:space="preserve"> No 2019.gada, 2018.gadā 55 000 </w:t>
      </w:r>
      <w:proofErr w:type="spellStart"/>
      <w:r w:rsidRPr="00112A32">
        <w:rPr>
          <w:i/>
        </w:rPr>
        <w:t>euro</w:t>
      </w:r>
      <w:proofErr w:type="spellEnd"/>
    </w:p>
  </w:footnote>
  <w:footnote w:id="30">
    <w:p w:rsidR="00BE281B" w:rsidRDefault="00BE281B" w:rsidP="00DA42C2">
      <w:pPr>
        <w:pStyle w:val="FootnoteText"/>
        <w:jc w:val="both"/>
      </w:pPr>
      <w:r>
        <w:rPr>
          <w:rStyle w:val="FootnoteReference"/>
        </w:rPr>
        <w:footnoteRef/>
      </w:r>
      <w:r>
        <w:t xml:space="preserve"> </w:t>
      </w:r>
      <w:r w:rsidRPr="002E45D7">
        <w:t xml:space="preserve">VSAOI maksimālais apmērs palielināts, pamatojoties uz 2013.gada 17.decembra </w:t>
      </w:r>
      <w:r w:rsidRPr="006C5ABE">
        <w:rPr>
          <w:rFonts w:eastAsia="Calibri"/>
          <w:sz w:val="24"/>
          <w:szCs w:val="24"/>
        </w:rPr>
        <w:t>M</w:t>
      </w:r>
      <w:r>
        <w:rPr>
          <w:rFonts w:eastAsia="Calibri"/>
          <w:sz w:val="24"/>
          <w:szCs w:val="24"/>
        </w:rPr>
        <w:t>K</w:t>
      </w:r>
      <w:r w:rsidRPr="002E45D7">
        <w:t xml:space="preserve"> noteikumiem Nr.1478 „Noteikumi par valsts sociālās apdrošināšanas obligāto un brīvprātīgo iemaksu objekta minimālo un maksimālo apmēru”, kas nosaka, ka Labklājības ministrija katram kalendāra gadam aprēķina VSAOI objekta un brīvprātīgo apdrošināšanas iemaksu objekta maksimālo apmēru (iemaksu objekta maksimālo apmēru aprēķina, piemērojot iepriekšējā kalendāra gada iemaksu objekta maksimālajam apmēram tautsaimniecībā nodarbināto mēneša vidējo bruto darba samaksas (faktiskajās cenās) izmaiņu indeksu).</w:t>
      </w:r>
    </w:p>
  </w:footnote>
  <w:footnote w:id="31">
    <w:p w:rsidR="00BE281B" w:rsidRPr="002E45D7" w:rsidRDefault="00BE281B" w:rsidP="00DA42C2">
      <w:pPr>
        <w:pStyle w:val="FootnoteText"/>
        <w:jc w:val="both"/>
      </w:pPr>
      <w:r w:rsidRPr="002E45D7">
        <w:rPr>
          <w:rStyle w:val="FootnoteReference"/>
        </w:rPr>
        <w:footnoteRef/>
      </w:r>
      <w:r w:rsidRPr="002E45D7">
        <w:t xml:space="preserve"> No likumprojekta "Par nodokļiem un nodevām" tika izslēgta norma par skaidras naudas ierobežojumiem attiecībā uz darījuma summas samazināšanu.</w:t>
      </w:r>
    </w:p>
  </w:footnote>
  <w:footnote w:id="32">
    <w:p w:rsidR="00BE281B" w:rsidRDefault="00BE281B" w:rsidP="009B0F5F">
      <w:pPr>
        <w:pStyle w:val="FootnoteText"/>
      </w:pPr>
      <w:r>
        <w:rPr>
          <w:rStyle w:val="FootnoteReference"/>
        </w:rPr>
        <w:footnoteRef/>
      </w:r>
      <w:r>
        <w:t xml:space="preserve"> </w:t>
      </w:r>
      <w:r w:rsidRPr="009B0F5F">
        <w:rPr>
          <w:noProof/>
          <w:szCs w:val="24"/>
        </w:rPr>
        <w:t>Pension Adequacy Report 2018</w:t>
      </w:r>
    </w:p>
  </w:footnote>
  <w:footnote w:id="33">
    <w:p w:rsidR="00BE281B" w:rsidRDefault="00BE281B" w:rsidP="009B0F5F">
      <w:pPr>
        <w:pStyle w:val="FootnoteText"/>
      </w:pPr>
      <w:r>
        <w:rPr>
          <w:rStyle w:val="FootnoteReference"/>
        </w:rPr>
        <w:footnoteRef/>
      </w:r>
      <w:r>
        <w:t xml:space="preserve"> </w:t>
      </w:r>
      <w:r w:rsidRPr="009B0F5F">
        <w:rPr>
          <w:noProof/>
          <w:szCs w:val="24"/>
          <w:lang w:val="en-US"/>
        </w:rPr>
        <w:t>Reviews</w:t>
      </w:r>
      <w:r w:rsidRPr="009B0F5F">
        <w:rPr>
          <w:noProof/>
          <w:szCs w:val="24"/>
        </w:rPr>
        <w:t xml:space="preserve"> of Pension Systems:</w:t>
      </w:r>
      <w:r w:rsidRPr="009B0F5F">
        <w:rPr>
          <w:szCs w:val="24"/>
        </w:rPr>
        <w:t xml:space="preserve"> Latvia, 2018</w:t>
      </w:r>
    </w:p>
  </w:footnote>
  <w:footnote w:id="34">
    <w:p w:rsidR="00BE281B" w:rsidRDefault="00BE281B" w:rsidP="009B0F5F">
      <w:pPr>
        <w:pStyle w:val="FootnoteText"/>
      </w:pPr>
      <w:r>
        <w:rPr>
          <w:rStyle w:val="FootnoteReference"/>
        </w:rPr>
        <w:footnoteRef/>
      </w:r>
      <w:r>
        <w:t xml:space="preserve"> </w:t>
      </w:r>
      <w:r w:rsidRPr="007F72AC">
        <w:t>Konceptuālais ziņojums "Par veselības aprūpes sistēmas reformu"</w:t>
      </w:r>
      <w:r>
        <w:t>. MK</w:t>
      </w:r>
    </w:p>
    <w:p w:rsidR="00BE281B" w:rsidRDefault="00BE281B" w:rsidP="009B0F5F">
      <w:pPr>
        <w:pStyle w:val="FootnoteText"/>
      </w:pPr>
      <w:r>
        <w:t>2017. gada 7. augusta rīkojums Nr. 394</w:t>
      </w:r>
    </w:p>
  </w:footnote>
  <w:footnote w:id="35">
    <w:p w:rsidR="00BE281B" w:rsidRDefault="00BE281B" w:rsidP="006F5741">
      <w:pPr>
        <w:pStyle w:val="FootnoteText"/>
      </w:pPr>
      <w:r>
        <w:rPr>
          <w:rStyle w:val="FootnoteReference"/>
        </w:rPr>
        <w:footnoteRef/>
      </w:r>
      <w:r>
        <w:t xml:space="preserve"> </w:t>
      </w:r>
      <w:r w:rsidRPr="006B2F8D">
        <w:t xml:space="preserve">Ieņēmumu daļa 18,2 milj. </w:t>
      </w:r>
      <w:proofErr w:type="spellStart"/>
      <w:r w:rsidRPr="006B2F8D">
        <w:t>euro</w:t>
      </w:r>
      <w:proofErr w:type="spellEnd"/>
      <w:r w:rsidRPr="006B2F8D">
        <w:t xml:space="preserve"> apmērā no Latvijai piešķirto emisijas kvotu izsolīšanas, kas notika 2018.gada novembrī un ir attiecināms uz apjoma pieaugumu ir iekļauta budžeta plāna projektā kā vienreizējs pasākums. Savukārt ieņēmumu pieaugums no šī darījumā, kas ir attiecināms uz cenas svārstībām 2019.gadā šajā budžeta plānā netiek uzskatīts par vienreizēju pasākumu.</w:t>
      </w:r>
    </w:p>
  </w:footnote>
  <w:footnote w:id="36">
    <w:p w:rsidR="00BE281B" w:rsidRDefault="00BE281B" w:rsidP="006B2F8D">
      <w:pPr>
        <w:pStyle w:val="FootnoteText"/>
        <w:jc w:val="both"/>
      </w:pPr>
      <w:r>
        <w:rPr>
          <w:rStyle w:val="FootnoteReference"/>
        </w:rPr>
        <w:footnoteRef/>
      </w:r>
      <w:r>
        <w:t xml:space="preserve"> </w:t>
      </w:r>
      <w:r w:rsidRPr="006B2F8D">
        <w:t xml:space="preserve">Ieņēmumu daļa 18,2 milj. </w:t>
      </w:r>
      <w:proofErr w:type="spellStart"/>
      <w:r w:rsidRPr="006B2F8D">
        <w:t>euro</w:t>
      </w:r>
      <w:proofErr w:type="spellEnd"/>
      <w:r w:rsidRPr="006B2F8D">
        <w:t xml:space="preserve"> apmērā no Latvijai piešķirto emisijas kvotu izsolīšanas, kas notika 2018.gada novembrī un ir attiecināms uz apjoma pieaugumu ir iekļauta budžeta plāna projektā kā vienreizējs pasākums. Savukārt ieņēmumu pieaugums no šī darījumā, kas ir attiecināms uz cenas svārstībām 2019.gadā šajā budžeta plānā netiek uzskatīts par vienreizēju pasākumu.</w:t>
      </w:r>
    </w:p>
  </w:footnote>
  <w:footnote w:id="37">
    <w:p w:rsidR="00BE281B" w:rsidRDefault="00BE281B" w:rsidP="006B2F8D">
      <w:pPr>
        <w:pStyle w:val="FootnoteText"/>
        <w:jc w:val="both"/>
      </w:pPr>
      <w:r>
        <w:rPr>
          <w:rStyle w:val="FootnoteReference"/>
        </w:rPr>
        <w:footnoteRef/>
      </w:r>
      <w:r>
        <w:t xml:space="preserve"> </w:t>
      </w:r>
      <w:r w:rsidRPr="006B2F8D">
        <w:t>Lai atvieglotu datu salīdzināmību, strukturālā bilance</w:t>
      </w:r>
      <w:r>
        <w:t xml:space="preserve"> 2019. un 2020. gadā</w:t>
      </w:r>
      <w:r w:rsidRPr="006B2F8D">
        <w:t xml:space="preserve"> ir parādīta kopā ar nodokļu reformas neto ieņēmumu samazinājumu</w:t>
      </w:r>
      <w:r>
        <w:t>, attiecīgi</w:t>
      </w:r>
      <w:r w:rsidRPr="006B2F8D">
        <w:t xml:space="preserve"> 0,5% no IKP</w:t>
      </w:r>
      <w:r>
        <w:t xml:space="preserve"> un 0,3% no IKP</w:t>
      </w:r>
      <w:r w:rsidRPr="006B2F8D">
        <w:t xml:space="preserve">, kas ir īslaicīgs un Latvijas fiskālajā ietvarā tiek atzīts par vienreizējo pasākumu, bet EK šo efektu ietver strukturālajā bilancē, jo ieņēmumus samazinošos/ izdevumus palielinošos pasākumus EK kā likums neatzīst par vienreizējiem/ īslaicīgajiem pasākumiem.  </w:t>
      </w:r>
    </w:p>
  </w:footnote>
  <w:footnote w:id="38">
    <w:p w:rsidR="00BE281B" w:rsidRPr="00DB1AEB" w:rsidRDefault="00BE281B" w:rsidP="00766D30">
      <w:pPr>
        <w:spacing w:after="0" w:line="240" w:lineRule="auto"/>
        <w:jc w:val="both"/>
        <w:rPr>
          <w:rFonts w:ascii="Times New Roman" w:hAnsi="Times New Roman"/>
          <w:color w:val="000000" w:themeColor="text1"/>
          <w:sz w:val="20"/>
        </w:rPr>
      </w:pPr>
      <w:r w:rsidRPr="002525FA">
        <w:rPr>
          <w:rStyle w:val="FootnoteReference"/>
          <w:rFonts w:ascii="Times New Roman" w:hAnsi="Times New Roman" w:cs="Times New Roman"/>
          <w:color w:val="000000" w:themeColor="text1"/>
          <w:szCs w:val="20"/>
          <w:lang w:val="en-GB"/>
        </w:rPr>
        <w:footnoteRef/>
      </w:r>
      <w:r w:rsidRPr="002525FA">
        <w:rPr>
          <w:rFonts w:ascii="Times New Roman" w:hAnsi="Times New Roman" w:cs="Times New Roman"/>
          <w:color w:val="000000" w:themeColor="text1"/>
          <w:sz w:val="20"/>
          <w:szCs w:val="20"/>
          <w:lang w:val="en-GB"/>
        </w:rPr>
        <w:t xml:space="preserve"> </w:t>
      </w:r>
      <w:r w:rsidRPr="002525FA">
        <w:rPr>
          <w:rFonts w:ascii="Times New Roman" w:eastAsia="Times New Roman" w:hAnsi="Times New Roman" w:cs="Times New Roman"/>
          <w:color w:val="000000" w:themeColor="text1"/>
          <w:sz w:val="20"/>
          <w:szCs w:val="20"/>
          <w:lang w:eastAsia="lv-LV"/>
        </w:rPr>
        <w:t xml:space="preserve">Datu avots: </w:t>
      </w:r>
      <w:r w:rsidRPr="00196BDA">
        <w:rPr>
          <w:rFonts w:ascii="Times New Roman" w:eastAsia="Times New Roman" w:hAnsi="Times New Roman" w:cs="Times New Roman"/>
          <w:color w:val="000000" w:themeColor="text1"/>
          <w:sz w:val="20"/>
          <w:szCs w:val="20"/>
          <w:lang w:eastAsia="lv-LV"/>
        </w:rPr>
        <w:t xml:space="preserve">EC EPC </w:t>
      </w:r>
      <w:r w:rsidRPr="002525FA">
        <w:rPr>
          <w:rFonts w:ascii="Times New Roman" w:eastAsia="Times New Roman" w:hAnsi="Times New Roman" w:cs="Times New Roman"/>
          <w:color w:val="000000" w:themeColor="text1"/>
          <w:sz w:val="20"/>
          <w:szCs w:val="20"/>
          <w:lang w:eastAsia="lv-LV"/>
        </w:rPr>
        <w:t xml:space="preserve">AWG, </w:t>
      </w:r>
      <w:proofErr w:type="spellStart"/>
      <w:r w:rsidRPr="002525FA">
        <w:rPr>
          <w:rFonts w:ascii="Times New Roman" w:eastAsia="Times New Roman" w:hAnsi="Times New Roman" w:cs="Times New Roman"/>
          <w:color w:val="000000" w:themeColor="text1"/>
          <w:sz w:val="20"/>
          <w:szCs w:val="20"/>
          <w:lang w:eastAsia="lv-LV"/>
        </w:rPr>
        <w:t>The</w:t>
      </w:r>
      <w:proofErr w:type="spellEnd"/>
      <w:r w:rsidRPr="002525FA">
        <w:rPr>
          <w:rFonts w:ascii="Times New Roman" w:eastAsia="Times New Roman" w:hAnsi="Times New Roman" w:cs="Times New Roman"/>
          <w:color w:val="000000" w:themeColor="text1"/>
          <w:sz w:val="20"/>
          <w:szCs w:val="20"/>
          <w:lang w:eastAsia="lv-LV"/>
        </w:rPr>
        <w:t xml:space="preserve"> </w:t>
      </w:r>
      <w:r w:rsidRPr="00196BDA">
        <w:rPr>
          <w:rFonts w:ascii="Times New Roman" w:eastAsia="Times New Roman" w:hAnsi="Times New Roman" w:cs="Times New Roman"/>
          <w:color w:val="000000" w:themeColor="text1"/>
          <w:sz w:val="20"/>
          <w:szCs w:val="20"/>
          <w:lang w:eastAsia="lv-LV"/>
        </w:rPr>
        <w:t>2018</w:t>
      </w:r>
      <w:r w:rsidRPr="002525FA">
        <w:rPr>
          <w:rFonts w:ascii="Times New Roman" w:eastAsia="Times New Roman" w:hAnsi="Times New Roman" w:cs="Times New Roman"/>
          <w:color w:val="000000" w:themeColor="text1"/>
          <w:sz w:val="20"/>
          <w:szCs w:val="20"/>
          <w:lang w:eastAsia="lv-LV"/>
        </w:rPr>
        <w:t xml:space="preserve">2015 </w:t>
      </w:r>
      <w:proofErr w:type="spellStart"/>
      <w:r w:rsidRPr="002525FA">
        <w:rPr>
          <w:rFonts w:ascii="Times New Roman" w:eastAsia="Times New Roman" w:hAnsi="Times New Roman" w:cs="Times New Roman"/>
          <w:color w:val="000000" w:themeColor="text1"/>
          <w:sz w:val="20"/>
          <w:szCs w:val="20"/>
          <w:lang w:eastAsia="lv-LV"/>
        </w:rPr>
        <w:t>Ageing</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Report</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Underlying</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Assumptions</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and</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Projection</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Methodologies</w:t>
      </w:r>
      <w:proofErr w:type="spellEnd"/>
      <w:r w:rsidRPr="002525FA">
        <w:rPr>
          <w:rFonts w:ascii="Times New Roman" w:eastAsia="Times New Roman" w:hAnsi="Times New Roman" w:cs="Times New Roman"/>
          <w:color w:val="000000" w:themeColor="text1"/>
          <w:sz w:val="20"/>
          <w:szCs w:val="20"/>
          <w:lang w:eastAsia="lv-LV"/>
        </w:rPr>
        <w:t xml:space="preserve">, 2014; </w:t>
      </w:r>
      <w:proofErr w:type="spellStart"/>
      <w:r w:rsidRPr="002525FA">
        <w:rPr>
          <w:rFonts w:ascii="Times New Roman" w:eastAsia="Times New Roman" w:hAnsi="Times New Roman" w:cs="Times New Roman"/>
          <w:color w:val="000000" w:themeColor="text1"/>
          <w:sz w:val="20"/>
          <w:szCs w:val="20"/>
          <w:lang w:eastAsia="lv-LV"/>
        </w:rPr>
        <w:t>The</w:t>
      </w:r>
      <w:proofErr w:type="spellEnd"/>
      <w:r w:rsidRPr="002525FA">
        <w:rPr>
          <w:rFonts w:ascii="Times New Roman" w:eastAsia="Times New Roman" w:hAnsi="Times New Roman" w:cs="Times New Roman"/>
          <w:color w:val="000000" w:themeColor="text1"/>
          <w:sz w:val="20"/>
          <w:szCs w:val="20"/>
          <w:lang w:eastAsia="lv-LV"/>
        </w:rPr>
        <w:t xml:space="preserve"> 2015 </w:t>
      </w:r>
      <w:proofErr w:type="spellStart"/>
      <w:r w:rsidRPr="002525FA">
        <w:rPr>
          <w:rFonts w:ascii="Times New Roman" w:eastAsia="Times New Roman" w:hAnsi="Times New Roman" w:cs="Times New Roman"/>
          <w:color w:val="000000" w:themeColor="text1"/>
          <w:sz w:val="20"/>
          <w:szCs w:val="20"/>
          <w:lang w:eastAsia="lv-LV"/>
        </w:rPr>
        <w:t>Ageing</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Report</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Economic</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and</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budgetary</w:t>
      </w:r>
      <w:proofErr w:type="spellEnd"/>
      <w:r>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projections</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for</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the</w:t>
      </w:r>
      <w:proofErr w:type="spellEnd"/>
      <w:r w:rsidRPr="002525FA">
        <w:rPr>
          <w:rFonts w:ascii="Times New Roman" w:eastAsia="Times New Roman" w:hAnsi="Times New Roman" w:cs="Times New Roman"/>
          <w:color w:val="000000" w:themeColor="text1"/>
          <w:sz w:val="20"/>
          <w:szCs w:val="20"/>
          <w:lang w:eastAsia="lv-LV"/>
        </w:rPr>
        <w:t xml:space="preserve"> 28 EU </w:t>
      </w:r>
      <w:proofErr w:type="spellStart"/>
      <w:r w:rsidRPr="002525FA">
        <w:rPr>
          <w:rFonts w:ascii="Times New Roman" w:eastAsia="Times New Roman" w:hAnsi="Times New Roman" w:cs="Times New Roman"/>
          <w:color w:val="000000" w:themeColor="text1"/>
          <w:sz w:val="20"/>
          <w:szCs w:val="20"/>
          <w:lang w:eastAsia="lv-LV"/>
        </w:rPr>
        <w:t>Member</w:t>
      </w:r>
      <w:proofErr w:type="spellEnd"/>
      <w:r w:rsidRPr="002525FA">
        <w:rPr>
          <w:rFonts w:ascii="Times New Roman" w:eastAsia="Times New Roman" w:hAnsi="Times New Roman" w:cs="Times New Roman"/>
          <w:color w:val="000000" w:themeColor="text1"/>
          <w:sz w:val="20"/>
          <w:szCs w:val="20"/>
          <w:lang w:eastAsia="lv-LV"/>
        </w:rPr>
        <w:t xml:space="preserve"> </w:t>
      </w:r>
      <w:proofErr w:type="spellStart"/>
      <w:r w:rsidRPr="002525FA">
        <w:rPr>
          <w:rFonts w:ascii="Times New Roman" w:eastAsia="Times New Roman" w:hAnsi="Times New Roman" w:cs="Times New Roman"/>
          <w:color w:val="000000" w:themeColor="text1"/>
          <w:sz w:val="20"/>
          <w:szCs w:val="20"/>
          <w:lang w:eastAsia="lv-LV"/>
        </w:rPr>
        <w:t>States</w:t>
      </w:r>
      <w:proofErr w:type="spellEnd"/>
      <w:r w:rsidRPr="002525FA">
        <w:rPr>
          <w:rFonts w:ascii="Times New Roman" w:eastAsia="Times New Roman" w:hAnsi="Times New Roman" w:cs="Times New Roman"/>
          <w:color w:val="000000" w:themeColor="text1"/>
          <w:sz w:val="20"/>
          <w:szCs w:val="20"/>
          <w:lang w:eastAsia="lv-LV"/>
        </w:rPr>
        <w:t xml:space="preserve"> (2013-2060)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3879"/>
    <w:multiLevelType w:val="hybridMultilevel"/>
    <w:tmpl w:val="98488F72"/>
    <w:lvl w:ilvl="0" w:tplc="04260001">
      <w:start w:val="1"/>
      <w:numFmt w:val="bullet"/>
      <w:lvlText w:val=""/>
      <w:lvlJc w:val="left"/>
      <w:pPr>
        <w:ind w:left="363" w:hanging="360"/>
      </w:pPr>
      <w:rPr>
        <w:rFonts w:ascii="Symbol" w:hAnsi="Symbol" w:hint="default"/>
      </w:rPr>
    </w:lvl>
    <w:lvl w:ilvl="1" w:tplc="04260003" w:tentative="1">
      <w:start w:val="1"/>
      <w:numFmt w:val="bullet"/>
      <w:lvlText w:val="o"/>
      <w:lvlJc w:val="left"/>
      <w:pPr>
        <w:ind w:left="1083" w:hanging="360"/>
      </w:pPr>
      <w:rPr>
        <w:rFonts w:ascii="Courier New" w:hAnsi="Courier New" w:cs="Courier New" w:hint="default"/>
      </w:rPr>
    </w:lvl>
    <w:lvl w:ilvl="2" w:tplc="04260005" w:tentative="1">
      <w:start w:val="1"/>
      <w:numFmt w:val="bullet"/>
      <w:lvlText w:val=""/>
      <w:lvlJc w:val="left"/>
      <w:pPr>
        <w:ind w:left="1803" w:hanging="360"/>
      </w:pPr>
      <w:rPr>
        <w:rFonts w:ascii="Wingdings" w:hAnsi="Wingdings" w:hint="default"/>
      </w:rPr>
    </w:lvl>
    <w:lvl w:ilvl="3" w:tplc="04260001" w:tentative="1">
      <w:start w:val="1"/>
      <w:numFmt w:val="bullet"/>
      <w:lvlText w:val=""/>
      <w:lvlJc w:val="left"/>
      <w:pPr>
        <w:ind w:left="2523" w:hanging="360"/>
      </w:pPr>
      <w:rPr>
        <w:rFonts w:ascii="Symbol" w:hAnsi="Symbol" w:hint="default"/>
      </w:rPr>
    </w:lvl>
    <w:lvl w:ilvl="4" w:tplc="04260003" w:tentative="1">
      <w:start w:val="1"/>
      <w:numFmt w:val="bullet"/>
      <w:lvlText w:val="o"/>
      <w:lvlJc w:val="left"/>
      <w:pPr>
        <w:ind w:left="3243" w:hanging="360"/>
      </w:pPr>
      <w:rPr>
        <w:rFonts w:ascii="Courier New" w:hAnsi="Courier New" w:cs="Courier New" w:hint="default"/>
      </w:rPr>
    </w:lvl>
    <w:lvl w:ilvl="5" w:tplc="04260005" w:tentative="1">
      <w:start w:val="1"/>
      <w:numFmt w:val="bullet"/>
      <w:lvlText w:val=""/>
      <w:lvlJc w:val="left"/>
      <w:pPr>
        <w:ind w:left="3963" w:hanging="360"/>
      </w:pPr>
      <w:rPr>
        <w:rFonts w:ascii="Wingdings" w:hAnsi="Wingdings" w:hint="default"/>
      </w:rPr>
    </w:lvl>
    <w:lvl w:ilvl="6" w:tplc="04260001" w:tentative="1">
      <w:start w:val="1"/>
      <w:numFmt w:val="bullet"/>
      <w:lvlText w:val=""/>
      <w:lvlJc w:val="left"/>
      <w:pPr>
        <w:ind w:left="4683" w:hanging="360"/>
      </w:pPr>
      <w:rPr>
        <w:rFonts w:ascii="Symbol" w:hAnsi="Symbol" w:hint="default"/>
      </w:rPr>
    </w:lvl>
    <w:lvl w:ilvl="7" w:tplc="04260003" w:tentative="1">
      <w:start w:val="1"/>
      <w:numFmt w:val="bullet"/>
      <w:lvlText w:val="o"/>
      <w:lvlJc w:val="left"/>
      <w:pPr>
        <w:ind w:left="5403" w:hanging="360"/>
      </w:pPr>
      <w:rPr>
        <w:rFonts w:ascii="Courier New" w:hAnsi="Courier New" w:cs="Courier New" w:hint="default"/>
      </w:rPr>
    </w:lvl>
    <w:lvl w:ilvl="8" w:tplc="04260005" w:tentative="1">
      <w:start w:val="1"/>
      <w:numFmt w:val="bullet"/>
      <w:lvlText w:val=""/>
      <w:lvlJc w:val="left"/>
      <w:pPr>
        <w:ind w:left="6123" w:hanging="360"/>
      </w:pPr>
      <w:rPr>
        <w:rFonts w:ascii="Wingdings" w:hAnsi="Wingdings" w:hint="default"/>
      </w:rPr>
    </w:lvl>
  </w:abstractNum>
  <w:abstractNum w:abstractNumId="1" w15:restartNumberingAfterBreak="0">
    <w:nsid w:val="07917C91"/>
    <w:multiLevelType w:val="hybridMultilevel"/>
    <w:tmpl w:val="279C01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225EFC"/>
    <w:multiLevelType w:val="hybridMultilevel"/>
    <w:tmpl w:val="8C341A4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0A813916"/>
    <w:multiLevelType w:val="hybridMultilevel"/>
    <w:tmpl w:val="697E8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305630"/>
    <w:multiLevelType w:val="hybridMultilevel"/>
    <w:tmpl w:val="586A5AFE"/>
    <w:lvl w:ilvl="0" w:tplc="35E61B94">
      <w:start w:val="1"/>
      <w:numFmt w:val="bullet"/>
      <w:lvlText w:val=""/>
      <w:lvlJc w:val="left"/>
      <w:pPr>
        <w:ind w:left="72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B1771C"/>
    <w:multiLevelType w:val="hybridMultilevel"/>
    <w:tmpl w:val="09CE5F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16D4125"/>
    <w:multiLevelType w:val="hybridMultilevel"/>
    <w:tmpl w:val="7D520EDE"/>
    <w:lvl w:ilvl="0" w:tplc="B694E9AE">
      <w:start w:val="1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82775B"/>
    <w:multiLevelType w:val="multilevel"/>
    <w:tmpl w:val="61E4D4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7584AE8"/>
    <w:multiLevelType w:val="multilevel"/>
    <w:tmpl w:val="F44CB90C"/>
    <w:lvl w:ilvl="0">
      <w:start w:val="3"/>
      <w:numFmt w:val="decimal"/>
      <w:lvlText w:val="%1."/>
      <w:lvlJc w:val="left"/>
      <w:pPr>
        <w:ind w:left="360" w:hanging="360"/>
      </w:pPr>
      <w:rPr>
        <w:rFonts w:ascii="Times New Roman" w:eastAsia="Calibri" w:hAnsi="Times New Roman" w:hint="default"/>
      </w:rPr>
    </w:lvl>
    <w:lvl w:ilvl="1">
      <w:start w:val="4"/>
      <w:numFmt w:val="decimal"/>
      <w:lvlText w:val="%1.%2."/>
      <w:lvlJc w:val="left"/>
      <w:pPr>
        <w:ind w:left="2717" w:hanging="720"/>
      </w:pPr>
      <w:rPr>
        <w:rFonts w:ascii="Times New Roman" w:eastAsia="Calibri" w:hAnsi="Times New Roman" w:hint="default"/>
      </w:rPr>
    </w:lvl>
    <w:lvl w:ilvl="2">
      <w:start w:val="1"/>
      <w:numFmt w:val="decimal"/>
      <w:lvlText w:val="%1.%2.%3."/>
      <w:lvlJc w:val="left"/>
      <w:pPr>
        <w:ind w:left="4714" w:hanging="720"/>
      </w:pPr>
      <w:rPr>
        <w:rFonts w:ascii="Times New Roman" w:eastAsia="Calibri" w:hAnsi="Times New Roman" w:hint="default"/>
      </w:rPr>
    </w:lvl>
    <w:lvl w:ilvl="3">
      <w:start w:val="1"/>
      <w:numFmt w:val="decimal"/>
      <w:lvlText w:val="%1.%2.%3.%4."/>
      <w:lvlJc w:val="left"/>
      <w:pPr>
        <w:ind w:left="7071" w:hanging="1080"/>
      </w:pPr>
      <w:rPr>
        <w:rFonts w:ascii="Times New Roman" w:eastAsia="Calibri" w:hAnsi="Times New Roman" w:hint="default"/>
      </w:rPr>
    </w:lvl>
    <w:lvl w:ilvl="4">
      <w:start w:val="1"/>
      <w:numFmt w:val="decimal"/>
      <w:lvlText w:val="%1.%2.%3.%4.%5."/>
      <w:lvlJc w:val="left"/>
      <w:pPr>
        <w:ind w:left="9428" w:hanging="1440"/>
      </w:pPr>
      <w:rPr>
        <w:rFonts w:ascii="Times New Roman" w:eastAsia="Calibri" w:hAnsi="Times New Roman" w:hint="default"/>
      </w:rPr>
    </w:lvl>
    <w:lvl w:ilvl="5">
      <w:start w:val="1"/>
      <w:numFmt w:val="decimal"/>
      <w:lvlText w:val="%1.%2.%3.%4.%5.%6."/>
      <w:lvlJc w:val="left"/>
      <w:pPr>
        <w:ind w:left="11425" w:hanging="1440"/>
      </w:pPr>
      <w:rPr>
        <w:rFonts w:ascii="Times New Roman" w:eastAsia="Calibri" w:hAnsi="Times New Roman" w:hint="default"/>
      </w:rPr>
    </w:lvl>
    <w:lvl w:ilvl="6">
      <w:start w:val="1"/>
      <w:numFmt w:val="decimal"/>
      <w:lvlText w:val="%1.%2.%3.%4.%5.%6.%7."/>
      <w:lvlJc w:val="left"/>
      <w:pPr>
        <w:ind w:left="13782" w:hanging="1800"/>
      </w:pPr>
      <w:rPr>
        <w:rFonts w:ascii="Times New Roman" w:eastAsia="Calibri" w:hAnsi="Times New Roman" w:hint="default"/>
      </w:rPr>
    </w:lvl>
    <w:lvl w:ilvl="7">
      <w:start w:val="1"/>
      <w:numFmt w:val="decimal"/>
      <w:lvlText w:val="%1.%2.%3.%4.%5.%6.%7.%8."/>
      <w:lvlJc w:val="left"/>
      <w:pPr>
        <w:ind w:left="15779" w:hanging="1800"/>
      </w:pPr>
      <w:rPr>
        <w:rFonts w:ascii="Times New Roman" w:eastAsia="Calibri" w:hAnsi="Times New Roman" w:hint="default"/>
      </w:rPr>
    </w:lvl>
    <w:lvl w:ilvl="8">
      <w:start w:val="1"/>
      <w:numFmt w:val="decimal"/>
      <w:lvlText w:val="%1.%2.%3.%4.%5.%6.%7.%8.%9."/>
      <w:lvlJc w:val="left"/>
      <w:pPr>
        <w:ind w:left="18136" w:hanging="2160"/>
      </w:pPr>
      <w:rPr>
        <w:rFonts w:ascii="Times New Roman" w:eastAsia="Calibri" w:hAnsi="Times New Roman" w:hint="default"/>
      </w:rPr>
    </w:lvl>
  </w:abstractNum>
  <w:abstractNum w:abstractNumId="10" w15:restartNumberingAfterBreak="0">
    <w:nsid w:val="17CE7097"/>
    <w:multiLevelType w:val="hybridMultilevel"/>
    <w:tmpl w:val="D2B86E3E"/>
    <w:lvl w:ilvl="0" w:tplc="04260001">
      <w:start w:val="1"/>
      <w:numFmt w:val="bullet"/>
      <w:lvlText w:val=""/>
      <w:lvlJc w:val="left"/>
      <w:pPr>
        <w:ind w:left="1500" w:hanging="360"/>
      </w:pPr>
      <w:rPr>
        <w:rFonts w:ascii="Symbol" w:hAnsi="Symbol" w:hint="default"/>
      </w:rPr>
    </w:lvl>
    <w:lvl w:ilvl="1" w:tplc="04260003">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1" w15:restartNumberingAfterBreak="0">
    <w:nsid w:val="1A9E467D"/>
    <w:multiLevelType w:val="hybridMultilevel"/>
    <w:tmpl w:val="758E2392"/>
    <w:lvl w:ilvl="0" w:tplc="9B4C1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C080CE6"/>
    <w:multiLevelType w:val="hybridMultilevel"/>
    <w:tmpl w:val="EA38E6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CE3652A"/>
    <w:multiLevelType w:val="multilevel"/>
    <w:tmpl w:val="B3DCB02A"/>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4" w15:restartNumberingAfterBreak="0">
    <w:nsid w:val="24631505"/>
    <w:multiLevelType w:val="hybridMultilevel"/>
    <w:tmpl w:val="BE3A4222"/>
    <w:lvl w:ilvl="0" w:tplc="07D0FB2C">
      <w:start w:val="6"/>
      <w:numFmt w:val="bullet"/>
      <w:lvlText w:val="-"/>
      <w:lvlJc w:val="left"/>
      <w:pPr>
        <w:ind w:left="1636" w:hanging="360"/>
      </w:pPr>
      <w:rPr>
        <w:rFonts w:ascii="Times New Roman" w:eastAsia="Times New Roman" w:hAnsi="Times New Roman" w:cs="Times New Roman" w:hint="default"/>
      </w:rPr>
    </w:lvl>
    <w:lvl w:ilvl="1" w:tplc="5D4E0180">
      <w:numFmt w:val="bullet"/>
      <w:lvlText w:val="•"/>
      <w:lvlJc w:val="left"/>
      <w:pPr>
        <w:ind w:left="2356" w:hanging="360"/>
      </w:pPr>
      <w:rPr>
        <w:rFonts w:ascii="Times New Roman" w:eastAsia="Calibri" w:hAnsi="Times New Roman" w:cs="Times New Roman" w:hint="default"/>
      </w:rPr>
    </w:lvl>
    <w:lvl w:ilvl="2" w:tplc="04260005" w:tentative="1">
      <w:start w:val="1"/>
      <w:numFmt w:val="bullet"/>
      <w:lvlText w:val=""/>
      <w:lvlJc w:val="left"/>
      <w:pPr>
        <w:ind w:left="3076" w:hanging="360"/>
      </w:pPr>
      <w:rPr>
        <w:rFonts w:ascii="Wingdings" w:hAnsi="Wingdings" w:hint="default"/>
      </w:rPr>
    </w:lvl>
    <w:lvl w:ilvl="3" w:tplc="04260001" w:tentative="1">
      <w:start w:val="1"/>
      <w:numFmt w:val="bullet"/>
      <w:lvlText w:val=""/>
      <w:lvlJc w:val="left"/>
      <w:pPr>
        <w:ind w:left="3796" w:hanging="360"/>
      </w:pPr>
      <w:rPr>
        <w:rFonts w:ascii="Symbol" w:hAnsi="Symbol" w:hint="default"/>
      </w:rPr>
    </w:lvl>
    <w:lvl w:ilvl="4" w:tplc="04260003" w:tentative="1">
      <w:start w:val="1"/>
      <w:numFmt w:val="bullet"/>
      <w:lvlText w:val="o"/>
      <w:lvlJc w:val="left"/>
      <w:pPr>
        <w:ind w:left="4516" w:hanging="360"/>
      </w:pPr>
      <w:rPr>
        <w:rFonts w:ascii="Courier New" w:hAnsi="Courier New" w:cs="Courier New" w:hint="default"/>
      </w:rPr>
    </w:lvl>
    <w:lvl w:ilvl="5" w:tplc="04260005" w:tentative="1">
      <w:start w:val="1"/>
      <w:numFmt w:val="bullet"/>
      <w:lvlText w:val=""/>
      <w:lvlJc w:val="left"/>
      <w:pPr>
        <w:ind w:left="5236" w:hanging="360"/>
      </w:pPr>
      <w:rPr>
        <w:rFonts w:ascii="Wingdings" w:hAnsi="Wingdings" w:hint="default"/>
      </w:rPr>
    </w:lvl>
    <w:lvl w:ilvl="6" w:tplc="04260001" w:tentative="1">
      <w:start w:val="1"/>
      <w:numFmt w:val="bullet"/>
      <w:lvlText w:val=""/>
      <w:lvlJc w:val="left"/>
      <w:pPr>
        <w:ind w:left="5956" w:hanging="360"/>
      </w:pPr>
      <w:rPr>
        <w:rFonts w:ascii="Symbol" w:hAnsi="Symbol" w:hint="default"/>
      </w:rPr>
    </w:lvl>
    <w:lvl w:ilvl="7" w:tplc="04260003" w:tentative="1">
      <w:start w:val="1"/>
      <w:numFmt w:val="bullet"/>
      <w:lvlText w:val="o"/>
      <w:lvlJc w:val="left"/>
      <w:pPr>
        <w:ind w:left="6676" w:hanging="360"/>
      </w:pPr>
      <w:rPr>
        <w:rFonts w:ascii="Courier New" w:hAnsi="Courier New" w:cs="Courier New" w:hint="default"/>
      </w:rPr>
    </w:lvl>
    <w:lvl w:ilvl="8" w:tplc="04260005" w:tentative="1">
      <w:start w:val="1"/>
      <w:numFmt w:val="bullet"/>
      <w:lvlText w:val=""/>
      <w:lvlJc w:val="left"/>
      <w:pPr>
        <w:ind w:left="7396" w:hanging="360"/>
      </w:pPr>
      <w:rPr>
        <w:rFonts w:ascii="Wingdings" w:hAnsi="Wingdings" w:hint="default"/>
      </w:rPr>
    </w:lvl>
  </w:abstractNum>
  <w:abstractNum w:abstractNumId="15" w15:restartNumberingAfterBreak="0">
    <w:nsid w:val="2CEE737A"/>
    <w:multiLevelType w:val="hybridMultilevel"/>
    <w:tmpl w:val="D7C8B9AC"/>
    <w:lvl w:ilvl="0" w:tplc="04260001">
      <w:start w:val="1"/>
      <w:numFmt w:val="bullet"/>
      <w:lvlText w:val=""/>
      <w:lvlJc w:val="left"/>
      <w:pPr>
        <w:ind w:left="1346" w:hanging="360"/>
      </w:pPr>
      <w:rPr>
        <w:rFonts w:ascii="Symbol" w:hAnsi="Symbol" w:hint="default"/>
      </w:rPr>
    </w:lvl>
    <w:lvl w:ilvl="1" w:tplc="04260003" w:tentative="1">
      <w:start w:val="1"/>
      <w:numFmt w:val="bullet"/>
      <w:lvlText w:val="o"/>
      <w:lvlJc w:val="left"/>
      <w:pPr>
        <w:ind w:left="2066" w:hanging="360"/>
      </w:pPr>
      <w:rPr>
        <w:rFonts w:ascii="Courier New" w:hAnsi="Courier New" w:cs="Courier New" w:hint="default"/>
      </w:rPr>
    </w:lvl>
    <w:lvl w:ilvl="2" w:tplc="04260005" w:tentative="1">
      <w:start w:val="1"/>
      <w:numFmt w:val="bullet"/>
      <w:lvlText w:val=""/>
      <w:lvlJc w:val="left"/>
      <w:pPr>
        <w:ind w:left="2786" w:hanging="360"/>
      </w:pPr>
      <w:rPr>
        <w:rFonts w:ascii="Wingdings" w:hAnsi="Wingdings" w:hint="default"/>
      </w:rPr>
    </w:lvl>
    <w:lvl w:ilvl="3" w:tplc="04260001" w:tentative="1">
      <w:start w:val="1"/>
      <w:numFmt w:val="bullet"/>
      <w:lvlText w:val=""/>
      <w:lvlJc w:val="left"/>
      <w:pPr>
        <w:ind w:left="3506" w:hanging="360"/>
      </w:pPr>
      <w:rPr>
        <w:rFonts w:ascii="Symbol" w:hAnsi="Symbol" w:hint="default"/>
      </w:rPr>
    </w:lvl>
    <w:lvl w:ilvl="4" w:tplc="04260003" w:tentative="1">
      <w:start w:val="1"/>
      <w:numFmt w:val="bullet"/>
      <w:lvlText w:val="o"/>
      <w:lvlJc w:val="left"/>
      <w:pPr>
        <w:ind w:left="4226" w:hanging="360"/>
      </w:pPr>
      <w:rPr>
        <w:rFonts w:ascii="Courier New" w:hAnsi="Courier New" w:cs="Courier New" w:hint="default"/>
      </w:rPr>
    </w:lvl>
    <w:lvl w:ilvl="5" w:tplc="04260005" w:tentative="1">
      <w:start w:val="1"/>
      <w:numFmt w:val="bullet"/>
      <w:lvlText w:val=""/>
      <w:lvlJc w:val="left"/>
      <w:pPr>
        <w:ind w:left="4946" w:hanging="360"/>
      </w:pPr>
      <w:rPr>
        <w:rFonts w:ascii="Wingdings" w:hAnsi="Wingdings" w:hint="default"/>
      </w:rPr>
    </w:lvl>
    <w:lvl w:ilvl="6" w:tplc="04260001" w:tentative="1">
      <w:start w:val="1"/>
      <w:numFmt w:val="bullet"/>
      <w:lvlText w:val=""/>
      <w:lvlJc w:val="left"/>
      <w:pPr>
        <w:ind w:left="5666" w:hanging="360"/>
      </w:pPr>
      <w:rPr>
        <w:rFonts w:ascii="Symbol" w:hAnsi="Symbol" w:hint="default"/>
      </w:rPr>
    </w:lvl>
    <w:lvl w:ilvl="7" w:tplc="04260003" w:tentative="1">
      <w:start w:val="1"/>
      <w:numFmt w:val="bullet"/>
      <w:lvlText w:val="o"/>
      <w:lvlJc w:val="left"/>
      <w:pPr>
        <w:ind w:left="6386" w:hanging="360"/>
      </w:pPr>
      <w:rPr>
        <w:rFonts w:ascii="Courier New" w:hAnsi="Courier New" w:cs="Courier New" w:hint="default"/>
      </w:rPr>
    </w:lvl>
    <w:lvl w:ilvl="8" w:tplc="04260005" w:tentative="1">
      <w:start w:val="1"/>
      <w:numFmt w:val="bullet"/>
      <w:lvlText w:val=""/>
      <w:lvlJc w:val="left"/>
      <w:pPr>
        <w:ind w:left="7106" w:hanging="360"/>
      </w:pPr>
      <w:rPr>
        <w:rFonts w:ascii="Wingdings" w:hAnsi="Wingdings" w:hint="default"/>
      </w:rPr>
    </w:lvl>
  </w:abstractNum>
  <w:abstractNum w:abstractNumId="16" w15:restartNumberingAfterBreak="0">
    <w:nsid w:val="311B02A4"/>
    <w:multiLevelType w:val="hybridMultilevel"/>
    <w:tmpl w:val="EC704792"/>
    <w:lvl w:ilvl="0" w:tplc="04260001">
      <w:start w:val="1"/>
      <w:numFmt w:val="bullet"/>
      <w:lvlText w:val=""/>
      <w:lvlJc w:val="left"/>
      <w:pPr>
        <w:ind w:left="2520" w:hanging="360"/>
      </w:pPr>
      <w:rPr>
        <w:rFonts w:ascii="Symbol" w:hAnsi="Symbol"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7" w15:restartNumberingAfterBreak="0">
    <w:nsid w:val="3F765F44"/>
    <w:multiLevelType w:val="multilevel"/>
    <w:tmpl w:val="E3C81CEC"/>
    <w:lvl w:ilvl="0">
      <w:start w:val="4"/>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8" w15:restartNumberingAfterBreak="0">
    <w:nsid w:val="41117A0E"/>
    <w:multiLevelType w:val="multilevel"/>
    <w:tmpl w:val="5694BCC8"/>
    <w:lvl w:ilvl="0">
      <w:start w:val="4"/>
      <w:numFmt w:val="decimal"/>
      <w:lvlText w:val="%1."/>
      <w:lvlJc w:val="left"/>
      <w:pPr>
        <w:ind w:left="360" w:hanging="360"/>
      </w:pPr>
      <w:rPr>
        <w:rFonts w:hint="default"/>
      </w:rPr>
    </w:lvl>
    <w:lvl w:ilvl="1">
      <w:start w:val="2"/>
      <w:numFmt w:val="decimal"/>
      <w:lvlText w:val="%1.%2."/>
      <w:lvlJc w:val="left"/>
      <w:pPr>
        <w:ind w:left="2357" w:hanging="360"/>
      </w:pPr>
      <w:rPr>
        <w:rFonts w:hint="default"/>
      </w:rPr>
    </w:lvl>
    <w:lvl w:ilvl="2">
      <w:start w:val="1"/>
      <w:numFmt w:val="upperLetter"/>
      <w:lvlText w:val="%1.%2.%3."/>
      <w:lvlJc w:val="left"/>
      <w:pPr>
        <w:ind w:left="1997" w:hanging="720"/>
      </w:pPr>
      <w:rPr>
        <w:rFonts w:hint="default"/>
      </w:rPr>
    </w:lvl>
    <w:lvl w:ilvl="3">
      <w:start w:val="1"/>
      <w:numFmt w:val="decimal"/>
      <w:lvlText w:val="%1.%2.%3.%4."/>
      <w:lvlJc w:val="left"/>
      <w:pPr>
        <w:ind w:left="6711" w:hanging="72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065" w:hanging="108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419" w:hanging="1440"/>
      </w:pPr>
      <w:rPr>
        <w:rFonts w:hint="default"/>
      </w:rPr>
    </w:lvl>
    <w:lvl w:ilvl="8">
      <w:start w:val="1"/>
      <w:numFmt w:val="decimal"/>
      <w:lvlText w:val="%1.%2.%3.%4.%5.%6.%7.%8.%9."/>
      <w:lvlJc w:val="left"/>
      <w:pPr>
        <w:ind w:left="17776" w:hanging="1800"/>
      </w:pPr>
      <w:rPr>
        <w:rFonts w:hint="default"/>
      </w:rPr>
    </w:lvl>
  </w:abstractNum>
  <w:abstractNum w:abstractNumId="19" w15:restartNumberingAfterBreak="0">
    <w:nsid w:val="41A87B02"/>
    <w:multiLevelType w:val="hybridMultilevel"/>
    <w:tmpl w:val="1EE20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B3567C6"/>
    <w:multiLevelType w:val="multilevel"/>
    <w:tmpl w:val="C4A207E0"/>
    <w:lvl w:ilvl="0">
      <w:start w:val="1"/>
      <w:numFmt w:val="decimal"/>
      <w:lvlText w:val="%1."/>
      <w:lvlJc w:val="left"/>
      <w:pPr>
        <w:ind w:left="720" w:hanging="360"/>
      </w:pPr>
    </w:lvl>
    <w:lvl w:ilvl="1">
      <w:start w:val="2"/>
      <w:numFmt w:val="decimal"/>
      <w:isLgl/>
      <w:lvlText w:val="%1.%2."/>
      <w:lvlJc w:val="left"/>
      <w:pPr>
        <w:ind w:left="2350" w:hanging="540"/>
      </w:pPr>
      <w:rPr>
        <w:rFonts w:hint="default"/>
      </w:rPr>
    </w:lvl>
    <w:lvl w:ilvl="2">
      <w:start w:val="3"/>
      <w:numFmt w:val="decimal"/>
      <w:isLgl/>
      <w:lvlText w:val="%1.%2.%3."/>
      <w:lvlJc w:val="left"/>
      <w:pPr>
        <w:ind w:left="3980" w:hanging="720"/>
      </w:pPr>
      <w:rPr>
        <w:rFonts w:hint="default"/>
      </w:rPr>
    </w:lvl>
    <w:lvl w:ilvl="3">
      <w:start w:val="1"/>
      <w:numFmt w:val="decimal"/>
      <w:isLgl/>
      <w:lvlText w:val="%1.%2.%3.%4."/>
      <w:lvlJc w:val="left"/>
      <w:pPr>
        <w:ind w:left="5430" w:hanging="720"/>
      </w:pPr>
      <w:rPr>
        <w:rFonts w:hint="default"/>
      </w:rPr>
    </w:lvl>
    <w:lvl w:ilvl="4">
      <w:start w:val="1"/>
      <w:numFmt w:val="decimal"/>
      <w:isLgl/>
      <w:lvlText w:val="%1.%2.%3.%4.%5."/>
      <w:lvlJc w:val="left"/>
      <w:pPr>
        <w:ind w:left="7240" w:hanging="1080"/>
      </w:pPr>
      <w:rPr>
        <w:rFonts w:hint="default"/>
      </w:rPr>
    </w:lvl>
    <w:lvl w:ilvl="5">
      <w:start w:val="1"/>
      <w:numFmt w:val="decimal"/>
      <w:isLgl/>
      <w:lvlText w:val="%1.%2.%3.%4.%5.%6."/>
      <w:lvlJc w:val="left"/>
      <w:pPr>
        <w:ind w:left="8690" w:hanging="1080"/>
      </w:pPr>
      <w:rPr>
        <w:rFonts w:hint="default"/>
      </w:rPr>
    </w:lvl>
    <w:lvl w:ilvl="6">
      <w:start w:val="1"/>
      <w:numFmt w:val="decimal"/>
      <w:isLgl/>
      <w:lvlText w:val="%1.%2.%3.%4.%5.%6.%7."/>
      <w:lvlJc w:val="left"/>
      <w:pPr>
        <w:ind w:left="10500" w:hanging="1440"/>
      </w:pPr>
      <w:rPr>
        <w:rFonts w:hint="default"/>
      </w:rPr>
    </w:lvl>
    <w:lvl w:ilvl="7">
      <w:start w:val="1"/>
      <w:numFmt w:val="decimal"/>
      <w:isLgl/>
      <w:lvlText w:val="%1.%2.%3.%4.%5.%6.%7.%8."/>
      <w:lvlJc w:val="left"/>
      <w:pPr>
        <w:ind w:left="11950" w:hanging="1440"/>
      </w:pPr>
      <w:rPr>
        <w:rFonts w:hint="default"/>
      </w:rPr>
    </w:lvl>
    <w:lvl w:ilvl="8">
      <w:start w:val="1"/>
      <w:numFmt w:val="decimal"/>
      <w:isLgl/>
      <w:lvlText w:val="%1.%2.%3.%4.%5.%6.%7.%8.%9."/>
      <w:lvlJc w:val="left"/>
      <w:pPr>
        <w:ind w:left="13760" w:hanging="1800"/>
      </w:pPr>
      <w:rPr>
        <w:rFonts w:hint="default"/>
      </w:rPr>
    </w:lvl>
  </w:abstractNum>
  <w:abstractNum w:abstractNumId="21" w15:restartNumberingAfterBreak="0">
    <w:nsid w:val="4CF93443"/>
    <w:multiLevelType w:val="multilevel"/>
    <w:tmpl w:val="34F283AC"/>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2" w15:restartNumberingAfterBreak="0">
    <w:nsid w:val="4D823B26"/>
    <w:multiLevelType w:val="hybridMultilevel"/>
    <w:tmpl w:val="AE928E5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3" w15:restartNumberingAfterBreak="0">
    <w:nsid w:val="51974980"/>
    <w:multiLevelType w:val="hybridMultilevel"/>
    <w:tmpl w:val="768AFFEC"/>
    <w:lvl w:ilvl="0" w:tplc="84842E00">
      <w:start w:val="1"/>
      <w:numFmt w:val="bullet"/>
      <w:lvlText w:val=""/>
      <w:lvlJc w:val="left"/>
      <w:pPr>
        <w:ind w:left="1080" w:hanging="360"/>
      </w:pPr>
      <w:rPr>
        <w:rFonts w:ascii="Symbol" w:hAnsi="Symbol" w:hint="default"/>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1">
    <w:nsid w:val="5D7B6F95"/>
    <w:multiLevelType w:val="multilevel"/>
    <w:tmpl w:val="738635FA"/>
    <w:lvl w:ilvl="0">
      <w:start w:val="1"/>
      <w:numFmt w:val="decimal"/>
      <w:lvlText w:val="%1."/>
      <w:lvlJc w:val="left"/>
      <w:pPr>
        <w:ind w:left="1129" w:hanging="360"/>
      </w:pPr>
      <w:rPr>
        <w:rFonts w:hint="default"/>
        <w:color w:val="000000"/>
      </w:rPr>
    </w:lvl>
    <w:lvl w:ilvl="1">
      <w:start w:val="1"/>
      <w:numFmt w:val="decimal"/>
      <w:isLgl/>
      <w:lvlText w:val="%1.%2."/>
      <w:lvlJc w:val="left"/>
      <w:pPr>
        <w:ind w:left="1489" w:hanging="360"/>
      </w:pPr>
      <w:rPr>
        <w:rFonts w:hint="default"/>
      </w:rPr>
    </w:lvl>
    <w:lvl w:ilvl="2">
      <w:start w:val="1"/>
      <w:numFmt w:val="decimal"/>
      <w:isLgl/>
      <w:lvlText w:val="%1.%2.%3."/>
      <w:lvlJc w:val="left"/>
      <w:pPr>
        <w:ind w:left="2209" w:hanging="720"/>
      </w:pPr>
      <w:rPr>
        <w:rFonts w:hint="default"/>
      </w:rPr>
    </w:lvl>
    <w:lvl w:ilvl="3">
      <w:start w:val="1"/>
      <w:numFmt w:val="decimal"/>
      <w:isLgl/>
      <w:lvlText w:val="%1.%2.%3.%4."/>
      <w:lvlJc w:val="left"/>
      <w:pPr>
        <w:ind w:left="2569" w:hanging="720"/>
      </w:pPr>
      <w:rPr>
        <w:rFonts w:hint="default"/>
      </w:rPr>
    </w:lvl>
    <w:lvl w:ilvl="4">
      <w:start w:val="1"/>
      <w:numFmt w:val="decimal"/>
      <w:isLgl/>
      <w:lvlText w:val="%1.%2.%3.%4.%5."/>
      <w:lvlJc w:val="left"/>
      <w:pPr>
        <w:ind w:left="3289" w:hanging="1080"/>
      </w:pPr>
      <w:rPr>
        <w:rFonts w:hint="default"/>
      </w:rPr>
    </w:lvl>
    <w:lvl w:ilvl="5">
      <w:start w:val="1"/>
      <w:numFmt w:val="decimal"/>
      <w:isLgl/>
      <w:lvlText w:val="%1.%2.%3.%4.%5.%6."/>
      <w:lvlJc w:val="left"/>
      <w:pPr>
        <w:ind w:left="3649" w:hanging="1080"/>
      </w:pPr>
      <w:rPr>
        <w:rFonts w:hint="default"/>
      </w:rPr>
    </w:lvl>
    <w:lvl w:ilvl="6">
      <w:start w:val="1"/>
      <w:numFmt w:val="decimal"/>
      <w:isLgl/>
      <w:lvlText w:val="%1.%2.%3.%4.%5.%6.%7."/>
      <w:lvlJc w:val="left"/>
      <w:pPr>
        <w:ind w:left="4369" w:hanging="1440"/>
      </w:pPr>
      <w:rPr>
        <w:rFonts w:hint="default"/>
      </w:rPr>
    </w:lvl>
    <w:lvl w:ilvl="7">
      <w:start w:val="1"/>
      <w:numFmt w:val="decimal"/>
      <w:isLgl/>
      <w:lvlText w:val="%1.%2.%3.%4.%5.%6.%7.%8."/>
      <w:lvlJc w:val="left"/>
      <w:pPr>
        <w:ind w:left="4729" w:hanging="1440"/>
      </w:pPr>
      <w:rPr>
        <w:rFonts w:hint="default"/>
      </w:rPr>
    </w:lvl>
    <w:lvl w:ilvl="8">
      <w:start w:val="1"/>
      <w:numFmt w:val="decimal"/>
      <w:isLgl/>
      <w:lvlText w:val="%1.%2.%3.%4.%5.%6.%7.%8.%9."/>
      <w:lvlJc w:val="left"/>
      <w:pPr>
        <w:ind w:left="5449" w:hanging="1800"/>
      </w:pPr>
      <w:rPr>
        <w:rFonts w:hint="default"/>
      </w:rPr>
    </w:lvl>
  </w:abstractNum>
  <w:abstractNum w:abstractNumId="25" w15:restartNumberingAfterBreak="0">
    <w:nsid w:val="63B55768"/>
    <w:multiLevelType w:val="multilevel"/>
    <w:tmpl w:val="F356E262"/>
    <w:lvl w:ilvl="0">
      <w:start w:val="1"/>
      <w:numFmt w:val="decimal"/>
      <w:lvlText w:val="%1."/>
      <w:lvlJc w:val="left"/>
      <w:pPr>
        <w:ind w:left="1129" w:hanging="360"/>
      </w:pPr>
      <w:rPr>
        <w:rFonts w:hint="default"/>
        <w:color w:val="000000"/>
      </w:rPr>
    </w:lvl>
    <w:lvl w:ilvl="1">
      <w:start w:val="3"/>
      <w:numFmt w:val="decimal"/>
      <w:isLgl/>
      <w:lvlText w:val="%1.%2."/>
      <w:lvlJc w:val="left"/>
      <w:pPr>
        <w:ind w:left="1294" w:hanging="525"/>
      </w:pPr>
      <w:rPr>
        <w:rFonts w:hint="default"/>
      </w:rPr>
    </w:lvl>
    <w:lvl w:ilvl="2">
      <w:start w:val="2"/>
      <w:numFmt w:val="decimal"/>
      <w:isLgl/>
      <w:lvlText w:val="%1.%2.%3."/>
      <w:lvlJc w:val="left"/>
      <w:pPr>
        <w:ind w:left="148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1849" w:hanging="1080"/>
      </w:pPr>
      <w:rPr>
        <w:rFonts w:hint="default"/>
      </w:rPr>
    </w:lvl>
    <w:lvl w:ilvl="6">
      <w:start w:val="1"/>
      <w:numFmt w:val="decimal"/>
      <w:isLgl/>
      <w:lvlText w:val="%1.%2.%3.%4.%5.%6.%7."/>
      <w:lvlJc w:val="left"/>
      <w:pPr>
        <w:ind w:left="2209" w:hanging="1440"/>
      </w:pPr>
      <w:rPr>
        <w:rFonts w:hint="default"/>
      </w:rPr>
    </w:lvl>
    <w:lvl w:ilvl="7">
      <w:start w:val="1"/>
      <w:numFmt w:val="decimal"/>
      <w:isLgl/>
      <w:lvlText w:val="%1.%2.%3.%4.%5.%6.%7.%8."/>
      <w:lvlJc w:val="left"/>
      <w:pPr>
        <w:ind w:left="2209" w:hanging="1440"/>
      </w:pPr>
      <w:rPr>
        <w:rFonts w:hint="default"/>
      </w:rPr>
    </w:lvl>
    <w:lvl w:ilvl="8">
      <w:start w:val="1"/>
      <w:numFmt w:val="decimal"/>
      <w:isLgl/>
      <w:lvlText w:val="%1.%2.%3.%4.%5.%6.%7.%8.%9."/>
      <w:lvlJc w:val="left"/>
      <w:pPr>
        <w:ind w:left="2569" w:hanging="1800"/>
      </w:pPr>
      <w:rPr>
        <w:rFonts w:hint="default"/>
      </w:rPr>
    </w:lvl>
  </w:abstractNum>
  <w:abstractNum w:abstractNumId="26" w15:restartNumberingAfterBreak="0">
    <w:nsid w:val="6FE74676"/>
    <w:multiLevelType w:val="hybridMultilevel"/>
    <w:tmpl w:val="E41CA168"/>
    <w:lvl w:ilvl="0" w:tplc="07D0FB2C">
      <w:start w:val="6"/>
      <w:numFmt w:val="bullet"/>
      <w:lvlText w:val="-"/>
      <w:lvlJc w:val="left"/>
      <w:pPr>
        <w:ind w:left="3632" w:hanging="360"/>
      </w:pPr>
      <w:rPr>
        <w:rFonts w:ascii="Times New Roman" w:eastAsia="Times New Roman" w:hAnsi="Times New Roman" w:cs="Times New Roman" w:hint="default"/>
      </w:rPr>
    </w:lvl>
    <w:lvl w:ilvl="1" w:tplc="04260003" w:tentative="1">
      <w:start w:val="1"/>
      <w:numFmt w:val="bullet"/>
      <w:lvlText w:val="o"/>
      <w:lvlJc w:val="left"/>
      <w:pPr>
        <w:ind w:left="3436" w:hanging="360"/>
      </w:pPr>
      <w:rPr>
        <w:rFonts w:ascii="Courier New" w:hAnsi="Courier New" w:cs="Courier New" w:hint="default"/>
      </w:rPr>
    </w:lvl>
    <w:lvl w:ilvl="2" w:tplc="04260005">
      <w:start w:val="1"/>
      <w:numFmt w:val="bullet"/>
      <w:lvlText w:val=""/>
      <w:lvlJc w:val="left"/>
      <w:pPr>
        <w:ind w:left="4156" w:hanging="360"/>
      </w:pPr>
      <w:rPr>
        <w:rFonts w:ascii="Wingdings" w:hAnsi="Wingdings" w:hint="default"/>
      </w:rPr>
    </w:lvl>
    <w:lvl w:ilvl="3" w:tplc="04260001" w:tentative="1">
      <w:start w:val="1"/>
      <w:numFmt w:val="bullet"/>
      <w:lvlText w:val=""/>
      <w:lvlJc w:val="left"/>
      <w:pPr>
        <w:ind w:left="4876" w:hanging="360"/>
      </w:pPr>
      <w:rPr>
        <w:rFonts w:ascii="Symbol" w:hAnsi="Symbol" w:hint="default"/>
      </w:rPr>
    </w:lvl>
    <w:lvl w:ilvl="4" w:tplc="04260003" w:tentative="1">
      <w:start w:val="1"/>
      <w:numFmt w:val="bullet"/>
      <w:lvlText w:val="o"/>
      <w:lvlJc w:val="left"/>
      <w:pPr>
        <w:ind w:left="5596" w:hanging="360"/>
      </w:pPr>
      <w:rPr>
        <w:rFonts w:ascii="Courier New" w:hAnsi="Courier New" w:cs="Courier New" w:hint="default"/>
      </w:rPr>
    </w:lvl>
    <w:lvl w:ilvl="5" w:tplc="04260005" w:tentative="1">
      <w:start w:val="1"/>
      <w:numFmt w:val="bullet"/>
      <w:lvlText w:val=""/>
      <w:lvlJc w:val="left"/>
      <w:pPr>
        <w:ind w:left="6316" w:hanging="360"/>
      </w:pPr>
      <w:rPr>
        <w:rFonts w:ascii="Wingdings" w:hAnsi="Wingdings" w:hint="default"/>
      </w:rPr>
    </w:lvl>
    <w:lvl w:ilvl="6" w:tplc="04260001" w:tentative="1">
      <w:start w:val="1"/>
      <w:numFmt w:val="bullet"/>
      <w:lvlText w:val=""/>
      <w:lvlJc w:val="left"/>
      <w:pPr>
        <w:ind w:left="7036" w:hanging="360"/>
      </w:pPr>
      <w:rPr>
        <w:rFonts w:ascii="Symbol" w:hAnsi="Symbol" w:hint="default"/>
      </w:rPr>
    </w:lvl>
    <w:lvl w:ilvl="7" w:tplc="04260003" w:tentative="1">
      <w:start w:val="1"/>
      <w:numFmt w:val="bullet"/>
      <w:lvlText w:val="o"/>
      <w:lvlJc w:val="left"/>
      <w:pPr>
        <w:ind w:left="7756" w:hanging="360"/>
      </w:pPr>
      <w:rPr>
        <w:rFonts w:ascii="Courier New" w:hAnsi="Courier New" w:cs="Courier New" w:hint="default"/>
      </w:rPr>
    </w:lvl>
    <w:lvl w:ilvl="8" w:tplc="04260005" w:tentative="1">
      <w:start w:val="1"/>
      <w:numFmt w:val="bullet"/>
      <w:lvlText w:val=""/>
      <w:lvlJc w:val="left"/>
      <w:pPr>
        <w:ind w:left="8476" w:hanging="360"/>
      </w:pPr>
      <w:rPr>
        <w:rFonts w:ascii="Wingdings" w:hAnsi="Wingdings" w:hint="default"/>
      </w:rPr>
    </w:lvl>
  </w:abstractNum>
  <w:abstractNum w:abstractNumId="27" w15:restartNumberingAfterBreak="0">
    <w:nsid w:val="71A80881"/>
    <w:multiLevelType w:val="hybridMultilevel"/>
    <w:tmpl w:val="C6AC51E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15:restartNumberingAfterBreak="0">
    <w:nsid w:val="7791595E"/>
    <w:multiLevelType w:val="hybridMultilevel"/>
    <w:tmpl w:val="B96268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ACC2972"/>
    <w:multiLevelType w:val="hybridMultilevel"/>
    <w:tmpl w:val="8BB05A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15:restartNumberingAfterBreak="0">
    <w:nsid w:val="7B511985"/>
    <w:multiLevelType w:val="multilevel"/>
    <w:tmpl w:val="FCFC10EC"/>
    <w:lvl w:ilvl="0">
      <w:start w:val="1"/>
      <w:numFmt w:val="decimal"/>
      <w:lvlText w:val="%1."/>
      <w:lvlJc w:val="left"/>
      <w:pPr>
        <w:ind w:left="9432" w:hanging="360"/>
      </w:pPr>
      <w:rPr>
        <w:rFonts w:hint="default"/>
        <w:sz w:val="32"/>
      </w:rPr>
    </w:lvl>
    <w:lvl w:ilvl="1">
      <w:start w:val="1"/>
      <w:numFmt w:val="decimal"/>
      <w:isLgl/>
      <w:lvlText w:val="%1.%2."/>
      <w:lvlJc w:val="left"/>
      <w:pPr>
        <w:ind w:left="1997" w:hanging="720"/>
      </w:pPr>
      <w:rPr>
        <w:rFonts w:ascii="Times New Roman" w:hAnsi="Times New Roman" w:cs="Times New Roman" w:hint="default"/>
        <w:sz w:val="24"/>
      </w:rPr>
    </w:lvl>
    <w:lvl w:ilvl="2">
      <w:start w:val="1"/>
      <w:numFmt w:val="decimal"/>
      <w:isLgl/>
      <w:lvlText w:val="%1.%2.%3."/>
      <w:lvlJc w:val="left"/>
      <w:pPr>
        <w:ind w:left="3981" w:hanging="720"/>
      </w:pPr>
      <w:rPr>
        <w:rFonts w:hint="default"/>
        <w:b/>
      </w:rPr>
    </w:lvl>
    <w:lvl w:ilvl="3">
      <w:start w:val="1"/>
      <w:numFmt w:val="decimal"/>
      <w:isLgl/>
      <w:lvlText w:val="%1.%2.%3.%4."/>
      <w:lvlJc w:val="left"/>
      <w:pPr>
        <w:ind w:left="2088" w:hanging="1080"/>
      </w:pPr>
      <w:rPr>
        <w:rFonts w:hint="default"/>
        <w:b/>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31" w15:restartNumberingAfterBreak="0">
    <w:nsid w:val="7B703E90"/>
    <w:multiLevelType w:val="hybridMultilevel"/>
    <w:tmpl w:val="C99AD828"/>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2" w15:restartNumberingAfterBreak="0">
    <w:nsid w:val="7BB05D1E"/>
    <w:multiLevelType w:val="hybridMultilevel"/>
    <w:tmpl w:val="921000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DEB6A0E"/>
    <w:multiLevelType w:val="hybridMultilevel"/>
    <w:tmpl w:val="926EECD4"/>
    <w:lvl w:ilvl="0" w:tplc="35E61B94">
      <w:start w:val="1"/>
      <w:numFmt w:val="bullet"/>
      <w:lvlText w:val=""/>
      <w:lvlJc w:val="left"/>
      <w:pPr>
        <w:ind w:left="36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7"/>
  </w:num>
  <w:num w:numId="4">
    <w:abstractNumId w:val="19"/>
  </w:num>
  <w:num w:numId="5">
    <w:abstractNumId w:val="23"/>
  </w:num>
  <w:num w:numId="6">
    <w:abstractNumId w:val="33"/>
  </w:num>
  <w:num w:numId="7">
    <w:abstractNumId w:val="28"/>
  </w:num>
  <w:num w:numId="8">
    <w:abstractNumId w:val="4"/>
  </w:num>
  <w:num w:numId="9">
    <w:abstractNumId w:val="29"/>
  </w:num>
  <w:num w:numId="10">
    <w:abstractNumId w:val="0"/>
  </w:num>
  <w:num w:numId="11">
    <w:abstractNumId w:val="32"/>
  </w:num>
  <w:num w:numId="12">
    <w:abstractNumId w:val="13"/>
  </w:num>
  <w:num w:numId="13">
    <w:abstractNumId w:val="21"/>
  </w:num>
  <w:num w:numId="14">
    <w:abstractNumId w:val="22"/>
  </w:num>
  <w:num w:numId="15">
    <w:abstractNumId w:val="10"/>
  </w:num>
  <w:num w:numId="16">
    <w:abstractNumId w:val="12"/>
  </w:num>
  <w:num w:numId="17">
    <w:abstractNumId w:val="16"/>
  </w:num>
  <w:num w:numId="18">
    <w:abstractNumId w:val="2"/>
  </w:num>
  <w:num w:numId="19">
    <w:abstractNumId w:val="20"/>
  </w:num>
  <w:num w:numId="20">
    <w:abstractNumId w:val="11"/>
  </w:num>
  <w:num w:numId="21">
    <w:abstractNumId w:val="25"/>
  </w:num>
  <w:num w:numId="22">
    <w:abstractNumId w:val="6"/>
  </w:num>
  <w:num w:numId="23">
    <w:abstractNumId w:val="3"/>
  </w:num>
  <w:num w:numId="24">
    <w:abstractNumId w:val="15"/>
  </w:num>
  <w:num w:numId="25">
    <w:abstractNumId w:val="5"/>
  </w:num>
  <w:num w:numId="26">
    <w:abstractNumId w:val="27"/>
  </w:num>
  <w:num w:numId="27">
    <w:abstractNumId w:val="1"/>
  </w:num>
  <w:num w:numId="28">
    <w:abstractNumId w:val="14"/>
  </w:num>
  <w:num w:numId="29">
    <w:abstractNumId w:val="31"/>
  </w:num>
  <w:num w:numId="30">
    <w:abstractNumId w:val="26"/>
  </w:num>
  <w:num w:numId="31">
    <w:abstractNumId w:val="8"/>
  </w:num>
  <w:num w:numId="32">
    <w:abstractNumId w:val="2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 w:numId="36">
    <w:abstractNumId w:val="17"/>
  </w:num>
  <w:num w:numId="3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11"/>
    <w:rsid w:val="00002EF2"/>
    <w:rsid w:val="00003729"/>
    <w:rsid w:val="00003899"/>
    <w:rsid w:val="000039CF"/>
    <w:rsid w:val="000047C9"/>
    <w:rsid w:val="00004DDA"/>
    <w:rsid w:val="0001142F"/>
    <w:rsid w:val="00013566"/>
    <w:rsid w:val="00013692"/>
    <w:rsid w:val="000144E7"/>
    <w:rsid w:val="00015238"/>
    <w:rsid w:val="00016A6C"/>
    <w:rsid w:val="00022118"/>
    <w:rsid w:val="00025AC5"/>
    <w:rsid w:val="00026CD7"/>
    <w:rsid w:val="000274EE"/>
    <w:rsid w:val="00031110"/>
    <w:rsid w:val="000314D9"/>
    <w:rsid w:val="0003162E"/>
    <w:rsid w:val="00032403"/>
    <w:rsid w:val="00032492"/>
    <w:rsid w:val="00034117"/>
    <w:rsid w:val="0003523D"/>
    <w:rsid w:val="00036B03"/>
    <w:rsid w:val="00037763"/>
    <w:rsid w:val="00042C35"/>
    <w:rsid w:val="00044011"/>
    <w:rsid w:val="00044053"/>
    <w:rsid w:val="00044653"/>
    <w:rsid w:val="00044EB5"/>
    <w:rsid w:val="000465FF"/>
    <w:rsid w:val="00046BA4"/>
    <w:rsid w:val="00046D47"/>
    <w:rsid w:val="00051F48"/>
    <w:rsid w:val="00054667"/>
    <w:rsid w:val="00057716"/>
    <w:rsid w:val="00057E3E"/>
    <w:rsid w:val="00062B19"/>
    <w:rsid w:val="00063589"/>
    <w:rsid w:val="0006534D"/>
    <w:rsid w:val="000662BF"/>
    <w:rsid w:val="0007049D"/>
    <w:rsid w:val="00072378"/>
    <w:rsid w:val="00072903"/>
    <w:rsid w:val="00075AE8"/>
    <w:rsid w:val="00075DEB"/>
    <w:rsid w:val="000774C9"/>
    <w:rsid w:val="00077549"/>
    <w:rsid w:val="00081752"/>
    <w:rsid w:val="00083997"/>
    <w:rsid w:val="00092AC2"/>
    <w:rsid w:val="00094C88"/>
    <w:rsid w:val="00095171"/>
    <w:rsid w:val="000958F5"/>
    <w:rsid w:val="0009609E"/>
    <w:rsid w:val="000A1CB2"/>
    <w:rsid w:val="000A334F"/>
    <w:rsid w:val="000B207A"/>
    <w:rsid w:val="000B2D85"/>
    <w:rsid w:val="000B2F72"/>
    <w:rsid w:val="000B76F4"/>
    <w:rsid w:val="000B788C"/>
    <w:rsid w:val="000C3005"/>
    <w:rsid w:val="000C4685"/>
    <w:rsid w:val="000C5841"/>
    <w:rsid w:val="000C5D4A"/>
    <w:rsid w:val="000C79BD"/>
    <w:rsid w:val="000D0F7B"/>
    <w:rsid w:val="000D2789"/>
    <w:rsid w:val="000D2F49"/>
    <w:rsid w:val="000D3317"/>
    <w:rsid w:val="000D3EB3"/>
    <w:rsid w:val="000D55E0"/>
    <w:rsid w:val="000E03C6"/>
    <w:rsid w:val="000E162A"/>
    <w:rsid w:val="000E4352"/>
    <w:rsid w:val="000F0BAA"/>
    <w:rsid w:val="000F77B8"/>
    <w:rsid w:val="00103DD2"/>
    <w:rsid w:val="00104BB9"/>
    <w:rsid w:val="00105474"/>
    <w:rsid w:val="001058C2"/>
    <w:rsid w:val="001106C6"/>
    <w:rsid w:val="00112D9A"/>
    <w:rsid w:val="00112DB6"/>
    <w:rsid w:val="00116EF0"/>
    <w:rsid w:val="00117EEF"/>
    <w:rsid w:val="00120ED6"/>
    <w:rsid w:val="001210E9"/>
    <w:rsid w:val="00122059"/>
    <w:rsid w:val="0012337B"/>
    <w:rsid w:val="00123CEF"/>
    <w:rsid w:val="001240B6"/>
    <w:rsid w:val="00124554"/>
    <w:rsid w:val="00125819"/>
    <w:rsid w:val="00127D10"/>
    <w:rsid w:val="00130455"/>
    <w:rsid w:val="0013151B"/>
    <w:rsid w:val="00131FC0"/>
    <w:rsid w:val="0013333A"/>
    <w:rsid w:val="00133521"/>
    <w:rsid w:val="001361E8"/>
    <w:rsid w:val="00136AB2"/>
    <w:rsid w:val="001423A2"/>
    <w:rsid w:val="00142441"/>
    <w:rsid w:val="0014272A"/>
    <w:rsid w:val="00142794"/>
    <w:rsid w:val="00142A2C"/>
    <w:rsid w:val="00143084"/>
    <w:rsid w:val="00143321"/>
    <w:rsid w:val="0014795E"/>
    <w:rsid w:val="00147F39"/>
    <w:rsid w:val="00150677"/>
    <w:rsid w:val="001509AF"/>
    <w:rsid w:val="001537FA"/>
    <w:rsid w:val="00154249"/>
    <w:rsid w:val="001556DD"/>
    <w:rsid w:val="0016171F"/>
    <w:rsid w:val="00163C55"/>
    <w:rsid w:val="00164B03"/>
    <w:rsid w:val="00165BF6"/>
    <w:rsid w:val="00165F8C"/>
    <w:rsid w:val="00173E64"/>
    <w:rsid w:val="001762B5"/>
    <w:rsid w:val="001877F8"/>
    <w:rsid w:val="001940D5"/>
    <w:rsid w:val="00194D03"/>
    <w:rsid w:val="001968FB"/>
    <w:rsid w:val="00196BDA"/>
    <w:rsid w:val="00197051"/>
    <w:rsid w:val="00197E00"/>
    <w:rsid w:val="001A0D9C"/>
    <w:rsid w:val="001A4E85"/>
    <w:rsid w:val="001A63E8"/>
    <w:rsid w:val="001A6D71"/>
    <w:rsid w:val="001A7DF4"/>
    <w:rsid w:val="001B37E9"/>
    <w:rsid w:val="001B484A"/>
    <w:rsid w:val="001B606F"/>
    <w:rsid w:val="001C0691"/>
    <w:rsid w:val="001C18C6"/>
    <w:rsid w:val="001C2D6F"/>
    <w:rsid w:val="001C4856"/>
    <w:rsid w:val="001C4ED3"/>
    <w:rsid w:val="001C6BF2"/>
    <w:rsid w:val="001C6CF4"/>
    <w:rsid w:val="001C7FA4"/>
    <w:rsid w:val="001D07D9"/>
    <w:rsid w:val="001D6752"/>
    <w:rsid w:val="001D6D6D"/>
    <w:rsid w:val="001E0507"/>
    <w:rsid w:val="001E1858"/>
    <w:rsid w:val="001E2C89"/>
    <w:rsid w:val="001E2E7A"/>
    <w:rsid w:val="001E4063"/>
    <w:rsid w:val="001E5D9F"/>
    <w:rsid w:val="001E6B2D"/>
    <w:rsid w:val="001F013A"/>
    <w:rsid w:val="001F01DA"/>
    <w:rsid w:val="001F12BE"/>
    <w:rsid w:val="001F5A0D"/>
    <w:rsid w:val="001F62B6"/>
    <w:rsid w:val="001F65E2"/>
    <w:rsid w:val="002010CB"/>
    <w:rsid w:val="0020131C"/>
    <w:rsid w:val="0020442A"/>
    <w:rsid w:val="002046C8"/>
    <w:rsid w:val="00204EAE"/>
    <w:rsid w:val="0020740D"/>
    <w:rsid w:val="00207D71"/>
    <w:rsid w:val="002121E4"/>
    <w:rsid w:val="00215965"/>
    <w:rsid w:val="002230F0"/>
    <w:rsid w:val="002255A2"/>
    <w:rsid w:val="00227E3E"/>
    <w:rsid w:val="00230CFF"/>
    <w:rsid w:val="00231E44"/>
    <w:rsid w:val="00232B17"/>
    <w:rsid w:val="00232EE3"/>
    <w:rsid w:val="00234A68"/>
    <w:rsid w:val="00235071"/>
    <w:rsid w:val="002370DF"/>
    <w:rsid w:val="00241713"/>
    <w:rsid w:val="002422EE"/>
    <w:rsid w:val="00242556"/>
    <w:rsid w:val="0024257A"/>
    <w:rsid w:val="002441F0"/>
    <w:rsid w:val="00245529"/>
    <w:rsid w:val="00245C37"/>
    <w:rsid w:val="00247115"/>
    <w:rsid w:val="0025180F"/>
    <w:rsid w:val="00251A5E"/>
    <w:rsid w:val="002525FA"/>
    <w:rsid w:val="00252E16"/>
    <w:rsid w:val="00254666"/>
    <w:rsid w:val="00257089"/>
    <w:rsid w:val="002605DD"/>
    <w:rsid w:val="00262343"/>
    <w:rsid w:val="0026238C"/>
    <w:rsid w:val="00262B9F"/>
    <w:rsid w:val="00263BB5"/>
    <w:rsid w:val="002664DE"/>
    <w:rsid w:val="002666BE"/>
    <w:rsid w:val="00270363"/>
    <w:rsid w:val="00273334"/>
    <w:rsid w:val="0027647D"/>
    <w:rsid w:val="0027783C"/>
    <w:rsid w:val="0028110F"/>
    <w:rsid w:val="00281D1F"/>
    <w:rsid w:val="002827F8"/>
    <w:rsid w:val="00284480"/>
    <w:rsid w:val="00284643"/>
    <w:rsid w:val="002861A8"/>
    <w:rsid w:val="002937C1"/>
    <w:rsid w:val="002941BE"/>
    <w:rsid w:val="0029761E"/>
    <w:rsid w:val="002A157E"/>
    <w:rsid w:val="002A4216"/>
    <w:rsid w:val="002A4617"/>
    <w:rsid w:val="002A7675"/>
    <w:rsid w:val="002B179B"/>
    <w:rsid w:val="002B1A2C"/>
    <w:rsid w:val="002B4304"/>
    <w:rsid w:val="002B7AB6"/>
    <w:rsid w:val="002C10FB"/>
    <w:rsid w:val="002C2384"/>
    <w:rsid w:val="002C566B"/>
    <w:rsid w:val="002C7C43"/>
    <w:rsid w:val="002D1B3E"/>
    <w:rsid w:val="002D4062"/>
    <w:rsid w:val="002D4066"/>
    <w:rsid w:val="002D4880"/>
    <w:rsid w:val="002D4AED"/>
    <w:rsid w:val="002D6792"/>
    <w:rsid w:val="002E4ECC"/>
    <w:rsid w:val="002E5EA2"/>
    <w:rsid w:val="002E7E06"/>
    <w:rsid w:val="002F2293"/>
    <w:rsid w:val="002F2779"/>
    <w:rsid w:val="002F4FBB"/>
    <w:rsid w:val="002F508C"/>
    <w:rsid w:val="002F52B4"/>
    <w:rsid w:val="002F5A5D"/>
    <w:rsid w:val="002F6598"/>
    <w:rsid w:val="002F6C54"/>
    <w:rsid w:val="002F7CDB"/>
    <w:rsid w:val="003028D0"/>
    <w:rsid w:val="00304153"/>
    <w:rsid w:val="00304B94"/>
    <w:rsid w:val="0030596A"/>
    <w:rsid w:val="00312522"/>
    <w:rsid w:val="00312D0D"/>
    <w:rsid w:val="00313EDD"/>
    <w:rsid w:val="003155C3"/>
    <w:rsid w:val="0031650E"/>
    <w:rsid w:val="00316BFC"/>
    <w:rsid w:val="0032263D"/>
    <w:rsid w:val="00325295"/>
    <w:rsid w:val="00325DF2"/>
    <w:rsid w:val="00341704"/>
    <w:rsid w:val="00342AA7"/>
    <w:rsid w:val="00343B42"/>
    <w:rsid w:val="00345E20"/>
    <w:rsid w:val="003463F3"/>
    <w:rsid w:val="00347278"/>
    <w:rsid w:val="0035052E"/>
    <w:rsid w:val="00351DF7"/>
    <w:rsid w:val="00352D89"/>
    <w:rsid w:val="003538A2"/>
    <w:rsid w:val="00353DF1"/>
    <w:rsid w:val="00353DFF"/>
    <w:rsid w:val="0035708E"/>
    <w:rsid w:val="00360952"/>
    <w:rsid w:val="00362815"/>
    <w:rsid w:val="00362E0A"/>
    <w:rsid w:val="00364674"/>
    <w:rsid w:val="003666E9"/>
    <w:rsid w:val="00367553"/>
    <w:rsid w:val="003707B4"/>
    <w:rsid w:val="003714DA"/>
    <w:rsid w:val="0037345C"/>
    <w:rsid w:val="00376D13"/>
    <w:rsid w:val="00377651"/>
    <w:rsid w:val="00382870"/>
    <w:rsid w:val="00382EED"/>
    <w:rsid w:val="00382FDF"/>
    <w:rsid w:val="00383D09"/>
    <w:rsid w:val="003840B0"/>
    <w:rsid w:val="00385B59"/>
    <w:rsid w:val="00387656"/>
    <w:rsid w:val="00393D5A"/>
    <w:rsid w:val="00394438"/>
    <w:rsid w:val="00394618"/>
    <w:rsid w:val="00395314"/>
    <w:rsid w:val="00395636"/>
    <w:rsid w:val="00397960"/>
    <w:rsid w:val="003A4105"/>
    <w:rsid w:val="003A4BF5"/>
    <w:rsid w:val="003A534C"/>
    <w:rsid w:val="003A79E2"/>
    <w:rsid w:val="003B4685"/>
    <w:rsid w:val="003C1BF7"/>
    <w:rsid w:val="003C2897"/>
    <w:rsid w:val="003C7327"/>
    <w:rsid w:val="003D1496"/>
    <w:rsid w:val="003D2CE1"/>
    <w:rsid w:val="003D38BE"/>
    <w:rsid w:val="003D4419"/>
    <w:rsid w:val="003D448B"/>
    <w:rsid w:val="003D59FB"/>
    <w:rsid w:val="003E2559"/>
    <w:rsid w:val="003E2FE0"/>
    <w:rsid w:val="003E3615"/>
    <w:rsid w:val="003E3CB4"/>
    <w:rsid w:val="003E52A2"/>
    <w:rsid w:val="003E69FF"/>
    <w:rsid w:val="003F0437"/>
    <w:rsid w:val="003F0A9C"/>
    <w:rsid w:val="003F288A"/>
    <w:rsid w:val="003F3595"/>
    <w:rsid w:val="003F78CC"/>
    <w:rsid w:val="003F7B43"/>
    <w:rsid w:val="00400D0D"/>
    <w:rsid w:val="0040143C"/>
    <w:rsid w:val="00401EE1"/>
    <w:rsid w:val="00403201"/>
    <w:rsid w:val="004044DA"/>
    <w:rsid w:val="0040629E"/>
    <w:rsid w:val="00407782"/>
    <w:rsid w:val="00411073"/>
    <w:rsid w:val="00412FEC"/>
    <w:rsid w:val="00413B47"/>
    <w:rsid w:val="00413C64"/>
    <w:rsid w:val="00414267"/>
    <w:rsid w:val="004154C2"/>
    <w:rsid w:val="00417CF3"/>
    <w:rsid w:val="00421D0B"/>
    <w:rsid w:val="00424181"/>
    <w:rsid w:val="0042488E"/>
    <w:rsid w:val="004301DE"/>
    <w:rsid w:val="0043197A"/>
    <w:rsid w:val="00435773"/>
    <w:rsid w:val="00436C53"/>
    <w:rsid w:val="00436E98"/>
    <w:rsid w:val="004375A0"/>
    <w:rsid w:val="0044219A"/>
    <w:rsid w:val="00444581"/>
    <w:rsid w:val="00452390"/>
    <w:rsid w:val="00452BCF"/>
    <w:rsid w:val="00454AA3"/>
    <w:rsid w:val="00455171"/>
    <w:rsid w:val="00457572"/>
    <w:rsid w:val="00457767"/>
    <w:rsid w:val="00461360"/>
    <w:rsid w:val="00462047"/>
    <w:rsid w:val="00463011"/>
    <w:rsid w:val="00463232"/>
    <w:rsid w:val="004660CE"/>
    <w:rsid w:val="00472D17"/>
    <w:rsid w:val="00475C4D"/>
    <w:rsid w:val="004773CC"/>
    <w:rsid w:val="00480DA3"/>
    <w:rsid w:val="00480EF7"/>
    <w:rsid w:val="00483774"/>
    <w:rsid w:val="00486064"/>
    <w:rsid w:val="00486AE7"/>
    <w:rsid w:val="00486BB4"/>
    <w:rsid w:val="00486E1F"/>
    <w:rsid w:val="00487842"/>
    <w:rsid w:val="0049031F"/>
    <w:rsid w:val="004903E4"/>
    <w:rsid w:val="0049289D"/>
    <w:rsid w:val="00492A61"/>
    <w:rsid w:val="00494769"/>
    <w:rsid w:val="00495C47"/>
    <w:rsid w:val="00497408"/>
    <w:rsid w:val="004A09BB"/>
    <w:rsid w:val="004A21CC"/>
    <w:rsid w:val="004A3791"/>
    <w:rsid w:val="004A4D9B"/>
    <w:rsid w:val="004A5C26"/>
    <w:rsid w:val="004A6B47"/>
    <w:rsid w:val="004B1067"/>
    <w:rsid w:val="004B1C2A"/>
    <w:rsid w:val="004B41E5"/>
    <w:rsid w:val="004B569B"/>
    <w:rsid w:val="004B6362"/>
    <w:rsid w:val="004C01D6"/>
    <w:rsid w:val="004C2EDB"/>
    <w:rsid w:val="004C44BC"/>
    <w:rsid w:val="004C4921"/>
    <w:rsid w:val="004C62F9"/>
    <w:rsid w:val="004C6CC5"/>
    <w:rsid w:val="004C78CD"/>
    <w:rsid w:val="004C7E0F"/>
    <w:rsid w:val="004D20AE"/>
    <w:rsid w:val="004D29CF"/>
    <w:rsid w:val="004D308F"/>
    <w:rsid w:val="004D3BBE"/>
    <w:rsid w:val="004D47C3"/>
    <w:rsid w:val="004D5182"/>
    <w:rsid w:val="004D5E99"/>
    <w:rsid w:val="004E0916"/>
    <w:rsid w:val="004E0A34"/>
    <w:rsid w:val="004E0D45"/>
    <w:rsid w:val="004E0F3F"/>
    <w:rsid w:val="004E10BA"/>
    <w:rsid w:val="004E36DB"/>
    <w:rsid w:val="004E3BE5"/>
    <w:rsid w:val="004E3EB2"/>
    <w:rsid w:val="004E4756"/>
    <w:rsid w:val="004E71AB"/>
    <w:rsid w:val="004E73E1"/>
    <w:rsid w:val="004F1374"/>
    <w:rsid w:val="004F1E5E"/>
    <w:rsid w:val="004F3E72"/>
    <w:rsid w:val="004F50CF"/>
    <w:rsid w:val="004F5D37"/>
    <w:rsid w:val="004F7910"/>
    <w:rsid w:val="00502866"/>
    <w:rsid w:val="00502AB5"/>
    <w:rsid w:val="00503163"/>
    <w:rsid w:val="005048C8"/>
    <w:rsid w:val="005056D1"/>
    <w:rsid w:val="00506FBF"/>
    <w:rsid w:val="00512D77"/>
    <w:rsid w:val="005134D7"/>
    <w:rsid w:val="00516657"/>
    <w:rsid w:val="00516B30"/>
    <w:rsid w:val="0051767F"/>
    <w:rsid w:val="00520F1A"/>
    <w:rsid w:val="00525EFF"/>
    <w:rsid w:val="005265A2"/>
    <w:rsid w:val="00527227"/>
    <w:rsid w:val="00530C46"/>
    <w:rsid w:val="00530D80"/>
    <w:rsid w:val="00531797"/>
    <w:rsid w:val="00531951"/>
    <w:rsid w:val="0053259F"/>
    <w:rsid w:val="00533787"/>
    <w:rsid w:val="005352E9"/>
    <w:rsid w:val="00536198"/>
    <w:rsid w:val="005379D9"/>
    <w:rsid w:val="00540C35"/>
    <w:rsid w:val="00540C4E"/>
    <w:rsid w:val="0054118E"/>
    <w:rsid w:val="005414FE"/>
    <w:rsid w:val="00542318"/>
    <w:rsid w:val="0054285A"/>
    <w:rsid w:val="00542988"/>
    <w:rsid w:val="005468AB"/>
    <w:rsid w:val="00546F18"/>
    <w:rsid w:val="0055057B"/>
    <w:rsid w:val="00551458"/>
    <w:rsid w:val="00552831"/>
    <w:rsid w:val="005536A9"/>
    <w:rsid w:val="00560614"/>
    <w:rsid w:val="00560DC2"/>
    <w:rsid w:val="005648C6"/>
    <w:rsid w:val="00566BC8"/>
    <w:rsid w:val="005720C6"/>
    <w:rsid w:val="0057255A"/>
    <w:rsid w:val="00572F72"/>
    <w:rsid w:val="0057432D"/>
    <w:rsid w:val="0057735F"/>
    <w:rsid w:val="0057754A"/>
    <w:rsid w:val="005811A2"/>
    <w:rsid w:val="005812B4"/>
    <w:rsid w:val="005865B9"/>
    <w:rsid w:val="00587CBA"/>
    <w:rsid w:val="00590B28"/>
    <w:rsid w:val="005938B5"/>
    <w:rsid w:val="00593917"/>
    <w:rsid w:val="00594D63"/>
    <w:rsid w:val="00595A9A"/>
    <w:rsid w:val="00595C54"/>
    <w:rsid w:val="00596F16"/>
    <w:rsid w:val="00596F7E"/>
    <w:rsid w:val="005979A4"/>
    <w:rsid w:val="005A443D"/>
    <w:rsid w:val="005A4E8B"/>
    <w:rsid w:val="005A7265"/>
    <w:rsid w:val="005B370F"/>
    <w:rsid w:val="005B38F7"/>
    <w:rsid w:val="005B4791"/>
    <w:rsid w:val="005B6F28"/>
    <w:rsid w:val="005C03DF"/>
    <w:rsid w:val="005C368F"/>
    <w:rsid w:val="005C3D64"/>
    <w:rsid w:val="005C432D"/>
    <w:rsid w:val="005C4806"/>
    <w:rsid w:val="005C4F32"/>
    <w:rsid w:val="005C55BA"/>
    <w:rsid w:val="005C7F03"/>
    <w:rsid w:val="005D20A1"/>
    <w:rsid w:val="005D2553"/>
    <w:rsid w:val="005D26FE"/>
    <w:rsid w:val="005E0259"/>
    <w:rsid w:val="005E0704"/>
    <w:rsid w:val="005E0BE9"/>
    <w:rsid w:val="005E30D9"/>
    <w:rsid w:val="005E344C"/>
    <w:rsid w:val="005E474C"/>
    <w:rsid w:val="005E6CBA"/>
    <w:rsid w:val="005E7359"/>
    <w:rsid w:val="005F2833"/>
    <w:rsid w:val="005F4A5A"/>
    <w:rsid w:val="005F4C67"/>
    <w:rsid w:val="005F5E31"/>
    <w:rsid w:val="005F6768"/>
    <w:rsid w:val="005F6B02"/>
    <w:rsid w:val="005F6C02"/>
    <w:rsid w:val="005F6E8B"/>
    <w:rsid w:val="005F72E5"/>
    <w:rsid w:val="005F7408"/>
    <w:rsid w:val="00602382"/>
    <w:rsid w:val="006035A7"/>
    <w:rsid w:val="006042AA"/>
    <w:rsid w:val="0060517D"/>
    <w:rsid w:val="006118DF"/>
    <w:rsid w:val="00611E3A"/>
    <w:rsid w:val="00612F17"/>
    <w:rsid w:val="0061493E"/>
    <w:rsid w:val="006168F0"/>
    <w:rsid w:val="00616BA1"/>
    <w:rsid w:val="00617CEA"/>
    <w:rsid w:val="00620C43"/>
    <w:rsid w:val="00620D83"/>
    <w:rsid w:val="00621ADA"/>
    <w:rsid w:val="00623757"/>
    <w:rsid w:val="00623C3B"/>
    <w:rsid w:val="00624882"/>
    <w:rsid w:val="00627E0A"/>
    <w:rsid w:val="00630CBF"/>
    <w:rsid w:val="00633484"/>
    <w:rsid w:val="00635A94"/>
    <w:rsid w:val="00636713"/>
    <w:rsid w:val="00636869"/>
    <w:rsid w:val="00637E49"/>
    <w:rsid w:val="00644CDC"/>
    <w:rsid w:val="006453E6"/>
    <w:rsid w:val="006462D5"/>
    <w:rsid w:val="00652E0F"/>
    <w:rsid w:val="006534DE"/>
    <w:rsid w:val="00656A6E"/>
    <w:rsid w:val="00656E6E"/>
    <w:rsid w:val="006570BD"/>
    <w:rsid w:val="006573ED"/>
    <w:rsid w:val="0066059C"/>
    <w:rsid w:val="00660B76"/>
    <w:rsid w:val="00662191"/>
    <w:rsid w:val="00664FE5"/>
    <w:rsid w:val="00665E69"/>
    <w:rsid w:val="00666EDE"/>
    <w:rsid w:val="006670D5"/>
    <w:rsid w:val="00671E97"/>
    <w:rsid w:val="00673749"/>
    <w:rsid w:val="006753E1"/>
    <w:rsid w:val="00676723"/>
    <w:rsid w:val="00676AF7"/>
    <w:rsid w:val="00677DFE"/>
    <w:rsid w:val="00680464"/>
    <w:rsid w:val="00680C75"/>
    <w:rsid w:val="00682DC6"/>
    <w:rsid w:val="00682F6A"/>
    <w:rsid w:val="00682FA4"/>
    <w:rsid w:val="006854CF"/>
    <w:rsid w:val="00685E75"/>
    <w:rsid w:val="00691C52"/>
    <w:rsid w:val="006968E9"/>
    <w:rsid w:val="00697FC6"/>
    <w:rsid w:val="006A28D4"/>
    <w:rsid w:val="006A42EE"/>
    <w:rsid w:val="006A4D1B"/>
    <w:rsid w:val="006A570D"/>
    <w:rsid w:val="006A5EC3"/>
    <w:rsid w:val="006A669A"/>
    <w:rsid w:val="006B0EBB"/>
    <w:rsid w:val="006B2F8D"/>
    <w:rsid w:val="006B309F"/>
    <w:rsid w:val="006B5CC5"/>
    <w:rsid w:val="006B6037"/>
    <w:rsid w:val="006B6F5A"/>
    <w:rsid w:val="006C007F"/>
    <w:rsid w:val="006C4530"/>
    <w:rsid w:val="006C52BB"/>
    <w:rsid w:val="006C67E6"/>
    <w:rsid w:val="006C6F1C"/>
    <w:rsid w:val="006C76AB"/>
    <w:rsid w:val="006D1A8A"/>
    <w:rsid w:val="006D2820"/>
    <w:rsid w:val="006D2EA2"/>
    <w:rsid w:val="006D382A"/>
    <w:rsid w:val="006D5FB6"/>
    <w:rsid w:val="006D6A17"/>
    <w:rsid w:val="006E3A48"/>
    <w:rsid w:val="006E5765"/>
    <w:rsid w:val="006E67FD"/>
    <w:rsid w:val="006E71BF"/>
    <w:rsid w:val="006E71E5"/>
    <w:rsid w:val="006F03FE"/>
    <w:rsid w:val="006F0EBF"/>
    <w:rsid w:val="006F112D"/>
    <w:rsid w:val="006F5741"/>
    <w:rsid w:val="006F6CA1"/>
    <w:rsid w:val="006F7522"/>
    <w:rsid w:val="007006EC"/>
    <w:rsid w:val="007022BB"/>
    <w:rsid w:val="00711AE1"/>
    <w:rsid w:val="00711F13"/>
    <w:rsid w:val="007127D8"/>
    <w:rsid w:val="00712C58"/>
    <w:rsid w:val="0071330B"/>
    <w:rsid w:val="007140C9"/>
    <w:rsid w:val="00716665"/>
    <w:rsid w:val="00717B67"/>
    <w:rsid w:val="00723877"/>
    <w:rsid w:val="0072464F"/>
    <w:rsid w:val="00726917"/>
    <w:rsid w:val="00730690"/>
    <w:rsid w:val="00730FA8"/>
    <w:rsid w:val="0073213D"/>
    <w:rsid w:val="007322C9"/>
    <w:rsid w:val="007338A8"/>
    <w:rsid w:val="00735212"/>
    <w:rsid w:val="00735CD2"/>
    <w:rsid w:val="00736241"/>
    <w:rsid w:val="007366FB"/>
    <w:rsid w:val="00741A3B"/>
    <w:rsid w:val="00747DC7"/>
    <w:rsid w:val="007515BC"/>
    <w:rsid w:val="0075185A"/>
    <w:rsid w:val="007524E5"/>
    <w:rsid w:val="007537BE"/>
    <w:rsid w:val="00755490"/>
    <w:rsid w:val="007556DA"/>
    <w:rsid w:val="00764013"/>
    <w:rsid w:val="00765E4F"/>
    <w:rsid w:val="00765EA4"/>
    <w:rsid w:val="00766D30"/>
    <w:rsid w:val="0076779E"/>
    <w:rsid w:val="007679E8"/>
    <w:rsid w:val="007714C8"/>
    <w:rsid w:val="0077183B"/>
    <w:rsid w:val="007752B0"/>
    <w:rsid w:val="007765D8"/>
    <w:rsid w:val="00780B40"/>
    <w:rsid w:val="00781A6B"/>
    <w:rsid w:val="007822CC"/>
    <w:rsid w:val="00782778"/>
    <w:rsid w:val="007901FA"/>
    <w:rsid w:val="00792B66"/>
    <w:rsid w:val="00792B82"/>
    <w:rsid w:val="00793734"/>
    <w:rsid w:val="00793FB7"/>
    <w:rsid w:val="00795349"/>
    <w:rsid w:val="007A0191"/>
    <w:rsid w:val="007A09A8"/>
    <w:rsid w:val="007A117B"/>
    <w:rsid w:val="007A160A"/>
    <w:rsid w:val="007A22ED"/>
    <w:rsid w:val="007A24F9"/>
    <w:rsid w:val="007B1AAB"/>
    <w:rsid w:val="007B4B84"/>
    <w:rsid w:val="007B6362"/>
    <w:rsid w:val="007B6377"/>
    <w:rsid w:val="007B6AFC"/>
    <w:rsid w:val="007B70FA"/>
    <w:rsid w:val="007B7965"/>
    <w:rsid w:val="007C132C"/>
    <w:rsid w:val="007C7D31"/>
    <w:rsid w:val="007D06BB"/>
    <w:rsid w:val="007D0A57"/>
    <w:rsid w:val="007D1AA5"/>
    <w:rsid w:val="007D1C4A"/>
    <w:rsid w:val="007D2978"/>
    <w:rsid w:val="007D361F"/>
    <w:rsid w:val="007D4AE9"/>
    <w:rsid w:val="007E0178"/>
    <w:rsid w:val="007E1678"/>
    <w:rsid w:val="007E26F6"/>
    <w:rsid w:val="007E28A8"/>
    <w:rsid w:val="007E5182"/>
    <w:rsid w:val="007E51A4"/>
    <w:rsid w:val="007E74E2"/>
    <w:rsid w:val="007F2B15"/>
    <w:rsid w:val="00800E14"/>
    <w:rsid w:val="008012ED"/>
    <w:rsid w:val="00803C34"/>
    <w:rsid w:val="008055B0"/>
    <w:rsid w:val="008116D6"/>
    <w:rsid w:val="00813193"/>
    <w:rsid w:val="008142D8"/>
    <w:rsid w:val="00814E4C"/>
    <w:rsid w:val="00814F98"/>
    <w:rsid w:val="00815587"/>
    <w:rsid w:val="00815B9D"/>
    <w:rsid w:val="0081651E"/>
    <w:rsid w:val="00816E95"/>
    <w:rsid w:val="00816F19"/>
    <w:rsid w:val="0082142E"/>
    <w:rsid w:val="008214DD"/>
    <w:rsid w:val="0082214D"/>
    <w:rsid w:val="008223F4"/>
    <w:rsid w:val="00822761"/>
    <w:rsid w:val="00822A46"/>
    <w:rsid w:val="008238F4"/>
    <w:rsid w:val="00824FFC"/>
    <w:rsid w:val="008270E0"/>
    <w:rsid w:val="008275AC"/>
    <w:rsid w:val="0083220E"/>
    <w:rsid w:val="008325B9"/>
    <w:rsid w:val="00832C2A"/>
    <w:rsid w:val="00836881"/>
    <w:rsid w:val="00836D6A"/>
    <w:rsid w:val="00845AD9"/>
    <w:rsid w:val="00846B1F"/>
    <w:rsid w:val="00847835"/>
    <w:rsid w:val="008510DF"/>
    <w:rsid w:val="0085114A"/>
    <w:rsid w:val="00852D80"/>
    <w:rsid w:val="00852DC0"/>
    <w:rsid w:val="0085760F"/>
    <w:rsid w:val="0086294A"/>
    <w:rsid w:val="008644D5"/>
    <w:rsid w:val="0086655B"/>
    <w:rsid w:val="00871531"/>
    <w:rsid w:val="00871941"/>
    <w:rsid w:val="00872CED"/>
    <w:rsid w:val="0087329C"/>
    <w:rsid w:val="00873615"/>
    <w:rsid w:val="008746A1"/>
    <w:rsid w:val="00874D93"/>
    <w:rsid w:val="0087695D"/>
    <w:rsid w:val="0087700E"/>
    <w:rsid w:val="008813BE"/>
    <w:rsid w:val="00882754"/>
    <w:rsid w:val="008839A4"/>
    <w:rsid w:val="00883A9E"/>
    <w:rsid w:val="00884A92"/>
    <w:rsid w:val="00890A27"/>
    <w:rsid w:val="008920E5"/>
    <w:rsid w:val="008946E4"/>
    <w:rsid w:val="00895757"/>
    <w:rsid w:val="008A053E"/>
    <w:rsid w:val="008A0719"/>
    <w:rsid w:val="008A1455"/>
    <w:rsid w:val="008A1D93"/>
    <w:rsid w:val="008B2FEA"/>
    <w:rsid w:val="008B6A68"/>
    <w:rsid w:val="008B7372"/>
    <w:rsid w:val="008C102F"/>
    <w:rsid w:val="008C58A9"/>
    <w:rsid w:val="008D2801"/>
    <w:rsid w:val="008D2CD3"/>
    <w:rsid w:val="008D3AE6"/>
    <w:rsid w:val="008D454E"/>
    <w:rsid w:val="008D4698"/>
    <w:rsid w:val="008D681C"/>
    <w:rsid w:val="008D7AE2"/>
    <w:rsid w:val="008E3ED4"/>
    <w:rsid w:val="008E57FF"/>
    <w:rsid w:val="008F15A4"/>
    <w:rsid w:val="008F19FF"/>
    <w:rsid w:val="008F2A83"/>
    <w:rsid w:val="008F38D4"/>
    <w:rsid w:val="008F4519"/>
    <w:rsid w:val="008F7460"/>
    <w:rsid w:val="008F7F0D"/>
    <w:rsid w:val="009009E5"/>
    <w:rsid w:val="00900BE0"/>
    <w:rsid w:val="009023BA"/>
    <w:rsid w:val="00903220"/>
    <w:rsid w:val="00904A27"/>
    <w:rsid w:val="00904AE5"/>
    <w:rsid w:val="00906268"/>
    <w:rsid w:val="00906D6B"/>
    <w:rsid w:val="00907B96"/>
    <w:rsid w:val="009110EE"/>
    <w:rsid w:val="00912108"/>
    <w:rsid w:val="00912C6D"/>
    <w:rsid w:val="0091356D"/>
    <w:rsid w:val="009136E1"/>
    <w:rsid w:val="00916F9A"/>
    <w:rsid w:val="00917436"/>
    <w:rsid w:val="009214B7"/>
    <w:rsid w:val="00921E2D"/>
    <w:rsid w:val="00924BAD"/>
    <w:rsid w:val="009267FC"/>
    <w:rsid w:val="0092781F"/>
    <w:rsid w:val="0093108F"/>
    <w:rsid w:val="0093176F"/>
    <w:rsid w:val="00931837"/>
    <w:rsid w:val="009338DB"/>
    <w:rsid w:val="00935B82"/>
    <w:rsid w:val="00936BFF"/>
    <w:rsid w:val="009408C2"/>
    <w:rsid w:val="00946603"/>
    <w:rsid w:val="00950097"/>
    <w:rsid w:val="0095481A"/>
    <w:rsid w:val="00955BEE"/>
    <w:rsid w:val="00957163"/>
    <w:rsid w:val="009606F9"/>
    <w:rsid w:val="00962DEF"/>
    <w:rsid w:val="00963696"/>
    <w:rsid w:val="009649F1"/>
    <w:rsid w:val="00966E08"/>
    <w:rsid w:val="009720A1"/>
    <w:rsid w:val="0097399B"/>
    <w:rsid w:val="009751C9"/>
    <w:rsid w:val="009764DD"/>
    <w:rsid w:val="00977D11"/>
    <w:rsid w:val="00982146"/>
    <w:rsid w:val="00982F1F"/>
    <w:rsid w:val="00986F3F"/>
    <w:rsid w:val="00990AC9"/>
    <w:rsid w:val="0099193B"/>
    <w:rsid w:val="009943C3"/>
    <w:rsid w:val="009944F6"/>
    <w:rsid w:val="00996613"/>
    <w:rsid w:val="00997D64"/>
    <w:rsid w:val="009A1351"/>
    <w:rsid w:val="009A650F"/>
    <w:rsid w:val="009A6CAC"/>
    <w:rsid w:val="009B0620"/>
    <w:rsid w:val="009B0F5F"/>
    <w:rsid w:val="009B4404"/>
    <w:rsid w:val="009B498D"/>
    <w:rsid w:val="009B6D03"/>
    <w:rsid w:val="009C44D7"/>
    <w:rsid w:val="009C53A6"/>
    <w:rsid w:val="009C5694"/>
    <w:rsid w:val="009C5C07"/>
    <w:rsid w:val="009C70FA"/>
    <w:rsid w:val="009C7832"/>
    <w:rsid w:val="009C7F18"/>
    <w:rsid w:val="009D0D0E"/>
    <w:rsid w:val="009D199B"/>
    <w:rsid w:val="009D2D01"/>
    <w:rsid w:val="009D6690"/>
    <w:rsid w:val="009E368C"/>
    <w:rsid w:val="009E3A15"/>
    <w:rsid w:val="009E3CB9"/>
    <w:rsid w:val="009E7596"/>
    <w:rsid w:val="009F2A3D"/>
    <w:rsid w:val="009F4CAE"/>
    <w:rsid w:val="009F4FDB"/>
    <w:rsid w:val="009F516D"/>
    <w:rsid w:val="009F56D9"/>
    <w:rsid w:val="009F5A79"/>
    <w:rsid w:val="009F71D0"/>
    <w:rsid w:val="00A0122B"/>
    <w:rsid w:val="00A02E4F"/>
    <w:rsid w:val="00A04FC6"/>
    <w:rsid w:val="00A056F8"/>
    <w:rsid w:val="00A07882"/>
    <w:rsid w:val="00A118B2"/>
    <w:rsid w:val="00A1425B"/>
    <w:rsid w:val="00A142DE"/>
    <w:rsid w:val="00A1520A"/>
    <w:rsid w:val="00A156DB"/>
    <w:rsid w:val="00A24A4C"/>
    <w:rsid w:val="00A26279"/>
    <w:rsid w:val="00A26FA5"/>
    <w:rsid w:val="00A27DC0"/>
    <w:rsid w:val="00A307A3"/>
    <w:rsid w:val="00A30BF7"/>
    <w:rsid w:val="00A30C48"/>
    <w:rsid w:val="00A32ACF"/>
    <w:rsid w:val="00A34463"/>
    <w:rsid w:val="00A35E0B"/>
    <w:rsid w:val="00A4120C"/>
    <w:rsid w:val="00A41559"/>
    <w:rsid w:val="00A46C6A"/>
    <w:rsid w:val="00A47006"/>
    <w:rsid w:val="00A507C8"/>
    <w:rsid w:val="00A509FC"/>
    <w:rsid w:val="00A526C8"/>
    <w:rsid w:val="00A534DA"/>
    <w:rsid w:val="00A53FB4"/>
    <w:rsid w:val="00A54960"/>
    <w:rsid w:val="00A5655D"/>
    <w:rsid w:val="00A62844"/>
    <w:rsid w:val="00A63667"/>
    <w:rsid w:val="00A673F7"/>
    <w:rsid w:val="00A723FE"/>
    <w:rsid w:val="00A73178"/>
    <w:rsid w:val="00A73871"/>
    <w:rsid w:val="00A77F81"/>
    <w:rsid w:val="00A8142A"/>
    <w:rsid w:val="00A81504"/>
    <w:rsid w:val="00A82997"/>
    <w:rsid w:val="00A82ADD"/>
    <w:rsid w:val="00A8311B"/>
    <w:rsid w:val="00A837E7"/>
    <w:rsid w:val="00A93989"/>
    <w:rsid w:val="00A94EE8"/>
    <w:rsid w:val="00A95296"/>
    <w:rsid w:val="00A95879"/>
    <w:rsid w:val="00A96D71"/>
    <w:rsid w:val="00A96F32"/>
    <w:rsid w:val="00A97BBE"/>
    <w:rsid w:val="00AA1CA0"/>
    <w:rsid w:val="00AA5923"/>
    <w:rsid w:val="00AB01C8"/>
    <w:rsid w:val="00AB2C05"/>
    <w:rsid w:val="00AB4877"/>
    <w:rsid w:val="00AC0BD0"/>
    <w:rsid w:val="00AC0EDD"/>
    <w:rsid w:val="00AC1747"/>
    <w:rsid w:val="00AC2F8B"/>
    <w:rsid w:val="00AC3987"/>
    <w:rsid w:val="00AC4752"/>
    <w:rsid w:val="00AC5B23"/>
    <w:rsid w:val="00AC62C2"/>
    <w:rsid w:val="00AC646D"/>
    <w:rsid w:val="00AC67D2"/>
    <w:rsid w:val="00AC764B"/>
    <w:rsid w:val="00AC7CAB"/>
    <w:rsid w:val="00AD2545"/>
    <w:rsid w:val="00AD5ADD"/>
    <w:rsid w:val="00AD738C"/>
    <w:rsid w:val="00AE3E6D"/>
    <w:rsid w:val="00AE4549"/>
    <w:rsid w:val="00AE4A09"/>
    <w:rsid w:val="00AE4E31"/>
    <w:rsid w:val="00AE4FE1"/>
    <w:rsid w:val="00AF0417"/>
    <w:rsid w:val="00AF0874"/>
    <w:rsid w:val="00AF6513"/>
    <w:rsid w:val="00AF71D1"/>
    <w:rsid w:val="00AF77DB"/>
    <w:rsid w:val="00AF7D1C"/>
    <w:rsid w:val="00B1197A"/>
    <w:rsid w:val="00B11ACB"/>
    <w:rsid w:val="00B1740B"/>
    <w:rsid w:val="00B22254"/>
    <w:rsid w:val="00B229E3"/>
    <w:rsid w:val="00B2482A"/>
    <w:rsid w:val="00B2570E"/>
    <w:rsid w:val="00B2729D"/>
    <w:rsid w:val="00B27659"/>
    <w:rsid w:val="00B3016A"/>
    <w:rsid w:val="00B31B1E"/>
    <w:rsid w:val="00B36A37"/>
    <w:rsid w:val="00B402C3"/>
    <w:rsid w:val="00B4033A"/>
    <w:rsid w:val="00B40952"/>
    <w:rsid w:val="00B43197"/>
    <w:rsid w:val="00B4562B"/>
    <w:rsid w:val="00B45C68"/>
    <w:rsid w:val="00B47C8A"/>
    <w:rsid w:val="00B51086"/>
    <w:rsid w:val="00B51338"/>
    <w:rsid w:val="00B51617"/>
    <w:rsid w:val="00B51DE5"/>
    <w:rsid w:val="00B52022"/>
    <w:rsid w:val="00B52FF2"/>
    <w:rsid w:val="00B5365D"/>
    <w:rsid w:val="00B557A0"/>
    <w:rsid w:val="00B60BE6"/>
    <w:rsid w:val="00B61F83"/>
    <w:rsid w:val="00B62477"/>
    <w:rsid w:val="00B63BC3"/>
    <w:rsid w:val="00B672CB"/>
    <w:rsid w:val="00B70A8B"/>
    <w:rsid w:val="00B71182"/>
    <w:rsid w:val="00B74609"/>
    <w:rsid w:val="00B74A90"/>
    <w:rsid w:val="00B77911"/>
    <w:rsid w:val="00B77AD2"/>
    <w:rsid w:val="00B80396"/>
    <w:rsid w:val="00B81150"/>
    <w:rsid w:val="00B82B2D"/>
    <w:rsid w:val="00B83698"/>
    <w:rsid w:val="00B83F8D"/>
    <w:rsid w:val="00B84C19"/>
    <w:rsid w:val="00B84C9D"/>
    <w:rsid w:val="00B866C1"/>
    <w:rsid w:val="00B92B72"/>
    <w:rsid w:val="00B93205"/>
    <w:rsid w:val="00B9378F"/>
    <w:rsid w:val="00B93C87"/>
    <w:rsid w:val="00B9413F"/>
    <w:rsid w:val="00B958AE"/>
    <w:rsid w:val="00BA1B99"/>
    <w:rsid w:val="00BA3B19"/>
    <w:rsid w:val="00BA3EA3"/>
    <w:rsid w:val="00BA6CB1"/>
    <w:rsid w:val="00BA77C4"/>
    <w:rsid w:val="00BA78E6"/>
    <w:rsid w:val="00BB025E"/>
    <w:rsid w:val="00BB1064"/>
    <w:rsid w:val="00BB293D"/>
    <w:rsid w:val="00BB33B7"/>
    <w:rsid w:val="00BB3847"/>
    <w:rsid w:val="00BB4692"/>
    <w:rsid w:val="00BB6834"/>
    <w:rsid w:val="00BC15B8"/>
    <w:rsid w:val="00BC1EDB"/>
    <w:rsid w:val="00BC437F"/>
    <w:rsid w:val="00BC5F6B"/>
    <w:rsid w:val="00BD0130"/>
    <w:rsid w:val="00BD18E1"/>
    <w:rsid w:val="00BD27A6"/>
    <w:rsid w:val="00BD3877"/>
    <w:rsid w:val="00BD6A52"/>
    <w:rsid w:val="00BD7D5E"/>
    <w:rsid w:val="00BE17DD"/>
    <w:rsid w:val="00BE281B"/>
    <w:rsid w:val="00BE2E77"/>
    <w:rsid w:val="00BE3E5B"/>
    <w:rsid w:val="00BE4B23"/>
    <w:rsid w:val="00BE54C7"/>
    <w:rsid w:val="00BE6FBC"/>
    <w:rsid w:val="00BE71C7"/>
    <w:rsid w:val="00BF0CF2"/>
    <w:rsid w:val="00BF324A"/>
    <w:rsid w:val="00BF38A1"/>
    <w:rsid w:val="00BF4160"/>
    <w:rsid w:val="00BF41E1"/>
    <w:rsid w:val="00BF605D"/>
    <w:rsid w:val="00C0120B"/>
    <w:rsid w:val="00C027B2"/>
    <w:rsid w:val="00C03F0F"/>
    <w:rsid w:val="00C04A7B"/>
    <w:rsid w:val="00C052C3"/>
    <w:rsid w:val="00C06444"/>
    <w:rsid w:val="00C10259"/>
    <w:rsid w:val="00C103E3"/>
    <w:rsid w:val="00C11D88"/>
    <w:rsid w:val="00C12F8D"/>
    <w:rsid w:val="00C149D0"/>
    <w:rsid w:val="00C1712E"/>
    <w:rsid w:val="00C21188"/>
    <w:rsid w:val="00C222F0"/>
    <w:rsid w:val="00C23B02"/>
    <w:rsid w:val="00C24C54"/>
    <w:rsid w:val="00C26791"/>
    <w:rsid w:val="00C27667"/>
    <w:rsid w:val="00C325E9"/>
    <w:rsid w:val="00C327A7"/>
    <w:rsid w:val="00C347BC"/>
    <w:rsid w:val="00C34B1E"/>
    <w:rsid w:val="00C400AC"/>
    <w:rsid w:val="00C41AE0"/>
    <w:rsid w:val="00C46EA7"/>
    <w:rsid w:val="00C46F33"/>
    <w:rsid w:val="00C4725E"/>
    <w:rsid w:val="00C47B2B"/>
    <w:rsid w:val="00C47C4A"/>
    <w:rsid w:val="00C47E13"/>
    <w:rsid w:val="00C5460D"/>
    <w:rsid w:val="00C62844"/>
    <w:rsid w:val="00C63F8C"/>
    <w:rsid w:val="00C6773B"/>
    <w:rsid w:val="00C70541"/>
    <w:rsid w:val="00C728B1"/>
    <w:rsid w:val="00C75559"/>
    <w:rsid w:val="00C756E1"/>
    <w:rsid w:val="00C75A4E"/>
    <w:rsid w:val="00C77649"/>
    <w:rsid w:val="00C77A46"/>
    <w:rsid w:val="00C81719"/>
    <w:rsid w:val="00C82114"/>
    <w:rsid w:val="00C829B5"/>
    <w:rsid w:val="00C82CE7"/>
    <w:rsid w:val="00C83EAD"/>
    <w:rsid w:val="00C84F61"/>
    <w:rsid w:val="00C85FD7"/>
    <w:rsid w:val="00C869E3"/>
    <w:rsid w:val="00C91A34"/>
    <w:rsid w:val="00C92FE5"/>
    <w:rsid w:val="00C94235"/>
    <w:rsid w:val="00C9739D"/>
    <w:rsid w:val="00CA00DF"/>
    <w:rsid w:val="00CA58E5"/>
    <w:rsid w:val="00CA5A3C"/>
    <w:rsid w:val="00CB0323"/>
    <w:rsid w:val="00CB03AE"/>
    <w:rsid w:val="00CB3583"/>
    <w:rsid w:val="00CB411A"/>
    <w:rsid w:val="00CB4393"/>
    <w:rsid w:val="00CB52C4"/>
    <w:rsid w:val="00CB58D4"/>
    <w:rsid w:val="00CB612C"/>
    <w:rsid w:val="00CC1A43"/>
    <w:rsid w:val="00CC4C28"/>
    <w:rsid w:val="00CC516E"/>
    <w:rsid w:val="00CC6037"/>
    <w:rsid w:val="00CC6081"/>
    <w:rsid w:val="00CC62E7"/>
    <w:rsid w:val="00CC6D93"/>
    <w:rsid w:val="00CD1F9B"/>
    <w:rsid w:val="00CD4EA3"/>
    <w:rsid w:val="00CD5EFC"/>
    <w:rsid w:val="00CD6AE0"/>
    <w:rsid w:val="00CE3B47"/>
    <w:rsid w:val="00CE4F37"/>
    <w:rsid w:val="00CE6BCD"/>
    <w:rsid w:val="00CF3D2B"/>
    <w:rsid w:val="00CF52E6"/>
    <w:rsid w:val="00CF5EB7"/>
    <w:rsid w:val="00CF6005"/>
    <w:rsid w:val="00CF610A"/>
    <w:rsid w:val="00CF68DE"/>
    <w:rsid w:val="00CF6961"/>
    <w:rsid w:val="00CF6F1B"/>
    <w:rsid w:val="00CF7805"/>
    <w:rsid w:val="00D01905"/>
    <w:rsid w:val="00D01CE9"/>
    <w:rsid w:val="00D0232C"/>
    <w:rsid w:val="00D04089"/>
    <w:rsid w:val="00D066EA"/>
    <w:rsid w:val="00D1007E"/>
    <w:rsid w:val="00D10C39"/>
    <w:rsid w:val="00D11E80"/>
    <w:rsid w:val="00D150F6"/>
    <w:rsid w:val="00D15EB0"/>
    <w:rsid w:val="00D17383"/>
    <w:rsid w:val="00D17E80"/>
    <w:rsid w:val="00D21A87"/>
    <w:rsid w:val="00D227B4"/>
    <w:rsid w:val="00D25D45"/>
    <w:rsid w:val="00D31704"/>
    <w:rsid w:val="00D31AE5"/>
    <w:rsid w:val="00D31F35"/>
    <w:rsid w:val="00D32420"/>
    <w:rsid w:val="00D340C6"/>
    <w:rsid w:val="00D356CF"/>
    <w:rsid w:val="00D405FF"/>
    <w:rsid w:val="00D41078"/>
    <w:rsid w:val="00D41384"/>
    <w:rsid w:val="00D41AC6"/>
    <w:rsid w:val="00D4339B"/>
    <w:rsid w:val="00D453C7"/>
    <w:rsid w:val="00D47B98"/>
    <w:rsid w:val="00D47E1F"/>
    <w:rsid w:val="00D50473"/>
    <w:rsid w:val="00D50F39"/>
    <w:rsid w:val="00D51057"/>
    <w:rsid w:val="00D51107"/>
    <w:rsid w:val="00D562FF"/>
    <w:rsid w:val="00D60E87"/>
    <w:rsid w:val="00D6169B"/>
    <w:rsid w:val="00D61DDC"/>
    <w:rsid w:val="00D640E8"/>
    <w:rsid w:val="00D64D9E"/>
    <w:rsid w:val="00D65052"/>
    <w:rsid w:val="00D655B7"/>
    <w:rsid w:val="00D661A9"/>
    <w:rsid w:val="00D706B5"/>
    <w:rsid w:val="00D7103F"/>
    <w:rsid w:val="00D744D4"/>
    <w:rsid w:val="00D74886"/>
    <w:rsid w:val="00D7588B"/>
    <w:rsid w:val="00D759FF"/>
    <w:rsid w:val="00D801FC"/>
    <w:rsid w:val="00D811E2"/>
    <w:rsid w:val="00D81602"/>
    <w:rsid w:val="00D81AF8"/>
    <w:rsid w:val="00D8431F"/>
    <w:rsid w:val="00D87688"/>
    <w:rsid w:val="00D87F8D"/>
    <w:rsid w:val="00D91646"/>
    <w:rsid w:val="00DA0E9F"/>
    <w:rsid w:val="00DA1222"/>
    <w:rsid w:val="00DA2131"/>
    <w:rsid w:val="00DA41CA"/>
    <w:rsid w:val="00DA42C2"/>
    <w:rsid w:val="00DA59F2"/>
    <w:rsid w:val="00DA5FEA"/>
    <w:rsid w:val="00DA674D"/>
    <w:rsid w:val="00DB1453"/>
    <w:rsid w:val="00DB1918"/>
    <w:rsid w:val="00DB1AEB"/>
    <w:rsid w:val="00DB1E82"/>
    <w:rsid w:val="00DB1EE8"/>
    <w:rsid w:val="00DB2217"/>
    <w:rsid w:val="00DB2B30"/>
    <w:rsid w:val="00DB3587"/>
    <w:rsid w:val="00DB504F"/>
    <w:rsid w:val="00DB53CF"/>
    <w:rsid w:val="00DB554A"/>
    <w:rsid w:val="00DB6FF0"/>
    <w:rsid w:val="00DC25E6"/>
    <w:rsid w:val="00DC3136"/>
    <w:rsid w:val="00DC41EC"/>
    <w:rsid w:val="00DC585E"/>
    <w:rsid w:val="00DD2914"/>
    <w:rsid w:val="00DD2E6A"/>
    <w:rsid w:val="00DD350B"/>
    <w:rsid w:val="00DD4F0C"/>
    <w:rsid w:val="00DE47F7"/>
    <w:rsid w:val="00DF16F6"/>
    <w:rsid w:val="00DF2AF3"/>
    <w:rsid w:val="00DF38C8"/>
    <w:rsid w:val="00DF4C38"/>
    <w:rsid w:val="00DF51E9"/>
    <w:rsid w:val="00DF5AF2"/>
    <w:rsid w:val="00DF7114"/>
    <w:rsid w:val="00DF74CD"/>
    <w:rsid w:val="00DF7813"/>
    <w:rsid w:val="00DF7C63"/>
    <w:rsid w:val="00E034C8"/>
    <w:rsid w:val="00E04576"/>
    <w:rsid w:val="00E045E3"/>
    <w:rsid w:val="00E0526F"/>
    <w:rsid w:val="00E055A8"/>
    <w:rsid w:val="00E07294"/>
    <w:rsid w:val="00E10BBE"/>
    <w:rsid w:val="00E15858"/>
    <w:rsid w:val="00E1587C"/>
    <w:rsid w:val="00E16163"/>
    <w:rsid w:val="00E177E9"/>
    <w:rsid w:val="00E20DFB"/>
    <w:rsid w:val="00E21F56"/>
    <w:rsid w:val="00E22D3A"/>
    <w:rsid w:val="00E356FC"/>
    <w:rsid w:val="00E371FF"/>
    <w:rsid w:val="00E374B7"/>
    <w:rsid w:val="00E37CCD"/>
    <w:rsid w:val="00E408A6"/>
    <w:rsid w:val="00E40A6D"/>
    <w:rsid w:val="00E40F95"/>
    <w:rsid w:val="00E41726"/>
    <w:rsid w:val="00E42D7B"/>
    <w:rsid w:val="00E43828"/>
    <w:rsid w:val="00E43D36"/>
    <w:rsid w:val="00E4459F"/>
    <w:rsid w:val="00E51D2E"/>
    <w:rsid w:val="00E53066"/>
    <w:rsid w:val="00E53D87"/>
    <w:rsid w:val="00E54E8C"/>
    <w:rsid w:val="00E55BF9"/>
    <w:rsid w:val="00E55DCE"/>
    <w:rsid w:val="00E60947"/>
    <w:rsid w:val="00E63B19"/>
    <w:rsid w:val="00E64B57"/>
    <w:rsid w:val="00E665F1"/>
    <w:rsid w:val="00E672E5"/>
    <w:rsid w:val="00E73C85"/>
    <w:rsid w:val="00E77096"/>
    <w:rsid w:val="00E773FD"/>
    <w:rsid w:val="00E82396"/>
    <w:rsid w:val="00E829CD"/>
    <w:rsid w:val="00E86E44"/>
    <w:rsid w:val="00EA0DB0"/>
    <w:rsid w:val="00EA221F"/>
    <w:rsid w:val="00EA23AB"/>
    <w:rsid w:val="00EA252E"/>
    <w:rsid w:val="00EA2F8F"/>
    <w:rsid w:val="00EA6412"/>
    <w:rsid w:val="00EA675D"/>
    <w:rsid w:val="00EB2070"/>
    <w:rsid w:val="00EB3270"/>
    <w:rsid w:val="00EB43F6"/>
    <w:rsid w:val="00EB58F5"/>
    <w:rsid w:val="00EC1049"/>
    <w:rsid w:val="00EC1451"/>
    <w:rsid w:val="00EC2148"/>
    <w:rsid w:val="00EC224A"/>
    <w:rsid w:val="00EC27F9"/>
    <w:rsid w:val="00EC29FD"/>
    <w:rsid w:val="00EC4D8C"/>
    <w:rsid w:val="00EC7FD3"/>
    <w:rsid w:val="00ED1F1C"/>
    <w:rsid w:val="00ED3CF7"/>
    <w:rsid w:val="00ED4215"/>
    <w:rsid w:val="00ED574B"/>
    <w:rsid w:val="00EE0972"/>
    <w:rsid w:val="00EE4077"/>
    <w:rsid w:val="00EE5443"/>
    <w:rsid w:val="00EE609D"/>
    <w:rsid w:val="00EE6662"/>
    <w:rsid w:val="00EE7F46"/>
    <w:rsid w:val="00EF18B1"/>
    <w:rsid w:val="00EF18F5"/>
    <w:rsid w:val="00EF3257"/>
    <w:rsid w:val="00EF346C"/>
    <w:rsid w:val="00EF6F09"/>
    <w:rsid w:val="00EF7759"/>
    <w:rsid w:val="00F00EDA"/>
    <w:rsid w:val="00F05D16"/>
    <w:rsid w:val="00F11D34"/>
    <w:rsid w:val="00F14E08"/>
    <w:rsid w:val="00F1520C"/>
    <w:rsid w:val="00F1620C"/>
    <w:rsid w:val="00F1691B"/>
    <w:rsid w:val="00F171EC"/>
    <w:rsid w:val="00F20A42"/>
    <w:rsid w:val="00F225E9"/>
    <w:rsid w:val="00F23308"/>
    <w:rsid w:val="00F27190"/>
    <w:rsid w:val="00F3030B"/>
    <w:rsid w:val="00F30F1A"/>
    <w:rsid w:val="00F31565"/>
    <w:rsid w:val="00F3248F"/>
    <w:rsid w:val="00F32B12"/>
    <w:rsid w:val="00F3471F"/>
    <w:rsid w:val="00F36649"/>
    <w:rsid w:val="00F3704D"/>
    <w:rsid w:val="00F4598A"/>
    <w:rsid w:val="00F4636D"/>
    <w:rsid w:val="00F4765E"/>
    <w:rsid w:val="00F50BBF"/>
    <w:rsid w:val="00F512CA"/>
    <w:rsid w:val="00F512CD"/>
    <w:rsid w:val="00F51615"/>
    <w:rsid w:val="00F54AC5"/>
    <w:rsid w:val="00F625DE"/>
    <w:rsid w:val="00F638E4"/>
    <w:rsid w:val="00F64682"/>
    <w:rsid w:val="00F65896"/>
    <w:rsid w:val="00F65AF2"/>
    <w:rsid w:val="00F67060"/>
    <w:rsid w:val="00F70D13"/>
    <w:rsid w:val="00F74C66"/>
    <w:rsid w:val="00F758A2"/>
    <w:rsid w:val="00F77032"/>
    <w:rsid w:val="00F87F41"/>
    <w:rsid w:val="00F902B3"/>
    <w:rsid w:val="00F925A1"/>
    <w:rsid w:val="00F93A85"/>
    <w:rsid w:val="00F952FE"/>
    <w:rsid w:val="00F95CAC"/>
    <w:rsid w:val="00FA4740"/>
    <w:rsid w:val="00FA4B10"/>
    <w:rsid w:val="00FA62DC"/>
    <w:rsid w:val="00FA64CD"/>
    <w:rsid w:val="00FA6829"/>
    <w:rsid w:val="00FA77F4"/>
    <w:rsid w:val="00FA7A04"/>
    <w:rsid w:val="00FB1293"/>
    <w:rsid w:val="00FB13C4"/>
    <w:rsid w:val="00FB275C"/>
    <w:rsid w:val="00FB62BB"/>
    <w:rsid w:val="00FB649B"/>
    <w:rsid w:val="00FB6C85"/>
    <w:rsid w:val="00FC4AA3"/>
    <w:rsid w:val="00FC4C9D"/>
    <w:rsid w:val="00FC55D0"/>
    <w:rsid w:val="00FC7A05"/>
    <w:rsid w:val="00FC7D91"/>
    <w:rsid w:val="00FD01EA"/>
    <w:rsid w:val="00FD3E51"/>
    <w:rsid w:val="00FD5100"/>
    <w:rsid w:val="00FD6750"/>
    <w:rsid w:val="00FD6F02"/>
    <w:rsid w:val="00FE12DC"/>
    <w:rsid w:val="00FE16BA"/>
    <w:rsid w:val="00FE22B6"/>
    <w:rsid w:val="00FE2832"/>
    <w:rsid w:val="00FE2F8B"/>
    <w:rsid w:val="00FE460E"/>
    <w:rsid w:val="00FF02B3"/>
    <w:rsid w:val="00FF0A6D"/>
    <w:rsid w:val="00FF17A8"/>
    <w:rsid w:val="00FF221D"/>
    <w:rsid w:val="00FF2C11"/>
    <w:rsid w:val="00FF4987"/>
    <w:rsid w:val="00FF63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5B5634"/>
  <w15:docId w15:val="{3E4F50CD-0CD6-469F-82C3-33B81225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8CC"/>
  </w:style>
  <w:style w:type="paragraph" w:styleId="Heading1">
    <w:name w:val="heading 1"/>
    <w:basedOn w:val="Normal"/>
    <w:next w:val="Normal"/>
    <w:link w:val="Heading1Char"/>
    <w:uiPriority w:val="9"/>
    <w:qFormat/>
    <w:rsid w:val="003F78CC"/>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F78CC"/>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3F78CC"/>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F78CC"/>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F78CC"/>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F78CC"/>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F78C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78C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F78C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3F78C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F78CC"/>
    <w:rPr>
      <w:color w:val="000000" w:themeColor="text1"/>
      <w:shd w:val="clear" w:color="auto" w:fill="F2F2F2" w:themeFill="background1" w:themeFillShade="F2"/>
    </w:rPr>
  </w:style>
  <w:style w:type="character" w:customStyle="1" w:styleId="Heading1Char">
    <w:name w:val="Heading 1 Char"/>
    <w:basedOn w:val="DefaultParagraphFont"/>
    <w:link w:val="Heading1"/>
    <w:uiPriority w:val="9"/>
    <w:rsid w:val="003F78C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3F78C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F78C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F78C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F78C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F78C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F7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7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78C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F78C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3F78C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F78C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F78C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F78CC"/>
    <w:rPr>
      <w:color w:val="5A5A5A" w:themeColor="text1" w:themeTint="A5"/>
      <w:spacing w:val="10"/>
    </w:rPr>
  </w:style>
  <w:style w:type="character" w:styleId="Strong">
    <w:name w:val="Strong"/>
    <w:basedOn w:val="DefaultParagraphFont"/>
    <w:uiPriority w:val="22"/>
    <w:qFormat/>
    <w:rsid w:val="003F78CC"/>
    <w:rPr>
      <w:b/>
      <w:bCs/>
      <w:color w:val="000000" w:themeColor="text1"/>
    </w:rPr>
  </w:style>
  <w:style w:type="character" w:styleId="Emphasis">
    <w:name w:val="Emphasis"/>
    <w:basedOn w:val="DefaultParagraphFont"/>
    <w:uiPriority w:val="20"/>
    <w:qFormat/>
    <w:rsid w:val="003F78CC"/>
    <w:rPr>
      <w:i/>
      <w:iCs/>
      <w:color w:val="auto"/>
    </w:rPr>
  </w:style>
  <w:style w:type="paragraph" w:styleId="NoSpacing">
    <w:name w:val="No Spacing"/>
    <w:aliases w:val="Normal1,No Spacing1,Parastais"/>
    <w:link w:val="NoSpacingChar"/>
    <w:uiPriority w:val="1"/>
    <w:qFormat/>
    <w:rsid w:val="003F78CC"/>
    <w:pPr>
      <w:spacing w:after="0" w:line="240" w:lineRule="auto"/>
    </w:pPr>
  </w:style>
  <w:style w:type="paragraph" w:styleId="Quote">
    <w:name w:val="Quote"/>
    <w:basedOn w:val="Normal"/>
    <w:next w:val="Normal"/>
    <w:link w:val="QuoteChar"/>
    <w:uiPriority w:val="29"/>
    <w:qFormat/>
    <w:rsid w:val="003F78CC"/>
    <w:pPr>
      <w:spacing w:before="160"/>
      <w:ind w:left="720" w:right="720"/>
    </w:pPr>
    <w:rPr>
      <w:i/>
      <w:iCs/>
      <w:color w:val="000000" w:themeColor="text1"/>
    </w:rPr>
  </w:style>
  <w:style w:type="character" w:customStyle="1" w:styleId="QuoteChar">
    <w:name w:val="Quote Char"/>
    <w:basedOn w:val="DefaultParagraphFont"/>
    <w:link w:val="Quote"/>
    <w:uiPriority w:val="29"/>
    <w:rsid w:val="003F78CC"/>
    <w:rPr>
      <w:i/>
      <w:iCs/>
      <w:color w:val="000000" w:themeColor="text1"/>
    </w:rPr>
  </w:style>
  <w:style w:type="character" w:styleId="SubtleEmphasis">
    <w:name w:val="Subtle Emphasis"/>
    <w:basedOn w:val="DefaultParagraphFont"/>
    <w:uiPriority w:val="19"/>
    <w:qFormat/>
    <w:rsid w:val="003F78CC"/>
    <w:rPr>
      <w:i/>
      <w:iCs/>
      <w:color w:val="404040" w:themeColor="text1" w:themeTint="BF"/>
    </w:rPr>
  </w:style>
  <w:style w:type="character" w:styleId="IntenseEmphasis">
    <w:name w:val="Intense Emphasis"/>
    <w:basedOn w:val="DefaultParagraphFont"/>
    <w:uiPriority w:val="21"/>
    <w:qFormat/>
    <w:rsid w:val="003F78CC"/>
    <w:rPr>
      <w:b/>
      <w:bCs/>
      <w:i/>
      <w:iCs/>
      <w:caps/>
    </w:rPr>
  </w:style>
  <w:style w:type="character" w:styleId="SubtleReference">
    <w:name w:val="Subtle Reference"/>
    <w:basedOn w:val="DefaultParagraphFont"/>
    <w:uiPriority w:val="31"/>
    <w:qFormat/>
    <w:rsid w:val="003F78C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F78CC"/>
    <w:rPr>
      <w:b/>
      <w:bCs/>
      <w:smallCaps/>
      <w:u w:val="single"/>
    </w:rPr>
  </w:style>
  <w:style w:type="character" w:styleId="BookTitle">
    <w:name w:val="Book Title"/>
    <w:basedOn w:val="DefaultParagraphFont"/>
    <w:uiPriority w:val="33"/>
    <w:qFormat/>
    <w:rsid w:val="003F78CC"/>
    <w:rPr>
      <w:b w:val="0"/>
      <w:bCs w:val="0"/>
      <w:smallCaps/>
      <w:spacing w:val="5"/>
    </w:rPr>
  </w:style>
  <w:style w:type="paragraph" w:styleId="TOCHeading">
    <w:name w:val="TOC Heading"/>
    <w:basedOn w:val="Heading1"/>
    <w:next w:val="Normal"/>
    <w:uiPriority w:val="39"/>
    <w:unhideWhenUsed/>
    <w:qFormat/>
    <w:rsid w:val="003F78CC"/>
    <w:pPr>
      <w:outlineLvl w:val="9"/>
    </w:pPr>
  </w:style>
  <w:style w:type="character" w:customStyle="1" w:styleId="NoSpacingChar">
    <w:name w:val="No Spacing Char"/>
    <w:aliases w:val="Normal1 Char,No Spacing1 Char,Parastais Char"/>
    <w:basedOn w:val="DefaultParagraphFont"/>
    <w:link w:val="NoSpacing"/>
    <w:uiPriority w:val="1"/>
    <w:rsid w:val="00044011"/>
  </w:style>
  <w:style w:type="paragraph" w:styleId="Header">
    <w:name w:val="header"/>
    <w:basedOn w:val="Normal"/>
    <w:link w:val="HeaderChar"/>
    <w:uiPriority w:val="99"/>
    <w:unhideWhenUsed/>
    <w:rsid w:val="006237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3757"/>
  </w:style>
  <w:style w:type="paragraph" w:styleId="Footer">
    <w:name w:val="footer"/>
    <w:basedOn w:val="Normal"/>
    <w:link w:val="FooterChar"/>
    <w:uiPriority w:val="99"/>
    <w:unhideWhenUsed/>
    <w:rsid w:val="006237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3757"/>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A156DB"/>
    <w:pPr>
      <w:ind w:left="720"/>
      <w:contextualSpacing/>
    </w:pPr>
  </w:style>
  <w:style w:type="paragraph" w:customStyle="1" w:styleId="PIRMAIS">
    <w:name w:val="PIRMAIS"/>
    <w:basedOn w:val="Normal"/>
    <w:link w:val="PIRMAISChar"/>
    <w:qFormat/>
    <w:rsid w:val="003F78CC"/>
    <w:pPr>
      <w:keepNext/>
      <w:keepLines/>
      <w:pageBreakBefore/>
      <w:pBdr>
        <w:bottom w:val="thickThinLargeGap" w:sz="24" w:space="1" w:color="17365D"/>
      </w:pBdr>
      <w:tabs>
        <w:tab w:val="left" w:pos="567"/>
      </w:tabs>
      <w:spacing w:after="120" w:line="240" w:lineRule="auto"/>
      <w:ind w:left="567" w:hanging="567"/>
      <w:outlineLvl w:val="0"/>
    </w:pPr>
    <w:rPr>
      <w:rFonts w:ascii="Times New Roman" w:eastAsia="Times New Roman" w:hAnsi="Times New Roman" w:cs="Times New Roman"/>
      <w:b/>
      <w:sz w:val="36"/>
      <w:szCs w:val="20"/>
    </w:rPr>
  </w:style>
  <w:style w:type="character" w:customStyle="1" w:styleId="PIRMAISChar">
    <w:name w:val="PIRMAIS Char"/>
    <w:basedOn w:val="DefaultParagraphFont"/>
    <w:link w:val="PIRMAIS"/>
    <w:rsid w:val="003F78CC"/>
    <w:rPr>
      <w:rFonts w:ascii="Times New Roman" w:eastAsia="Times New Roman" w:hAnsi="Times New Roman" w:cs="Times New Roman"/>
      <w:b/>
      <w:sz w:val="36"/>
      <w:szCs w:val="20"/>
    </w:rPr>
  </w:style>
  <w:style w:type="character" w:styleId="PageNumber">
    <w:name w:val="page number"/>
    <w:basedOn w:val="DefaultParagraphFont"/>
    <w:rsid w:val="00F51615"/>
  </w:style>
  <w:style w:type="character" w:customStyle="1" w:styleId="HeaderChar1">
    <w:name w:val="Header Char1"/>
    <w:uiPriority w:val="99"/>
    <w:semiHidden/>
    <w:rsid w:val="00F51615"/>
    <w:rPr>
      <w:rFonts w:eastAsia="Times New Roman" w:cs="Times New Roman"/>
      <w:sz w:val="24"/>
      <w:szCs w:val="20"/>
    </w:rPr>
  </w:style>
  <w:style w:type="paragraph" w:customStyle="1" w:styleId="H1">
    <w:name w:val="H1"/>
    <w:link w:val="H1Char"/>
    <w:rsid w:val="00F51615"/>
    <w:pPr>
      <w:keepNext/>
      <w:keepLines/>
      <w:pageBreakBefore/>
      <w:pBdr>
        <w:bottom w:val="thickThinLargeGap" w:sz="24" w:space="1" w:color="17365D"/>
      </w:pBdr>
      <w:tabs>
        <w:tab w:val="left" w:pos="1134"/>
      </w:tabs>
      <w:spacing w:after="120" w:line="240" w:lineRule="auto"/>
      <w:ind w:left="1134" w:hanging="567"/>
      <w:outlineLvl w:val="0"/>
    </w:pPr>
    <w:rPr>
      <w:rFonts w:ascii="Times New Roman" w:eastAsia="Times New Roman" w:hAnsi="Times New Roman" w:cs="Times New Roman"/>
      <w:b/>
      <w:sz w:val="36"/>
      <w:szCs w:val="20"/>
    </w:rPr>
  </w:style>
  <w:style w:type="character" w:customStyle="1" w:styleId="H1Char">
    <w:name w:val="H1 Char"/>
    <w:link w:val="H1"/>
    <w:rsid w:val="00F51615"/>
    <w:rPr>
      <w:rFonts w:ascii="Times New Roman" w:eastAsia="Times New Roman" w:hAnsi="Times New Roman" w:cs="Times New Roman"/>
      <w:b/>
      <w:sz w:val="36"/>
      <w:szCs w:val="20"/>
    </w:rPr>
  </w:style>
  <w:style w:type="character" w:styleId="CommentReference">
    <w:name w:val="annotation reference"/>
    <w:uiPriority w:val="99"/>
    <w:unhideWhenUsed/>
    <w:rsid w:val="00F51615"/>
    <w:rPr>
      <w:sz w:val="16"/>
      <w:szCs w:val="16"/>
    </w:rPr>
  </w:style>
  <w:style w:type="paragraph" w:styleId="CommentText">
    <w:name w:val="annotation text"/>
    <w:basedOn w:val="Normal"/>
    <w:link w:val="CommentTextChar"/>
    <w:uiPriority w:val="99"/>
    <w:unhideWhenUsed/>
    <w:rsid w:val="00F51615"/>
    <w:pPr>
      <w:spacing w:after="120" w:line="240" w:lineRule="auto"/>
      <w:ind w:firstLine="567"/>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5161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51615"/>
    <w:pPr>
      <w:spacing w:after="0" w:line="240" w:lineRule="auto"/>
      <w:ind w:firstLine="567"/>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F51615"/>
    <w:rPr>
      <w:rFonts w:ascii="Tahoma" w:eastAsia="Times New Roman" w:hAnsi="Tahoma" w:cs="Times New Roman"/>
      <w:sz w:val="16"/>
      <w:szCs w:val="16"/>
    </w:rPr>
  </w:style>
  <w:style w:type="paragraph" w:customStyle="1" w:styleId="H2">
    <w:name w:val="H2"/>
    <w:link w:val="H2Char"/>
    <w:uiPriority w:val="99"/>
    <w:rsid w:val="00F51615"/>
    <w:pPr>
      <w:keepNext/>
      <w:tabs>
        <w:tab w:val="left" w:pos="1134"/>
      </w:tabs>
      <w:spacing w:before="480" w:after="240" w:line="240" w:lineRule="auto"/>
      <w:ind w:left="1134" w:hanging="567"/>
      <w:outlineLvl w:val="1"/>
    </w:pPr>
    <w:rPr>
      <w:rFonts w:ascii="Calibri" w:eastAsia="Times New Roman" w:hAnsi="Calibri" w:cs="Times New Roman"/>
      <w:b/>
      <w:sz w:val="32"/>
      <w:szCs w:val="20"/>
    </w:rPr>
  </w:style>
  <w:style w:type="character" w:customStyle="1" w:styleId="H2Char">
    <w:name w:val="H2 Char"/>
    <w:link w:val="H2"/>
    <w:uiPriority w:val="99"/>
    <w:rsid w:val="00F51615"/>
    <w:rPr>
      <w:rFonts w:ascii="Calibri" w:eastAsia="Times New Roman" w:hAnsi="Calibri" w:cs="Times New Roman"/>
      <w:b/>
      <w:sz w:val="32"/>
      <w:szCs w:val="20"/>
    </w:rPr>
  </w:style>
  <w:style w:type="paragraph" w:customStyle="1" w:styleId="H4">
    <w:name w:val="H4"/>
    <w:uiPriority w:val="99"/>
    <w:rsid w:val="00F51615"/>
    <w:pPr>
      <w:spacing w:before="120" w:after="120" w:line="240" w:lineRule="auto"/>
      <w:ind w:left="567"/>
      <w:outlineLvl w:val="3"/>
    </w:pPr>
    <w:rPr>
      <w:rFonts w:ascii="Calibri" w:eastAsia="Times New Roman" w:hAnsi="Calibri" w:cs="Times New Roman"/>
      <w:b/>
      <w:sz w:val="28"/>
      <w:szCs w:val="20"/>
    </w:rPr>
  </w:style>
  <w:style w:type="paragraph" w:customStyle="1" w:styleId="H3">
    <w:name w:val="H3"/>
    <w:link w:val="H3Char"/>
    <w:rsid w:val="00F51615"/>
    <w:pPr>
      <w:keepNext/>
      <w:spacing w:before="480" w:after="120" w:line="240" w:lineRule="auto"/>
      <w:ind w:left="1701" w:hanging="1134"/>
      <w:outlineLvl w:val="2"/>
    </w:pPr>
    <w:rPr>
      <w:rFonts w:ascii="Calibri" w:eastAsia="Times New Roman" w:hAnsi="Calibri" w:cs="Times New Roman"/>
      <w:b/>
      <w:sz w:val="28"/>
      <w:szCs w:val="20"/>
    </w:rPr>
  </w:style>
  <w:style w:type="character" w:customStyle="1" w:styleId="H3Char">
    <w:name w:val="H3 Char"/>
    <w:link w:val="H3"/>
    <w:rsid w:val="00F51615"/>
    <w:rPr>
      <w:rFonts w:ascii="Calibri" w:eastAsia="Times New Roman" w:hAnsi="Calibri" w:cs="Times New Roman"/>
      <w:b/>
      <w:sz w:val="28"/>
      <w:szCs w:val="20"/>
    </w:rPr>
  </w:style>
  <w:style w:type="paragraph" w:customStyle="1" w:styleId="T">
    <w:name w:val="T"/>
    <w:basedOn w:val="Normal"/>
    <w:rsid w:val="00F51615"/>
    <w:pPr>
      <w:keepNext/>
      <w:spacing w:after="120" w:line="240" w:lineRule="auto"/>
      <w:ind w:left="567"/>
    </w:pPr>
    <w:rPr>
      <w:rFonts w:ascii="Calibri" w:eastAsia="Times New Roman" w:hAnsi="Calibri" w:cs="Times New Roman"/>
      <w:b/>
      <w:sz w:val="24"/>
      <w:szCs w:val="20"/>
    </w:rPr>
  </w:style>
  <w:style w:type="paragraph" w:customStyle="1" w:styleId="Z">
    <w:name w:val="Z"/>
    <w:basedOn w:val="T"/>
    <w:uiPriority w:val="99"/>
    <w:qFormat/>
    <w:rsid w:val="00F51615"/>
    <w:pPr>
      <w:ind w:right="1701"/>
    </w:pPr>
    <w:rPr>
      <w:b w:val="0"/>
      <w:sz w:val="20"/>
    </w:rPr>
  </w:style>
  <w:style w:type="paragraph" w:customStyle="1" w:styleId="tabteksts">
    <w:name w:val="tab_teksts"/>
    <w:basedOn w:val="Normal"/>
    <w:uiPriority w:val="99"/>
    <w:rsid w:val="00F51615"/>
    <w:pPr>
      <w:spacing w:after="0" w:line="240" w:lineRule="auto"/>
    </w:pPr>
    <w:rPr>
      <w:rFonts w:ascii="Times New Roman" w:eastAsia="Times New Roman" w:hAnsi="Times New Roman" w:cs="Times New Roman"/>
      <w:sz w:val="20"/>
      <w:szCs w:val="20"/>
    </w:rPr>
  </w:style>
  <w:style w:type="paragraph" w:styleId="FootnoteText">
    <w:name w:val="footnote text"/>
    <w:aliases w:val="Footnote,Fußnote,Fußnote Char Char Char,single space,ft Rakstz. Rakstz.,ft Rakstz.,ft,-E Fußnotentext,Fußnotentext Ursprung,Vēres teksts Char Char Char Char Char,Char Char Char Char Char Char Char Char Char Char Char Char,footnote tex"/>
    <w:basedOn w:val="Normal"/>
    <w:link w:val="FootnoteTextChar"/>
    <w:qFormat/>
    <w:rsid w:val="00F51615"/>
    <w:pPr>
      <w:keepLines/>
      <w:widowControl w:val="0"/>
      <w:spacing w:after="0" w:line="240" w:lineRule="auto"/>
      <w:ind w:left="340" w:hanging="340"/>
    </w:pPr>
    <w:rPr>
      <w:rFonts w:ascii="Times New Roman" w:eastAsia="Times New Roman" w:hAnsi="Times New Roman" w:cs="Times New Roman"/>
      <w:snapToGrid w:val="0"/>
      <w:color w:val="000000"/>
      <w:sz w:val="20"/>
      <w:szCs w:val="20"/>
    </w:rPr>
  </w:style>
  <w:style w:type="character" w:customStyle="1" w:styleId="FootnoteTextChar">
    <w:name w:val="Footnote Text Char"/>
    <w:aliases w:val="Footnote Char,Fußnote Char,Fußnote Char Char Char Char,single space Char,ft Rakstz. Rakstz. Char,ft Rakstz. Char,ft Char,-E Fußnotentext Char,Fußnotentext Ursprung Char,Vēres teksts Char Char Char Char Char Char,footnote tex Char"/>
    <w:basedOn w:val="DefaultParagraphFont"/>
    <w:link w:val="FootnoteText"/>
    <w:rsid w:val="00F51615"/>
    <w:rPr>
      <w:rFonts w:ascii="Times New Roman" w:eastAsia="Times New Roman" w:hAnsi="Times New Roman" w:cs="Times New Roman"/>
      <w:snapToGrid w:val="0"/>
      <w:color w:val="000000"/>
      <w:sz w:val="20"/>
      <w:szCs w:val="20"/>
    </w:rPr>
  </w:style>
  <w:style w:type="character" w:styleId="FootnoteReference">
    <w:name w:val="footnote reference"/>
    <w:aliases w:val="Footnote Reference Number,Footnote symbol,Footnote Reference Superscript,ftref,Footnote Refernece,Odwołanie przypisu,BVI fnr,Footnotes refss,SUPERS,Ref,de nota al pie,-E Fußnotenzeichen,Footnote reference number,Times 10 Point,E,E FNZ"/>
    <w:link w:val="Char2"/>
    <w:qFormat/>
    <w:rsid w:val="00F51615"/>
    <w:rPr>
      <w:rFonts w:ascii="Garamond" w:hAnsi="Garamond"/>
      <w:sz w:val="20"/>
      <w:vertAlign w:val="superscript"/>
    </w:rPr>
  </w:style>
  <w:style w:type="paragraph" w:customStyle="1" w:styleId="Zpar">
    <w:name w:val="Z_par"/>
    <w:basedOn w:val="Z"/>
    <w:rsid w:val="00F51615"/>
    <w:pPr>
      <w:spacing w:after="480"/>
      <w:ind w:left="1418" w:hanging="851"/>
    </w:pPr>
    <w:rPr>
      <w:i/>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uiPriority w:val="34"/>
    <w:qFormat/>
    <w:locked/>
    <w:rsid w:val="00F51615"/>
  </w:style>
  <w:style w:type="paragraph" w:styleId="BodyTextIndent2">
    <w:name w:val="Body Text Indent 2"/>
    <w:basedOn w:val="Normal"/>
    <w:link w:val="BodyTextIndent2Char"/>
    <w:semiHidden/>
    <w:rsid w:val="00F51615"/>
    <w:pPr>
      <w:spacing w:before="120" w:after="120" w:line="240" w:lineRule="auto"/>
      <w:ind w:firstLine="706"/>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F51615"/>
    <w:rPr>
      <w:rFonts w:ascii="Times New Roman" w:eastAsia="Times New Roman" w:hAnsi="Times New Roman" w:cs="Times New Roman"/>
      <w:sz w:val="24"/>
      <w:szCs w:val="20"/>
    </w:rPr>
  </w:style>
  <w:style w:type="paragraph" w:customStyle="1" w:styleId="Default">
    <w:name w:val="Default"/>
    <w:rsid w:val="00F51615"/>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nhideWhenUsed/>
    <w:rsid w:val="00F51615"/>
    <w:pPr>
      <w:spacing w:after="120" w:line="240" w:lineRule="auto"/>
      <w:ind w:left="283" w:firstLine="567"/>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51615"/>
    <w:rPr>
      <w:rFonts w:ascii="Times New Roman" w:eastAsia="Times New Roman" w:hAnsi="Times New Roman" w:cs="Times New Roman"/>
      <w:sz w:val="24"/>
      <w:szCs w:val="20"/>
    </w:rPr>
  </w:style>
  <w:style w:type="paragraph" w:customStyle="1" w:styleId="ridk">
    <w:name w:val="ridk"/>
    <w:basedOn w:val="Normal"/>
    <w:rsid w:val="00F51615"/>
    <w:pPr>
      <w:spacing w:before="100" w:beforeAutospacing="1" w:after="100" w:afterAutospacing="1" w:line="240" w:lineRule="auto"/>
    </w:pPr>
    <w:rPr>
      <w:rFonts w:ascii="Arial Unicode MS" w:eastAsia="Arial Unicode MS" w:hAnsi="Arial Unicode MS" w:cs="Arial Unicode MS"/>
      <w:sz w:val="24"/>
      <w:szCs w:val="24"/>
      <w:lang w:val="en-US"/>
    </w:rPr>
  </w:style>
  <w:style w:type="table" w:styleId="TableGrid">
    <w:name w:val="Table Grid"/>
    <w:basedOn w:val="TableNormal"/>
    <w:uiPriority w:val="39"/>
    <w:rsid w:val="00F51615"/>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
    <w:name w:val="Virsraksts1"/>
    <w:basedOn w:val="Heading1"/>
    <w:rsid w:val="00F51615"/>
    <w:pPr>
      <w:keepLines w:val="0"/>
      <w:numPr>
        <w:numId w:val="0"/>
      </w:numPr>
      <w:pBdr>
        <w:bottom w:val="none" w:sz="0" w:space="0" w:color="auto"/>
      </w:pBdr>
      <w:spacing w:before="240" w:after="60" w:line="240" w:lineRule="auto"/>
      <w:ind w:firstLine="709"/>
      <w:jc w:val="both"/>
    </w:pPr>
    <w:rPr>
      <w:rFonts w:ascii="Times New Roman" w:eastAsia="Calibri" w:hAnsi="Times New Roman" w:cs="Times New Roman"/>
      <w:smallCaps w:val="0"/>
      <w:color w:val="auto"/>
      <w:kern w:val="32"/>
      <w:sz w:val="40"/>
      <w:szCs w:val="40"/>
    </w:rPr>
  </w:style>
  <w:style w:type="character" w:customStyle="1" w:styleId="spelle">
    <w:name w:val="spelle"/>
    <w:basedOn w:val="DefaultParagraphFont"/>
    <w:rsid w:val="00F51615"/>
  </w:style>
  <w:style w:type="paragraph" w:customStyle="1" w:styleId="ParagraphNumbering">
    <w:name w:val="Paragraph Numbering"/>
    <w:basedOn w:val="Normal"/>
    <w:uiPriority w:val="1"/>
    <w:qFormat/>
    <w:rsid w:val="00F51615"/>
    <w:pPr>
      <w:numPr>
        <w:numId w:val="3"/>
      </w:numPr>
      <w:spacing w:after="240" w:line="264" w:lineRule="auto"/>
    </w:pPr>
    <w:rPr>
      <w:rFonts w:ascii="Times New Roman" w:eastAsia="Calibri"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F51615"/>
    <w:rPr>
      <w:b/>
      <w:bCs/>
    </w:rPr>
  </w:style>
  <w:style w:type="character" w:customStyle="1" w:styleId="CommentSubjectChar">
    <w:name w:val="Comment Subject Char"/>
    <w:basedOn w:val="CommentTextChar"/>
    <w:link w:val="CommentSubject"/>
    <w:uiPriority w:val="99"/>
    <w:semiHidden/>
    <w:rsid w:val="00F51615"/>
    <w:rPr>
      <w:rFonts w:ascii="Times New Roman" w:eastAsia="Times New Roman" w:hAnsi="Times New Roman" w:cs="Times New Roman"/>
      <w:b/>
      <w:bCs/>
      <w:sz w:val="20"/>
      <w:szCs w:val="20"/>
    </w:rPr>
  </w:style>
  <w:style w:type="paragraph" w:customStyle="1" w:styleId="otrais">
    <w:name w:val="otrais"/>
    <w:basedOn w:val="H2"/>
    <w:link w:val="otraisChar"/>
    <w:qFormat/>
    <w:rsid w:val="00F51615"/>
    <w:pPr>
      <w:tabs>
        <w:tab w:val="clear" w:pos="1134"/>
        <w:tab w:val="left" w:pos="567"/>
      </w:tabs>
      <w:ind w:left="567"/>
    </w:pPr>
    <w:rPr>
      <w:rFonts w:ascii="Times New Roman" w:hAnsi="Times New Roman"/>
    </w:rPr>
  </w:style>
  <w:style w:type="character" w:customStyle="1" w:styleId="otraisChar">
    <w:name w:val="otrais Char"/>
    <w:basedOn w:val="H2Char"/>
    <w:link w:val="otrais"/>
    <w:rsid w:val="00F51615"/>
    <w:rPr>
      <w:rFonts w:ascii="Times New Roman" w:eastAsia="Times New Roman" w:hAnsi="Times New Roman" w:cs="Times New Roman"/>
      <w:b/>
      <w:sz w:val="32"/>
      <w:szCs w:val="20"/>
    </w:rPr>
  </w:style>
  <w:style w:type="paragraph" w:customStyle="1" w:styleId="tresais">
    <w:name w:val="tresais"/>
    <w:basedOn w:val="H3"/>
    <w:link w:val="tresaisChar"/>
    <w:qFormat/>
    <w:rsid w:val="00F51615"/>
    <w:pPr>
      <w:ind w:left="0" w:firstLine="0"/>
    </w:pPr>
    <w:rPr>
      <w:rFonts w:ascii="Times New Roman" w:hAnsi="Times New Roman"/>
    </w:rPr>
  </w:style>
  <w:style w:type="character" w:customStyle="1" w:styleId="tresaisChar">
    <w:name w:val="tresais Char"/>
    <w:basedOn w:val="H3Char"/>
    <w:link w:val="tresais"/>
    <w:rsid w:val="00F51615"/>
    <w:rPr>
      <w:rFonts w:ascii="Times New Roman" w:eastAsia="Times New Roman" w:hAnsi="Times New Roman" w:cs="Times New Roman"/>
      <w:b/>
      <w:sz w:val="28"/>
      <w:szCs w:val="20"/>
    </w:rPr>
  </w:style>
  <w:style w:type="paragraph" w:styleId="TOC1">
    <w:name w:val="toc 1"/>
    <w:basedOn w:val="Normal"/>
    <w:next w:val="Normal"/>
    <w:autoRedefine/>
    <w:uiPriority w:val="39"/>
    <w:unhideWhenUsed/>
    <w:rsid w:val="00AE4A09"/>
    <w:pPr>
      <w:tabs>
        <w:tab w:val="left" w:pos="284"/>
        <w:tab w:val="right" w:leader="dot" w:pos="9072"/>
      </w:tabs>
      <w:spacing w:after="0" w:line="240" w:lineRule="auto"/>
      <w:ind w:left="284" w:hanging="284"/>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F51615"/>
    <w:pPr>
      <w:tabs>
        <w:tab w:val="right" w:leader="dot" w:pos="9072"/>
      </w:tabs>
      <w:spacing w:after="0" w:line="240" w:lineRule="auto"/>
      <w:ind w:left="238" w:firstLine="46"/>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7F2B15"/>
    <w:pPr>
      <w:tabs>
        <w:tab w:val="left" w:pos="1418"/>
        <w:tab w:val="right" w:leader="dot" w:pos="9061"/>
      </w:tabs>
      <w:spacing w:after="0" w:line="240" w:lineRule="auto"/>
      <w:ind w:left="482" w:firstLine="227"/>
      <w:jc w:val="both"/>
    </w:pPr>
    <w:rPr>
      <w:rFonts w:ascii="Times New Roman" w:eastAsia="Times New Roman" w:hAnsi="Times New Roman" w:cs="Times New Roman"/>
      <w:sz w:val="24"/>
      <w:szCs w:val="20"/>
    </w:rPr>
  </w:style>
  <w:style w:type="character" w:styleId="Hyperlink">
    <w:name w:val="Hyperlink"/>
    <w:uiPriority w:val="99"/>
    <w:unhideWhenUsed/>
    <w:rsid w:val="00F51615"/>
    <w:rPr>
      <w:color w:val="0000FF"/>
      <w:u w:val="single"/>
    </w:rPr>
  </w:style>
  <w:style w:type="paragraph" w:customStyle="1" w:styleId="naisf">
    <w:name w:val="naisf"/>
    <w:basedOn w:val="Normal"/>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ksts">
    <w:name w:val="teksts"/>
    <w:rsid w:val="00F51615"/>
    <w:pPr>
      <w:spacing w:after="120" w:line="240" w:lineRule="auto"/>
      <w:jc w:val="both"/>
    </w:pPr>
    <w:rPr>
      <w:rFonts w:ascii="Garamond" w:eastAsia="Times New Roman" w:hAnsi="Garamond" w:cs="Times New Roman"/>
      <w:sz w:val="24"/>
      <w:szCs w:val="20"/>
    </w:rPr>
  </w:style>
  <w:style w:type="paragraph" w:customStyle="1" w:styleId="EE-paragr">
    <w:name w:val="EE-paragr"/>
    <w:basedOn w:val="Normal"/>
    <w:autoRedefine/>
    <w:uiPriority w:val="99"/>
    <w:rsid w:val="00F51615"/>
    <w:pPr>
      <w:spacing w:before="120" w:after="120" w:line="240" w:lineRule="auto"/>
      <w:jc w:val="both"/>
    </w:pPr>
    <w:rPr>
      <w:rFonts w:ascii="Times New Roman" w:eastAsia="Times New Roman" w:hAnsi="Times New Roman" w:cs="Times New Roman"/>
      <w:iCs/>
      <w:sz w:val="24"/>
      <w:szCs w:val="24"/>
      <w:lang w:eastAsia="lv-LV" w:bidi="lo-LA"/>
    </w:rPr>
  </w:style>
  <w:style w:type="paragraph" w:customStyle="1" w:styleId="tabtekst">
    <w:name w:val="tab_tekst"/>
    <w:basedOn w:val="Normal"/>
    <w:rsid w:val="00F51615"/>
    <w:pPr>
      <w:spacing w:after="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unhideWhenUsed/>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1pt">
    <w:name w:val="Normal + 11 pt"/>
    <w:aliases w:val="Bold,Justified,Line spacing:  1.5 lines"/>
    <w:basedOn w:val="Normal"/>
    <w:rsid w:val="00F51615"/>
    <w:pPr>
      <w:widowControl w:val="0"/>
      <w:adjustRightInd w:val="0"/>
      <w:spacing w:after="0" w:line="360" w:lineRule="auto"/>
      <w:jc w:val="both"/>
      <w:textAlignment w:val="baseline"/>
    </w:pPr>
    <w:rPr>
      <w:rFonts w:ascii="Times New Roman" w:eastAsia="Times New Roman" w:hAnsi="Times New Roman" w:cs="Times New Roman"/>
      <w:b/>
      <w:lang w:val="en-GB" w:eastAsia="lv-LV"/>
    </w:rPr>
  </w:style>
  <w:style w:type="paragraph" w:styleId="BodyText">
    <w:name w:val="Body Text"/>
    <w:basedOn w:val="Normal"/>
    <w:link w:val="BodyTextChar"/>
    <w:uiPriority w:val="99"/>
    <w:semiHidden/>
    <w:unhideWhenUsed/>
    <w:rsid w:val="00F51615"/>
    <w:pPr>
      <w:spacing w:after="120" w:line="240" w:lineRule="auto"/>
      <w:ind w:firstLine="567"/>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F51615"/>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F51615"/>
    <w:pPr>
      <w:spacing w:after="120" w:line="240" w:lineRule="auto"/>
      <w:ind w:firstLine="567"/>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F51615"/>
    <w:rPr>
      <w:rFonts w:ascii="Times New Roman" w:eastAsia="Times New Roman" w:hAnsi="Times New Roman" w:cs="Times New Roman"/>
      <w:sz w:val="16"/>
      <w:szCs w:val="16"/>
    </w:rPr>
  </w:style>
  <w:style w:type="paragraph" w:styleId="TOC8">
    <w:name w:val="toc 8"/>
    <w:basedOn w:val="Normal"/>
    <w:next w:val="Normal"/>
    <w:autoRedefine/>
    <w:uiPriority w:val="39"/>
    <w:semiHidden/>
    <w:unhideWhenUsed/>
    <w:rsid w:val="00F51615"/>
    <w:pPr>
      <w:spacing w:after="120" w:line="240" w:lineRule="auto"/>
      <w:ind w:left="1680" w:firstLine="567"/>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F5161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51615"/>
    <w:rPr>
      <w:rFonts w:ascii="Consolas" w:eastAsia="Calibri" w:hAnsi="Consolas" w:cs="Times New Roman"/>
      <w:sz w:val="21"/>
      <w:szCs w:val="21"/>
    </w:rPr>
  </w:style>
  <w:style w:type="paragraph" w:customStyle="1" w:styleId="Text1">
    <w:name w:val="Text 1"/>
    <w:basedOn w:val="Normal"/>
    <w:uiPriority w:val="99"/>
    <w:rsid w:val="00F51615"/>
    <w:pPr>
      <w:spacing w:before="120" w:after="120" w:line="240" w:lineRule="auto"/>
      <w:ind w:left="850"/>
      <w:jc w:val="both"/>
    </w:pPr>
    <w:rPr>
      <w:rFonts w:ascii="Times New Roman" w:eastAsia="Times New Roman" w:hAnsi="Times New Roman" w:cs="Times New Roman"/>
      <w:sz w:val="24"/>
      <w:szCs w:val="20"/>
      <w:lang w:val="en-GB" w:eastAsia="de-DE"/>
    </w:rPr>
  </w:style>
  <w:style w:type="character" w:styleId="FollowedHyperlink">
    <w:name w:val="FollowedHyperlink"/>
    <w:uiPriority w:val="99"/>
    <w:semiHidden/>
    <w:unhideWhenUsed/>
    <w:rsid w:val="00F51615"/>
    <w:rPr>
      <w:color w:val="800080"/>
      <w:u w:val="single"/>
    </w:rPr>
  </w:style>
  <w:style w:type="paragraph" w:styleId="Revision">
    <w:name w:val="Revision"/>
    <w:hidden/>
    <w:uiPriority w:val="99"/>
    <w:semiHidden/>
    <w:rsid w:val="00F51615"/>
    <w:pPr>
      <w:spacing w:after="0" w:line="240" w:lineRule="auto"/>
    </w:pPr>
    <w:rPr>
      <w:rFonts w:ascii="Times New Roman" w:eastAsia="Times New Roman" w:hAnsi="Times New Roman" w:cs="Times New Roman"/>
      <w:sz w:val="24"/>
      <w:szCs w:val="20"/>
    </w:rPr>
  </w:style>
  <w:style w:type="paragraph" w:customStyle="1" w:styleId="tv2131">
    <w:name w:val="tv2131"/>
    <w:basedOn w:val="Normal"/>
    <w:rsid w:val="00F51615"/>
    <w:pPr>
      <w:spacing w:before="240" w:after="0" w:line="360" w:lineRule="auto"/>
      <w:ind w:firstLine="300"/>
      <w:jc w:val="both"/>
    </w:pPr>
    <w:rPr>
      <w:rFonts w:ascii="Verdana" w:eastAsia="Times New Roman" w:hAnsi="Verdana" w:cs="Times New Roman"/>
      <w:sz w:val="18"/>
      <w:szCs w:val="18"/>
      <w:lang w:eastAsia="lv-LV"/>
    </w:rPr>
  </w:style>
  <w:style w:type="paragraph" w:customStyle="1" w:styleId="CM1">
    <w:name w:val="CM1"/>
    <w:basedOn w:val="Default"/>
    <w:next w:val="Default"/>
    <w:uiPriority w:val="99"/>
    <w:rsid w:val="00F51615"/>
    <w:rPr>
      <w:rFonts w:ascii="EUAlbertina" w:eastAsia="Calibri" w:hAnsi="EUAlbertina"/>
      <w:color w:val="auto"/>
      <w:lang w:val="en-GB" w:eastAsia="en-GB"/>
    </w:rPr>
  </w:style>
  <w:style w:type="character" w:customStyle="1" w:styleId="st1">
    <w:name w:val="st1"/>
    <w:basedOn w:val="DefaultParagraphFont"/>
    <w:rsid w:val="00F51615"/>
  </w:style>
  <w:style w:type="paragraph" w:customStyle="1" w:styleId="mt-translation1">
    <w:name w:val="mt-translation1"/>
    <w:basedOn w:val="Normal"/>
    <w:rsid w:val="00F51615"/>
    <w:pPr>
      <w:spacing w:after="0" w:line="240" w:lineRule="auto"/>
    </w:pPr>
    <w:rPr>
      <w:rFonts w:ascii="Segoe UI" w:eastAsia="Times New Roman" w:hAnsi="Segoe UI" w:cs="Segoe UI"/>
      <w:lang w:eastAsia="lv-LV"/>
    </w:rPr>
  </w:style>
  <w:style w:type="table" w:customStyle="1" w:styleId="ListTable3-Accent11">
    <w:name w:val="List Table 3 - Accent 11"/>
    <w:basedOn w:val="TableNormal"/>
    <w:uiPriority w:val="48"/>
    <w:rsid w:val="00400D0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2-Accent11">
    <w:name w:val="Grid Table 2 - Accent 11"/>
    <w:basedOn w:val="TableNormal"/>
    <w:uiPriority w:val="47"/>
    <w:rsid w:val="00400D0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uiPriority w:val="46"/>
    <w:rsid w:val="00400D0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00D0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00D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00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00D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5775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144E7"/>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609E"/>
  </w:style>
  <w:style w:type="table" w:customStyle="1" w:styleId="TableGrid2">
    <w:name w:val="Table Grid2"/>
    <w:basedOn w:val="TableNormal"/>
    <w:next w:val="TableGrid"/>
    <w:uiPriority w:val="39"/>
    <w:rsid w:val="0009609E"/>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7FC"/>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EE7F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EE7F4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811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ps">
    <w:name w:val="hps"/>
    <w:basedOn w:val="DefaultParagraphFont"/>
    <w:rsid w:val="00DB2B30"/>
  </w:style>
  <w:style w:type="numbering" w:customStyle="1" w:styleId="NoList2">
    <w:name w:val="No List2"/>
    <w:next w:val="NoList"/>
    <w:uiPriority w:val="99"/>
    <w:semiHidden/>
    <w:unhideWhenUsed/>
    <w:rsid w:val="000B788C"/>
  </w:style>
  <w:style w:type="character" w:customStyle="1" w:styleId="apple-converted-space">
    <w:name w:val="apple-converted-space"/>
    <w:basedOn w:val="DefaultParagraphFont"/>
    <w:rsid w:val="002046C8"/>
  </w:style>
  <w:style w:type="table" w:customStyle="1" w:styleId="GridTable6Colorful-Accent110">
    <w:name w:val="Grid Table 6 Colorful - Accent 11"/>
    <w:basedOn w:val="TableNormal"/>
    <w:uiPriority w:val="51"/>
    <w:rsid w:val="00B70A8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
    <w:name w:val="No List3"/>
    <w:next w:val="NoList"/>
    <w:uiPriority w:val="99"/>
    <w:semiHidden/>
    <w:unhideWhenUsed/>
    <w:rsid w:val="00CE6BCD"/>
  </w:style>
  <w:style w:type="table" w:customStyle="1" w:styleId="TableGrid4">
    <w:name w:val="Table Grid4"/>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
    <w:name w:val="Grid Table 6 Colorful - Accent 12"/>
    <w:basedOn w:val="TableNormal"/>
    <w:next w:val="GridTable6Colorful-Accent1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3">
    <w:name w:val="Style3"/>
    <w:basedOn w:val="Heading3"/>
    <w:link w:val="Style3Char"/>
    <w:qFormat/>
    <w:rsid w:val="0077183B"/>
    <w:pPr>
      <w:numPr>
        <w:ilvl w:val="0"/>
        <w:numId w:val="0"/>
      </w:numPr>
      <w:jc w:val="center"/>
    </w:pPr>
    <w:rPr>
      <w:rFonts w:ascii="Times New Roman" w:hAnsi="Times New Roman" w:cs="Times New Roman"/>
      <w:sz w:val="28"/>
      <w:szCs w:val="32"/>
    </w:rPr>
  </w:style>
  <w:style w:type="table" w:customStyle="1" w:styleId="GridTable4-Accent51">
    <w:name w:val="Grid Table 4 - Accent 51"/>
    <w:basedOn w:val="TableNormal"/>
    <w:uiPriority w:val="49"/>
    <w:rsid w:val="0077183B"/>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3Char">
    <w:name w:val="Style3 Char"/>
    <w:basedOn w:val="Heading3Char"/>
    <w:link w:val="Style3"/>
    <w:rsid w:val="0077183B"/>
    <w:rPr>
      <w:rFonts w:ascii="Times New Roman" w:eastAsiaTheme="majorEastAsia" w:hAnsi="Times New Roman" w:cs="Times New Roman"/>
      <w:b/>
      <w:bCs/>
      <w:color w:val="000000" w:themeColor="text1"/>
      <w:sz w:val="28"/>
      <w:szCs w:val="32"/>
    </w:rPr>
  </w:style>
  <w:style w:type="table" w:customStyle="1" w:styleId="ListTable3-Accent51">
    <w:name w:val="List Table 3 - Accent 51"/>
    <w:basedOn w:val="TableNormal"/>
    <w:uiPriority w:val="48"/>
    <w:rsid w:val="0077183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
    <w:name w:val="Table Grid5"/>
    <w:basedOn w:val="TableNormal"/>
    <w:next w:val="TableGrid"/>
    <w:uiPriority w:val="39"/>
    <w:rsid w:val="00C6773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616B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har2">
    <w:name w:val="Char2"/>
    <w:aliases w:val="Char Char Char Char"/>
    <w:basedOn w:val="Normal"/>
    <w:next w:val="Normal"/>
    <w:link w:val="FootnoteReference"/>
    <w:uiPriority w:val="99"/>
    <w:rsid w:val="005F4C67"/>
    <w:pPr>
      <w:spacing w:line="240" w:lineRule="exact"/>
      <w:jc w:val="both"/>
      <w:textAlignment w:val="baseline"/>
    </w:pPr>
    <w:rPr>
      <w:rFonts w:ascii="Garamond" w:hAnsi="Garamond"/>
      <w:sz w:val="20"/>
      <w:vertAlign w:val="superscript"/>
    </w:rPr>
  </w:style>
  <w:style w:type="character" w:styleId="HTMLCite">
    <w:name w:val="HTML Cite"/>
    <w:basedOn w:val="DefaultParagraphFont"/>
    <w:uiPriority w:val="99"/>
    <w:semiHidden/>
    <w:unhideWhenUsed/>
    <w:rsid w:val="002D4062"/>
    <w:rPr>
      <w:i/>
      <w:iCs/>
    </w:rPr>
  </w:style>
  <w:style w:type="table" w:customStyle="1" w:styleId="ListTable1Light-Accent41">
    <w:name w:val="List Table 1 Light - Accent 41"/>
    <w:basedOn w:val="TableNormal"/>
    <w:uiPriority w:val="46"/>
    <w:rsid w:val="006C67E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
    <w:name w:val="Grid Table 6 Colorful - Accent 21"/>
    <w:basedOn w:val="TableNormal"/>
    <w:uiPriority w:val="51"/>
    <w:rsid w:val="006C67E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5">
    <w:name w:val="Grid Table 6 Colorful - Accent 15"/>
    <w:basedOn w:val="TableNormal"/>
    <w:next w:val="GridTable6Colorful-Accent11"/>
    <w:uiPriority w:val="51"/>
    <w:rsid w:val="00CA00D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
    <w:name w:val="Grid Table 6 Colorful - Accent 14"/>
    <w:basedOn w:val="TableNormal"/>
    <w:next w:val="GridTable6Colorful-Accent11"/>
    <w:uiPriority w:val="51"/>
    <w:rsid w:val="00B45C68"/>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1">
    <w:name w:val="Grid Table 6 Colorful Accent 1"/>
    <w:basedOn w:val="TableNormal"/>
    <w:uiPriority w:val="51"/>
    <w:rsid w:val="00832C2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otnoteCharacters">
    <w:name w:val="Footnote Characters"/>
    <w:rsid w:val="003D448B"/>
    <w:rPr>
      <w:rFonts w:ascii="Garamond" w:hAnsi="Garamond"/>
      <w:sz w:val="20"/>
      <w:vertAlign w:val="superscript"/>
    </w:rPr>
  </w:style>
  <w:style w:type="table" w:customStyle="1" w:styleId="TableGrid6">
    <w:name w:val="Table Grid6"/>
    <w:basedOn w:val="TableNormal"/>
    <w:next w:val="TableGrid"/>
    <w:uiPriority w:val="39"/>
    <w:rsid w:val="003D448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6">
    <w:name w:val="Grid Table 6 Colorful - Accent 16"/>
    <w:basedOn w:val="TableNormal"/>
    <w:next w:val="GridTable6Colorful-Accent1"/>
    <w:uiPriority w:val="51"/>
    <w:rsid w:val="00D91646"/>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D91646"/>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15">
      <w:bodyDiv w:val="1"/>
      <w:marLeft w:val="0"/>
      <w:marRight w:val="0"/>
      <w:marTop w:val="0"/>
      <w:marBottom w:val="0"/>
      <w:divBdr>
        <w:top w:val="none" w:sz="0" w:space="0" w:color="auto"/>
        <w:left w:val="none" w:sz="0" w:space="0" w:color="auto"/>
        <w:bottom w:val="none" w:sz="0" w:space="0" w:color="auto"/>
        <w:right w:val="none" w:sz="0" w:space="0" w:color="auto"/>
      </w:divBdr>
    </w:div>
    <w:div w:id="29884897">
      <w:bodyDiv w:val="1"/>
      <w:marLeft w:val="0"/>
      <w:marRight w:val="0"/>
      <w:marTop w:val="0"/>
      <w:marBottom w:val="0"/>
      <w:divBdr>
        <w:top w:val="none" w:sz="0" w:space="0" w:color="auto"/>
        <w:left w:val="none" w:sz="0" w:space="0" w:color="auto"/>
        <w:bottom w:val="none" w:sz="0" w:space="0" w:color="auto"/>
        <w:right w:val="none" w:sz="0" w:space="0" w:color="auto"/>
      </w:divBdr>
    </w:div>
    <w:div w:id="35666004">
      <w:bodyDiv w:val="1"/>
      <w:marLeft w:val="0"/>
      <w:marRight w:val="0"/>
      <w:marTop w:val="0"/>
      <w:marBottom w:val="0"/>
      <w:divBdr>
        <w:top w:val="none" w:sz="0" w:space="0" w:color="auto"/>
        <w:left w:val="none" w:sz="0" w:space="0" w:color="auto"/>
        <w:bottom w:val="none" w:sz="0" w:space="0" w:color="auto"/>
        <w:right w:val="none" w:sz="0" w:space="0" w:color="auto"/>
      </w:divBdr>
    </w:div>
    <w:div w:id="40982938">
      <w:bodyDiv w:val="1"/>
      <w:marLeft w:val="0"/>
      <w:marRight w:val="0"/>
      <w:marTop w:val="0"/>
      <w:marBottom w:val="0"/>
      <w:divBdr>
        <w:top w:val="none" w:sz="0" w:space="0" w:color="auto"/>
        <w:left w:val="none" w:sz="0" w:space="0" w:color="auto"/>
        <w:bottom w:val="none" w:sz="0" w:space="0" w:color="auto"/>
        <w:right w:val="none" w:sz="0" w:space="0" w:color="auto"/>
      </w:divBdr>
    </w:div>
    <w:div w:id="74086681">
      <w:bodyDiv w:val="1"/>
      <w:marLeft w:val="0"/>
      <w:marRight w:val="0"/>
      <w:marTop w:val="0"/>
      <w:marBottom w:val="0"/>
      <w:divBdr>
        <w:top w:val="none" w:sz="0" w:space="0" w:color="auto"/>
        <w:left w:val="none" w:sz="0" w:space="0" w:color="auto"/>
        <w:bottom w:val="none" w:sz="0" w:space="0" w:color="auto"/>
        <w:right w:val="none" w:sz="0" w:space="0" w:color="auto"/>
      </w:divBdr>
    </w:div>
    <w:div w:id="75829142">
      <w:bodyDiv w:val="1"/>
      <w:marLeft w:val="0"/>
      <w:marRight w:val="0"/>
      <w:marTop w:val="0"/>
      <w:marBottom w:val="0"/>
      <w:divBdr>
        <w:top w:val="none" w:sz="0" w:space="0" w:color="auto"/>
        <w:left w:val="none" w:sz="0" w:space="0" w:color="auto"/>
        <w:bottom w:val="none" w:sz="0" w:space="0" w:color="auto"/>
        <w:right w:val="none" w:sz="0" w:space="0" w:color="auto"/>
      </w:divBdr>
    </w:div>
    <w:div w:id="306204804">
      <w:bodyDiv w:val="1"/>
      <w:marLeft w:val="0"/>
      <w:marRight w:val="0"/>
      <w:marTop w:val="0"/>
      <w:marBottom w:val="0"/>
      <w:divBdr>
        <w:top w:val="none" w:sz="0" w:space="0" w:color="auto"/>
        <w:left w:val="none" w:sz="0" w:space="0" w:color="auto"/>
        <w:bottom w:val="none" w:sz="0" w:space="0" w:color="auto"/>
        <w:right w:val="none" w:sz="0" w:space="0" w:color="auto"/>
      </w:divBdr>
    </w:div>
    <w:div w:id="308676669">
      <w:bodyDiv w:val="1"/>
      <w:marLeft w:val="0"/>
      <w:marRight w:val="0"/>
      <w:marTop w:val="0"/>
      <w:marBottom w:val="0"/>
      <w:divBdr>
        <w:top w:val="none" w:sz="0" w:space="0" w:color="auto"/>
        <w:left w:val="none" w:sz="0" w:space="0" w:color="auto"/>
        <w:bottom w:val="none" w:sz="0" w:space="0" w:color="auto"/>
        <w:right w:val="none" w:sz="0" w:space="0" w:color="auto"/>
      </w:divBdr>
    </w:div>
    <w:div w:id="312829947">
      <w:bodyDiv w:val="1"/>
      <w:marLeft w:val="0"/>
      <w:marRight w:val="0"/>
      <w:marTop w:val="0"/>
      <w:marBottom w:val="0"/>
      <w:divBdr>
        <w:top w:val="none" w:sz="0" w:space="0" w:color="auto"/>
        <w:left w:val="none" w:sz="0" w:space="0" w:color="auto"/>
        <w:bottom w:val="none" w:sz="0" w:space="0" w:color="auto"/>
        <w:right w:val="none" w:sz="0" w:space="0" w:color="auto"/>
      </w:divBdr>
    </w:div>
    <w:div w:id="316032292">
      <w:bodyDiv w:val="1"/>
      <w:marLeft w:val="0"/>
      <w:marRight w:val="0"/>
      <w:marTop w:val="0"/>
      <w:marBottom w:val="0"/>
      <w:divBdr>
        <w:top w:val="none" w:sz="0" w:space="0" w:color="auto"/>
        <w:left w:val="none" w:sz="0" w:space="0" w:color="auto"/>
        <w:bottom w:val="none" w:sz="0" w:space="0" w:color="auto"/>
        <w:right w:val="none" w:sz="0" w:space="0" w:color="auto"/>
      </w:divBdr>
    </w:div>
    <w:div w:id="364912471">
      <w:bodyDiv w:val="1"/>
      <w:marLeft w:val="0"/>
      <w:marRight w:val="0"/>
      <w:marTop w:val="0"/>
      <w:marBottom w:val="0"/>
      <w:divBdr>
        <w:top w:val="none" w:sz="0" w:space="0" w:color="auto"/>
        <w:left w:val="none" w:sz="0" w:space="0" w:color="auto"/>
        <w:bottom w:val="none" w:sz="0" w:space="0" w:color="auto"/>
        <w:right w:val="none" w:sz="0" w:space="0" w:color="auto"/>
      </w:divBdr>
    </w:div>
    <w:div w:id="382173104">
      <w:bodyDiv w:val="1"/>
      <w:marLeft w:val="0"/>
      <w:marRight w:val="0"/>
      <w:marTop w:val="0"/>
      <w:marBottom w:val="0"/>
      <w:divBdr>
        <w:top w:val="none" w:sz="0" w:space="0" w:color="auto"/>
        <w:left w:val="none" w:sz="0" w:space="0" w:color="auto"/>
        <w:bottom w:val="none" w:sz="0" w:space="0" w:color="auto"/>
        <w:right w:val="none" w:sz="0" w:space="0" w:color="auto"/>
      </w:divBdr>
    </w:div>
    <w:div w:id="382411144">
      <w:bodyDiv w:val="1"/>
      <w:marLeft w:val="0"/>
      <w:marRight w:val="0"/>
      <w:marTop w:val="0"/>
      <w:marBottom w:val="0"/>
      <w:divBdr>
        <w:top w:val="none" w:sz="0" w:space="0" w:color="auto"/>
        <w:left w:val="none" w:sz="0" w:space="0" w:color="auto"/>
        <w:bottom w:val="none" w:sz="0" w:space="0" w:color="auto"/>
        <w:right w:val="none" w:sz="0" w:space="0" w:color="auto"/>
      </w:divBdr>
    </w:div>
    <w:div w:id="406004907">
      <w:bodyDiv w:val="1"/>
      <w:marLeft w:val="0"/>
      <w:marRight w:val="0"/>
      <w:marTop w:val="0"/>
      <w:marBottom w:val="0"/>
      <w:divBdr>
        <w:top w:val="none" w:sz="0" w:space="0" w:color="auto"/>
        <w:left w:val="none" w:sz="0" w:space="0" w:color="auto"/>
        <w:bottom w:val="none" w:sz="0" w:space="0" w:color="auto"/>
        <w:right w:val="none" w:sz="0" w:space="0" w:color="auto"/>
      </w:divBdr>
    </w:div>
    <w:div w:id="516312171">
      <w:bodyDiv w:val="1"/>
      <w:marLeft w:val="0"/>
      <w:marRight w:val="0"/>
      <w:marTop w:val="0"/>
      <w:marBottom w:val="0"/>
      <w:divBdr>
        <w:top w:val="none" w:sz="0" w:space="0" w:color="auto"/>
        <w:left w:val="none" w:sz="0" w:space="0" w:color="auto"/>
        <w:bottom w:val="none" w:sz="0" w:space="0" w:color="auto"/>
        <w:right w:val="none" w:sz="0" w:space="0" w:color="auto"/>
      </w:divBdr>
    </w:div>
    <w:div w:id="581915553">
      <w:bodyDiv w:val="1"/>
      <w:marLeft w:val="0"/>
      <w:marRight w:val="0"/>
      <w:marTop w:val="0"/>
      <w:marBottom w:val="0"/>
      <w:divBdr>
        <w:top w:val="none" w:sz="0" w:space="0" w:color="auto"/>
        <w:left w:val="none" w:sz="0" w:space="0" w:color="auto"/>
        <w:bottom w:val="none" w:sz="0" w:space="0" w:color="auto"/>
        <w:right w:val="none" w:sz="0" w:space="0" w:color="auto"/>
      </w:divBdr>
    </w:div>
    <w:div w:id="602149471">
      <w:bodyDiv w:val="1"/>
      <w:marLeft w:val="0"/>
      <w:marRight w:val="0"/>
      <w:marTop w:val="0"/>
      <w:marBottom w:val="0"/>
      <w:divBdr>
        <w:top w:val="none" w:sz="0" w:space="0" w:color="auto"/>
        <w:left w:val="none" w:sz="0" w:space="0" w:color="auto"/>
        <w:bottom w:val="none" w:sz="0" w:space="0" w:color="auto"/>
        <w:right w:val="none" w:sz="0" w:space="0" w:color="auto"/>
      </w:divBdr>
    </w:div>
    <w:div w:id="645016098">
      <w:bodyDiv w:val="1"/>
      <w:marLeft w:val="0"/>
      <w:marRight w:val="0"/>
      <w:marTop w:val="0"/>
      <w:marBottom w:val="0"/>
      <w:divBdr>
        <w:top w:val="none" w:sz="0" w:space="0" w:color="auto"/>
        <w:left w:val="none" w:sz="0" w:space="0" w:color="auto"/>
        <w:bottom w:val="none" w:sz="0" w:space="0" w:color="auto"/>
        <w:right w:val="none" w:sz="0" w:space="0" w:color="auto"/>
      </w:divBdr>
    </w:div>
    <w:div w:id="684596545">
      <w:bodyDiv w:val="1"/>
      <w:marLeft w:val="0"/>
      <w:marRight w:val="0"/>
      <w:marTop w:val="0"/>
      <w:marBottom w:val="0"/>
      <w:divBdr>
        <w:top w:val="none" w:sz="0" w:space="0" w:color="auto"/>
        <w:left w:val="none" w:sz="0" w:space="0" w:color="auto"/>
        <w:bottom w:val="none" w:sz="0" w:space="0" w:color="auto"/>
        <w:right w:val="none" w:sz="0" w:space="0" w:color="auto"/>
      </w:divBdr>
    </w:div>
    <w:div w:id="829563314">
      <w:bodyDiv w:val="1"/>
      <w:marLeft w:val="0"/>
      <w:marRight w:val="0"/>
      <w:marTop w:val="0"/>
      <w:marBottom w:val="0"/>
      <w:divBdr>
        <w:top w:val="none" w:sz="0" w:space="0" w:color="auto"/>
        <w:left w:val="none" w:sz="0" w:space="0" w:color="auto"/>
        <w:bottom w:val="none" w:sz="0" w:space="0" w:color="auto"/>
        <w:right w:val="none" w:sz="0" w:space="0" w:color="auto"/>
      </w:divBdr>
    </w:div>
    <w:div w:id="944507542">
      <w:bodyDiv w:val="1"/>
      <w:marLeft w:val="0"/>
      <w:marRight w:val="0"/>
      <w:marTop w:val="0"/>
      <w:marBottom w:val="0"/>
      <w:divBdr>
        <w:top w:val="none" w:sz="0" w:space="0" w:color="auto"/>
        <w:left w:val="none" w:sz="0" w:space="0" w:color="auto"/>
        <w:bottom w:val="none" w:sz="0" w:space="0" w:color="auto"/>
        <w:right w:val="none" w:sz="0" w:space="0" w:color="auto"/>
      </w:divBdr>
    </w:div>
    <w:div w:id="951742720">
      <w:bodyDiv w:val="1"/>
      <w:marLeft w:val="0"/>
      <w:marRight w:val="0"/>
      <w:marTop w:val="0"/>
      <w:marBottom w:val="0"/>
      <w:divBdr>
        <w:top w:val="none" w:sz="0" w:space="0" w:color="auto"/>
        <w:left w:val="none" w:sz="0" w:space="0" w:color="auto"/>
        <w:bottom w:val="none" w:sz="0" w:space="0" w:color="auto"/>
        <w:right w:val="none" w:sz="0" w:space="0" w:color="auto"/>
      </w:divBdr>
    </w:div>
    <w:div w:id="951861105">
      <w:bodyDiv w:val="1"/>
      <w:marLeft w:val="0"/>
      <w:marRight w:val="0"/>
      <w:marTop w:val="0"/>
      <w:marBottom w:val="0"/>
      <w:divBdr>
        <w:top w:val="none" w:sz="0" w:space="0" w:color="auto"/>
        <w:left w:val="none" w:sz="0" w:space="0" w:color="auto"/>
        <w:bottom w:val="none" w:sz="0" w:space="0" w:color="auto"/>
        <w:right w:val="none" w:sz="0" w:space="0" w:color="auto"/>
      </w:divBdr>
    </w:div>
    <w:div w:id="975254704">
      <w:bodyDiv w:val="1"/>
      <w:marLeft w:val="0"/>
      <w:marRight w:val="0"/>
      <w:marTop w:val="0"/>
      <w:marBottom w:val="0"/>
      <w:divBdr>
        <w:top w:val="none" w:sz="0" w:space="0" w:color="auto"/>
        <w:left w:val="none" w:sz="0" w:space="0" w:color="auto"/>
        <w:bottom w:val="none" w:sz="0" w:space="0" w:color="auto"/>
        <w:right w:val="none" w:sz="0" w:space="0" w:color="auto"/>
      </w:divBdr>
    </w:div>
    <w:div w:id="994065472">
      <w:bodyDiv w:val="1"/>
      <w:marLeft w:val="0"/>
      <w:marRight w:val="0"/>
      <w:marTop w:val="0"/>
      <w:marBottom w:val="0"/>
      <w:divBdr>
        <w:top w:val="none" w:sz="0" w:space="0" w:color="auto"/>
        <w:left w:val="none" w:sz="0" w:space="0" w:color="auto"/>
        <w:bottom w:val="none" w:sz="0" w:space="0" w:color="auto"/>
        <w:right w:val="none" w:sz="0" w:space="0" w:color="auto"/>
      </w:divBdr>
    </w:div>
    <w:div w:id="1018309185">
      <w:bodyDiv w:val="1"/>
      <w:marLeft w:val="0"/>
      <w:marRight w:val="0"/>
      <w:marTop w:val="0"/>
      <w:marBottom w:val="0"/>
      <w:divBdr>
        <w:top w:val="none" w:sz="0" w:space="0" w:color="auto"/>
        <w:left w:val="none" w:sz="0" w:space="0" w:color="auto"/>
        <w:bottom w:val="none" w:sz="0" w:space="0" w:color="auto"/>
        <w:right w:val="none" w:sz="0" w:space="0" w:color="auto"/>
      </w:divBdr>
    </w:div>
    <w:div w:id="1028681681">
      <w:bodyDiv w:val="1"/>
      <w:marLeft w:val="0"/>
      <w:marRight w:val="0"/>
      <w:marTop w:val="0"/>
      <w:marBottom w:val="0"/>
      <w:divBdr>
        <w:top w:val="none" w:sz="0" w:space="0" w:color="auto"/>
        <w:left w:val="none" w:sz="0" w:space="0" w:color="auto"/>
        <w:bottom w:val="none" w:sz="0" w:space="0" w:color="auto"/>
        <w:right w:val="none" w:sz="0" w:space="0" w:color="auto"/>
      </w:divBdr>
    </w:div>
    <w:div w:id="1031416789">
      <w:bodyDiv w:val="1"/>
      <w:marLeft w:val="0"/>
      <w:marRight w:val="0"/>
      <w:marTop w:val="0"/>
      <w:marBottom w:val="0"/>
      <w:divBdr>
        <w:top w:val="none" w:sz="0" w:space="0" w:color="auto"/>
        <w:left w:val="none" w:sz="0" w:space="0" w:color="auto"/>
        <w:bottom w:val="none" w:sz="0" w:space="0" w:color="auto"/>
        <w:right w:val="none" w:sz="0" w:space="0" w:color="auto"/>
      </w:divBdr>
    </w:div>
    <w:div w:id="1035042229">
      <w:bodyDiv w:val="1"/>
      <w:marLeft w:val="0"/>
      <w:marRight w:val="0"/>
      <w:marTop w:val="0"/>
      <w:marBottom w:val="0"/>
      <w:divBdr>
        <w:top w:val="none" w:sz="0" w:space="0" w:color="auto"/>
        <w:left w:val="none" w:sz="0" w:space="0" w:color="auto"/>
        <w:bottom w:val="none" w:sz="0" w:space="0" w:color="auto"/>
        <w:right w:val="none" w:sz="0" w:space="0" w:color="auto"/>
      </w:divBdr>
    </w:div>
    <w:div w:id="1083185001">
      <w:bodyDiv w:val="1"/>
      <w:marLeft w:val="0"/>
      <w:marRight w:val="0"/>
      <w:marTop w:val="0"/>
      <w:marBottom w:val="0"/>
      <w:divBdr>
        <w:top w:val="none" w:sz="0" w:space="0" w:color="auto"/>
        <w:left w:val="none" w:sz="0" w:space="0" w:color="auto"/>
        <w:bottom w:val="none" w:sz="0" w:space="0" w:color="auto"/>
        <w:right w:val="none" w:sz="0" w:space="0" w:color="auto"/>
      </w:divBdr>
    </w:div>
    <w:div w:id="1137533331">
      <w:bodyDiv w:val="1"/>
      <w:marLeft w:val="0"/>
      <w:marRight w:val="0"/>
      <w:marTop w:val="0"/>
      <w:marBottom w:val="0"/>
      <w:divBdr>
        <w:top w:val="none" w:sz="0" w:space="0" w:color="auto"/>
        <w:left w:val="none" w:sz="0" w:space="0" w:color="auto"/>
        <w:bottom w:val="none" w:sz="0" w:space="0" w:color="auto"/>
        <w:right w:val="none" w:sz="0" w:space="0" w:color="auto"/>
      </w:divBdr>
    </w:div>
    <w:div w:id="1202282923">
      <w:bodyDiv w:val="1"/>
      <w:marLeft w:val="0"/>
      <w:marRight w:val="0"/>
      <w:marTop w:val="0"/>
      <w:marBottom w:val="0"/>
      <w:divBdr>
        <w:top w:val="none" w:sz="0" w:space="0" w:color="auto"/>
        <w:left w:val="none" w:sz="0" w:space="0" w:color="auto"/>
        <w:bottom w:val="none" w:sz="0" w:space="0" w:color="auto"/>
        <w:right w:val="none" w:sz="0" w:space="0" w:color="auto"/>
      </w:divBdr>
    </w:div>
    <w:div w:id="1234776103">
      <w:bodyDiv w:val="1"/>
      <w:marLeft w:val="0"/>
      <w:marRight w:val="0"/>
      <w:marTop w:val="0"/>
      <w:marBottom w:val="0"/>
      <w:divBdr>
        <w:top w:val="none" w:sz="0" w:space="0" w:color="auto"/>
        <w:left w:val="none" w:sz="0" w:space="0" w:color="auto"/>
        <w:bottom w:val="none" w:sz="0" w:space="0" w:color="auto"/>
        <w:right w:val="none" w:sz="0" w:space="0" w:color="auto"/>
      </w:divBdr>
    </w:div>
    <w:div w:id="1244411302">
      <w:bodyDiv w:val="1"/>
      <w:marLeft w:val="0"/>
      <w:marRight w:val="0"/>
      <w:marTop w:val="0"/>
      <w:marBottom w:val="0"/>
      <w:divBdr>
        <w:top w:val="none" w:sz="0" w:space="0" w:color="auto"/>
        <w:left w:val="none" w:sz="0" w:space="0" w:color="auto"/>
        <w:bottom w:val="none" w:sz="0" w:space="0" w:color="auto"/>
        <w:right w:val="none" w:sz="0" w:space="0" w:color="auto"/>
      </w:divBdr>
    </w:div>
    <w:div w:id="1301838879">
      <w:bodyDiv w:val="1"/>
      <w:marLeft w:val="0"/>
      <w:marRight w:val="0"/>
      <w:marTop w:val="0"/>
      <w:marBottom w:val="0"/>
      <w:divBdr>
        <w:top w:val="none" w:sz="0" w:space="0" w:color="auto"/>
        <w:left w:val="none" w:sz="0" w:space="0" w:color="auto"/>
        <w:bottom w:val="none" w:sz="0" w:space="0" w:color="auto"/>
        <w:right w:val="none" w:sz="0" w:space="0" w:color="auto"/>
      </w:divBdr>
    </w:div>
    <w:div w:id="1394113210">
      <w:bodyDiv w:val="1"/>
      <w:marLeft w:val="0"/>
      <w:marRight w:val="0"/>
      <w:marTop w:val="0"/>
      <w:marBottom w:val="0"/>
      <w:divBdr>
        <w:top w:val="none" w:sz="0" w:space="0" w:color="auto"/>
        <w:left w:val="none" w:sz="0" w:space="0" w:color="auto"/>
        <w:bottom w:val="none" w:sz="0" w:space="0" w:color="auto"/>
        <w:right w:val="none" w:sz="0" w:space="0" w:color="auto"/>
      </w:divBdr>
    </w:div>
    <w:div w:id="1420523522">
      <w:bodyDiv w:val="1"/>
      <w:marLeft w:val="0"/>
      <w:marRight w:val="0"/>
      <w:marTop w:val="0"/>
      <w:marBottom w:val="0"/>
      <w:divBdr>
        <w:top w:val="none" w:sz="0" w:space="0" w:color="auto"/>
        <w:left w:val="none" w:sz="0" w:space="0" w:color="auto"/>
        <w:bottom w:val="none" w:sz="0" w:space="0" w:color="auto"/>
        <w:right w:val="none" w:sz="0" w:space="0" w:color="auto"/>
      </w:divBdr>
    </w:div>
    <w:div w:id="1424378592">
      <w:bodyDiv w:val="1"/>
      <w:marLeft w:val="0"/>
      <w:marRight w:val="0"/>
      <w:marTop w:val="0"/>
      <w:marBottom w:val="0"/>
      <w:divBdr>
        <w:top w:val="none" w:sz="0" w:space="0" w:color="auto"/>
        <w:left w:val="none" w:sz="0" w:space="0" w:color="auto"/>
        <w:bottom w:val="none" w:sz="0" w:space="0" w:color="auto"/>
        <w:right w:val="none" w:sz="0" w:space="0" w:color="auto"/>
      </w:divBdr>
    </w:div>
    <w:div w:id="1457064674">
      <w:bodyDiv w:val="1"/>
      <w:marLeft w:val="0"/>
      <w:marRight w:val="0"/>
      <w:marTop w:val="0"/>
      <w:marBottom w:val="0"/>
      <w:divBdr>
        <w:top w:val="none" w:sz="0" w:space="0" w:color="auto"/>
        <w:left w:val="none" w:sz="0" w:space="0" w:color="auto"/>
        <w:bottom w:val="none" w:sz="0" w:space="0" w:color="auto"/>
        <w:right w:val="none" w:sz="0" w:space="0" w:color="auto"/>
      </w:divBdr>
    </w:div>
    <w:div w:id="1465074760">
      <w:bodyDiv w:val="1"/>
      <w:marLeft w:val="0"/>
      <w:marRight w:val="0"/>
      <w:marTop w:val="0"/>
      <w:marBottom w:val="0"/>
      <w:divBdr>
        <w:top w:val="none" w:sz="0" w:space="0" w:color="auto"/>
        <w:left w:val="none" w:sz="0" w:space="0" w:color="auto"/>
        <w:bottom w:val="none" w:sz="0" w:space="0" w:color="auto"/>
        <w:right w:val="none" w:sz="0" w:space="0" w:color="auto"/>
      </w:divBdr>
    </w:div>
    <w:div w:id="1467819897">
      <w:bodyDiv w:val="1"/>
      <w:marLeft w:val="0"/>
      <w:marRight w:val="0"/>
      <w:marTop w:val="0"/>
      <w:marBottom w:val="0"/>
      <w:divBdr>
        <w:top w:val="none" w:sz="0" w:space="0" w:color="auto"/>
        <w:left w:val="none" w:sz="0" w:space="0" w:color="auto"/>
        <w:bottom w:val="none" w:sz="0" w:space="0" w:color="auto"/>
        <w:right w:val="none" w:sz="0" w:space="0" w:color="auto"/>
      </w:divBdr>
    </w:div>
    <w:div w:id="1469130278">
      <w:bodyDiv w:val="1"/>
      <w:marLeft w:val="0"/>
      <w:marRight w:val="0"/>
      <w:marTop w:val="0"/>
      <w:marBottom w:val="0"/>
      <w:divBdr>
        <w:top w:val="none" w:sz="0" w:space="0" w:color="auto"/>
        <w:left w:val="none" w:sz="0" w:space="0" w:color="auto"/>
        <w:bottom w:val="none" w:sz="0" w:space="0" w:color="auto"/>
        <w:right w:val="none" w:sz="0" w:space="0" w:color="auto"/>
      </w:divBdr>
    </w:div>
    <w:div w:id="1598633343">
      <w:bodyDiv w:val="1"/>
      <w:marLeft w:val="0"/>
      <w:marRight w:val="0"/>
      <w:marTop w:val="0"/>
      <w:marBottom w:val="0"/>
      <w:divBdr>
        <w:top w:val="none" w:sz="0" w:space="0" w:color="auto"/>
        <w:left w:val="none" w:sz="0" w:space="0" w:color="auto"/>
        <w:bottom w:val="none" w:sz="0" w:space="0" w:color="auto"/>
        <w:right w:val="none" w:sz="0" w:space="0" w:color="auto"/>
      </w:divBdr>
    </w:div>
    <w:div w:id="1620605040">
      <w:bodyDiv w:val="1"/>
      <w:marLeft w:val="0"/>
      <w:marRight w:val="0"/>
      <w:marTop w:val="0"/>
      <w:marBottom w:val="0"/>
      <w:divBdr>
        <w:top w:val="none" w:sz="0" w:space="0" w:color="auto"/>
        <w:left w:val="none" w:sz="0" w:space="0" w:color="auto"/>
        <w:bottom w:val="none" w:sz="0" w:space="0" w:color="auto"/>
        <w:right w:val="none" w:sz="0" w:space="0" w:color="auto"/>
      </w:divBdr>
    </w:div>
    <w:div w:id="1716419001">
      <w:bodyDiv w:val="1"/>
      <w:marLeft w:val="0"/>
      <w:marRight w:val="0"/>
      <w:marTop w:val="0"/>
      <w:marBottom w:val="0"/>
      <w:divBdr>
        <w:top w:val="none" w:sz="0" w:space="0" w:color="auto"/>
        <w:left w:val="none" w:sz="0" w:space="0" w:color="auto"/>
        <w:bottom w:val="none" w:sz="0" w:space="0" w:color="auto"/>
        <w:right w:val="none" w:sz="0" w:space="0" w:color="auto"/>
      </w:divBdr>
    </w:div>
    <w:div w:id="1717775540">
      <w:bodyDiv w:val="1"/>
      <w:marLeft w:val="0"/>
      <w:marRight w:val="0"/>
      <w:marTop w:val="0"/>
      <w:marBottom w:val="0"/>
      <w:divBdr>
        <w:top w:val="none" w:sz="0" w:space="0" w:color="auto"/>
        <w:left w:val="none" w:sz="0" w:space="0" w:color="auto"/>
        <w:bottom w:val="none" w:sz="0" w:space="0" w:color="auto"/>
        <w:right w:val="none" w:sz="0" w:space="0" w:color="auto"/>
      </w:divBdr>
    </w:div>
    <w:div w:id="1724672657">
      <w:bodyDiv w:val="1"/>
      <w:marLeft w:val="0"/>
      <w:marRight w:val="0"/>
      <w:marTop w:val="0"/>
      <w:marBottom w:val="0"/>
      <w:divBdr>
        <w:top w:val="none" w:sz="0" w:space="0" w:color="auto"/>
        <w:left w:val="none" w:sz="0" w:space="0" w:color="auto"/>
        <w:bottom w:val="none" w:sz="0" w:space="0" w:color="auto"/>
        <w:right w:val="none" w:sz="0" w:space="0" w:color="auto"/>
      </w:divBdr>
    </w:div>
    <w:div w:id="1742750254">
      <w:bodyDiv w:val="1"/>
      <w:marLeft w:val="0"/>
      <w:marRight w:val="0"/>
      <w:marTop w:val="0"/>
      <w:marBottom w:val="0"/>
      <w:divBdr>
        <w:top w:val="none" w:sz="0" w:space="0" w:color="auto"/>
        <w:left w:val="none" w:sz="0" w:space="0" w:color="auto"/>
        <w:bottom w:val="none" w:sz="0" w:space="0" w:color="auto"/>
        <w:right w:val="none" w:sz="0" w:space="0" w:color="auto"/>
      </w:divBdr>
    </w:div>
    <w:div w:id="1805270287">
      <w:bodyDiv w:val="1"/>
      <w:marLeft w:val="0"/>
      <w:marRight w:val="0"/>
      <w:marTop w:val="0"/>
      <w:marBottom w:val="0"/>
      <w:divBdr>
        <w:top w:val="none" w:sz="0" w:space="0" w:color="auto"/>
        <w:left w:val="none" w:sz="0" w:space="0" w:color="auto"/>
        <w:bottom w:val="none" w:sz="0" w:space="0" w:color="auto"/>
        <w:right w:val="none" w:sz="0" w:space="0" w:color="auto"/>
      </w:divBdr>
    </w:div>
    <w:div w:id="1891769886">
      <w:bodyDiv w:val="1"/>
      <w:marLeft w:val="0"/>
      <w:marRight w:val="0"/>
      <w:marTop w:val="0"/>
      <w:marBottom w:val="0"/>
      <w:divBdr>
        <w:top w:val="none" w:sz="0" w:space="0" w:color="auto"/>
        <w:left w:val="none" w:sz="0" w:space="0" w:color="auto"/>
        <w:bottom w:val="none" w:sz="0" w:space="0" w:color="auto"/>
        <w:right w:val="none" w:sz="0" w:space="0" w:color="auto"/>
      </w:divBdr>
    </w:div>
    <w:div w:id="1954284396">
      <w:bodyDiv w:val="1"/>
      <w:marLeft w:val="0"/>
      <w:marRight w:val="0"/>
      <w:marTop w:val="0"/>
      <w:marBottom w:val="0"/>
      <w:divBdr>
        <w:top w:val="none" w:sz="0" w:space="0" w:color="auto"/>
        <w:left w:val="none" w:sz="0" w:space="0" w:color="auto"/>
        <w:bottom w:val="none" w:sz="0" w:space="0" w:color="auto"/>
        <w:right w:val="none" w:sz="0" w:space="0" w:color="auto"/>
      </w:divBdr>
    </w:div>
    <w:div w:id="1991254365">
      <w:bodyDiv w:val="1"/>
      <w:marLeft w:val="0"/>
      <w:marRight w:val="0"/>
      <w:marTop w:val="0"/>
      <w:marBottom w:val="0"/>
      <w:divBdr>
        <w:top w:val="none" w:sz="0" w:space="0" w:color="auto"/>
        <w:left w:val="none" w:sz="0" w:space="0" w:color="auto"/>
        <w:bottom w:val="none" w:sz="0" w:space="0" w:color="auto"/>
        <w:right w:val="none" w:sz="0" w:space="0" w:color="auto"/>
      </w:divBdr>
    </w:div>
    <w:div w:id="2075885471">
      <w:bodyDiv w:val="1"/>
      <w:marLeft w:val="0"/>
      <w:marRight w:val="0"/>
      <w:marTop w:val="0"/>
      <w:marBottom w:val="0"/>
      <w:divBdr>
        <w:top w:val="none" w:sz="0" w:space="0" w:color="auto"/>
        <w:left w:val="none" w:sz="0" w:space="0" w:color="auto"/>
        <w:bottom w:val="none" w:sz="0" w:space="0" w:color="auto"/>
        <w:right w:val="none" w:sz="0" w:space="0" w:color="auto"/>
      </w:divBdr>
    </w:div>
    <w:div w:id="2086340844">
      <w:bodyDiv w:val="1"/>
      <w:marLeft w:val="0"/>
      <w:marRight w:val="0"/>
      <w:marTop w:val="0"/>
      <w:marBottom w:val="0"/>
      <w:divBdr>
        <w:top w:val="none" w:sz="0" w:space="0" w:color="auto"/>
        <w:left w:val="none" w:sz="0" w:space="0" w:color="auto"/>
        <w:bottom w:val="none" w:sz="0" w:space="0" w:color="auto"/>
        <w:right w:val="none" w:sz="0" w:space="0" w:color="auto"/>
      </w:divBdr>
    </w:div>
    <w:div w:id="2101367432">
      <w:bodyDiv w:val="1"/>
      <w:marLeft w:val="0"/>
      <w:marRight w:val="0"/>
      <w:marTop w:val="0"/>
      <w:marBottom w:val="0"/>
      <w:divBdr>
        <w:top w:val="none" w:sz="0" w:space="0" w:color="auto"/>
        <w:left w:val="none" w:sz="0" w:space="0" w:color="auto"/>
        <w:bottom w:val="none" w:sz="0" w:space="0" w:color="auto"/>
        <w:right w:val="none" w:sz="0" w:space="0" w:color="auto"/>
      </w:divBdr>
    </w:div>
    <w:div w:id="2112891586">
      <w:bodyDiv w:val="1"/>
      <w:marLeft w:val="0"/>
      <w:marRight w:val="0"/>
      <w:marTop w:val="0"/>
      <w:marBottom w:val="0"/>
      <w:divBdr>
        <w:top w:val="none" w:sz="0" w:space="0" w:color="auto"/>
        <w:left w:val="none" w:sz="0" w:space="0" w:color="auto"/>
        <w:bottom w:val="none" w:sz="0" w:space="0" w:color="auto"/>
        <w:right w:val="none" w:sz="0" w:space="0" w:color="auto"/>
      </w:divBdr>
    </w:div>
    <w:div w:id="2129541071">
      <w:bodyDiv w:val="1"/>
      <w:marLeft w:val="0"/>
      <w:marRight w:val="0"/>
      <w:marTop w:val="0"/>
      <w:marBottom w:val="0"/>
      <w:divBdr>
        <w:top w:val="none" w:sz="0" w:space="0" w:color="auto"/>
        <w:left w:val="none" w:sz="0" w:space="0" w:color="auto"/>
        <w:bottom w:val="none" w:sz="0" w:space="0" w:color="auto"/>
        <w:right w:val="none" w:sz="0" w:space="0" w:color="auto"/>
      </w:divBdr>
    </w:div>
    <w:div w:id="2134319672">
      <w:bodyDiv w:val="1"/>
      <w:marLeft w:val="0"/>
      <w:marRight w:val="0"/>
      <w:marTop w:val="0"/>
      <w:marBottom w:val="0"/>
      <w:divBdr>
        <w:top w:val="none" w:sz="0" w:space="0" w:color="auto"/>
        <w:left w:val="none" w:sz="0" w:space="0" w:color="auto"/>
        <w:bottom w:val="none" w:sz="0" w:space="0" w:color="auto"/>
        <w:right w:val="none" w:sz="0" w:space="0" w:color="auto"/>
      </w:divBdr>
    </w:div>
    <w:div w:id="21359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0.xml"/><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image" Target="cid:image003.png@01D4EBB8.1B05ECF0"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2.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image" Target="media/image10.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chart" Target="charts/chart12.xml"/><Relationship Id="rId36" Type="http://schemas.openxmlformats.org/officeDocument/2006/relationships/hyperlink" Target="mailto:elina.gusare@fm.gov.lv" TargetMode="External"/><Relationship Id="rId10" Type="http://schemas.openxmlformats.org/officeDocument/2006/relationships/hyperlink" Target="http://eur-lex.europa.eu/eli/reg/1997/1466/oj/?locale=LV" TargetMode="External"/><Relationship Id="rId19" Type="http://schemas.openxmlformats.org/officeDocument/2006/relationships/chart" Target="charts/chart9.xml"/><Relationship Id="rId31" Type="http://schemas.openxmlformats.org/officeDocument/2006/relationships/hyperlink" Target="https://cvvp.nva.gov.l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4.emf"/><Relationship Id="rId27" Type="http://schemas.openxmlformats.org/officeDocument/2006/relationships/chart" Target="charts/chart11.xml"/><Relationship Id="rId30" Type="http://schemas.openxmlformats.org/officeDocument/2006/relationships/image" Target="media/image9.emf"/><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s\tand\TAND\_Prezentacija\Prezentacijas-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nad\_Informat&#299;vie%20zi&#326;ojumi\NPP%20strapposma%20izv&#275;rt&#275;jums%202019\Nodok&#316;u%20plaisas_p&#275;c%2028.07.1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nad\_Informat&#299;vie%20zi&#326;ojumi\NPP%20strapposma%20izv&#275;rt&#275;jums%202019\Nodok&#316;u%20plaisas_p&#275;c%2028.07.18.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fs\fpd\FPD\Tautsaimniecibas_un_fiskalas_parvaldibas_nodala\M&#257;rti&#326;&#353;\veselibas_reforma\SP2019_2022\Copy%20of%20gov_10a_exp.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207165133474054E-2"/>
          <c:y val="4.7159699892818867E-2"/>
          <c:w val="0.93521042134108123"/>
          <c:h val="0.64848514876994523"/>
        </c:manualLayout>
      </c:layout>
      <c:lineChart>
        <c:grouping val="standard"/>
        <c:varyColors val="0"/>
        <c:ser>
          <c:idx val="2"/>
          <c:order val="0"/>
          <c:tx>
            <c:strRef>
              <c:f>'Parnervalstu svērtā izaugsme'!$C$9</c:f>
              <c:strCache>
                <c:ptCount val="1"/>
                <c:pt idx="0">
                  <c:v>Latvija</c:v>
                </c:pt>
              </c:strCache>
            </c:strRef>
          </c:tx>
          <c:spPr>
            <a:ln w="28575" cap="rnd">
              <a:solidFill>
                <a:srgbClr val="C00000"/>
              </a:solidFill>
              <a:prstDash val="solid"/>
              <a:round/>
            </a:ln>
            <a:effectLst/>
          </c:spPr>
          <c:marker>
            <c:symbol val="none"/>
          </c:marker>
          <c:dPt>
            <c:idx val="16"/>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1-069A-4DCE-A5C6-B4E9414EE809}"/>
              </c:ext>
            </c:extLst>
          </c:dPt>
          <c:dPt>
            <c:idx val="17"/>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3-069A-4DCE-A5C6-B4E9414EE809}"/>
              </c:ext>
            </c:extLst>
          </c:dPt>
          <c:dPt>
            <c:idx val="19"/>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5-069A-4DCE-A5C6-B4E9414EE809}"/>
              </c:ext>
            </c:extLst>
          </c:dPt>
          <c:dPt>
            <c:idx val="20"/>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7-069A-4DCE-A5C6-B4E9414EE809}"/>
              </c:ext>
            </c:extLst>
          </c:dPt>
          <c:dPt>
            <c:idx val="21"/>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9-069A-4DCE-A5C6-B4E9414EE809}"/>
              </c:ext>
            </c:extLst>
          </c:dPt>
          <c:dPt>
            <c:idx val="22"/>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B-069A-4DCE-A5C6-B4E9414EE809}"/>
              </c:ext>
            </c:extLst>
          </c:dPt>
          <c:dPt>
            <c:idx val="23"/>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D-069A-4DCE-A5C6-B4E9414EE809}"/>
              </c:ext>
            </c:extLst>
          </c:dPt>
          <c:dPt>
            <c:idx val="24"/>
            <c:marker>
              <c:symbol val="none"/>
            </c:marker>
            <c:bubble3D val="0"/>
            <c:spPr>
              <a:ln w="28575" cap="rnd">
                <a:solidFill>
                  <a:srgbClr val="C00000"/>
                </a:solidFill>
                <a:prstDash val="solid"/>
                <a:round/>
              </a:ln>
              <a:effectLst/>
            </c:spPr>
            <c:extLst>
              <c:ext xmlns:c16="http://schemas.microsoft.com/office/drawing/2014/chart" uri="{C3380CC4-5D6E-409C-BE32-E72D297353CC}">
                <c16:uniqueId val="{0000000F-069A-4DCE-A5C6-B4E9414EE809}"/>
              </c:ext>
            </c:extLst>
          </c:dPt>
          <c:cat>
            <c:multiLvlStrRef>
              <c:f>'Parnervalstu svērtā izaugsme'!$A$18:$B$41</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2013</c:v>
                  </c:pt>
                  <c:pt idx="4">
                    <c:v>2014</c:v>
                  </c:pt>
                  <c:pt idx="8">
                    <c:v>2015</c:v>
                  </c:pt>
                  <c:pt idx="12">
                    <c:v>2016</c:v>
                  </c:pt>
                  <c:pt idx="16">
                    <c:v>2017</c:v>
                  </c:pt>
                  <c:pt idx="20">
                    <c:v>2018</c:v>
                  </c:pt>
                </c:lvl>
              </c:multiLvlStrCache>
            </c:multiLvlStrRef>
          </c:cat>
          <c:val>
            <c:numRef>
              <c:f>'Parnervalstu svērtā izaugsme'!$C$18:$C$41</c:f>
              <c:numCache>
                <c:formatCode>#\ ##0.0</c:formatCode>
                <c:ptCount val="24"/>
                <c:pt idx="0">
                  <c:v>1.4</c:v>
                </c:pt>
                <c:pt idx="1">
                  <c:v>2.7</c:v>
                </c:pt>
                <c:pt idx="2">
                  <c:v>3.2</c:v>
                </c:pt>
                <c:pt idx="3">
                  <c:v>2.2999999999999998</c:v>
                </c:pt>
                <c:pt idx="4">
                  <c:v>2.5</c:v>
                </c:pt>
                <c:pt idx="5">
                  <c:v>1.8</c:v>
                </c:pt>
                <c:pt idx="6">
                  <c:v>1.8</c:v>
                </c:pt>
                <c:pt idx="7">
                  <c:v>1.4</c:v>
                </c:pt>
                <c:pt idx="8">
                  <c:v>2.2000000000000002</c:v>
                </c:pt>
                <c:pt idx="9">
                  <c:v>3</c:v>
                </c:pt>
                <c:pt idx="10">
                  <c:v>3.8</c:v>
                </c:pt>
                <c:pt idx="11">
                  <c:v>2.8</c:v>
                </c:pt>
                <c:pt idx="12">
                  <c:v>2.6</c:v>
                </c:pt>
                <c:pt idx="13">
                  <c:v>2.4</c:v>
                </c:pt>
                <c:pt idx="14">
                  <c:v>0.5</c:v>
                </c:pt>
                <c:pt idx="15">
                  <c:v>2.9</c:v>
                </c:pt>
                <c:pt idx="16">
                  <c:v>4.3</c:v>
                </c:pt>
                <c:pt idx="17">
                  <c:v>4.4000000000000004</c:v>
                </c:pt>
                <c:pt idx="18">
                  <c:v>5.5</c:v>
                </c:pt>
                <c:pt idx="19">
                  <c:v>4.3</c:v>
                </c:pt>
                <c:pt idx="20">
                  <c:v>4</c:v>
                </c:pt>
                <c:pt idx="21">
                  <c:v>5.3</c:v>
                </c:pt>
                <c:pt idx="22">
                  <c:v>4.5</c:v>
                </c:pt>
                <c:pt idx="23">
                  <c:v>5.0999999999999996</c:v>
                </c:pt>
              </c:numCache>
            </c:numRef>
          </c:val>
          <c:smooth val="0"/>
          <c:extLst>
            <c:ext xmlns:c16="http://schemas.microsoft.com/office/drawing/2014/chart" uri="{C3380CC4-5D6E-409C-BE32-E72D297353CC}">
              <c16:uniqueId val="{00000010-069A-4DCE-A5C6-B4E9414EE809}"/>
            </c:ext>
          </c:extLst>
        </c:ser>
        <c:ser>
          <c:idx val="0"/>
          <c:order val="1"/>
          <c:tx>
            <c:strRef>
              <c:f>'Parnervalstu svērtā izaugsme'!$L$9</c:f>
              <c:strCache>
                <c:ptCount val="1"/>
                <c:pt idx="0">
                  <c:v>ES-28</c:v>
                </c:pt>
              </c:strCache>
            </c:strRef>
          </c:tx>
          <c:spPr>
            <a:ln w="28575" cap="rnd">
              <a:solidFill>
                <a:srgbClr val="0070C0"/>
              </a:solidFill>
              <a:prstDash val="solid"/>
              <a:round/>
            </a:ln>
            <a:effectLst/>
          </c:spPr>
          <c:marker>
            <c:symbol val="none"/>
          </c:marker>
          <c:dPt>
            <c:idx val="16"/>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2-069A-4DCE-A5C6-B4E9414EE809}"/>
              </c:ext>
            </c:extLst>
          </c:dPt>
          <c:dPt>
            <c:idx val="17"/>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4-069A-4DCE-A5C6-B4E9414EE809}"/>
              </c:ext>
            </c:extLst>
          </c:dPt>
          <c:dPt>
            <c:idx val="19"/>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6-069A-4DCE-A5C6-B4E9414EE809}"/>
              </c:ext>
            </c:extLst>
          </c:dPt>
          <c:dPt>
            <c:idx val="20"/>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8-069A-4DCE-A5C6-B4E9414EE809}"/>
              </c:ext>
            </c:extLst>
          </c:dPt>
          <c:dPt>
            <c:idx val="21"/>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A-069A-4DCE-A5C6-B4E9414EE809}"/>
              </c:ext>
            </c:extLst>
          </c:dPt>
          <c:dPt>
            <c:idx val="22"/>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C-069A-4DCE-A5C6-B4E9414EE809}"/>
              </c:ext>
            </c:extLst>
          </c:dPt>
          <c:dPt>
            <c:idx val="23"/>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1E-069A-4DCE-A5C6-B4E9414EE809}"/>
              </c:ext>
            </c:extLst>
          </c:dPt>
          <c:dPt>
            <c:idx val="24"/>
            <c:marker>
              <c:symbol val="none"/>
            </c:marker>
            <c:bubble3D val="0"/>
            <c:spPr>
              <a:ln w="28575" cap="rnd">
                <a:solidFill>
                  <a:srgbClr val="0070C0"/>
                </a:solidFill>
                <a:prstDash val="solid"/>
                <a:round/>
              </a:ln>
              <a:effectLst/>
            </c:spPr>
            <c:extLst>
              <c:ext xmlns:c16="http://schemas.microsoft.com/office/drawing/2014/chart" uri="{C3380CC4-5D6E-409C-BE32-E72D297353CC}">
                <c16:uniqueId val="{00000020-069A-4DCE-A5C6-B4E9414EE809}"/>
              </c:ext>
            </c:extLst>
          </c:dPt>
          <c:cat>
            <c:multiLvlStrRef>
              <c:f>'Parnervalstu svērtā izaugsme'!$A$18:$B$41</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2013</c:v>
                  </c:pt>
                  <c:pt idx="4">
                    <c:v>2014</c:v>
                  </c:pt>
                  <c:pt idx="8">
                    <c:v>2015</c:v>
                  </c:pt>
                  <c:pt idx="12">
                    <c:v>2016</c:v>
                  </c:pt>
                  <c:pt idx="16">
                    <c:v>2017</c:v>
                  </c:pt>
                  <c:pt idx="20">
                    <c:v>2018</c:v>
                  </c:pt>
                </c:lvl>
              </c:multiLvlStrCache>
            </c:multiLvlStrRef>
          </c:cat>
          <c:val>
            <c:numRef>
              <c:f>'Parnervalstu svērtā izaugsme'!$L$18:$L$41</c:f>
              <c:numCache>
                <c:formatCode>#\ ##0.0</c:formatCode>
                <c:ptCount val="24"/>
                <c:pt idx="0">
                  <c:v>-1.1000000000000001</c:v>
                </c:pt>
                <c:pt idx="1">
                  <c:v>0.3</c:v>
                </c:pt>
                <c:pt idx="2">
                  <c:v>0.8</c:v>
                </c:pt>
                <c:pt idx="3">
                  <c:v>1.1000000000000001</c:v>
                </c:pt>
                <c:pt idx="4">
                  <c:v>1.9</c:v>
                </c:pt>
                <c:pt idx="5">
                  <c:v>1.5</c:v>
                </c:pt>
                <c:pt idx="6">
                  <c:v>1.7</c:v>
                </c:pt>
                <c:pt idx="7">
                  <c:v>2</c:v>
                </c:pt>
                <c:pt idx="8">
                  <c:v>2.1</c:v>
                </c:pt>
                <c:pt idx="9">
                  <c:v>2.2999999999999998</c:v>
                </c:pt>
                <c:pt idx="10">
                  <c:v>2.4</c:v>
                </c:pt>
                <c:pt idx="11">
                  <c:v>2.5</c:v>
                </c:pt>
                <c:pt idx="12">
                  <c:v>2.2000000000000002</c:v>
                </c:pt>
                <c:pt idx="13">
                  <c:v>2.5</c:v>
                </c:pt>
                <c:pt idx="14">
                  <c:v>1.6</c:v>
                </c:pt>
                <c:pt idx="15">
                  <c:v>1.8</c:v>
                </c:pt>
                <c:pt idx="16">
                  <c:v>2.6</c:v>
                </c:pt>
                <c:pt idx="17">
                  <c:v>2</c:v>
                </c:pt>
                <c:pt idx="18">
                  <c:v>2.6</c:v>
                </c:pt>
                <c:pt idx="19">
                  <c:v>2.5</c:v>
                </c:pt>
                <c:pt idx="20">
                  <c:v>2.2000000000000002</c:v>
                </c:pt>
                <c:pt idx="21">
                  <c:v>2.2999999999999998</c:v>
                </c:pt>
                <c:pt idx="22">
                  <c:v>1.8</c:v>
                </c:pt>
                <c:pt idx="23">
                  <c:v>1.5</c:v>
                </c:pt>
              </c:numCache>
            </c:numRef>
          </c:val>
          <c:smooth val="0"/>
          <c:extLst>
            <c:ext xmlns:c16="http://schemas.microsoft.com/office/drawing/2014/chart" uri="{C3380CC4-5D6E-409C-BE32-E72D297353CC}">
              <c16:uniqueId val="{00000021-069A-4DCE-A5C6-B4E9414EE809}"/>
            </c:ext>
          </c:extLst>
        </c:ser>
        <c:ser>
          <c:idx val="1"/>
          <c:order val="2"/>
          <c:tx>
            <c:strRef>
              <c:f>'Parnervalstu svērtā izaugsme'!$M$9</c:f>
              <c:strCache>
                <c:ptCount val="1"/>
                <c:pt idx="0">
                  <c:v>Partnervalstis</c:v>
                </c:pt>
              </c:strCache>
            </c:strRef>
          </c:tx>
          <c:spPr>
            <a:ln w="28575" cap="rnd">
              <a:solidFill>
                <a:schemeClr val="tx1">
                  <a:lumMod val="50000"/>
                  <a:lumOff val="50000"/>
                </a:schemeClr>
              </a:solidFill>
              <a:prstDash val="solid"/>
              <a:round/>
            </a:ln>
            <a:effectLst/>
          </c:spPr>
          <c:marker>
            <c:symbol val="none"/>
          </c:marker>
          <c:dPt>
            <c:idx val="16"/>
            <c:marker>
              <c:symbol val="none"/>
            </c:marker>
            <c:bubble3D val="0"/>
            <c:spPr>
              <a:ln w="28575" cap="rnd">
                <a:solidFill>
                  <a:schemeClr val="tx1">
                    <a:lumMod val="50000"/>
                    <a:lumOff val="50000"/>
                  </a:schemeClr>
                </a:solidFill>
                <a:prstDash val="solid"/>
                <a:round/>
              </a:ln>
              <a:effectLst/>
            </c:spPr>
            <c:extLst>
              <c:ext xmlns:c16="http://schemas.microsoft.com/office/drawing/2014/chart" uri="{C3380CC4-5D6E-409C-BE32-E72D297353CC}">
                <c16:uniqueId val="{00000023-069A-4DCE-A5C6-B4E9414EE809}"/>
              </c:ext>
            </c:extLst>
          </c:dPt>
          <c:cat>
            <c:multiLvlStrRef>
              <c:f>'Parnervalstu svērtā izaugsme'!$A$18:$B$41</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2013</c:v>
                  </c:pt>
                  <c:pt idx="4">
                    <c:v>2014</c:v>
                  </c:pt>
                  <c:pt idx="8">
                    <c:v>2015</c:v>
                  </c:pt>
                  <c:pt idx="12">
                    <c:v>2016</c:v>
                  </c:pt>
                  <c:pt idx="16">
                    <c:v>2017</c:v>
                  </c:pt>
                  <c:pt idx="20">
                    <c:v>2018</c:v>
                  </c:pt>
                </c:lvl>
              </c:multiLvlStrCache>
            </c:multiLvlStrRef>
          </c:cat>
          <c:val>
            <c:numRef>
              <c:f>'Parnervalstu svērtā izaugsme'!$M$18:$M$41</c:f>
              <c:numCache>
                <c:formatCode>#\ ##0.0</c:formatCode>
                <c:ptCount val="24"/>
                <c:pt idx="0">
                  <c:v>1.6355690708120054</c:v>
                </c:pt>
                <c:pt idx="1">
                  <c:v>2.0472298357511498</c:v>
                </c:pt>
                <c:pt idx="2">
                  <c:v>1.9260555818569529</c:v>
                </c:pt>
                <c:pt idx="3">
                  <c:v>2.4410346886507179</c:v>
                </c:pt>
                <c:pt idx="4">
                  <c:v>2.5140615337979724</c:v>
                </c:pt>
                <c:pt idx="5">
                  <c:v>2.6051930829685461</c:v>
                </c:pt>
                <c:pt idx="6">
                  <c:v>2.4329071351240632</c:v>
                </c:pt>
                <c:pt idx="7">
                  <c:v>2.5888919184909338</c:v>
                </c:pt>
                <c:pt idx="8">
                  <c:v>1.478088654256472</c:v>
                </c:pt>
                <c:pt idx="9">
                  <c:v>1.6791299873327519</c:v>
                </c:pt>
                <c:pt idx="10">
                  <c:v>1.7236101733934712</c:v>
                </c:pt>
                <c:pt idx="11">
                  <c:v>1.6562115158972401</c:v>
                </c:pt>
                <c:pt idx="12">
                  <c:v>2.1050825032579912</c:v>
                </c:pt>
                <c:pt idx="13">
                  <c:v>2.0631523018351086</c:v>
                </c:pt>
                <c:pt idx="14">
                  <c:v>1.8353429908958365</c:v>
                </c:pt>
                <c:pt idx="15">
                  <c:v>2.6224754233863892</c:v>
                </c:pt>
                <c:pt idx="16">
                  <c:v>3.4784308792264453</c:v>
                </c:pt>
                <c:pt idx="17">
                  <c:v>3.2179176475324351</c:v>
                </c:pt>
                <c:pt idx="18">
                  <c:v>2.8020541535737644</c:v>
                </c:pt>
                <c:pt idx="19">
                  <c:v>2.7672547991142094</c:v>
                </c:pt>
                <c:pt idx="20">
                  <c:v>2.4301243565846917</c:v>
                </c:pt>
                <c:pt idx="21">
                  <c:v>2.882027561906928</c:v>
                </c:pt>
                <c:pt idx="22">
                  <c:v>2.2664923644864952</c:v>
                </c:pt>
                <c:pt idx="23">
                  <c:v>2.5695602537565003</c:v>
                </c:pt>
              </c:numCache>
            </c:numRef>
          </c:val>
          <c:smooth val="0"/>
          <c:extLst>
            <c:ext xmlns:c16="http://schemas.microsoft.com/office/drawing/2014/chart" uri="{C3380CC4-5D6E-409C-BE32-E72D297353CC}">
              <c16:uniqueId val="{00000024-069A-4DCE-A5C6-B4E9414EE809}"/>
            </c:ext>
          </c:extLst>
        </c:ser>
        <c:ser>
          <c:idx val="6"/>
          <c:order val="3"/>
          <c:tx>
            <c:strRef>
              <c:f>'Parnervalstu svērtā izaugsme'!$N$8</c:f>
              <c:strCache>
                <c:ptCount val="1"/>
                <c:pt idx="0">
                  <c:v>Partnervalstis (bez Krievijas)</c:v>
                </c:pt>
              </c:strCache>
            </c:strRef>
          </c:tx>
          <c:spPr>
            <a:ln w="31750" cap="rnd">
              <a:solidFill>
                <a:schemeClr val="tx1">
                  <a:lumMod val="65000"/>
                  <a:lumOff val="35000"/>
                </a:schemeClr>
              </a:solidFill>
              <a:prstDash val="sysDash"/>
              <a:round/>
            </a:ln>
            <a:effectLst/>
          </c:spPr>
          <c:marker>
            <c:symbol val="none"/>
          </c:marker>
          <c:dPt>
            <c:idx val="16"/>
            <c:marker>
              <c:symbol val="none"/>
            </c:marker>
            <c:bubble3D val="0"/>
            <c:spPr>
              <a:ln w="31750" cap="rnd">
                <a:solidFill>
                  <a:schemeClr val="tx1">
                    <a:lumMod val="65000"/>
                    <a:lumOff val="35000"/>
                  </a:schemeClr>
                </a:solidFill>
                <a:prstDash val="sysDash"/>
                <a:round/>
              </a:ln>
              <a:effectLst/>
            </c:spPr>
            <c:extLst>
              <c:ext xmlns:c16="http://schemas.microsoft.com/office/drawing/2014/chart" uri="{C3380CC4-5D6E-409C-BE32-E72D297353CC}">
                <c16:uniqueId val="{00000026-069A-4DCE-A5C6-B4E9414EE809}"/>
              </c:ext>
            </c:extLst>
          </c:dPt>
          <c:dPt>
            <c:idx val="17"/>
            <c:marker>
              <c:symbol val="none"/>
            </c:marker>
            <c:bubble3D val="0"/>
            <c:spPr>
              <a:ln w="31750" cap="rnd">
                <a:solidFill>
                  <a:schemeClr val="tx1">
                    <a:lumMod val="65000"/>
                    <a:lumOff val="35000"/>
                  </a:schemeClr>
                </a:solidFill>
                <a:prstDash val="sysDash"/>
                <a:round/>
              </a:ln>
              <a:effectLst/>
            </c:spPr>
            <c:extLst>
              <c:ext xmlns:c16="http://schemas.microsoft.com/office/drawing/2014/chart" uri="{C3380CC4-5D6E-409C-BE32-E72D297353CC}">
                <c16:uniqueId val="{00000028-069A-4DCE-A5C6-B4E9414EE809}"/>
              </c:ext>
            </c:extLst>
          </c:dPt>
          <c:cat>
            <c:multiLvlStrRef>
              <c:f>'Parnervalstu svērtā izaugsme'!$A$18:$B$41</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2013</c:v>
                  </c:pt>
                  <c:pt idx="4">
                    <c:v>2014</c:v>
                  </c:pt>
                  <c:pt idx="8">
                    <c:v>2015</c:v>
                  </c:pt>
                  <c:pt idx="12">
                    <c:v>2016</c:v>
                  </c:pt>
                  <c:pt idx="16">
                    <c:v>2017</c:v>
                  </c:pt>
                  <c:pt idx="20">
                    <c:v>2018</c:v>
                  </c:pt>
                </c:lvl>
              </c:multiLvlStrCache>
            </c:multiLvlStrRef>
          </c:cat>
          <c:val>
            <c:numRef>
              <c:f>'Parnervalstu svērtā izaugsme'!$N$18:$N$41</c:f>
              <c:numCache>
                <c:formatCode>#\ ##0.0</c:formatCode>
                <c:ptCount val="24"/>
                <c:pt idx="0">
                  <c:v>1.7022845932013728</c:v>
                </c:pt>
                <c:pt idx="1">
                  <c:v>2.1112999636733321</c:v>
                </c:pt>
                <c:pt idx="2">
                  <c:v>1.9787831407452621</c:v>
                </c:pt>
                <c:pt idx="3">
                  <c:v>2.4359246828462005</c:v>
                </c:pt>
                <c:pt idx="4">
                  <c:v>2.8738633360878327</c:v>
                </c:pt>
                <c:pt idx="5">
                  <c:v>2.8342667613612247</c:v>
                </c:pt>
                <c:pt idx="6">
                  <c:v>2.7059087672490389</c:v>
                </c:pt>
                <c:pt idx="7">
                  <c:v>2.9863800215331548</c:v>
                </c:pt>
                <c:pt idx="8">
                  <c:v>1.9939330720228394</c:v>
                </c:pt>
                <c:pt idx="9">
                  <c:v>2.550509774031561</c:v>
                </c:pt>
                <c:pt idx="10">
                  <c:v>2.4780691791990468</c:v>
                </c:pt>
                <c:pt idx="11">
                  <c:v>2.429229780718122</c:v>
                </c:pt>
                <c:pt idx="12">
                  <c:v>2.565375754752528</c:v>
                </c:pt>
                <c:pt idx="13">
                  <c:v>2.4923322264261114</c:v>
                </c:pt>
                <c:pt idx="14">
                  <c:v>2.2008681671450021</c:v>
                </c:pt>
                <c:pt idx="15">
                  <c:v>3.0198460157737985</c:v>
                </c:pt>
                <c:pt idx="16">
                  <c:v>3.9842215804054706</c:v>
                </c:pt>
                <c:pt idx="17">
                  <c:v>3.3413745741001919</c:v>
                </c:pt>
                <c:pt idx="18">
                  <c:v>2.9109445325877732</c:v>
                </c:pt>
                <c:pt idx="19">
                  <c:v>3.1001349174634578</c:v>
                </c:pt>
                <c:pt idx="20">
                  <c:v>2.6214684751315627</c:v>
                </c:pt>
                <c:pt idx="21">
                  <c:v>3.0470624685197247</c:v>
                </c:pt>
                <c:pt idx="22">
                  <c:v>2.3941658715726231</c:v>
                </c:pt>
                <c:pt idx="23">
                  <c:v>2.7048544674817827</c:v>
                </c:pt>
              </c:numCache>
            </c:numRef>
          </c:val>
          <c:smooth val="0"/>
          <c:extLst>
            <c:ext xmlns:c16="http://schemas.microsoft.com/office/drawing/2014/chart" uri="{C3380CC4-5D6E-409C-BE32-E72D297353CC}">
              <c16:uniqueId val="{00000029-069A-4DCE-A5C6-B4E9414EE809}"/>
            </c:ext>
          </c:extLst>
        </c:ser>
        <c:dLbls>
          <c:showLegendKey val="0"/>
          <c:showVal val="0"/>
          <c:showCatName val="0"/>
          <c:showSerName val="0"/>
          <c:showPercent val="0"/>
          <c:showBubbleSize val="0"/>
        </c:dLbls>
        <c:smooth val="0"/>
        <c:axId val="211000216"/>
        <c:axId val="211000608"/>
      </c:lineChart>
      <c:catAx>
        <c:axId val="211000216"/>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1000608"/>
        <c:crosses val="autoZero"/>
        <c:auto val="1"/>
        <c:lblAlgn val="ctr"/>
        <c:lblOffset val="100"/>
        <c:noMultiLvlLbl val="0"/>
      </c:catAx>
      <c:valAx>
        <c:axId val="21100060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low"/>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1000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33446323252023E-2"/>
          <c:y val="5.2346246382565437E-2"/>
          <c:w val="0.66576346745979442"/>
          <c:h val="0.84960307555771719"/>
        </c:manualLayout>
      </c:layout>
      <c:barChart>
        <c:barDir val="col"/>
        <c:grouping val="clustered"/>
        <c:varyColors val="0"/>
        <c:ser>
          <c:idx val="0"/>
          <c:order val="0"/>
          <c:tx>
            <c:strRef>
              <c:f>Dati!$A$13</c:f>
              <c:strCache>
                <c:ptCount val="1"/>
                <c:pt idx="0">
                  <c:v>Patēriņa nodokļi</c:v>
                </c:pt>
              </c:strCache>
            </c:strRef>
          </c:tx>
          <c:spPr>
            <a:solidFill>
              <a:schemeClr val="accent1"/>
            </a:solidFill>
            <a:ln>
              <a:noFill/>
            </a:ln>
            <a:effectLst/>
          </c:spPr>
          <c:invertIfNegative val="0"/>
          <c:cat>
            <c:numRef>
              <c:f>Dati!$J$1:$N$1</c:f>
              <c:numCache>
                <c:formatCode>General</c:formatCode>
                <c:ptCount val="5"/>
                <c:pt idx="0">
                  <c:v>2018</c:v>
                </c:pt>
                <c:pt idx="1">
                  <c:v>2019</c:v>
                </c:pt>
                <c:pt idx="2">
                  <c:v>2020</c:v>
                </c:pt>
                <c:pt idx="3">
                  <c:v>2021</c:v>
                </c:pt>
                <c:pt idx="4">
                  <c:v>2022</c:v>
                </c:pt>
              </c:numCache>
            </c:numRef>
          </c:cat>
          <c:val>
            <c:numRef>
              <c:f>Dati!$J$13:$N$13</c:f>
              <c:numCache>
                <c:formatCode>0.0%</c:formatCode>
                <c:ptCount val="5"/>
                <c:pt idx="0">
                  <c:v>0.13105772865802992</c:v>
                </c:pt>
                <c:pt idx="1">
                  <c:v>0.13463837439557266</c:v>
                </c:pt>
                <c:pt idx="2">
                  <c:v>0.13593426765788305</c:v>
                </c:pt>
                <c:pt idx="3">
                  <c:v>0.13565007688042707</c:v>
                </c:pt>
                <c:pt idx="4">
                  <c:v>0.13420745342190712</c:v>
                </c:pt>
              </c:numCache>
            </c:numRef>
          </c:val>
          <c:extLst>
            <c:ext xmlns:c16="http://schemas.microsoft.com/office/drawing/2014/chart" uri="{C3380CC4-5D6E-409C-BE32-E72D297353CC}">
              <c16:uniqueId val="{00000000-0A69-4354-BFA3-A9441CBC7AD2}"/>
            </c:ext>
          </c:extLst>
        </c:ser>
        <c:ser>
          <c:idx val="1"/>
          <c:order val="1"/>
          <c:tx>
            <c:strRef>
              <c:f>Dati!$A$14</c:f>
              <c:strCache>
                <c:ptCount val="1"/>
                <c:pt idx="0">
                  <c:v>Darba nodokļi</c:v>
                </c:pt>
              </c:strCache>
            </c:strRef>
          </c:tx>
          <c:spPr>
            <a:solidFill>
              <a:srgbClr val="FFCC66"/>
            </a:solidFill>
            <a:ln>
              <a:noFill/>
            </a:ln>
            <a:effectLst/>
          </c:spPr>
          <c:invertIfNegative val="0"/>
          <c:cat>
            <c:numRef>
              <c:f>Dati!$J$1:$N$1</c:f>
              <c:numCache>
                <c:formatCode>General</c:formatCode>
                <c:ptCount val="5"/>
                <c:pt idx="0">
                  <c:v>2018</c:v>
                </c:pt>
                <c:pt idx="1">
                  <c:v>2019</c:v>
                </c:pt>
                <c:pt idx="2">
                  <c:v>2020</c:v>
                </c:pt>
                <c:pt idx="3">
                  <c:v>2021</c:v>
                </c:pt>
                <c:pt idx="4">
                  <c:v>2022</c:v>
                </c:pt>
              </c:numCache>
            </c:numRef>
          </c:cat>
          <c:val>
            <c:numRef>
              <c:f>Dati!$J$14:$N$14</c:f>
              <c:numCache>
                <c:formatCode>0.0%</c:formatCode>
                <c:ptCount val="5"/>
                <c:pt idx="0">
                  <c:v>0.14446312310756865</c:v>
                </c:pt>
                <c:pt idx="1">
                  <c:v>0.14200781542982333</c:v>
                </c:pt>
                <c:pt idx="2">
                  <c:v>0.13902099684265787</c:v>
                </c:pt>
                <c:pt idx="3">
                  <c:v>0.13861340928133983</c:v>
                </c:pt>
                <c:pt idx="4">
                  <c:v>0.13867282023599681</c:v>
                </c:pt>
              </c:numCache>
            </c:numRef>
          </c:val>
          <c:extLst>
            <c:ext xmlns:c16="http://schemas.microsoft.com/office/drawing/2014/chart" uri="{C3380CC4-5D6E-409C-BE32-E72D297353CC}">
              <c16:uniqueId val="{00000001-0A69-4354-BFA3-A9441CBC7AD2}"/>
            </c:ext>
          </c:extLst>
        </c:ser>
        <c:ser>
          <c:idx val="2"/>
          <c:order val="2"/>
          <c:tx>
            <c:strRef>
              <c:f>Dati!$A$15</c:f>
              <c:strCache>
                <c:ptCount val="1"/>
                <c:pt idx="0">
                  <c:v>Kapitāla nodokļi</c:v>
                </c:pt>
              </c:strCache>
            </c:strRef>
          </c:tx>
          <c:spPr>
            <a:solidFill>
              <a:schemeClr val="bg1">
                <a:lumMod val="65000"/>
              </a:schemeClr>
            </a:solidFill>
            <a:ln>
              <a:noFill/>
            </a:ln>
            <a:effectLst/>
          </c:spPr>
          <c:invertIfNegative val="0"/>
          <c:cat>
            <c:numRef>
              <c:f>Dati!$J$1:$N$1</c:f>
              <c:numCache>
                <c:formatCode>General</c:formatCode>
                <c:ptCount val="5"/>
                <c:pt idx="0">
                  <c:v>2018</c:v>
                </c:pt>
                <c:pt idx="1">
                  <c:v>2019</c:v>
                </c:pt>
                <c:pt idx="2">
                  <c:v>2020</c:v>
                </c:pt>
                <c:pt idx="3">
                  <c:v>2021</c:v>
                </c:pt>
                <c:pt idx="4">
                  <c:v>2022</c:v>
                </c:pt>
              </c:numCache>
            </c:numRef>
          </c:cat>
          <c:val>
            <c:numRef>
              <c:f>Dati!$J$15:$N$15</c:f>
              <c:numCache>
                <c:formatCode>0.0%</c:formatCode>
                <c:ptCount val="5"/>
                <c:pt idx="0">
                  <c:v>2.8593196322639385E-2</c:v>
                </c:pt>
                <c:pt idx="1">
                  <c:v>2.3764153795683692E-2</c:v>
                </c:pt>
                <c:pt idx="2">
                  <c:v>2.7306569749470148E-2</c:v>
                </c:pt>
                <c:pt idx="3">
                  <c:v>2.6855909000877153E-2</c:v>
                </c:pt>
                <c:pt idx="4">
                  <c:v>2.6404291140066493E-2</c:v>
                </c:pt>
              </c:numCache>
            </c:numRef>
          </c:val>
          <c:extLst>
            <c:ext xmlns:c16="http://schemas.microsoft.com/office/drawing/2014/chart" uri="{C3380CC4-5D6E-409C-BE32-E72D297353CC}">
              <c16:uniqueId val="{00000002-0A69-4354-BFA3-A9441CBC7AD2}"/>
            </c:ext>
          </c:extLst>
        </c:ser>
        <c:dLbls>
          <c:showLegendKey val="0"/>
          <c:showVal val="0"/>
          <c:showCatName val="0"/>
          <c:showSerName val="0"/>
          <c:showPercent val="0"/>
          <c:showBubbleSize val="0"/>
        </c:dLbls>
        <c:gapWidth val="150"/>
        <c:axId val="269441704"/>
        <c:axId val="269459280"/>
      </c:barChart>
      <c:catAx>
        <c:axId val="26944170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v-LV"/>
          </a:p>
        </c:txPr>
        <c:crossAx val="269459280"/>
        <c:crosses val="autoZero"/>
        <c:auto val="1"/>
        <c:lblAlgn val="ctr"/>
        <c:lblOffset val="100"/>
        <c:noMultiLvlLbl val="0"/>
      </c:catAx>
      <c:valAx>
        <c:axId val="269459280"/>
        <c:scaling>
          <c:orientation val="minMax"/>
          <c:max val="0.16"/>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v-LV"/>
          </a:p>
        </c:txPr>
        <c:crossAx val="269441704"/>
        <c:crosses val="autoZero"/>
        <c:crossBetween val="between"/>
        <c:majorUnit val="2.0000000000000011E-2"/>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v-LV"/>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Times New Roman" pitchFamily="18" charset="0"/>
          <a:cs typeface="Times New Roman"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solidFill>
                  <a:sysClr val="windowText" lastClr="000000"/>
                </a:solidFill>
              </a:rPr>
              <a:t>Strādājošajam (bez apgādībā esošām personām)</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plaisa'!$A$58</c:f>
              <c:strCache>
                <c:ptCount val="1"/>
                <c:pt idx="0">
                  <c:v>67% no vidējās algas</c:v>
                </c:pt>
              </c:strCache>
            </c:strRef>
          </c:tx>
          <c:spPr>
            <a:ln w="22225" cap="rnd">
              <a:solidFill>
                <a:srgbClr val="0070C0"/>
              </a:solidFill>
              <a:round/>
            </a:ln>
            <a:effectLst/>
          </c:spPr>
          <c:marker>
            <c:symbol val="diamond"/>
            <c:size val="5"/>
            <c:spPr>
              <a:solidFill>
                <a:srgbClr val="0070C0"/>
              </a:solidFill>
              <a:ln w="9525">
                <a:solidFill>
                  <a:srgbClr val="0070C0"/>
                </a:solidFill>
              </a:ln>
              <a:effectLst/>
            </c:spPr>
          </c:marker>
          <c:dPt>
            <c:idx val="7"/>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1-BAC5-4CE4-A77A-1FEB62891EB1}"/>
              </c:ext>
            </c:extLst>
          </c:dPt>
          <c:dPt>
            <c:idx val="8"/>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3-BAC5-4CE4-A77A-1FEB62891EB1}"/>
              </c:ext>
            </c:extLst>
          </c:dPt>
          <c:dPt>
            <c:idx val="9"/>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5-BAC5-4CE4-A77A-1FEB62891EB1}"/>
              </c:ext>
            </c:extLst>
          </c:dPt>
          <c:dPt>
            <c:idx val="10"/>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7-BAC5-4CE4-A77A-1FEB62891EB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plaisa'!$B$57:$L$57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plaisa'!$B$58:$L$58</c:f>
              <c:numCache>
                <c:formatCode>0.0</c:formatCode>
                <c:ptCount val="11"/>
                <c:pt idx="0">
                  <c:v>43.29122016974312</c:v>
                </c:pt>
                <c:pt idx="1">
                  <c:v>43.397686482201927</c:v>
                </c:pt>
                <c:pt idx="2">
                  <c:v>42.909718604885633</c:v>
                </c:pt>
                <c:pt idx="3">
                  <c:v>42.121650212642678</c:v>
                </c:pt>
                <c:pt idx="4">
                  <c:v>41.692316849295622</c:v>
                </c:pt>
                <c:pt idx="5">
                  <c:v>41.813588242263734</c:v>
                </c:pt>
                <c:pt idx="6">
                  <c:v>41.897564989590762</c:v>
                </c:pt>
                <c:pt idx="7">
                  <c:v>39.518929491561266</c:v>
                </c:pt>
                <c:pt idx="8">
                  <c:v>39.204018260286425</c:v>
                </c:pt>
                <c:pt idx="9">
                  <c:v>39.063385794705709</c:v>
                </c:pt>
                <c:pt idx="10">
                  <c:v>39.483440494192315</c:v>
                </c:pt>
              </c:numCache>
            </c:numRef>
          </c:val>
          <c:smooth val="0"/>
          <c:extLst>
            <c:ext xmlns:c16="http://schemas.microsoft.com/office/drawing/2014/chart" uri="{C3380CC4-5D6E-409C-BE32-E72D297353CC}">
              <c16:uniqueId val="{00000008-BAC5-4CE4-A77A-1FEB62891EB1}"/>
            </c:ext>
          </c:extLst>
        </c:ser>
        <c:ser>
          <c:idx val="2"/>
          <c:order val="1"/>
          <c:tx>
            <c:strRef>
              <c:f>'Nodokļu plaisa'!$A$59</c:f>
              <c:strCache>
                <c:ptCount val="1"/>
                <c:pt idx="0">
                  <c:v>100% no vidējās algas</c:v>
                </c:pt>
              </c:strCache>
            </c:strRef>
          </c:tx>
          <c:spPr>
            <a:ln w="22225" cap="rnd">
              <a:solidFill>
                <a:srgbClr val="FF0000"/>
              </a:solidFill>
              <a:round/>
            </a:ln>
            <a:effectLst/>
          </c:spPr>
          <c:marker>
            <c:symbol val="triangle"/>
            <c:size val="5"/>
            <c:spPr>
              <a:solidFill>
                <a:srgbClr val="FF0000"/>
              </a:solidFill>
              <a:ln w="9525">
                <a:solidFill>
                  <a:srgbClr val="FF0000"/>
                </a:solidFill>
              </a:ln>
              <a:effectLst/>
            </c:spPr>
          </c:marker>
          <c:dPt>
            <c:idx val="7"/>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0A-BAC5-4CE4-A77A-1FEB62891EB1}"/>
              </c:ext>
            </c:extLst>
          </c:dPt>
          <c:dPt>
            <c:idx val="8"/>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0C-BAC5-4CE4-A77A-1FEB62891EB1}"/>
              </c:ext>
            </c:extLst>
          </c:dPt>
          <c:dPt>
            <c:idx val="9"/>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0E-BAC5-4CE4-A77A-1FEB62891EB1}"/>
              </c:ext>
            </c:extLst>
          </c:dPt>
          <c:dPt>
            <c:idx val="10"/>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10-BAC5-4CE4-A77A-1FEB62891EB1}"/>
              </c:ext>
            </c:extLst>
          </c:dPt>
          <c:dLbls>
            <c:dLbl>
              <c:idx val="0"/>
              <c:layout>
                <c:manualLayout>
                  <c:x val="-4.1007853675811938E-2"/>
                  <c:y val="3.23604938871494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AC5-4CE4-A77A-1FEB62891EB1}"/>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2-BAC5-4CE4-A77A-1FEB62891EB1}"/>
                </c:ext>
              </c:extLst>
            </c:dLbl>
            <c:dLbl>
              <c:idx val="2"/>
              <c:layout>
                <c:manualLayout>
                  <c:x val="-4.6299189633981212E-2"/>
                  <c:y val="2.4834797634324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AC5-4CE4-A77A-1FEB62891EB1}"/>
                </c:ext>
              </c:extLst>
            </c:dLbl>
            <c:dLbl>
              <c:idx val="3"/>
              <c:layout>
                <c:manualLayout>
                  <c:x val="-4.1007853675811931E-2"/>
                  <c:y val="2.85976457607367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AC5-4CE4-A77A-1FEB62891EB1}"/>
                </c:ext>
              </c:extLst>
            </c:dLbl>
            <c:dLbl>
              <c:idx val="4"/>
              <c:layout>
                <c:manualLayout>
                  <c:x val="-4.1007853675811931E-2"/>
                  <c:y val="2.10719495079112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AC5-4CE4-A77A-1FEB62891EB1}"/>
                </c:ext>
              </c:extLst>
            </c:dLbl>
            <c:dLbl>
              <c:idx val="5"/>
              <c:layout>
                <c:manualLayout>
                  <c:x val="-4.1007853675812028E-2"/>
                  <c:y val="2.10719495079113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BAC5-4CE4-A77A-1FEB62891EB1}"/>
                </c:ext>
              </c:extLst>
            </c:dLbl>
            <c:dLbl>
              <c:idx val="6"/>
              <c:layout>
                <c:manualLayout>
                  <c:x val="-4.1007853675811931E-2"/>
                  <c:y val="3.6123342013562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AC5-4CE4-A77A-1FEB62891EB1}"/>
                </c:ext>
              </c:extLst>
            </c:dLbl>
            <c:dLbl>
              <c:idx val="10"/>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0-BAC5-4CE4-A77A-1FEB62891EB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plaisa'!$B$57:$L$57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plaisa'!$B$59:$L$59</c:f>
              <c:numCache>
                <c:formatCode>0.0</c:formatCode>
                <c:ptCount val="11"/>
                <c:pt idx="0">
                  <c:v>44.253888566995684</c:v>
                </c:pt>
                <c:pt idx="1">
                  <c:v>44.325220996343084</c:v>
                </c:pt>
                <c:pt idx="2">
                  <c:v>43.761599465918067</c:v>
                </c:pt>
                <c:pt idx="3">
                  <c:v>43.059356601286034</c:v>
                </c:pt>
                <c:pt idx="4">
                  <c:v>42.532727602564755</c:v>
                </c:pt>
                <c:pt idx="5">
                  <c:v>42.613979435853395</c:v>
                </c:pt>
                <c:pt idx="6">
                  <c:v>42.902735096640036</c:v>
                </c:pt>
                <c:pt idx="7">
                  <c:v>42.442581507950166</c:v>
                </c:pt>
                <c:pt idx="8">
                  <c:v>42.185541456730519</c:v>
                </c:pt>
                <c:pt idx="9">
                  <c:v>41.987403313284439</c:v>
                </c:pt>
                <c:pt idx="10">
                  <c:v>42.268839961940472</c:v>
                </c:pt>
              </c:numCache>
            </c:numRef>
          </c:val>
          <c:smooth val="0"/>
          <c:extLst>
            <c:ext xmlns:c16="http://schemas.microsoft.com/office/drawing/2014/chart" uri="{C3380CC4-5D6E-409C-BE32-E72D297353CC}">
              <c16:uniqueId val="{00000018-BAC5-4CE4-A77A-1FEB62891EB1}"/>
            </c:ext>
          </c:extLst>
        </c:ser>
        <c:ser>
          <c:idx val="3"/>
          <c:order val="2"/>
          <c:tx>
            <c:strRef>
              <c:f>'Nodokļu plaisa'!$A$60</c:f>
              <c:strCache>
                <c:ptCount val="1"/>
                <c:pt idx="0">
                  <c:v>167% no vidējās algas</c:v>
                </c:pt>
              </c:strCache>
            </c:strRef>
          </c:tx>
          <c:spPr>
            <a:ln w="22225" cap="rnd">
              <a:solidFill>
                <a:srgbClr val="00B050"/>
              </a:solidFill>
              <a:round/>
            </a:ln>
            <a:effectLst/>
          </c:spPr>
          <c:marker>
            <c:symbol val="square"/>
            <c:size val="5"/>
            <c:spPr>
              <a:solidFill>
                <a:srgbClr val="00B050"/>
              </a:solidFill>
              <a:ln w="9525">
                <a:solidFill>
                  <a:srgbClr val="00B050"/>
                </a:solidFill>
              </a:ln>
              <a:effectLst/>
            </c:spPr>
          </c:marker>
          <c:dPt>
            <c:idx val="7"/>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A-BAC5-4CE4-A77A-1FEB62891EB1}"/>
              </c:ext>
            </c:extLst>
          </c:dPt>
          <c:dPt>
            <c:idx val="8"/>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C-BAC5-4CE4-A77A-1FEB62891EB1}"/>
              </c:ext>
            </c:extLst>
          </c:dPt>
          <c:dPt>
            <c:idx val="9"/>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E-BAC5-4CE4-A77A-1FEB62891EB1}"/>
              </c:ext>
            </c:extLst>
          </c:dPt>
          <c:dPt>
            <c:idx val="10"/>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20-BAC5-4CE4-A77A-1FEB62891EB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plaisa'!$B$57:$L$57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plaisa'!$B$60:$L$60</c:f>
              <c:numCache>
                <c:formatCode>0.0</c:formatCode>
                <c:ptCount val="11"/>
                <c:pt idx="0">
                  <c:v>45.038032721462514</c:v>
                </c:pt>
                <c:pt idx="1">
                  <c:v>45.080746751011858</c:v>
                </c:pt>
                <c:pt idx="2">
                  <c:v>44.455501332217224</c:v>
                </c:pt>
                <c:pt idx="3">
                  <c:v>43.823167883924391</c:v>
                </c:pt>
                <c:pt idx="4">
                  <c:v>43.217286461469705</c:v>
                </c:pt>
                <c:pt idx="5">
                  <c:v>43.265940253858112</c:v>
                </c:pt>
                <c:pt idx="6">
                  <c:v>43.50815220101201</c:v>
                </c:pt>
                <c:pt idx="7">
                  <c:v>42.62229027318881</c:v>
                </c:pt>
                <c:pt idx="8">
                  <c:v>42.675425577950691</c:v>
                </c:pt>
                <c:pt idx="9">
                  <c:v>42.788019141006735</c:v>
                </c:pt>
                <c:pt idx="10">
                  <c:v>42.894772949065199</c:v>
                </c:pt>
              </c:numCache>
            </c:numRef>
          </c:val>
          <c:smooth val="0"/>
          <c:extLst>
            <c:ext xmlns:c16="http://schemas.microsoft.com/office/drawing/2014/chart" uri="{C3380CC4-5D6E-409C-BE32-E72D297353CC}">
              <c16:uniqueId val="{00000021-BAC5-4CE4-A77A-1FEB62891EB1}"/>
            </c:ext>
          </c:extLst>
        </c:ser>
        <c:dLbls>
          <c:showLegendKey val="0"/>
          <c:showVal val="0"/>
          <c:showCatName val="0"/>
          <c:showSerName val="0"/>
          <c:showPercent val="0"/>
          <c:showBubbleSize val="0"/>
        </c:dLbls>
        <c:marker val="1"/>
        <c:smooth val="0"/>
        <c:axId val="134620304"/>
        <c:axId val="134620696"/>
      </c:lineChart>
      <c:catAx>
        <c:axId val="13462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620696"/>
        <c:crosses val="autoZero"/>
        <c:auto val="1"/>
        <c:lblAlgn val="ctr"/>
        <c:lblOffset val="100"/>
        <c:noMultiLvlLbl val="0"/>
      </c:catAx>
      <c:valAx>
        <c:axId val="134620696"/>
        <c:scaling>
          <c:orientation val="minMax"/>
          <c:max val="46"/>
          <c:min val="3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620304"/>
        <c:crosses val="autoZero"/>
        <c:crossBetween val="between"/>
      </c:valAx>
      <c:spPr>
        <a:noFill/>
        <a:ln>
          <a:noFill/>
        </a:ln>
        <a:effectLst/>
      </c:spPr>
    </c:plotArea>
    <c:legend>
      <c:legendPos val="b"/>
      <c:layout>
        <c:manualLayout>
          <c:xMode val="edge"/>
          <c:yMode val="edge"/>
          <c:x val="2.4903630915345393E-2"/>
          <c:y val="0.79448073829480992"/>
          <c:w val="0.92839408697890968"/>
          <c:h val="0.182941664549995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solidFill>
                  <a:sysClr val="windowText" lastClr="000000"/>
                </a:solidFill>
              </a:rPr>
              <a:t>Strādājošajam (ar 1 apgādībā esošu personu)</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plaisa'!$N$58</c:f>
              <c:strCache>
                <c:ptCount val="1"/>
                <c:pt idx="0">
                  <c:v>67% no vidējās algas</c:v>
                </c:pt>
              </c:strCache>
            </c:strRef>
          </c:tx>
          <c:spPr>
            <a:ln w="22225" cap="rnd">
              <a:solidFill>
                <a:srgbClr val="0070C0"/>
              </a:solidFill>
              <a:round/>
            </a:ln>
            <a:effectLst/>
          </c:spPr>
          <c:marker>
            <c:symbol val="diamond"/>
            <c:size val="5"/>
            <c:spPr>
              <a:solidFill>
                <a:srgbClr val="0070C0"/>
              </a:solidFill>
              <a:ln w="9525">
                <a:solidFill>
                  <a:srgbClr val="0070C0"/>
                </a:solidFill>
              </a:ln>
              <a:effectLst/>
            </c:spPr>
          </c:marker>
          <c:dPt>
            <c:idx val="7"/>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1-2DCE-4972-A956-17BC7D33F1CF}"/>
              </c:ext>
            </c:extLst>
          </c:dPt>
          <c:dPt>
            <c:idx val="8"/>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3-2DCE-4972-A956-17BC7D33F1CF}"/>
              </c:ext>
            </c:extLst>
          </c:dPt>
          <c:dPt>
            <c:idx val="9"/>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5-2DCE-4972-A956-17BC7D33F1CF}"/>
              </c:ext>
            </c:extLst>
          </c:dPt>
          <c:dPt>
            <c:idx val="10"/>
            <c:marker>
              <c:symbol val="diamond"/>
              <c:size val="5"/>
              <c:spPr>
                <a:solidFill>
                  <a:srgbClr val="0070C0"/>
                </a:solidFill>
                <a:ln w="9525">
                  <a:solidFill>
                    <a:srgbClr val="0070C0"/>
                  </a:solidFill>
                </a:ln>
                <a:effectLst/>
              </c:spPr>
            </c:marker>
            <c:bubble3D val="0"/>
            <c:spPr>
              <a:ln w="22225" cap="rnd">
                <a:solidFill>
                  <a:srgbClr val="0070C0"/>
                </a:solidFill>
                <a:prstDash val="sysDash"/>
                <a:round/>
              </a:ln>
              <a:effectLst/>
            </c:spPr>
            <c:extLst>
              <c:ext xmlns:c16="http://schemas.microsoft.com/office/drawing/2014/chart" uri="{C3380CC4-5D6E-409C-BE32-E72D297353CC}">
                <c16:uniqueId val="{00000007-2DCE-4972-A956-17BC7D33F1C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'Nodokļu plaisa'!$O$57:$Y$57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plaisa'!$O$58:$Y$58</c:f>
              <c:numCache>
                <c:formatCode>0.0</c:formatCode>
                <c:ptCount val="11"/>
                <c:pt idx="0">
                  <c:v>38.753389340943173</c:v>
                </c:pt>
                <c:pt idx="1">
                  <c:v>39.025469917226793</c:v>
                </c:pt>
                <c:pt idx="2">
                  <c:v>38.607290013812737</c:v>
                </c:pt>
                <c:pt idx="3">
                  <c:v>35.870274288353663</c:v>
                </c:pt>
                <c:pt idx="4">
                  <c:v>36.089578494168002</c:v>
                </c:pt>
                <c:pt idx="5">
                  <c:v>36.154256570417665</c:v>
                </c:pt>
                <c:pt idx="6">
                  <c:v>36.584257154900804</c:v>
                </c:pt>
                <c:pt idx="7">
                  <c:v>34.557580615264946</c:v>
                </c:pt>
                <c:pt idx="8">
                  <c:v>33.783066994024409</c:v>
                </c:pt>
                <c:pt idx="9">
                  <c:v>33.451635001473811</c:v>
                </c:pt>
                <c:pt idx="10">
                  <c:v>34.137724343968614</c:v>
                </c:pt>
              </c:numCache>
            </c:numRef>
          </c:val>
          <c:smooth val="0"/>
          <c:extLst>
            <c:ext xmlns:c16="http://schemas.microsoft.com/office/drawing/2014/chart" uri="{C3380CC4-5D6E-409C-BE32-E72D297353CC}">
              <c16:uniqueId val="{00000008-2DCE-4972-A956-17BC7D33F1CF}"/>
            </c:ext>
          </c:extLst>
        </c:ser>
        <c:ser>
          <c:idx val="2"/>
          <c:order val="1"/>
          <c:tx>
            <c:strRef>
              <c:f>'Nodokļu plaisa'!$N$59</c:f>
              <c:strCache>
                <c:ptCount val="1"/>
                <c:pt idx="0">
                  <c:v>100% no vidējās algas</c:v>
                </c:pt>
              </c:strCache>
            </c:strRef>
          </c:tx>
          <c:spPr>
            <a:ln w="22225" cap="rnd">
              <a:solidFill>
                <a:srgbClr val="FF0000"/>
              </a:solidFill>
              <a:round/>
            </a:ln>
            <a:effectLst/>
          </c:spPr>
          <c:marker>
            <c:symbol val="triangle"/>
            <c:size val="5"/>
            <c:spPr>
              <a:solidFill>
                <a:srgbClr val="FF0000"/>
              </a:solidFill>
              <a:ln w="9525">
                <a:solidFill>
                  <a:srgbClr val="FF0000"/>
                </a:solidFill>
              </a:ln>
              <a:effectLst/>
            </c:spPr>
          </c:marker>
          <c:dPt>
            <c:idx val="7"/>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0A-2DCE-4972-A956-17BC7D33F1CF}"/>
              </c:ext>
            </c:extLst>
          </c:dPt>
          <c:dPt>
            <c:idx val="8"/>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0C-2DCE-4972-A956-17BC7D33F1CF}"/>
              </c:ext>
            </c:extLst>
          </c:dPt>
          <c:dPt>
            <c:idx val="9"/>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0E-2DCE-4972-A956-17BC7D33F1CF}"/>
              </c:ext>
            </c:extLst>
          </c:dPt>
          <c:dPt>
            <c:idx val="10"/>
            <c:marker>
              <c:symbol val="triangle"/>
              <c:size val="5"/>
              <c:spPr>
                <a:solidFill>
                  <a:srgbClr val="FF0000"/>
                </a:solidFill>
                <a:ln w="9525">
                  <a:solidFill>
                    <a:srgbClr val="FF0000"/>
                  </a:solidFill>
                </a:ln>
                <a:effectLst/>
              </c:spPr>
            </c:marker>
            <c:bubble3D val="0"/>
            <c:spPr>
              <a:ln w="22225" cap="rnd">
                <a:solidFill>
                  <a:srgbClr val="FF0000"/>
                </a:solidFill>
                <a:prstDash val="sysDash"/>
                <a:round/>
              </a:ln>
              <a:effectLst/>
            </c:spPr>
            <c:extLst>
              <c:ext xmlns:c16="http://schemas.microsoft.com/office/drawing/2014/chart" uri="{C3380CC4-5D6E-409C-BE32-E72D297353CC}">
                <c16:uniqueId val="{00000010-2DCE-4972-A956-17BC7D33F1C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plaisa'!$O$57:$Y$57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plaisa'!$O$59:$Y$59</c:f>
              <c:numCache>
                <c:formatCode>0.0</c:formatCode>
                <c:ptCount val="11"/>
                <c:pt idx="0">
                  <c:v>41.213541911699707</c:v>
                </c:pt>
                <c:pt idx="1">
                  <c:v>41.395835897809739</c:v>
                </c:pt>
                <c:pt idx="2">
                  <c:v>40.878972309899225</c:v>
                </c:pt>
                <c:pt idx="3">
                  <c:v>38.870934732012394</c:v>
                </c:pt>
                <c:pt idx="4">
                  <c:v>38.778892904629259</c:v>
                </c:pt>
                <c:pt idx="5">
                  <c:v>38.822227215716531</c:v>
                </c:pt>
                <c:pt idx="6">
                  <c:v>39.342818847397766</c:v>
                </c:pt>
                <c:pt idx="7">
                  <c:v>39.118477760831631</c:v>
                </c:pt>
                <c:pt idx="8">
                  <c:v>38.55350410833497</c:v>
                </c:pt>
                <c:pt idx="9">
                  <c:v>38.227530281819064</c:v>
                </c:pt>
                <c:pt idx="10">
                  <c:v>38.687210141290585</c:v>
                </c:pt>
              </c:numCache>
            </c:numRef>
          </c:val>
          <c:smooth val="0"/>
          <c:extLst>
            <c:ext xmlns:c16="http://schemas.microsoft.com/office/drawing/2014/chart" uri="{C3380CC4-5D6E-409C-BE32-E72D297353CC}">
              <c16:uniqueId val="{00000011-2DCE-4972-A956-17BC7D33F1CF}"/>
            </c:ext>
          </c:extLst>
        </c:ser>
        <c:ser>
          <c:idx val="3"/>
          <c:order val="2"/>
          <c:tx>
            <c:strRef>
              <c:f>'Nodokļu plaisa'!$N$60</c:f>
              <c:strCache>
                <c:ptCount val="1"/>
                <c:pt idx="0">
                  <c:v>167% no vidējās algas</c:v>
                </c:pt>
              </c:strCache>
            </c:strRef>
          </c:tx>
          <c:spPr>
            <a:ln w="22225" cap="rnd">
              <a:solidFill>
                <a:srgbClr val="00B050"/>
              </a:solidFill>
              <a:round/>
            </a:ln>
            <a:effectLst/>
          </c:spPr>
          <c:marker>
            <c:symbol val="square"/>
            <c:size val="5"/>
            <c:spPr>
              <a:solidFill>
                <a:srgbClr val="00B050"/>
              </a:solidFill>
              <a:ln w="9525">
                <a:solidFill>
                  <a:srgbClr val="00B050"/>
                </a:solidFill>
              </a:ln>
              <a:effectLst/>
            </c:spPr>
          </c:marker>
          <c:dPt>
            <c:idx val="0"/>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3-2DCE-4972-A956-17BC7D33F1CF}"/>
              </c:ext>
            </c:extLst>
          </c:dPt>
          <c:dPt>
            <c:idx val="7"/>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5-2DCE-4972-A956-17BC7D33F1CF}"/>
              </c:ext>
            </c:extLst>
          </c:dPt>
          <c:dPt>
            <c:idx val="8"/>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7-2DCE-4972-A956-17BC7D33F1CF}"/>
              </c:ext>
            </c:extLst>
          </c:dPt>
          <c:dPt>
            <c:idx val="9"/>
            <c:marker>
              <c:symbol val="square"/>
              <c:size val="5"/>
              <c:spPr>
                <a:solidFill>
                  <a:srgbClr val="00B050"/>
                </a:solidFill>
                <a:ln w="9525">
                  <a:solidFill>
                    <a:srgbClr val="00B050"/>
                  </a:solidFill>
                </a:ln>
                <a:effectLst/>
              </c:spPr>
            </c:marker>
            <c:bubble3D val="0"/>
            <c:spPr>
              <a:ln w="22225" cap="rnd">
                <a:solidFill>
                  <a:srgbClr val="00B050"/>
                </a:solidFill>
                <a:prstDash val="sysDash"/>
                <a:round/>
              </a:ln>
              <a:effectLst/>
            </c:spPr>
            <c:extLst>
              <c:ext xmlns:c16="http://schemas.microsoft.com/office/drawing/2014/chart" uri="{C3380CC4-5D6E-409C-BE32-E72D297353CC}">
                <c16:uniqueId val="{00000019-2DCE-4972-A956-17BC7D33F1C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plaisa'!$O$57:$Y$57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plaisa'!$O$60:$Y$60</c:f>
              <c:numCache>
                <c:formatCode>0</c:formatCode>
                <c:ptCount val="11"/>
                <c:pt idx="0" formatCode="0.0">
                  <c:v>43.217465862003863</c:v>
                </c:pt>
                <c:pt idx="1">
                  <c:v>43.326623937518839</c:v>
                </c:pt>
                <c:pt idx="2" formatCode="0.0">
                  <c:v>42.729377286696959</c:v>
                </c:pt>
                <c:pt idx="3" formatCode="0.0">
                  <c:v>41.315130836455147</c:v>
                </c:pt>
                <c:pt idx="4" formatCode="0.0">
                  <c:v>40.969481253125096</c:v>
                </c:pt>
                <c:pt idx="5" formatCode="0.0">
                  <c:v>40.995429942398907</c:v>
                </c:pt>
                <c:pt idx="6" formatCode="0.0">
                  <c:v>41.376465824220233</c:v>
                </c:pt>
                <c:pt idx="7" formatCode="0.0">
                  <c:v>40.631808987489094</c:v>
                </c:pt>
                <c:pt idx="8" formatCode="0.0">
                  <c:v>40.500552914240785</c:v>
                </c:pt>
                <c:pt idx="9" formatCode="0.0">
                  <c:v>40.536598164081369</c:v>
                </c:pt>
                <c:pt idx="10" formatCode="0.0">
                  <c:v>40.750084433705993</c:v>
                </c:pt>
              </c:numCache>
            </c:numRef>
          </c:val>
          <c:smooth val="0"/>
          <c:extLst>
            <c:ext xmlns:c16="http://schemas.microsoft.com/office/drawing/2014/chart" uri="{C3380CC4-5D6E-409C-BE32-E72D297353CC}">
              <c16:uniqueId val="{0000001A-2DCE-4972-A956-17BC7D33F1CF}"/>
            </c:ext>
          </c:extLst>
        </c:ser>
        <c:dLbls>
          <c:showLegendKey val="0"/>
          <c:showVal val="0"/>
          <c:showCatName val="0"/>
          <c:showSerName val="0"/>
          <c:showPercent val="0"/>
          <c:showBubbleSize val="0"/>
        </c:dLbls>
        <c:marker val="1"/>
        <c:smooth val="0"/>
        <c:axId val="134621480"/>
        <c:axId val="134621872"/>
      </c:lineChart>
      <c:catAx>
        <c:axId val="13462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621872"/>
        <c:crosses val="autoZero"/>
        <c:auto val="1"/>
        <c:lblAlgn val="ctr"/>
        <c:lblOffset val="100"/>
        <c:noMultiLvlLbl val="0"/>
      </c:catAx>
      <c:valAx>
        <c:axId val="134621872"/>
        <c:scaling>
          <c:orientation val="minMax"/>
          <c:max val="46"/>
          <c:min val="3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621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'Tekošais konts_Y'!$B$4</c:f>
              <c:strCache>
                <c:ptCount val="1"/>
                <c:pt idx="0">
                  <c:v>Preces</c:v>
                </c:pt>
              </c:strCache>
            </c:strRef>
          </c:tx>
          <c:spPr>
            <a:solidFill>
              <a:srgbClr val="ED7D31"/>
            </a:solidFill>
            <a:ln w="25400">
              <a:noFill/>
            </a:ln>
          </c:spPr>
          <c:invertIfNegative val="0"/>
          <c:cat>
            <c:numRef>
              <c:f>'Tekošais konts_Y'!$F$2:$P$2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'Tekošais konts_Y'!$F$4:$P$4</c:f>
              <c:numCache>
                <c:formatCode>#,##0</c:formatCode>
                <c:ptCount val="11"/>
                <c:pt idx="0">
                  <c:v>-4199</c:v>
                </c:pt>
                <c:pt idx="1">
                  <c:v>-1579</c:v>
                </c:pt>
                <c:pt idx="2">
                  <c:v>-1542</c:v>
                </c:pt>
                <c:pt idx="3">
                  <c:v>-2511</c:v>
                </c:pt>
                <c:pt idx="4">
                  <c:v>-2637</c:v>
                </c:pt>
                <c:pt idx="5">
                  <c:v>-2620</c:v>
                </c:pt>
                <c:pt idx="6">
                  <c:v>-2380</c:v>
                </c:pt>
                <c:pt idx="7">
                  <c:v>-2199</c:v>
                </c:pt>
                <c:pt idx="8">
                  <c:v>-1884</c:v>
                </c:pt>
                <c:pt idx="9">
                  <c:v>-2308</c:v>
                </c:pt>
                <c:pt idx="10" formatCode="General">
                  <c:v>-2576</c:v>
                </c:pt>
              </c:numCache>
            </c:numRef>
          </c:val>
          <c:extLst>
            <c:ext xmlns:c16="http://schemas.microsoft.com/office/drawing/2014/chart" uri="{C3380CC4-5D6E-409C-BE32-E72D297353CC}">
              <c16:uniqueId val="{00000000-39B8-49F9-9E1A-0B18C6D46019}"/>
            </c:ext>
          </c:extLst>
        </c:ser>
        <c:ser>
          <c:idx val="2"/>
          <c:order val="1"/>
          <c:tx>
            <c:strRef>
              <c:f>'Tekošais konts_Y'!$B$5</c:f>
              <c:strCache>
                <c:ptCount val="1"/>
                <c:pt idx="0">
                  <c:v>Pakalpojumi</c:v>
                </c:pt>
              </c:strCache>
            </c:strRef>
          </c:tx>
          <c:spPr>
            <a:solidFill>
              <a:srgbClr val="A5A5A5"/>
            </a:solidFill>
            <a:ln w="25400">
              <a:noFill/>
            </a:ln>
          </c:spPr>
          <c:invertIfNegative val="0"/>
          <c:cat>
            <c:numRef>
              <c:f>'Tekošais konts_Y'!$F$2:$P$2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'Tekošais konts_Y'!$F$5:$P$5</c:f>
              <c:numCache>
                <c:formatCode>#,##0</c:formatCode>
                <c:ptCount val="11"/>
                <c:pt idx="0">
                  <c:v>1395</c:v>
                </c:pt>
                <c:pt idx="1">
                  <c:v>1430</c:v>
                </c:pt>
                <c:pt idx="2">
                  <c:v>1301</c:v>
                </c:pt>
                <c:pt idx="3">
                  <c:v>1480</c:v>
                </c:pt>
                <c:pt idx="4">
                  <c:v>1622</c:v>
                </c:pt>
                <c:pt idx="5">
                  <c:v>1773</c:v>
                </c:pt>
                <c:pt idx="6">
                  <c:v>2038</c:v>
                </c:pt>
                <c:pt idx="7">
                  <c:v>2076</c:v>
                </c:pt>
                <c:pt idx="8">
                  <c:v>2173</c:v>
                </c:pt>
                <c:pt idx="9">
                  <c:v>2332</c:v>
                </c:pt>
                <c:pt idx="10" formatCode="General">
                  <c:v>2394</c:v>
                </c:pt>
              </c:numCache>
            </c:numRef>
          </c:val>
          <c:extLst>
            <c:ext xmlns:c16="http://schemas.microsoft.com/office/drawing/2014/chart" uri="{C3380CC4-5D6E-409C-BE32-E72D297353CC}">
              <c16:uniqueId val="{00000001-39B8-49F9-9E1A-0B18C6D46019}"/>
            </c:ext>
          </c:extLst>
        </c:ser>
        <c:ser>
          <c:idx val="3"/>
          <c:order val="2"/>
          <c:tx>
            <c:strRef>
              <c:f>'Tekošais konts_Y'!$B$6</c:f>
              <c:strCache>
                <c:ptCount val="1"/>
                <c:pt idx="0">
                  <c:v>Sākotnējie ienākumi</c:v>
                </c:pt>
              </c:strCache>
            </c:strRef>
          </c:tx>
          <c:spPr>
            <a:solidFill>
              <a:srgbClr val="FFC000"/>
            </a:solidFill>
            <a:ln w="25400">
              <a:noFill/>
            </a:ln>
          </c:spPr>
          <c:invertIfNegative val="0"/>
          <c:cat>
            <c:numRef>
              <c:f>'Tekošais konts_Y'!$F$2:$P$2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'Tekošais konts_Y'!$F$6:$P$6</c:f>
              <c:numCache>
                <c:formatCode>#,##0</c:formatCode>
                <c:ptCount val="11"/>
                <c:pt idx="0">
                  <c:v>-566</c:v>
                </c:pt>
                <c:pt idx="1">
                  <c:v>1153</c:v>
                </c:pt>
                <c:pt idx="2">
                  <c:v>188</c:v>
                </c:pt>
                <c:pt idx="3">
                  <c:v>-3</c:v>
                </c:pt>
                <c:pt idx="4">
                  <c:v>-129</c:v>
                </c:pt>
                <c:pt idx="5">
                  <c:v>-74</c:v>
                </c:pt>
                <c:pt idx="6">
                  <c:v>-84</c:v>
                </c:pt>
                <c:pt idx="7">
                  <c:v>-137</c:v>
                </c:pt>
                <c:pt idx="8">
                  <c:v>-66</c:v>
                </c:pt>
                <c:pt idx="9">
                  <c:v>-190</c:v>
                </c:pt>
                <c:pt idx="10" formatCode="General">
                  <c:v>-386</c:v>
                </c:pt>
              </c:numCache>
            </c:numRef>
          </c:val>
          <c:extLst>
            <c:ext xmlns:c16="http://schemas.microsoft.com/office/drawing/2014/chart" uri="{C3380CC4-5D6E-409C-BE32-E72D297353CC}">
              <c16:uniqueId val="{00000002-39B8-49F9-9E1A-0B18C6D46019}"/>
            </c:ext>
          </c:extLst>
        </c:ser>
        <c:ser>
          <c:idx val="4"/>
          <c:order val="3"/>
          <c:tx>
            <c:strRef>
              <c:f>'Tekošais konts_Y'!$B$7</c:f>
              <c:strCache>
                <c:ptCount val="1"/>
                <c:pt idx="0">
                  <c:v>Otrreizējie ienākumi</c:v>
                </c:pt>
              </c:strCache>
            </c:strRef>
          </c:tx>
          <c:spPr>
            <a:solidFill>
              <a:srgbClr val="FF0000"/>
            </a:solidFill>
            <a:ln w="25400">
              <a:noFill/>
            </a:ln>
          </c:spPr>
          <c:invertIfNegative val="0"/>
          <c:cat>
            <c:numRef>
              <c:f>'Tekošais konts_Y'!$F$2:$P$2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'Tekošais konts_Y'!$F$7:$P$7</c:f>
              <c:numCache>
                <c:formatCode>#,##0</c:formatCode>
                <c:ptCount val="11"/>
                <c:pt idx="0">
                  <c:v>363</c:v>
                </c:pt>
                <c:pt idx="1">
                  <c:v>460</c:v>
                </c:pt>
                <c:pt idx="2">
                  <c:v>420</c:v>
                </c:pt>
                <c:pt idx="3">
                  <c:v>392</c:v>
                </c:pt>
                <c:pt idx="4">
                  <c:v>350</c:v>
                </c:pt>
                <c:pt idx="5">
                  <c:v>299</c:v>
                </c:pt>
                <c:pt idx="6">
                  <c:v>15</c:v>
                </c:pt>
                <c:pt idx="7">
                  <c:v>145</c:v>
                </c:pt>
                <c:pt idx="8">
                  <c:v>180</c:v>
                </c:pt>
                <c:pt idx="9">
                  <c:v>357</c:v>
                </c:pt>
                <c:pt idx="10" formatCode="General">
                  <c:v>286</c:v>
                </c:pt>
              </c:numCache>
            </c:numRef>
          </c:val>
          <c:extLst>
            <c:ext xmlns:c16="http://schemas.microsoft.com/office/drawing/2014/chart" uri="{C3380CC4-5D6E-409C-BE32-E72D297353CC}">
              <c16:uniqueId val="{00000003-39B8-49F9-9E1A-0B18C6D46019}"/>
            </c:ext>
          </c:extLst>
        </c:ser>
        <c:dLbls>
          <c:showLegendKey val="0"/>
          <c:showVal val="0"/>
          <c:showCatName val="0"/>
          <c:showSerName val="0"/>
          <c:showPercent val="0"/>
          <c:showBubbleSize val="0"/>
        </c:dLbls>
        <c:gapWidth val="219"/>
        <c:overlap val="100"/>
        <c:axId val="351089240"/>
        <c:axId val="351089632"/>
      </c:barChart>
      <c:lineChart>
        <c:grouping val="standard"/>
        <c:varyColors val="0"/>
        <c:ser>
          <c:idx val="5"/>
          <c:order val="4"/>
          <c:tx>
            <c:strRef>
              <c:f>'Tekošais konts_Y'!$B$8</c:f>
              <c:strCache>
                <c:ptCount val="1"/>
                <c:pt idx="0">
                  <c:v>Tekošais konts, % no IKP (labā ass)</c:v>
                </c:pt>
              </c:strCache>
            </c:strRef>
          </c:tx>
          <c:spPr>
            <a:ln w="28575" cap="rnd">
              <a:solidFill>
                <a:schemeClr val="accent6"/>
              </a:solidFill>
              <a:prstDash val="dash"/>
              <a:round/>
            </a:ln>
            <a:effectLst/>
          </c:spPr>
          <c:marker>
            <c:symbol val="none"/>
          </c:marker>
          <c:cat>
            <c:numRef>
              <c:f>'Tekošais konts_Y'!$F$2:$P$2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'Tekošais konts_Y'!$F$8:$P$8</c:f>
              <c:numCache>
                <c:formatCode>0.0%</c:formatCode>
                <c:ptCount val="11"/>
                <c:pt idx="0">
                  <c:v>-0.12348449678219606</c:v>
                </c:pt>
                <c:pt idx="1">
                  <c:v>7.7762343935517161E-2</c:v>
                </c:pt>
                <c:pt idx="2">
                  <c:v>2.0459495745344725E-2</c:v>
                </c:pt>
                <c:pt idx="3">
                  <c:v>-3.1572060568510855E-2</c:v>
                </c:pt>
                <c:pt idx="4">
                  <c:v>-3.627954126758981E-2</c:v>
                </c:pt>
                <c:pt idx="5">
                  <c:v>-2.7296758953117509E-2</c:v>
                </c:pt>
                <c:pt idx="6">
                  <c:v>-1.7359521144807072E-2</c:v>
                </c:pt>
                <c:pt idx="7">
                  <c:v>-4.6874375522299788E-3</c:v>
                </c:pt>
                <c:pt idx="8">
                  <c:v>1.6095739214197224E-2</c:v>
                </c:pt>
                <c:pt idx="9">
                  <c:v>7.0654239017593863E-3</c:v>
                </c:pt>
                <c:pt idx="10">
                  <c:v>-9.5855311183598354E-3</c:v>
                </c:pt>
              </c:numCache>
            </c:numRef>
          </c:val>
          <c:smooth val="1"/>
          <c:extLst>
            <c:ext xmlns:c16="http://schemas.microsoft.com/office/drawing/2014/chart" uri="{C3380CC4-5D6E-409C-BE32-E72D297353CC}">
              <c16:uniqueId val="{00000004-39B8-49F9-9E1A-0B18C6D46019}"/>
            </c:ext>
          </c:extLst>
        </c:ser>
        <c:ser>
          <c:idx val="6"/>
          <c:order val="5"/>
          <c:tx>
            <c:strRef>
              <c:f>'Tekošais konts_Y'!$B$9</c:f>
              <c:strCache>
                <c:ptCount val="1"/>
                <c:pt idx="0">
                  <c:v>Tekošais un kapitāla konts, % no IKP (labā ass)</c:v>
                </c:pt>
              </c:strCache>
            </c:strRef>
          </c:tx>
          <c:spPr>
            <a:ln w="28575" cap="rnd">
              <a:solidFill>
                <a:schemeClr val="accent1">
                  <a:lumMod val="60000"/>
                </a:schemeClr>
              </a:solidFill>
              <a:round/>
            </a:ln>
            <a:effectLst/>
          </c:spPr>
          <c:marker>
            <c:symbol val="none"/>
          </c:marker>
          <c:cat>
            <c:numRef>
              <c:f>'Tekošais konts_Y'!$F$2:$P$2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'Tekošais konts_Y'!$F$9:$P$9</c:f>
              <c:numCache>
                <c:formatCode>0.0%</c:formatCode>
                <c:ptCount val="11"/>
                <c:pt idx="0">
                  <c:v>-0.10948110023988517</c:v>
                </c:pt>
                <c:pt idx="1">
                  <c:v>0.10177093646205662</c:v>
                </c:pt>
                <c:pt idx="2">
                  <c:v>4.0082772318536394E-2</c:v>
                </c:pt>
                <c:pt idx="3">
                  <c:v>-1.0441929548399847E-2</c:v>
                </c:pt>
                <c:pt idx="4">
                  <c:v>-6.4425885626324467E-3</c:v>
                </c:pt>
                <c:pt idx="5">
                  <c:v>-2.1503877631877137E-3</c:v>
                </c:pt>
                <c:pt idx="6">
                  <c:v>1.4565061643447884E-2</c:v>
                </c:pt>
                <c:pt idx="7">
                  <c:v>2.3067126901763314E-2</c:v>
                </c:pt>
                <c:pt idx="8">
                  <c:v>2.6080689098934958E-2</c:v>
                </c:pt>
                <c:pt idx="9">
                  <c:v>1.5018649759760791E-2</c:v>
                </c:pt>
                <c:pt idx="10">
                  <c:v>8.0613300571365388E-3</c:v>
                </c:pt>
              </c:numCache>
            </c:numRef>
          </c:val>
          <c:smooth val="1"/>
          <c:extLst>
            <c:ext xmlns:c16="http://schemas.microsoft.com/office/drawing/2014/chart" uri="{C3380CC4-5D6E-409C-BE32-E72D297353CC}">
              <c16:uniqueId val="{00000005-39B8-49F9-9E1A-0B18C6D46019}"/>
            </c:ext>
          </c:extLst>
        </c:ser>
        <c:dLbls>
          <c:showLegendKey val="0"/>
          <c:showVal val="0"/>
          <c:showCatName val="0"/>
          <c:showSerName val="0"/>
          <c:showPercent val="0"/>
          <c:showBubbleSize val="0"/>
        </c:dLbls>
        <c:marker val="1"/>
        <c:smooth val="0"/>
        <c:axId val="351090024"/>
        <c:axId val="351090416"/>
      </c:lineChart>
      <c:catAx>
        <c:axId val="351089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51089632"/>
        <c:crosses val="autoZero"/>
        <c:auto val="1"/>
        <c:lblAlgn val="ctr"/>
        <c:lblOffset val="100"/>
        <c:noMultiLvlLbl val="0"/>
      </c:catAx>
      <c:valAx>
        <c:axId val="351089632"/>
        <c:scaling>
          <c:orientation val="minMax"/>
          <c:max val="5000"/>
          <c:min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1089240"/>
        <c:crosses val="autoZero"/>
        <c:crossBetween val="between"/>
      </c:valAx>
      <c:catAx>
        <c:axId val="351090024"/>
        <c:scaling>
          <c:orientation val="minMax"/>
        </c:scaling>
        <c:delete val="1"/>
        <c:axPos val="b"/>
        <c:numFmt formatCode="General" sourceLinked="1"/>
        <c:majorTickMark val="out"/>
        <c:minorTickMark val="none"/>
        <c:tickLblPos val="nextTo"/>
        <c:crossAx val="351090416"/>
        <c:crosses val="autoZero"/>
        <c:auto val="1"/>
        <c:lblAlgn val="ctr"/>
        <c:lblOffset val="100"/>
        <c:noMultiLvlLbl val="0"/>
      </c:catAx>
      <c:valAx>
        <c:axId val="351090416"/>
        <c:scaling>
          <c:orientation val="minMax"/>
          <c:max val="0.14000000000000001"/>
          <c:min val="-0.14000000000000001"/>
        </c:scaling>
        <c:delete val="0"/>
        <c:axPos val="r"/>
        <c:numFmt formatCode="0%" sourceLinked="0"/>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1090024"/>
        <c:crosses val="max"/>
        <c:crossBetween val="between"/>
        <c:majorUnit val="2.0000000000000004E-2"/>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'Pārējie kredīti kopš 1997'!$A$5</c:f>
              <c:strCache>
                <c:ptCount val="1"/>
                <c:pt idx="0">
                  <c:v>Mājokļu kredīti rezidentiem</c:v>
                </c:pt>
              </c:strCache>
            </c:strRef>
          </c:tx>
          <c:spPr>
            <a:solidFill>
              <a:schemeClr val="accent6">
                <a:lumMod val="75000"/>
              </a:schemeClr>
            </a:solidFill>
            <a:ln>
              <a:noFill/>
            </a:ln>
            <a:effectLst/>
          </c:spPr>
          <c:invertIfNegative val="0"/>
          <c:cat>
            <c:strRef>
              <c:f>'Pārējie kredīti kopš 1997'!$B$4:$W$4</c:f>
              <c:strCach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strCache>
            </c:strRef>
          </c:cat>
          <c:val>
            <c:numRef>
              <c:f>'Pārējie kredīti kopš 1997'!$B$5:$W$5</c:f>
              <c:numCache>
                <c:formatCode>0.0</c:formatCode>
                <c:ptCount val="22"/>
                <c:pt idx="0">
                  <c:v>12.7</c:v>
                </c:pt>
                <c:pt idx="1">
                  <c:v>42</c:v>
                </c:pt>
                <c:pt idx="2">
                  <c:v>80.8</c:v>
                </c:pt>
                <c:pt idx="3">
                  <c:v>158.69999999999999</c:v>
                </c:pt>
                <c:pt idx="4">
                  <c:v>335.7</c:v>
                </c:pt>
                <c:pt idx="5">
                  <c:v>576.1</c:v>
                </c:pt>
                <c:pt idx="6" formatCode="General">
                  <c:v>693.6</c:v>
                </c:pt>
                <c:pt idx="7" formatCode="General">
                  <c:v>1312.5</c:v>
                </c:pt>
                <c:pt idx="8" formatCode="General">
                  <c:v>2489.6</c:v>
                </c:pt>
                <c:pt idx="9" formatCode="General">
                  <c:v>2489.6</c:v>
                </c:pt>
                <c:pt idx="10" formatCode="General">
                  <c:v>6702.3</c:v>
                </c:pt>
                <c:pt idx="11" formatCode="General">
                  <c:v>7191.9</c:v>
                </c:pt>
                <c:pt idx="12" formatCode="General">
                  <c:v>6870.5</c:v>
                </c:pt>
                <c:pt idx="13">
                  <c:v>6558.8</c:v>
                </c:pt>
                <c:pt idx="14">
                  <c:v>5990.6</c:v>
                </c:pt>
                <c:pt idx="15">
                  <c:v>5334.2</c:v>
                </c:pt>
                <c:pt idx="16">
                  <c:v>5061.8999999999996</c:v>
                </c:pt>
                <c:pt idx="17">
                  <c:v>4723.3999999999996</c:v>
                </c:pt>
                <c:pt idx="18">
                  <c:v>4502.6000000000004</c:v>
                </c:pt>
                <c:pt idx="19">
                  <c:v>4411.7</c:v>
                </c:pt>
                <c:pt idx="20">
                  <c:v>4362.6000000000004</c:v>
                </c:pt>
                <c:pt idx="21">
                  <c:v>4102.3</c:v>
                </c:pt>
              </c:numCache>
            </c:numRef>
          </c:val>
          <c:extLst>
            <c:ext xmlns:c16="http://schemas.microsoft.com/office/drawing/2014/chart" uri="{C3380CC4-5D6E-409C-BE32-E72D297353CC}">
              <c16:uniqueId val="{00000000-CF6E-42E4-BF5C-6DE3F2A69D26}"/>
            </c:ext>
          </c:extLst>
        </c:ser>
        <c:ser>
          <c:idx val="1"/>
          <c:order val="1"/>
          <c:tx>
            <c:strRef>
              <c:f>'Pārējie kredīti kopš 1997'!$A$6</c:f>
              <c:strCache>
                <c:ptCount val="1"/>
                <c:pt idx="0">
                  <c:v>Kredīti privātajām nefinanšu sabiedrībām</c:v>
                </c:pt>
              </c:strCache>
            </c:strRef>
          </c:tx>
          <c:spPr>
            <a:solidFill>
              <a:schemeClr val="bg1">
                <a:lumMod val="50000"/>
              </a:schemeClr>
            </a:solidFill>
            <a:ln>
              <a:noFill/>
            </a:ln>
            <a:effectLst/>
          </c:spPr>
          <c:invertIfNegative val="0"/>
          <c:cat>
            <c:strRef>
              <c:f>'Pārējie kredīti kopš 1997'!$B$4:$W$4</c:f>
              <c:strCach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strCache>
            </c:strRef>
          </c:cat>
          <c:val>
            <c:numRef>
              <c:f>'Pārējie kredīti kopš 1997'!$B$6:$W$6</c:f>
              <c:numCache>
                <c:formatCode>0.0</c:formatCode>
                <c:ptCount val="22"/>
                <c:pt idx="0">
                  <c:v>439.09824076129337</c:v>
                </c:pt>
                <c:pt idx="1">
                  <c:v>683.68990500907796</c:v>
                </c:pt>
                <c:pt idx="2">
                  <c:v>754.97578272178305</c:v>
                </c:pt>
                <c:pt idx="3">
                  <c:v>984.6272929579228</c:v>
                </c:pt>
                <c:pt idx="4">
                  <c:v>1469.8265803837201</c:v>
                </c:pt>
                <c:pt idx="5">
                  <c:v>1856.9900000569148</c:v>
                </c:pt>
                <c:pt idx="6">
                  <c:v>2409.6334113067087</c:v>
                </c:pt>
                <c:pt idx="7">
                  <c:v>2766.8</c:v>
                </c:pt>
                <c:pt idx="8">
                  <c:v>4110.8</c:v>
                </c:pt>
                <c:pt idx="9">
                  <c:v>6338.2</c:v>
                </c:pt>
                <c:pt idx="10">
                  <c:v>8505.4</c:v>
                </c:pt>
                <c:pt idx="11">
                  <c:v>9813.2999999999993</c:v>
                </c:pt>
                <c:pt idx="12">
                  <c:v>9114.9</c:v>
                </c:pt>
                <c:pt idx="13">
                  <c:v>8213.4</c:v>
                </c:pt>
                <c:pt idx="14">
                  <c:v>7589.0999999999995</c:v>
                </c:pt>
                <c:pt idx="15">
                  <c:v>6759.9</c:v>
                </c:pt>
                <c:pt idx="16">
                  <c:v>6364.3</c:v>
                </c:pt>
                <c:pt idx="17">
                  <c:v>6378.6</c:v>
                </c:pt>
                <c:pt idx="18">
                  <c:v>6274</c:v>
                </c:pt>
                <c:pt idx="19">
                  <c:v>6375.5</c:v>
                </c:pt>
                <c:pt idx="20">
                  <c:v>5882.8</c:v>
                </c:pt>
                <c:pt idx="21">
                  <c:v>5586.7</c:v>
                </c:pt>
              </c:numCache>
            </c:numRef>
          </c:val>
          <c:extLst>
            <c:ext xmlns:c16="http://schemas.microsoft.com/office/drawing/2014/chart" uri="{C3380CC4-5D6E-409C-BE32-E72D297353CC}">
              <c16:uniqueId val="{00000001-CF6E-42E4-BF5C-6DE3F2A69D26}"/>
            </c:ext>
          </c:extLst>
        </c:ser>
        <c:ser>
          <c:idx val="2"/>
          <c:order val="2"/>
          <c:tx>
            <c:strRef>
              <c:f>'Pārējie kredīti kopš 1997'!$A$7</c:f>
              <c:strCache>
                <c:ptCount val="1"/>
                <c:pt idx="0">
                  <c:v>Kredīti valsts nefinanšu sabiedrībām</c:v>
                </c:pt>
              </c:strCache>
            </c:strRef>
          </c:tx>
          <c:spPr>
            <a:solidFill>
              <a:srgbClr val="C00000"/>
            </a:solidFill>
            <a:ln>
              <a:noFill/>
            </a:ln>
            <a:effectLst/>
          </c:spPr>
          <c:invertIfNegative val="0"/>
          <c:cat>
            <c:strRef>
              <c:f>'Pārējie kredīti kopš 1997'!$B$4:$W$4</c:f>
              <c:strCach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strCache>
            </c:strRef>
          </c:cat>
          <c:val>
            <c:numRef>
              <c:f>'Pārējie kredīti kopš 1997'!$B$7:$W$7</c:f>
              <c:numCache>
                <c:formatCode>0.0</c:formatCode>
                <c:ptCount val="22"/>
                <c:pt idx="0">
                  <c:v>40.694133784099122</c:v>
                </c:pt>
                <c:pt idx="1">
                  <c:v>34.291210636251364</c:v>
                </c:pt>
                <c:pt idx="2">
                  <c:v>43.68216458642808</c:v>
                </c:pt>
                <c:pt idx="3">
                  <c:v>74.70077005822391</c:v>
                </c:pt>
                <c:pt idx="4">
                  <c:v>115.53719102338633</c:v>
                </c:pt>
                <c:pt idx="5">
                  <c:v>160.0730786961941</c:v>
                </c:pt>
                <c:pt idx="6">
                  <c:v>124.4</c:v>
                </c:pt>
                <c:pt idx="7">
                  <c:v>124.8</c:v>
                </c:pt>
                <c:pt idx="8">
                  <c:v>153</c:v>
                </c:pt>
                <c:pt idx="9">
                  <c:v>162.9</c:v>
                </c:pt>
                <c:pt idx="10">
                  <c:v>355.7</c:v>
                </c:pt>
                <c:pt idx="11">
                  <c:v>542.4</c:v>
                </c:pt>
                <c:pt idx="12">
                  <c:v>563</c:v>
                </c:pt>
                <c:pt idx="13">
                  <c:v>675.3</c:v>
                </c:pt>
                <c:pt idx="14">
                  <c:v>618.69999999999993</c:v>
                </c:pt>
                <c:pt idx="15">
                  <c:v>714.3</c:v>
                </c:pt>
                <c:pt idx="16">
                  <c:v>693.09999999999991</c:v>
                </c:pt>
                <c:pt idx="17">
                  <c:v>676.09999999999991</c:v>
                </c:pt>
                <c:pt idx="18">
                  <c:v>723</c:v>
                </c:pt>
                <c:pt idx="19">
                  <c:v>682.69999999999993</c:v>
                </c:pt>
                <c:pt idx="20">
                  <c:v>484.79999999999995</c:v>
                </c:pt>
                <c:pt idx="21">
                  <c:v>624.19999999999993</c:v>
                </c:pt>
              </c:numCache>
            </c:numRef>
          </c:val>
          <c:extLst>
            <c:ext xmlns:c16="http://schemas.microsoft.com/office/drawing/2014/chart" uri="{C3380CC4-5D6E-409C-BE32-E72D297353CC}">
              <c16:uniqueId val="{00000002-CF6E-42E4-BF5C-6DE3F2A69D26}"/>
            </c:ext>
          </c:extLst>
        </c:ser>
        <c:ser>
          <c:idx val="3"/>
          <c:order val="3"/>
          <c:tx>
            <c:strRef>
              <c:f>'Pārējie kredīti kopš 1997'!$A$8</c:f>
              <c:strCache>
                <c:ptCount val="1"/>
                <c:pt idx="0">
                  <c:v>Pārējie</c:v>
                </c:pt>
              </c:strCache>
            </c:strRef>
          </c:tx>
          <c:spPr>
            <a:solidFill>
              <a:schemeClr val="tx2">
                <a:lumMod val="75000"/>
              </a:schemeClr>
            </a:solidFill>
            <a:ln>
              <a:noFill/>
            </a:ln>
            <a:effectLst/>
          </c:spPr>
          <c:invertIfNegative val="0"/>
          <c:cat>
            <c:strRef>
              <c:f>'Pārējie kredīti kopš 1997'!$B$4:$W$4</c:f>
              <c:strCach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strCache>
            </c:strRef>
          </c:cat>
          <c:val>
            <c:numRef>
              <c:f>'Pārējie kredīti kopš 1997'!$B$8:$W$8</c:f>
              <c:numCache>
                <c:formatCode>0.0</c:formatCode>
                <c:ptCount val="22"/>
                <c:pt idx="0">
                  <c:v>40.107625454607501</c:v>
                </c:pt>
                <c:pt idx="1">
                  <c:v>49.818884354670672</c:v>
                </c:pt>
                <c:pt idx="2">
                  <c:v>54.342052691788808</c:v>
                </c:pt>
                <c:pt idx="3">
                  <c:v>68.57193698385322</c:v>
                </c:pt>
                <c:pt idx="4">
                  <c:v>6.5362285928936217</c:v>
                </c:pt>
                <c:pt idx="5">
                  <c:v>38.436921246890961</c:v>
                </c:pt>
                <c:pt idx="6">
                  <c:v>390.16658869329149</c:v>
                </c:pt>
                <c:pt idx="7">
                  <c:v>1113.1999999999998</c:v>
                </c:pt>
                <c:pt idx="8">
                  <c:v>1982.6000000000004</c:v>
                </c:pt>
                <c:pt idx="9">
                  <c:v>4843.6999999999989</c:v>
                </c:pt>
                <c:pt idx="10">
                  <c:v>3005.8999999999996</c:v>
                </c:pt>
                <c:pt idx="11">
                  <c:v>3194.6000000000022</c:v>
                </c:pt>
                <c:pt idx="12">
                  <c:v>2681.5999999999985</c:v>
                </c:pt>
                <c:pt idx="13">
                  <c:v>2186.9000000000015</c:v>
                </c:pt>
                <c:pt idx="14">
                  <c:v>1963.3000000000011</c:v>
                </c:pt>
                <c:pt idx="15">
                  <c:v>1612.5</c:v>
                </c:pt>
                <c:pt idx="16">
                  <c:v>1395.4210317528086</c:v>
                </c:pt>
                <c:pt idx="17">
                  <c:v>791.89999999999964</c:v>
                </c:pt>
                <c:pt idx="18">
                  <c:v>842.29999999999927</c:v>
                </c:pt>
                <c:pt idx="19">
                  <c:v>1239.7000000000007</c:v>
                </c:pt>
                <c:pt idx="20">
                  <c:v>1662.3999999999996</c:v>
                </c:pt>
                <c:pt idx="21">
                  <c:v>1550.5</c:v>
                </c:pt>
              </c:numCache>
            </c:numRef>
          </c:val>
          <c:extLst>
            <c:ext xmlns:c16="http://schemas.microsoft.com/office/drawing/2014/chart" uri="{C3380CC4-5D6E-409C-BE32-E72D297353CC}">
              <c16:uniqueId val="{00000003-CF6E-42E4-BF5C-6DE3F2A69D26}"/>
            </c:ext>
          </c:extLst>
        </c:ser>
        <c:dLbls>
          <c:showLegendKey val="0"/>
          <c:showVal val="0"/>
          <c:showCatName val="0"/>
          <c:showSerName val="0"/>
          <c:showPercent val="0"/>
          <c:showBubbleSize val="0"/>
        </c:dLbls>
        <c:gapWidth val="0"/>
        <c:overlap val="-29"/>
        <c:axId val="1519827679"/>
        <c:axId val="1519830175"/>
      </c:barChart>
      <c:catAx>
        <c:axId val="1519827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19830175"/>
        <c:crosses val="autoZero"/>
        <c:auto val="1"/>
        <c:lblAlgn val="ctr"/>
        <c:lblOffset val="100"/>
        <c:noMultiLvlLbl val="0"/>
      </c:catAx>
      <c:valAx>
        <c:axId val="1519830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198276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245543745234091E-2"/>
          <c:y val="2.1175832944400116E-2"/>
          <c:w val="0.92651154560736093"/>
          <c:h val="0.70440071664082138"/>
        </c:manualLayout>
      </c:layout>
      <c:barChart>
        <c:barDir val="col"/>
        <c:grouping val="stacked"/>
        <c:varyColors val="0"/>
        <c:ser>
          <c:idx val="0"/>
          <c:order val="0"/>
          <c:tx>
            <c:strRef>
              <c:f>BySource!$L$1</c:f>
              <c:strCache>
                <c:ptCount val="1"/>
                <c:pt idx="0">
                  <c:v>Pamatinflācija</c:v>
                </c:pt>
              </c:strCache>
            </c:strRef>
          </c:tx>
          <c:spPr>
            <a:solidFill>
              <a:schemeClr val="accent1"/>
            </a:solidFill>
            <a:ln>
              <a:noFill/>
            </a:ln>
          </c:spPr>
          <c:invertIfNegative val="0"/>
          <c:cat>
            <c:multiLvlStrRef>
              <c:f>BySource!$A$86:$B$183</c:f>
              <c:multiLvlStrCache>
                <c:ptCount val="9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lvl>
                <c:lvl>
                  <c:pt idx="0">
                    <c:v>2011</c:v>
                  </c:pt>
                  <c:pt idx="12">
                    <c:v>2012</c:v>
                  </c:pt>
                  <c:pt idx="24">
                    <c:v>2013</c:v>
                  </c:pt>
                  <c:pt idx="36">
                    <c:v>2014</c:v>
                  </c:pt>
                  <c:pt idx="48">
                    <c:v>2015</c:v>
                  </c:pt>
                  <c:pt idx="60">
                    <c:v>2016</c:v>
                  </c:pt>
                  <c:pt idx="72">
                    <c:v>2017</c:v>
                  </c:pt>
                  <c:pt idx="84">
                    <c:v>2018</c:v>
                  </c:pt>
                  <c:pt idx="96">
                    <c:v>2019</c:v>
                  </c:pt>
                </c:lvl>
              </c:multiLvlStrCache>
            </c:multiLvlStrRef>
          </c:cat>
          <c:val>
            <c:numRef>
              <c:f>BySource!$L$86:$L$183</c:f>
              <c:numCache>
                <c:formatCode>0.0</c:formatCode>
                <c:ptCount val="98"/>
                <c:pt idx="0">
                  <c:v>-0.22384704296262092</c:v>
                </c:pt>
                <c:pt idx="1">
                  <c:v>0.16124148175607811</c:v>
                </c:pt>
                <c:pt idx="2">
                  <c:v>0.44880634462776747</c:v>
                </c:pt>
                <c:pt idx="3" formatCode="#\ ##0.0">
                  <c:v>0.81918074104148775</c:v>
                </c:pt>
                <c:pt idx="4" formatCode="#\ ##0.0">
                  <c:v>1.152592914043685</c:v>
                </c:pt>
                <c:pt idx="5" formatCode="#\ ##0.0">
                  <c:v>1.1377369501332648</c:v>
                </c:pt>
                <c:pt idx="6" formatCode="#\ ##0.0">
                  <c:v>0.83408321371840088</c:v>
                </c:pt>
                <c:pt idx="7" formatCode="#\ ##0.0">
                  <c:v>1.2255909623521906</c:v>
                </c:pt>
                <c:pt idx="8" formatCode="#\ ##0.0">
                  <c:v>0.89533646617668472</c:v>
                </c:pt>
                <c:pt idx="9" formatCode="#\ ##0.0">
                  <c:v>0.58348621846635051</c:v>
                </c:pt>
                <c:pt idx="10" formatCode="#\ ##0.0">
                  <c:v>0.31460013530175024</c:v>
                </c:pt>
                <c:pt idx="11" formatCode="#\ ##0.0">
                  <c:v>0.89761183728307503</c:v>
                </c:pt>
                <c:pt idx="12" formatCode="#\ ##0.0">
                  <c:v>1.0951064468252678</c:v>
                </c:pt>
                <c:pt idx="13" formatCode="#\ ##0.0">
                  <c:v>0.75845895056921853</c:v>
                </c:pt>
                <c:pt idx="14" formatCode="#\ ##0.0">
                  <c:v>0.69440277801430383</c:v>
                </c:pt>
                <c:pt idx="15" formatCode="#\ ##0.0">
                  <c:v>0.75676464365697105</c:v>
                </c:pt>
                <c:pt idx="16" formatCode="#\ ##0.0">
                  <c:v>0.51519556949613854</c:v>
                </c:pt>
                <c:pt idx="17" formatCode="#\ ##0.0">
                  <c:v>0.52667286637850941</c:v>
                </c:pt>
                <c:pt idx="18" formatCode="#\ ##0.0">
                  <c:v>0.94000633947199441</c:v>
                </c:pt>
                <c:pt idx="19" formatCode="#\ ##0.0">
                  <c:v>0.51895849358571378</c:v>
                </c:pt>
                <c:pt idx="20" formatCode="#\ ##0.0">
                  <c:v>0.46098808601710672</c:v>
                </c:pt>
                <c:pt idx="21" formatCode="#\ ##0.0">
                  <c:v>0.22223010379547145</c:v>
                </c:pt>
                <c:pt idx="22" formatCode="#\ ##0.0">
                  <c:v>0.58280743746785879</c:v>
                </c:pt>
                <c:pt idx="23" formatCode="#\ ##0.0">
                  <c:v>0.23418358005627582</c:v>
                </c:pt>
                <c:pt idx="24" formatCode="#\ ##0.0">
                  <c:v>0.14863811556982104</c:v>
                </c:pt>
                <c:pt idx="25" formatCode="#\ ##0.0">
                  <c:v>0.35190589027773445</c:v>
                </c:pt>
                <c:pt idx="26" formatCode="#\ ##0.0">
                  <c:v>0.44869318336796576</c:v>
                </c:pt>
                <c:pt idx="27" formatCode="#\ ##0.0">
                  <c:v>0.1389690923627146</c:v>
                </c:pt>
                <c:pt idx="28" formatCode="#\ ##0.0">
                  <c:v>0.15302012010475408</c:v>
                </c:pt>
                <c:pt idx="29" formatCode="#\ ##0.0">
                  <c:v>0.17886008382353685</c:v>
                </c:pt>
                <c:pt idx="30" formatCode="#\ ##0.0">
                  <c:v>-5.0772825881947148E-2</c:v>
                </c:pt>
                <c:pt idx="31" formatCode="#\ ##0.0">
                  <c:v>-3.4410437837126648E-2</c:v>
                </c:pt>
                <c:pt idx="32" formatCode="#\ ##0.0">
                  <c:v>0.14089585513270408</c:v>
                </c:pt>
                <c:pt idx="33" formatCode="#\ ##0.0">
                  <c:v>0.54894054315451257</c:v>
                </c:pt>
                <c:pt idx="34" formatCode="#\ ##0.0">
                  <c:v>1.2593907592300703E-2</c:v>
                </c:pt>
                <c:pt idx="35" formatCode="#\ ##0.0">
                  <c:v>9.9428802381561723E-2</c:v>
                </c:pt>
                <c:pt idx="36" formatCode="#\ ##0.0">
                  <c:v>0.48801821980363269</c:v>
                </c:pt>
                <c:pt idx="37" formatCode="#\ ##0.0">
                  <c:v>0.57142083604539284</c:v>
                </c:pt>
                <c:pt idx="38" formatCode="#\ ##0.0">
                  <c:v>0.52332008929592344</c:v>
                </c:pt>
                <c:pt idx="39" formatCode="#\ ##0.0">
                  <c:v>0.77242848254881824</c:v>
                </c:pt>
                <c:pt idx="40" formatCode="#\ ##0.0">
                  <c:v>0.80276931422065645</c:v>
                </c:pt>
                <c:pt idx="41" formatCode="#\ ##0.0">
                  <c:v>0.98462015967219774</c:v>
                </c:pt>
                <c:pt idx="42" formatCode="#\ ##0.0">
                  <c:v>0.8682799774114931</c:v>
                </c:pt>
                <c:pt idx="43" formatCode="#\ ##0.0">
                  <c:v>1.0726461064937283</c:v>
                </c:pt>
                <c:pt idx="44" formatCode="#\ ##0.0">
                  <c:v>1.0222635599800669</c:v>
                </c:pt>
                <c:pt idx="45" formatCode="#\ ##0.0">
                  <c:v>0.66987964973080294</c:v>
                </c:pt>
                <c:pt idx="46" formatCode="#\ ##0.0">
                  <c:v>1.1102884717528918</c:v>
                </c:pt>
                <c:pt idx="47" formatCode="#\ ##0.0">
                  <c:v>0.99016020156261475</c:v>
                </c:pt>
                <c:pt idx="48" formatCode="#\ ##0.0">
                  <c:v>0.65922703245154191</c:v>
                </c:pt>
                <c:pt idx="49" formatCode="#\ ##0.0">
                  <c:v>0.5114154077850942</c:v>
                </c:pt>
                <c:pt idx="50" formatCode="#\ ##0.0">
                  <c:v>0.67592314182225322</c:v>
                </c:pt>
                <c:pt idx="51" formatCode="#\ ##0.0">
                  <c:v>0.59126012490950208</c:v>
                </c:pt>
                <c:pt idx="52" formatCode="#\ ##0.0">
                  <c:v>0.78091483209483503</c:v>
                </c:pt>
                <c:pt idx="53" formatCode="#\ ##0.0">
                  <c:v>0.60989589013833978</c:v>
                </c:pt>
                <c:pt idx="54" formatCode="#\ ##0.0">
                  <c:v>0.36710090251858851</c:v>
                </c:pt>
                <c:pt idx="55" formatCode="#\ ##0.0">
                  <c:v>0.46217294810447795</c:v>
                </c:pt>
                <c:pt idx="56" formatCode="#\ ##0.0">
                  <c:v>0.30149994733582774</c:v>
                </c:pt>
                <c:pt idx="57" formatCode="#\ ##0.0">
                  <c:v>0.60453720383739551</c:v>
                </c:pt>
                <c:pt idx="58" formatCode="#\ ##0.0">
                  <c:v>0.49217522668943037</c:v>
                </c:pt>
                <c:pt idx="59" formatCode="#\ ##0.0">
                  <c:v>0.50113098641132869</c:v>
                </c:pt>
                <c:pt idx="60" formatCode="#\ ##0.0">
                  <c:v>0.22974621020138983</c:v>
                </c:pt>
                <c:pt idx="61" formatCode="#\ ##0.0">
                  <c:v>0.49760142564668969</c:v>
                </c:pt>
                <c:pt idx="62" formatCode="#\ ##0.0">
                  <c:v>0.64051454803596775</c:v>
                </c:pt>
                <c:pt idx="63" formatCode="#\ ##0.0">
                  <c:v>0.41964154916742591</c:v>
                </c:pt>
                <c:pt idx="64" formatCode="#\ ##0.0">
                  <c:v>0.70845128486779085</c:v>
                </c:pt>
                <c:pt idx="65">
                  <c:v>0.61495181553140155</c:v>
                </c:pt>
                <c:pt idx="66" formatCode="#\ ##0.0">
                  <c:v>0.84749419313534113</c:v>
                </c:pt>
                <c:pt idx="67">
                  <c:v>0.56602398032710011</c:v>
                </c:pt>
                <c:pt idx="68" formatCode="#\ ##0.0">
                  <c:v>0.70819976194658585</c:v>
                </c:pt>
                <c:pt idx="69" formatCode="#\ ##0.0">
                  <c:v>0.82366837655649527</c:v>
                </c:pt>
                <c:pt idx="70" formatCode="#\ ##0.0">
                  <c:v>0.88293763769473521</c:v>
                </c:pt>
                <c:pt idx="71" formatCode="#\ ##0.0">
                  <c:v>1.278105464679129</c:v>
                </c:pt>
                <c:pt idx="72" formatCode="#\ ##0.0">
                  <c:v>1.5407412072308968</c:v>
                </c:pt>
                <c:pt idx="73" formatCode="#\ ##0.0">
                  <c:v>1.4361403792811016</c:v>
                </c:pt>
                <c:pt idx="74" formatCode="0.000">
                  <c:v>1.6245594079338732</c:v>
                </c:pt>
                <c:pt idx="75" formatCode="0.000">
                  <c:v>1.9776098861213867</c:v>
                </c:pt>
                <c:pt idx="76" formatCode="0.000">
                  <c:v>1.485859007214319</c:v>
                </c:pt>
                <c:pt idx="77" formatCode="0.000">
                  <c:v>1.6924932865781954</c:v>
                </c:pt>
                <c:pt idx="78" formatCode="0.000">
                  <c:v>1.4319484971323546</c:v>
                </c:pt>
                <c:pt idx="79" formatCode="0.000">
                  <c:v>1.8718385852814594</c:v>
                </c:pt>
                <c:pt idx="80" formatCode="0.000">
                  <c:v>1.5973688667930093</c:v>
                </c:pt>
                <c:pt idx="81" formatCode="0.000">
                  <c:v>1.6755369345884346</c:v>
                </c:pt>
                <c:pt idx="82" formatCode="0.000">
                  <c:v>1.5503366667797651</c:v>
                </c:pt>
                <c:pt idx="83" formatCode="0.000">
                  <c:v>1.1611873855773489</c:v>
                </c:pt>
                <c:pt idx="84" formatCode="0.000">
                  <c:v>1.2238262620642182</c:v>
                </c:pt>
                <c:pt idx="85" formatCode="0.000">
                  <c:v>1.2907718295672268</c:v>
                </c:pt>
                <c:pt idx="86" formatCode="0.000">
                  <c:v>1.2670477776129232</c:v>
                </c:pt>
                <c:pt idx="87" formatCode="0.000">
                  <c:v>0.98527089573845839</c:v>
                </c:pt>
                <c:pt idx="88" formatCode="0.000">
                  <c:v>0.98585971991311006</c:v>
                </c:pt>
                <c:pt idx="89" formatCode="0.000">
                  <c:v>1.2062116608889122</c:v>
                </c:pt>
                <c:pt idx="90" formatCode="0.000">
                  <c:v>1.0126232734032783</c:v>
                </c:pt>
                <c:pt idx="91" formatCode="0.000">
                  <c:v>1.0503295896981033</c:v>
                </c:pt>
                <c:pt idx="92" formatCode="0.000">
                  <c:v>1.2072967825954954</c:v>
                </c:pt>
                <c:pt idx="93" formatCode="0.000">
                  <c:v>1.0957378705291934</c:v>
                </c:pt>
                <c:pt idx="94" formatCode="0.000">
                  <c:v>1.2784197433078166</c:v>
                </c:pt>
                <c:pt idx="95" formatCode="0.000">
                  <c:v>1.3327464203503485</c:v>
                </c:pt>
                <c:pt idx="96" formatCode="0.000">
                  <c:v>1.6455762541620371</c:v>
                </c:pt>
                <c:pt idx="97" formatCode="0.000">
                  <c:v>1.4890595181960273</c:v>
                </c:pt>
              </c:numCache>
            </c:numRef>
          </c:val>
          <c:extLst>
            <c:ext xmlns:c16="http://schemas.microsoft.com/office/drawing/2014/chart" uri="{C3380CC4-5D6E-409C-BE32-E72D297353CC}">
              <c16:uniqueId val="{00000000-54D0-4B51-A72F-522EB94E2616}"/>
            </c:ext>
          </c:extLst>
        </c:ser>
        <c:ser>
          <c:idx val="2"/>
          <c:order val="1"/>
          <c:tx>
            <c:strRef>
              <c:f>BySource!$D$1</c:f>
              <c:strCache>
                <c:ptCount val="1"/>
                <c:pt idx="0">
                  <c:v>Nodokļi</c:v>
                </c:pt>
              </c:strCache>
            </c:strRef>
          </c:tx>
          <c:spPr>
            <a:solidFill>
              <a:srgbClr val="FFCC66"/>
            </a:solidFill>
            <a:ln>
              <a:noFill/>
            </a:ln>
          </c:spPr>
          <c:invertIfNegative val="0"/>
          <c:cat>
            <c:multiLvlStrRef>
              <c:f>BySource!$A$86:$B$183</c:f>
              <c:multiLvlStrCache>
                <c:ptCount val="9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lvl>
                <c:lvl>
                  <c:pt idx="0">
                    <c:v>2011</c:v>
                  </c:pt>
                  <c:pt idx="12">
                    <c:v>2012</c:v>
                  </c:pt>
                  <c:pt idx="24">
                    <c:v>2013</c:v>
                  </c:pt>
                  <c:pt idx="36">
                    <c:v>2014</c:v>
                  </c:pt>
                  <c:pt idx="48">
                    <c:v>2015</c:v>
                  </c:pt>
                  <c:pt idx="60">
                    <c:v>2016</c:v>
                  </c:pt>
                  <c:pt idx="72">
                    <c:v>2017</c:v>
                  </c:pt>
                  <c:pt idx="84">
                    <c:v>2018</c:v>
                  </c:pt>
                  <c:pt idx="96">
                    <c:v>2019</c:v>
                  </c:pt>
                </c:lvl>
              </c:multiLvlStrCache>
            </c:multiLvlStrRef>
          </c:cat>
          <c:val>
            <c:numRef>
              <c:f>BySource!$D$86:$D$183</c:f>
              <c:numCache>
                <c:formatCode>#\ ##0.0</c:formatCode>
                <c:ptCount val="98"/>
                <c:pt idx="0">
                  <c:v>1.21895202148945</c:v>
                </c:pt>
                <c:pt idx="1">
                  <c:v>1.1906404427433959</c:v>
                </c:pt>
                <c:pt idx="2">
                  <c:v>1.2200201356344476</c:v>
                </c:pt>
                <c:pt idx="3">
                  <c:v>1.2560338726480103</c:v>
                </c:pt>
                <c:pt idx="4">
                  <c:v>1.3832834884464074</c:v>
                </c:pt>
                <c:pt idx="5">
                  <c:v>1.556217412377281</c:v>
                </c:pt>
                <c:pt idx="6">
                  <c:v>1.7251986155246701</c:v>
                </c:pt>
                <c:pt idx="7">
                  <c:v>1.7420993046602495</c:v>
                </c:pt>
                <c:pt idx="8">
                  <c:v>1.787294684051588</c:v>
                </c:pt>
                <c:pt idx="9">
                  <c:v>1.7578085899223383</c:v>
                </c:pt>
                <c:pt idx="10">
                  <c:v>1.7618947335880986</c:v>
                </c:pt>
                <c:pt idx="11">
                  <c:v>1.7568386825547622</c:v>
                </c:pt>
                <c:pt idx="12">
                  <c:v>0.46806374672825335</c:v>
                </c:pt>
                <c:pt idx="13">
                  <c:v>0.46652984840902523</c:v>
                </c:pt>
                <c:pt idx="14">
                  <c:v>0.49363212185757899</c:v>
                </c:pt>
                <c:pt idx="15">
                  <c:v>0.45613892431346503</c:v>
                </c:pt>
                <c:pt idx="16">
                  <c:v>0.44347225641874211</c:v>
                </c:pt>
                <c:pt idx="17">
                  <c:v>0.28568221927844917</c:v>
                </c:pt>
                <c:pt idx="18">
                  <c:v>-0.57117749789838967</c:v>
                </c:pt>
                <c:pt idx="19">
                  <c:v>-0.5839650011748132</c:v>
                </c:pt>
                <c:pt idx="20">
                  <c:v>-0.59259075946331841</c:v>
                </c:pt>
                <c:pt idx="21">
                  <c:v>-0.5801596787979646</c:v>
                </c:pt>
                <c:pt idx="22">
                  <c:v>-0.57023665098201448</c:v>
                </c:pt>
                <c:pt idx="23">
                  <c:v>-0.59106147967700196</c:v>
                </c:pt>
                <c:pt idx="24">
                  <c:v>-0.57326163874749092</c:v>
                </c:pt>
                <c:pt idx="25">
                  <c:v>-0.58184793780053923</c:v>
                </c:pt>
                <c:pt idx="26">
                  <c:v>-0.57882307610217509</c:v>
                </c:pt>
                <c:pt idx="27">
                  <c:v>-0.57252855439464678</c:v>
                </c:pt>
                <c:pt idx="28">
                  <c:v>-0.56322061716489458</c:v>
                </c:pt>
                <c:pt idx="29">
                  <c:v>-0.57454238099869936</c:v>
                </c:pt>
                <c:pt idx="30">
                  <c:v>5.1750668290995172E-2</c:v>
                </c:pt>
                <c:pt idx="31">
                  <c:v>6.0233111130070238E-2</c:v>
                </c:pt>
                <c:pt idx="32">
                  <c:v>5.9067941541879332E-2</c:v>
                </c:pt>
                <c:pt idx="33">
                  <c:v>6.0327551868455398E-2</c:v>
                </c:pt>
                <c:pt idx="34">
                  <c:v>4.944693645874132E-2</c:v>
                </c:pt>
                <c:pt idx="35">
                  <c:v>5.9237256561306406E-2</c:v>
                </c:pt>
                <c:pt idx="36">
                  <c:v>0.14258665982098684</c:v>
                </c:pt>
                <c:pt idx="37">
                  <c:v>0.15299584875565486</c:v>
                </c:pt>
                <c:pt idx="38">
                  <c:v>0.11138957181231479</c:v>
                </c:pt>
                <c:pt idx="39">
                  <c:v>0.1124736761959122</c:v>
                </c:pt>
                <c:pt idx="40" formatCode="0.0">
                  <c:v>0.1120365221735975</c:v>
                </c:pt>
                <c:pt idx="41" formatCode="0.0">
                  <c:v>0.1016406399408476</c:v>
                </c:pt>
                <c:pt idx="42" formatCode="0.0">
                  <c:v>0.1213448575251741</c:v>
                </c:pt>
                <c:pt idx="43" formatCode="0.0">
                  <c:v>0.12302888134920753</c:v>
                </c:pt>
                <c:pt idx="44" formatCode="0.0">
                  <c:v>0.13395468966999058</c:v>
                </c:pt>
                <c:pt idx="45" formatCode="0.0">
                  <c:v>0.13265018481374291</c:v>
                </c:pt>
                <c:pt idx="46" formatCode="0.0">
                  <c:v>0.13370655665274622</c:v>
                </c:pt>
                <c:pt idx="47" formatCode="0.0">
                  <c:v>0.1321494079090435</c:v>
                </c:pt>
                <c:pt idx="48" formatCode="0.0">
                  <c:v>3.975110435042728E-2</c:v>
                </c:pt>
                <c:pt idx="49" formatCode="0.0">
                  <c:v>5.033931078827214E-2</c:v>
                </c:pt>
                <c:pt idx="50" formatCode="0.0">
                  <c:v>7.0846318374551132E-2</c:v>
                </c:pt>
                <c:pt idx="51" formatCode="0.0">
                  <c:v>7.0542368500414732E-2</c:v>
                </c:pt>
                <c:pt idx="52" formatCode="0.0">
                  <c:v>6.1167376763404668E-2</c:v>
                </c:pt>
                <c:pt idx="53" formatCode="0.0">
                  <c:v>8.0236226804220045E-2</c:v>
                </c:pt>
                <c:pt idx="54" formatCode="0.0">
                  <c:v>0.10923488517972091</c:v>
                </c:pt>
                <c:pt idx="55" formatCode="0.0">
                  <c:v>0.18064227301821667</c:v>
                </c:pt>
                <c:pt idx="56" formatCode="0.0">
                  <c:v>0.18937283258491089</c:v>
                </c:pt>
                <c:pt idx="57" formatCode="0.0">
                  <c:v>0.19008779667691877</c:v>
                </c:pt>
                <c:pt idx="58" formatCode="0.0">
                  <c:v>0.18065237371484022</c:v>
                </c:pt>
                <c:pt idx="59" formatCode="0.0">
                  <c:v>0.19234719652208021</c:v>
                </c:pt>
                <c:pt idx="60" formatCode="0.0">
                  <c:v>0.30259155774963187</c:v>
                </c:pt>
                <c:pt idx="61" formatCode="0.0">
                  <c:v>0.30131232542679465</c:v>
                </c:pt>
                <c:pt idx="62" formatCode="0.0">
                  <c:v>0.3392153772210027</c:v>
                </c:pt>
                <c:pt idx="63" formatCode="0.0">
                  <c:v>0.3472019756389777</c:v>
                </c:pt>
                <c:pt idx="64" formatCode="0.0">
                  <c:v>0.34428781865147862</c:v>
                </c:pt>
                <c:pt idx="65" formatCode="0.0">
                  <c:v>0.33499434167341136</c:v>
                </c:pt>
                <c:pt idx="66" formatCode="0.0">
                  <c:v>0.66819587114790302</c:v>
                </c:pt>
                <c:pt idx="67" formatCode="0.0">
                  <c:v>0.59149972755125901</c:v>
                </c:pt>
                <c:pt idx="68" formatCode="0.0">
                  <c:v>0.57226503211953439</c:v>
                </c:pt>
                <c:pt idx="69" formatCode="0.0">
                  <c:v>0.5716057465338098</c:v>
                </c:pt>
                <c:pt idx="70" formatCode="0.00">
                  <c:v>0.59203918491890217</c:v>
                </c:pt>
                <c:pt idx="71" formatCode="0.00">
                  <c:v>0.57268704576687313</c:v>
                </c:pt>
                <c:pt idx="72" formatCode="0.000">
                  <c:v>0.4208896258503847</c:v>
                </c:pt>
                <c:pt idx="73" formatCode="0.000">
                  <c:v>0.41957212712528946</c:v>
                </c:pt>
                <c:pt idx="74" formatCode="0.000">
                  <c:v>0.43402548124944484</c:v>
                </c:pt>
                <c:pt idx="75" formatCode="0.000">
                  <c:v>0.43183529366772611</c:v>
                </c:pt>
                <c:pt idx="76" formatCode="0.000">
                  <c:v>0.44051944544596378</c:v>
                </c:pt>
                <c:pt idx="77" formatCode="0.000">
                  <c:v>0.44915811935617445</c:v>
                </c:pt>
                <c:pt idx="78" formatCode="0.000">
                  <c:v>0.11301168717383625</c:v>
                </c:pt>
                <c:pt idx="79" formatCode="0.000">
                  <c:v>0.11988776552356306</c:v>
                </c:pt>
                <c:pt idx="80" formatCode="0.000">
                  <c:v>0.13109693782886733</c:v>
                </c:pt>
                <c:pt idx="81" formatCode="0.000">
                  <c:v>0.13204300441380656</c:v>
                </c:pt>
                <c:pt idx="82" formatCode="0.000">
                  <c:v>0.121573528374741</c:v>
                </c:pt>
                <c:pt idx="83" formatCode="0.000">
                  <c:v>0.13477238884960219</c:v>
                </c:pt>
                <c:pt idx="84" formatCode="0.000">
                  <c:v>0.13640064937607832</c:v>
                </c:pt>
                <c:pt idx="85" formatCode="0.000">
                  <c:v>0.11705618380664085</c:v>
                </c:pt>
                <c:pt idx="86" formatCode="0.000">
                  <c:v>0.41517073877550548</c:v>
                </c:pt>
                <c:pt idx="87" formatCode="0.000">
                  <c:v>0.39483662952688459</c:v>
                </c:pt>
                <c:pt idx="88" formatCode="0.000">
                  <c:v>0.38240236593225507</c:v>
                </c:pt>
                <c:pt idx="89" formatCode="0.000">
                  <c:v>0.37837334310564241</c:v>
                </c:pt>
                <c:pt idx="90" formatCode="0.000">
                  <c:v>0.49769156232781775</c:v>
                </c:pt>
                <c:pt idx="91" formatCode="0.000">
                  <c:v>0.52632916648460704</c:v>
                </c:pt>
                <c:pt idx="92" formatCode="0.000">
                  <c:v>0.50216708101762375</c:v>
                </c:pt>
                <c:pt idx="93" formatCode="0.000">
                  <c:v>0.4911630385366017</c:v>
                </c:pt>
                <c:pt idx="94" formatCode="0.000">
                  <c:v>0.49284154331015184</c:v>
                </c:pt>
                <c:pt idx="95" formatCode="0.000">
                  <c:v>0.48594111962383391</c:v>
                </c:pt>
                <c:pt idx="96" formatCode="0.000">
                  <c:v>0.5328868667311415</c:v>
                </c:pt>
                <c:pt idx="97" formatCode="0.000">
                  <c:v>0.54254461311924462</c:v>
                </c:pt>
              </c:numCache>
            </c:numRef>
          </c:val>
          <c:extLst>
            <c:ext xmlns:c16="http://schemas.microsoft.com/office/drawing/2014/chart" uri="{C3380CC4-5D6E-409C-BE32-E72D297353CC}">
              <c16:uniqueId val="{00000001-54D0-4B51-A72F-522EB94E2616}"/>
            </c:ext>
          </c:extLst>
        </c:ser>
        <c:ser>
          <c:idx val="1"/>
          <c:order val="2"/>
          <c:tx>
            <c:strRef>
              <c:f>BySource!$N$1</c:f>
              <c:strCache>
                <c:ptCount val="1"/>
                <c:pt idx="0">
                  <c:v>Importētā inflācija</c:v>
                </c:pt>
              </c:strCache>
            </c:strRef>
          </c:tx>
          <c:spPr>
            <a:solidFill>
              <a:srgbClr val="FF0000"/>
            </a:solidFill>
            <a:ln>
              <a:noFill/>
            </a:ln>
          </c:spPr>
          <c:invertIfNegative val="0"/>
          <c:cat>
            <c:multiLvlStrRef>
              <c:f>BySource!$A$86:$B$183</c:f>
              <c:multiLvlStrCache>
                <c:ptCount val="9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lvl>
                <c:lvl>
                  <c:pt idx="0">
                    <c:v>2011</c:v>
                  </c:pt>
                  <c:pt idx="12">
                    <c:v>2012</c:v>
                  </c:pt>
                  <c:pt idx="24">
                    <c:v>2013</c:v>
                  </c:pt>
                  <c:pt idx="36">
                    <c:v>2014</c:v>
                  </c:pt>
                  <c:pt idx="48">
                    <c:v>2015</c:v>
                  </c:pt>
                  <c:pt idx="60">
                    <c:v>2016</c:v>
                  </c:pt>
                  <c:pt idx="72">
                    <c:v>2017</c:v>
                  </c:pt>
                  <c:pt idx="84">
                    <c:v>2018</c:v>
                  </c:pt>
                  <c:pt idx="96">
                    <c:v>2019</c:v>
                  </c:pt>
                </c:lvl>
              </c:multiLvlStrCache>
            </c:multiLvlStrRef>
          </c:cat>
          <c:val>
            <c:numRef>
              <c:f>BySource!$N$86:$N$183</c:f>
              <c:numCache>
                <c:formatCode>0.0</c:formatCode>
                <c:ptCount val="98"/>
                <c:pt idx="0">
                  <c:v>2.7048950214731713</c:v>
                </c:pt>
                <c:pt idx="1">
                  <c:v>2.648118075500526</c:v>
                </c:pt>
                <c:pt idx="2">
                  <c:v>2.5311735197377851</c:v>
                </c:pt>
                <c:pt idx="3" formatCode="#\ ##0.0">
                  <c:v>2.4247853863105018</c:v>
                </c:pt>
                <c:pt idx="4" formatCode="#\ ##0.0">
                  <c:v>2.4641235975099076</c:v>
                </c:pt>
                <c:pt idx="5" formatCode="#\ ##0.0">
                  <c:v>2.1060456374894541</c:v>
                </c:pt>
                <c:pt idx="6" formatCode="#\ ##0.0">
                  <c:v>1.7407181707569288</c:v>
                </c:pt>
                <c:pt idx="7" formatCode="#\ ##0.0">
                  <c:v>1.7323097329875601</c:v>
                </c:pt>
                <c:pt idx="8" formatCode="#\ ##0.0">
                  <c:v>1.9173688497717269</c:v>
                </c:pt>
                <c:pt idx="9" formatCode="#\ ##0.0">
                  <c:v>2.0587051916113115</c:v>
                </c:pt>
                <c:pt idx="10" formatCode="#\ ##0.0">
                  <c:v>2.1235051311101514</c:v>
                </c:pt>
                <c:pt idx="11" formatCode="#\ ##0.0">
                  <c:v>1.3455494801621628</c:v>
                </c:pt>
                <c:pt idx="12" formatCode="#\ ##0.0">
                  <c:v>2.0368298064464785</c:v>
                </c:pt>
                <c:pt idx="13" formatCode="#\ ##0.0">
                  <c:v>2.1750112010217562</c:v>
                </c:pt>
                <c:pt idx="14" formatCode="#\ ##0.0">
                  <c:v>2.111965100128117</c:v>
                </c:pt>
                <c:pt idx="15" formatCode="#\ ##0.0">
                  <c:v>1.5870964320295637</c:v>
                </c:pt>
                <c:pt idx="16" formatCode="#\ ##0.0">
                  <c:v>1.2413321740851195</c:v>
                </c:pt>
                <c:pt idx="17" formatCode="#\ ##0.0">
                  <c:v>1.0876449143430413</c:v>
                </c:pt>
                <c:pt idx="18" formatCode="#\ ##0.0">
                  <c:v>1.3311711584263954</c:v>
                </c:pt>
                <c:pt idx="19" formatCode="#\ ##0.0">
                  <c:v>1.7650065075890993</c:v>
                </c:pt>
                <c:pt idx="20" formatCode="#\ ##0.0">
                  <c:v>1.9316026734462119</c:v>
                </c:pt>
                <c:pt idx="21" formatCode="#\ ##0.0">
                  <c:v>1.9579295750024932</c:v>
                </c:pt>
                <c:pt idx="22" formatCode="#\ ##0.0">
                  <c:v>1.5874292135141559</c:v>
                </c:pt>
                <c:pt idx="23" formatCode="#\ ##0.0">
                  <c:v>1.9568778996207261</c:v>
                </c:pt>
                <c:pt idx="24" formatCode="#\ ##0.0">
                  <c:v>1.0246235231776699</c:v>
                </c:pt>
                <c:pt idx="25" formatCode="#\ ##0.0">
                  <c:v>0.52994204752280472</c:v>
                </c:pt>
                <c:pt idx="26" formatCode="#\ ##0.0">
                  <c:v>0.33012989273420934</c:v>
                </c:pt>
                <c:pt idx="27" formatCode="#\ ##0.0">
                  <c:v>3.3559462031932163E-2</c:v>
                </c:pt>
                <c:pt idx="28" formatCode="#\ ##0.0">
                  <c:v>0.31020049706014052</c:v>
                </c:pt>
                <c:pt idx="29" formatCode="#\ ##0.0">
                  <c:v>0.59568229717516252</c:v>
                </c:pt>
                <c:pt idx="30" formatCode="#\ ##0.0">
                  <c:v>0.29902215759095196</c:v>
                </c:pt>
                <c:pt idx="31" formatCode="#\ ##0.0">
                  <c:v>-0.22582267329294359</c:v>
                </c:pt>
                <c:pt idx="32" formatCode="#\ ##0.0">
                  <c:v>-0.59996379667458344</c:v>
                </c:pt>
                <c:pt idx="33" formatCode="#\ ##0.0">
                  <c:v>-0.60926809502296797</c:v>
                </c:pt>
                <c:pt idx="34" formatCode="#\ ##0.0">
                  <c:v>-0.46204084405104207</c:v>
                </c:pt>
                <c:pt idx="35" formatCode="#\ ##0.0">
                  <c:v>-0.55866605894286814</c:v>
                </c:pt>
                <c:pt idx="36" formatCode="#\ ##0.0">
                  <c:v>-0.23060487962461954</c:v>
                </c:pt>
                <c:pt idx="37" formatCode="#\ ##0.0">
                  <c:v>-0.22441668480104771</c:v>
                </c:pt>
                <c:pt idx="38" formatCode="#\ ##0.0">
                  <c:v>-0.33470966110823819</c:v>
                </c:pt>
                <c:pt idx="39" formatCode="#\ ##0.0">
                  <c:v>-0.18490215874473043</c:v>
                </c:pt>
                <c:pt idx="40" formatCode="#\ ##0.0">
                  <c:v>-0.31480583639425391</c:v>
                </c:pt>
                <c:pt idx="41" formatCode="#\ ##0.0">
                  <c:v>-0.38626079961304538</c:v>
                </c:pt>
                <c:pt idx="42" formatCode="#\ ##0.0">
                  <c:v>-0.38962483493666722</c:v>
                </c:pt>
                <c:pt idx="43" formatCode="#\ ##0.0">
                  <c:v>-0.3956749878429357</c:v>
                </c:pt>
                <c:pt idx="44" formatCode="#\ ##0.0">
                  <c:v>-0.15621824965005751</c:v>
                </c:pt>
                <c:pt idx="45" formatCode="#\ ##0.0">
                  <c:v>-0.10252983454454592</c:v>
                </c:pt>
                <c:pt idx="46" formatCode="#\ ##0.0">
                  <c:v>-0.343995028405638</c:v>
                </c:pt>
                <c:pt idx="47" formatCode="#\ ##0.0">
                  <c:v>-0.9223096094716583</c:v>
                </c:pt>
                <c:pt idx="48" formatCode="#\ ##0.0">
                  <c:v>-1.0989781368019691</c:v>
                </c:pt>
                <c:pt idx="49" formatCode="#\ ##0.0">
                  <c:v>-0.66175471857336632</c:v>
                </c:pt>
                <c:pt idx="50" formatCode="#\ ##0.0">
                  <c:v>-0.34676946019680432</c:v>
                </c:pt>
                <c:pt idx="51" formatCode="#\ ##0.0">
                  <c:v>-0.16180249340991684</c:v>
                </c:pt>
                <c:pt idx="52" formatCode="#\ ##0.0">
                  <c:v>0.35791779114176031</c:v>
                </c:pt>
                <c:pt idx="53" formatCode="#\ ##0.0">
                  <c:v>-9.0132116942559903E-2</c:v>
                </c:pt>
                <c:pt idx="54" formatCode="#\ ##0.0">
                  <c:v>-0.47633578769830942</c:v>
                </c:pt>
                <c:pt idx="55" formatCode="#\ ##0.0">
                  <c:v>-0.54281522112269465</c:v>
                </c:pt>
                <c:pt idx="56" formatCode="#\ ##0.0">
                  <c:v>-0.99087277992073863</c:v>
                </c:pt>
                <c:pt idx="57" formatCode="#\ ##0.0">
                  <c:v>-0.99462500051431446</c:v>
                </c:pt>
                <c:pt idx="58" formatCode="#\ ##0.0">
                  <c:v>-0.67282760040427059</c:v>
                </c:pt>
                <c:pt idx="59" formatCode="#\ ##0.0">
                  <c:v>-0.39347818293340886</c:v>
                </c:pt>
                <c:pt idx="60" formatCode="#\ ##0.0">
                  <c:v>-0.83233776795102166</c:v>
                </c:pt>
                <c:pt idx="61" formatCode="#\ ##0.0">
                  <c:v>-1.2989137510734843</c:v>
                </c:pt>
                <c:pt idx="62" formatCode="#\ ##0.0">
                  <c:v>-1.5797299252569703</c:v>
                </c:pt>
                <c:pt idx="63" formatCode="#\ ##0.0">
                  <c:v>-1.5668435248064037</c:v>
                </c:pt>
                <c:pt idx="64" formatCode="#\ ##0.0">
                  <c:v>-1.8527391035192695</c:v>
                </c:pt>
                <c:pt idx="65" formatCode="#\ ##0.0">
                  <c:v>-1.4499461572048129</c:v>
                </c:pt>
                <c:pt idx="66" formatCode="#\ ##0.0">
                  <c:v>-1.4156900642832442</c:v>
                </c:pt>
                <c:pt idx="67" formatCode="#\ ##0.0">
                  <c:v>-1.1575237078783591</c:v>
                </c:pt>
                <c:pt idx="68" formatCode="#\ ##0.0">
                  <c:v>-0.68046479406612026</c:v>
                </c:pt>
                <c:pt idx="69" formatCode="#\ ##0.0">
                  <c:v>-0.39527412309030507</c:v>
                </c:pt>
                <c:pt idx="70" formatCode="#\ ##0.0">
                  <c:v>-0.17497682261363734</c:v>
                </c:pt>
                <c:pt idx="71" formatCode="#\ ##0.0">
                  <c:v>0.34920748955399811</c:v>
                </c:pt>
                <c:pt idx="72" formatCode="#\ ##0.0">
                  <c:v>0.93836916691871841</c:v>
                </c:pt>
                <c:pt idx="73" formatCode="#\ ##0.0">
                  <c:v>1.4442874935936088</c:v>
                </c:pt>
                <c:pt idx="74" formatCode="0.000">
                  <c:v>1.3414151108166819</c:v>
                </c:pt>
                <c:pt idx="75" formatCode="0.000">
                  <c:v>0.99055482021088714</c:v>
                </c:pt>
                <c:pt idx="76" formatCode="0.000">
                  <c:v>0.87362154733971709</c:v>
                </c:pt>
                <c:pt idx="77" formatCode="0.000">
                  <c:v>0.85834859406563013</c:v>
                </c:pt>
                <c:pt idx="78" formatCode="0.000">
                  <c:v>1.0550398156938092</c:v>
                </c:pt>
                <c:pt idx="79" formatCode="0.000">
                  <c:v>1.1082736491949776</c:v>
                </c:pt>
                <c:pt idx="80" formatCode="0.000">
                  <c:v>1.1715341953781233</c:v>
                </c:pt>
                <c:pt idx="81" formatCode="0.000">
                  <c:v>0.99242006099775881</c:v>
                </c:pt>
                <c:pt idx="82" formatCode="0.000">
                  <c:v>1.0280898048454941</c:v>
                </c:pt>
                <c:pt idx="83" formatCode="0.000">
                  <c:v>0.90404022557304919</c:v>
                </c:pt>
                <c:pt idx="84" formatCode="0.000">
                  <c:v>0.6397730885597035</c:v>
                </c:pt>
                <c:pt idx="85" formatCode="0.000">
                  <c:v>0.3921719866261324</c:v>
                </c:pt>
                <c:pt idx="86" formatCode="0.000">
                  <c:v>0.5177814836115715</c:v>
                </c:pt>
                <c:pt idx="87" formatCode="0.000">
                  <c:v>0.61989247473465703</c:v>
                </c:pt>
                <c:pt idx="88" formatCode="0.000">
                  <c:v>0.93173791415463469</c:v>
                </c:pt>
                <c:pt idx="89" formatCode="0.000">
                  <c:v>1.2154149960054452</c:v>
                </c:pt>
                <c:pt idx="90" formatCode="0.000">
                  <c:v>1.089685164268904</c:v>
                </c:pt>
                <c:pt idx="91" formatCode="0.000">
                  <c:v>1.2233412438172895</c:v>
                </c:pt>
                <c:pt idx="92" formatCode="0.000">
                  <c:v>1.490536136386881</c:v>
                </c:pt>
                <c:pt idx="93" formatCode="0.000">
                  <c:v>1.6130990909342051</c:v>
                </c:pt>
                <c:pt idx="94" formatCode="0.000">
                  <c:v>1.2287387133820316</c:v>
                </c:pt>
                <c:pt idx="95" formatCode="0.000">
                  <c:v>0.78131246002581767</c:v>
                </c:pt>
                <c:pt idx="96" formatCode="0.000">
                  <c:v>0.82153687910682138</c:v>
                </c:pt>
                <c:pt idx="97" formatCode="0.000">
                  <c:v>0.86839586868472796</c:v>
                </c:pt>
              </c:numCache>
            </c:numRef>
          </c:val>
          <c:extLst>
            <c:ext xmlns:c16="http://schemas.microsoft.com/office/drawing/2014/chart" uri="{C3380CC4-5D6E-409C-BE32-E72D297353CC}">
              <c16:uniqueId val="{00000002-54D0-4B51-A72F-522EB94E2616}"/>
            </c:ext>
          </c:extLst>
        </c:ser>
        <c:dLbls>
          <c:showLegendKey val="0"/>
          <c:showVal val="0"/>
          <c:showCatName val="0"/>
          <c:showSerName val="0"/>
          <c:showPercent val="0"/>
          <c:showBubbleSize val="0"/>
        </c:dLbls>
        <c:gapWidth val="22"/>
        <c:overlap val="100"/>
        <c:axId val="348883032"/>
        <c:axId val="348885384"/>
      </c:barChart>
      <c:lineChart>
        <c:grouping val="standard"/>
        <c:varyColors val="0"/>
        <c:ser>
          <c:idx val="3"/>
          <c:order val="3"/>
          <c:tx>
            <c:strRef>
              <c:f>BySource!$C$1</c:f>
              <c:strCache>
                <c:ptCount val="1"/>
                <c:pt idx="0">
                  <c:v>PCI</c:v>
                </c:pt>
              </c:strCache>
            </c:strRef>
          </c:tx>
          <c:spPr>
            <a:ln w="28575">
              <a:solidFill>
                <a:schemeClr val="tx1"/>
              </a:solidFill>
              <a:prstDash val="dash"/>
            </a:ln>
            <a:effectLst/>
          </c:spPr>
          <c:marker>
            <c:symbol val="none"/>
          </c:marker>
          <c:val>
            <c:numRef>
              <c:f>BySource!$C$86:$C$183</c:f>
              <c:numCache>
                <c:formatCode>#\ ##0.0</c:formatCode>
                <c:ptCount val="98"/>
                <c:pt idx="0">
                  <c:v>3.7</c:v>
                </c:pt>
                <c:pt idx="1">
                  <c:v>4</c:v>
                </c:pt>
                <c:pt idx="2">
                  <c:v>4.2</c:v>
                </c:pt>
                <c:pt idx="3">
                  <c:v>4.5</c:v>
                </c:pt>
                <c:pt idx="4">
                  <c:v>5</c:v>
                </c:pt>
                <c:pt idx="5">
                  <c:v>4.8</c:v>
                </c:pt>
                <c:pt idx="6">
                  <c:v>4.3</c:v>
                </c:pt>
                <c:pt idx="7">
                  <c:v>4.7</c:v>
                </c:pt>
                <c:pt idx="8">
                  <c:v>4.5999999999999996</c:v>
                </c:pt>
                <c:pt idx="9">
                  <c:v>4.4000000000000004</c:v>
                </c:pt>
                <c:pt idx="10">
                  <c:v>4.2</c:v>
                </c:pt>
                <c:pt idx="11">
                  <c:v>4</c:v>
                </c:pt>
                <c:pt idx="12">
                  <c:v>3.6</c:v>
                </c:pt>
                <c:pt idx="13">
                  <c:v>3.4</c:v>
                </c:pt>
                <c:pt idx="14">
                  <c:v>3.3</c:v>
                </c:pt>
                <c:pt idx="15">
                  <c:v>2.8</c:v>
                </c:pt>
                <c:pt idx="16">
                  <c:v>2.2000000000000002</c:v>
                </c:pt>
                <c:pt idx="17">
                  <c:v>1.9</c:v>
                </c:pt>
                <c:pt idx="18">
                  <c:v>1.7</c:v>
                </c:pt>
                <c:pt idx="19">
                  <c:v>1.7</c:v>
                </c:pt>
                <c:pt idx="20">
                  <c:v>1.8</c:v>
                </c:pt>
                <c:pt idx="21">
                  <c:v>1.6</c:v>
                </c:pt>
                <c:pt idx="22">
                  <c:v>1.6</c:v>
                </c:pt>
                <c:pt idx="23">
                  <c:v>1.6</c:v>
                </c:pt>
                <c:pt idx="24">
                  <c:v>0.6</c:v>
                </c:pt>
                <c:pt idx="25">
                  <c:v>0.3</c:v>
                </c:pt>
                <c:pt idx="26">
                  <c:v>0.2</c:v>
                </c:pt>
                <c:pt idx="27">
                  <c:v>-0.4</c:v>
                </c:pt>
                <c:pt idx="28">
                  <c:v>-0.1</c:v>
                </c:pt>
                <c:pt idx="29">
                  <c:v>0.2</c:v>
                </c:pt>
                <c:pt idx="30">
                  <c:v>0.3</c:v>
                </c:pt>
                <c:pt idx="31">
                  <c:v>-0.2</c:v>
                </c:pt>
                <c:pt idx="32">
                  <c:v>-0.4</c:v>
                </c:pt>
                <c:pt idx="33">
                  <c:v>0</c:v>
                </c:pt>
                <c:pt idx="34">
                  <c:v>-0.4</c:v>
                </c:pt>
                <c:pt idx="35">
                  <c:v>-0.4</c:v>
                </c:pt>
                <c:pt idx="36" formatCode="0.0">
                  <c:v>0.4</c:v>
                </c:pt>
                <c:pt idx="37" formatCode="0.0">
                  <c:v>0.5</c:v>
                </c:pt>
                <c:pt idx="38" formatCode="0.0">
                  <c:v>0.3</c:v>
                </c:pt>
                <c:pt idx="39" formatCode="0.0">
                  <c:v>0.7</c:v>
                </c:pt>
                <c:pt idx="40" formatCode="0.0">
                  <c:v>0.6</c:v>
                </c:pt>
                <c:pt idx="41" formatCode="0.0">
                  <c:v>0.7</c:v>
                </c:pt>
                <c:pt idx="42" formatCode="0.0">
                  <c:v>0.6</c:v>
                </c:pt>
                <c:pt idx="43" formatCode="0.0">
                  <c:v>0.8</c:v>
                </c:pt>
                <c:pt idx="44" formatCode="0.0">
                  <c:v>1</c:v>
                </c:pt>
                <c:pt idx="45" formatCode="0.0">
                  <c:v>0.7</c:v>
                </c:pt>
                <c:pt idx="46" formatCode="0.0">
                  <c:v>0.9</c:v>
                </c:pt>
                <c:pt idx="47" formatCode="0.0">
                  <c:v>0.2</c:v>
                </c:pt>
                <c:pt idx="48" formatCode="0.0">
                  <c:v>-0.4</c:v>
                </c:pt>
                <c:pt idx="49" formatCode="0.0">
                  <c:v>-0.1</c:v>
                </c:pt>
                <c:pt idx="50" formatCode="0.0">
                  <c:v>0.4</c:v>
                </c:pt>
                <c:pt idx="51" formatCode="0.0">
                  <c:v>0.5</c:v>
                </c:pt>
                <c:pt idx="52" formatCode="0.0">
                  <c:v>1.2</c:v>
                </c:pt>
                <c:pt idx="53" formatCode="0.0">
                  <c:v>0.6</c:v>
                </c:pt>
                <c:pt idx="54" formatCode="0.0">
                  <c:v>0</c:v>
                </c:pt>
                <c:pt idx="55" formatCode="0.0">
                  <c:v>0.1</c:v>
                </c:pt>
                <c:pt idx="56" formatCode="0.0">
                  <c:v>-0.5</c:v>
                </c:pt>
                <c:pt idx="57" formatCode="0.0">
                  <c:v>-0.2</c:v>
                </c:pt>
                <c:pt idx="58" formatCode="0.0">
                  <c:v>0</c:v>
                </c:pt>
                <c:pt idx="59" formatCode="0.0">
                  <c:v>0.3</c:v>
                </c:pt>
                <c:pt idx="60" formatCode="0.0">
                  <c:v>-0.3</c:v>
                </c:pt>
                <c:pt idx="61" formatCode="0.0">
                  <c:v>-0.5</c:v>
                </c:pt>
                <c:pt idx="62" formatCode="0.0">
                  <c:v>-0.6</c:v>
                </c:pt>
                <c:pt idx="63" formatCode="0.0">
                  <c:v>-0.8</c:v>
                </c:pt>
                <c:pt idx="64" formatCode="0.0">
                  <c:v>-0.8</c:v>
                </c:pt>
                <c:pt idx="65" formatCode="0.0">
                  <c:v>-0.5</c:v>
                </c:pt>
                <c:pt idx="66" formatCode="0.0">
                  <c:v>0.1</c:v>
                </c:pt>
                <c:pt idx="67" formatCode="0.0">
                  <c:v>0</c:v>
                </c:pt>
                <c:pt idx="68" formatCode="0.0">
                  <c:v>0.6</c:v>
                </c:pt>
                <c:pt idx="69" formatCode="0.0">
                  <c:v>1</c:v>
                </c:pt>
                <c:pt idx="70" formatCode="0.0">
                  <c:v>1.3</c:v>
                </c:pt>
                <c:pt idx="71" formatCode="0.0">
                  <c:v>2.2000000000000002</c:v>
                </c:pt>
                <c:pt idx="72" formatCode="0.000">
                  <c:v>2.9</c:v>
                </c:pt>
                <c:pt idx="73" formatCode="0.000">
                  <c:v>3.3</c:v>
                </c:pt>
                <c:pt idx="74" formatCode="0.000">
                  <c:v>3.4</c:v>
                </c:pt>
                <c:pt idx="75" formatCode="0.000">
                  <c:v>3.4</c:v>
                </c:pt>
                <c:pt idx="76" formatCode="0.000">
                  <c:v>2.8</c:v>
                </c:pt>
                <c:pt idx="77" formatCode="0.000">
                  <c:v>3</c:v>
                </c:pt>
                <c:pt idx="78" formatCode="0.000">
                  <c:v>2.6</c:v>
                </c:pt>
                <c:pt idx="79" formatCode="0.000">
                  <c:v>3.1</c:v>
                </c:pt>
                <c:pt idx="80" formatCode="0.000">
                  <c:v>2.9</c:v>
                </c:pt>
                <c:pt idx="81" formatCode="0.000">
                  <c:v>2.8</c:v>
                </c:pt>
                <c:pt idx="82" formatCode="0.000">
                  <c:v>2.7</c:v>
                </c:pt>
                <c:pt idx="83" formatCode="0.000">
                  <c:v>2.2000000000000002</c:v>
                </c:pt>
                <c:pt idx="84" formatCode="0.000">
                  <c:v>2</c:v>
                </c:pt>
                <c:pt idx="85" formatCode="0.000">
                  <c:v>1.8</c:v>
                </c:pt>
                <c:pt idx="86" formatCode="0.000">
                  <c:v>2.2000000000000002</c:v>
                </c:pt>
                <c:pt idx="87" formatCode="0.000">
                  <c:v>2</c:v>
                </c:pt>
                <c:pt idx="88" formatCode="0.000">
                  <c:v>2.2999999999999998</c:v>
                </c:pt>
                <c:pt idx="89" formatCode="0.000">
                  <c:v>2.8</c:v>
                </c:pt>
                <c:pt idx="90" formatCode="0.000">
                  <c:v>2.6</c:v>
                </c:pt>
                <c:pt idx="91" formatCode="0.000">
                  <c:v>2.8</c:v>
                </c:pt>
                <c:pt idx="92" formatCode="0.000">
                  <c:v>3.2</c:v>
                </c:pt>
                <c:pt idx="93" formatCode="0.000">
                  <c:v>3.2</c:v>
                </c:pt>
                <c:pt idx="94" formatCode="0.000">
                  <c:v>3</c:v>
                </c:pt>
                <c:pt idx="95" formatCode="0.000">
                  <c:v>2.6</c:v>
                </c:pt>
                <c:pt idx="96" formatCode="0.000">
                  <c:v>3</c:v>
                </c:pt>
                <c:pt idx="97" formatCode="0.000">
                  <c:v>2.9</c:v>
                </c:pt>
              </c:numCache>
            </c:numRef>
          </c:val>
          <c:smooth val="0"/>
          <c:extLst>
            <c:ext xmlns:c16="http://schemas.microsoft.com/office/drawing/2014/chart" uri="{C3380CC4-5D6E-409C-BE32-E72D297353CC}">
              <c16:uniqueId val="{00000003-54D0-4B51-A72F-522EB94E2616}"/>
            </c:ext>
          </c:extLst>
        </c:ser>
        <c:dLbls>
          <c:showLegendKey val="0"/>
          <c:showVal val="0"/>
          <c:showCatName val="0"/>
          <c:showSerName val="0"/>
          <c:showPercent val="0"/>
          <c:showBubbleSize val="0"/>
        </c:dLbls>
        <c:marker val="1"/>
        <c:smooth val="0"/>
        <c:axId val="348883032"/>
        <c:axId val="348885384"/>
      </c:lineChart>
      <c:catAx>
        <c:axId val="348883032"/>
        <c:scaling>
          <c:orientation val="minMax"/>
        </c:scaling>
        <c:delete val="0"/>
        <c:axPos val="b"/>
        <c:numFmt formatCode="General" sourceLinked="0"/>
        <c:majorTickMark val="out"/>
        <c:minorTickMark val="none"/>
        <c:tickLblPos val="low"/>
        <c:spPr>
          <a:ln>
            <a:solidFill>
              <a:schemeClr val="tx1"/>
            </a:solidFill>
          </a:ln>
        </c:spPr>
        <c:txPr>
          <a:bodyPr/>
          <a:lstStyle/>
          <a:p>
            <a:pPr>
              <a:defRPr b="0">
                <a:latin typeface="Times New Roman" panose="02020603050405020304" pitchFamily="18" charset="0"/>
                <a:cs typeface="Times New Roman" panose="02020603050405020304" pitchFamily="18" charset="0"/>
              </a:defRPr>
            </a:pPr>
            <a:endParaRPr lang="lv-LV"/>
          </a:p>
        </c:txPr>
        <c:crossAx val="348885384"/>
        <c:crosses val="autoZero"/>
        <c:auto val="1"/>
        <c:lblAlgn val="ctr"/>
        <c:lblOffset val="100"/>
        <c:noMultiLvlLbl val="0"/>
      </c:catAx>
      <c:valAx>
        <c:axId val="34888538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b="1">
                <a:latin typeface="Times New Roman" panose="02020603050405020304" pitchFamily="18" charset="0"/>
                <a:cs typeface="Times New Roman" panose="02020603050405020304" pitchFamily="18" charset="0"/>
              </a:defRPr>
            </a:pPr>
            <a:endParaRPr lang="lv-LV"/>
          </a:p>
        </c:txPr>
        <c:crossAx val="348883032"/>
        <c:crosses val="autoZero"/>
        <c:crossBetween val="between"/>
      </c:valAx>
      <c:spPr>
        <a:noFill/>
      </c:spPr>
    </c:plotArea>
    <c:legend>
      <c:legendPos val="b"/>
      <c:layout/>
      <c:overlay val="0"/>
      <c:txPr>
        <a:bodyPr/>
        <a:lstStyle/>
        <a:p>
          <a:pPr>
            <a:defRPr b="0">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175969937299862E-2"/>
          <c:y val="4.2742611718989673E-2"/>
          <c:w val="0.91690723525920925"/>
          <c:h val="0.69198690369889326"/>
        </c:manualLayout>
      </c:layout>
      <c:barChart>
        <c:barDir val="col"/>
        <c:grouping val="clustered"/>
        <c:varyColors val="0"/>
        <c:ser>
          <c:idx val="0"/>
          <c:order val="0"/>
          <c:tx>
            <c:strRef>
              <c:f>'2 graf'!$J$3</c:f>
              <c:strCache>
                <c:ptCount val="1"/>
                <c:pt idx="0">
                  <c:v>Nodarbināto skaits, tūkstoši (labā ass)</c:v>
                </c:pt>
              </c:strCache>
            </c:strRef>
          </c:tx>
          <c:invertIfNegative val="0"/>
          <c:cat>
            <c:numRef>
              <c:f>'2 graf'!$K$2:$Y$2</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'2 graf'!$K$3:$Y$3</c:f>
              <c:numCache>
                <c:formatCode>0.0</c:formatCode>
                <c:ptCount val="15"/>
                <c:pt idx="0">
                  <c:v>1054.9000000000001</c:v>
                </c:pt>
                <c:pt idx="1">
                  <c:v>908.5</c:v>
                </c:pt>
                <c:pt idx="2">
                  <c:v>850.7</c:v>
                </c:pt>
                <c:pt idx="3">
                  <c:v>861.6</c:v>
                </c:pt>
                <c:pt idx="4">
                  <c:v>875.6</c:v>
                </c:pt>
                <c:pt idx="5">
                  <c:v>893.9</c:v>
                </c:pt>
                <c:pt idx="6">
                  <c:v>884.6</c:v>
                </c:pt>
                <c:pt idx="7">
                  <c:v>896.1</c:v>
                </c:pt>
                <c:pt idx="8">
                  <c:v>893.3</c:v>
                </c:pt>
                <c:pt idx="9">
                  <c:v>894.8</c:v>
                </c:pt>
                <c:pt idx="10">
                  <c:v>909.4</c:v>
                </c:pt>
                <c:pt idx="11" formatCode="0">
                  <c:v>914</c:v>
                </c:pt>
                <c:pt idx="12" formatCode="0">
                  <c:v>915</c:v>
                </c:pt>
                <c:pt idx="13" formatCode="0">
                  <c:v>914</c:v>
                </c:pt>
                <c:pt idx="14" formatCode="0">
                  <c:v>913</c:v>
                </c:pt>
              </c:numCache>
            </c:numRef>
          </c:val>
          <c:extLst>
            <c:ext xmlns:c16="http://schemas.microsoft.com/office/drawing/2014/chart" uri="{C3380CC4-5D6E-409C-BE32-E72D297353CC}">
              <c16:uniqueId val="{00000000-BB75-4CEF-B076-86EFCDC0C13B}"/>
            </c:ext>
          </c:extLst>
        </c:ser>
        <c:dLbls>
          <c:showLegendKey val="0"/>
          <c:showVal val="0"/>
          <c:showCatName val="0"/>
          <c:showSerName val="0"/>
          <c:showPercent val="0"/>
          <c:showBubbleSize val="0"/>
        </c:dLbls>
        <c:gapWidth val="150"/>
        <c:axId val="396118440"/>
        <c:axId val="393060176"/>
      </c:barChart>
      <c:lineChart>
        <c:grouping val="standard"/>
        <c:varyColors val="0"/>
        <c:ser>
          <c:idx val="1"/>
          <c:order val="1"/>
          <c:tx>
            <c:strRef>
              <c:f>'2 graf'!$J$4</c:f>
              <c:strCache>
                <c:ptCount val="1"/>
                <c:pt idx="0">
                  <c:v>Darba meklētāji, % no ekonomiski aktīvajiem iedzīvotājiem (kreisā ass)</c:v>
                </c:pt>
              </c:strCache>
            </c:strRef>
          </c:tx>
          <c:spPr>
            <a:ln>
              <a:solidFill>
                <a:srgbClr val="FF0000"/>
              </a:solidFill>
              <a:prstDash val="dash"/>
            </a:ln>
          </c:spPr>
          <c:marker>
            <c:symbol val="none"/>
          </c:marker>
          <c:dPt>
            <c:idx val="0"/>
            <c:bubble3D val="0"/>
            <c:spPr>
              <a:ln>
                <a:solidFill>
                  <a:srgbClr val="FF0000"/>
                </a:solidFill>
                <a:prstDash val="solid"/>
              </a:ln>
            </c:spPr>
            <c:extLst>
              <c:ext xmlns:c16="http://schemas.microsoft.com/office/drawing/2014/chart" uri="{C3380CC4-5D6E-409C-BE32-E72D297353CC}">
                <c16:uniqueId val="{00000002-BB75-4CEF-B076-86EFCDC0C13B}"/>
              </c:ext>
            </c:extLst>
          </c:dPt>
          <c:dPt>
            <c:idx val="1"/>
            <c:bubble3D val="0"/>
            <c:spPr>
              <a:ln>
                <a:solidFill>
                  <a:srgbClr val="FF0000"/>
                </a:solidFill>
                <a:prstDash val="solid"/>
              </a:ln>
            </c:spPr>
            <c:extLst>
              <c:ext xmlns:c16="http://schemas.microsoft.com/office/drawing/2014/chart" uri="{C3380CC4-5D6E-409C-BE32-E72D297353CC}">
                <c16:uniqueId val="{00000004-BB75-4CEF-B076-86EFCDC0C13B}"/>
              </c:ext>
            </c:extLst>
          </c:dPt>
          <c:dPt>
            <c:idx val="2"/>
            <c:bubble3D val="0"/>
            <c:spPr>
              <a:ln>
                <a:solidFill>
                  <a:srgbClr val="FF0000"/>
                </a:solidFill>
                <a:prstDash val="solid"/>
              </a:ln>
            </c:spPr>
            <c:extLst>
              <c:ext xmlns:c16="http://schemas.microsoft.com/office/drawing/2014/chart" uri="{C3380CC4-5D6E-409C-BE32-E72D297353CC}">
                <c16:uniqueId val="{00000006-BB75-4CEF-B076-86EFCDC0C13B}"/>
              </c:ext>
            </c:extLst>
          </c:dPt>
          <c:dPt>
            <c:idx val="3"/>
            <c:bubble3D val="0"/>
            <c:spPr>
              <a:ln>
                <a:solidFill>
                  <a:srgbClr val="FF0000"/>
                </a:solidFill>
                <a:prstDash val="solid"/>
              </a:ln>
            </c:spPr>
            <c:extLst>
              <c:ext xmlns:c16="http://schemas.microsoft.com/office/drawing/2014/chart" uri="{C3380CC4-5D6E-409C-BE32-E72D297353CC}">
                <c16:uniqueId val="{00000008-BB75-4CEF-B076-86EFCDC0C13B}"/>
              </c:ext>
            </c:extLst>
          </c:dPt>
          <c:dPt>
            <c:idx val="4"/>
            <c:bubble3D val="0"/>
            <c:spPr>
              <a:ln>
                <a:solidFill>
                  <a:srgbClr val="FF0000"/>
                </a:solidFill>
                <a:prstDash val="solid"/>
              </a:ln>
            </c:spPr>
            <c:extLst>
              <c:ext xmlns:c16="http://schemas.microsoft.com/office/drawing/2014/chart" uri="{C3380CC4-5D6E-409C-BE32-E72D297353CC}">
                <c16:uniqueId val="{0000000A-BB75-4CEF-B076-86EFCDC0C13B}"/>
              </c:ext>
            </c:extLst>
          </c:dPt>
          <c:dPt>
            <c:idx val="5"/>
            <c:bubble3D val="0"/>
            <c:spPr>
              <a:ln>
                <a:solidFill>
                  <a:srgbClr val="FF0000"/>
                </a:solidFill>
                <a:prstDash val="solid"/>
              </a:ln>
            </c:spPr>
            <c:extLst>
              <c:ext xmlns:c16="http://schemas.microsoft.com/office/drawing/2014/chart" uri="{C3380CC4-5D6E-409C-BE32-E72D297353CC}">
                <c16:uniqueId val="{0000000C-BB75-4CEF-B076-86EFCDC0C13B}"/>
              </c:ext>
            </c:extLst>
          </c:dPt>
          <c:dPt>
            <c:idx val="6"/>
            <c:bubble3D val="0"/>
            <c:spPr>
              <a:ln>
                <a:solidFill>
                  <a:srgbClr val="FF0000"/>
                </a:solidFill>
                <a:prstDash val="solid"/>
              </a:ln>
            </c:spPr>
            <c:extLst>
              <c:ext xmlns:c16="http://schemas.microsoft.com/office/drawing/2014/chart" uri="{C3380CC4-5D6E-409C-BE32-E72D297353CC}">
                <c16:uniqueId val="{0000000E-BB75-4CEF-B076-86EFCDC0C13B}"/>
              </c:ext>
            </c:extLst>
          </c:dPt>
          <c:dPt>
            <c:idx val="7"/>
            <c:bubble3D val="0"/>
            <c:spPr>
              <a:ln>
                <a:solidFill>
                  <a:srgbClr val="FF0000"/>
                </a:solidFill>
                <a:prstDash val="solid"/>
              </a:ln>
            </c:spPr>
            <c:extLst>
              <c:ext xmlns:c16="http://schemas.microsoft.com/office/drawing/2014/chart" uri="{C3380CC4-5D6E-409C-BE32-E72D297353CC}">
                <c16:uniqueId val="{00000010-BB75-4CEF-B076-86EFCDC0C13B}"/>
              </c:ext>
            </c:extLst>
          </c:dPt>
          <c:dPt>
            <c:idx val="8"/>
            <c:bubble3D val="0"/>
            <c:spPr>
              <a:ln>
                <a:solidFill>
                  <a:srgbClr val="FF0000"/>
                </a:solidFill>
                <a:prstDash val="solid"/>
              </a:ln>
            </c:spPr>
            <c:extLst>
              <c:ext xmlns:c16="http://schemas.microsoft.com/office/drawing/2014/chart" uri="{C3380CC4-5D6E-409C-BE32-E72D297353CC}">
                <c16:uniqueId val="{00000012-BB75-4CEF-B076-86EFCDC0C13B}"/>
              </c:ext>
            </c:extLst>
          </c:dPt>
          <c:dPt>
            <c:idx val="9"/>
            <c:bubble3D val="0"/>
            <c:spPr>
              <a:ln>
                <a:solidFill>
                  <a:srgbClr val="FF0000"/>
                </a:solidFill>
                <a:prstDash val="solid"/>
              </a:ln>
            </c:spPr>
            <c:extLst>
              <c:ext xmlns:c16="http://schemas.microsoft.com/office/drawing/2014/chart" uri="{C3380CC4-5D6E-409C-BE32-E72D297353CC}">
                <c16:uniqueId val="{00000014-BB75-4CEF-B076-86EFCDC0C13B}"/>
              </c:ext>
            </c:extLst>
          </c:dPt>
          <c:dPt>
            <c:idx val="10"/>
            <c:bubble3D val="0"/>
            <c:spPr>
              <a:ln>
                <a:solidFill>
                  <a:srgbClr val="FF0000"/>
                </a:solidFill>
                <a:prstDash val="solid"/>
              </a:ln>
            </c:spPr>
            <c:extLst>
              <c:ext xmlns:c16="http://schemas.microsoft.com/office/drawing/2014/chart" uri="{C3380CC4-5D6E-409C-BE32-E72D297353CC}">
                <c16:uniqueId val="{00000016-BB75-4CEF-B076-86EFCDC0C13B}"/>
              </c:ext>
            </c:extLst>
          </c:dPt>
          <c:cat>
            <c:numRef>
              <c:f>'2 graf'!$K$2:$Y$2</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'2 graf'!$K$4:$Y$4</c:f>
              <c:numCache>
                <c:formatCode>0.0</c:formatCode>
                <c:ptCount val="15"/>
                <c:pt idx="0">
                  <c:v>7.740073465104075</c:v>
                </c:pt>
                <c:pt idx="1">
                  <c:v>17.514072998002543</c:v>
                </c:pt>
                <c:pt idx="2">
                  <c:v>19.479413156649315</c:v>
                </c:pt>
                <c:pt idx="3">
                  <c:v>16.203073332036571</c:v>
                </c:pt>
                <c:pt idx="4">
                  <c:v>15.048025613660618</c:v>
                </c:pt>
                <c:pt idx="5">
                  <c:v>11.871425754289094</c:v>
                </c:pt>
                <c:pt idx="6">
                  <c:v>10.843494910813261</c:v>
                </c:pt>
                <c:pt idx="7">
                  <c:v>9.8772882719774699</c:v>
                </c:pt>
                <c:pt idx="8">
                  <c:v>9.6398948007283014</c:v>
                </c:pt>
                <c:pt idx="9">
                  <c:v>8.7116188921758653</c:v>
                </c:pt>
                <c:pt idx="10">
                  <c:v>7.4499737109829409</c:v>
                </c:pt>
                <c:pt idx="11">
                  <c:v>6.9564173912012999</c:v>
                </c:pt>
                <c:pt idx="12">
                  <c:v>6.5385134861332839</c:v>
                </c:pt>
                <c:pt idx="13">
                  <c:v>6.3110261815556425</c:v>
                </c:pt>
                <c:pt idx="14">
                  <c:v>5.6499144711432292</c:v>
                </c:pt>
              </c:numCache>
            </c:numRef>
          </c:val>
          <c:smooth val="1"/>
          <c:extLst>
            <c:ext xmlns:c16="http://schemas.microsoft.com/office/drawing/2014/chart" uri="{C3380CC4-5D6E-409C-BE32-E72D297353CC}">
              <c16:uniqueId val="{00000017-BB75-4CEF-B076-86EFCDC0C13B}"/>
            </c:ext>
          </c:extLst>
        </c:ser>
        <c:dLbls>
          <c:showLegendKey val="0"/>
          <c:showVal val="0"/>
          <c:showCatName val="0"/>
          <c:showSerName val="0"/>
          <c:showPercent val="0"/>
          <c:showBubbleSize val="0"/>
        </c:dLbls>
        <c:marker val="1"/>
        <c:smooth val="0"/>
        <c:axId val="387439344"/>
        <c:axId val="278229968"/>
      </c:lineChart>
      <c:catAx>
        <c:axId val="387439344"/>
        <c:scaling>
          <c:orientation val="minMax"/>
        </c:scaling>
        <c:delete val="0"/>
        <c:axPos val="b"/>
        <c:numFmt formatCode="General" sourceLinked="1"/>
        <c:majorTickMark val="out"/>
        <c:minorTickMark val="none"/>
        <c:tickLblPos val="low"/>
        <c:crossAx val="278229968"/>
        <c:crosses val="autoZero"/>
        <c:auto val="1"/>
        <c:lblAlgn val="ctr"/>
        <c:lblOffset val="100"/>
        <c:noMultiLvlLbl val="0"/>
      </c:catAx>
      <c:valAx>
        <c:axId val="278229968"/>
        <c:scaling>
          <c:orientation val="minMax"/>
          <c:min val="4"/>
        </c:scaling>
        <c:delete val="0"/>
        <c:axPos val="l"/>
        <c:majorGridlines/>
        <c:numFmt formatCode="0" sourceLinked="0"/>
        <c:majorTickMark val="out"/>
        <c:minorTickMark val="none"/>
        <c:tickLblPos val="nextTo"/>
        <c:txPr>
          <a:bodyPr/>
          <a:lstStyle/>
          <a:p>
            <a:pPr>
              <a:defRPr sz="1000"/>
            </a:pPr>
            <a:endParaRPr lang="lv-LV"/>
          </a:p>
        </c:txPr>
        <c:crossAx val="387439344"/>
        <c:crosses val="autoZero"/>
        <c:crossBetween val="between"/>
      </c:valAx>
      <c:valAx>
        <c:axId val="393060176"/>
        <c:scaling>
          <c:orientation val="minMax"/>
          <c:min val="700"/>
        </c:scaling>
        <c:delete val="0"/>
        <c:axPos val="r"/>
        <c:numFmt formatCode="0" sourceLinked="0"/>
        <c:majorTickMark val="out"/>
        <c:minorTickMark val="none"/>
        <c:tickLblPos val="nextTo"/>
        <c:crossAx val="396118440"/>
        <c:crosses val="max"/>
        <c:crossBetween val="between"/>
      </c:valAx>
      <c:catAx>
        <c:axId val="396118440"/>
        <c:scaling>
          <c:orientation val="minMax"/>
        </c:scaling>
        <c:delete val="1"/>
        <c:axPos val="b"/>
        <c:numFmt formatCode="General" sourceLinked="1"/>
        <c:majorTickMark val="out"/>
        <c:minorTickMark val="none"/>
        <c:tickLblPos val="nextTo"/>
        <c:crossAx val="393060176"/>
        <c:crosses val="autoZero"/>
        <c:auto val="1"/>
        <c:lblAlgn val="ctr"/>
        <c:lblOffset val="100"/>
        <c:noMultiLvlLbl val="0"/>
      </c:catAx>
    </c:plotArea>
    <c:legend>
      <c:legendPos val="b"/>
      <c:layout>
        <c:manualLayout>
          <c:xMode val="edge"/>
          <c:yMode val="edge"/>
          <c:x val="5.2777777777777778E-2"/>
          <c:y val="0.84834122538806356"/>
          <c:w val="0.9"/>
          <c:h val="0.13411802906080039"/>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03481782451177E-2"/>
          <c:y val="5.1400554097404488E-2"/>
          <c:w val="0.91690723525920925"/>
          <c:h val="0.73780596429971157"/>
        </c:manualLayout>
      </c:layout>
      <c:barChart>
        <c:barDir val="col"/>
        <c:grouping val="clustered"/>
        <c:varyColors val="0"/>
        <c:ser>
          <c:idx val="0"/>
          <c:order val="0"/>
          <c:tx>
            <c:strRef>
              <c:f>'2 graf'!$J$3</c:f>
              <c:strCache>
                <c:ptCount val="1"/>
                <c:pt idx="0">
                  <c:v>Produktivitāte</c:v>
                </c:pt>
              </c:strCache>
            </c:strRef>
          </c:tx>
          <c:invertIfNegative val="0"/>
          <c:cat>
            <c:numRef>
              <c:f>'2 graf'!$K$2:$Y$2</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'2 graf'!$K$3:$Y$3</c:f>
              <c:numCache>
                <c:formatCode>0.0</c:formatCode>
                <c:ptCount val="15"/>
                <c:pt idx="0">
                  <c:v>-3.319062473318823</c:v>
                </c:pt>
                <c:pt idx="1">
                  <c:v>-0.60797431154132653</c:v>
                </c:pt>
                <c:pt idx="2">
                  <c:v>2.5859892175721377</c:v>
                </c:pt>
                <c:pt idx="3">
                  <c:v>5.0352075033854415</c:v>
                </c:pt>
                <c:pt idx="4">
                  <c:v>2.3712149473211985</c:v>
                </c:pt>
                <c:pt idx="5">
                  <c:v>0.33289821920796658</c:v>
                </c:pt>
                <c:pt idx="6">
                  <c:v>2.9291024194164184</c:v>
                </c:pt>
                <c:pt idx="7">
                  <c:v>1.650227886892619</c:v>
                </c:pt>
                <c:pt idx="8">
                  <c:v>2.3842965178655584</c:v>
                </c:pt>
                <c:pt idx="9">
                  <c:v>4.4610720225979561</c:v>
                </c:pt>
                <c:pt idx="10">
                  <c:v>2.9003219962458582</c:v>
                </c:pt>
                <c:pt idx="11">
                  <c:v>2.6553666243658292</c:v>
                </c:pt>
                <c:pt idx="12">
                  <c:v>2.8918184260563473</c:v>
                </c:pt>
                <c:pt idx="13">
                  <c:v>2.9901343937141389</c:v>
                </c:pt>
                <c:pt idx="14">
                  <c:v>3.0360597544619949</c:v>
                </c:pt>
              </c:numCache>
            </c:numRef>
          </c:val>
          <c:extLst>
            <c:ext xmlns:c16="http://schemas.microsoft.com/office/drawing/2014/chart" uri="{C3380CC4-5D6E-409C-BE32-E72D297353CC}">
              <c16:uniqueId val="{00000000-4882-4EA5-A096-3CD477946531}"/>
            </c:ext>
          </c:extLst>
        </c:ser>
        <c:dLbls>
          <c:showLegendKey val="0"/>
          <c:showVal val="0"/>
          <c:showCatName val="0"/>
          <c:showSerName val="0"/>
          <c:showPercent val="0"/>
          <c:showBubbleSize val="0"/>
        </c:dLbls>
        <c:gapWidth val="150"/>
        <c:axId val="387440128"/>
        <c:axId val="387440520"/>
      </c:barChart>
      <c:lineChart>
        <c:grouping val="standard"/>
        <c:varyColors val="0"/>
        <c:ser>
          <c:idx val="1"/>
          <c:order val="1"/>
          <c:tx>
            <c:strRef>
              <c:f>'2 graf'!$J$4</c:f>
              <c:strCache>
                <c:ptCount val="1"/>
                <c:pt idx="0">
                  <c:v>Reālā darba samaksa, %</c:v>
                </c:pt>
              </c:strCache>
            </c:strRef>
          </c:tx>
          <c:spPr>
            <a:ln>
              <a:solidFill>
                <a:srgbClr val="FF0000"/>
              </a:solidFill>
              <a:prstDash val="dash"/>
            </a:ln>
          </c:spPr>
          <c:marker>
            <c:symbol val="none"/>
          </c:marker>
          <c:dPt>
            <c:idx val="0"/>
            <c:bubble3D val="0"/>
            <c:spPr>
              <a:ln>
                <a:solidFill>
                  <a:srgbClr val="FF0000"/>
                </a:solidFill>
                <a:prstDash val="solid"/>
              </a:ln>
            </c:spPr>
            <c:extLst>
              <c:ext xmlns:c16="http://schemas.microsoft.com/office/drawing/2014/chart" uri="{C3380CC4-5D6E-409C-BE32-E72D297353CC}">
                <c16:uniqueId val="{00000002-4882-4EA5-A096-3CD477946531}"/>
              </c:ext>
            </c:extLst>
          </c:dPt>
          <c:dPt>
            <c:idx val="1"/>
            <c:bubble3D val="0"/>
            <c:spPr>
              <a:ln>
                <a:solidFill>
                  <a:srgbClr val="FF0000"/>
                </a:solidFill>
                <a:prstDash val="solid"/>
              </a:ln>
            </c:spPr>
            <c:extLst>
              <c:ext xmlns:c16="http://schemas.microsoft.com/office/drawing/2014/chart" uri="{C3380CC4-5D6E-409C-BE32-E72D297353CC}">
                <c16:uniqueId val="{00000004-4882-4EA5-A096-3CD477946531}"/>
              </c:ext>
            </c:extLst>
          </c:dPt>
          <c:dPt>
            <c:idx val="2"/>
            <c:bubble3D val="0"/>
            <c:spPr>
              <a:ln>
                <a:solidFill>
                  <a:srgbClr val="FF0000"/>
                </a:solidFill>
                <a:prstDash val="solid"/>
              </a:ln>
            </c:spPr>
            <c:extLst>
              <c:ext xmlns:c16="http://schemas.microsoft.com/office/drawing/2014/chart" uri="{C3380CC4-5D6E-409C-BE32-E72D297353CC}">
                <c16:uniqueId val="{00000006-4882-4EA5-A096-3CD477946531}"/>
              </c:ext>
            </c:extLst>
          </c:dPt>
          <c:dPt>
            <c:idx val="3"/>
            <c:bubble3D val="0"/>
            <c:spPr>
              <a:ln>
                <a:solidFill>
                  <a:srgbClr val="FF0000"/>
                </a:solidFill>
                <a:prstDash val="solid"/>
              </a:ln>
            </c:spPr>
            <c:extLst>
              <c:ext xmlns:c16="http://schemas.microsoft.com/office/drawing/2014/chart" uri="{C3380CC4-5D6E-409C-BE32-E72D297353CC}">
                <c16:uniqueId val="{00000008-4882-4EA5-A096-3CD477946531}"/>
              </c:ext>
            </c:extLst>
          </c:dPt>
          <c:dPt>
            <c:idx val="4"/>
            <c:bubble3D val="0"/>
            <c:spPr>
              <a:ln>
                <a:solidFill>
                  <a:srgbClr val="FF0000"/>
                </a:solidFill>
                <a:prstDash val="solid"/>
              </a:ln>
            </c:spPr>
            <c:extLst>
              <c:ext xmlns:c16="http://schemas.microsoft.com/office/drawing/2014/chart" uri="{C3380CC4-5D6E-409C-BE32-E72D297353CC}">
                <c16:uniqueId val="{0000000A-4882-4EA5-A096-3CD477946531}"/>
              </c:ext>
            </c:extLst>
          </c:dPt>
          <c:dPt>
            <c:idx val="5"/>
            <c:bubble3D val="0"/>
            <c:spPr>
              <a:ln>
                <a:solidFill>
                  <a:srgbClr val="FF0000"/>
                </a:solidFill>
                <a:prstDash val="solid"/>
              </a:ln>
            </c:spPr>
            <c:extLst>
              <c:ext xmlns:c16="http://schemas.microsoft.com/office/drawing/2014/chart" uri="{C3380CC4-5D6E-409C-BE32-E72D297353CC}">
                <c16:uniqueId val="{0000000C-4882-4EA5-A096-3CD477946531}"/>
              </c:ext>
            </c:extLst>
          </c:dPt>
          <c:dPt>
            <c:idx val="6"/>
            <c:bubble3D val="0"/>
            <c:spPr>
              <a:ln>
                <a:solidFill>
                  <a:srgbClr val="FF0000"/>
                </a:solidFill>
                <a:prstDash val="solid"/>
              </a:ln>
            </c:spPr>
            <c:extLst>
              <c:ext xmlns:c16="http://schemas.microsoft.com/office/drawing/2014/chart" uri="{C3380CC4-5D6E-409C-BE32-E72D297353CC}">
                <c16:uniqueId val="{0000000E-4882-4EA5-A096-3CD477946531}"/>
              </c:ext>
            </c:extLst>
          </c:dPt>
          <c:dPt>
            <c:idx val="7"/>
            <c:bubble3D val="0"/>
            <c:spPr>
              <a:ln>
                <a:solidFill>
                  <a:srgbClr val="FF0000"/>
                </a:solidFill>
                <a:prstDash val="solid"/>
              </a:ln>
            </c:spPr>
            <c:extLst>
              <c:ext xmlns:c16="http://schemas.microsoft.com/office/drawing/2014/chart" uri="{C3380CC4-5D6E-409C-BE32-E72D297353CC}">
                <c16:uniqueId val="{00000010-4882-4EA5-A096-3CD477946531}"/>
              </c:ext>
            </c:extLst>
          </c:dPt>
          <c:dPt>
            <c:idx val="8"/>
            <c:bubble3D val="0"/>
            <c:spPr>
              <a:ln>
                <a:solidFill>
                  <a:srgbClr val="FF0000"/>
                </a:solidFill>
                <a:prstDash val="solid"/>
              </a:ln>
            </c:spPr>
            <c:extLst>
              <c:ext xmlns:c16="http://schemas.microsoft.com/office/drawing/2014/chart" uri="{C3380CC4-5D6E-409C-BE32-E72D297353CC}">
                <c16:uniqueId val="{00000012-4882-4EA5-A096-3CD477946531}"/>
              </c:ext>
            </c:extLst>
          </c:dPt>
          <c:dPt>
            <c:idx val="9"/>
            <c:bubble3D val="0"/>
            <c:spPr>
              <a:ln>
                <a:solidFill>
                  <a:srgbClr val="FF0000"/>
                </a:solidFill>
                <a:prstDash val="solid"/>
              </a:ln>
            </c:spPr>
            <c:extLst>
              <c:ext xmlns:c16="http://schemas.microsoft.com/office/drawing/2014/chart" uri="{C3380CC4-5D6E-409C-BE32-E72D297353CC}">
                <c16:uniqueId val="{00000014-4882-4EA5-A096-3CD477946531}"/>
              </c:ext>
            </c:extLst>
          </c:dPt>
          <c:dPt>
            <c:idx val="10"/>
            <c:bubble3D val="0"/>
            <c:spPr>
              <a:ln>
                <a:solidFill>
                  <a:srgbClr val="FF0000"/>
                </a:solidFill>
                <a:prstDash val="solid"/>
              </a:ln>
            </c:spPr>
            <c:extLst>
              <c:ext xmlns:c16="http://schemas.microsoft.com/office/drawing/2014/chart" uri="{C3380CC4-5D6E-409C-BE32-E72D297353CC}">
                <c16:uniqueId val="{00000016-4882-4EA5-A096-3CD477946531}"/>
              </c:ext>
            </c:extLst>
          </c:dPt>
          <c:cat>
            <c:numRef>
              <c:f>'2 graf'!$K$2:$Y$2</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'2 graf'!$K$4:$Y$4</c:f>
              <c:numCache>
                <c:formatCode>0.0</c:formatCode>
                <c:ptCount val="15"/>
                <c:pt idx="0">
                  <c:v>4.4287396937573664</c:v>
                </c:pt>
                <c:pt idx="1">
                  <c:v>-7.2202916068595746</c:v>
                </c:pt>
                <c:pt idx="2">
                  <c:v>-2.3294638420886193</c:v>
                </c:pt>
                <c:pt idx="3">
                  <c:v>-0.10854262716145646</c:v>
                </c:pt>
                <c:pt idx="4">
                  <c:v>1.4865954444668539</c:v>
                </c:pt>
                <c:pt idx="5">
                  <c:v>4.5835205719583216</c:v>
                </c:pt>
                <c:pt idx="6">
                  <c:v>6.1956816319993946</c:v>
                </c:pt>
                <c:pt idx="7">
                  <c:v>6.7515584476315116</c:v>
                </c:pt>
                <c:pt idx="8">
                  <c:v>4.8967634491129175</c:v>
                </c:pt>
                <c:pt idx="9">
                  <c:v>4.7306351090732113</c:v>
                </c:pt>
                <c:pt idx="10">
                  <c:v>5.7214802522403074</c:v>
                </c:pt>
                <c:pt idx="11">
                  <c:v>3.9024390243902474</c:v>
                </c:pt>
                <c:pt idx="12">
                  <c:v>3.2289628180039109</c:v>
                </c:pt>
                <c:pt idx="13">
                  <c:v>2.8403525954946218</c:v>
                </c:pt>
                <c:pt idx="14">
                  <c:v>2.9411764705882248</c:v>
                </c:pt>
              </c:numCache>
            </c:numRef>
          </c:val>
          <c:smooth val="1"/>
          <c:extLst>
            <c:ext xmlns:c16="http://schemas.microsoft.com/office/drawing/2014/chart" uri="{C3380CC4-5D6E-409C-BE32-E72D297353CC}">
              <c16:uniqueId val="{00000017-4882-4EA5-A096-3CD477946531}"/>
            </c:ext>
          </c:extLst>
        </c:ser>
        <c:dLbls>
          <c:showLegendKey val="0"/>
          <c:showVal val="0"/>
          <c:showCatName val="0"/>
          <c:showSerName val="0"/>
          <c:showPercent val="0"/>
          <c:showBubbleSize val="0"/>
        </c:dLbls>
        <c:marker val="1"/>
        <c:smooth val="0"/>
        <c:axId val="387440128"/>
        <c:axId val="387440520"/>
      </c:lineChart>
      <c:catAx>
        <c:axId val="387440128"/>
        <c:scaling>
          <c:orientation val="minMax"/>
        </c:scaling>
        <c:delete val="0"/>
        <c:axPos val="b"/>
        <c:numFmt formatCode="General" sourceLinked="1"/>
        <c:majorTickMark val="out"/>
        <c:minorTickMark val="none"/>
        <c:tickLblPos val="low"/>
        <c:crossAx val="387440520"/>
        <c:crosses val="autoZero"/>
        <c:auto val="1"/>
        <c:lblAlgn val="ctr"/>
        <c:lblOffset val="100"/>
        <c:noMultiLvlLbl val="0"/>
      </c:catAx>
      <c:valAx>
        <c:axId val="387440520"/>
        <c:scaling>
          <c:orientation val="minMax"/>
        </c:scaling>
        <c:delete val="0"/>
        <c:axPos val="l"/>
        <c:majorGridlines/>
        <c:numFmt formatCode="0" sourceLinked="0"/>
        <c:majorTickMark val="out"/>
        <c:minorTickMark val="none"/>
        <c:tickLblPos val="nextTo"/>
        <c:txPr>
          <a:bodyPr/>
          <a:lstStyle/>
          <a:p>
            <a:pPr>
              <a:defRPr sz="1000"/>
            </a:pPr>
            <a:endParaRPr lang="lv-LV"/>
          </a:p>
        </c:txPr>
        <c:crossAx val="387440128"/>
        <c:crosses val="autoZero"/>
        <c:crossBetween val="between"/>
      </c:valAx>
    </c:plotArea>
    <c:legend>
      <c:legendPos val="b"/>
      <c:layout>
        <c:manualLayout>
          <c:xMode val="edge"/>
          <c:yMode val="edge"/>
          <c:x val="5.2777777777777778E-2"/>
          <c:y val="0.89874203971515498"/>
          <c:w val="0.9"/>
          <c:h val="8.3717191601049873E-2"/>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Finanšu ministrija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Sheet1!$B$7:$N$7</c:f>
              <c:numCache>
                <c:formatCode>0.0</c:formatCode>
                <c:ptCount val="13"/>
                <c:pt idx="0">
                  <c:v>-7.8656904597740578</c:v>
                </c:pt>
                <c:pt idx="1">
                  <c:v>-1.7159908214401582</c:v>
                </c:pt>
                <c:pt idx="2">
                  <c:v>0.79020522681337013</c:v>
                </c:pt>
                <c:pt idx="3">
                  <c:v>0.7489091640065908</c:v>
                </c:pt>
                <c:pt idx="4">
                  <c:v>-9.7503632664526663E-2</c:v>
                </c:pt>
                <c:pt idx="5">
                  <c:v>-5.9269752936899067E-3</c:v>
                </c:pt>
                <c:pt idx="6">
                  <c:v>-0.90616343475514327</c:v>
                </c:pt>
                <c:pt idx="7">
                  <c:v>0.51176535344679053</c:v>
                </c:pt>
                <c:pt idx="8">
                  <c:v>1.7319010736539724</c:v>
                </c:pt>
                <c:pt idx="9">
                  <c:v>1.4062051219344056</c:v>
                </c:pt>
                <c:pt idx="10">
                  <c:v>1.0087303048953657</c:v>
                </c:pt>
                <c:pt idx="11">
                  <c:v>0.70251750320309725</c:v>
                </c:pt>
                <c:pt idx="12">
                  <c:v>0.44200213443706104</c:v>
                </c:pt>
              </c:numCache>
            </c:numRef>
          </c:val>
          <c:smooth val="0"/>
          <c:extLst>
            <c:ext xmlns:c16="http://schemas.microsoft.com/office/drawing/2014/chart" uri="{C3380CC4-5D6E-409C-BE32-E72D297353CC}">
              <c16:uniqueId val="{00000000-296B-43BF-A28D-48A2C731CB33}"/>
            </c:ext>
          </c:extLst>
        </c:ser>
        <c:ser>
          <c:idx val="1"/>
          <c:order val="1"/>
          <c:tx>
            <c:strRef>
              <c:f>Sheet1!$A$8</c:f>
              <c:strCache>
                <c:ptCount val="1"/>
                <c:pt idx="0">
                  <c:v>Eiropas Komisija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Sheet1!$B$8:$N$8</c:f>
              <c:numCache>
                <c:formatCode>0.0</c:formatCode>
                <c:ptCount val="13"/>
                <c:pt idx="0">
                  <c:v>-12.480975000000001</c:v>
                </c:pt>
                <c:pt idx="1">
                  <c:v>-6.0247419999999998</c:v>
                </c:pt>
                <c:pt idx="2">
                  <c:v>-2.294244</c:v>
                </c:pt>
                <c:pt idx="3">
                  <c:v>-0.61860899999999996</c:v>
                </c:pt>
                <c:pt idx="4">
                  <c:v>-0.22795499999999999</c:v>
                </c:pt>
                <c:pt idx="5">
                  <c:v>0.42366999999999999</c:v>
                </c:pt>
                <c:pt idx="6">
                  <c:v>0.20751700000000001</c:v>
                </c:pt>
                <c:pt idx="7">
                  <c:v>1.7505219999999999</c:v>
                </c:pt>
                <c:pt idx="8">
                  <c:v>2.7</c:v>
                </c:pt>
                <c:pt idx="9">
                  <c:v>2</c:v>
                </c:pt>
                <c:pt idx="10">
                  <c:v>0.94286899999999996</c:v>
                </c:pt>
              </c:numCache>
            </c:numRef>
          </c:val>
          <c:smooth val="0"/>
          <c:extLst>
            <c:ext xmlns:c16="http://schemas.microsoft.com/office/drawing/2014/chart" uri="{C3380CC4-5D6E-409C-BE32-E72D297353CC}">
              <c16:uniqueId val="{00000001-296B-43BF-A28D-48A2C731CB33}"/>
            </c:ext>
          </c:extLst>
        </c:ser>
        <c:dLbls>
          <c:showLegendKey val="0"/>
          <c:showVal val="0"/>
          <c:showCatName val="0"/>
          <c:showSerName val="0"/>
          <c:showPercent val="0"/>
          <c:showBubbleSize val="0"/>
        </c:dLbls>
        <c:marker val="1"/>
        <c:smooth val="0"/>
        <c:axId val="149540224"/>
        <c:axId val="168707584"/>
      </c:lineChart>
      <c:catAx>
        <c:axId val="149540224"/>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68707584"/>
        <c:crosses val="autoZero"/>
        <c:auto val="1"/>
        <c:lblAlgn val="ctr"/>
        <c:lblOffset val="100"/>
        <c:noMultiLvlLbl val="0"/>
      </c:catAx>
      <c:valAx>
        <c:axId val="168707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49540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pPr>
      <a:endParaRPr lang="lv-LV"/>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45967259577902E-2"/>
          <c:y val="5.0925925925925923E-2"/>
          <c:w val="0.90230272042268844"/>
          <c:h val="0.75055920093321671"/>
        </c:manualLayout>
      </c:layout>
      <c:barChart>
        <c:barDir val="col"/>
        <c:grouping val="stacked"/>
        <c:varyColors val="0"/>
        <c:ser>
          <c:idx val="0"/>
          <c:order val="0"/>
          <c:tx>
            <c:strRef>
              <c:f>Sheet1!$A$3</c:f>
              <c:strCache>
                <c:ptCount val="1"/>
                <c:pt idx="0">
                  <c:v>Kopējā produktivitāte</c:v>
                </c:pt>
              </c:strCache>
            </c:strRef>
          </c:tx>
          <c:spPr>
            <a:solidFill>
              <a:schemeClr val="accent6"/>
            </a:solidFill>
            <a:ln>
              <a:noFill/>
            </a:ln>
            <a:effectLst/>
          </c:spPr>
          <c:invertIfNegative val="0"/>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0.0</c:formatCode>
                <c:ptCount val="13"/>
                <c:pt idx="0">
                  <c:v>-0.97108687114527603</c:v>
                </c:pt>
                <c:pt idx="1">
                  <c:v>-0.23782651064655469</c:v>
                </c:pt>
                <c:pt idx="2">
                  <c:v>0.39611242784913059</c:v>
                </c:pt>
                <c:pt idx="3">
                  <c:v>0.87314756230718249</c:v>
                </c:pt>
                <c:pt idx="4">
                  <c:v>1.2318941423249206</c:v>
                </c:pt>
                <c:pt idx="5">
                  <c:v>1.5274001978527112</c:v>
                </c:pt>
                <c:pt idx="6">
                  <c:v>1.6916042237513638</c:v>
                </c:pt>
                <c:pt idx="7">
                  <c:v>1.83607891557539</c:v>
                </c:pt>
                <c:pt idx="8">
                  <c:v>1.8718795736077782</c:v>
                </c:pt>
                <c:pt idx="9">
                  <c:v>2</c:v>
                </c:pt>
                <c:pt idx="10">
                  <c:v>2</c:v>
                </c:pt>
                <c:pt idx="11">
                  <c:v>2</c:v>
                </c:pt>
                <c:pt idx="12">
                  <c:v>2</c:v>
                </c:pt>
              </c:numCache>
            </c:numRef>
          </c:val>
          <c:extLst>
            <c:ext xmlns:c16="http://schemas.microsoft.com/office/drawing/2014/chart" uri="{C3380CC4-5D6E-409C-BE32-E72D297353CC}">
              <c16:uniqueId val="{00000000-E438-42FC-A728-DB5CA9BE2103}"/>
            </c:ext>
          </c:extLst>
        </c:ser>
        <c:ser>
          <c:idx val="1"/>
          <c:order val="1"/>
          <c:tx>
            <c:strRef>
              <c:f>Sheet1!$A$4</c:f>
              <c:strCache>
                <c:ptCount val="1"/>
                <c:pt idx="0">
                  <c:v>Darbaspēks</c:v>
                </c:pt>
              </c:strCache>
            </c:strRef>
          </c:tx>
          <c:spPr>
            <a:solidFill>
              <a:schemeClr val="accent2"/>
            </a:solidFill>
            <a:ln>
              <a:noFill/>
            </a:ln>
            <a:effectLst/>
          </c:spPr>
          <c:invertIfNegative val="0"/>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Sheet1!$B$4:$N$4</c:f>
              <c:numCache>
                <c:formatCode>0.0</c:formatCode>
                <c:ptCount val="13"/>
                <c:pt idx="0">
                  <c:v>-2.2990998449706268</c:v>
                </c:pt>
                <c:pt idx="1">
                  <c:v>-1.6889457354153492</c:v>
                </c:pt>
                <c:pt idx="2">
                  <c:v>-0.5</c:v>
                </c:pt>
                <c:pt idx="3">
                  <c:v>0.13424600913475901</c:v>
                </c:pt>
                <c:pt idx="4">
                  <c:v>0.1</c:v>
                </c:pt>
                <c:pt idx="5">
                  <c:v>0.1</c:v>
                </c:pt>
                <c:pt idx="6">
                  <c:v>0.1</c:v>
                </c:pt>
                <c:pt idx="7">
                  <c:v>0.1</c:v>
                </c:pt>
                <c:pt idx="8">
                  <c:v>0.4</c:v>
                </c:pt>
                <c:pt idx="9">
                  <c:v>0.2</c:v>
                </c:pt>
                <c:pt idx="10">
                  <c:v>0.1</c:v>
                </c:pt>
                <c:pt idx="11">
                  <c:v>-0.1</c:v>
                </c:pt>
                <c:pt idx="12">
                  <c:v>-0.1</c:v>
                </c:pt>
              </c:numCache>
            </c:numRef>
          </c:val>
          <c:extLst>
            <c:ext xmlns:c16="http://schemas.microsoft.com/office/drawing/2014/chart" uri="{C3380CC4-5D6E-409C-BE32-E72D297353CC}">
              <c16:uniqueId val="{00000001-E438-42FC-A728-DB5CA9BE2103}"/>
            </c:ext>
          </c:extLst>
        </c:ser>
        <c:ser>
          <c:idx val="2"/>
          <c:order val="2"/>
          <c:tx>
            <c:strRef>
              <c:f>Sheet1!$A$5</c:f>
              <c:strCache>
                <c:ptCount val="1"/>
                <c:pt idx="0">
                  <c:v>Kapitāls</c:v>
                </c:pt>
              </c:strCache>
            </c:strRef>
          </c:tx>
          <c:spPr>
            <a:solidFill>
              <a:schemeClr val="accent1"/>
            </a:solidFill>
            <a:ln>
              <a:noFill/>
            </a:ln>
            <a:effectLst/>
          </c:spPr>
          <c:invertIfNegative val="0"/>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Sheet1!$B$5:$N$5</c:f>
              <c:numCache>
                <c:formatCode>0.0</c:formatCode>
                <c:ptCount val="13"/>
                <c:pt idx="0">
                  <c:v>1.7640076884288916</c:v>
                </c:pt>
                <c:pt idx="1">
                  <c:v>1.651458121084036</c:v>
                </c:pt>
                <c:pt idx="2">
                  <c:v>1.5516457852028096</c:v>
                </c:pt>
                <c:pt idx="3">
                  <c:v>1.4644427027271796</c:v>
                </c:pt>
                <c:pt idx="4">
                  <c:v>1.3893321574949133</c:v>
                </c:pt>
                <c:pt idx="5">
                  <c:v>1.25</c:v>
                </c:pt>
                <c:pt idx="6">
                  <c:v>1.2</c:v>
                </c:pt>
                <c:pt idx="7">
                  <c:v>1.224284191236569</c:v>
                </c:pt>
                <c:pt idx="8">
                  <c:v>1.224284191236569</c:v>
                </c:pt>
                <c:pt idx="9">
                  <c:v>1.3</c:v>
                </c:pt>
                <c:pt idx="10">
                  <c:v>1.3</c:v>
                </c:pt>
                <c:pt idx="11">
                  <c:v>1.3</c:v>
                </c:pt>
                <c:pt idx="12">
                  <c:v>1.3</c:v>
                </c:pt>
              </c:numCache>
            </c:numRef>
          </c:val>
          <c:extLst>
            <c:ext xmlns:c16="http://schemas.microsoft.com/office/drawing/2014/chart" uri="{C3380CC4-5D6E-409C-BE32-E72D297353CC}">
              <c16:uniqueId val="{00000002-E438-42FC-A728-DB5CA9BE2103}"/>
            </c:ext>
          </c:extLst>
        </c:ser>
        <c:dLbls>
          <c:showLegendKey val="0"/>
          <c:showVal val="0"/>
          <c:showCatName val="0"/>
          <c:showSerName val="0"/>
          <c:showPercent val="0"/>
          <c:showBubbleSize val="0"/>
        </c:dLbls>
        <c:gapWidth val="50"/>
        <c:overlap val="100"/>
        <c:axId val="184817536"/>
        <c:axId val="186519552"/>
      </c:barChart>
      <c:lineChart>
        <c:grouping val="stacked"/>
        <c:varyColors val="0"/>
        <c:ser>
          <c:idx val="3"/>
          <c:order val="3"/>
          <c:tx>
            <c:strRef>
              <c:f>Sheet1!$A$6</c:f>
              <c:strCache>
                <c:ptCount val="1"/>
                <c:pt idx="0">
                  <c:v>Potenciālais IKP</c:v>
                </c:pt>
              </c:strCache>
            </c:strRef>
          </c:tx>
          <c:spPr>
            <a:ln w="28575" cap="rnd">
              <a:solidFill>
                <a:schemeClr val="tx1">
                  <a:lumMod val="75000"/>
                  <a:lumOff val="25000"/>
                </a:schemeClr>
              </a:solidFill>
              <a:round/>
            </a:ln>
            <a:effectLst/>
          </c:spPr>
          <c:marker>
            <c:symbol val="circle"/>
            <c:size val="5"/>
            <c:spPr>
              <a:solidFill>
                <a:schemeClr val="tx1">
                  <a:lumMod val="75000"/>
                  <a:lumOff val="25000"/>
                </a:schemeClr>
              </a:solidFill>
              <a:ln w="9525">
                <a:noFill/>
              </a:ln>
              <a:effectLst/>
            </c:spPr>
          </c:marker>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Sheet1!$B$6:$N$6</c:f>
              <c:numCache>
                <c:formatCode>0.0</c:formatCode>
                <c:ptCount val="13"/>
                <c:pt idx="0">
                  <c:v>-1.5061790276870113</c:v>
                </c:pt>
                <c:pt idx="1">
                  <c:v>-0.27531412497786789</c:v>
                </c:pt>
                <c:pt idx="2">
                  <c:v>1.4477582130519402</c:v>
                </c:pt>
                <c:pt idx="3">
                  <c:v>2.4718362741691209</c:v>
                </c:pt>
                <c:pt idx="4">
                  <c:v>2.721226299819834</c:v>
                </c:pt>
                <c:pt idx="5">
                  <c:v>2.8774001978527113</c:v>
                </c:pt>
                <c:pt idx="6">
                  <c:v>2.9916042237513638</c:v>
                </c:pt>
                <c:pt idx="7">
                  <c:v>3.1603631068119591</c:v>
                </c:pt>
                <c:pt idx="8">
                  <c:v>3.4961637648443471</c:v>
                </c:pt>
                <c:pt idx="9">
                  <c:v>3.5</c:v>
                </c:pt>
                <c:pt idx="10">
                  <c:v>3.4000000000000004</c:v>
                </c:pt>
                <c:pt idx="11">
                  <c:v>3.2</c:v>
                </c:pt>
                <c:pt idx="12">
                  <c:v>3.2</c:v>
                </c:pt>
              </c:numCache>
            </c:numRef>
          </c:val>
          <c:smooth val="0"/>
          <c:extLst>
            <c:ext xmlns:c16="http://schemas.microsoft.com/office/drawing/2014/chart" uri="{C3380CC4-5D6E-409C-BE32-E72D297353CC}">
              <c16:uniqueId val="{00000003-E438-42FC-A728-DB5CA9BE2103}"/>
            </c:ext>
          </c:extLst>
        </c:ser>
        <c:dLbls>
          <c:showLegendKey val="0"/>
          <c:showVal val="0"/>
          <c:showCatName val="0"/>
          <c:showSerName val="0"/>
          <c:showPercent val="0"/>
          <c:showBubbleSize val="0"/>
        </c:dLbls>
        <c:marker val="1"/>
        <c:smooth val="0"/>
        <c:axId val="184817536"/>
        <c:axId val="186519552"/>
      </c:lineChart>
      <c:catAx>
        <c:axId val="184817536"/>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86519552"/>
        <c:crosses val="autoZero"/>
        <c:auto val="1"/>
        <c:lblAlgn val="ctr"/>
        <c:lblOffset val="100"/>
        <c:noMultiLvlLbl val="0"/>
      </c:catAx>
      <c:valAx>
        <c:axId val="186519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84817536"/>
        <c:crosses val="autoZero"/>
        <c:crossBetween val="between"/>
      </c:valAx>
      <c:spPr>
        <a:noFill/>
        <a:ln>
          <a:noFill/>
        </a:ln>
        <a:effectLst/>
      </c:spPr>
    </c:plotArea>
    <c:legend>
      <c:legendPos val="b"/>
      <c:layout>
        <c:manualLayout>
          <c:xMode val="edge"/>
          <c:yMode val="edge"/>
          <c:x val="0"/>
          <c:y val="0.91257655293088369"/>
          <c:w val="1"/>
          <c:h val="8.742344706911636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pPr>
      <a:endParaRPr lang="lv-LV"/>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cat>
            <c:strRef>
              <c:f>Data!$A$384:$A$411</c:f>
              <c:strCache>
                <c:ptCount val="28"/>
                <c:pt idx="0">
                  <c:v>Dānija</c:v>
                </c:pt>
                <c:pt idx="1">
                  <c:v>Austrija</c:v>
                </c:pt>
                <c:pt idx="2">
                  <c:v>Francija</c:v>
                </c:pt>
                <c:pt idx="3">
                  <c:v>Beļģija</c:v>
                </c:pt>
                <c:pt idx="4">
                  <c:v>Nīderlande</c:v>
                </c:pt>
                <c:pt idx="5">
                  <c:v>Čehija</c:v>
                </c:pt>
                <c:pt idx="6">
                  <c:v>Apvienotā Karaliste</c:v>
                </c:pt>
                <c:pt idx="7">
                  <c:v>Vācija</c:v>
                </c:pt>
                <c:pt idx="8">
                  <c:v>Slovākija</c:v>
                </c:pt>
                <c:pt idx="9">
                  <c:v>Somija</c:v>
                </c:pt>
                <c:pt idx="10">
                  <c:v>Zviedrija</c:v>
                </c:pt>
                <c:pt idx="11">
                  <c:v>Itālija</c:v>
                </c:pt>
                <c:pt idx="12">
                  <c:v>Slovēnija</c:v>
                </c:pt>
                <c:pt idx="13">
                  <c:v>Horvātija</c:v>
                </c:pt>
                <c:pt idx="14">
                  <c:v>Spānija</c:v>
                </c:pt>
                <c:pt idx="15">
                  <c:v>Portugāle</c:v>
                </c:pt>
                <c:pt idx="16">
                  <c:v>Lietuva</c:v>
                </c:pt>
                <c:pt idx="17">
                  <c:v>Malta</c:v>
                </c:pt>
                <c:pt idx="18">
                  <c:v>Grieķija</c:v>
                </c:pt>
                <c:pt idx="19">
                  <c:v>Īrija</c:v>
                </c:pt>
                <c:pt idx="20">
                  <c:v>Igaunija</c:v>
                </c:pt>
                <c:pt idx="21">
                  <c:v>Bulgārija</c:v>
                </c:pt>
                <c:pt idx="22">
                  <c:v>Luksemburga</c:v>
                </c:pt>
                <c:pt idx="23">
                  <c:v>Ungārija</c:v>
                </c:pt>
                <c:pt idx="24">
                  <c:v>Polija</c:v>
                </c:pt>
                <c:pt idx="25">
                  <c:v>Rumānija</c:v>
                </c:pt>
                <c:pt idx="26">
                  <c:v>Latvija</c:v>
                </c:pt>
                <c:pt idx="27">
                  <c:v>Kipra</c:v>
                </c:pt>
              </c:strCache>
            </c:strRef>
          </c:cat>
          <c:val>
            <c:numRef>
              <c:f>Data!$K$384:$K$411</c:f>
              <c:numCache>
                <c:formatCode>#\ ##0.0</c:formatCode>
                <c:ptCount val="28"/>
                <c:pt idx="0">
                  <c:v>8.4</c:v>
                </c:pt>
                <c:pt idx="1">
                  <c:v>8.1999999999999993</c:v>
                </c:pt>
                <c:pt idx="2">
                  <c:v>8</c:v>
                </c:pt>
                <c:pt idx="3">
                  <c:v>7.7</c:v>
                </c:pt>
                <c:pt idx="4">
                  <c:v>7.6</c:v>
                </c:pt>
                <c:pt idx="5">
                  <c:v>7.5</c:v>
                </c:pt>
                <c:pt idx="6">
                  <c:v>7.4</c:v>
                </c:pt>
                <c:pt idx="7">
                  <c:v>7.1</c:v>
                </c:pt>
                <c:pt idx="8">
                  <c:v>7.1</c:v>
                </c:pt>
                <c:pt idx="9">
                  <c:v>7.1</c:v>
                </c:pt>
                <c:pt idx="10">
                  <c:v>6.9</c:v>
                </c:pt>
                <c:pt idx="11">
                  <c:v>6.8</c:v>
                </c:pt>
                <c:pt idx="12">
                  <c:v>6.6</c:v>
                </c:pt>
                <c:pt idx="13">
                  <c:v>6.3</c:v>
                </c:pt>
                <c:pt idx="14">
                  <c:v>6</c:v>
                </c:pt>
                <c:pt idx="15">
                  <c:v>6</c:v>
                </c:pt>
                <c:pt idx="16">
                  <c:v>5.7</c:v>
                </c:pt>
                <c:pt idx="17">
                  <c:v>5.4</c:v>
                </c:pt>
                <c:pt idx="18">
                  <c:v>5.2</c:v>
                </c:pt>
                <c:pt idx="19">
                  <c:v>5.0999999999999996</c:v>
                </c:pt>
                <c:pt idx="20">
                  <c:v>5</c:v>
                </c:pt>
                <c:pt idx="21">
                  <c:v>4.9000000000000004</c:v>
                </c:pt>
                <c:pt idx="22">
                  <c:v>4.9000000000000004</c:v>
                </c:pt>
                <c:pt idx="23">
                  <c:v>4.8</c:v>
                </c:pt>
                <c:pt idx="24">
                  <c:v>4.7</c:v>
                </c:pt>
                <c:pt idx="25">
                  <c:v>4.3</c:v>
                </c:pt>
                <c:pt idx="26">
                  <c:v>3.5</c:v>
                </c:pt>
                <c:pt idx="27">
                  <c:v>2.6</c:v>
                </c:pt>
              </c:numCache>
            </c:numRef>
          </c:val>
          <c:extLst>
            <c:ext xmlns:c16="http://schemas.microsoft.com/office/drawing/2014/chart" uri="{C3380CC4-5D6E-409C-BE32-E72D297353CC}">
              <c16:uniqueId val="{00000000-3D7C-46F4-80E6-63FFAE42545C}"/>
            </c:ext>
          </c:extLst>
        </c:ser>
        <c:dLbls>
          <c:showLegendKey val="0"/>
          <c:showVal val="0"/>
          <c:showCatName val="0"/>
          <c:showSerName val="0"/>
          <c:showPercent val="0"/>
          <c:showBubbleSize val="0"/>
        </c:dLbls>
        <c:gapWidth val="100"/>
        <c:axId val="253686752"/>
        <c:axId val="253687144"/>
      </c:barChart>
      <c:lineChart>
        <c:grouping val="standard"/>
        <c:varyColors val="0"/>
        <c:ser>
          <c:idx val="1"/>
          <c:order val="1"/>
          <c:spPr>
            <a:ln w="28575" cap="rnd">
              <a:solidFill>
                <a:schemeClr val="accent2"/>
              </a:solidFill>
              <a:round/>
            </a:ln>
            <a:effectLst/>
          </c:spPr>
          <c:marker>
            <c:symbol val="none"/>
          </c:marker>
          <c:val>
            <c:numRef>
              <c:f>Data!$L$384:$L$411</c:f>
              <c:numCache>
                <c:formatCode>#\ ##0.0</c:formatCode>
                <c:ptCount val="28"/>
                <c:pt idx="0">
                  <c:v>7</c:v>
                </c:pt>
                <c:pt idx="1">
                  <c:v>7</c:v>
                </c:pt>
                <c:pt idx="2">
                  <c:v>7</c:v>
                </c:pt>
                <c:pt idx="3">
                  <c:v>7</c:v>
                </c:pt>
                <c:pt idx="4">
                  <c:v>7</c:v>
                </c:pt>
                <c:pt idx="5">
                  <c:v>7</c:v>
                </c:pt>
                <c:pt idx="6">
                  <c:v>7</c:v>
                </c:pt>
                <c:pt idx="7">
                  <c:v>7</c:v>
                </c:pt>
                <c:pt idx="8">
                  <c:v>7</c:v>
                </c:pt>
                <c:pt idx="9">
                  <c:v>7</c:v>
                </c:pt>
                <c:pt idx="10">
                  <c:v>7</c:v>
                </c:pt>
                <c:pt idx="11">
                  <c:v>7</c:v>
                </c:pt>
                <c:pt idx="12">
                  <c:v>7</c:v>
                </c:pt>
                <c:pt idx="13">
                  <c:v>7</c:v>
                </c:pt>
                <c:pt idx="14">
                  <c:v>7</c:v>
                </c:pt>
                <c:pt idx="15">
                  <c:v>7</c:v>
                </c:pt>
                <c:pt idx="16">
                  <c:v>7</c:v>
                </c:pt>
                <c:pt idx="17">
                  <c:v>7</c:v>
                </c:pt>
                <c:pt idx="18">
                  <c:v>7</c:v>
                </c:pt>
                <c:pt idx="19">
                  <c:v>7</c:v>
                </c:pt>
                <c:pt idx="20">
                  <c:v>7</c:v>
                </c:pt>
                <c:pt idx="21">
                  <c:v>7</c:v>
                </c:pt>
                <c:pt idx="22">
                  <c:v>7</c:v>
                </c:pt>
                <c:pt idx="23">
                  <c:v>7</c:v>
                </c:pt>
                <c:pt idx="24">
                  <c:v>7</c:v>
                </c:pt>
                <c:pt idx="25">
                  <c:v>7</c:v>
                </c:pt>
                <c:pt idx="26">
                  <c:v>7</c:v>
                </c:pt>
                <c:pt idx="27">
                  <c:v>7</c:v>
                </c:pt>
              </c:numCache>
            </c:numRef>
          </c:val>
          <c:smooth val="0"/>
          <c:extLst>
            <c:ext xmlns:c16="http://schemas.microsoft.com/office/drawing/2014/chart" uri="{C3380CC4-5D6E-409C-BE32-E72D297353CC}">
              <c16:uniqueId val="{00000001-3D7C-46F4-80E6-63FFAE42545C}"/>
            </c:ext>
          </c:extLst>
        </c:ser>
        <c:dLbls>
          <c:showLegendKey val="0"/>
          <c:showVal val="0"/>
          <c:showCatName val="0"/>
          <c:showSerName val="0"/>
          <c:showPercent val="0"/>
          <c:showBubbleSize val="0"/>
        </c:dLbls>
        <c:marker val="1"/>
        <c:smooth val="0"/>
        <c:axId val="253686752"/>
        <c:axId val="253687144"/>
      </c:lineChart>
      <c:catAx>
        <c:axId val="2536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53687144"/>
        <c:crosses val="autoZero"/>
        <c:auto val="1"/>
        <c:lblAlgn val="ctr"/>
        <c:lblOffset val="100"/>
        <c:noMultiLvlLbl val="0"/>
      </c:catAx>
      <c:valAx>
        <c:axId val="2536871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5368675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0.69347</cdr:x>
      <cdr:y>0.04545</cdr:y>
    </cdr:from>
    <cdr:to>
      <cdr:x>0.92644</cdr:x>
      <cdr:y>0.72727</cdr:y>
    </cdr:to>
    <cdr:sp macro="" textlink="">
      <cdr:nvSpPr>
        <cdr:cNvPr id="2" name="Rectangle 1"/>
        <cdr:cNvSpPr/>
      </cdr:nvSpPr>
      <cdr:spPr>
        <a:xfrm xmlns:a="http://schemas.openxmlformats.org/drawingml/2006/main">
          <a:off x="3657600" y="133346"/>
          <a:ext cx="1228725" cy="2000256"/>
        </a:xfrm>
        <a:prstGeom xmlns:a="http://schemas.openxmlformats.org/drawingml/2006/main" prst="rect">
          <a:avLst/>
        </a:prstGeom>
        <a:solidFill xmlns:a="http://schemas.openxmlformats.org/drawingml/2006/main">
          <a:schemeClr val="accent1">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baseline="0">
              <a:solidFill>
                <a:sysClr val="windowText" lastClr="000000"/>
              </a:solidFill>
            </a:rPr>
            <a:t>                                </a:t>
          </a:r>
          <a:r>
            <a:rPr lang="lv-LV">
              <a:solidFill>
                <a:sysClr val="windowText" lastClr="000000"/>
              </a:solidFill>
              <a:latin typeface="Times New Roman" panose="02020603050405020304" pitchFamily="18" charset="0"/>
              <a:cs typeface="Times New Roman" panose="02020603050405020304" pitchFamily="18" charset="0"/>
            </a:rPr>
            <a:t>Prognoze</a:t>
          </a:r>
          <a:endParaRPr lang="en-US">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0.7332</cdr:x>
      <cdr:y>0.05228</cdr:y>
    </cdr:from>
    <cdr:to>
      <cdr:x>0.97178</cdr:x>
      <cdr:y>0.78378</cdr:y>
    </cdr:to>
    <cdr:sp macro="" textlink="">
      <cdr:nvSpPr>
        <cdr:cNvPr id="2" name="Rectangle 1"/>
        <cdr:cNvSpPr/>
      </cdr:nvSpPr>
      <cdr:spPr>
        <a:xfrm xmlns:a="http://schemas.openxmlformats.org/drawingml/2006/main">
          <a:off x="3867149" y="134451"/>
          <a:ext cx="1258319" cy="1881235"/>
        </a:xfrm>
        <a:prstGeom xmlns:a="http://schemas.openxmlformats.org/drawingml/2006/main" prst="rect">
          <a:avLst/>
        </a:prstGeom>
        <a:solidFill xmlns:a="http://schemas.openxmlformats.org/drawingml/2006/main">
          <a:schemeClr val="accent1">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a:solidFill>
                <a:sysClr val="windowText" lastClr="000000"/>
              </a:solidFill>
              <a:latin typeface="Times New Roman" panose="02020603050405020304" pitchFamily="18" charset="0"/>
              <a:cs typeface="Times New Roman" panose="02020603050405020304" pitchFamily="18" charset="0"/>
            </a:rPr>
            <a:t>Prognoze</a:t>
          </a:r>
          <a:endParaRPr lang="en-US">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0.69509</cdr:x>
      <cdr:y>0</cdr:y>
    </cdr:from>
    <cdr:to>
      <cdr:x>0.69509</cdr:x>
      <cdr:y>0.89236</cdr:y>
    </cdr:to>
    <cdr:cxnSp macro="">
      <cdr:nvCxnSpPr>
        <cdr:cNvPr id="2" name="Straight Connector 1"/>
        <cdr:cNvCxnSpPr/>
      </cdr:nvCxnSpPr>
      <cdr:spPr>
        <a:xfrm xmlns:a="http://schemas.openxmlformats.org/drawingml/2006/main" flipV="1">
          <a:off x="3176192" y="-2664823"/>
          <a:ext cx="0" cy="24479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0.68921</cdr:x>
      <cdr:y>0.05397</cdr:y>
    </cdr:from>
    <cdr:to>
      <cdr:x>0.68943</cdr:x>
      <cdr:y>0.89236</cdr:y>
    </cdr:to>
    <cdr:cxnSp macro="">
      <cdr:nvCxnSpPr>
        <cdr:cNvPr id="2" name="Straight Connector 1"/>
        <cdr:cNvCxnSpPr/>
      </cdr:nvCxnSpPr>
      <cdr:spPr>
        <a:xfrm xmlns:a="http://schemas.openxmlformats.org/drawingml/2006/main" flipV="1">
          <a:off x="3151518" y="148045"/>
          <a:ext cx="985" cy="229988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0.68921</cdr:x>
      <cdr:y>0.05079</cdr:y>
    </cdr:from>
    <cdr:to>
      <cdr:x>0.68943</cdr:x>
      <cdr:y>0.88919</cdr:y>
    </cdr:to>
    <cdr:cxnSp macro="">
      <cdr:nvCxnSpPr>
        <cdr:cNvPr id="4" name="Straight Connector 3"/>
        <cdr:cNvCxnSpPr/>
      </cdr:nvCxnSpPr>
      <cdr:spPr>
        <a:xfrm xmlns:a="http://schemas.openxmlformats.org/drawingml/2006/main" flipV="1">
          <a:off x="3151518" y="139336"/>
          <a:ext cx="985" cy="229988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0.82045</cdr:x>
      <cdr:y>0.12296</cdr:y>
    </cdr:from>
    <cdr:to>
      <cdr:x>0.99007</cdr:x>
      <cdr:y>0.17823</cdr:y>
    </cdr:to>
    <cdr:sp macro="" textlink="">
      <cdr:nvSpPr>
        <cdr:cNvPr id="2" name="TextBox 2">
          <a:extLst xmlns:a="http://schemas.openxmlformats.org/drawingml/2006/main">
            <a:ext uri="{FF2B5EF4-FFF2-40B4-BE49-F238E27FC236}">
              <a16:creationId xmlns:a16="http://schemas.microsoft.com/office/drawing/2014/main" id="{A3FF4FC6-6B31-4B29-85F6-78DA266C31A0}"/>
            </a:ext>
          </a:extLst>
        </cdr:cNvPr>
        <cdr:cNvSpPr txBox="1"/>
      </cdr:nvSpPr>
      <cdr:spPr>
        <a:xfrm xmlns:a="http://schemas.openxmlformats.org/drawingml/2006/main">
          <a:off x="4898845" y="395856"/>
          <a:ext cx="1012795" cy="17795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00" i="1">
              <a:latin typeface="Times New Roman" panose="02020603050405020304" pitchFamily="18" charset="0"/>
              <a:cs typeface="Times New Roman" panose="02020603050405020304" pitchFamily="18" charset="0"/>
            </a:rPr>
            <a:t>Vidēji</a:t>
          </a:r>
          <a:r>
            <a:rPr lang="lv-LV" sz="1000" i="1" baseline="0">
              <a:latin typeface="Times New Roman" panose="02020603050405020304" pitchFamily="18" charset="0"/>
              <a:cs typeface="Times New Roman" panose="02020603050405020304" pitchFamily="18" charset="0"/>
            </a:rPr>
            <a:t> </a:t>
          </a:r>
          <a:r>
            <a:rPr lang="lv-LV" sz="1000" i="1">
              <a:latin typeface="Times New Roman" panose="02020603050405020304" pitchFamily="18" charset="0"/>
              <a:cs typeface="Times New Roman" panose="02020603050405020304" pitchFamily="18" charset="0"/>
            </a:rPr>
            <a:t>ES 28 </a:t>
          </a:r>
          <a:endParaRPr lang="en-GB" sz="1000" i="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1EE090-FF04-405F-9AF1-27263481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84</Pages>
  <Words>146702</Words>
  <Characters>83621</Characters>
  <Application>Microsoft Office Word</Application>
  <DocSecurity>0</DocSecurity>
  <Lines>696</Lines>
  <Paragraphs>459</Paragraphs>
  <ScaleCrop>false</ScaleCrop>
  <HeadingPairs>
    <vt:vector size="2" baseType="variant">
      <vt:variant>
        <vt:lpstr>Title</vt:lpstr>
      </vt:variant>
      <vt:variant>
        <vt:i4>1</vt:i4>
      </vt:variant>
    </vt:vector>
  </HeadingPairs>
  <TitlesOfParts>
    <vt:vector size="1" baseType="lpstr">
      <vt:lpstr>Latvijas Stabilitātes programma 2019. – 2022.gadam</vt:lpstr>
    </vt:vector>
  </TitlesOfParts>
  <Company>Finanšu ministrija</Company>
  <LinksUpToDate>false</LinksUpToDate>
  <CharactersWithSpaces>229864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Stabilitātes programma 2019. – 2022.gadam</dc:title>
  <dc:subject/>
  <dc:creator>Elīna Gusāre</dc:creator>
  <cp:keywords/>
  <dc:description>Elīna Gusāre, elina.gusare@fm.gov.lv_x000d_
67083911</dc:description>
  <cp:lastModifiedBy>Elīna Gusāre</cp:lastModifiedBy>
  <cp:revision>72</cp:revision>
  <cp:lastPrinted>2019-04-10T12:18:00Z</cp:lastPrinted>
  <dcterms:created xsi:type="dcterms:W3CDTF">2018-04-06T07:18:00Z</dcterms:created>
  <dcterms:modified xsi:type="dcterms:W3CDTF">2019-04-10T12:18:00Z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-1987142590</vt:i4>
  </property>
</Properties>
</file>