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CF" w:rsidRPr="00855461" w:rsidRDefault="00C061CF" w:rsidP="00C061CF">
      <w:pPr>
        <w:pStyle w:val="naislab"/>
        <w:spacing w:before="0" w:after="0"/>
        <w:ind w:firstLine="720"/>
        <w:rPr>
          <w:sz w:val="28"/>
          <w:szCs w:val="28"/>
        </w:rPr>
      </w:pPr>
    </w:p>
    <w:p w:rsidR="00C061CF" w:rsidRPr="00855461" w:rsidRDefault="00C061CF" w:rsidP="00C061CF">
      <w:pPr>
        <w:pStyle w:val="naisnod"/>
        <w:spacing w:before="0" w:after="0"/>
        <w:ind w:firstLine="720"/>
        <w:rPr>
          <w:sz w:val="28"/>
          <w:szCs w:val="28"/>
        </w:rPr>
      </w:pPr>
      <w:r w:rsidRPr="00855461">
        <w:rPr>
          <w:sz w:val="28"/>
          <w:szCs w:val="28"/>
        </w:rPr>
        <w:t>Izziņa par atzinumos sniegtajiem iebildumiem</w:t>
      </w:r>
    </w:p>
    <w:p w:rsidR="00C061CF" w:rsidRPr="00855461" w:rsidRDefault="00C061CF" w:rsidP="00C061CF">
      <w:pPr>
        <w:pStyle w:val="naisf"/>
        <w:spacing w:before="0" w:after="0"/>
        <w:ind w:firstLine="720"/>
      </w:pPr>
    </w:p>
    <w:tbl>
      <w:tblPr>
        <w:tblW w:w="0" w:type="auto"/>
        <w:jc w:val="center"/>
        <w:tblLook w:val="00A0" w:firstRow="1" w:lastRow="0" w:firstColumn="1" w:lastColumn="0" w:noHBand="0" w:noVBand="0"/>
      </w:tblPr>
      <w:tblGrid>
        <w:gridCol w:w="10188"/>
      </w:tblGrid>
      <w:tr w:rsidR="00C061CF" w:rsidRPr="00855461" w:rsidTr="000E764C">
        <w:trPr>
          <w:jc w:val="center"/>
        </w:trPr>
        <w:tc>
          <w:tcPr>
            <w:tcW w:w="10188" w:type="dxa"/>
            <w:tcBorders>
              <w:bottom w:val="single" w:sz="6" w:space="0" w:color="000000"/>
            </w:tcBorders>
          </w:tcPr>
          <w:p w:rsidR="00C061CF" w:rsidRPr="00855461" w:rsidRDefault="00C061CF" w:rsidP="00445D2E">
            <w:pPr>
              <w:ind w:firstLine="720"/>
              <w:jc w:val="center"/>
            </w:pPr>
            <w:r w:rsidRPr="00855461">
              <w:t xml:space="preserve">Par </w:t>
            </w:r>
            <w:r w:rsidR="00D5312D" w:rsidRPr="00855461">
              <w:t>Ministru kabineta noteikum</w:t>
            </w:r>
            <w:r w:rsidR="002244E2" w:rsidRPr="00855461">
              <w:t>u projektu</w:t>
            </w:r>
            <w:r w:rsidR="00D5312D" w:rsidRPr="00855461">
              <w:t xml:space="preserve"> </w:t>
            </w:r>
            <w:r w:rsidR="00445D2E">
              <w:t>“</w:t>
            </w:r>
            <w:r w:rsidR="00B16A42" w:rsidRPr="00B16A42">
              <w:t>Grozījumi Ministru kabineta 2015.gada 24.februāra noteikumos Nr. 106 “Noteikumi par speciālo ekonomisko zonu un brīvostu kapitālsabiedrību un pašvaldību pārskatu veidlapu paraugiem un to aizpildīšanas un iesniegšanas kārtību”</w:t>
            </w:r>
            <w:r w:rsidR="00445D2E">
              <w:t>”</w:t>
            </w:r>
            <w:r w:rsidR="00BE17CB">
              <w:t xml:space="preserve"> (VSS-77)</w:t>
            </w:r>
          </w:p>
        </w:tc>
      </w:tr>
    </w:tbl>
    <w:p w:rsidR="00C061CF" w:rsidRPr="00855461" w:rsidRDefault="00C061CF" w:rsidP="00C061CF">
      <w:pPr>
        <w:pStyle w:val="naisc"/>
        <w:spacing w:before="0" w:after="0"/>
        <w:ind w:firstLine="1080"/>
      </w:pPr>
      <w:r w:rsidRPr="00855461">
        <w:t>(dokumenta veids un nosaukums)</w:t>
      </w:r>
    </w:p>
    <w:p w:rsidR="00C061CF" w:rsidRPr="00855461" w:rsidRDefault="00C061CF" w:rsidP="00C061CF">
      <w:pPr>
        <w:pStyle w:val="naisf"/>
        <w:spacing w:before="0" w:after="0"/>
        <w:ind w:firstLine="720"/>
      </w:pPr>
    </w:p>
    <w:p w:rsidR="00C061CF" w:rsidRPr="00855461" w:rsidRDefault="00C061CF" w:rsidP="00C061CF">
      <w:pPr>
        <w:pStyle w:val="naisf"/>
        <w:spacing w:before="0" w:after="0"/>
        <w:ind w:firstLine="0"/>
        <w:jc w:val="center"/>
        <w:rPr>
          <w:b/>
        </w:rPr>
      </w:pPr>
      <w:r w:rsidRPr="00855461">
        <w:rPr>
          <w:b/>
        </w:rPr>
        <w:t>I. Jautājumi, par kuriem saskaņošanā vienošanās nav panākta</w:t>
      </w:r>
    </w:p>
    <w:p w:rsidR="00C061CF" w:rsidRPr="00855461" w:rsidRDefault="00C061CF" w:rsidP="00C061CF">
      <w:pPr>
        <w:pStyle w:val="naisf"/>
        <w:spacing w:before="0" w:after="0"/>
        <w:ind w:firstLine="720"/>
      </w:pPr>
    </w:p>
    <w:tbl>
      <w:tblPr>
        <w:tblW w:w="1456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252"/>
        <w:gridCol w:w="1276"/>
        <w:gridCol w:w="2409"/>
      </w:tblGrid>
      <w:tr w:rsidR="00C061CF" w:rsidRPr="00855461" w:rsidTr="00982624">
        <w:tc>
          <w:tcPr>
            <w:tcW w:w="708"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pPr>
            <w:r w:rsidRPr="00855461">
              <w:t>Nr. p.k.</w:t>
            </w:r>
          </w:p>
        </w:tc>
        <w:tc>
          <w:tcPr>
            <w:tcW w:w="2235"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12"/>
            </w:pPr>
            <w:r w:rsidRPr="00855461">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right="3"/>
            </w:pPr>
            <w:r w:rsidRPr="00855461">
              <w:t>Atzinumā norādītais ministrijas (citas institūcijas)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21"/>
            </w:pPr>
            <w:r w:rsidRPr="00855461">
              <w:t>Atbildīgās ministrijas pamatojums iebilduma noraidījumam</w:t>
            </w:r>
          </w:p>
        </w:tc>
        <w:tc>
          <w:tcPr>
            <w:tcW w:w="1276" w:type="dxa"/>
            <w:tcBorders>
              <w:top w:val="single" w:sz="4" w:space="0" w:color="auto"/>
              <w:left w:val="single" w:sz="4" w:space="0" w:color="auto"/>
              <w:bottom w:val="single" w:sz="4" w:space="0" w:color="auto"/>
              <w:right w:val="single" w:sz="4" w:space="0" w:color="auto"/>
            </w:tcBorders>
            <w:vAlign w:val="center"/>
          </w:tcPr>
          <w:p w:rsidR="00C061CF" w:rsidRPr="00855461" w:rsidRDefault="00C061CF" w:rsidP="000E764C">
            <w:pPr>
              <w:jc w:val="center"/>
            </w:pPr>
            <w:r w:rsidRPr="00855461">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rsidR="00C061CF" w:rsidRPr="00855461" w:rsidRDefault="00C061CF" w:rsidP="000E764C">
            <w:pPr>
              <w:jc w:val="center"/>
            </w:pPr>
            <w:r w:rsidRPr="00855461">
              <w:t>Projekta attiecīgā punkta (panta) galīgā redakcija</w:t>
            </w:r>
          </w:p>
        </w:tc>
      </w:tr>
      <w:tr w:rsidR="00C061CF" w:rsidRPr="00855461" w:rsidTr="00982624">
        <w:tc>
          <w:tcPr>
            <w:tcW w:w="708"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rPr>
                <w:sz w:val="20"/>
                <w:szCs w:val="20"/>
              </w:rPr>
            </w:pPr>
            <w:r w:rsidRPr="00855461">
              <w:rPr>
                <w:sz w:val="20"/>
                <w:szCs w:val="20"/>
              </w:rPr>
              <w:t>1</w:t>
            </w:r>
          </w:p>
        </w:tc>
        <w:tc>
          <w:tcPr>
            <w:tcW w:w="2235"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3</w:t>
            </w:r>
          </w:p>
        </w:tc>
        <w:tc>
          <w:tcPr>
            <w:tcW w:w="4252"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061CF" w:rsidRPr="00855461" w:rsidRDefault="00C061CF" w:rsidP="000E764C">
            <w:pPr>
              <w:jc w:val="center"/>
              <w:rPr>
                <w:sz w:val="20"/>
                <w:szCs w:val="20"/>
              </w:rPr>
            </w:pPr>
            <w:r w:rsidRPr="00855461">
              <w:rPr>
                <w:sz w:val="20"/>
                <w:szCs w:val="20"/>
              </w:rPr>
              <w:t>5</w:t>
            </w:r>
          </w:p>
        </w:tc>
        <w:tc>
          <w:tcPr>
            <w:tcW w:w="2409" w:type="dxa"/>
            <w:tcBorders>
              <w:top w:val="single" w:sz="4" w:space="0" w:color="auto"/>
              <w:left w:val="single" w:sz="4" w:space="0" w:color="auto"/>
              <w:bottom w:val="single" w:sz="4" w:space="0" w:color="auto"/>
            </w:tcBorders>
          </w:tcPr>
          <w:p w:rsidR="00C061CF" w:rsidRPr="00855461" w:rsidRDefault="00C061CF" w:rsidP="000E764C">
            <w:pPr>
              <w:jc w:val="center"/>
              <w:rPr>
                <w:sz w:val="20"/>
                <w:szCs w:val="20"/>
              </w:rPr>
            </w:pPr>
            <w:r w:rsidRPr="00855461">
              <w:rPr>
                <w:sz w:val="20"/>
                <w:szCs w:val="20"/>
              </w:rPr>
              <w:t>6</w:t>
            </w:r>
          </w:p>
        </w:tc>
      </w:tr>
      <w:tr w:rsidR="00214EB0" w:rsidRPr="00214EB0" w:rsidTr="00982624">
        <w:trPr>
          <w:trHeight w:val="298"/>
        </w:trPr>
        <w:tc>
          <w:tcPr>
            <w:tcW w:w="708" w:type="dxa"/>
            <w:tcBorders>
              <w:top w:val="single" w:sz="4" w:space="0" w:color="auto"/>
              <w:left w:val="single" w:sz="4" w:space="0" w:color="auto"/>
              <w:right w:val="single" w:sz="4" w:space="0" w:color="auto"/>
            </w:tcBorders>
          </w:tcPr>
          <w:p w:rsidR="00C74A59" w:rsidRDefault="00C74A59" w:rsidP="00F31ACD">
            <w:pPr>
              <w:pStyle w:val="naisc"/>
              <w:spacing w:before="0" w:after="0"/>
              <w:rPr>
                <w:sz w:val="20"/>
                <w:szCs w:val="20"/>
              </w:rPr>
            </w:pPr>
          </w:p>
          <w:p w:rsidR="001A3995" w:rsidRPr="00214EB0" w:rsidRDefault="001A3995" w:rsidP="00F31ACD">
            <w:pPr>
              <w:pStyle w:val="naisc"/>
              <w:spacing w:before="0" w:after="0"/>
              <w:rPr>
                <w:sz w:val="20"/>
                <w:szCs w:val="20"/>
              </w:rPr>
            </w:pPr>
          </w:p>
        </w:tc>
        <w:tc>
          <w:tcPr>
            <w:tcW w:w="2235" w:type="dxa"/>
            <w:tcBorders>
              <w:top w:val="single" w:sz="4" w:space="0" w:color="auto"/>
              <w:left w:val="single" w:sz="4" w:space="0" w:color="auto"/>
              <w:right w:val="single" w:sz="4" w:space="0" w:color="auto"/>
            </w:tcBorders>
          </w:tcPr>
          <w:p w:rsidR="001A3995" w:rsidRPr="00BE4D07" w:rsidRDefault="001A3995" w:rsidP="00884226">
            <w:pPr>
              <w:jc w:val="both"/>
            </w:pPr>
          </w:p>
        </w:tc>
        <w:tc>
          <w:tcPr>
            <w:tcW w:w="3686" w:type="dxa"/>
            <w:tcBorders>
              <w:top w:val="single" w:sz="4" w:space="0" w:color="auto"/>
              <w:left w:val="single" w:sz="4" w:space="0" w:color="auto"/>
              <w:right w:val="single" w:sz="4" w:space="0" w:color="auto"/>
            </w:tcBorders>
          </w:tcPr>
          <w:p w:rsidR="00B0068C" w:rsidRPr="00BE4D07" w:rsidRDefault="00B0068C" w:rsidP="00C460E8">
            <w:pPr>
              <w:widowControl w:val="0"/>
              <w:ind w:left="34"/>
              <w:jc w:val="both"/>
              <w:rPr>
                <w:b/>
              </w:rPr>
            </w:pPr>
          </w:p>
        </w:tc>
        <w:tc>
          <w:tcPr>
            <w:tcW w:w="4252" w:type="dxa"/>
            <w:tcBorders>
              <w:top w:val="single" w:sz="4" w:space="0" w:color="auto"/>
              <w:left w:val="single" w:sz="4" w:space="0" w:color="auto"/>
              <w:right w:val="single" w:sz="4" w:space="0" w:color="auto"/>
            </w:tcBorders>
          </w:tcPr>
          <w:p w:rsidR="001A3995" w:rsidRPr="00BE4D07" w:rsidRDefault="001A3995" w:rsidP="001D4AB9">
            <w:pPr>
              <w:pStyle w:val="naisc"/>
              <w:jc w:val="both"/>
            </w:pPr>
          </w:p>
        </w:tc>
        <w:tc>
          <w:tcPr>
            <w:tcW w:w="1276" w:type="dxa"/>
            <w:tcBorders>
              <w:top w:val="single" w:sz="4" w:space="0" w:color="auto"/>
              <w:left w:val="single" w:sz="4" w:space="0" w:color="auto"/>
              <w:right w:val="single" w:sz="4" w:space="0" w:color="auto"/>
            </w:tcBorders>
          </w:tcPr>
          <w:p w:rsidR="00214EB0" w:rsidRPr="00BE4D07" w:rsidRDefault="00214EB0" w:rsidP="00244B0C">
            <w:pPr>
              <w:jc w:val="both"/>
              <w:rPr>
                <w:b/>
              </w:rPr>
            </w:pPr>
          </w:p>
        </w:tc>
        <w:tc>
          <w:tcPr>
            <w:tcW w:w="2409" w:type="dxa"/>
            <w:tcBorders>
              <w:top w:val="single" w:sz="4" w:space="0" w:color="auto"/>
              <w:left w:val="single" w:sz="4" w:space="0" w:color="auto"/>
              <w:right w:val="single" w:sz="4" w:space="0" w:color="auto"/>
            </w:tcBorders>
          </w:tcPr>
          <w:p w:rsidR="00982624" w:rsidRPr="00BE4D07" w:rsidRDefault="00982624" w:rsidP="003567E5">
            <w:pPr>
              <w:jc w:val="both"/>
            </w:pPr>
          </w:p>
        </w:tc>
      </w:tr>
    </w:tbl>
    <w:p w:rsidR="00E37190" w:rsidRPr="00855461" w:rsidRDefault="00E37190" w:rsidP="00E37190">
      <w:pPr>
        <w:pStyle w:val="naisf"/>
        <w:spacing w:before="0" w:after="0"/>
        <w:ind w:firstLine="0"/>
      </w:pPr>
    </w:p>
    <w:p w:rsidR="00175B4F" w:rsidRDefault="00175B4F" w:rsidP="00C061CF">
      <w:pPr>
        <w:pStyle w:val="naisf"/>
        <w:spacing w:before="0" w:after="0"/>
        <w:ind w:firstLine="0"/>
        <w:rPr>
          <w:b/>
        </w:rPr>
      </w:pPr>
    </w:p>
    <w:p w:rsidR="00C061CF" w:rsidRPr="00855461" w:rsidRDefault="00C061CF" w:rsidP="00C061CF">
      <w:pPr>
        <w:pStyle w:val="naisf"/>
        <w:spacing w:before="0" w:after="0"/>
        <w:ind w:firstLine="0"/>
        <w:rPr>
          <w:b/>
        </w:rPr>
      </w:pPr>
      <w:r w:rsidRPr="00855461">
        <w:rPr>
          <w:b/>
        </w:rPr>
        <w:lastRenderedPageBreak/>
        <w:t xml:space="preserve">Informācija par </w:t>
      </w:r>
      <w:proofErr w:type="spellStart"/>
      <w:r w:rsidRPr="00855461">
        <w:rPr>
          <w:b/>
        </w:rPr>
        <w:t>starpministriju</w:t>
      </w:r>
      <w:proofErr w:type="spellEnd"/>
      <w:r w:rsidRPr="00855461">
        <w:rPr>
          <w:b/>
        </w:rPr>
        <w:t xml:space="preserve"> (starpinstitūciju) sanāksmi vai elektronisko saskaņošanu</w:t>
      </w:r>
    </w:p>
    <w:p w:rsidR="00C061CF" w:rsidRPr="00855461" w:rsidRDefault="00C061CF" w:rsidP="00C061CF">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C061CF" w:rsidRPr="00855461" w:rsidTr="000E764C">
        <w:tc>
          <w:tcPr>
            <w:tcW w:w="6345" w:type="dxa"/>
          </w:tcPr>
          <w:p w:rsidR="00C061CF" w:rsidRPr="00855461" w:rsidRDefault="00C061CF" w:rsidP="000E764C">
            <w:pPr>
              <w:pStyle w:val="naisf"/>
              <w:spacing w:before="0" w:after="0"/>
              <w:ind w:firstLine="0"/>
            </w:pPr>
            <w:r w:rsidRPr="00855461">
              <w:t>Datums</w:t>
            </w:r>
          </w:p>
        </w:tc>
        <w:tc>
          <w:tcPr>
            <w:tcW w:w="6237" w:type="dxa"/>
            <w:gridSpan w:val="3"/>
            <w:tcBorders>
              <w:bottom w:val="single" w:sz="4" w:space="0" w:color="auto"/>
            </w:tcBorders>
          </w:tcPr>
          <w:p w:rsidR="00C061CF" w:rsidRPr="00590BB2" w:rsidRDefault="00B16A42" w:rsidP="00B16A42">
            <w:pPr>
              <w:pStyle w:val="NormalWeb"/>
              <w:spacing w:before="0" w:beforeAutospacing="0" w:after="0" w:afterAutospacing="0"/>
              <w:ind w:firstLine="720"/>
              <w:rPr>
                <w:b/>
              </w:rPr>
            </w:pPr>
            <w:r>
              <w:t>15</w:t>
            </w:r>
            <w:r w:rsidR="007748F1">
              <w:t>.</w:t>
            </w:r>
            <w:r>
              <w:t>02</w:t>
            </w:r>
            <w:r w:rsidR="007748F1">
              <w:t>.201</w:t>
            </w:r>
            <w:r>
              <w:t>9</w:t>
            </w:r>
            <w:r w:rsidR="007748F1">
              <w:t>.</w:t>
            </w:r>
            <w:r w:rsidR="004F3748">
              <w:t>, 04.03.2019.</w:t>
            </w:r>
          </w:p>
        </w:tc>
      </w:tr>
      <w:tr w:rsidR="00C061CF" w:rsidRPr="00855461" w:rsidTr="000E764C">
        <w:tc>
          <w:tcPr>
            <w:tcW w:w="6345" w:type="dxa"/>
          </w:tcPr>
          <w:p w:rsidR="00C061CF" w:rsidRPr="00855461" w:rsidRDefault="00C061CF" w:rsidP="000E764C">
            <w:pPr>
              <w:pStyle w:val="naisf"/>
              <w:spacing w:before="0" w:after="0"/>
              <w:ind w:firstLine="0"/>
            </w:pPr>
          </w:p>
        </w:tc>
        <w:tc>
          <w:tcPr>
            <w:tcW w:w="6237" w:type="dxa"/>
            <w:gridSpan w:val="3"/>
            <w:tcBorders>
              <w:top w:val="single" w:sz="4" w:space="0" w:color="auto"/>
            </w:tcBorders>
          </w:tcPr>
          <w:p w:rsidR="00C061CF" w:rsidRPr="00855461" w:rsidRDefault="00C061CF" w:rsidP="000E764C">
            <w:pPr>
              <w:pStyle w:val="NormalWeb"/>
              <w:spacing w:before="0" w:beforeAutospacing="0" w:after="0" w:afterAutospacing="0"/>
              <w:ind w:firstLine="720"/>
              <w:rPr>
                <w:b/>
              </w:rPr>
            </w:pPr>
          </w:p>
        </w:tc>
      </w:tr>
      <w:tr w:rsidR="00C061CF" w:rsidRPr="00855461" w:rsidTr="000E764C">
        <w:tc>
          <w:tcPr>
            <w:tcW w:w="6345" w:type="dxa"/>
          </w:tcPr>
          <w:p w:rsidR="00C061CF" w:rsidRPr="00855461" w:rsidRDefault="00C061CF" w:rsidP="000E764C">
            <w:pPr>
              <w:pStyle w:val="naiskr"/>
              <w:spacing w:before="0" w:after="0"/>
            </w:pPr>
            <w:r w:rsidRPr="00855461">
              <w:t>Saskaņošanas dalībnieki</w:t>
            </w:r>
          </w:p>
        </w:tc>
        <w:tc>
          <w:tcPr>
            <w:tcW w:w="6237" w:type="dxa"/>
            <w:gridSpan w:val="3"/>
          </w:tcPr>
          <w:p w:rsidR="00C061CF" w:rsidRPr="00855461" w:rsidRDefault="003F4C96" w:rsidP="00B16A42">
            <w:pPr>
              <w:pStyle w:val="NormalWeb"/>
              <w:spacing w:before="0" w:beforeAutospacing="0" w:after="0" w:afterAutospacing="0"/>
            </w:pPr>
            <w:r w:rsidRPr="00855461">
              <w:t xml:space="preserve">Tieslietu ministrija, </w:t>
            </w:r>
            <w:r w:rsidR="00445D2E">
              <w:t xml:space="preserve">Latvijas </w:t>
            </w:r>
            <w:r w:rsidR="00B16A42">
              <w:t>Pašvaldību savienība</w:t>
            </w:r>
          </w:p>
        </w:tc>
      </w:tr>
      <w:tr w:rsidR="00C061CF" w:rsidRPr="00855461" w:rsidTr="000E764C">
        <w:tc>
          <w:tcPr>
            <w:tcW w:w="6345" w:type="dxa"/>
          </w:tcPr>
          <w:p w:rsidR="00C061CF" w:rsidRPr="00855461" w:rsidRDefault="00C061CF" w:rsidP="000E764C">
            <w:pPr>
              <w:pStyle w:val="naiskr"/>
              <w:spacing w:before="0" w:after="0"/>
              <w:ind w:firstLine="720"/>
            </w:pPr>
            <w:r w:rsidRPr="00855461">
              <w:t>  </w:t>
            </w:r>
          </w:p>
        </w:tc>
        <w:tc>
          <w:tcPr>
            <w:tcW w:w="6237" w:type="dxa"/>
            <w:gridSpan w:val="3"/>
            <w:tcBorders>
              <w:top w:val="single" w:sz="6" w:space="0" w:color="000000"/>
              <w:bottom w:val="single" w:sz="6" w:space="0" w:color="000000"/>
            </w:tcBorders>
          </w:tcPr>
          <w:p w:rsidR="00C061CF" w:rsidRPr="00855461" w:rsidRDefault="00C061CF" w:rsidP="000E764C">
            <w:pPr>
              <w:pStyle w:val="naiskr"/>
              <w:spacing w:before="0" w:after="0"/>
              <w:ind w:firstLine="720"/>
            </w:pPr>
          </w:p>
        </w:tc>
      </w:tr>
      <w:tr w:rsidR="00C061CF" w:rsidRPr="00855461" w:rsidTr="000E764C">
        <w:trPr>
          <w:trHeight w:val="285"/>
        </w:trPr>
        <w:tc>
          <w:tcPr>
            <w:tcW w:w="6345" w:type="dxa"/>
          </w:tcPr>
          <w:p w:rsidR="00C061CF" w:rsidRPr="00855461" w:rsidRDefault="00C061CF" w:rsidP="000E764C">
            <w:pPr>
              <w:pStyle w:val="naiskr"/>
              <w:spacing w:before="0" w:after="0"/>
            </w:pPr>
          </w:p>
        </w:tc>
        <w:tc>
          <w:tcPr>
            <w:tcW w:w="1203" w:type="dxa"/>
            <w:gridSpan w:val="2"/>
          </w:tcPr>
          <w:p w:rsidR="00C061CF" w:rsidRPr="00855461" w:rsidRDefault="00C061CF" w:rsidP="000E764C">
            <w:pPr>
              <w:pStyle w:val="naiskr"/>
              <w:spacing w:before="0" w:after="0"/>
              <w:ind w:firstLine="720"/>
            </w:pPr>
          </w:p>
        </w:tc>
        <w:tc>
          <w:tcPr>
            <w:tcW w:w="5034" w:type="dxa"/>
          </w:tcPr>
          <w:p w:rsidR="00C061CF" w:rsidRPr="00855461" w:rsidRDefault="00C061CF" w:rsidP="000E764C">
            <w:pPr>
              <w:pStyle w:val="naiskr"/>
              <w:spacing w:before="0" w:after="0"/>
              <w:ind w:firstLine="12"/>
            </w:pPr>
          </w:p>
        </w:tc>
      </w:tr>
      <w:tr w:rsidR="00C061CF" w:rsidRPr="00855461" w:rsidTr="000E764C">
        <w:trPr>
          <w:trHeight w:val="285"/>
        </w:trPr>
        <w:tc>
          <w:tcPr>
            <w:tcW w:w="6708" w:type="dxa"/>
            <w:gridSpan w:val="2"/>
          </w:tcPr>
          <w:p w:rsidR="00C061CF" w:rsidRPr="00855461" w:rsidRDefault="00C061CF" w:rsidP="000E764C">
            <w:pPr>
              <w:pStyle w:val="naiskr"/>
              <w:spacing w:before="0" w:after="0"/>
            </w:pPr>
            <w:r w:rsidRPr="00855461">
              <w:t>Saskaņošanas dalībnieki izskatīja šādu ministriju (citu institūciju) iebildumus</w:t>
            </w:r>
          </w:p>
        </w:tc>
        <w:tc>
          <w:tcPr>
            <w:tcW w:w="840" w:type="dxa"/>
          </w:tcPr>
          <w:p w:rsidR="00C061CF" w:rsidRPr="00855461" w:rsidRDefault="00C061CF" w:rsidP="000E764C">
            <w:pPr>
              <w:pStyle w:val="naiskr"/>
              <w:spacing w:before="0" w:after="0"/>
              <w:ind w:firstLine="720"/>
            </w:pPr>
          </w:p>
        </w:tc>
        <w:tc>
          <w:tcPr>
            <w:tcW w:w="5034" w:type="dxa"/>
          </w:tcPr>
          <w:p w:rsidR="00C061CF" w:rsidRPr="000532F8" w:rsidRDefault="00445D2E" w:rsidP="00D37164">
            <w:pPr>
              <w:pStyle w:val="naiskr"/>
              <w:spacing w:before="0" w:after="0"/>
              <w:ind w:firstLine="12"/>
            </w:pPr>
            <w:r>
              <w:t>Tieslietu ministrija</w:t>
            </w:r>
          </w:p>
        </w:tc>
      </w:tr>
      <w:tr w:rsidR="00C061CF" w:rsidRPr="00855461" w:rsidTr="000E764C">
        <w:trPr>
          <w:trHeight w:val="465"/>
        </w:trPr>
        <w:tc>
          <w:tcPr>
            <w:tcW w:w="6708" w:type="dxa"/>
            <w:gridSpan w:val="2"/>
          </w:tcPr>
          <w:p w:rsidR="00C061CF" w:rsidRPr="00855461" w:rsidRDefault="00C061CF" w:rsidP="000E764C">
            <w:pPr>
              <w:pStyle w:val="naiskr"/>
              <w:spacing w:before="0" w:after="0"/>
              <w:ind w:firstLine="720"/>
            </w:pPr>
          </w:p>
        </w:tc>
        <w:tc>
          <w:tcPr>
            <w:tcW w:w="5874" w:type="dxa"/>
            <w:gridSpan w:val="2"/>
            <w:tcBorders>
              <w:top w:val="single" w:sz="6" w:space="0" w:color="000000"/>
              <w:bottom w:val="single" w:sz="6" w:space="0" w:color="000000"/>
            </w:tcBorders>
          </w:tcPr>
          <w:p w:rsidR="00C061CF" w:rsidRPr="00855461" w:rsidRDefault="00C061CF" w:rsidP="00FB7EF5">
            <w:pPr>
              <w:pStyle w:val="NormalWeb"/>
              <w:spacing w:before="0" w:beforeAutospacing="0" w:after="0" w:afterAutospacing="0"/>
              <w:ind w:firstLine="720"/>
            </w:pPr>
          </w:p>
        </w:tc>
      </w:tr>
      <w:tr w:rsidR="00C061CF" w:rsidRPr="00855461" w:rsidTr="000E764C">
        <w:tc>
          <w:tcPr>
            <w:tcW w:w="6708" w:type="dxa"/>
            <w:gridSpan w:val="2"/>
          </w:tcPr>
          <w:p w:rsidR="00C061CF" w:rsidRPr="00855461" w:rsidRDefault="00C061CF" w:rsidP="000E764C">
            <w:pPr>
              <w:pStyle w:val="naiskr"/>
              <w:spacing w:before="0" w:after="0"/>
            </w:pPr>
            <w:r w:rsidRPr="00855461">
              <w:t>Ministrijas (citas institūcijas), kuras nav ieradušās uz sanāksmi vai kuras nav atbildējušas uz uzaicinājumu piedalīties elektroniskajā saskaņošanā</w:t>
            </w:r>
          </w:p>
        </w:tc>
        <w:tc>
          <w:tcPr>
            <w:tcW w:w="5874" w:type="dxa"/>
            <w:gridSpan w:val="2"/>
          </w:tcPr>
          <w:p w:rsidR="00C061CF" w:rsidRPr="00855461" w:rsidRDefault="00C061CF" w:rsidP="000E764C">
            <w:pPr>
              <w:pStyle w:val="naiskr"/>
              <w:spacing w:before="0" w:after="0"/>
              <w:ind w:firstLine="720"/>
            </w:pPr>
          </w:p>
        </w:tc>
      </w:tr>
      <w:tr w:rsidR="00C061CF" w:rsidRPr="00855461" w:rsidTr="000E764C">
        <w:tc>
          <w:tcPr>
            <w:tcW w:w="6708" w:type="dxa"/>
            <w:gridSpan w:val="2"/>
          </w:tcPr>
          <w:p w:rsidR="00C061CF" w:rsidRPr="00855461" w:rsidRDefault="00C061CF" w:rsidP="000E764C">
            <w:pPr>
              <w:pStyle w:val="naiskr"/>
              <w:spacing w:before="0" w:after="0"/>
              <w:ind w:firstLine="720"/>
            </w:pPr>
            <w:r w:rsidRPr="00855461">
              <w:t>  </w:t>
            </w:r>
          </w:p>
        </w:tc>
        <w:tc>
          <w:tcPr>
            <w:tcW w:w="5874" w:type="dxa"/>
            <w:gridSpan w:val="2"/>
            <w:tcBorders>
              <w:top w:val="single" w:sz="6" w:space="0" w:color="000000"/>
              <w:bottom w:val="single" w:sz="6" w:space="0" w:color="000000"/>
            </w:tcBorders>
          </w:tcPr>
          <w:p w:rsidR="00C061CF" w:rsidRPr="00855461" w:rsidRDefault="00C061CF" w:rsidP="000E764C">
            <w:pPr>
              <w:pStyle w:val="naiskr"/>
              <w:spacing w:before="0" w:after="0"/>
              <w:ind w:firstLine="720"/>
            </w:pPr>
          </w:p>
        </w:tc>
      </w:tr>
      <w:tr w:rsidR="00C061CF" w:rsidRPr="00855461" w:rsidTr="000E764C">
        <w:tc>
          <w:tcPr>
            <w:tcW w:w="6708" w:type="dxa"/>
            <w:gridSpan w:val="2"/>
          </w:tcPr>
          <w:p w:rsidR="00C061CF" w:rsidRPr="00855461" w:rsidRDefault="00C061CF" w:rsidP="000E764C">
            <w:pPr>
              <w:pStyle w:val="naiskr"/>
              <w:spacing w:before="0" w:after="0"/>
              <w:ind w:firstLine="720"/>
            </w:pPr>
            <w:r w:rsidRPr="00855461">
              <w:t>  </w:t>
            </w:r>
          </w:p>
        </w:tc>
        <w:tc>
          <w:tcPr>
            <w:tcW w:w="5874" w:type="dxa"/>
            <w:gridSpan w:val="2"/>
            <w:tcBorders>
              <w:bottom w:val="single" w:sz="6" w:space="0" w:color="000000"/>
            </w:tcBorders>
          </w:tcPr>
          <w:p w:rsidR="00C061CF" w:rsidRPr="00855461" w:rsidRDefault="00C061CF" w:rsidP="000E764C">
            <w:pPr>
              <w:pStyle w:val="naiskr"/>
              <w:spacing w:before="0" w:after="0"/>
              <w:ind w:firstLine="720"/>
            </w:pPr>
          </w:p>
        </w:tc>
      </w:tr>
    </w:tbl>
    <w:p w:rsidR="00C061CF" w:rsidRPr="00855461" w:rsidRDefault="00C061CF" w:rsidP="00C061CF">
      <w:pPr>
        <w:pStyle w:val="naisf"/>
        <w:spacing w:before="0" w:after="0"/>
        <w:ind w:firstLine="720"/>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175B4F" w:rsidRDefault="00175B4F" w:rsidP="00C061CF">
      <w:pPr>
        <w:pStyle w:val="naisf"/>
        <w:spacing w:before="0" w:after="0"/>
        <w:ind w:firstLine="0"/>
        <w:jc w:val="center"/>
        <w:rPr>
          <w:b/>
        </w:rPr>
      </w:pPr>
    </w:p>
    <w:p w:rsidR="00C061CF" w:rsidRPr="00855461" w:rsidRDefault="00C061CF" w:rsidP="00C061CF">
      <w:pPr>
        <w:pStyle w:val="naisf"/>
        <w:spacing w:before="0" w:after="0"/>
        <w:ind w:firstLine="0"/>
        <w:jc w:val="center"/>
        <w:rPr>
          <w:b/>
        </w:rPr>
      </w:pPr>
      <w:r w:rsidRPr="00855461">
        <w:rPr>
          <w:b/>
        </w:rPr>
        <w:t>II. Jautājumi, par kuriem saskaņošanā vienošanās ir panākta</w:t>
      </w:r>
    </w:p>
    <w:p w:rsidR="00C061CF" w:rsidRPr="00855461" w:rsidRDefault="00C061CF" w:rsidP="00C061CF">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1137"/>
        <w:gridCol w:w="3093"/>
        <w:gridCol w:w="1949"/>
        <w:gridCol w:w="460"/>
        <w:gridCol w:w="4820"/>
      </w:tblGrid>
      <w:tr w:rsidR="00C061CF" w:rsidRPr="00855461" w:rsidTr="005549E2">
        <w:tc>
          <w:tcPr>
            <w:tcW w:w="701"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pPr>
            <w:r w:rsidRPr="00855461">
              <w:t>Nr. p.k.</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12"/>
            </w:pPr>
            <w:r w:rsidRPr="00855461">
              <w:t>Saskaņošanai nosūtītā projekta redakcija (konkrēta punkta (panta) redakcija)</w:t>
            </w:r>
          </w:p>
        </w:tc>
        <w:tc>
          <w:tcPr>
            <w:tcW w:w="3093" w:type="dxa"/>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right="3"/>
            </w:pPr>
            <w:r w:rsidRPr="00855461">
              <w:t>Atzinumā norādītais ministrijas (citas institūcijas) iebildums, kā arī saskaņošanā papildus izteiktais iebildums par projekta konkrēto punktu (pantu)</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rsidR="00C061CF" w:rsidRPr="00855461" w:rsidRDefault="00C061CF" w:rsidP="000E764C">
            <w:pPr>
              <w:pStyle w:val="naisc"/>
              <w:spacing w:before="0" w:after="0"/>
              <w:ind w:firstLine="21"/>
            </w:pPr>
            <w:r w:rsidRPr="00855461">
              <w:t>Atbildīgās ministrijas norāde par to, ka iebildums ir ņemts vērā, vai informācija par saskaņošanā panākto alternatīvo risinājumu</w:t>
            </w:r>
          </w:p>
        </w:tc>
        <w:tc>
          <w:tcPr>
            <w:tcW w:w="4820" w:type="dxa"/>
            <w:tcBorders>
              <w:top w:val="single" w:sz="4" w:space="0" w:color="auto"/>
              <w:left w:val="single" w:sz="4" w:space="0" w:color="auto"/>
              <w:bottom w:val="single" w:sz="4" w:space="0" w:color="auto"/>
            </w:tcBorders>
            <w:vAlign w:val="center"/>
          </w:tcPr>
          <w:p w:rsidR="00C061CF" w:rsidRPr="00855461" w:rsidRDefault="00C061CF" w:rsidP="000E764C">
            <w:pPr>
              <w:jc w:val="center"/>
            </w:pPr>
            <w:r w:rsidRPr="00855461">
              <w:t>Projekta attiecīgā punkta (panta) galīgā redakcija</w:t>
            </w:r>
          </w:p>
        </w:tc>
      </w:tr>
      <w:tr w:rsidR="00C061CF" w:rsidRPr="00855461" w:rsidTr="005549E2">
        <w:tc>
          <w:tcPr>
            <w:tcW w:w="701"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rPr>
                <w:sz w:val="20"/>
                <w:szCs w:val="20"/>
              </w:rPr>
            </w:pPr>
            <w:r w:rsidRPr="00855461">
              <w:rPr>
                <w:sz w:val="20"/>
                <w:szCs w:val="20"/>
              </w:rPr>
              <w:t>1</w:t>
            </w:r>
          </w:p>
        </w:tc>
        <w:tc>
          <w:tcPr>
            <w:tcW w:w="3544" w:type="dxa"/>
            <w:gridSpan w:val="2"/>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2</w:t>
            </w:r>
          </w:p>
        </w:tc>
        <w:tc>
          <w:tcPr>
            <w:tcW w:w="3093" w:type="dxa"/>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3</w:t>
            </w:r>
          </w:p>
        </w:tc>
        <w:tc>
          <w:tcPr>
            <w:tcW w:w="2409" w:type="dxa"/>
            <w:gridSpan w:val="2"/>
            <w:tcBorders>
              <w:top w:val="single" w:sz="6" w:space="0" w:color="000000"/>
              <w:left w:val="single" w:sz="6" w:space="0" w:color="000000"/>
              <w:bottom w:val="single" w:sz="6" w:space="0" w:color="000000"/>
              <w:right w:val="single" w:sz="6" w:space="0" w:color="000000"/>
            </w:tcBorders>
          </w:tcPr>
          <w:p w:rsidR="00C061CF" w:rsidRPr="00855461" w:rsidRDefault="00C061CF" w:rsidP="000E764C">
            <w:pPr>
              <w:pStyle w:val="naisc"/>
              <w:spacing w:before="0" w:after="0"/>
              <w:ind w:firstLine="720"/>
              <w:rPr>
                <w:sz w:val="20"/>
                <w:szCs w:val="20"/>
              </w:rPr>
            </w:pPr>
            <w:r w:rsidRPr="00855461">
              <w:rPr>
                <w:sz w:val="20"/>
                <w:szCs w:val="20"/>
              </w:rPr>
              <w:t>4</w:t>
            </w:r>
          </w:p>
        </w:tc>
        <w:tc>
          <w:tcPr>
            <w:tcW w:w="4820" w:type="dxa"/>
            <w:tcBorders>
              <w:top w:val="single" w:sz="4" w:space="0" w:color="auto"/>
              <w:left w:val="single" w:sz="4" w:space="0" w:color="auto"/>
              <w:bottom w:val="single" w:sz="4" w:space="0" w:color="auto"/>
            </w:tcBorders>
          </w:tcPr>
          <w:p w:rsidR="00C061CF" w:rsidRPr="00855461" w:rsidRDefault="00C061CF" w:rsidP="000E764C">
            <w:pPr>
              <w:jc w:val="center"/>
              <w:rPr>
                <w:sz w:val="20"/>
                <w:szCs w:val="20"/>
              </w:rPr>
            </w:pPr>
            <w:r w:rsidRPr="00855461">
              <w:rPr>
                <w:sz w:val="20"/>
                <w:szCs w:val="20"/>
              </w:rPr>
              <w:t>5</w:t>
            </w:r>
          </w:p>
        </w:tc>
      </w:tr>
      <w:tr w:rsidR="00CB15BD" w:rsidRPr="00F73B2E" w:rsidTr="005549E2">
        <w:tc>
          <w:tcPr>
            <w:tcW w:w="701" w:type="dxa"/>
            <w:tcBorders>
              <w:top w:val="single" w:sz="6" w:space="0" w:color="000000"/>
              <w:left w:val="single" w:sz="6" w:space="0" w:color="000000"/>
              <w:bottom w:val="single" w:sz="6" w:space="0" w:color="000000"/>
              <w:right w:val="single" w:sz="6" w:space="0" w:color="000000"/>
            </w:tcBorders>
          </w:tcPr>
          <w:p w:rsidR="000318C4" w:rsidRPr="00453189" w:rsidRDefault="000318C4" w:rsidP="00CB15BD">
            <w:pPr>
              <w:pStyle w:val="naisc"/>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rsidR="005549E2" w:rsidRDefault="005549E2" w:rsidP="005549E2">
            <w:pPr>
              <w:jc w:val="both"/>
            </w:pPr>
            <w:r w:rsidRPr="005549E2">
              <w:t xml:space="preserve">Noteikumu projekta </w:t>
            </w:r>
            <w:r>
              <w:t>2</w:t>
            </w:r>
            <w:r w:rsidRPr="005549E2">
              <w:t>.punkts:</w:t>
            </w:r>
          </w:p>
          <w:p w:rsidR="005549E2" w:rsidRDefault="005549E2" w:rsidP="005549E2">
            <w:pPr>
              <w:jc w:val="both"/>
            </w:pPr>
            <w:r>
              <w:t xml:space="preserve">“2. izteikt 2.6. apakšpunktu šādā redakcijā: </w:t>
            </w:r>
          </w:p>
          <w:p w:rsidR="00FD1453" w:rsidRPr="00453189" w:rsidRDefault="005549E2" w:rsidP="005549E2">
            <w:pPr>
              <w:jc w:val="both"/>
            </w:pPr>
            <w:r>
              <w:t>“2.6. 6. rindā norāda uzņēmumu ienākuma nodokļa atlaidi, ko aprēķina 80 procentu apmērā no uzņēmumu ienākuma nodokļa no dividendēm pārskata gadā saskaņā ar Uzņēmumu ienākuma nodokļa likuma pārejas noteikumu 24.punktu”.</w:t>
            </w:r>
          </w:p>
        </w:tc>
        <w:tc>
          <w:tcPr>
            <w:tcW w:w="3093" w:type="dxa"/>
            <w:tcBorders>
              <w:top w:val="single" w:sz="6" w:space="0" w:color="000000"/>
              <w:left w:val="single" w:sz="6" w:space="0" w:color="000000"/>
              <w:bottom w:val="single" w:sz="6" w:space="0" w:color="000000"/>
              <w:right w:val="single" w:sz="6" w:space="0" w:color="000000"/>
            </w:tcBorders>
          </w:tcPr>
          <w:p w:rsidR="005549E2" w:rsidRDefault="00CB15BD" w:rsidP="005549E2">
            <w:pPr>
              <w:widowControl w:val="0"/>
              <w:ind w:left="34"/>
              <w:jc w:val="both"/>
              <w:rPr>
                <w:b/>
              </w:rPr>
            </w:pPr>
            <w:r w:rsidRPr="00453189">
              <w:rPr>
                <w:b/>
              </w:rPr>
              <w:t>Tieslietu ministrija:</w:t>
            </w:r>
          </w:p>
          <w:p w:rsidR="005549E2" w:rsidRDefault="005549E2" w:rsidP="005549E2">
            <w:pPr>
              <w:widowControl w:val="0"/>
              <w:ind w:left="34"/>
              <w:jc w:val="both"/>
              <w:rPr>
                <w:b/>
              </w:rPr>
            </w:pPr>
          </w:p>
          <w:p w:rsidR="005541AF" w:rsidRDefault="005549E2" w:rsidP="005541AF">
            <w:pPr>
              <w:widowControl w:val="0"/>
              <w:ind w:left="34"/>
              <w:jc w:val="both"/>
              <w:rPr>
                <w:b/>
              </w:rPr>
            </w:pPr>
            <w:r w:rsidRPr="00412088">
              <w:t>Uzņēmumu</w:t>
            </w:r>
            <w:r>
              <w:t xml:space="preserve"> </w:t>
            </w:r>
            <w:r w:rsidRPr="00412088">
              <w:t xml:space="preserve">ienākuma nodokļa likuma pārejas noteikumu 24. punkts nosaka, ka uzņēmuma ienākuma nodokļa atlaide </w:t>
            </w:r>
            <w:r w:rsidRPr="00412088">
              <w:rPr>
                <w:u w:val="single"/>
              </w:rPr>
              <w:t>nedrīkst pārsniegt 80 procentus</w:t>
            </w:r>
            <w:r w:rsidRPr="00412088">
              <w:t xml:space="preserve"> no pārskata gadā aprēķinātā uzņēmumu ienākuma nodokļa apmēra par aprēķinātajām dividendēm </w:t>
            </w:r>
            <w:r w:rsidR="005541AF">
              <w:t>un likumā “</w:t>
            </w:r>
            <w:r w:rsidRPr="00412088">
              <w:t>Par nodokļu piemērošanu brīvostās un speciālajās ekonomiskajās zonās</w:t>
            </w:r>
            <w:r w:rsidR="005541AF">
              <w:t>”</w:t>
            </w:r>
            <w:r w:rsidRPr="00412088">
              <w:t xml:space="preserve"> un līgumā par ieguldījumu veikšanu noteikto pieļaujamo valsts atbalsta intensitāti uzkrāto tiešo nodokļu atlaižu attiecībai pret uzkrāto ieguldījumu summu. </w:t>
            </w:r>
          </w:p>
          <w:p w:rsidR="005541AF" w:rsidRDefault="005549E2" w:rsidP="005541AF">
            <w:pPr>
              <w:widowControl w:val="0"/>
              <w:ind w:left="34"/>
              <w:jc w:val="both"/>
              <w:rPr>
                <w:b/>
              </w:rPr>
            </w:pPr>
            <w:r w:rsidRPr="00412088">
              <w:t>Turklāt jānorāda, ka noteikumi Nr. 106 nosaka Uzņēmumu ienākuma nodokļa likum</w:t>
            </w:r>
            <w:r>
              <w:t xml:space="preserve">ā noteiktu </w:t>
            </w:r>
            <w:r w:rsidRPr="00412088">
              <w:t>pārskatu veidlapu paraugus un kārtību, kādā attiecīgie pārskati aizpildāmi un iesniedzami Valsts ieņēmumu dienestā.</w:t>
            </w:r>
            <w:r>
              <w:t xml:space="preserve"> No tā izriet, ka </w:t>
            </w:r>
            <w:r w:rsidRPr="00412088">
              <w:t>Ministru kabinets nav pilnvarots precizēt Uzņēmumu ienākuma nodokļa likumā noteiktās nodokļa atlaides apmēru</w:t>
            </w:r>
            <w:r>
              <w:t>.</w:t>
            </w:r>
          </w:p>
          <w:p w:rsidR="00445D2E" w:rsidRDefault="005549E2" w:rsidP="00175B4F">
            <w:pPr>
              <w:widowControl w:val="0"/>
              <w:ind w:left="34"/>
              <w:jc w:val="both"/>
              <w:rPr>
                <w:rFonts w:eastAsia="Calibri"/>
                <w:lang w:eastAsia="en-US"/>
              </w:rPr>
            </w:pPr>
            <w:r>
              <w:t xml:space="preserve">Ievērojot minēto, lūdzam attiecīgi precizēt projektu, lai netiktu pārkāpts Ministru kabinetam dotais pilnvarojums, vai projekta sākotnējās </w:t>
            </w:r>
            <w:r>
              <w:rPr>
                <w:i/>
                <w:iCs/>
              </w:rPr>
              <w:t>(</w:t>
            </w:r>
            <w:proofErr w:type="spellStart"/>
            <w:r>
              <w:rPr>
                <w:i/>
                <w:iCs/>
              </w:rPr>
              <w:t>ex-ante</w:t>
            </w:r>
            <w:proofErr w:type="spellEnd"/>
            <w:r>
              <w:rPr>
                <w:i/>
                <w:iCs/>
              </w:rPr>
              <w:t>)</w:t>
            </w:r>
            <w:r>
              <w:t xml:space="preserve"> ietekmes novērtējuma ziņojumā</w:t>
            </w:r>
            <w:r w:rsidR="005541AF">
              <w:t xml:space="preserve"> </w:t>
            </w:r>
            <w:r>
              <w:t xml:space="preserve">sniegt skaidrojumu par to, no kura normatīvā tiesību akta izriet, ka </w:t>
            </w:r>
            <w:r w:rsidRPr="00412088">
              <w:t xml:space="preserve">uzņēmuma ienākuma nodokļa atlaidi </w:t>
            </w:r>
            <w:r w:rsidRPr="00E175C1">
              <w:t>aprēķina</w:t>
            </w:r>
            <w:r>
              <w:t xml:space="preserve"> tieši</w:t>
            </w:r>
            <w:r w:rsidRPr="00E175C1">
              <w:t xml:space="preserve"> 80 procentu apmērā no</w:t>
            </w:r>
            <w:r w:rsidRPr="00412088">
              <w:t xml:space="preserve"> uzņēmumu ienākuma nodokļa no dividendēm pārskata gadā</w:t>
            </w:r>
            <w:r>
              <w:t>.</w:t>
            </w:r>
          </w:p>
          <w:p w:rsidR="00373676" w:rsidRPr="00373676" w:rsidRDefault="00373676" w:rsidP="005549E2">
            <w:pPr>
              <w:widowControl w:val="0"/>
              <w:ind w:left="34"/>
              <w:jc w:val="both"/>
              <w:rPr>
                <w:b/>
                <w:color w:val="C00000"/>
              </w:rPr>
            </w:pPr>
          </w:p>
        </w:tc>
        <w:tc>
          <w:tcPr>
            <w:tcW w:w="2409" w:type="dxa"/>
            <w:gridSpan w:val="2"/>
            <w:tcBorders>
              <w:top w:val="single" w:sz="6" w:space="0" w:color="000000"/>
              <w:left w:val="single" w:sz="6" w:space="0" w:color="000000"/>
              <w:bottom w:val="single" w:sz="6" w:space="0" w:color="000000"/>
              <w:right w:val="single" w:sz="6" w:space="0" w:color="000000"/>
            </w:tcBorders>
          </w:tcPr>
          <w:p w:rsidR="00383AA0" w:rsidRPr="00BD5A7E" w:rsidRDefault="00BE17CB" w:rsidP="00423408">
            <w:pPr>
              <w:pStyle w:val="naisc"/>
              <w:spacing w:before="0" w:after="0"/>
              <w:jc w:val="both"/>
              <w:rPr>
                <w:b/>
              </w:rPr>
            </w:pPr>
            <w:r w:rsidRPr="00BD5A7E">
              <w:rPr>
                <w:b/>
              </w:rPr>
              <w:t>Ņe</w:t>
            </w:r>
            <w:bookmarkStart w:id="0" w:name="_GoBack"/>
            <w:bookmarkEnd w:id="0"/>
            <w:r w:rsidRPr="00BD5A7E">
              <w:rPr>
                <w:b/>
              </w:rPr>
              <w:t>mts vērā.</w:t>
            </w:r>
          </w:p>
        </w:tc>
        <w:tc>
          <w:tcPr>
            <w:tcW w:w="4820" w:type="dxa"/>
            <w:tcBorders>
              <w:top w:val="single" w:sz="4" w:space="0" w:color="auto"/>
              <w:left w:val="single" w:sz="4" w:space="0" w:color="auto"/>
              <w:bottom w:val="single" w:sz="4" w:space="0" w:color="auto"/>
            </w:tcBorders>
          </w:tcPr>
          <w:p w:rsidR="00E20FAC" w:rsidRDefault="00E20FAC" w:rsidP="00E20FAC">
            <w:pPr>
              <w:jc w:val="both"/>
            </w:pPr>
            <w:r>
              <w:t xml:space="preserve">Noteikumu projekta </w:t>
            </w:r>
            <w:r w:rsidR="005541AF">
              <w:t>2</w:t>
            </w:r>
            <w:r>
              <w:t>.punkts:</w:t>
            </w:r>
          </w:p>
          <w:p w:rsidR="005541AF" w:rsidRDefault="00E20FAC" w:rsidP="005541AF">
            <w:pPr>
              <w:pStyle w:val="naisc"/>
              <w:jc w:val="both"/>
            </w:pPr>
            <w:r>
              <w:t>“</w:t>
            </w:r>
            <w:r w:rsidR="005541AF">
              <w:t xml:space="preserve">2. izteikt 2.6. apakšpunktu šādā redakcijā: </w:t>
            </w:r>
          </w:p>
          <w:p w:rsidR="005541AF" w:rsidRDefault="005541AF" w:rsidP="005541AF">
            <w:pPr>
              <w:pStyle w:val="naisc"/>
              <w:jc w:val="both"/>
            </w:pPr>
            <w:r>
              <w:t>“2.6. 6. rindā norāda uzņēmumu ienākuma nodokļa atlaides summu, kura nepārsniedz 80 procentus no uzņēmumu ienākuma nodokļa no dividendēm pārskata gadā saskaņā ar Uzņēmumu ienākuma nodokļa likuma pārejas noteikumu 24.punktu”.</w:t>
            </w:r>
          </w:p>
          <w:p w:rsidR="00FD1453" w:rsidRPr="00E32710" w:rsidRDefault="00FD1453" w:rsidP="00175B4F">
            <w:pPr>
              <w:jc w:val="both"/>
            </w:pPr>
          </w:p>
        </w:tc>
      </w:tr>
      <w:tr w:rsidR="00CB15BD" w:rsidRPr="00F73B2E" w:rsidTr="00683B88">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CB15BD" w:rsidRPr="00855461" w:rsidRDefault="00CB15BD" w:rsidP="00CB15BD">
            <w:pPr>
              <w:pStyle w:val="naiskr"/>
              <w:spacing w:before="0" w:after="0"/>
            </w:pPr>
          </w:p>
          <w:p w:rsidR="00CB15BD" w:rsidRPr="00855461" w:rsidRDefault="00CB15BD" w:rsidP="00CB15BD">
            <w:pPr>
              <w:pStyle w:val="naiskr"/>
              <w:spacing w:before="0" w:after="0"/>
            </w:pPr>
            <w:r w:rsidRPr="00855461">
              <w:t>Atbildīgā amatpersona</w:t>
            </w:r>
          </w:p>
        </w:tc>
        <w:tc>
          <w:tcPr>
            <w:tcW w:w="6179" w:type="dxa"/>
            <w:gridSpan w:val="3"/>
          </w:tcPr>
          <w:p w:rsidR="00CB15BD" w:rsidRPr="00F73B2E" w:rsidRDefault="00CB15BD" w:rsidP="00CB15BD">
            <w:pPr>
              <w:pStyle w:val="naiskr"/>
              <w:spacing w:before="0" w:after="0"/>
              <w:ind w:firstLine="720"/>
              <w:rPr>
                <w:color w:val="C00000"/>
              </w:rPr>
            </w:pPr>
            <w:r w:rsidRPr="00F73B2E">
              <w:rPr>
                <w:color w:val="C00000"/>
              </w:rPr>
              <w:t>  </w:t>
            </w:r>
          </w:p>
        </w:tc>
      </w:tr>
      <w:tr w:rsidR="00CB15BD" w:rsidRPr="00855461" w:rsidTr="00683B88">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CB15BD" w:rsidRPr="00855461" w:rsidRDefault="00CB15BD" w:rsidP="00CB15BD">
            <w:pPr>
              <w:pStyle w:val="naiskr"/>
              <w:spacing w:before="0" w:after="0"/>
              <w:ind w:firstLine="720"/>
            </w:pPr>
          </w:p>
        </w:tc>
        <w:tc>
          <w:tcPr>
            <w:tcW w:w="6179" w:type="dxa"/>
            <w:gridSpan w:val="3"/>
            <w:tcBorders>
              <w:top w:val="single" w:sz="6" w:space="0" w:color="000000"/>
            </w:tcBorders>
          </w:tcPr>
          <w:p w:rsidR="00CB15BD" w:rsidRPr="00855461" w:rsidRDefault="00CB15BD" w:rsidP="00CB15BD">
            <w:pPr>
              <w:pStyle w:val="naisc"/>
              <w:spacing w:before="0" w:after="0"/>
              <w:ind w:firstLine="720"/>
            </w:pPr>
            <w:r w:rsidRPr="00855461">
              <w:t>(paraksts)*</w:t>
            </w:r>
          </w:p>
        </w:tc>
      </w:tr>
    </w:tbl>
    <w:p w:rsidR="00C061CF" w:rsidRPr="00855461" w:rsidRDefault="00C061CF" w:rsidP="00C061CF">
      <w:pPr>
        <w:pStyle w:val="naisf"/>
        <w:spacing w:before="0" w:after="0"/>
        <w:ind w:firstLine="720"/>
      </w:pPr>
    </w:p>
    <w:p w:rsidR="00C061CF" w:rsidRPr="00855461" w:rsidRDefault="00C061CF" w:rsidP="00B16CBE">
      <w:pPr>
        <w:pStyle w:val="naisf"/>
        <w:spacing w:before="0" w:after="0"/>
        <w:ind w:firstLine="0"/>
      </w:pPr>
      <w:r w:rsidRPr="00855461">
        <w:t>Piezīme. * Dokumenta rekvizītu "paraksts" neaizpilda, ja elektroniskais dokuments ir sagatavots atbilstoši normatīvajiem aktiem par elektronisko dokumentu noformēšanu.</w:t>
      </w:r>
    </w:p>
    <w:p w:rsidR="00B16F0C" w:rsidRPr="00855461" w:rsidRDefault="00B16F0C" w:rsidP="00C061CF">
      <w:pPr>
        <w:pStyle w:val="naisf"/>
        <w:spacing w:before="0" w:after="0"/>
        <w:ind w:firstLine="720"/>
      </w:pPr>
    </w:p>
    <w:p w:rsidR="00C061CF" w:rsidRPr="00855461" w:rsidRDefault="00713854" w:rsidP="00C061CF">
      <w:pPr>
        <w:pStyle w:val="naisf"/>
        <w:spacing w:before="0" w:after="0"/>
        <w:ind w:firstLine="720"/>
      </w:pPr>
      <w:r>
        <w:t>Diāna Kudravecs</w:t>
      </w:r>
    </w:p>
    <w:tbl>
      <w:tblPr>
        <w:tblpPr w:leftFromText="180" w:rightFromText="180" w:vertAnchor="text" w:tblpY="1"/>
        <w:tblOverlap w:val="never"/>
        <w:tblW w:w="0" w:type="auto"/>
        <w:tblLook w:val="00A0" w:firstRow="1" w:lastRow="0" w:firstColumn="1" w:lastColumn="0" w:noHBand="0" w:noVBand="0"/>
      </w:tblPr>
      <w:tblGrid>
        <w:gridCol w:w="8268"/>
      </w:tblGrid>
      <w:tr w:rsidR="00C061CF" w:rsidRPr="00855461" w:rsidTr="00B75248">
        <w:tc>
          <w:tcPr>
            <w:tcW w:w="8268" w:type="dxa"/>
            <w:tcBorders>
              <w:top w:val="single" w:sz="4" w:space="0" w:color="000000"/>
            </w:tcBorders>
          </w:tcPr>
          <w:p w:rsidR="00C061CF" w:rsidRPr="00855461" w:rsidRDefault="00C061CF" w:rsidP="00B75248">
            <w:pPr>
              <w:jc w:val="center"/>
            </w:pPr>
            <w:r w:rsidRPr="00855461">
              <w:t>(par projektu atbildīgās amatpersonas vārds un uzvārds)</w:t>
            </w:r>
          </w:p>
        </w:tc>
      </w:tr>
      <w:tr w:rsidR="00C061CF" w:rsidRPr="00855461" w:rsidTr="00B75248">
        <w:tc>
          <w:tcPr>
            <w:tcW w:w="8268" w:type="dxa"/>
            <w:tcBorders>
              <w:bottom w:val="single" w:sz="4" w:space="0" w:color="000000"/>
            </w:tcBorders>
          </w:tcPr>
          <w:p w:rsidR="00C061CF" w:rsidRPr="00855461" w:rsidRDefault="003D6251" w:rsidP="00713854">
            <w:r w:rsidRPr="00855461">
              <w:t xml:space="preserve">Valsts ieņēmumu dienesta Nodokļu pārvaldes </w:t>
            </w:r>
            <w:r w:rsidR="00713854">
              <w:t xml:space="preserve">Nodokļu un nodevu grāmatvedības metodikas daļas </w:t>
            </w:r>
            <w:r w:rsidRPr="00855461">
              <w:t>galvenā nodokļu inspektore</w:t>
            </w:r>
          </w:p>
        </w:tc>
      </w:tr>
      <w:tr w:rsidR="00C061CF" w:rsidRPr="00855461" w:rsidTr="00B75248">
        <w:tc>
          <w:tcPr>
            <w:tcW w:w="8268" w:type="dxa"/>
            <w:tcBorders>
              <w:top w:val="single" w:sz="4" w:space="0" w:color="000000"/>
            </w:tcBorders>
          </w:tcPr>
          <w:p w:rsidR="00C061CF" w:rsidRPr="00855461" w:rsidRDefault="00C061CF" w:rsidP="00B75248">
            <w:pPr>
              <w:jc w:val="center"/>
            </w:pPr>
          </w:p>
        </w:tc>
      </w:tr>
      <w:tr w:rsidR="00C061CF" w:rsidRPr="00855461" w:rsidTr="00B75248">
        <w:tc>
          <w:tcPr>
            <w:tcW w:w="8268" w:type="dxa"/>
            <w:tcBorders>
              <w:bottom w:val="single" w:sz="4" w:space="0" w:color="000000"/>
            </w:tcBorders>
          </w:tcPr>
          <w:p w:rsidR="00C061CF" w:rsidRPr="00855461" w:rsidRDefault="004853E1" w:rsidP="00713854">
            <w:r>
              <w:t xml:space="preserve">Tālrunis </w:t>
            </w:r>
            <w:r w:rsidR="0017139E" w:rsidRPr="0017139E">
              <w:t>6712</w:t>
            </w:r>
            <w:r w:rsidR="00713854">
              <w:t>2042</w:t>
            </w:r>
            <w:r w:rsidR="003D6251" w:rsidRPr="00855461">
              <w:t xml:space="preserve">; fakss </w:t>
            </w:r>
            <w:r w:rsidR="0017139E" w:rsidRPr="0017139E">
              <w:t>67122947</w:t>
            </w:r>
          </w:p>
        </w:tc>
      </w:tr>
      <w:tr w:rsidR="00C061CF" w:rsidRPr="00855461" w:rsidTr="00B75248">
        <w:tc>
          <w:tcPr>
            <w:tcW w:w="8268" w:type="dxa"/>
            <w:tcBorders>
              <w:top w:val="single" w:sz="4" w:space="0" w:color="000000"/>
            </w:tcBorders>
          </w:tcPr>
          <w:p w:rsidR="00C061CF" w:rsidRPr="00855461" w:rsidRDefault="00C061CF" w:rsidP="00B75248">
            <w:pPr>
              <w:jc w:val="center"/>
            </w:pPr>
            <w:r w:rsidRPr="00855461">
              <w:t>(tālruņa un faksa numurs)</w:t>
            </w:r>
          </w:p>
        </w:tc>
      </w:tr>
      <w:tr w:rsidR="00C061CF" w:rsidRPr="00855461" w:rsidTr="00B75248">
        <w:tc>
          <w:tcPr>
            <w:tcW w:w="8268" w:type="dxa"/>
            <w:tcBorders>
              <w:bottom w:val="single" w:sz="4" w:space="0" w:color="000000"/>
            </w:tcBorders>
          </w:tcPr>
          <w:p w:rsidR="00C061CF" w:rsidRPr="00855461" w:rsidRDefault="00713854" w:rsidP="00B75248">
            <w:r>
              <w:t>Diana.Kudravecs</w:t>
            </w:r>
            <w:r w:rsidR="003D6251" w:rsidRPr="00855461">
              <w:t>@vid.gov.lv</w:t>
            </w:r>
          </w:p>
        </w:tc>
      </w:tr>
      <w:tr w:rsidR="00C061CF" w:rsidRPr="00855461" w:rsidTr="00B75248">
        <w:tc>
          <w:tcPr>
            <w:tcW w:w="8268" w:type="dxa"/>
            <w:tcBorders>
              <w:top w:val="single" w:sz="4" w:space="0" w:color="000000"/>
            </w:tcBorders>
          </w:tcPr>
          <w:p w:rsidR="00C061CF" w:rsidRPr="00855461" w:rsidRDefault="00C061CF" w:rsidP="00B75248">
            <w:pPr>
              <w:jc w:val="center"/>
            </w:pPr>
            <w:r w:rsidRPr="00855461">
              <w:t>(e-pasta adrese)</w:t>
            </w:r>
          </w:p>
        </w:tc>
      </w:tr>
    </w:tbl>
    <w:p w:rsidR="00C061CF" w:rsidRPr="00855461" w:rsidRDefault="00C061CF" w:rsidP="00C9363E">
      <w:pPr>
        <w:pStyle w:val="naisf"/>
        <w:spacing w:before="0" w:after="0"/>
        <w:ind w:firstLine="0"/>
        <w:jc w:val="left"/>
        <w:rPr>
          <w:sz w:val="28"/>
          <w:szCs w:val="28"/>
        </w:rPr>
      </w:pPr>
    </w:p>
    <w:sectPr w:rsidR="00C061CF" w:rsidRPr="00855461" w:rsidSect="00175B4F">
      <w:headerReference w:type="even" r:id="rId8"/>
      <w:headerReference w:type="default" r:id="rId9"/>
      <w:footerReference w:type="default" r:id="rId10"/>
      <w:footerReference w:type="first" r:id="rId11"/>
      <w:pgSz w:w="16838" w:h="11906" w:orient="landscape" w:code="9"/>
      <w:pgMar w:top="1418" w:right="1134" w:bottom="311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D4" w:rsidRDefault="003450D4">
      <w:r>
        <w:separator/>
      </w:r>
    </w:p>
  </w:endnote>
  <w:endnote w:type="continuationSeparator" w:id="0">
    <w:p w:rsidR="003450D4" w:rsidRDefault="0034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BE" w:rsidRPr="00673091" w:rsidRDefault="003849BE" w:rsidP="00027EA9">
    <w:pPr>
      <w:pStyle w:val="Footer"/>
    </w:pPr>
    <w:r w:rsidRPr="00673091">
      <w:rPr>
        <w:sz w:val="20"/>
        <w:szCs w:val="20"/>
      </w:rPr>
      <w:t>FMIzz_</w:t>
    </w:r>
    <w:r w:rsidR="00D718E5">
      <w:rPr>
        <w:sz w:val="20"/>
        <w:szCs w:val="20"/>
      </w:rPr>
      <w:t>0103</w:t>
    </w:r>
    <w:r w:rsidR="005549E2">
      <w:rPr>
        <w:sz w:val="20"/>
        <w:szCs w:val="20"/>
      </w:rPr>
      <w:t>19</w:t>
    </w:r>
    <w:r>
      <w:rPr>
        <w:sz w:val="20"/>
        <w:szCs w:val="20"/>
      </w:rPr>
      <w:t>_VSS-</w:t>
    </w:r>
    <w:r w:rsidR="005549E2">
      <w:rPr>
        <w:sz w:val="20"/>
        <w:szCs w:val="20"/>
      </w:rPr>
      <w:t>77</w:t>
    </w:r>
  </w:p>
  <w:p w:rsidR="003849BE" w:rsidRPr="004B2ECE" w:rsidRDefault="003849BE" w:rsidP="00673091">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BE" w:rsidRPr="00673091" w:rsidRDefault="003849BE" w:rsidP="00027EA9">
    <w:pPr>
      <w:pStyle w:val="Footer"/>
    </w:pPr>
    <w:r w:rsidRPr="00673091">
      <w:rPr>
        <w:sz w:val="20"/>
        <w:szCs w:val="20"/>
      </w:rPr>
      <w:t>FMIzz_</w:t>
    </w:r>
    <w:r w:rsidR="00D718E5">
      <w:rPr>
        <w:sz w:val="20"/>
        <w:szCs w:val="20"/>
      </w:rPr>
      <w:t>0103</w:t>
    </w:r>
    <w:r w:rsidR="005549E2">
      <w:rPr>
        <w:sz w:val="20"/>
        <w:szCs w:val="20"/>
      </w:rPr>
      <w:t>19</w:t>
    </w:r>
    <w:r>
      <w:rPr>
        <w:sz w:val="20"/>
        <w:szCs w:val="20"/>
      </w:rPr>
      <w:t>_VSS-</w:t>
    </w:r>
    <w:r w:rsidR="005549E2">
      <w:rPr>
        <w:sz w:val="20"/>
        <w:szCs w:val="20"/>
      </w:rPr>
      <w:t>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D4" w:rsidRDefault="003450D4">
      <w:r>
        <w:separator/>
      </w:r>
    </w:p>
  </w:footnote>
  <w:footnote w:type="continuationSeparator" w:id="0">
    <w:p w:rsidR="003450D4" w:rsidRDefault="0034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BE" w:rsidRDefault="003849BE"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9BE" w:rsidRDefault="0038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BE" w:rsidRDefault="003849BE"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A7E">
      <w:rPr>
        <w:rStyle w:val="PageNumber"/>
        <w:noProof/>
      </w:rPr>
      <w:t>5</w:t>
    </w:r>
    <w:r>
      <w:rPr>
        <w:rStyle w:val="PageNumber"/>
      </w:rPr>
      <w:fldChar w:fldCharType="end"/>
    </w:r>
  </w:p>
  <w:p w:rsidR="003849BE" w:rsidRDefault="0038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6"/>
    <w:lvl w:ilvl="0">
      <w:start w:val="1"/>
      <w:numFmt w:val="decimal"/>
      <w:lvlText w:val="(%1)"/>
      <w:lvlJc w:val="left"/>
      <w:pPr>
        <w:tabs>
          <w:tab w:val="num" w:pos="1452"/>
        </w:tabs>
        <w:ind w:left="1452" w:hanging="88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8112F25"/>
    <w:multiLevelType w:val="hybridMultilevel"/>
    <w:tmpl w:val="E4F8B1D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13759D"/>
    <w:multiLevelType w:val="hybridMultilevel"/>
    <w:tmpl w:val="E38E6EB4"/>
    <w:lvl w:ilvl="0" w:tplc="431E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4C63E4"/>
    <w:multiLevelType w:val="hybridMultilevel"/>
    <w:tmpl w:val="0522224C"/>
    <w:lvl w:ilvl="0" w:tplc="0426000F">
      <w:start w:val="1"/>
      <w:numFmt w:val="decimal"/>
      <w:lvlText w:val="%1."/>
      <w:lvlJc w:val="left"/>
      <w:pPr>
        <w:ind w:left="720" w:hanging="360"/>
      </w:pPr>
    </w:lvl>
    <w:lvl w:ilvl="1" w:tplc="7F84858E">
      <w:start w:val="1"/>
      <w:numFmt w:val="decimal"/>
      <w:lvlText w:val="2.%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9D79FC"/>
    <w:multiLevelType w:val="hybridMultilevel"/>
    <w:tmpl w:val="82A0B8E4"/>
    <w:lvl w:ilvl="0" w:tplc="8A7A0AE0">
      <w:start w:val="19"/>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DD0FB6"/>
    <w:multiLevelType w:val="hybridMultilevel"/>
    <w:tmpl w:val="D6ECB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42147F"/>
    <w:multiLevelType w:val="hybridMultilevel"/>
    <w:tmpl w:val="9AC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B01569"/>
    <w:multiLevelType w:val="hybridMultilevel"/>
    <w:tmpl w:val="C8A84F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BDF3B3D"/>
    <w:multiLevelType w:val="hybridMultilevel"/>
    <w:tmpl w:val="39BAE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6E4235"/>
    <w:multiLevelType w:val="hybridMultilevel"/>
    <w:tmpl w:val="C3FC2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start w:val="1"/>
      <w:numFmt w:val="bullet"/>
      <w:lvlText w:val="o"/>
      <w:lvlJc w:val="left"/>
      <w:pPr>
        <w:ind w:left="1335" w:hanging="360"/>
      </w:pPr>
      <w:rPr>
        <w:rFonts w:ascii="Courier New" w:hAnsi="Courier New" w:cs="Courier New" w:hint="default"/>
      </w:rPr>
    </w:lvl>
    <w:lvl w:ilvl="2" w:tplc="04260005">
      <w:start w:val="1"/>
      <w:numFmt w:val="bullet"/>
      <w:lvlText w:val=""/>
      <w:lvlJc w:val="left"/>
      <w:pPr>
        <w:ind w:left="2055" w:hanging="360"/>
      </w:pPr>
      <w:rPr>
        <w:rFonts w:ascii="Wingdings" w:hAnsi="Wingdings" w:hint="default"/>
      </w:rPr>
    </w:lvl>
    <w:lvl w:ilvl="3" w:tplc="04260001">
      <w:start w:val="1"/>
      <w:numFmt w:val="bullet"/>
      <w:lvlText w:val=""/>
      <w:lvlJc w:val="left"/>
      <w:pPr>
        <w:ind w:left="2775" w:hanging="360"/>
      </w:pPr>
      <w:rPr>
        <w:rFonts w:ascii="Symbol" w:hAnsi="Symbol" w:hint="default"/>
      </w:rPr>
    </w:lvl>
    <w:lvl w:ilvl="4" w:tplc="04260003">
      <w:start w:val="1"/>
      <w:numFmt w:val="bullet"/>
      <w:lvlText w:val="o"/>
      <w:lvlJc w:val="left"/>
      <w:pPr>
        <w:ind w:left="3495" w:hanging="360"/>
      </w:pPr>
      <w:rPr>
        <w:rFonts w:ascii="Courier New" w:hAnsi="Courier New" w:cs="Courier New" w:hint="default"/>
      </w:rPr>
    </w:lvl>
    <w:lvl w:ilvl="5" w:tplc="04260005">
      <w:start w:val="1"/>
      <w:numFmt w:val="bullet"/>
      <w:lvlText w:val=""/>
      <w:lvlJc w:val="left"/>
      <w:pPr>
        <w:ind w:left="4215" w:hanging="360"/>
      </w:pPr>
      <w:rPr>
        <w:rFonts w:ascii="Wingdings" w:hAnsi="Wingdings" w:hint="default"/>
      </w:rPr>
    </w:lvl>
    <w:lvl w:ilvl="6" w:tplc="04260001">
      <w:start w:val="1"/>
      <w:numFmt w:val="bullet"/>
      <w:lvlText w:val=""/>
      <w:lvlJc w:val="left"/>
      <w:pPr>
        <w:ind w:left="4935" w:hanging="360"/>
      </w:pPr>
      <w:rPr>
        <w:rFonts w:ascii="Symbol" w:hAnsi="Symbol" w:hint="default"/>
      </w:rPr>
    </w:lvl>
    <w:lvl w:ilvl="7" w:tplc="04260003">
      <w:start w:val="1"/>
      <w:numFmt w:val="bullet"/>
      <w:lvlText w:val="o"/>
      <w:lvlJc w:val="left"/>
      <w:pPr>
        <w:ind w:left="5655" w:hanging="360"/>
      </w:pPr>
      <w:rPr>
        <w:rFonts w:ascii="Courier New" w:hAnsi="Courier New" w:cs="Courier New" w:hint="default"/>
      </w:rPr>
    </w:lvl>
    <w:lvl w:ilvl="8" w:tplc="04260005">
      <w:start w:val="1"/>
      <w:numFmt w:val="bullet"/>
      <w:lvlText w:val=""/>
      <w:lvlJc w:val="left"/>
      <w:pPr>
        <w:ind w:left="6375" w:hanging="360"/>
      </w:pPr>
      <w:rPr>
        <w:rFonts w:ascii="Wingdings" w:hAnsi="Wingdings" w:hint="default"/>
      </w:rPr>
    </w:lvl>
  </w:abstractNum>
  <w:abstractNum w:abstractNumId="12" w15:restartNumberingAfterBreak="0">
    <w:nsid w:val="773570FD"/>
    <w:multiLevelType w:val="hybridMultilevel"/>
    <w:tmpl w:val="76CA8810"/>
    <w:lvl w:ilvl="0" w:tplc="BD8AFB5A">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932FE6"/>
    <w:multiLevelType w:val="hybridMultilevel"/>
    <w:tmpl w:val="A72820B0"/>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1"/>
  </w:num>
  <w:num w:numId="7">
    <w:abstractNumId w:val="1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F"/>
    <w:rsid w:val="0000196B"/>
    <w:rsid w:val="00010CFF"/>
    <w:rsid w:val="00010EE1"/>
    <w:rsid w:val="0001434D"/>
    <w:rsid w:val="00020FE5"/>
    <w:rsid w:val="00024137"/>
    <w:rsid w:val="00027C9D"/>
    <w:rsid w:val="00027EA9"/>
    <w:rsid w:val="000318C4"/>
    <w:rsid w:val="000327C5"/>
    <w:rsid w:val="00040185"/>
    <w:rsid w:val="00040F1A"/>
    <w:rsid w:val="0004361F"/>
    <w:rsid w:val="000507C7"/>
    <w:rsid w:val="00052794"/>
    <w:rsid w:val="000532F8"/>
    <w:rsid w:val="000729F6"/>
    <w:rsid w:val="000820F1"/>
    <w:rsid w:val="000877E1"/>
    <w:rsid w:val="000879C4"/>
    <w:rsid w:val="000917E2"/>
    <w:rsid w:val="0009515D"/>
    <w:rsid w:val="000976CB"/>
    <w:rsid w:val="000A028E"/>
    <w:rsid w:val="000A1FAD"/>
    <w:rsid w:val="000A2454"/>
    <w:rsid w:val="000A3624"/>
    <w:rsid w:val="000A470D"/>
    <w:rsid w:val="000A7933"/>
    <w:rsid w:val="000B4078"/>
    <w:rsid w:val="000C2C13"/>
    <w:rsid w:val="000D17C6"/>
    <w:rsid w:val="000D258C"/>
    <w:rsid w:val="000D423E"/>
    <w:rsid w:val="000D621B"/>
    <w:rsid w:val="000D7FEF"/>
    <w:rsid w:val="000E0006"/>
    <w:rsid w:val="000E17F2"/>
    <w:rsid w:val="000E5C2F"/>
    <w:rsid w:val="000E764C"/>
    <w:rsid w:val="000F4AB2"/>
    <w:rsid w:val="000F5607"/>
    <w:rsid w:val="000F56CE"/>
    <w:rsid w:val="000F5964"/>
    <w:rsid w:val="000F59FC"/>
    <w:rsid w:val="0010679D"/>
    <w:rsid w:val="00112809"/>
    <w:rsid w:val="00112CDA"/>
    <w:rsid w:val="00113BD2"/>
    <w:rsid w:val="00114365"/>
    <w:rsid w:val="00121E18"/>
    <w:rsid w:val="00122330"/>
    <w:rsid w:val="00127204"/>
    <w:rsid w:val="00133097"/>
    <w:rsid w:val="00133AD8"/>
    <w:rsid w:val="0013606C"/>
    <w:rsid w:val="0014040C"/>
    <w:rsid w:val="001409D8"/>
    <w:rsid w:val="00142346"/>
    <w:rsid w:val="0014328A"/>
    <w:rsid w:val="00143BFB"/>
    <w:rsid w:val="001474A1"/>
    <w:rsid w:val="00153948"/>
    <w:rsid w:val="00154144"/>
    <w:rsid w:val="0016460F"/>
    <w:rsid w:val="0016687E"/>
    <w:rsid w:val="0017139E"/>
    <w:rsid w:val="00175B4F"/>
    <w:rsid w:val="00175BD7"/>
    <w:rsid w:val="00177528"/>
    <w:rsid w:val="00193507"/>
    <w:rsid w:val="001A316C"/>
    <w:rsid w:val="001A3995"/>
    <w:rsid w:val="001A58CD"/>
    <w:rsid w:val="001A6725"/>
    <w:rsid w:val="001B1E49"/>
    <w:rsid w:val="001C110E"/>
    <w:rsid w:val="001C1C5F"/>
    <w:rsid w:val="001C2C25"/>
    <w:rsid w:val="001D4AB9"/>
    <w:rsid w:val="001D6599"/>
    <w:rsid w:val="001E0015"/>
    <w:rsid w:val="001E0ADF"/>
    <w:rsid w:val="001E7AD7"/>
    <w:rsid w:val="001F143A"/>
    <w:rsid w:val="001F3339"/>
    <w:rsid w:val="001F37B5"/>
    <w:rsid w:val="0020141D"/>
    <w:rsid w:val="0020263F"/>
    <w:rsid w:val="0020441D"/>
    <w:rsid w:val="00207C11"/>
    <w:rsid w:val="00210481"/>
    <w:rsid w:val="002107C1"/>
    <w:rsid w:val="00212226"/>
    <w:rsid w:val="00213721"/>
    <w:rsid w:val="00214EB0"/>
    <w:rsid w:val="00216D8B"/>
    <w:rsid w:val="00216FC0"/>
    <w:rsid w:val="00224179"/>
    <w:rsid w:val="0022431B"/>
    <w:rsid w:val="002244E2"/>
    <w:rsid w:val="00226E68"/>
    <w:rsid w:val="0023002A"/>
    <w:rsid w:val="00231052"/>
    <w:rsid w:val="002340E9"/>
    <w:rsid w:val="00235035"/>
    <w:rsid w:val="0023511D"/>
    <w:rsid w:val="00240CC7"/>
    <w:rsid w:val="00244B0C"/>
    <w:rsid w:val="002528CF"/>
    <w:rsid w:val="0025515C"/>
    <w:rsid w:val="00256064"/>
    <w:rsid w:val="00256613"/>
    <w:rsid w:val="0025755A"/>
    <w:rsid w:val="0026082D"/>
    <w:rsid w:val="00264999"/>
    <w:rsid w:val="002711DE"/>
    <w:rsid w:val="00271998"/>
    <w:rsid w:val="00275B63"/>
    <w:rsid w:val="0028638E"/>
    <w:rsid w:val="00290079"/>
    <w:rsid w:val="0029111C"/>
    <w:rsid w:val="002B19E4"/>
    <w:rsid w:val="002B2E02"/>
    <w:rsid w:val="002B4F3E"/>
    <w:rsid w:val="002B7709"/>
    <w:rsid w:val="002B770C"/>
    <w:rsid w:val="002C1187"/>
    <w:rsid w:val="002C7C83"/>
    <w:rsid w:val="002D2D88"/>
    <w:rsid w:val="002D3C05"/>
    <w:rsid w:val="002D63C4"/>
    <w:rsid w:val="002E3152"/>
    <w:rsid w:val="002E4993"/>
    <w:rsid w:val="002E5298"/>
    <w:rsid w:val="002E55F5"/>
    <w:rsid w:val="002F31AC"/>
    <w:rsid w:val="002F70A0"/>
    <w:rsid w:val="002F7722"/>
    <w:rsid w:val="00300141"/>
    <w:rsid w:val="00301D30"/>
    <w:rsid w:val="003048C9"/>
    <w:rsid w:val="00313871"/>
    <w:rsid w:val="003146E8"/>
    <w:rsid w:val="00315C80"/>
    <w:rsid w:val="00315E3D"/>
    <w:rsid w:val="00320E51"/>
    <w:rsid w:val="0032167F"/>
    <w:rsid w:val="00321DFF"/>
    <w:rsid w:val="00325220"/>
    <w:rsid w:val="00327388"/>
    <w:rsid w:val="00330D3D"/>
    <w:rsid w:val="00330E79"/>
    <w:rsid w:val="003328B0"/>
    <w:rsid w:val="003335C7"/>
    <w:rsid w:val="00336456"/>
    <w:rsid w:val="0034000B"/>
    <w:rsid w:val="0034012B"/>
    <w:rsid w:val="00341AD4"/>
    <w:rsid w:val="00343292"/>
    <w:rsid w:val="0034334D"/>
    <w:rsid w:val="003450D4"/>
    <w:rsid w:val="00345EBA"/>
    <w:rsid w:val="0035004C"/>
    <w:rsid w:val="003567E5"/>
    <w:rsid w:val="00356CA5"/>
    <w:rsid w:val="003718AC"/>
    <w:rsid w:val="00372155"/>
    <w:rsid w:val="00373676"/>
    <w:rsid w:val="00382696"/>
    <w:rsid w:val="00383AA0"/>
    <w:rsid w:val="003849BE"/>
    <w:rsid w:val="00387C7C"/>
    <w:rsid w:val="003A166F"/>
    <w:rsid w:val="003A737E"/>
    <w:rsid w:val="003B1F0F"/>
    <w:rsid w:val="003B66E8"/>
    <w:rsid w:val="003D5287"/>
    <w:rsid w:val="003D6251"/>
    <w:rsid w:val="003D6C31"/>
    <w:rsid w:val="003E4732"/>
    <w:rsid w:val="003E485E"/>
    <w:rsid w:val="003F4C96"/>
    <w:rsid w:val="003F629E"/>
    <w:rsid w:val="00400587"/>
    <w:rsid w:val="0040267E"/>
    <w:rsid w:val="00406ADC"/>
    <w:rsid w:val="00406E20"/>
    <w:rsid w:val="00407C8C"/>
    <w:rsid w:val="004107A4"/>
    <w:rsid w:val="004152BA"/>
    <w:rsid w:val="004164A0"/>
    <w:rsid w:val="00420FD7"/>
    <w:rsid w:val="00422F44"/>
    <w:rsid w:val="00423408"/>
    <w:rsid w:val="00434852"/>
    <w:rsid w:val="0043525B"/>
    <w:rsid w:val="00435EA0"/>
    <w:rsid w:val="0043697F"/>
    <w:rsid w:val="0044338E"/>
    <w:rsid w:val="00445D2E"/>
    <w:rsid w:val="00450829"/>
    <w:rsid w:val="00453189"/>
    <w:rsid w:val="00454862"/>
    <w:rsid w:val="0046274E"/>
    <w:rsid w:val="00462CD3"/>
    <w:rsid w:val="0046412D"/>
    <w:rsid w:val="004709B3"/>
    <w:rsid w:val="0047597F"/>
    <w:rsid w:val="004814FD"/>
    <w:rsid w:val="00484F19"/>
    <w:rsid w:val="004853E1"/>
    <w:rsid w:val="004926DF"/>
    <w:rsid w:val="00493680"/>
    <w:rsid w:val="0049749A"/>
    <w:rsid w:val="004A3E83"/>
    <w:rsid w:val="004A5C2F"/>
    <w:rsid w:val="004B14B9"/>
    <w:rsid w:val="004B2B1F"/>
    <w:rsid w:val="004B2B88"/>
    <w:rsid w:val="004B2ECE"/>
    <w:rsid w:val="004B3423"/>
    <w:rsid w:val="004B7F29"/>
    <w:rsid w:val="004C4919"/>
    <w:rsid w:val="004C52EB"/>
    <w:rsid w:val="004C5581"/>
    <w:rsid w:val="004C5BAB"/>
    <w:rsid w:val="004C7490"/>
    <w:rsid w:val="004D1C4D"/>
    <w:rsid w:val="004D2C92"/>
    <w:rsid w:val="004D5A99"/>
    <w:rsid w:val="004D6AEF"/>
    <w:rsid w:val="004D7084"/>
    <w:rsid w:val="004E65E0"/>
    <w:rsid w:val="004E7CCA"/>
    <w:rsid w:val="004F055D"/>
    <w:rsid w:val="004F09A9"/>
    <w:rsid w:val="004F1BBC"/>
    <w:rsid w:val="004F3748"/>
    <w:rsid w:val="004F6B5E"/>
    <w:rsid w:val="00501CF7"/>
    <w:rsid w:val="005031F7"/>
    <w:rsid w:val="005070BF"/>
    <w:rsid w:val="005079C1"/>
    <w:rsid w:val="005133D6"/>
    <w:rsid w:val="005147FE"/>
    <w:rsid w:val="00516228"/>
    <w:rsid w:val="005228B8"/>
    <w:rsid w:val="00530B03"/>
    <w:rsid w:val="0053190E"/>
    <w:rsid w:val="00535534"/>
    <w:rsid w:val="00540814"/>
    <w:rsid w:val="00542EFC"/>
    <w:rsid w:val="005444A6"/>
    <w:rsid w:val="0054472E"/>
    <w:rsid w:val="00545511"/>
    <w:rsid w:val="0054645C"/>
    <w:rsid w:val="00550BC7"/>
    <w:rsid w:val="00551423"/>
    <w:rsid w:val="005524CC"/>
    <w:rsid w:val="00553382"/>
    <w:rsid w:val="005541AF"/>
    <w:rsid w:val="005549E2"/>
    <w:rsid w:val="00556049"/>
    <w:rsid w:val="00570068"/>
    <w:rsid w:val="005836A7"/>
    <w:rsid w:val="00585F74"/>
    <w:rsid w:val="00590BB2"/>
    <w:rsid w:val="0059223F"/>
    <w:rsid w:val="005A29B1"/>
    <w:rsid w:val="005A39FC"/>
    <w:rsid w:val="005B1E88"/>
    <w:rsid w:val="005B4215"/>
    <w:rsid w:val="005B467E"/>
    <w:rsid w:val="005C1B82"/>
    <w:rsid w:val="005D01BB"/>
    <w:rsid w:val="005D4A19"/>
    <w:rsid w:val="005D7F30"/>
    <w:rsid w:val="005E106E"/>
    <w:rsid w:val="005F2BFB"/>
    <w:rsid w:val="005F3225"/>
    <w:rsid w:val="005F391D"/>
    <w:rsid w:val="005F5006"/>
    <w:rsid w:val="006016A1"/>
    <w:rsid w:val="006153FE"/>
    <w:rsid w:val="006178B0"/>
    <w:rsid w:val="00617DE5"/>
    <w:rsid w:val="006203AC"/>
    <w:rsid w:val="00620818"/>
    <w:rsid w:val="006209C5"/>
    <w:rsid w:val="00621329"/>
    <w:rsid w:val="00624355"/>
    <w:rsid w:val="00627BBB"/>
    <w:rsid w:val="006300AF"/>
    <w:rsid w:val="00641841"/>
    <w:rsid w:val="006437E7"/>
    <w:rsid w:val="00646845"/>
    <w:rsid w:val="00646EE3"/>
    <w:rsid w:val="00652DB2"/>
    <w:rsid w:val="00653EE9"/>
    <w:rsid w:val="00661322"/>
    <w:rsid w:val="00664FDB"/>
    <w:rsid w:val="00667799"/>
    <w:rsid w:val="00670247"/>
    <w:rsid w:val="00673091"/>
    <w:rsid w:val="00675BF4"/>
    <w:rsid w:val="00683B88"/>
    <w:rsid w:val="006845BF"/>
    <w:rsid w:val="00690ADA"/>
    <w:rsid w:val="006915A7"/>
    <w:rsid w:val="00696D5C"/>
    <w:rsid w:val="00697906"/>
    <w:rsid w:val="006A0978"/>
    <w:rsid w:val="006A29E4"/>
    <w:rsid w:val="006A59B2"/>
    <w:rsid w:val="006B3E45"/>
    <w:rsid w:val="006B5D80"/>
    <w:rsid w:val="006C240E"/>
    <w:rsid w:val="006C2B34"/>
    <w:rsid w:val="006C72CD"/>
    <w:rsid w:val="006D1CA6"/>
    <w:rsid w:val="006D5295"/>
    <w:rsid w:val="006D60AC"/>
    <w:rsid w:val="006D63B8"/>
    <w:rsid w:val="006D74D8"/>
    <w:rsid w:val="006E1EF7"/>
    <w:rsid w:val="006E2408"/>
    <w:rsid w:val="006E52C5"/>
    <w:rsid w:val="006E651D"/>
    <w:rsid w:val="006F6C6C"/>
    <w:rsid w:val="007029A5"/>
    <w:rsid w:val="0070644F"/>
    <w:rsid w:val="007070E6"/>
    <w:rsid w:val="00710A07"/>
    <w:rsid w:val="00713854"/>
    <w:rsid w:val="0071468C"/>
    <w:rsid w:val="00716AFC"/>
    <w:rsid w:val="00720898"/>
    <w:rsid w:val="007223A2"/>
    <w:rsid w:val="00722452"/>
    <w:rsid w:val="00724C0B"/>
    <w:rsid w:val="0073429D"/>
    <w:rsid w:val="00736339"/>
    <w:rsid w:val="0074030C"/>
    <w:rsid w:val="00747FD7"/>
    <w:rsid w:val="00751999"/>
    <w:rsid w:val="0075579A"/>
    <w:rsid w:val="00756CC6"/>
    <w:rsid w:val="00756D7E"/>
    <w:rsid w:val="00762CE0"/>
    <w:rsid w:val="00772315"/>
    <w:rsid w:val="00773325"/>
    <w:rsid w:val="00773345"/>
    <w:rsid w:val="007748F1"/>
    <w:rsid w:val="00776790"/>
    <w:rsid w:val="00777635"/>
    <w:rsid w:val="00777C04"/>
    <w:rsid w:val="00780711"/>
    <w:rsid w:val="0078087C"/>
    <w:rsid w:val="00783D4B"/>
    <w:rsid w:val="00791E65"/>
    <w:rsid w:val="00795F34"/>
    <w:rsid w:val="007A0889"/>
    <w:rsid w:val="007A252E"/>
    <w:rsid w:val="007A30F8"/>
    <w:rsid w:val="007A3B1E"/>
    <w:rsid w:val="007B184A"/>
    <w:rsid w:val="007B2B9A"/>
    <w:rsid w:val="007B567F"/>
    <w:rsid w:val="007B5B36"/>
    <w:rsid w:val="007C069B"/>
    <w:rsid w:val="007C2B2E"/>
    <w:rsid w:val="007C59B0"/>
    <w:rsid w:val="007D396C"/>
    <w:rsid w:val="007D68B9"/>
    <w:rsid w:val="007D70B8"/>
    <w:rsid w:val="007E1FA7"/>
    <w:rsid w:val="007E2E8C"/>
    <w:rsid w:val="007E4D73"/>
    <w:rsid w:val="007E6E19"/>
    <w:rsid w:val="007E74E1"/>
    <w:rsid w:val="007F18B1"/>
    <w:rsid w:val="007F2392"/>
    <w:rsid w:val="007F50FE"/>
    <w:rsid w:val="00806526"/>
    <w:rsid w:val="00810D20"/>
    <w:rsid w:val="0081387D"/>
    <w:rsid w:val="00814EDC"/>
    <w:rsid w:val="0081643F"/>
    <w:rsid w:val="0082147C"/>
    <w:rsid w:val="00823D0C"/>
    <w:rsid w:val="0082436D"/>
    <w:rsid w:val="0083766D"/>
    <w:rsid w:val="00844C68"/>
    <w:rsid w:val="00845366"/>
    <w:rsid w:val="00847151"/>
    <w:rsid w:val="00855461"/>
    <w:rsid w:val="00857B75"/>
    <w:rsid w:val="00857D12"/>
    <w:rsid w:val="00863AE7"/>
    <w:rsid w:val="00865D7B"/>
    <w:rsid w:val="00866917"/>
    <w:rsid w:val="00867242"/>
    <w:rsid w:val="00867D44"/>
    <w:rsid w:val="008735B0"/>
    <w:rsid w:val="00884226"/>
    <w:rsid w:val="008855BB"/>
    <w:rsid w:val="00891FBC"/>
    <w:rsid w:val="00896C63"/>
    <w:rsid w:val="00897911"/>
    <w:rsid w:val="008A3786"/>
    <w:rsid w:val="008A37EB"/>
    <w:rsid w:val="008A3B4D"/>
    <w:rsid w:val="008A6837"/>
    <w:rsid w:val="008B0771"/>
    <w:rsid w:val="008B1584"/>
    <w:rsid w:val="008B396A"/>
    <w:rsid w:val="008C06F6"/>
    <w:rsid w:val="008C15E2"/>
    <w:rsid w:val="008C178C"/>
    <w:rsid w:val="008C45AE"/>
    <w:rsid w:val="008D210D"/>
    <w:rsid w:val="008D3D7B"/>
    <w:rsid w:val="008D5ADD"/>
    <w:rsid w:val="008D7548"/>
    <w:rsid w:val="008D7A4F"/>
    <w:rsid w:val="008E1D26"/>
    <w:rsid w:val="008E3A35"/>
    <w:rsid w:val="008E63F8"/>
    <w:rsid w:val="008F1887"/>
    <w:rsid w:val="008F30E7"/>
    <w:rsid w:val="008F5728"/>
    <w:rsid w:val="008F617F"/>
    <w:rsid w:val="008F6993"/>
    <w:rsid w:val="008F7229"/>
    <w:rsid w:val="009003EB"/>
    <w:rsid w:val="009047BC"/>
    <w:rsid w:val="00914318"/>
    <w:rsid w:val="00915E24"/>
    <w:rsid w:val="00922917"/>
    <w:rsid w:val="00922C93"/>
    <w:rsid w:val="0093225C"/>
    <w:rsid w:val="00932880"/>
    <w:rsid w:val="00933E0B"/>
    <w:rsid w:val="00940909"/>
    <w:rsid w:val="00950208"/>
    <w:rsid w:val="00960DF6"/>
    <w:rsid w:val="0096454B"/>
    <w:rsid w:val="00980690"/>
    <w:rsid w:val="00980C42"/>
    <w:rsid w:val="00982624"/>
    <w:rsid w:val="009867B6"/>
    <w:rsid w:val="00992B8F"/>
    <w:rsid w:val="00993043"/>
    <w:rsid w:val="00996BFB"/>
    <w:rsid w:val="009A0404"/>
    <w:rsid w:val="009A3CE2"/>
    <w:rsid w:val="009A6E6E"/>
    <w:rsid w:val="009B34CB"/>
    <w:rsid w:val="009B52A8"/>
    <w:rsid w:val="009B5E75"/>
    <w:rsid w:val="009B7E70"/>
    <w:rsid w:val="009B7F79"/>
    <w:rsid w:val="009C130D"/>
    <w:rsid w:val="009C6F89"/>
    <w:rsid w:val="009C7A1C"/>
    <w:rsid w:val="009D6FB7"/>
    <w:rsid w:val="009D71F7"/>
    <w:rsid w:val="009E1043"/>
    <w:rsid w:val="009E18D9"/>
    <w:rsid w:val="009E63C4"/>
    <w:rsid w:val="009E77B0"/>
    <w:rsid w:val="009F24EF"/>
    <w:rsid w:val="009F6989"/>
    <w:rsid w:val="00A01AD0"/>
    <w:rsid w:val="00A12311"/>
    <w:rsid w:val="00A14C12"/>
    <w:rsid w:val="00A324DF"/>
    <w:rsid w:val="00A32C6B"/>
    <w:rsid w:val="00A35410"/>
    <w:rsid w:val="00A358E4"/>
    <w:rsid w:val="00A35B0B"/>
    <w:rsid w:val="00A36CFC"/>
    <w:rsid w:val="00A41E61"/>
    <w:rsid w:val="00A445F5"/>
    <w:rsid w:val="00A45C03"/>
    <w:rsid w:val="00A52A6C"/>
    <w:rsid w:val="00A541D8"/>
    <w:rsid w:val="00A62514"/>
    <w:rsid w:val="00A656EE"/>
    <w:rsid w:val="00A71693"/>
    <w:rsid w:val="00A71890"/>
    <w:rsid w:val="00A777E5"/>
    <w:rsid w:val="00A8194D"/>
    <w:rsid w:val="00A81F25"/>
    <w:rsid w:val="00A82E3B"/>
    <w:rsid w:val="00A82F5D"/>
    <w:rsid w:val="00A87386"/>
    <w:rsid w:val="00A93350"/>
    <w:rsid w:val="00A9717A"/>
    <w:rsid w:val="00AA6053"/>
    <w:rsid w:val="00AA63EC"/>
    <w:rsid w:val="00AB3EFA"/>
    <w:rsid w:val="00AB67A7"/>
    <w:rsid w:val="00AB76DF"/>
    <w:rsid w:val="00AC120E"/>
    <w:rsid w:val="00AC155E"/>
    <w:rsid w:val="00AC1C1C"/>
    <w:rsid w:val="00AC21E6"/>
    <w:rsid w:val="00AC2BA2"/>
    <w:rsid w:val="00AC31DF"/>
    <w:rsid w:val="00AC5777"/>
    <w:rsid w:val="00AC7AAB"/>
    <w:rsid w:val="00AD1A78"/>
    <w:rsid w:val="00AD297C"/>
    <w:rsid w:val="00AD7FFD"/>
    <w:rsid w:val="00AE0D0D"/>
    <w:rsid w:val="00AF3B2D"/>
    <w:rsid w:val="00AF4E1C"/>
    <w:rsid w:val="00AF5603"/>
    <w:rsid w:val="00AF715A"/>
    <w:rsid w:val="00AF7310"/>
    <w:rsid w:val="00B0068C"/>
    <w:rsid w:val="00B060CE"/>
    <w:rsid w:val="00B102CB"/>
    <w:rsid w:val="00B103AD"/>
    <w:rsid w:val="00B1436F"/>
    <w:rsid w:val="00B16A42"/>
    <w:rsid w:val="00B16CBE"/>
    <w:rsid w:val="00B16F0C"/>
    <w:rsid w:val="00B20292"/>
    <w:rsid w:val="00B2180C"/>
    <w:rsid w:val="00B2297B"/>
    <w:rsid w:val="00B2521E"/>
    <w:rsid w:val="00B27AE5"/>
    <w:rsid w:val="00B3074C"/>
    <w:rsid w:val="00B35B89"/>
    <w:rsid w:val="00B36EC2"/>
    <w:rsid w:val="00B40586"/>
    <w:rsid w:val="00B435FB"/>
    <w:rsid w:val="00B50CF6"/>
    <w:rsid w:val="00B51A03"/>
    <w:rsid w:val="00B51ADC"/>
    <w:rsid w:val="00B61B6A"/>
    <w:rsid w:val="00B63AED"/>
    <w:rsid w:val="00B75248"/>
    <w:rsid w:val="00B90AF5"/>
    <w:rsid w:val="00B93C7C"/>
    <w:rsid w:val="00BA6235"/>
    <w:rsid w:val="00BA7B25"/>
    <w:rsid w:val="00BB362B"/>
    <w:rsid w:val="00BB3DED"/>
    <w:rsid w:val="00BB3E27"/>
    <w:rsid w:val="00BB5FA0"/>
    <w:rsid w:val="00BC38F7"/>
    <w:rsid w:val="00BC3AEB"/>
    <w:rsid w:val="00BC5116"/>
    <w:rsid w:val="00BD56F5"/>
    <w:rsid w:val="00BD57B5"/>
    <w:rsid w:val="00BD5A7E"/>
    <w:rsid w:val="00BD73E9"/>
    <w:rsid w:val="00BE17CB"/>
    <w:rsid w:val="00BE373A"/>
    <w:rsid w:val="00BE4D07"/>
    <w:rsid w:val="00BF1AD0"/>
    <w:rsid w:val="00BF4B04"/>
    <w:rsid w:val="00C061CF"/>
    <w:rsid w:val="00C07D35"/>
    <w:rsid w:val="00C118AE"/>
    <w:rsid w:val="00C25E3B"/>
    <w:rsid w:val="00C274E4"/>
    <w:rsid w:val="00C31FBA"/>
    <w:rsid w:val="00C33AEA"/>
    <w:rsid w:val="00C33F3A"/>
    <w:rsid w:val="00C36B60"/>
    <w:rsid w:val="00C3721A"/>
    <w:rsid w:val="00C42692"/>
    <w:rsid w:val="00C460E8"/>
    <w:rsid w:val="00C503B6"/>
    <w:rsid w:val="00C51532"/>
    <w:rsid w:val="00C57B88"/>
    <w:rsid w:val="00C618D5"/>
    <w:rsid w:val="00C61DB6"/>
    <w:rsid w:val="00C62CB1"/>
    <w:rsid w:val="00C63724"/>
    <w:rsid w:val="00C64ECA"/>
    <w:rsid w:val="00C66A4D"/>
    <w:rsid w:val="00C72BAB"/>
    <w:rsid w:val="00C7478E"/>
    <w:rsid w:val="00C74A59"/>
    <w:rsid w:val="00C82FAF"/>
    <w:rsid w:val="00C8436C"/>
    <w:rsid w:val="00C9132B"/>
    <w:rsid w:val="00C9290A"/>
    <w:rsid w:val="00C9363E"/>
    <w:rsid w:val="00C950B7"/>
    <w:rsid w:val="00CA0C1C"/>
    <w:rsid w:val="00CA29DF"/>
    <w:rsid w:val="00CB15BD"/>
    <w:rsid w:val="00CB6C31"/>
    <w:rsid w:val="00CC0823"/>
    <w:rsid w:val="00CC1900"/>
    <w:rsid w:val="00CC3C38"/>
    <w:rsid w:val="00CC4C08"/>
    <w:rsid w:val="00CC5624"/>
    <w:rsid w:val="00CC622C"/>
    <w:rsid w:val="00CD144E"/>
    <w:rsid w:val="00CD19B0"/>
    <w:rsid w:val="00CD6E6E"/>
    <w:rsid w:val="00CE0E0E"/>
    <w:rsid w:val="00CE0FAE"/>
    <w:rsid w:val="00CE1528"/>
    <w:rsid w:val="00CE3513"/>
    <w:rsid w:val="00CF6AAC"/>
    <w:rsid w:val="00D0098A"/>
    <w:rsid w:val="00D0197B"/>
    <w:rsid w:val="00D04A20"/>
    <w:rsid w:val="00D055EC"/>
    <w:rsid w:val="00D05EE0"/>
    <w:rsid w:val="00D07C30"/>
    <w:rsid w:val="00D10ABD"/>
    <w:rsid w:val="00D127D0"/>
    <w:rsid w:val="00D128E8"/>
    <w:rsid w:val="00D147BC"/>
    <w:rsid w:val="00D14828"/>
    <w:rsid w:val="00D20C34"/>
    <w:rsid w:val="00D22BC8"/>
    <w:rsid w:val="00D33EBC"/>
    <w:rsid w:val="00D346D7"/>
    <w:rsid w:val="00D37164"/>
    <w:rsid w:val="00D420CB"/>
    <w:rsid w:val="00D441DF"/>
    <w:rsid w:val="00D51996"/>
    <w:rsid w:val="00D5312D"/>
    <w:rsid w:val="00D53B80"/>
    <w:rsid w:val="00D718E5"/>
    <w:rsid w:val="00D7346F"/>
    <w:rsid w:val="00D82ADB"/>
    <w:rsid w:val="00D83C7E"/>
    <w:rsid w:val="00DA08D7"/>
    <w:rsid w:val="00DA3096"/>
    <w:rsid w:val="00DA4A3F"/>
    <w:rsid w:val="00DA61EA"/>
    <w:rsid w:val="00DC1204"/>
    <w:rsid w:val="00DC3829"/>
    <w:rsid w:val="00DC75E9"/>
    <w:rsid w:val="00DD2F4E"/>
    <w:rsid w:val="00DE2636"/>
    <w:rsid w:val="00DE4A9B"/>
    <w:rsid w:val="00DE57D6"/>
    <w:rsid w:val="00DE6425"/>
    <w:rsid w:val="00DE7DB5"/>
    <w:rsid w:val="00DF39A5"/>
    <w:rsid w:val="00E065E6"/>
    <w:rsid w:val="00E06970"/>
    <w:rsid w:val="00E07144"/>
    <w:rsid w:val="00E11721"/>
    <w:rsid w:val="00E15390"/>
    <w:rsid w:val="00E15AAF"/>
    <w:rsid w:val="00E20DF1"/>
    <w:rsid w:val="00E20FAC"/>
    <w:rsid w:val="00E21908"/>
    <w:rsid w:val="00E2482F"/>
    <w:rsid w:val="00E32710"/>
    <w:rsid w:val="00E33CF9"/>
    <w:rsid w:val="00E37190"/>
    <w:rsid w:val="00E37EDB"/>
    <w:rsid w:val="00E41393"/>
    <w:rsid w:val="00E42597"/>
    <w:rsid w:val="00E450FB"/>
    <w:rsid w:val="00E4526F"/>
    <w:rsid w:val="00E46CFC"/>
    <w:rsid w:val="00E473B2"/>
    <w:rsid w:val="00E536FD"/>
    <w:rsid w:val="00E53A46"/>
    <w:rsid w:val="00E56AC8"/>
    <w:rsid w:val="00E6442A"/>
    <w:rsid w:val="00E730F9"/>
    <w:rsid w:val="00E76382"/>
    <w:rsid w:val="00E7706D"/>
    <w:rsid w:val="00E8628C"/>
    <w:rsid w:val="00E87492"/>
    <w:rsid w:val="00E87779"/>
    <w:rsid w:val="00E9152B"/>
    <w:rsid w:val="00E9488F"/>
    <w:rsid w:val="00E9603A"/>
    <w:rsid w:val="00E9707E"/>
    <w:rsid w:val="00EA0EC2"/>
    <w:rsid w:val="00EA0F5B"/>
    <w:rsid w:val="00EB39A7"/>
    <w:rsid w:val="00EB4CE9"/>
    <w:rsid w:val="00EC2017"/>
    <w:rsid w:val="00EC5642"/>
    <w:rsid w:val="00EC5BE4"/>
    <w:rsid w:val="00EC615F"/>
    <w:rsid w:val="00ED39C9"/>
    <w:rsid w:val="00EE2739"/>
    <w:rsid w:val="00EF301B"/>
    <w:rsid w:val="00F01F2F"/>
    <w:rsid w:val="00F02B46"/>
    <w:rsid w:val="00F02BBC"/>
    <w:rsid w:val="00F044C1"/>
    <w:rsid w:val="00F05CFE"/>
    <w:rsid w:val="00F17233"/>
    <w:rsid w:val="00F2123E"/>
    <w:rsid w:val="00F21485"/>
    <w:rsid w:val="00F24D78"/>
    <w:rsid w:val="00F25214"/>
    <w:rsid w:val="00F25FEE"/>
    <w:rsid w:val="00F30DD6"/>
    <w:rsid w:val="00F31ACD"/>
    <w:rsid w:val="00F351EB"/>
    <w:rsid w:val="00F3581E"/>
    <w:rsid w:val="00F41DEF"/>
    <w:rsid w:val="00F43B03"/>
    <w:rsid w:val="00F47A61"/>
    <w:rsid w:val="00F47B38"/>
    <w:rsid w:val="00F55F00"/>
    <w:rsid w:val="00F55F9A"/>
    <w:rsid w:val="00F634AE"/>
    <w:rsid w:val="00F67AFF"/>
    <w:rsid w:val="00F67F31"/>
    <w:rsid w:val="00F72BC3"/>
    <w:rsid w:val="00F73B2E"/>
    <w:rsid w:val="00F80960"/>
    <w:rsid w:val="00F87B25"/>
    <w:rsid w:val="00F92441"/>
    <w:rsid w:val="00F973B5"/>
    <w:rsid w:val="00FA214F"/>
    <w:rsid w:val="00FA5B74"/>
    <w:rsid w:val="00FA7DBF"/>
    <w:rsid w:val="00FB1675"/>
    <w:rsid w:val="00FB1B2A"/>
    <w:rsid w:val="00FB3AF7"/>
    <w:rsid w:val="00FB4511"/>
    <w:rsid w:val="00FB622C"/>
    <w:rsid w:val="00FB6250"/>
    <w:rsid w:val="00FB7914"/>
    <w:rsid w:val="00FB7EF5"/>
    <w:rsid w:val="00FC2452"/>
    <w:rsid w:val="00FC2477"/>
    <w:rsid w:val="00FC33B2"/>
    <w:rsid w:val="00FC65C4"/>
    <w:rsid w:val="00FC7DE8"/>
    <w:rsid w:val="00FD0139"/>
    <w:rsid w:val="00FD033D"/>
    <w:rsid w:val="00FD0779"/>
    <w:rsid w:val="00FD1453"/>
    <w:rsid w:val="00FD167B"/>
    <w:rsid w:val="00FD4601"/>
    <w:rsid w:val="00FE0224"/>
    <w:rsid w:val="00FE6737"/>
    <w:rsid w:val="00FF29A4"/>
    <w:rsid w:val="00FF3FA5"/>
    <w:rsid w:val="00FF6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AC12"/>
  <w15:docId w15:val="{7649CC32-534C-4A01-BE4A-1EC324ED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61CF"/>
    <w:pPr>
      <w:spacing w:before="100" w:beforeAutospacing="1" w:after="100" w:afterAutospacing="1"/>
    </w:pPr>
  </w:style>
  <w:style w:type="paragraph" w:customStyle="1" w:styleId="naisf">
    <w:name w:val="naisf"/>
    <w:basedOn w:val="Normal"/>
    <w:rsid w:val="00C061CF"/>
    <w:pPr>
      <w:spacing w:before="75" w:after="75"/>
      <w:ind w:firstLine="375"/>
      <w:jc w:val="both"/>
    </w:pPr>
  </w:style>
  <w:style w:type="paragraph" w:customStyle="1" w:styleId="naisnod">
    <w:name w:val="naisnod"/>
    <w:basedOn w:val="Normal"/>
    <w:uiPriority w:val="99"/>
    <w:rsid w:val="00C061CF"/>
    <w:pPr>
      <w:spacing w:before="150" w:after="150"/>
      <w:jc w:val="center"/>
    </w:pPr>
    <w:rPr>
      <w:b/>
      <w:bCs/>
    </w:rPr>
  </w:style>
  <w:style w:type="paragraph" w:customStyle="1" w:styleId="naislab">
    <w:name w:val="naislab"/>
    <w:basedOn w:val="Normal"/>
    <w:rsid w:val="00C061CF"/>
    <w:pPr>
      <w:spacing w:before="75" w:after="75"/>
      <w:jc w:val="right"/>
    </w:pPr>
  </w:style>
  <w:style w:type="paragraph" w:customStyle="1" w:styleId="naiskr">
    <w:name w:val="naiskr"/>
    <w:basedOn w:val="Normal"/>
    <w:rsid w:val="00C061CF"/>
    <w:pPr>
      <w:spacing w:before="75" w:after="75"/>
    </w:pPr>
  </w:style>
  <w:style w:type="paragraph" w:customStyle="1" w:styleId="naisc">
    <w:name w:val="naisc"/>
    <w:basedOn w:val="Normal"/>
    <w:rsid w:val="00C061CF"/>
    <w:pPr>
      <w:spacing w:before="75" w:after="75"/>
      <w:jc w:val="center"/>
    </w:pPr>
  </w:style>
  <w:style w:type="paragraph" w:styleId="Header">
    <w:name w:val="header"/>
    <w:basedOn w:val="Normal"/>
    <w:link w:val="HeaderChar"/>
    <w:rsid w:val="00C061CF"/>
    <w:pPr>
      <w:tabs>
        <w:tab w:val="center" w:pos="4153"/>
        <w:tab w:val="right" w:pos="8306"/>
      </w:tabs>
    </w:pPr>
  </w:style>
  <w:style w:type="character" w:customStyle="1" w:styleId="HeaderChar">
    <w:name w:val="Header Char"/>
    <w:link w:val="Header"/>
    <w:rsid w:val="00C061CF"/>
    <w:rPr>
      <w:rFonts w:ascii="Times New Roman" w:eastAsia="Times New Roman" w:hAnsi="Times New Roman" w:cs="Times New Roman"/>
      <w:sz w:val="24"/>
      <w:szCs w:val="24"/>
      <w:lang w:eastAsia="lv-LV"/>
    </w:rPr>
  </w:style>
  <w:style w:type="character" w:styleId="PageNumber">
    <w:name w:val="page number"/>
    <w:uiPriority w:val="99"/>
    <w:rsid w:val="00C061CF"/>
    <w:rPr>
      <w:rFonts w:cs="Times New Roman"/>
    </w:rPr>
  </w:style>
  <w:style w:type="paragraph" w:styleId="Footer">
    <w:name w:val="footer"/>
    <w:basedOn w:val="Normal"/>
    <w:link w:val="FooterChar"/>
    <w:uiPriority w:val="99"/>
    <w:rsid w:val="00C061CF"/>
    <w:pPr>
      <w:tabs>
        <w:tab w:val="center" w:pos="4153"/>
        <w:tab w:val="right" w:pos="8306"/>
      </w:tabs>
    </w:pPr>
  </w:style>
  <w:style w:type="character" w:customStyle="1" w:styleId="FooterChar">
    <w:name w:val="Footer Char"/>
    <w:link w:val="Footer"/>
    <w:uiPriority w:val="99"/>
    <w:rsid w:val="00C061CF"/>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83766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B0771"/>
    <w:rPr>
      <w:rFonts w:ascii="Tahoma" w:hAnsi="Tahoma" w:cs="Tahoma"/>
      <w:sz w:val="16"/>
      <w:szCs w:val="16"/>
    </w:rPr>
  </w:style>
  <w:style w:type="character" w:customStyle="1" w:styleId="BalloonTextChar">
    <w:name w:val="Balloon Text Char"/>
    <w:link w:val="BalloonText"/>
    <w:uiPriority w:val="99"/>
    <w:semiHidden/>
    <w:rsid w:val="008B0771"/>
    <w:rPr>
      <w:rFonts w:ascii="Tahoma" w:eastAsia="Times New Roman" w:hAnsi="Tahoma" w:cs="Tahoma"/>
      <w:sz w:val="16"/>
      <w:szCs w:val="16"/>
    </w:rPr>
  </w:style>
  <w:style w:type="character" w:styleId="CommentReference">
    <w:name w:val="annotation reference"/>
    <w:uiPriority w:val="99"/>
    <w:semiHidden/>
    <w:unhideWhenUsed/>
    <w:rsid w:val="00DF39A5"/>
    <w:rPr>
      <w:sz w:val="16"/>
      <w:szCs w:val="16"/>
    </w:rPr>
  </w:style>
  <w:style w:type="paragraph" w:styleId="CommentText">
    <w:name w:val="annotation text"/>
    <w:basedOn w:val="Normal"/>
    <w:link w:val="CommentTextChar"/>
    <w:uiPriority w:val="99"/>
    <w:semiHidden/>
    <w:unhideWhenUsed/>
    <w:rsid w:val="00DF39A5"/>
    <w:rPr>
      <w:sz w:val="20"/>
      <w:szCs w:val="20"/>
    </w:rPr>
  </w:style>
  <w:style w:type="character" w:customStyle="1" w:styleId="CommentTextChar">
    <w:name w:val="Comment Text Char"/>
    <w:link w:val="CommentText"/>
    <w:uiPriority w:val="99"/>
    <w:semiHidden/>
    <w:rsid w:val="00DF39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9A5"/>
    <w:rPr>
      <w:b/>
      <w:bCs/>
    </w:rPr>
  </w:style>
  <w:style w:type="character" w:customStyle="1" w:styleId="CommentSubjectChar">
    <w:name w:val="Comment Subject Char"/>
    <w:link w:val="CommentSubject"/>
    <w:uiPriority w:val="99"/>
    <w:semiHidden/>
    <w:rsid w:val="00DF39A5"/>
    <w:rPr>
      <w:rFonts w:ascii="Times New Roman" w:eastAsia="Times New Roman" w:hAnsi="Times New Roman"/>
      <w:b/>
      <w:bCs/>
    </w:rPr>
  </w:style>
  <w:style w:type="paragraph" w:styleId="FootnoteText">
    <w:name w:val="footnote text"/>
    <w:basedOn w:val="Normal"/>
    <w:link w:val="FootnoteTextChar"/>
    <w:uiPriority w:val="99"/>
    <w:semiHidden/>
    <w:unhideWhenUsed/>
    <w:rsid w:val="00AA6053"/>
    <w:rPr>
      <w:sz w:val="20"/>
      <w:szCs w:val="20"/>
    </w:rPr>
  </w:style>
  <w:style w:type="character" w:customStyle="1" w:styleId="FootnoteTextChar">
    <w:name w:val="Footnote Text Char"/>
    <w:link w:val="FootnoteText"/>
    <w:uiPriority w:val="99"/>
    <w:semiHidden/>
    <w:rsid w:val="00AA6053"/>
    <w:rPr>
      <w:rFonts w:ascii="Times New Roman" w:eastAsia="Times New Roman" w:hAnsi="Times New Roman"/>
    </w:rPr>
  </w:style>
  <w:style w:type="character" w:styleId="FootnoteReference">
    <w:name w:val="footnote reference"/>
    <w:uiPriority w:val="99"/>
    <w:semiHidden/>
    <w:unhideWhenUsed/>
    <w:rsid w:val="00AA6053"/>
    <w:rPr>
      <w:vertAlign w:val="superscript"/>
    </w:rPr>
  </w:style>
  <w:style w:type="paragraph" w:styleId="NoSpacing">
    <w:name w:val="No Spacing"/>
    <w:uiPriority w:val="1"/>
    <w:qFormat/>
    <w:rsid w:val="003B1F0F"/>
    <w:pPr>
      <w:ind w:left="720"/>
      <w:jc w:val="both"/>
    </w:pPr>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842">
      <w:bodyDiv w:val="1"/>
      <w:marLeft w:val="0"/>
      <w:marRight w:val="0"/>
      <w:marTop w:val="0"/>
      <w:marBottom w:val="0"/>
      <w:divBdr>
        <w:top w:val="none" w:sz="0" w:space="0" w:color="auto"/>
        <w:left w:val="none" w:sz="0" w:space="0" w:color="auto"/>
        <w:bottom w:val="none" w:sz="0" w:space="0" w:color="auto"/>
        <w:right w:val="none" w:sz="0" w:space="0" w:color="auto"/>
      </w:divBdr>
    </w:div>
    <w:div w:id="464128053">
      <w:bodyDiv w:val="1"/>
      <w:marLeft w:val="0"/>
      <w:marRight w:val="0"/>
      <w:marTop w:val="0"/>
      <w:marBottom w:val="0"/>
      <w:divBdr>
        <w:top w:val="none" w:sz="0" w:space="0" w:color="auto"/>
        <w:left w:val="none" w:sz="0" w:space="0" w:color="auto"/>
        <w:bottom w:val="none" w:sz="0" w:space="0" w:color="auto"/>
        <w:right w:val="none" w:sz="0" w:space="0" w:color="auto"/>
      </w:divBdr>
    </w:div>
    <w:div w:id="475412023">
      <w:bodyDiv w:val="1"/>
      <w:marLeft w:val="0"/>
      <w:marRight w:val="0"/>
      <w:marTop w:val="0"/>
      <w:marBottom w:val="0"/>
      <w:divBdr>
        <w:top w:val="none" w:sz="0" w:space="0" w:color="auto"/>
        <w:left w:val="none" w:sz="0" w:space="0" w:color="auto"/>
        <w:bottom w:val="none" w:sz="0" w:space="0" w:color="auto"/>
        <w:right w:val="none" w:sz="0" w:space="0" w:color="auto"/>
      </w:divBdr>
    </w:div>
    <w:div w:id="588345022">
      <w:bodyDiv w:val="1"/>
      <w:marLeft w:val="0"/>
      <w:marRight w:val="0"/>
      <w:marTop w:val="0"/>
      <w:marBottom w:val="0"/>
      <w:divBdr>
        <w:top w:val="none" w:sz="0" w:space="0" w:color="auto"/>
        <w:left w:val="none" w:sz="0" w:space="0" w:color="auto"/>
        <w:bottom w:val="none" w:sz="0" w:space="0" w:color="auto"/>
        <w:right w:val="none" w:sz="0" w:space="0" w:color="auto"/>
      </w:divBdr>
    </w:div>
    <w:div w:id="652176789">
      <w:bodyDiv w:val="1"/>
      <w:marLeft w:val="0"/>
      <w:marRight w:val="0"/>
      <w:marTop w:val="0"/>
      <w:marBottom w:val="0"/>
      <w:divBdr>
        <w:top w:val="none" w:sz="0" w:space="0" w:color="auto"/>
        <w:left w:val="none" w:sz="0" w:space="0" w:color="auto"/>
        <w:bottom w:val="none" w:sz="0" w:space="0" w:color="auto"/>
        <w:right w:val="none" w:sz="0" w:space="0" w:color="auto"/>
      </w:divBdr>
    </w:div>
    <w:div w:id="791286922">
      <w:bodyDiv w:val="1"/>
      <w:marLeft w:val="0"/>
      <w:marRight w:val="0"/>
      <w:marTop w:val="0"/>
      <w:marBottom w:val="0"/>
      <w:divBdr>
        <w:top w:val="none" w:sz="0" w:space="0" w:color="auto"/>
        <w:left w:val="none" w:sz="0" w:space="0" w:color="auto"/>
        <w:bottom w:val="none" w:sz="0" w:space="0" w:color="auto"/>
        <w:right w:val="none" w:sz="0" w:space="0" w:color="auto"/>
      </w:divBdr>
    </w:div>
    <w:div w:id="838886809">
      <w:bodyDiv w:val="1"/>
      <w:marLeft w:val="0"/>
      <w:marRight w:val="0"/>
      <w:marTop w:val="0"/>
      <w:marBottom w:val="0"/>
      <w:divBdr>
        <w:top w:val="none" w:sz="0" w:space="0" w:color="auto"/>
        <w:left w:val="none" w:sz="0" w:space="0" w:color="auto"/>
        <w:bottom w:val="none" w:sz="0" w:space="0" w:color="auto"/>
        <w:right w:val="none" w:sz="0" w:space="0" w:color="auto"/>
      </w:divBdr>
    </w:div>
    <w:div w:id="913901535">
      <w:bodyDiv w:val="1"/>
      <w:marLeft w:val="0"/>
      <w:marRight w:val="0"/>
      <w:marTop w:val="0"/>
      <w:marBottom w:val="0"/>
      <w:divBdr>
        <w:top w:val="none" w:sz="0" w:space="0" w:color="auto"/>
        <w:left w:val="none" w:sz="0" w:space="0" w:color="auto"/>
        <w:bottom w:val="none" w:sz="0" w:space="0" w:color="auto"/>
        <w:right w:val="none" w:sz="0" w:space="0" w:color="auto"/>
      </w:divBdr>
    </w:div>
    <w:div w:id="1112019319">
      <w:bodyDiv w:val="1"/>
      <w:marLeft w:val="0"/>
      <w:marRight w:val="0"/>
      <w:marTop w:val="0"/>
      <w:marBottom w:val="0"/>
      <w:divBdr>
        <w:top w:val="none" w:sz="0" w:space="0" w:color="auto"/>
        <w:left w:val="none" w:sz="0" w:space="0" w:color="auto"/>
        <w:bottom w:val="none" w:sz="0" w:space="0" w:color="auto"/>
        <w:right w:val="none" w:sz="0" w:space="0" w:color="auto"/>
      </w:divBdr>
    </w:div>
    <w:div w:id="1132939673">
      <w:bodyDiv w:val="1"/>
      <w:marLeft w:val="0"/>
      <w:marRight w:val="0"/>
      <w:marTop w:val="0"/>
      <w:marBottom w:val="0"/>
      <w:divBdr>
        <w:top w:val="none" w:sz="0" w:space="0" w:color="auto"/>
        <w:left w:val="none" w:sz="0" w:space="0" w:color="auto"/>
        <w:bottom w:val="none" w:sz="0" w:space="0" w:color="auto"/>
        <w:right w:val="none" w:sz="0" w:space="0" w:color="auto"/>
      </w:divBdr>
    </w:div>
    <w:div w:id="1360741926">
      <w:bodyDiv w:val="1"/>
      <w:marLeft w:val="0"/>
      <w:marRight w:val="0"/>
      <w:marTop w:val="0"/>
      <w:marBottom w:val="0"/>
      <w:divBdr>
        <w:top w:val="none" w:sz="0" w:space="0" w:color="auto"/>
        <w:left w:val="none" w:sz="0" w:space="0" w:color="auto"/>
        <w:bottom w:val="none" w:sz="0" w:space="0" w:color="auto"/>
        <w:right w:val="none" w:sz="0" w:space="0" w:color="auto"/>
      </w:divBdr>
    </w:div>
    <w:div w:id="1389962623">
      <w:bodyDiv w:val="1"/>
      <w:marLeft w:val="0"/>
      <w:marRight w:val="0"/>
      <w:marTop w:val="0"/>
      <w:marBottom w:val="0"/>
      <w:divBdr>
        <w:top w:val="none" w:sz="0" w:space="0" w:color="auto"/>
        <w:left w:val="none" w:sz="0" w:space="0" w:color="auto"/>
        <w:bottom w:val="none" w:sz="0" w:space="0" w:color="auto"/>
        <w:right w:val="none" w:sz="0" w:space="0" w:color="auto"/>
      </w:divBdr>
    </w:div>
    <w:div w:id="1406609523">
      <w:bodyDiv w:val="1"/>
      <w:marLeft w:val="0"/>
      <w:marRight w:val="0"/>
      <w:marTop w:val="0"/>
      <w:marBottom w:val="0"/>
      <w:divBdr>
        <w:top w:val="none" w:sz="0" w:space="0" w:color="auto"/>
        <w:left w:val="none" w:sz="0" w:space="0" w:color="auto"/>
        <w:bottom w:val="none" w:sz="0" w:space="0" w:color="auto"/>
        <w:right w:val="none" w:sz="0" w:space="0" w:color="auto"/>
      </w:divBdr>
    </w:div>
    <w:div w:id="1442186816">
      <w:bodyDiv w:val="1"/>
      <w:marLeft w:val="0"/>
      <w:marRight w:val="0"/>
      <w:marTop w:val="0"/>
      <w:marBottom w:val="0"/>
      <w:divBdr>
        <w:top w:val="none" w:sz="0" w:space="0" w:color="auto"/>
        <w:left w:val="none" w:sz="0" w:space="0" w:color="auto"/>
        <w:bottom w:val="none" w:sz="0" w:space="0" w:color="auto"/>
        <w:right w:val="none" w:sz="0" w:space="0" w:color="auto"/>
      </w:divBdr>
    </w:div>
    <w:div w:id="1443114619">
      <w:bodyDiv w:val="1"/>
      <w:marLeft w:val="0"/>
      <w:marRight w:val="0"/>
      <w:marTop w:val="0"/>
      <w:marBottom w:val="0"/>
      <w:divBdr>
        <w:top w:val="none" w:sz="0" w:space="0" w:color="auto"/>
        <w:left w:val="none" w:sz="0" w:space="0" w:color="auto"/>
        <w:bottom w:val="none" w:sz="0" w:space="0" w:color="auto"/>
        <w:right w:val="none" w:sz="0" w:space="0" w:color="auto"/>
      </w:divBdr>
    </w:div>
    <w:div w:id="1472672539">
      <w:bodyDiv w:val="1"/>
      <w:marLeft w:val="0"/>
      <w:marRight w:val="0"/>
      <w:marTop w:val="0"/>
      <w:marBottom w:val="0"/>
      <w:divBdr>
        <w:top w:val="none" w:sz="0" w:space="0" w:color="auto"/>
        <w:left w:val="none" w:sz="0" w:space="0" w:color="auto"/>
        <w:bottom w:val="none" w:sz="0" w:space="0" w:color="auto"/>
        <w:right w:val="none" w:sz="0" w:space="0" w:color="auto"/>
      </w:divBdr>
    </w:div>
    <w:div w:id="1537815677">
      <w:bodyDiv w:val="1"/>
      <w:marLeft w:val="0"/>
      <w:marRight w:val="0"/>
      <w:marTop w:val="0"/>
      <w:marBottom w:val="0"/>
      <w:divBdr>
        <w:top w:val="none" w:sz="0" w:space="0" w:color="auto"/>
        <w:left w:val="none" w:sz="0" w:space="0" w:color="auto"/>
        <w:bottom w:val="none" w:sz="0" w:space="0" w:color="auto"/>
        <w:right w:val="none" w:sz="0" w:space="0" w:color="auto"/>
      </w:divBdr>
    </w:div>
    <w:div w:id="1628122612">
      <w:bodyDiv w:val="1"/>
      <w:marLeft w:val="0"/>
      <w:marRight w:val="0"/>
      <w:marTop w:val="0"/>
      <w:marBottom w:val="0"/>
      <w:divBdr>
        <w:top w:val="none" w:sz="0" w:space="0" w:color="auto"/>
        <w:left w:val="none" w:sz="0" w:space="0" w:color="auto"/>
        <w:bottom w:val="none" w:sz="0" w:space="0" w:color="auto"/>
        <w:right w:val="none" w:sz="0" w:space="0" w:color="auto"/>
      </w:divBdr>
    </w:div>
    <w:div w:id="1674532151">
      <w:bodyDiv w:val="1"/>
      <w:marLeft w:val="0"/>
      <w:marRight w:val="0"/>
      <w:marTop w:val="0"/>
      <w:marBottom w:val="0"/>
      <w:divBdr>
        <w:top w:val="none" w:sz="0" w:space="0" w:color="auto"/>
        <w:left w:val="none" w:sz="0" w:space="0" w:color="auto"/>
        <w:bottom w:val="none" w:sz="0" w:space="0" w:color="auto"/>
        <w:right w:val="none" w:sz="0" w:space="0" w:color="auto"/>
      </w:divBdr>
    </w:div>
    <w:div w:id="1724257003">
      <w:bodyDiv w:val="1"/>
      <w:marLeft w:val="0"/>
      <w:marRight w:val="0"/>
      <w:marTop w:val="0"/>
      <w:marBottom w:val="0"/>
      <w:divBdr>
        <w:top w:val="none" w:sz="0" w:space="0" w:color="auto"/>
        <w:left w:val="none" w:sz="0" w:space="0" w:color="auto"/>
        <w:bottom w:val="none" w:sz="0" w:space="0" w:color="auto"/>
        <w:right w:val="none" w:sz="0" w:space="0" w:color="auto"/>
      </w:divBdr>
    </w:div>
    <w:div w:id="1776630733">
      <w:bodyDiv w:val="1"/>
      <w:marLeft w:val="0"/>
      <w:marRight w:val="0"/>
      <w:marTop w:val="0"/>
      <w:marBottom w:val="0"/>
      <w:divBdr>
        <w:top w:val="none" w:sz="0" w:space="0" w:color="auto"/>
        <w:left w:val="none" w:sz="0" w:space="0" w:color="auto"/>
        <w:bottom w:val="none" w:sz="0" w:space="0" w:color="auto"/>
        <w:right w:val="none" w:sz="0" w:space="0" w:color="auto"/>
      </w:divBdr>
    </w:div>
    <w:div w:id="20122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C392-6DAD-4BE0-8915-A53B5845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2663</Words>
  <Characters>1519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24.februāra noteikumos Nr. 106 “Noteikumi par speciālo ekonomisko zonu un brīvostu kapitālsabiedrību un pašvaldību pārskatu veidlapu paraugiem un to aizpildīšanas un iesniegša</vt:lpstr>
      <vt:lpstr>Par Ministru kabineta noteikumu projektu “Noteikumi par līzinga, kredīta un ar to saistīto procentu maksājumu deklarāciju”</vt:lpstr>
    </vt:vector>
  </TitlesOfParts>
  <Company>Valsts ieņēmumu dienests/Finanšu ministrija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24.februāra noteikumos Nr. 106 “Noteikumi par speciālo ekonomisko zonu un brīvostu kapitālsabiedrību un pašvaldību pārskatu veidlapu paraugiem un to aizpildīšanas un iesniegšanas kārtību”</dc:title>
  <dc:subject>Izziņa</dc:subject>
  <dc:creator>Diana.Kudravecs@vid.gov.lv</dc:creator>
  <cp:keywords>Izziņa</cp:keywords>
  <dc:description>67122042, diana.kudravecs@vid.gov.lv</dc:description>
  <cp:lastModifiedBy>Diāna Kudravecs</cp:lastModifiedBy>
  <cp:revision>6</cp:revision>
  <cp:lastPrinted>2017-12-20T05:35:00Z</cp:lastPrinted>
  <dcterms:created xsi:type="dcterms:W3CDTF">2019-03-04T06:50:00Z</dcterms:created>
  <dcterms:modified xsi:type="dcterms:W3CDTF">2019-03-04T06:51:00Z</dcterms:modified>
</cp:coreProperties>
</file>