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6F3" w:rsidRDefault="006F46F3" w:rsidP="00CD1E32">
      <w:pPr>
        <w:pStyle w:val="Heading2"/>
        <w:spacing w:before="0" w:after="0"/>
        <w:ind w:right="-108"/>
        <w:jc w:val="center"/>
        <w:rPr>
          <w:rFonts w:ascii="Times New Roman" w:hAnsi="Times New Roman"/>
          <w:b w:val="0"/>
          <w:bCs w:val="0"/>
          <w:i w:val="0"/>
          <w:sz w:val="26"/>
          <w:szCs w:val="26"/>
          <w:lang w:eastAsia="lv-LV"/>
        </w:rPr>
      </w:pPr>
      <w:bookmarkStart w:id="0" w:name="_GoBack"/>
      <w:bookmarkEnd w:id="0"/>
    </w:p>
    <w:p w:rsidR="00CD1E32" w:rsidRDefault="00CD1E32" w:rsidP="00CD1E32">
      <w:pPr>
        <w:pStyle w:val="Heading2"/>
        <w:spacing w:before="0" w:after="0"/>
        <w:ind w:right="-108"/>
        <w:jc w:val="center"/>
        <w:rPr>
          <w:rFonts w:ascii="Times New Roman" w:hAnsi="Times New Roman"/>
          <w:bCs w:val="0"/>
          <w:i w:val="0"/>
          <w:sz w:val="26"/>
          <w:szCs w:val="26"/>
          <w:lang w:eastAsia="lv-LV"/>
        </w:rPr>
      </w:pPr>
      <w:r>
        <w:rPr>
          <w:rFonts w:ascii="Times New Roman" w:hAnsi="Times New Roman"/>
          <w:b w:val="0"/>
          <w:bCs w:val="0"/>
          <w:i w:val="0"/>
          <w:sz w:val="26"/>
          <w:szCs w:val="26"/>
          <w:lang w:eastAsia="lv-LV"/>
        </w:rPr>
        <w:t>Ministru kabineta noteikumu projekta</w:t>
      </w:r>
      <w:r>
        <w:rPr>
          <w:rFonts w:ascii="Times New Roman" w:hAnsi="Times New Roman"/>
          <w:bCs w:val="0"/>
          <w:i w:val="0"/>
          <w:sz w:val="26"/>
          <w:szCs w:val="26"/>
          <w:lang w:eastAsia="lv-LV"/>
        </w:rPr>
        <w:t xml:space="preserve"> </w:t>
      </w:r>
    </w:p>
    <w:p w:rsidR="00CD1E32" w:rsidRDefault="0053494C" w:rsidP="00CD1E32">
      <w:pPr>
        <w:pStyle w:val="Heading3"/>
        <w:rPr>
          <w:sz w:val="26"/>
          <w:szCs w:val="26"/>
        </w:rPr>
      </w:pPr>
      <w:r w:rsidRPr="0053494C">
        <w:rPr>
          <w:b/>
          <w:sz w:val="26"/>
          <w:szCs w:val="26"/>
        </w:rPr>
        <w:t>“</w:t>
      </w:r>
      <w:r w:rsidR="00CD1E32">
        <w:rPr>
          <w:b/>
          <w:sz w:val="26"/>
          <w:szCs w:val="26"/>
        </w:rPr>
        <w:t>Noteikumi par pašvaldību finanšu izlīdzināšanas fonda ieņēmumiem</w:t>
      </w:r>
    </w:p>
    <w:p w:rsidR="00CD1E32" w:rsidRDefault="00CD1E32" w:rsidP="00CD1E32">
      <w:pPr>
        <w:jc w:val="center"/>
        <w:rPr>
          <w:b/>
          <w:sz w:val="26"/>
          <w:szCs w:val="26"/>
        </w:rPr>
      </w:pPr>
      <w:r>
        <w:rPr>
          <w:b/>
          <w:sz w:val="26"/>
          <w:szCs w:val="26"/>
        </w:rPr>
        <w:t>un to sadales kārtību 201</w:t>
      </w:r>
      <w:r w:rsidR="0053494C">
        <w:rPr>
          <w:b/>
          <w:sz w:val="26"/>
          <w:szCs w:val="26"/>
        </w:rPr>
        <w:t>9</w:t>
      </w:r>
      <w:r>
        <w:rPr>
          <w:b/>
          <w:sz w:val="26"/>
          <w:szCs w:val="26"/>
        </w:rPr>
        <w:t>. gadā”</w:t>
      </w:r>
    </w:p>
    <w:p w:rsidR="00CD1E32" w:rsidRDefault="00CD1E32" w:rsidP="00CD1E32">
      <w:pPr>
        <w:jc w:val="center"/>
        <w:rPr>
          <w:i/>
          <w:sz w:val="26"/>
          <w:szCs w:val="26"/>
        </w:rPr>
      </w:pPr>
      <w:r>
        <w:rPr>
          <w:sz w:val="26"/>
          <w:szCs w:val="26"/>
        </w:rPr>
        <w:t>sākotnējās ietekmes novērtējuma ziņojums (anotācija</w:t>
      </w:r>
      <w:r w:rsidRPr="00A02681">
        <w:rPr>
          <w:sz w:val="26"/>
          <w:szCs w:val="26"/>
        </w:rPr>
        <w:t>)</w:t>
      </w:r>
    </w:p>
    <w:p w:rsidR="00CD1E32" w:rsidRDefault="00CD1E32" w:rsidP="00CD1E32">
      <w:pPr>
        <w:jc w:val="center"/>
        <w:rPr>
          <w:bCs/>
          <w:sz w:val="26"/>
          <w:szCs w:val="26"/>
        </w:rPr>
      </w:pPr>
    </w:p>
    <w:tbl>
      <w:tblPr>
        <w:tblStyle w:val="TableGrid"/>
        <w:tblW w:w="9351" w:type="dxa"/>
        <w:tblLook w:val="04A0" w:firstRow="1" w:lastRow="0" w:firstColumn="1" w:lastColumn="0" w:noHBand="0" w:noVBand="1"/>
      </w:tblPr>
      <w:tblGrid>
        <w:gridCol w:w="2689"/>
        <w:gridCol w:w="6662"/>
      </w:tblGrid>
      <w:tr w:rsidR="0060592C" w:rsidRPr="00594D5A" w:rsidTr="006F7AD6">
        <w:tc>
          <w:tcPr>
            <w:tcW w:w="9351" w:type="dxa"/>
            <w:gridSpan w:val="2"/>
            <w:vAlign w:val="center"/>
          </w:tcPr>
          <w:p w:rsidR="0060592C" w:rsidRPr="0060592C" w:rsidRDefault="0060592C" w:rsidP="006F7AD6">
            <w:pPr>
              <w:ind w:right="85"/>
              <w:jc w:val="center"/>
              <w:rPr>
                <w:rFonts w:ascii="Times New Roman" w:hAnsi="Times New Roman"/>
                <w:b/>
                <w:bCs/>
                <w:iCs/>
                <w:sz w:val="24"/>
              </w:rPr>
            </w:pPr>
            <w:r w:rsidRPr="0060592C">
              <w:rPr>
                <w:rFonts w:ascii="Times New Roman" w:hAnsi="Times New Roman"/>
                <w:b/>
                <w:bCs/>
                <w:iCs/>
                <w:sz w:val="24"/>
              </w:rPr>
              <w:t>Tiesību akta projekta anotācijas kopsavilkums</w:t>
            </w:r>
          </w:p>
        </w:tc>
      </w:tr>
      <w:tr w:rsidR="0060592C" w:rsidRPr="00594D5A" w:rsidTr="0060592C">
        <w:tc>
          <w:tcPr>
            <w:tcW w:w="2689" w:type="dxa"/>
          </w:tcPr>
          <w:p w:rsidR="0060592C" w:rsidRPr="0060592C" w:rsidRDefault="0060592C" w:rsidP="006F7AD6">
            <w:pPr>
              <w:rPr>
                <w:rFonts w:ascii="Times New Roman" w:hAnsi="Times New Roman"/>
                <w:iCs/>
                <w:sz w:val="24"/>
              </w:rPr>
            </w:pPr>
            <w:r w:rsidRPr="0060592C">
              <w:rPr>
                <w:rFonts w:ascii="Times New Roman" w:hAnsi="Times New Roman"/>
                <w:iCs/>
                <w:sz w:val="24"/>
              </w:rPr>
              <w:t>Mērķis, risinājums un projekta spēkā stāšanās laiks</w:t>
            </w:r>
          </w:p>
        </w:tc>
        <w:tc>
          <w:tcPr>
            <w:tcW w:w="6662" w:type="dxa"/>
          </w:tcPr>
          <w:p w:rsidR="0060592C" w:rsidRPr="0060592C" w:rsidRDefault="0060592C" w:rsidP="006F7AD6">
            <w:pPr>
              <w:jc w:val="both"/>
              <w:rPr>
                <w:rFonts w:ascii="Times New Roman" w:hAnsi="Times New Roman"/>
                <w:sz w:val="24"/>
                <w:lang w:eastAsia="en-US"/>
              </w:rPr>
            </w:pPr>
            <w:r w:rsidRPr="0060592C">
              <w:rPr>
                <w:rFonts w:ascii="Times New Roman" w:hAnsi="Times New Roman"/>
                <w:sz w:val="24"/>
              </w:rPr>
              <w:t>Netiek aizpildīts saskaņā ar Ministru kabineta 2009.gada 15.decembra instrukcijas Nr.19 “Tiesību akta projekta sākotnējās ietekmes izvērtēšanas kārtība” 5.</w:t>
            </w:r>
            <w:r w:rsidRPr="0060592C">
              <w:rPr>
                <w:rFonts w:ascii="Times New Roman" w:hAnsi="Times New Roman"/>
                <w:sz w:val="24"/>
                <w:vertAlign w:val="superscript"/>
              </w:rPr>
              <w:t>1</w:t>
            </w:r>
            <w:r w:rsidRPr="0060592C">
              <w:rPr>
                <w:rFonts w:ascii="Times New Roman" w:hAnsi="Times New Roman"/>
                <w:sz w:val="24"/>
              </w:rPr>
              <w:t> punktu.</w:t>
            </w:r>
          </w:p>
        </w:tc>
      </w:tr>
    </w:tbl>
    <w:p w:rsidR="0060592C" w:rsidRDefault="0060592C" w:rsidP="00CD1E32">
      <w:pPr>
        <w:jc w:val="center"/>
        <w:rPr>
          <w:bCs/>
          <w:sz w:val="26"/>
          <w:szCs w:val="26"/>
        </w:rPr>
      </w:pPr>
    </w:p>
    <w:tbl>
      <w:tblPr>
        <w:tblW w:w="514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39"/>
        <w:gridCol w:w="2191"/>
        <w:gridCol w:w="6724"/>
      </w:tblGrid>
      <w:tr w:rsidR="00CD1E32" w:rsidTr="00CD1E32">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CD1E32" w:rsidRDefault="00CD1E32">
            <w:pPr>
              <w:pStyle w:val="NormalWeb"/>
              <w:spacing w:before="0" w:beforeAutospacing="0" w:after="0" w:afterAutospacing="0"/>
              <w:jc w:val="center"/>
              <w:rPr>
                <w:b/>
                <w:bCs/>
                <w:sz w:val="26"/>
                <w:szCs w:val="26"/>
              </w:rPr>
            </w:pPr>
            <w:r>
              <w:rPr>
                <w:b/>
                <w:bCs/>
                <w:sz w:val="26"/>
                <w:szCs w:val="26"/>
              </w:rPr>
              <w:t>I. Tiesību akta projekta izstrādes nepieciešamība</w:t>
            </w:r>
          </w:p>
        </w:tc>
      </w:tr>
      <w:tr w:rsidR="00CD1E32" w:rsidTr="00FD6B6F">
        <w:tc>
          <w:tcPr>
            <w:tcW w:w="235" w:type="pct"/>
            <w:tcBorders>
              <w:top w:val="outset" w:sz="6" w:space="0" w:color="000000"/>
              <w:left w:val="outset" w:sz="6" w:space="0" w:color="000000"/>
              <w:bottom w:val="outset" w:sz="6" w:space="0" w:color="000000"/>
              <w:right w:val="outset" w:sz="6" w:space="0" w:color="000000"/>
            </w:tcBorders>
            <w:hideMark/>
          </w:tcPr>
          <w:p w:rsidR="00CD1E32" w:rsidRDefault="00CD1E32">
            <w:pPr>
              <w:pStyle w:val="NormalWeb"/>
              <w:spacing w:before="0" w:beforeAutospacing="0" w:after="0" w:afterAutospacing="0"/>
              <w:rPr>
                <w:sz w:val="26"/>
                <w:szCs w:val="26"/>
              </w:rPr>
            </w:pPr>
            <w:r>
              <w:rPr>
                <w:sz w:val="26"/>
                <w:szCs w:val="26"/>
              </w:rPr>
              <w:t>1.</w:t>
            </w:r>
          </w:p>
        </w:tc>
        <w:tc>
          <w:tcPr>
            <w:tcW w:w="1171" w:type="pct"/>
            <w:tcBorders>
              <w:top w:val="outset" w:sz="6" w:space="0" w:color="000000"/>
              <w:left w:val="outset" w:sz="6" w:space="0" w:color="000000"/>
              <w:bottom w:val="outset" w:sz="6" w:space="0" w:color="000000"/>
              <w:right w:val="outset" w:sz="6" w:space="0" w:color="000000"/>
            </w:tcBorders>
            <w:hideMark/>
          </w:tcPr>
          <w:p w:rsidR="00CD1E32" w:rsidRDefault="00CD1E32">
            <w:pPr>
              <w:pStyle w:val="NormalWeb"/>
              <w:spacing w:before="0" w:beforeAutospacing="0" w:after="0" w:afterAutospacing="0"/>
              <w:rPr>
                <w:sz w:val="26"/>
                <w:szCs w:val="26"/>
              </w:rPr>
            </w:pPr>
            <w:r>
              <w:rPr>
                <w:sz w:val="26"/>
                <w:szCs w:val="26"/>
              </w:rPr>
              <w:t>Pamatojums</w:t>
            </w:r>
          </w:p>
        </w:tc>
        <w:tc>
          <w:tcPr>
            <w:tcW w:w="3594" w:type="pct"/>
            <w:tcBorders>
              <w:top w:val="outset" w:sz="6" w:space="0" w:color="000000"/>
              <w:left w:val="outset" w:sz="6" w:space="0" w:color="000000"/>
              <w:bottom w:val="outset" w:sz="6" w:space="0" w:color="000000"/>
              <w:right w:val="outset" w:sz="6" w:space="0" w:color="000000"/>
            </w:tcBorders>
            <w:hideMark/>
          </w:tcPr>
          <w:p w:rsidR="00CD1E32" w:rsidRDefault="00CD1E32">
            <w:pPr>
              <w:pStyle w:val="NormalWeb"/>
              <w:spacing w:before="0" w:beforeAutospacing="0" w:after="0" w:afterAutospacing="0"/>
              <w:ind w:left="53" w:right="142"/>
              <w:jc w:val="both"/>
              <w:rPr>
                <w:sz w:val="26"/>
                <w:szCs w:val="26"/>
              </w:rPr>
            </w:pPr>
            <w:r>
              <w:rPr>
                <w:sz w:val="26"/>
                <w:szCs w:val="26"/>
              </w:rPr>
              <w:t>Minist</w:t>
            </w:r>
            <w:r w:rsidR="006018AC">
              <w:rPr>
                <w:sz w:val="26"/>
                <w:szCs w:val="26"/>
              </w:rPr>
              <w:t>ru kabineta noteikumu projekts “</w:t>
            </w:r>
            <w:r>
              <w:rPr>
                <w:sz w:val="26"/>
                <w:szCs w:val="26"/>
              </w:rPr>
              <w:t>Noteikumi par pašvaldību finanšu izlīdzināšanas fonda ieņēmumiem un to sadales kārtību 201</w:t>
            </w:r>
            <w:r w:rsidR="004D7273">
              <w:rPr>
                <w:sz w:val="26"/>
                <w:szCs w:val="26"/>
              </w:rPr>
              <w:t>9</w:t>
            </w:r>
            <w:r>
              <w:rPr>
                <w:sz w:val="26"/>
                <w:szCs w:val="26"/>
              </w:rPr>
              <w:t>.gadā” (turpmāk – noteikumu projekts) izstrādāts, pamatojoties uz:</w:t>
            </w:r>
          </w:p>
          <w:p w:rsidR="00CD1E32" w:rsidRDefault="00CD1E32" w:rsidP="00E427B1">
            <w:pPr>
              <w:pStyle w:val="NormalWeb"/>
              <w:numPr>
                <w:ilvl w:val="0"/>
                <w:numId w:val="1"/>
              </w:numPr>
              <w:spacing w:before="0" w:beforeAutospacing="0" w:after="0" w:afterAutospacing="0"/>
              <w:ind w:right="142"/>
              <w:jc w:val="both"/>
              <w:rPr>
                <w:sz w:val="26"/>
                <w:szCs w:val="26"/>
              </w:rPr>
            </w:pPr>
            <w:r>
              <w:rPr>
                <w:sz w:val="26"/>
                <w:szCs w:val="26"/>
              </w:rPr>
              <w:t>Pašvaldību finanšu izlīdzināšanas likuma 9.panta otro daļu, kas nosaka to, ka  Ministru kabinets divu nedēļu laikā pēc gadskārtējā valsts budžeta likuma izsludināšanas izdod noteikumus par pašvaldību finanšu izlīdzināšanas fonda (turpmāk –  izlīdzināšanas fonds) ieņēmumiem un to sadales kārtību attiecīgajā budžeta gadā;</w:t>
            </w:r>
          </w:p>
          <w:p w:rsidR="00CD1E32" w:rsidRDefault="00CD1E32" w:rsidP="006F46F3">
            <w:pPr>
              <w:pStyle w:val="NormalWeb"/>
              <w:numPr>
                <w:ilvl w:val="0"/>
                <w:numId w:val="1"/>
              </w:numPr>
              <w:spacing w:before="0" w:beforeAutospacing="0" w:after="0" w:afterAutospacing="0"/>
              <w:ind w:right="142"/>
              <w:jc w:val="both"/>
              <w:rPr>
                <w:sz w:val="26"/>
                <w:szCs w:val="26"/>
              </w:rPr>
            </w:pPr>
            <w:r w:rsidRPr="006F46F3">
              <w:rPr>
                <w:sz w:val="26"/>
                <w:szCs w:val="26"/>
              </w:rPr>
              <w:t>Likuma “Par valsts budžetu 201</w:t>
            </w:r>
            <w:r w:rsidR="004D7273" w:rsidRPr="006F46F3">
              <w:rPr>
                <w:sz w:val="26"/>
                <w:szCs w:val="26"/>
              </w:rPr>
              <w:t>9</w:t>
            </w:r>
            <w:r w:rsidRPr="006F46F3">
              <w:rPr>
                <w:sz w:val="26"/>
                <w:szCs w:val="26"/>
              </w:rPr>
              <w:t>.gadam” 4.panta 2.punkt</w:t>
            </w:r>
            <w:r w:rsidR="006F46F3" w:rsidRPr="006F46F3">
              <w:rPr>
                <w:sz w:val="26"/>
                <w:szCs w:val="26"/>
              </w:rPr>
              <w:t>a b) apakšpunkt</w:t>
            </w:r>
            <w:r w:rsidRPr="006F46F3">
              <w:rPr>
                <w:sz w:val="26"/>
                <w:szCs w:val="26"/>
              </w:rPr>
              <w:t>u, kurā noteikts, ka Ministru kabinets nosaka kārtību, kādā pašvaldībām piešķir speciālo dotāciju.</w:t>
            </w:r>
          </w:p>
        </w:tc>
      </w:tr>
      <w:tr w:rsidR="00CD1E32" w:rsidTr="00FD6B6F">
        <w:tc>
          <w:tcPr>
            <w:tcW w:w="235" w:type="pct"/>
            <w:tcBorders>
              <w:top w:val="outset" w:sz="6" w:space="0" w:color="000000"/>
              <w:left w:val="outset" w:sz="6" w:space="0" w:color="000000"/>
              <w:bottom w:val="single" w:sz="4" w:space="0" w:color="auto"/>
              <w:right w:val="outset" w:sz="6" w:space="0" w:color="000000"/>
            </w:tcBorders>
            <w:hideMark/>
          </w:tcPr>
          <w:p w:rsidR="00CD1E32" w:rsidRDefault="00CD1E32">
            <w:pPr>
              <w:pStyle w:val="NormalWeb"/>
              <w:spacing w:before="0" w:beforeAutospacing="0" w:after="0" w:afterAutospacing="0"/>
              <w:rPr>
                <w:sz w:val="26"/>
                <w:szCs w:val="26"/>
              </w:rPr>
            </w:pPr>
            <w:r>
              <w:rPr>
                <w:sz w:val="26"/>
                <w:szCs w:val="26"/>
              </w:rPr>
              <w:t>2.</w:t>
            </w:r>
          </w:p>
        </w:tc>
        <w:tc>
          <w:tcPr>
            <w:tcW w:w="1171" w:type="pct"/>
            <w:tcBorders>
              <w:top w:val="outset" w:sz="6" w:space="0" w:color="000000"/>
              <w:left w:val="outset" w:sz="6" w:space="0" w:color="000000"/>
              <w:bottom w:val="single" w:sz="4" w:space="0" w:color="auto"/>
              <w:right w:val="outset" w:sz="6" w:space="0" w:color="000000"/>
            </w:tcBorders>
            <w:hideMark/>
          </w:tcPr>
          <w:p w:rsidR="00CD1E32" w:rsidRDefault="00CD1E32">
            <w:pPr>
              <w:pStyle w:val="NormalWeb"/>
              <w:spacing w:before="0" w:beforeAutospacing="0" w:after="0" w:afterAutospacing="0"/>
              <w:rPr>
                <w:sz w:val="26"/>
                <w:szCs w:val="26"/>
              </w:rPr>
            </w:pPr>
            <w:r>
              <w:rPr>
                <w:sz w:val="26"/>
                <w:szCs w:val="26"/>
              </w:rPr>
              <w:t>Pašreizējā situācija un problēmas, kuru risināšanai tiesību akta projekts izstrādāts, tiesiskā regulējuma mērķis un būtība</w:t>
            </w:r>
          </w:p>
        </w:tc>
        <w:tc>
          <w:tcPr>
            <w:tcW w:w="3594" w:type="pct"/>
            <w:tcBorders>
              <w:top w:val="outset" w:sz="6" w:space="0" w:color="000000"/>
              <w:left w:val="outset" w:sz="6" w:space="0" w:color="000000"/>
              <w:bottom w:val="single" w:sz="4" w:space="0" w:color="auto"/>
              <w:right w:val="outset" w:sz="6" w:space="0" w:color="000000"/>
            </w:tcBorders>
            <w:hideMark/>
          </w:tcPr>
          <w:p w:rsidR="00CD1E32" w:rsidRDefault="00CD1E32">
            <w:pPr>
              <w:pStyle w:val="NormalWeb"/>
              <w:spacing w:before="0" w:beforeAutospacing="0" w:after="0" w:afterAutospacing="0"/>
              <w:ind w:left="53" w:right="140"/>
              <w:jc w:val="both"/>
              <w:rPr>
                <w:sz w:val="26"/>
                <w:szCs w:val="26"/>
              </w:rPr>
            </w:pPr>
            <w:r>
              <w:rPr>
                <w:sz w:val="26"/>
                <w:szCs w:val="26"/>
              </w:rPr>
              <w:t>Pamatojoties uz Pašvaldību finanšu izlīdzināšanas likuma 9.panta otro daļu šādi noteikumi jāizstrādā katru gadu, nosakot katrai pašvaldībai aprēķināto no izlīdzināšanas fonda izmaksājamo dotāciju vai izlīdzināšanas fondā veicamās iemaksas un kārtību, kādā tiek veiktas iemaksas izlīdzināšanas fondā un izmaksāta dotācija no tā, kā arī aprēķināto izlīdzināmo vienību skaitu katrā pašvaldībā, pamatojoties uz iedzīvotāju skaitu, pašvaldības teritorijas platību kvadrātkilometros, iedzīvotāju ienākuma nodokļa un nekustamā īpašuma nodokļa prognozi.</w:t>
            </w:r>
          </w:p>
          <w:p w:rsidR="00CD1E32" w:rsidRDefault="00CD1E32">
            <w:pPr>
              <w:pStyle w:val="NormalWeb"/>
              <w:spacing w:before="0" w:beforeAutospacing="0" w:after="0" w:afterAutospacing="0"/>
              <w:ind w:left="53" w:right="140"/>
              <w:jc w:val="both"/>
              <w:rPr>
                <w:sz w:val="26"/>
                <w:szCs w:val="26"/>
              </w:rPr>
            </w:pPr>
            <w:r>
              <w:rPr>
                <w:sz w:val="26"/>
                <w:szCs w:val="26"/>
              </w:rPr>
              <w:t>Saskaņā ar 20</w:t>
            </w:r>
            <w:r w:rsidR="0064197D">
              <w:rPr>
                <w:sz w:val="26"/>
                <w:szCs w:val="26"/>
              </w:rPr>
              <w:t>19</w:t>
            </w:r>
            <w:r>
              <w:rPr>
                <w:sz w:val="26"/>
                <w:szCs w:val="26"/>
              </w:rPr>
              <w:t xml:space="preserve">.gada pašvaldību finanšu izlīdzināšanas aprēķinu pašvaldību finanšu izlīdzināšanas fonda ieņēmumi plānoti </w:t>
            </w:r>
            <w:r w:rsidR="0064197D">
              <w:rPr>
                <w:sz w:val="26"/>
                <w:szCs w:val="26"/>
              </w:rPr>
              <w:t>206,71</w:t>
            </w:r>
            <w:r>
              <w:rPr>
                <w:sz w:val="26"/>
                <w:szCs w:val="26"/>
              </w:rPr>
              <w:t xml:space="preserve"> milj</w:t>
            </w:r>
            <w:r>
              <w:rPr>
                <w:i/>
                <w:sz w:val="26"/>
                <w:szCs w:val="26"/>
              </w:rPr>
              <w:t xml:space="preserve">. </w:t>
            </w:r>
            <w:proofErr w:type="spellStart"/>
            <w:r>
              <w:rPr>
                <w:i/>
                <w:sz w:val="26"/>
                <w:szCs w:val="26"/>
              </w:rPr>
              <w:t>euro</w:t>
            </w:r>
            <w:proofErr w:type="spellEnd"/>
            <w:r>
              <w:rPr>
                <w:sz w:val="26"/>
                <w:szCs w:val="26"/>
              </w:rPr>
              <w:t xml:space="preserve">  apmērā. Tos veido valsts budžeta dotācija </w:t>
            </w:r>
            <w:r w:rsidR="0064197D">
              <w:rPr>
                <w:sz w:val="26"/>
                <w:szCs w:val="26"/>
              </w:rPr>
              <w:t>87,92</w:t>
            </w:r>
            <w:r>
              <w:rPr>
                <w:sz w:val="26"/>
                <w:szCs w:val="26"/>
              </w:rPr>
              <w:t xml:space="preserve"> milj. </w:t>
            </w:r>
            <w:proofErr w:type="spellStart"/>
            <w:r>
              <w:rPr>
                <w:i/>
                <w:sz w:val="26"/>
                <w:szCs w:val="26"/>
              </w:rPr>
              <w:t>euro</w:t>
            </w:r>
            <w:proofErr w:type="spellEnd"/>
            <w:r>
              <w:rPr>
                <w:sz w:val="26"/>
                <w:szCs w:val="26"/>
              </w:rPr>
              <w:t xml:space="preserve"> apmērā un pašvaldību iemaksas </w:t>
            </w:r>
            <w:r w:rsidR="0064197D">
              <w:rPr>
                <w:sz w:val="26"/>
                <w:szCs w:val="26"/>
              </w:rPr>
              <w:t>118,79</w:t>
            </w:r>
            <w:r>
              <w:rPr>
                <w:sz w:val="26"/>
                <w:szCs w:val="26"/>
              </w:rPr>
              <w:t xml:space="preserve"> milj. </w:t>
            </w:r>
            <w:proofErr w:type="spellStart"/>
            <w:r>
              <w:rPr>
                <w:i/>
                <w:sz w:val="26"/>
                <w:szCs w:val="26"/>
              </w:rPr>
              <w:t>euro</w:t>
            </w:r>
            <w:proofErr w:type="spellEnd"/>
            <w:r>
              <w:rPr>
                <w:sz w:val="26"/>
                <w:szCs w:val="26"/>
              </w:rPr>
              <w:t xml:space="preserve"> apmērā.</w:t>
            </w:r>
          </w:p>
          <w:p w:rsidR="00CD1E32" w:rsidRDefault="00CD1E32">
            <w:pPr>
              <w:pStyle w:val="NormalWeb"/>
              <w:spacing w:before="0" w:beforeAutospacing="0" w:after="0" w:afterAutospacing="0"/>
              <w:ind w:left="53" w:right="140"/>
              <w:jc w:val="both"/>
              <w:rPr>
                <w:sz w:val="26"/>
                <w:szCs w:val="26"/>
              </w:rPr>
            </w:pPr>
            <w:r w:rsidRPr="006F46F3">
              <w:rPr>
                <w:sz w:val="26"/>
                <w:szCs w:val="26"/>
              </w:rPr>
              <w:t>Valsts budžeta dotācija izlīdzin</w:t>
            </w:r>
            <w:r w:rsidR="006A1372" w:rsidRPr="006F46F3">
              <w:rPr>
                <w:sz w:val="26"/>
                <w:szCs w:val="26"/>
              </w:rPr>
              <w:t xml:space="preserve">āšanas fondā </w:t>
            </w:r>
            <w:r w:rsidR="006F46F3" w:rsidRPr="006F46F3">
              <w:rPr>
                <w:sz w:val="26"/>
                <w:szCs w:val="26"/>
              </w:rPr>
              <w:t xml:space="preserve">87,92 milj. </w:t>
            </w:r>
            <w:proofErr w:type="spellStart"/>
            <w:r w:rsidR="006F46F3" w:rsidRPr="006F46F3">
              <w:rPr>
                <w:i/>
                <w:sz w:val="26"/>
                <w:szCs w:val="26"/>
              </w:rPr>
              <w:t>euro</w:t>
            </w:r>
            <w:proofErr w:type="spellEnd"/>
            <w:r w:rsidR="006F46F3" w:rsidRPr="006F46F3">
              <w:rPr>
                <w:sz w:val="26"/>
                <w:szCs w:val="26"/>
              </w:rPr>
              <w:t xml:space="preserve"> apmērā </w:t>
            </w:r>
            <w:r w:rsidR="006A1372" w:rsidRPr="006F46F3">
              <w:rPr>
                <w:sz w:val="26"/>
                <w:szCs w:val="26"/>
              </w:rPr>
              <w:t>ieskaitāma likuma “Par valsts budžetu 2019.gadam”</w:t>
            </w:r>
            <w:r w:rsidRPr="006F46F3">
              <w:rPr>
                <w:sz w:val="26"/>
                <w:szCs w:val="26"/>
              </w:rPr>
              <w:t xml:space="preserve"> 4.panta 1.punktā </w:t>
            </w:r>
            <w:r w:rsidR="006F46F3" w:rsidRPr="006F46F3">
              <w:rPr>
                <w:sz w:val="26"/>
                <w:szCs w:val="26"/>
              </w:rPr>
              <w:t xml:space="preserve">un 2.punkta a) apakšpunktā </w:t>
            </w:r>
            <w:r w:rsidRPr="006F46F3">
              <w:rPr>
                <w:sz w:val="26"/>
                <w:szCs w:val="26"/>
              </w:rPr>
              <w:t>noteiktajā apmērā saskaņā ar Finanšu ministrijas apstiprinātu finansēšanas plānu.</w:t>
            </w:r>
            <w:r>
              <w:rPr>
                <w:sz w:val="26"/>
                <w:szCs w:val="26"/>
              </w:rPr>
              <w:t xml:space="preserve"> </w:t>
            </w:r>
          </w:p>
          <w:p w:rsidR="00CD1E32" w:rsidRDefault="00CD1E32">
            <w:pPr>
              <w:pStyle w:val="NormalWeb"/>
              <w:spacing w:before="0" w:beforeAutospacing="0" w:after="0" w:afterAutospacing="0"/>
              <w:ind w:left="53" w:right="140"/>
              <w:jc w:val="both"/>
              <w:rPr>
                <w:sz w:val="26"/>
                <w:szCs w:val="26"/>
              </w:rPr>
            </w:pPr>
            <w:r>
              <w:rPr>
                <w:sz w:val="26"/>
                <w:szCs w:val="26"/>
              </w:rPr>
              <w:t xml:space="preserve">Valsts kase iemaksas izlīdzināšanas fondā pārskaita atbilstoši iedzīvotāju ienākuma nodokļa sadalei, t.i., kad no iedzīvotāju </w:t>
            </w:r>
            <w:r>
              <w:rPr>
                <w:sz w:val="26"/>
                <w:szCs w:val="26"/>
              </w:rPr>
              <w:lastRenderedPageBreak/>
              <w:t xml:space="preserve">ienākuma nodokļa ieņēmumu budžeta sadales konta Valsts kase veic nodokļa sadali, attiecīgi tiek arī ieturētas iemaksas izlīdzināšanas fondā no šī konta atbilstoši nodokļa ieņēmumu izpildei šo noteikumu 1.pielikumā norādīto iemaksu procentu apmērā. Savukārt pašvaldībām dotāciju no izlīdzināšanas fonda Valsts kase izmaksā atbilstoši šo noteikumu 2.pielikumā minētajam procentuālajam sadalījumam. Saskaņā ar Pašvaldību finanšu izlīdzināšanas likuma 10.panta trešo daļu Valsts kase dotāciju no izlīdzināšanas fonda pašvaldībām izmaksā divas reizes mēnesī – ne vēlāk kā līdz attiecīgā mēneša </w:t>
            </w:r>
            <w:r w:rsidR="006A1372">
              <w:rPr>
                <w:sz w:val="26"/>
                <w:szCs w:val="26"/>
              </w:rPr>
              <w:t>15.</w:t>
            </w:r>
            <w:r>
              <w:rPr>
                <w:sz w:val="26"/>
                <w:szCs w:val="26"/>
              </w:rPr>
              <w:t xml:space="preserve"> un </w:t>
            </w:r>
            <w:r w:rsidR="006A1372">
              <w:rPr>
                <w:sz w:val="26"/>
                <w:szCs w:val="26"/>
              </w:rPr>
              <w:t>25.</w:t>
            </w:r>
            <w:r>
              <w:rPr>
                <w:sz w:val="26"/>
                <w:szCs w:val="26"/>
              </w:rPr>
              <w:t>datumam.</w:t>
            </w:r>
          </w:p>
          <w:p w:rsidR="00CD1E32" w:rsidRDefault="006A1372" w:rsidP="00761882">
            <w:pPr>
              <w:pStyle w:val="NormalWeb"/>
              <w:spacing w:before="0" w:beforeAutospacing="0" w:after="0" w:afterAutospacing="0"/>
              <w:ind w:left="53" w:right="140"/>
              <w:jc w:val="both"/>
              <w:rPr>
                <w:sz w:val="26"/>
                <w:szCs w:val="26"/>
              </w:rPr>
            </w:pPr>
            <w:r w:rsidRPr="006F46F3">
              <w:rPr>
                <w:sz w:val="26"/>
                <w:szCs w:val="26"/>
              </w:rPr>
              <w:t>Likuma “</w:t>
            </w:r>
            <w:r w:rsidR="00CD1E32" w:rsidRPr="006F46F3">
              <w:rPr>
                <w:sz w:val="26"/>
                <w:szCs w:val="26"/>
              </w:rPr>
              <w:t>Par valsts budžetu 20</w:t>
            </w:r>
            <w:r w:rsidR="00761882" w:rsidRPr="006F46F3">
              <w:rPr>
                <w:sz w:val="26"/>
                <w:szCs w:val="26"/>
              </w:rPr>
              <w:t>19</w:t>
            </w:r>
            <w:r w:rsidR="00CD1E32" w:rsidRPr="006F46F3">
              <w:rPr>
                <w:sz w:val="26"/>
                <w:szCs w:val="26"/>
              </w:rPr>
              <w:t>.gadam” 4.panta 2.punkt</w:t>
            </w:r>
            <w:r w:rsidR="006F46F3" w:rsidRPr="006F46F3">
              <w:rPr>
                <w:sz w:val="26"/>
                <w:szCs w:val="26"/>
              </w:rPr>
              <w:t>a b) apakšpunkt</w:t>
            </w:r>
            <w:r w:rsidR="00CD1E32" w:rsidRPr="006F46F3">
              <w:rPr>
                <w:sz w:val="26"/>
                <w:szCs w:val="26"/>
              </w:rPr>
              <w:t xml:space="preserve">ā noteikta speciālā dotācija pašvaldībām </w:t>
            </w:r>
            <w:r w:rsidRPr="006F46F3">
              <w:rPr>
                <w:sz w:val="26"/>
                <w:szCs w:val="26"/>
              </w:rPr>
              <w:t>34,36</w:t>
            </w:r>
            <w:r w:rsidR="0027703F">
              <w:rPr>
                <w:sz w:val="26"/>
                <w:szCs w:val="26"/>
              </w:rPr>
              <w:t> </w:t>
            </w:r>
            <w:r w:rsidR="00CD1E32" w:rsidRPr="006F46F3">
              <w:rPr>
                <w:sz w:val="26"/>
                <w:szCs w:val="26"/>
              </w:rPr>
              <w:t xml:space="preserve">milj. </w:t>
            </w:r>
            <w:proofErr w:type="spellStart"/>
            <w:r w:rsidR="00CD1E32" w:rsidRPr="006F46F3">
              <w:rPr>
                <w:i/>
                <w:sz w:val="26"/>
                <w:szCs w:val="26"/>
              </w:rPr>
              <w:t>euro</w:t>
            </w:r>
            <w:proofErr w:type="spellEnd"/>
            <w:r w:rsidR="00CD1E32" w:rsidRPr="006F46F3">
              <w:rPr>
                <w:sz w:val="26"/>
                <w:szCs w:val="26"/>
              </w:rPr>
              <w:t xml:space="preserve"> apmērā,</w:t>
            </w:r>
            <w:r w:rsidR="00CD1E32">
              <w:rPr>
                <w:sz w:val="26"/>
                <w:szCs w:val="26"/>
              </w:rPr>
              <w:t xml:space="preserve"> kura tiek integrēta pašvaldību finanšu izlīdzināšanas sistēmā. Speciālo dotāciju sadalījumā pa pašvaldībām aprēķina pēc iedzīvotāju ienākuma nodokļa sadales principiem, kura tiek iekļauta vērtēto ieņēmumu prognozē. Speciālo dotāciju pašvaldībām piešķir saskaņā ar šo noteikumu 4.pielikumu. Noteikumu projekts paredz, ka Valsts kase reizi mēnesī līdz attiecīgā mēneša 20. datumam nodrošina speciālās dotācijas 1/12 daļas apmērā no šo noteikumu 4.pielikumā norādītā finansējuma pārskaitīšanu uz attiecīgo pašvaldību norādītajiem kontiem, uz  kuriem Valsts kase pārskaita iedzīvotāju ienākuma nodokļa ieņēmumus.</w:t>
            </w:r>
          </w:p>
          <w:p w:rsidR="00CF4D9D" w:rsidRDefault="00CF4D9D" w:rsidP="00761882">
            <w:pPr>
              <w:pStyle w:val="NormalWeb"/>
              <w:spacing w:before="0" w:beforeAutospacing="0" w:after="0" w:afterAutospacing="0"/>
              <w:ind w:left="53" w:right="140"/>
              <w:jc w:val="both"/>
              <w:rPr>
                <w:sz w:val="26"/>
                <w:szCs w:val="26"/>
              </w:rPr>
            </w:pPr>
            <w:r>
              <w:rPr>
                <w:sz w:val="26"/>
                <w:szCs w:val="26"/>
              </w:rPr>
              <w:t xml:space="preserve">Noteikumu projekts paredz, ka </w:t>
            </w:r>
            <w:r w:rsidRPr="00800850">
              <w:rPr>
                <w:szCs w:val="28"/>
              </w:rPr>
              <w:t>Valsts kase triju mēnešu laikā pārrēķina līdzekļus, kas pārskaitīti pašvaldībām saskaņā ar Finanšu ministrijas 2018. gada 18. decembra rīkojuma Nr. 488 “Par valsts pagaidu budžetu 2019. gadam” 10., 11. un 12. pielikumu.</w:t>
            </w:r>
          </w:p>
        </w:tc>
      </w:tr>
      <w:tr w:rsidR="00CD1E32" w:rsidTr="00FD6B6F">
        <w:tc>
          <w:tcPr>
            <w:tcW w:w="235" w:type="pct"/>
            <w:tcBorders>
              <w:top w:val="single" w:sz="4" w:space="0" w:color="auto"/>
              <w:left w:val="single" w:sz="4" w:space="0" w:color="auto"/>
              <w:bottom w:val="single" w:sz="4" w:space="0" w:color="auto"/>
              <w:right w:val="single" w:sz="4" w:space="0" w:color="auto"/>
            </w:tcBorders>
            <w:hideMark/>
          </w:tcPr>
          <w:p w:rsidR="00CD1E32" w:rsidRDefault="00CD1E32">
            <w:pPr>
              <w:pStyle w:val="NormalWeb"/>
              <w:spacing w:before="0" w:beforeAutospacing="0" w:after="0" w:afterAutospacing="0"/>
              <w:rPr>
                <w:sz w:val="26"/>
                <w:szCs w:val="26"/>
              </w:rPr>
            </w:pPr>
            <w:r>
              <w:rPr>
                <w:sz w:val="26"/>
                <w:szCs w:val="26"/>
              </w:rPr>
              <w:lastRenderedPageBreak/>
              <w:t>3.</w:t>
            </w:r>
          </w:p>
        </w:tc>
        <w:tc>
          <w:tcPr>
            <w:tcW w:w="1171" w:type="pct"/>
            <w:tcBorders>
              <w:top w:val="single" w:sz="4" w:space="0" w:color="auto"/>
              <w:left w:val="single" w:sz="4" w:space="0" w:color="auto"/>
              <w:bottom w:val="single" w:sz="4" w:space="0" w:color="auto"/>
              <w:right w:val="single" w:sz="4" w:space="0" w:color="auto"/>
            </w:tcBorders>
            <w:hideMark/>
          </w:tcPr>
          <w:p w:rsidR="00CD1E32" w:rsidRDefault="00CD1E32">
            <w:pPr>
              <w:pStyle w:val="NormalWeb"/>
              <w:spacing w:before="0" w:beforeAutospacing="0" w:after="0" w:afterAutospacing="0"/>
              <w:rPr>
                <w:sz w:val="26"/>
                <w:szCs w:val="26"/>
              </w:rPr>
            </w:pPr>
            <w:r>
              <w:rPr>
                <w:sz w:val="26"/>
                <w:szCs w:val="26"/>
              </w:rPr>
              <w:t>Projekta izstrādē iesaistītās institūcijas</w:t>
            </w:r>
          </w:p>
        </w:tc>
        <w:tc>
          <w:tcPr>
            <w:tcW w:w="3594" w:type="pct"/>
            <w:tcBorders>
              <w:top w:val="single" w:sz="4" w:space="0" w:color="auto"/>
              <w:left w:val="single" w:sz="4" w:space="0" w:color="auto"/>
              <w:bottom w:val="single" w:sz="4" w:space="0" w:color="auto"/>
              <w:right w:val="single" w:sz="4" w:space="0" w:color="auto"/>
            </w:tcBorders>
            <w:hideMark/>
          </w:tcPr>
          <w:p w:rsidR="00CD1E32" w:rsidRDefault="00CD1E32">
            <w:pPr>
              <w:pStyle w:val="NormalWeb"/>
              <w:spacing w:before="0" w:beforeAutospacing="0" w:after="0" w:afterAutospacing="0"/>
              <w:ind w:firstLine="53"/>
              <w:rPr>
                <w:sz w:val="26"/>
                <w:szCs w:val="26"/>
              </w:rPr>
            </w:pPr>
            <w:r>
              <w:rPr>
                <w:sz w:val="26"/>
                <w:szCs w:val="26"/>
              </w:rPr>
              <w:t>Finanšu ministrija.</w:t>
            </w:r>
          </w:p>
        </w:tc>
      </w:tr>
      <w:tr w:rsidR="00CD1E32" w:rsidTr="00FD6B6F">
        <w:tc>
          <w:tcPr>
            <w:tcW w:w="235" w:type="pct"/>
            <w:tcBorders>
              <w:top w:val="single" w:sz="4" w:space="0" w:color="auto"/>
              <w:left w:val="outset" w:sz="6" w:space="0" w:color="000000"/>
              <w:bottom w:val="single" w:sz="4" w:space="0" w:color="auto"/>
              <w:right w:val="outset" w:sz="6" w:space="0" w:color="000000"/>
            </w:tcBorders>
            <w:hideMark/>
          </w:tcPr>
          <w:p w:rsidR="00CD1E32" w:rsidRDefault="00541A6F">
            <w:pPr>
              <w:pStyle w:val="NormalWeb"/>
              <w:spacing w:before="0" w:beforeAutospacing="0" w:after="0" w:afterAutospacing="0"/>
              <w:rPr>
                <w:sz w:val="26"/>
                <w:szCs w:val="26"/>
              </w:rPr>
            </w:pPr>
            <w:r>
              <w:rPr>
                <w:sz w:val="26"/>
                <w:szCs w:val="26"/>
              </w:rPr>
              <w:t>5</w:t>
            </w:r>
            <w:r w:rsidR="00CD1E32">
              <w:rPr>
                <w:sz w:val="26"/>
                <w:szCs w:val="26"/>
              </w:rPr>
              <w:t>.</w:t>
            </w:r>
          </w:p>
        </w:tc>
        <w:tc>
          <w:tcPr>
            <w:tcW w:w="1171" w:type="pct"/>
            <w:tcBorders>
              <w:top w:val="single" w:sz="4" w:space="0" w:color="auto"/>
              <w:left w:val="outset" w:sz="6" w:space="0" w:color="000000"/>
              <w:bottom w:val="single" w:sz="4" w:space="0" w:color="auto"/>
              <w:right w:val="outset" w:sz="6" w:space="0" w:color="000000"/>
            </w:tcBorders>
            <w:hideMark/>
          </w:tcPr>
          <w:p w:rsidR="00CD1E32" w:rsidRDefault="00CD1E32">
            <w:pPr>
              <w:pStyle w:val="NormalWeb"/>
              <w:spacing w:before="0" w:beforeAutospacing="0" w:after="0" w:afterAutospacing="0"/>
              <w:rPr>
                <w:sz w:val="26"/>
                <w:szCs w:val="26"/>
              </w:rPr>
            </w:pPr>
            <w:r>
              <w:rPr>
                <w:sz w:val="26"/>
                <w:szCs w:val="26"/>
              </w:rPr>
              <w:t>Cita informācija</w:t>
            </w:r>
          </w:p>
        </w:tc>
        <w:tc>
          <w:tcPr>
            <w:tcW w:w="3594" w:type="pct"/>
            <w:tcBorders>
              <w:top w:val="single" w:sz="4" w:space="0" w:color="auto"/>
              <w:left w:val="outset" w:sz="6" w:space="0" w:color="000000"/>
              <w:bottom w:val="single" w:sz="4" w:space="0" w:color="auto"/>
              <w:right w:val="outset" w:sz="6" w:space="0" w:color="000000"/>
            </w:tcBorders>
            <w:hideMark/>
          </w:tcPr>
          <w:p w:rsidR="00CD1E32" w:rsidRDefault="00CD1E32">
            <w:pPr>
              <w:pStyle w:val="NormalWeb"/>
              <w:spacing w:before="0" w:beforeAutospacing="0" w:after="0" w:afterAutospacing="0"/>
              <w:jc w:val="both"/>
              <w:rPr>
                <w:sz w:val="26"/>
                <w:szCs w:val="26"/>
              </w:rPr>
            </w:pPr>
            <w:r>
              <w:rPr>
                <w:sz w:val="26"/>
                <w:szCs w:val="26"/>
              </w:rPr>
              <w:t>Nav.</w:t>
            </w:r>
          </w:p>
        </w:tc>
      </w:tr>
    </w:tbl>
    <w:p w:rsidR="00CD1E32" w:rsidRDefault="00CD1E32" w:rsidP="00CD1E32">
      <w:pPr>
        <w:pStyle w:val="NormalWeb"/>
        <w:spacing w:before="0" w:beforeAutospacing="0" w:after="0" w:afterAutospacing="0"/>
        <w:rPr>
          <w:sz w:val="26"/>
          <w:szCs w:val="26"/>
        </w:rPr>
      </w:pPr>
      <w:r>
        <w:rPr>
          <w:sz w:val="26"/>
          <w:szCs w:val="26"/>
        </w:rPr>
        <w:t> </w:t>
      </w:r>
    </w:p>
    <w:tbl>
      <w:tblPr>
        <w:tblW w:w="514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70"/>
        <w:gridCol w:w="4080"/>
        <w:gridCol w:w="4804"/>
      </w:tblGrid>
      <w:tr w:rsidR="00CD1E32" w:rsidTr="006F46F3">
        <w:tc>
          <w:tcPr>
            <w:tcW w:w="5000" w:type="pct"/>
            <w:gridSpan w:val="3"/>
            <w:tcBorders>
              <w:top w:val="single" w:sz="6" w:space="0" w:color="auto"/>
              <w:left w:val="single" w:sz="6" w:space="0" w:color="auto"/>
              <w:bottom w:val="single" w:sz="4" w:space="0" w:color="auto"/>
              <w:right w:val="single" w:sz="6" w:space="0" w:color="auto"/>
            </w:tcBorders>
            <w:vAlign w:val="center"/>
            <w:hideMark/>
          </w:tcPr>
          <w:p w:rsidR="00CD1E32" w:rsidRDefault="00CD1E32">
            <w:pPr>
              <w:pStyle w:val="NormalWeb"/>
              <w:spacing w:before="0" w:beforeAutospacing="0" w:after="0" w:afterAutospacing="0"/>
              <w:jc w:val="center"/>
              <w:rPr>
                <w:b/>
                <w:bCs/>
                <w:sz w:val="26"/>
                <w:szCs w:val="26"/>
              </w:rPr>
            </w:pPr>
            <w:r>
              <w:rPr>
                <w:b/>
                <w:bCs/>
                <w:sz w:val="26"/>
                <w:szCs w:val="26"/>
              </w:rPr>
              <w:t>II. Tiesību akta projekta ietekme uz sabiedrību, tautsaimniecības attīstību un administratīvo slogu</w:t>
            </w:r>
          </w:p>
        </w:tc>
      </w:tr>
      <w:tr w:rsidR="00CD1E32" w:rsidTr="006F46F3">
        <w:tc>
          <w:tcPr>
            <w:tcW w:w="251" w:type="pct"/>
            <w:tcBorders>
              <w:top w:val="single" w:sz="4" w:space="0" w:color="auto"/>
              <w:left w:val="single" w:sz="4" w:space="0" w:color="auto"/>
              <w:bottom w:val="single" w:sz="4" w:space="0" w:color="auto"/>
              <w:right w:val="single" w:sz="4" w:space="0" w:color="auto"/>
            </w:tcBorders>
            <w:hideMark/>
          </w:tcPr>
          <w:p w:rsidR="00CD1E32" w:rsidRDefault="00CD1E32">
            <w:pPr>
              <w:pStyle w:val="NormalWeb"/>
              <w:spacing w:before="0" w:beforeAutospacing="0" w:after="0" w:afterAutospacing="0"/>
              <w:rPr>
                <w:sz w:val="26"/>
                <w:szCs w:val="26"/>
              </w:rPr>
            </w:pPr>
            <w:r>
              <w:rPr>
                <w:sz w:val="26"/>
                <w:szCs w:val="26"/>
              </w:rPr>
              <w:t>1.</w:t>
            </w:r>
          </w:p>
        </w:tc>
        <w:tc>
          <w:tcPr>
            <w:tcW w:w="2181" w:type="pct"/>
            <w:tcBorders>
              <w:top w:val="single" w:sz="4" w:space="0" w:color="auto"/>
              <w:left w:val="single" w:sz="4" w:space="0" w:color="auto"/>
              <w:bottom w:val="single" w:sz="4" w:space="0" w:color="auto"/>
              <w:right w:val="single" w:sz="4" w:space="0" w:color="auto"/>
            </w:tcBorders>
            <w:hideMark/>
          </w:tcPr>
          <w:p w:rsidR="00CD1E32" w:rsidRDefault="00CD1E32">
            <w:pPr>
              <w:pStyle w:val="NormalWeb"/>
              <w:spacing w:before="0" w:beforeAutospacing="0" w:after="0" w:afterAutospacing="0"/>
              <w:rPr>
                <w:sz w:val="26"/>
                <w:szCs w:val="26"/>
              </w:rPr>
            </w:pPr>
            <w:r>
              <w:rPr>
                <w:sz w:val="26"/>
                <w:szCs w:val="26"/>
              </w:rPr>
              <w:t xml:space="preserve">Sabiedrības </w:t>
            </w:r>
            <w:proofErr w:type="spellStart"/>
            <w:r>
              <w:rPr>
                <w:sz w:val="26"/>
                <w:szCs w:val="26"/>
              </w:rPr>
              <w:t>mērķgrupas</w:t>
            </w:r>
            <w:proofErr w:type="spellEnd"/>
            <w:r>
              <w:rPr>
                <w:sz w:val="26"/>
                <w:szCs w:val="26"/>
              </w:rPr>
              <w:t>, kuras tiesiskais regulējums ietekmē vai varētu ietekmēt</w:t>
            </w:r>
          </w:p>
        </w:tc>
        <w:tc>
          <w:tcPr>
            <w:tcW w:w="2568" w:type="pct"/>
            <w:tcBorders>
              <w:top w:val="single" w:sz="4" w:space="0" w:color="auto"/>
              <w:left w:val="single" w:sz="4" w:space="0" w:color="auto"/>
              <w:bottom w:val="single" w:sz="4" w:space="0" w:color="auto"/>
              <w:right w:val="single" w:sz="4" w:space="0" w:color="auto"/>
            </w:tcBorders>
            <w:hideMark/>
          </w:tcPr>
          <w:p w:rsidR="00CD1E32" w:rsidRDefault="00CD1E32">
            <w:pPr>
              <w:pStyle w:val="NormalWeb"/>
              <w:spacing w:before="0" w:beforeAutospacing="0" w:after="0" w:afterAutospacing="0"/>
              <w:jc w:val="both"/>
              <w:rPr>
                <w:sz w:val="26"/>
                <w:szCs w:val="26"/>
              </w:rPr>
            </w:pPr>
            <w:r>
              <w:rPr>
                <w:sz w:val="26"/>
                <w:szCs w:val="26"/>
              </w:rPr>
              <w:t>Noteikumu projekta tiesiskais regulējums attiecināms uz pašvaldībām.</w:t>
            </w:r>
          </w:p>
        </w:tc>
      </w:tr>
      <w:tr w:rsidR="00CD1E32" w:rsidTr="006F46F3">
        <w:tc>
          <w:tcPr>
            <w:tcW w:w="251" w:type="pct"/>
            <w:tcBorders>
              <w:top w:val="single" w:sz="4" w:space="0" w:color="auto"/>
              <w:left w:val="outset" w:sz="6" w:space="0" w:color="000000"/>
              <w:bottom w:val="outset" w:sz="6" w:space="0" w:color="000000"/>
              <w:right w:val="outset" w:sz="6" w:space="0" w:color="000000"/>
            </w:tcBorders>
            <w:hideMark/>
          </w:tcPr>
          <w:p w:rsidR="00CD1E32" w:rsidRDefault="00CD1E32">
            <w:pPr>
              <w:pStyle w:val="NormalWeb"/>
              <w:spacing w:before="0" w:beforeAutospacing="0" w:after="0" w:afterAutospacing="0"/>
              <w:rPr>
                <w:sz w:val="26"/>
                <w:szCs w:val="26"/>
              </w:rPr>
            </w:pPr>
            <w:r>
              <w:rPr>
                <w:sz w:val="26"/>
                <w:szCs w:val="26"/>
              </w:rPr>
              <w:t>2.</w:t>
            </w:r>
          </w:p>
        </w:tc>
        <w:tc>
          <w:tcPr>
            <w:tcW w:w="2181" w:type="pct"/>
            <w:tcBorders>
              <w:top w:val="single" w:sz="4" w:space="0" w:color="auto"/>
              <w:left w:val="outset" w:sz="6" w:space="0" w:color="000000"/>
              <w:bottom w:val="outset" w:sz="6" w:space="0" w:color="000000"/>
              <w:right w:val="outset" w:sz="6" w:space="0" w:color="000000"/>
            </w:tcBorders>
            <w:hideMark/>
          </w:tcPr>
          <w:p w:rsidR="00CD1E32" w:rsidRDefault="00CD1E32">
            <w:pPr>
              <w:pStyle w:val="NormalWeb"/>
              <w:spacing w:before="0" w:beforeAutospacing="0" w:after="0" w:afterAutospacing="0"/>
              <w:rPr>
                <w:sz w:val="26"/>
                <w:szCs w:val="26"/>
              </w:rPr>
            </w:pPr>
            <w:r>
              <w:rPr>
                <w:sz w:val="26"/>
                <w:szCs w:val="26"/>
              </w:rPr>
              <w:t>Tiesiskā regulējuma ietekme uz tautsaimniecību un administratīvo slogu</w:t>
            </w:r>
          </w:p>
        </w:tc>
        <w:tc>
          <w:tcPr>
            <w:tcW w:w="2568" w:type="pct"/>
            <w:tcBorders>
              <w:top w:val="single" w:sz="4" w:space="0" w:color="auto"/>
              <w:left w:val="outset" w:sz="6" w:space="0" w:color="000000"/>
              <w:bottom w:val="outset" w:sz="6" w:space="0" w:color="000000"/>
              <w:right w:val="outset" w:sz="6" w:space="0" w:color="000000"/>
            </w:tcBorders>
            <w:hideMark/>
          </w:tcPr>
          <w:p w:rsidR="00CD1E32" w:rsidRDefault="00CD1E32">
            <w:pPr>
              <w:pStyle w:val="NormalWeb"/>
              <w:spacing w:before="0" w:beforeAutospacing="0" w:after="0" w:afterAutospacing="0"/>
              <w:jc w:val="both"/>
              <w:rPr>
                <w:sz w:val="26"/>
                <w:szCs w:val="26"/>
              </w:rPr>
            </w:pPr>
            <w:r>
              <w:rPr>
                <w:sz w:val="26"/>
                <w:szCs w:val="26"/>
              </w:rPr>
              <w:t>Projekts šo jomu neskar.</w:t>
            </w:r>
          </w:p>
        </w:tc>
      </w:tr>
      <w:tr w:rsidR="00CD1E32" w:rsidTr="00CD1E32">
        <w:tc>
          <w:tcPr>
            <w:tcW w:w="251" w:type="pct"/>
            <w:tcBorders>
              <w:top w:val="outset" w:sz="6" w:space="0" w:color="000000"/>
              <w:left w:val="outset" w:sz="6" w:space="0" w:color="000000"/>
              <w:bottom w:val="outset" w:sz="6" w:space="0" w:color="000000"/>
              <w:right w:val="outset" w:sz="6" w:space="0" w:color="000000"/>
            </w:tcBorders>
            <w:hideMark/>
          </w:tcPr>
          <w:p w:rsidR="00CD1E32" w:rsidRDefault="00CD1E32">
            <w:pPr>
              <w:pStyle w:val="NormalWeb"/>
              <w:spacing w:before="0" w:beforeAutospacing="0" w:after="0" w:afterAutospacing="0"/>
              <w:rPr>
                <w:sz w:val="26"/>
                <w:szCs w:val="26"/>
              </w:rPr>
            </w:pPr>
            <w:r>
              <w:rPr>
                <w:sz w:val="26"/>
                <w:szCs w:val="26"/>
              </w:rPr>
              <w:t>3.</w:t>
            </w:r>
          </w:p>
        </w:tc>
        <w:tc>
          <w:tcPr>
            <w:tcW w:w="2181" w:type="pct"/>
            <w:tcBorders>
              <w:top w:val="outset" w:sz="6" w:space="0" w:color="000000"/>
              <w:left w:val="outset" w:sz="6" w:space="0" w:color="000000"/>
              <w:bottom w:val="outset" w:sz="6" w:space="0" w:color="000000"/>
              <w:right w:val="outset" w:sz="6" w:space="0" w:color="000000"/>
            </w:tcBorders>
            <w:hideMark/>
          </w:tcPr>
          <w:p w:rsidR="00CD1E32" w:rsidRDefault="00CD1E32">
            <w:pPr>
              <w:pStyle w:val="NormalWeb"/>
              <w:spacing w:before="0" w:beforeAutospacing="0" w:after="0" w:afterAutospacing="0"/>
              <w:rPr>
                <w:sz w:val="26"/>
                <w:szCs w:val="26"/>
              </w:rPr>
            </w:pPr>
            <w:r>
              <w:rPr>
                <w:sz w:val="26"/>
                <w:szCs w:val="26"/>
              </w:rPr>
              <w:t>Administratīvo izmaksu monetārs novērtējums</w:t>
            </w:r>
          </w:p>
        </w:tc>
        <w:tc>
          <w:tcPr>
            <w:tcW w:w="2568" w:type="pct"/>
            <w:tcBorders>
              <w:top w:val="outset" w:sz="6" w:space="0" w:color="000000"/>
              <w:left w:val="outset" w:sz="6" w:space="0" w:color="000000"/>
              <w:bottom w:val="outset" w:sz="6" w:space="0" w:color="000000"/>
              <w:right w:val="outset" w:sz="6" w:space="0" w:color="000000"/>
            </w:tcBorders>
            <w:hideMark/>
          </w:tcPr>
          <w:p w:rsidR="00CD1E32" w:rsidRDefault="00CD1E32">
            <w:pPr>
              <w:pStyle w:val="NormalWeb"/>
              <w:spacing w:before="0" w:beforeAutospacing="0" w:after="0" w:afterAutospacing="0"/>
              <w:jc w:val="both"/>
              <w:rPr>
                <w:sz w:val="26"/>
                <w:szCs w:val="26"/>
              </w:rPr>
            </w:pPr>
            <w:r>
              <w:rPr>
                <w:sz w:val="26"/>
                <w:szCs w:val="26"/>
              </w:rPr>
              <w:t>Projekts šo jomu neskar.</w:t>
            </w:r>
          </w:p>
        </w:tc>
      </w:tr>
      <w:tr w:rsidR="00FD6B6F" w:rsidTr="00CD1E32">
        <w:tc>
          <w:tcPr>
            <w:tcW w:w="251" w:type="pct"/>
            <w:tcBorders>
              <w:top w:val="outset" w:sz="6" w:space="0" w:color="000000"/>
              <w:left w:val="outset" w:sz="6" w:space="0" w:color="000000"/>
              <w:bottom w:val="outset" w:sz="6" w:space="0" w:color="000000"/>
              <w:right w:val="outset" w:sz="6" w:space="0" w:color="000000"/>
            </w:tcBorders>
          </w:tcPr>
          <w:p w:rsidR="00FD6B6F" w:rsidRPr="001A6A39" w:rsidRDefault="00FD6B6F" w:rsidP="00FD6B6F">
            <w:r>
              <w:t>4.</w:t>
            </w:r>
          </w:p>
        </w:tc>
        <w:tc>
          <w:tcPr>
            <w:tcW w:w="2181" w:type="pct"/>
            <w:tcBorders>
              <w:top w:val="outset" w:sz="6" w:space="0" w:color="000000"/>
              <w:left w:val="outset" w:sz="6" w:space="0" w:color="000000"/>
              <w:bottom w:val="outset" w:sz="6" w:space="0" w:color="000000"/>
              <w:right w:val="outset" w:sz="6" w:space="0" w:color="000000"/>
            </w:tcBorders>
          </w:tcPr>
          <w:p w:rsidR="00FD6B6F" w:rsidRPr="00FD6B6F" w:rsidRDefault="00FD6B6F" w:rsidP="00FD6B6F">
            <w:pPr>
              <w:pStyle w:val="NormalWeb"/>
              <w:spacing w:before="0" w:beforeAutospacing="0" w:after="0" w:afterAutospacing="0"/>
              <w:rPr>
                <w:sz w:val="26"/>
                <w:szCs w:val="26"/>
              </w:rPr>
            </w:pPr>
            <w:r w:rsidRPr="00FD6B6F">
              <w:rPr>
                <w:sz w:val="26"/>
                <w:szCs w:val="26"/>
              </w:rPr>
              <w:t>Atbilstības izmaksu monetārs novērtējums</w:t>
            </w:r>
          </w:p>
        </w:tc>
        <w:tc>
          <w:tcPr>
            <w:tcW w:w="2568" w:type="pct"/>
            <w:tcBorders>
              <w:top w:val="outset" w:sz="6" w:space="0" w:color="000000"/>
              <w:left w:val="outset" w:sz="6" w:space="0" w:color="000000"/>
              <w:bottom w:val="outset" w:sz="6" w:space="0" w:color="000000"/>
              <w:right w:val="outset" w:sz="6" w:space="0" w:color="000000"/>
            </w:tcBorders>
          </w:tcPr>
          <w:p w:rsidR="00FD6B6F" w:rsidRPr="001A6A39" w:rsidRDefault="00FD6B6F" w:rsidP="00FD6B6F">
            <w:r>
              <w:t>Projekts šo jomu neskar.</w:t>
            </w:r>
          </w:p>
        </w:tc>
      </w:tr>
      <w:tr w:rsidR="00FD6B6F" w:rsidTr="00CD1E32">
        <w:tc>
          <w:tcPr>
            <w:tcW w:w="251" w:type="pct"/>
            <w:tcBorders>
              <w:top w:val="outset" w:sz="6" w:space="0" w:color="000000"/>
              <w:left w:val="outset" w:sz="6" w:space="0" w:color="000000"/>
              <w:bottom w:val="outset" w:sz="6" w:space="0" w:color="000000"/>
              <w:right w:val="outset" w:sz="6" w:space="0" w:color="000000"/>
            </w:tcBorders>
            <w:hideMark/>
          </w:tcPr>
          <w:p w:rsidR="00FD6B6F" w:rsidRPr="00FD6B6F" w:rsidRDefault="00FD6B6F" w:rsidP="00FD6B6F">
            <w:pPr>
              <w:pStyle w:val="NormalWeb"/>
              <w:spacing w:before="0" w:beforeAutospacing="0" w:after="0" w:afterAutospacing="0"/>
              <w:rPr>
                <w:sz w:val="26"/>
                <w:szCs w:val="26"/>
              </w:rPr>
            </w:pPr>
            <w:r w:rsidRPr="00FD6B6F">
              <w:rPr>
                <w:sz w:val="26"/>
                <w:szCs w:val="26"/>
              </w:rPr>
              <w:t>5.</w:t>
            </w:r>
          </w:p>
        </w:tc>
        <w:tc>
          <w:tcPr>
            <w:tcW w:w="2181" w:type="pct"/>
            <w:tcBorders>
              <w:top w:val="outset" w:sz="6" w:space="0" w:color="000000"/>
              <w:left w:val="outset" w:sz="6" w:space="0" w:color="000000"/>
              <w:bottom w:val="outset" w:sz="6" w:space="0" w:color="000000"/>
              <w:right w:val="outset" w:sz="6" w:space="0" w:color="000000"/>
            </w:tcBorders>
            <w:hideMark/>
          </w:tcPr>
          <w:p w:rsidR="00FD6B6F" w:rsidRPr="00FD6B6F" w:rsidRDefault="00FD6B6F" w:rsidP="00FD6B6F">
            <w:pPr>
              <w:pStyle w:val="NormalWeb"/>
              <w:spacing w:before="0" w:beforeAutospacing="0" w:after="0" w:afterAutospacing="0"/>
              <w:rPr>
                <w:sz w:val="26"/>
                <w:szCs w:val="26"/>
              </w:rPr>
            </w:pPr>
            <w:r w:rsidRPr="00FD6B6F">
              <w:rPr>
                <w:sz w:val="26"/>
                <w:szCs w:val="26"/>
              </w:rPr>
              <w:t>Cita informācija</w:t>
            </w:r>
          </w:p>
        </w:tc>
        <w:tc>
          <w:tcPr>
            <w:tcW w:w="2568" w:type="pct"/>
            <w:tcBorders>
              <w:top w:val="outset" w:sz="6" w:space="0" w:color="000000"/>
              <w:left w:val="outset" w:sz="6" w:space="0" w:color="000000"/>
              <w:bottom w:val="outset" w:sz="6" w:space="0" w:color="000000"/>
              <w:right w:val="outset" w:sz="6" w:space="0" w:color="000000"/>
            </w:tcBorders>
            <w:hideMark/>
          </w:tcPr>
          <w:p w:rsidR="00FD6B6F" w:rsidRDefault="00FD6B6F" w:rsidP="00FD6B6F">
            <w:pPr>
              <w:pStyle w:val="NormalWeb"/>
              <w:spacing w:before="0" w:beforeAutospacing="0" w:after="0" w:afterAutospacing="0"/>
              <w:rPr>
                <w:sz w:val="26"/>
                <w:szCs w:val="26"/>
              </w:rPr>
            </w:pPr>
            <w:r>
              <w:rPr>
                <w:sz w:val="26"/>
                <w:szCs w:val="26"/>
              </w:rPr>
              <w:t>Nav.</w:t>
            </w:r>
          </w:p>
        </w:tc>
      </w:tr>
    </w:tbl>
    <w:p w:rsidR="00CD1E32" w:rsidRDefault="00CD1E32" w:rsidP="00CD1E32">
      <w:pPr>
        <w:pStyle w:val="NormalWeb"/>
        <w:spacing w:before="0" w:beforeAutospacing="0" w:after="0" w:afterAutospacing="0"/>
        <w:rPr>
          <w:sz w:val="26"/>
          <w:szCs w:val="26"/>
        </w:rPr>
      </w:pPr>
    </w:p>
    <w:p w:rsidR="00B41BE1" w:rsidRDefault="00B41BE1" w:rsidP="00CD1E32">
      <w:pPr>
        <w:pStyle w:val="NormalWeb"/>
        <w:spacing w:before="0" w:beforeAutospacing="0" w:after="0" w:afterAutospacing="0"/>
        <w:rPr>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D1E32" w:rsidTr="00CD1E32">
        <w:tc>
          <w:tcPr>
            <w:tcW w:w="9351" w:type="dxa"/>
            <w:tcBorders>
              <w:top w:val="single" w:sz="4" w:space="0" w:color="auto"/>
              <w:left w:val="single" w:sz="4" w:space="0" w:color="auto"/>
              <w:bottom w:val="single" w:sz="4" w:space="0" w:color="auto"/>
              <w:right w:val="single" w:sz="4" w:space="0" w:color="auto"/>
            </w:tcBorders>
            <w:hideMark/>
          </w:tcPr>
          <w:p w:rsidR="00CD1E32" w:rsidRDefault="00CD1E32" w:rsidP="00CD1E32">
            <w:pPr>
              <w:pStyle w:val="NormalWeb"/>
              <w:spacing w:before="0" w:beforeAutospacing="0" w:after="0" w:afterAutospacing="0"/>
              <w:ind w:right="147"/>
              <w:jc w:val="center"/>
              <w:rPr>
                <w:sz w:val="26"/>
                <w:szCs w:val="26"/>
              </w:rPr>
            </w:pPr>
            <w:r w:rsidRPr="006A1372">
              <w:rPr>
                <w:b/>
                <w:bCs/>
                <w:color w:val="414142"/>
                <w:sz w:val="26"/>
                <w:szCs w:val="26"/>
              </w:rPr>
              <w:t>III. Tiesību akta projekta ietekme uz valsts budžetu un pašvaldību budžetiem</w:t>
            </w:r>
          </w:p>
        </w:tc>
      </w:tr>
      <w:tr w:rsidR="00CD1E32" w:rsidTr="00CD1E32">
        <w:tc>
          <w:tcPr>
            <w:tcW w:w="9351" w:type="dxa"/>
            <w:tcBorders>
              <w:top w:val="single" w:sz="4" w:space="0" w:color="auto"/>
              <w:left w:val="single" w:sz="4" w:space="0" w:color="auto"/>
              <w:bottom w:val="single" w:sz="4" w:space="0" w:color="auto"/>
              <w:right w:val="single" w:sz="4" w:space="0" w:color="auto"/>
            </w:tcBorders>
            <w:hideMark/>
          </w:tcPr>
          <w:p w:rsidR="00CD1E32" w:rsidRDefault="00CD1E32">
            <w:pPr>
              <w:pStyle w:val="NormalWeb"/>
              <w:spacing w:before="0" w:beforeAutospacing="0" w:after="0" w:afterAutospacing="0"/>
              <w:jc w:val="center"/>
              <w:rPr>
                <w:b/>
                <w:bCs/>
                <w:sz w:val="26"/>
                <w:szCs w:val="26"/>
              </w:rPr>
            </w:pPr>
            <w:r>
              <w:rPr>
                <w:color w:val="414142"/>
                <w:sz w:val="26"/>
                <w:szCs w:val="26"/>
              </w:rPr>
              <w:t>Projekts šo jomu neskar</w:t>
            </w:r>
          </w:p>
        </w:tc>
      </w:tr>
    </w:tbl>
    <w:p w:rsidR="00CD1E32" w:rsidRDefault="00CD1E32" w:rsidP="00CD1E32">
      <w:pPr>
        <w:pStyle w:val="NormalWeb"/>
        <w:spacing w:before="0" w:beforeAutospacing="0" w:after="0" w:afterAutospacing="0"/>
        <w:rPr>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D1E32" w:rsidTr="00CD1E32">
        <w:tc>
          <w:tcPr>
            <w:tcW w:w="9351" w:type="dxa"/>
            <w:tcBorders>
              <w:top w:val="single" w:sz="4" w:space="0" w:color="auto"/>
              <w:left w:val="single" w:sz="4" w:space="0" w:color="auto"/>
              <w:bottom w:val="single" w:sz="4" w:space="0" w:color="auto"/>
              <w:right w:val="single" w:sz="4" w:space="0" w:color="auto"/>
            </w:tcBorders>
            <w:hideMark/>
          </w:tcPr>
          <w:p w:rsidR="00CD1E32" w:rsidRDefault="00CD1E32">
            <w:pPr>
              <w:pStyle w:val="NormalWeb"/>
              <w:spacing w:before="0" w:beforeAutospacing="0" w:after="0" w:afterAutospacing="0"/>
              <w:jc w:val="center"/>
              <w:rPr>
                <w:sz w:val="26"/>
                <w:szCs w:val="26"/>
              </w:rPr>
            </w:pPr>
            <w:r>
              <w:rPr>
                <w:b/>
                <w:bCs/>
                <w:color w:val="414142"/>
                <w:sz w:val="26"/>
                <w:szCs w:val="26"/>
              </w:rPr>
              <w:t>IV. Tiesību akta projekta ietekme uz spēkā esošo tiesību normu sistēmu</w:t>
            </w:r>
          </w:p>
        </w:tc>
      </w:tr>
      <w:tr w:rsidR="00CD1E32" w:rsidTr="00CD1E32">
        <w:tc>
          <w:tcPr>
            <w:tcW w:w="9351" w:type="dxa"/>
            <w:tcBorders>
              <w:top w:val="single" w:sz="4" w:space="0" w:color="auto"/>
              <w:left w:val="single" w:sz="4" w:space="0" w:color="auto"/>
              <w:bottom w:val="single" w:sz="4" w:space="0" w:color="auto"/>
              <w:right w:val="single" w:sz="4" w:space="0" w:color="auto"/>
            </w:tcBorders>
            <w:hideMark/>
          </w:tcPr>
          <w:p w:rsidR="00CD1E32" w:rsidRDefault="00CD1E32">
            <w:pPr>
              <w:pStyle w:val="NormalWeb"/>
              <w:spacing w:before="0" w:beforeAutospacing="0" w:after="0" w:afterAutospacing="0"/>
              <w:jc w:val="center"/>
              <w:rPr>
                <w:sz w:val="26"/>
                <w:szCs w:val="26"/>
              </w:rPr>
            </w:pPr>
            <w:r>
              <w:rPr>
                <w:color w:val="414142"/>
                <w:sz w:val="26"/>
                <w:szCs w:val="26"/>
              </w:rPr>
              <w:t>Projekts šo jomu neskar</w:t>
            </w:r>
          </w:p>
        </w:tc>
      </w:tr>
    </w:tbl>
    <w:p w:rsidR="00CD1E32" w:rsidRDefault="00CD1E32" w:rsidP="00CD1E32">
      <w:pPr>
        <w:pStyle w:val="NormalWeb"/>
        <w:spacing w:before="0" w:beforeAutospacing="0" w:after="0" w:afterAutospacing="0"/>
        <w:rPr>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D1E32" w:rsidTr="00CD1E32">
        <w:tc>
          <w:tcPr>
            <w:tcW w:w="9351" w:type="dxa"/>
            <w:tcBorders>
              <w:top w:val="single" w:sz="4" w:space="0" w:color="auto"/>
              <w:left w:val="single" w:sz="4" w:space="0" w:color="auto"/>
              <w:bottom w:val="single" w:sz="4" w:space="0" w:color="auto"/>
              <w:right w:val="single" w:sz="4" w:space="0" w:color="auto"/>
            </w:tcBorders>
            <w:hideMark/>
          </w:tcPr>
          <w:p w:rsidR="00CD1E32" w:rsidRDefault="00CD1E32">
            <w:pPr>
              <w:pStyle w:val="NormalWeb"/>
              <w:spacing w:before="0" w:beforeAutospacing="0" w:after="0" w:afterAutospacing="0"/>
              <w:jc w:val="center"/>
              <w:rPr>
                <w:sz w:val="26"/>
                <w:szCs w:val="26"/>
              </w:rPr>
            </w:pPr>
            <w:r>
              <w:rPr>
                <w:b/>
                <w:bCs/>
                <w:color w:val="414142"/>
                <w:sz w:val="26"/>
                <w:szCs w:val="26"/>
              </w:rPr>
              <w:t>V. Tiesību akta projekta atbilstība Latvijas Republikas starptautiskajām saistībām</w:t>
            </w:r>
          </w:p>
        </w:tc>
      </w:tr>
      <w:tr w:rsidR="00CD1E32" w:rsidTr="00CD1E32">
        <w:tc>
          <w:tcPr>
            <w:tcW w:w="9351" w:type="dxa"/>
            <w:tcBorders>
              <w:top w:val="single" w:sz="4" w:space="0" w:color="auto"/>
              <w:left w:val="single" w:sz="4" w:space="0" w:color="auto"/>
              <w:bottom w:val="single" w:sz="4" w:space="0" w:color="auto"/>
              <w:right w:val="single" w:sz="4" w:space="0" w:color="auto"/>
            </w:tcBorders>
            <w:hideMark/>
          </w:tcPr>
          <w:p w:rsidR="00CD1E32" w:rsidRDefault="00CD1E32">
            <w:pPr>
              <w:pStyle w:val="NormalWeb"/>
              <w:spacing w:before="0" w:beforeAutospacing="0" w:after="0" w:afterAutospacing="0"/>
              <w:jc w:val="center"/>
              <w:rPr>
                <w:sz w:val="26"/>
                <w:szCs w:val="26"/>
              </w:rPr>
            </w:pPr>
            <w:r>
              <w:rPr>
                <w:color w:val="414142"/>
                <w:sz w:val="26"/>
                <w:szCs w:val="26"/>
              </w:rPr>
              <w:t>Projekts šo jomu neskar</w:t>
            </w:r>
          </w:p>
        </w:tc>
      </w:tr>
    </w:tbl>
    <w:p w:rsidR="00CD1E32" w:rsidRDefault="00CD1E32" w:rsidP="00CD1E32">
      <w:pPr>
        <w:pStyle w:val="NormalWeb"/>
        <w:spacing w:before="0" w:beforeAutospacing="0" w:after="0" w:afterAutospacing="0"/>
        <w:rPr>
          <w:sz w:val="26"/>
          <w:szCs w:val="26"/>
        </w:rPr>
      </w:pPr>
    </w:p>
    <w:tbl>
      <w:tblPr>
        <w:tblW w:w="934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37"/>
        <w:gridCol w:w="1577"/>
        <w:gridCol w:w="7334"/>
      </w:tblGrid>
      <w:tr w:rsidR="00CD1E32" w:rsidTr="00AE2B97">
        <w:trPr>
          <w:trHeight w:val="446"/>
        </w:trPr>
        <w:tc>
          <w:tcPr>
            <w:tcW w:w="9348" w:type="dxa"/>
            <w:gridSpan w:val="3"/>
            <w:tcBorders>
              <w:top w:val="outset" w:sz="6" w:space="0" w:color="000000"/>
              <w:left w:val="outset" w:sz="6" w:space="0" w:color="000000"/>
              <w:bottom w:val="outset" w:sz="6" w:space="0" w:color="000000"/>
              <w:right w:val="outset" w:sz="6" w:space="0" w:color="000000"/>
            </w:tcBorders>
            <w:hideMark/>
          </w:tcPr>
          <w:p w:rsidR="00CD1E32" w:rsidRDefault="00CD1E32" w:rsidP="00B41BE1">
            <w:pPr>
              <w:pStyle w:val="NormalWeb"/>
              <w:spacing w:before="0" w:beforeAutospacing="0" w:after="0" w:afterAutospacing="0"/>
              <w:jc w:val="center"/>
              <w:rPr>
                <w:b/>
                <w:bCs/>
                <w:sz w:val="26"/>
                <w:szCs w:val="26"/>
              </w:rPr>
            </w:pPr>
            <w:r>
              <w:rPr>
                <w:b/>
                <w:bCs/>
                <w:sz w:val="26"/>
                <w:szCs w:val="26"/>
              </w:rPr>
              <w:t>VI. Sabiedrības līdzdalība un komunikācijas aktivitātes</w:t>
            </w:r>
          </w:p>
        </w:tc>
      </w:tr>
      <w:tr w:rsidR="0027703F" w:rsidTr="00AE2B97">
        <w:tc>
          <w:tcPr>
            <w:tcW w:w="437" w:type="dxa"/>
            <w:tcBorders>
              <w:top w:val="outset" w:sz="6" w:space="0" w:color="000000"/>
              <w:left w:val="outset" w:sz="6" w:space="0" w:color="000000"/>
              <w:bottom w:val="outset" w:sz="6" w:space="0" w:color="000000"/>
              <w:right w:val="outset" w:sz="6" w:space="0" w:color="000000"/>
            </w:tcBorders>
            <w:hideMark/>
          </w:tcPr>
          <w:p w:rsidR="00CD1E32" w:rsidRDefault="00CD1E32">
            <w:pPr>
              <w:pStyle w:val="NormalWeb"/>
              <w:spacing w:before="0" w:beforeAutospacing="0" w:after="0" w:afterAutospacing="0"/>
              <w:rPr>
                <w:sz w:val="26"/>
                <w:szCs w:val="26"/>
              </w:rPr>
            </w:pPr>
            <w:r>
              <w:rPr>
                <w:sz w:val="26"/>
                <w:szCs w:val="26"/>
              </w:rPr>
              <w:t>1.</w:t>
            </w:r>
          </w:p>
        </w:tc>
        <w:tc>
          <w:tcPr>
            <w:tcW w:w="1577" w:type="dxa"/>
            <w:tcBorders>
              <w:top w:val="outset" w:sz="6" w:space="0" w:color="000000"/>
              <w:left w:val="outset" w:sz="6" w:space="0" w:color="000000"/>
              <w:bottom w:val="outset" w:sz="6" w:space="0" w:color="000000"/>
              <w:right w:val="outset" w:sz="6" w:space="0" w:color="000000"/>
            </w:tcBorders>
            <w:hideMark/>
          </w:tcPr>
          <w:p w:rsidR="00CD1E32" w:rsidRDefault="00CD1E32">
            <w:pPr>
              <w:pStyle w:val="NormalWeb"/>
              <w:spacing w:before="0" w:beforeAutospacing="0" w:after="0" w:afterAutospacing="0"/>
              <w:rPr>
                <w:sz w:val="26"/>
                <w:szCs w:val="26"/>
              </w:rPr>
            </w:pPr>
            <w:r>
              <w:rPr>
                <w:sz w:val="26"/>
                <w:szCs w:val="26"/>
              </w:rPr>
              <w:t>Plānotās sabiedrības līdzdalības un komunikācijas aktivitātes saistībā ar projektu</w:t>
            </w:r>
          </w:p>
        </w:tc>
        <w:tc>
          <w:tcPr>
            <w:tcW w:w="7334" w:type="dxa"/>
            <w:tcBorders>
              <w:top w:val="outset" w:sz="6" w:space="0" w:color="000000"/>
              <w:left w:val="outset" w:sz="6" w:space="0" w:color="000000"/>
              <w:bottom w:val="outset" w:sz="6" w:space="0" w:color="000000"/>
              <w:right w:val="outset" w:sz="6" w:space="0" w:color="000000"/>
            </w:tcBorders>
            <w:hideMark/>
          </w:tcPr>
          <w:p w:rsidR="00FD6B6F" w:rsidRDefault="00FD6B6F" w:rsidP="00FD6B6F">
            <w:pPr>
              <w:pStyle w:val="NormalWeb"/>
              <w:spacing w:after="0" w:afterAutospacing="0" w:line="252" w:lineRule="auto"/>
              <w:jc w:val="both"/>
              <w:rPr>
                <w:iCs/>
                <w:spacing w:val="-2"/>
              </w:rPr>
            </w:pPr>
            <w:r w:rsidRPr="00D12DC0">
              <w:rPr>
                <w:iCs/>
              </w:rPr>
              <w:t>Informācija par projekta izstrādi ir publicēta Finanšu ministrijas tīmekļvietnē sadaļā “Sabiedrības līdzda</w:t>
            </w:r>
            <w:r w:rsidR="00CB2339">
              <w:rPr>
                <w:iCs/>
              </w:rPr>
              <w:t>lība” – “Tiesību aktu projekti” </w:t>
            </w:r>
            <w:r w:rsidRPr="00D12DC0">
              <w:rPr>
                <w:iCs/>
              </w:rPr>
              <w:t>– “</w:t>
            </w:r>
            <w:r>
              <w:rPr>
                <w:iCs/>
              </w:rPr>
              <w:t>Pašvaldību finanšu uzraudzības</w:t>
            </w:r>
            <w:r w:rsidRPr="00D12DC0">
              <w:rPr>
                <w:iCs/>
              </w:rPr>
              <w:t xml:space="preserve"> politika”. L</w:t>
            </w:r>
            <w:r w:rsidRPr="00D12DC0">
              <w:rPr>
                <w:iCs/>
                <w:spacing w:val="-2"/>
              </w:rPr>
              <w:t xml:space="preserve">īdz ar to sabiedrības pārstāvji varēja līdzdarboties projekta izstrādē, </w:t>
            </w:r>
            <w:proofErr w:type="spellStart"/>
            <w:r w:rsidRPr="00D12DC0">
              <w:rPr>
                <w:iCs/>
                <w:spacing w:val="-2"/>
              </w:rPr>
              <w:t>rakstveidā</w:t>
            </w:r>
            <w:proofErr w:type="spellEnd"/>
            <w:r w:rsidRPr="00D12DC0">
              <w:rPr>
                <w:iCs/>
                <w:spacing w:val="-2"/>
              </w:rPr>
              <w:t xml:space="preserve"> sniedzot viedokļus par projektu.</w:t>
            </w:r>
          </w:p>
          <w:p w:rsidR="00CD1E32" w:rsidRDefault="00FD6B6F" w:rsidP="0027703F">
            <w:pPr>
              <w:pStyle w:val="NormalWeb"/>
              <w:spacing w:before="0" w:beforeAutospacing="0" w:after="0" w:afterAutospacing="0"/>
              <w:ind w:right="287"/>
              <w:jc w:val="both"/>
              <w:rPr>
                <w:sz w:val="26"/>
                <w:szCs w:val="26"/>
              </w:rPr>
            </w:pPr>
            <w:r w:rsidRPr="001A6A39">
              <w:t xml:space="preserve">Projekts nosūtīts </w:t>
            </w:r>
            <w:r>
              <w:t>viedokļa sniegšanai</w:t>
            </w:r>
            <w:r w:rsidRPr="001A6A39">
              <w:t xml:space="preserve"> Latvijas Pašvaldību savienībai</w:t>
            </w:r>
            <w:r w:rsidR="00CB2339">
              <w:t>.</w:t>
            </w:r>
          </w:p>
        </w:tc>
      </w:tr>
      <w:tr w:rsidR="0027703F" w:rsidTr="00AE2B97">
        <w:tc>
          <w:tcPr>
            <w:tcW w:w="437" w:type="dxa"/>
            <w:tcBorders>
              <w:top w:val="outset" w:sz="6" w:space="0" w:color="000000"/>
              <w:left w:val="outset" w:sz="6" w:space="0" w:color="000000"/>
              <w:bottom w:val="outset" w:sz="6" w:space="0" w:color="000000"/>
              <w:right w:val="outset" w:sz="6" w:space="0" w:color="000000"/>
            </w:tcBorders>
            <w:hideMark/>
          </w:tcPr>
          <w:p w:rsidR="00CD1E32" w:rsidRDefault="00CD1E32">
            <w:pPr>
              <w:pStyle w:val="NormalWeb"/>
              <w:spacing w:before="0" w:beforeAutospacing="0" w:after="0" w:afterAutospacing="0"/>
              <w:rPr>
                <w:sz w:val="26"/>
                <w:szCs w:val="26"/>
              </w:rPr>
            </w:pPr>
            <w:r>
              <w:rPr>
                <w:sz w:val="26"/>
                <w:szCs w:val="26"/>
              </w:rPr>
              <w:t>2.</w:t>
            </w:r>
          </w:p>
        </w:tc>
        <w:tc>
          <w:tcPr>
            <w:tcW w:w="1577" w:type="dxa"/>
            <w:tcBorders>
              <w:top w:val="outset" w:sz="6" w:space="0" w:color="000000"/>
              <w:left w:val="outset" w:sz="6" w:space="0" w:color="000000"/>
              <w:bottom w:val="outset" w:sz="6" w:space="0" w:color="000000"/>
              <w:right w:val="outset" w:sz="6" w:space="0" w:color="000000"/>
            </w:tcBorders>
            <w:hideMark/>
          </w:tcPr>
          <w:p w:rsidR="00CD1E32" w:rsidRDefault="00CD1E32">
            <w:pPr>
              <w:pStyle w:val="NormalWeb"/>
              <w:spacing w:before="0" w:beforeAutospacing="0" w:after="0" w:afterAutospacing="0"/>
              <w:rPr>
                <w:sz w:val="26"/>
                <w:szCs w:val="26"/>
              </w:rPr>
            </w:pPr>
            <w:r>
              <w:rPr>
                <w:sz w:val="26"/>
                <w:szCs w:val="26"/>
              </w:rPr>
              <w:t>Sabiedrības līdzdalība projekta izstrādē</w:t>
            </w:r>
          </w:p>
        </w:tc>
        <w:tc>
          <w:tcPr>
            <w:tcW w:w="7334" w:type="dxa"/>
            <w:tcBorders>
              <w:top w:val="outset" w:sz="6" w:space="0" w:color="000000"/>
              <w:left w:val="outset" w:sz="6" w:space="0" w:color="000000"/>
              <w:bottom w:val="outset" w:sz="6" w:space="0" w:color="000000"/>
              <w:right w:val="outset" w:sz="6" w:space="0" w:color="000000"/>
            </w:tcBorders>
            <w:hideMark/>
          </w:tcPr>
          <w:p w:rsidR="0027703F" w:rsidRPr="00670C5D" w:rsidRDefault="00CB2339" w:rsidP="0027703F">
            <w:pPr>
              <w:pStyle w:val="NormalWeb"/>
              <w:spacing w:before="0" w:beforeAutospacing="0" w:after="0" w:afterAutospacing="0"/>
              <w:jc w:val="both"/>
              <w:rPr>
                <w:iCs/>
              </w:rPr>
            </w:pPr>
            <w:r w:rsidRPr="002E1B75">
              <w:rPr>
                <w:iCs/>
                <w:spacing w:val="-2"/>
              </w:rPr>
              <w:t xml:space="preserve">Sabiedrības pārstāvji varēja līdzdarboties projekta izstrādē, </w:t>
            </w:r>
            <w:proofErr w:type="spellStart"/>
            <w:r w:rsidRPr="002E1B75">
              <w:rPr>
                <w:iCs/>
                <w:spacing w:val="-2"/>
              </w:rPr>
              <w:t>rakstveidā</w:t>
            </w:r>
            <w:proofErr w:type="spellEnd"/>
            <w:r w:rsidRPr="002E1B75">
              <w:rPr>
                <w:iCs/>
                <w:spacing w:val="-2"/>
              </w:rPr>
              <w:t xml:space="preserve"> sniedzot viedokļus par projektu, kas </w:t>
            </w:r>
            <w:r w:rsidRPr="002E1B75">
              <w:rPr>
                <w:iCs/>
              </w:rPr>
              <w:t>201</w:t>
            </w:r>
            <w:r>
              <w:rPr>
                <w:iCs/>
              </w:rPr>
              <w:t>9.gada 25.martā</w:t>
            </w:r>
            <w:r w:rsidRPr="002E1B75">
              <w:rPr>
                <w:iCs/>
              </w:rPr>
              <w:t xml:space="preserve"> publicēts Finanšu ministrijas tīmekļvietnē sadaļā “Sabiedrības līdzdalība” – “Tiesību aktu projekti” – “</w:t>
            </w:r>
            <w:r>
              <w:rPr>
                <w:iCs/>
              </w:rPr>
              <w:t>Pašvaldību finanšu uzraudzības līdzdalība</w:t>
            </w:r>
            <w:r w:rsidRPr="002E1B75">
              <w:rPr>
                <w:iCs/>
              </w:rPr>
              <w:t>”,</w:t>
            </w:r>
            <w:r>
              <w:rPr>
                <w:iCs/>
              </w:rPr>
              <w:t xml:space="preserve"> </w:t>
            </w:r>
            <w:r w:rsidRPr="002E1B75">
              <w:rPr>
                <w:iCs/>
              </w:rPr>
              <w:t>adrese:</w:t>
            </w:r>
            <w:r>
              <w:rPr>
                <w:iCs/>
              </w:rPr>
              <w:t xml:space="preserve"> </w:t>
            </w:r>
          </w:p>
          <w:p w:rsidR="00CD1E32" w:rsidRPr="00CB2339" w:rsidRDefault="000640B2" w:rsidP="00CB2339">
            <w:pPr>
              <w:pStyle w:val="NormalWeb"/>
              <w:spacing w:before="0" w:beforeAutospacing="0" w:after="0" w:afterAutospacing="0"/>
              <w:jc w:val="both"/>
              <w:rPr>
                <w:color w:val="0070C0"/>
                <w:u w:val="single"/>
              </w:rPr>
            </w:pPr>
            <w:hyperlink r:id="rId8" w:anchor="project551" w:history="1">
              <w:r w:rsidR="00670C5D" w:rsidRPr="00670C5D">
                <w:rPr>
                  <w:rStyle w:val="Hyperlink"/>
                </w:rPr>
                <w:t xml:space="preserve">http://www.fm.gov.lv/lv/sabiedribas_lidzdaliba/ </w:t>
              </w:r>
              <w:proofErr w:type="spellStart"/>
              <w:r w:rsidR="00670C5D" w:rsidRPr="00670C5D">
                <w:rPr>
                  <w:rStyle w:val="Hyperlink"/>
                </w:rPr>
                <w:t>tiesibu_aktu_projekti</w:t>
              </w:r>
              <w:proofErr w:type="spellEnd"/>
              <w:r w:rsidR="00670C5D" w:rsidRPr="00670C5D">
                <w:rPr>
                  <w:rStyle w:val="Hyperlink"/>
                </w:rPr>
                <w:t>/ pasvaldibu_finansu_uzraudzibas_politika#project551</w:t>
              </w:r>
            </w:hyperlink>
          </w:p>
        </w:tc>
      </w:tr>
      <w:tr w:rsidR="0027703F" w:rsidTr="00AE2B97">
        <w:tc>
          <w:tcPr>
            <w:tcW w:w="437" w:type="dxa"/>
            <w:tcBorders>
              <w:top w:val="outset" w:sz="6" w:space="0" w:color="000000"/>
              <w:left w:val="outset" w:sz="6" w:space="0" w:color="000000"/>
              <w:bottom w:val="outset" w:sz="6" w:space="0" w:color="000000"/>
              <w:right w:val="outset" w:sz="6" w:space="0" w:color="000000"/>
            </w:tcBorders>
            <w:hideMark/>
          </w:tcPr>
          <w:p w:rsidR="00CD1E32" w:rsidRDefault="00CD1E32">
            <w:pPr>
              <w:pStyle w:val="NormalWeb"/>
              <w:spacing w:before="0" w:beforeAutospacing="0" w:after="0" w:afterAutospacing="0"/>
              <w:rPr>
                <w:sz w:val="26"/>
                <w:szCs w:val="26"/>
              </w:rPr>
            </w:pPr>
            <w:r>
              <w:rPr>
                <w:sz w:val="26"/>
                <w:szCs w:val="26"/>
              </w:rPr>
              <w:t>3.</w:t>
            </w:r>
          </w:p>
        </w:tc>
        <w:tc>
          <w:tcPr>
            <w:tcW w:w="1577" w:type="dxa"/>
            <w:tcBorders>
              <w:top w:val="outset" w:sz="6" w:space="0" w:color="000000"/>
              <w:left w:val="outset" w:sz="6" w:space="0" w:color="000000"/>
              <w:bottom w:val="outset" w:sz="6" w:space="0" w:color="000000"/>
              <w:right w:val="outset" w:sz="6" w:space="0" w:color="000000"/>
            </w:tcBorders>
            <w:hideMark/>
          </w:tcPr>
          <w:p w:rsidR="00CD1E32" w:rsidRDefault="00CD1E32">
            <w:pPr>
              <w:pStyle w:val="NormalWeb"/>
              <w:spacing w:before="0" w:beforeAutospacing="0" w:after="0" w:afterAutospacing="0"/>
              <w:rPr>
                <w:sz w:val="26"/>
                <w:szCs w:val="26"/>
              </w:rPr>
            </w:pPr>
            <w:r>
              <w:rPr>
                <w:sz w:val="26"/>
                <w:szCs w:val="26"/>
              </w:rPr>
              <w:t>Sabiedrības līdzdalības rezultāti</w:t>
            </w:r>
          </w:p>
        </w:tc>
        <w:tc>
          <w:tcPr>
            <w:tcW w:w="7334" w:type="dxa"/>
            <w:tcBorders>
              <w:top w:val="outset" w:sz="6" w:space="0" w:color="000000"/>
              <w:left w:val="outset" w:sz="6" w:space="0" w:color="000000"/>
              <w:bottom w:val="outset" w:sz="6" w:space="0" w:color="000000"/>
              <w:right w:val="outset" w:sz="6" w:space="0" w:color="000000"/>
            </w:tcBorders>
            <w:hideMark/>
          </w:tcPr>
          <w:p w:rsidR="00CD1E32" w:rsidRDefault="00CB2339" w:rsidP="00CB2339">
            <w:pPr>
              <w:pStyle w:val="NormalWeb"/>
              <w:spacing w:before="0" w:beforeAutospacing="0" w:after="0" w:afterAutospacing="0"/>
              <w:ind w:right="140"/>
              <w:jc w:val="both"/>
              <w:rPr>
                <w:sz w:val="26"/>
                <w:szCs w:val="26"/>
              </w:rPr>
            </w:pPr>
            <w:r w:rsidRPr="002D530C">
              <w:rPr>
                <w:iCs/>
              </w:rPr>
              <w:t>Sabiedrības pārstāvju iebildumi un priekšlikumi nav saņemti.</w:t>
            </w:r>
          </w:p>
        </w:tc>
      </w:tr>
      <w:tr w:rsidR="0027703F" w:rsidTr="00AE2B97">
        <w:tc>
          <w:tcPr>
            <w:tcW w:w="437" w:type="dxa"/>
            <w:tcBorders>
              <w:top w:val="outset" w:sz="6" w:space="0" w:color="000000"/>
              <w:left w:val="outset" w:sz="6" w:space="0" w:color="000000"/>
              <w:bottom w:val="outset" w:sz="6" w:space="0" w:color="000000"/>
              <w:right w:val="outset" w:sz="6" w:space="0" w:color="000000"/>
            </w:tcBorders>
            <w:hideMark/>
          </w:tcPr>
          <w:p w:rsidR="00CD1E32" w:rsidRDefault="00CD1E32">
            <w:pPr>
              <w:pStyle w:val="NormalWeb"/>
              <w:spacing w:before="0" w:beforeAutospacing="0" w:after="0" w:afterAutospacing="0"/>
              <w:rPr>
                <w:sz w:val="26"/>
                <w:szCs w:val="26"/>
              </w:rPr>
            </w:pPr>
            <w:r>
              <w:rPr>
                <w:sz w:val="26"/>
                <w:szCs w:val="26"/>
              </w:rPr>
              <w:t>4.</w:t>
            </w:r>
          </w:p>
        </w:tc>
        <w:tc>
          <w:tcPr>
            <w:tcW w:w="1577" w:type="dxa"/>
            <w:tcBorders>
              <w:top w:val="outset" w:sz="6" w:space="0" w:color="000000"/>
              <w:left w:val="outset" w:sz="6" w:space="0" w:color="000000"/>
              <w:bottom w:val="outset" w:sz="6" w:space="0" w:color="000000"/>
              <w:right w:val="outset" w:sz="6" w:space="0" w:color="000000"/>
            </w:tcBorders>
            <w:hideMark/>
          </w:tcPr>
          <w:p w:rsidR="00CD1E32" w:rsidRDefault="00CD1E32">
            <w:pPr>
              <w:pStyle w:val="NormalWeb"/>
              <w:spacing w:before="0" w:beforeAutospacing="0" w:after="0" w:afterAutospacing="0"/>
              <w:rPr>
                <w:sz w:val="26"/>
                <w:szCs w:val="26"/>
              </w:rPr>
            </w:pPr>
            <w:r>
              <w:rPr>
                <w:sz w:val="26"/>
                <w:szCs w:val="26"/>
              </w:rPr>
              <w:t>Cita informācija</w:t>
            </w:r>
          </w:p>
        </w:tc>
        <w:tc>
          <w:tcPr>
            <w:tcW w:w="7334" w:type="dxa"/>
            <w:tcBorders>
              <w:top w:val="outset" w:sz="6" w:space="0" w:color="000000"/>
              <w:left w:val="outset" w:sz="6" w:space="0" w:color="000000"/>
              <w:bottom w:val="outset" w:sz="6" w:space="0" w:color="000000"/>
              <w:right w:val="outset" w:sz="6" w:space="0" w:color="000000"/>
            </w:tcBorders>
            <w:hideMark/>
          </w:tcPr>
          <w:p w:rsidR="00CD1E32" w:rsidRDefault="00CD1E32">
            <w:pPr>
              <w:pStyle w:val="NormalWeb"/>
              <w:spacing w:before="0" w:beforeAutospacing="0" w:after="0" w:afterAutospacing="0"/>
              <w:ind w:left="69" w:right="140"/>
              <w:rPr>
                <w:sz w:val="26"/>
                <w:szCs w:val="26"/>
              </w:rPr>
            </w:pPr>
            <w:r>
              <w:rPr>
                <w:sz w:val="26"/>
                <w:szCs w:val="26"/>
              </w:rPr>
              <w:t>Nav.</w:t>
            </w:r>
          </w:p>
        </w:tc>
      </w:tr>
    </w:tbl>
    <w:p w:rsidR="00CD1E32" w:rsidRDefault="00CD1E32" w:rsidP="00CD1E32">
      <w:pPr>
        <w:pStyle w:val="NormalWeb"/>
        <w:spacing w:before="0" w:beforeAutospacing="0" w:after="0" w:afterAutospacing="0"/>
        <w:rPr>
          <w:sz w:val="26"/>
          <w:szCs w:val="26"/>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39"/>
        <w:gridCol w:w="4014"/>
        <w:gridCol w:w="4907"/>
      </w:tblGrid>
      <w:tr w:rsidR="00CD1E32" w:rsidTr="00E30857">
        <w:tc>
          <w:tcPr>
            <w:tcW w:w="5000" w:type="pct"/>
            <w:gridSpan w:val="3"/>
            <w:hideMark/>
          </w:tcPr>
          <w:p w:rsidR="00CD1E32" w:rsidRDefault="00CD1E32">
            <w:pPr>
              <w:pStyle w:val="NormalWeb"/>
              <w:spacing w:before="0" w:beforeAutospacing="0" w:after="0" w:afterAutospacing="0"/>
              <w:jc w:val="center"/>
              <w:rPr>
                <w:b/>
                <w:bCs/>
                <w:sz w:val="26"/>
                <w:szCs w:val="26"/>
              </w:rPr>
            </w:pPr>
            <w:r>
              <w:rPr>
                <w:b/>
                <w:bCs/>
                <w:sz w:val="26"/>
                <w:szCs w:val="26"/>
              </w:rPr>
              <w:t>VII. Tiesību akta projekta izpildes nodrošināšana un tās ietekme uz institūcijām</w:t>
            </w:r>
          </w:p>
        </w:tc>
      </w:tr>
      <w:tr w:rsidR="00CD1E32" w:rsidTr="00E30857">
        <w:tc>
          <w:tcPr>
            <w:tcW w:w="235" w:type="pct"/>
            <w:hideMark/>
          </w:tcPr>
          <w:p w:rsidR="00CD1E32" w:rsidRDefault="00CD1E32">
            <w:pPr>
              <w:pStyle w:val="NormalWeb"/>
              <w:spacing w:before="0" w:beforeAutospacing="0" w:after="0" w:afterAutospacing="0"/>
              <w:rPr>
                <w:sz w:val="26"/>
                <w:szCs w:val="26"/>
              </w:rPr>
            </w:pPr>
            <w:r>
              <w:rPr>
                <w:sz w:val="26"/>
                <w:szCs w:val="26"/>
              </w:rPr>
              <w:t>1.</w:t>
            </w:r>
          </w:p>
        </w:tc>
        <w:tc>
          <w:tcPr>
            <w:tcW w:w="2144" w:type="pct"/>
            <w:hideMark/>
          </w:tcPr>
          <w:p w:rsidR="00CD1E32" w:rsidRDefault="00CD1E32">
            <w:pPr>
              <w:pStyle w:val="NormalWeb"/>
              <w:spacing w:before="0" w:beforeAutospacing="0" w:after="0" w:afterAutospacing="0"/>
              <w:rPr>
                <w:sz w:val="26"/>
                <w:szCs w:val="26"/>
              </w:rPr>
            </w:pPr>
            <w:r>
              <w:rPr>
                <w:sz w:val="26"/>
                <w:szCs w:val="26"/>
              </w:rPr>
              <w:t>Projekta izpildē iesaistītās institūcijas</w:t>
            </w:r>
          </w:p>
        </w:tc>
        <w:tc>
          <w:tcPr>
            <w:tcW w:w="2620" w:type="pct"/>
            <w:hideMark/>
          </w:tcPr>
          <w:p w:rsidR="00CD1E32" w:rsidRDefault="00CD1E32">
            <w:pPr>
              <w:pStyle w:val="NormalWeb"/>
              <w:spacing w:before="0" w:beforeAutospacing="0" w:after="0" w:afterAutospacing="0"/>
              <w:ind w:left="69" w:right="140"/>
              <w:jc w:val="both"/>
              <w:rPr>
                <w:sz w:val="26"/>
                <w:szCs w:val="26"/>
              </w:rPr>
            </w:pPr>
            <w:r>
              <w:rPr>
                <w:sz w:val="26"/>
                <w:szCs w:val="26"/>
              </w:rPr>
              <w:t>Finanšu ministrija, Valsts kase, Valsts ieņēmumu dienests un pašvaldības.</w:t>
            </w:r>
          </w:p>
        </w:tc>
      </w:tr>
      <w:tr w:rsidR="00CD1E32" w:rsidTr="00E30857">
        <w:tc>
          <w:tcPr>
            <w:tcW w:w="235" w:type="pct"/>
          </w:tcPr>
          <w:p w:rsidR="00CD1E32" w:rsidRDefault="00CD1E32">
            <w:pPr>
              <w:pStyle w:val="NormalWeb"/>
              <w:spacing w:before="0" w:beforeAutospacing="0" w:after="0" w:afterAutospacing="0"/>
              <w:rPr>
                <w:sz w:val="26"/>
                <w:szCs w:val="26"/>
              </w:rPr>
            </w:pPr>
            <w:r>
              <w:rPr>
                <w:sz w:val="26"/>
                <w:szCs w:val="26"/>
              </w:rPr>
              <w:t>2.</w:t>
            </w:r>
          </w:p>
          <w:p w:rsidR="00CD1E32" w:rsidRDefault="00CD1E32">
            <w:pPr>
              <w:rPr>
                <w:sz w:val="26"/>
                <w:szCs w:val="26"/>
              </w:rPr>
            </w:pPr>
          </w:p>
          <w:p w:rsidR="00CD1E32" w:rsidRDefault="00CD1E32">
            <w:pPr>
              <w:rPr>
                <w:sz w:val="26"/>
                <w:szCs w:val="26"/>
              </w:rPr>
            </w:pPr>
          </w:p>
          <w:p w:rsidR="00CD1E32" w:rsidRDefault="00CD1E32">
            <w:pPr>
              <w:rPr>
                <w:sz w:val="26"/>
                <w:szCs w:val="26"/>
              </w:rPr>
            </w:pPr>
          </w:p>
          <w:p w:rsidR="00CD1E32" w:rsidRDefault="00CD1E32">
            <w:pPr>
              <w:rPr>
                <w:sz w:val="26"/>
                <w:szCs w:val="26"/>
              </w:rPr>
            </w:pPr>
          </w:p>
          <w:p w:rsidR="00CD1E32" w:rsidRDefault="00CD1E32">
            <w:pPr>
              <w:rPr>
                <w:sz w:val="26"/>
                <w:szCs w:val="26"/>
              </w:rPr>
            </w:pPr>
          </w:p>
          <w:p w:rsidR="00CD1E32" w:rsidRDefault="00CD1E32">
            <w:pPr>
              <w:rPr>
                <w:sz w:val="26"/>
                <w:szCs w:val="26"/>
              </w:rPr>
            </w:pPr>
          </w:p>
        </w:tc>
        <w:tc>
          <w:tcPr>
            <w:tcW w:w="2144" w:type="pct"/>
            <w:hideMark/>
          </w:tcPr>
          <w:p w:rsidR="00CD1E32" w:rsidRDefault="00CD1E32">
            <w:pPr>
              <w:pStyle w:val="NormalWeb"/>
              <w:spacing w:before="0" w:beforeAutospacing="0" w:after="0" w:afterAutospacing="0"/>
              <w:rPr>
                <w:sz w:val="26"/>
                <w:szCs w:val="26"/>
              </w:rPr>
            </w:pPr>
            <w:r>
              <w:rPr>
                <w:sz w:val="26"/>
                <w:szCs w:val="26"/>
              </w:rPr>
              <w:t>Projekta izpildes ietekme uz pārvaldes funkcijām un institucionālo struktūru.</w:t>
            </w:r>
          </w:p>
          <w:p w:rsidR="00CD1E32" w:rsidRDefault="00CD1E32">
            <w:pPr>
              <w:pStyle w:val="NormalWeb"/>
              <w:spacing w:before="0" w:beforeAutospacing="0" w:after="0" w:afterAutospacing="0"/>
              <w:rPr>
                <w:sz w:val="26"/>
                <w:szCs w:val="26"/>
              </w:rPr>
            </w:pPr>
            <w:r>
              <w:rPr>
                <w:sz w:val="26"/>
                <w:szCs w:val="26"/>
              </w:rPr>
              <w:t>Jaunu institūciju izveide, esošo institūciju likvidācija vai reorganizācija, to ietekme uz institūcijas cilvēkresursiem</w:t>
            </w:r>
          </w:p>
        </w:tc>
        <w:tc>
          <w:tcPr>
            <w:tcW w:w="2620" w:type="pct"/>
            <w:hideMark/>
          </w:tcPr>
          <w:p w:rsidR="00CD1E32" w:rsidRDefault="00CD1E32">
            <w:pPr>
              <w:pStyle w:val="NormalWeb"/>
              <w:spacing w:before="0" w:beforeAutospacing="0" w:after="0" w:afterAutospacing="0"/>
              <w:ind w:left="69" w:right="140"/>
              <w:jc w:val="both"/>
              <w:rPr>
                <w:sz w:val="26"/>
                <w:szCs w:val="26"/>
              </w:rPr>
            </w:pPr>
            <w:r>
              <w:rPr>
                <w:sz w:val="26"/>
                <w:szCs w:val="26"/>
              </w:rPr>
              <w:t>Iesaistītās institūcijas noteikumu projekta izpildi nodrošina to esošo funkciju</w:t>
            </w:r>
            <w:r w:rsidR="00541A6F">
              <w:rPr>
                <w:sz w:val="26"/>
                <w:szCs w:val="26"/>
              </w:rPr>
              <w:t xml:space="preserve">, uzdevumu, cilvēkresursu un finansējuma </w:t>
            </w:r>
            <w:r>
              <w:rPr>
                <w:sz w:val="26"/>
                <w:szCs w:val="26"/>
              </w:rPr>
              <w:t>ietvaros.</w:t>
            </w:r>
          </w:p>
          <w:p w:rsidR="00CD1E32" w:rsidRDefault="00CD1E32">
            <w:pPr>
              <w:pStyle w:val="NormalWeb"/>
              <w:spacing w:before="0" w:beforeAutospacing="0" w:after="0" w:afterAutospacing="0"/>
              <w:ind w:left="69" w:right="140"/>
              <w:jc w:val="both"/>
              <w:rPr>
                <w:sz w:val="26"/>
                <w:szCs w:val="26"/>
              </w:rPr>
            </w:pPr>
            <w:r>
              <w:rPr>
                <w:sz w:val="26"/>
                <w:szCs w:val="26"/>
              </w:rPr>
              <w:t>Noteikumu projekta izpildei nav nepieciešams radīt jaunas vai likvidēt esošās institūcijas, kā arī nav nepieciešams reorganizēt esošās institūcijas.</w:t>
            </w:r>
          </w:p>
        </w:tc>
      </w:tr>
      <w:tr w:rsidR="00CD1E32" w:rsidTr="00E30857">
        <w:tc>
          <w:tcPr>
            <w:tcW w:w="235" w:type="pct"/>
            <w:hideMark/>
          </w:tcPr>
          <w:p w:rsidR="00CD1E32" w:rsidRDefault="00CD1E32">
            <w:pPr>
              <w:pStyle w:val="NormalWeb"/>
              <w:spacing w:before="0" w:beforeAutospacing="0" w:after="0" w:afterAutospacing="0"/>
              <w:rPr>
                <w:sz w:val="26"/>
                <w:szCs w:val="26"/>
              </w:rPr>
            </w:pPr>
            <w:r>
              <w:rPr>
                <w:sz w:val="26"/>
                <w:szCs w:val="26"/>
              </w:rPr>
              <w:t>3.</w:t>
            </w:r>
          </w:p>
        </w:tc>
        <w:tc>
          <w:tcPr>
            <w:tcW w:w="2144" w:type="pct"/>
            <w:hideMark/>
          </w:tcPr>
          <w:p w:rsidR="00CD1E32" w:rsidRDefault="00CD1E32">
            <w:pPr>
              <w:pStyle w:val="NormalWeb"/>
              <w:spacing w:before="0" w:beforeAutospacing="0" w:after="0" w:afterAutospacing="0"/>
              <w:rPr>
                <w:sz w:val="26"/>
                <w:szCs w:val="26"/>
              </w:rPr>
            </w:pPr>
            <w:r>
              <w:rPr>
                <w:sz w:val="26"/>
                <w:szCs w:val="26"/>
              </w:rPr>
              <w:t>Cita informācija</w:t>
            </w:r>
          </w:p>
        </w:tc>
        <w:tc>
          <w:tcPr>
            <w:tcW w:w="2620" w:type="pct"/>
            <w:hideMark/>
          </w:tcPr>
          <w:p w:rsidR="00CD1E32" w:rsidRDefault="00CD1E32">
            <w:pPr>
              <w:pStyle w:val="NormalWeb"/>
              <w:spacing w:before="0" w:beforeAutospacing="0" w:after="0" w:afterAutospacing="0"/>
              <w:rPr>
                <w:sz w:val="26"/>
                <w:szCs w:val="26"/>
              </w:rPr>
            </w:pPr>
            <w:r>
              <w:rPr>
                <w:sz w:val="26"/>
                <w:szCs w:val="26"/>
              </w:rPr>
              <w:t>Nav.</w:t>
            </w:r>
          </w:p>
        </w:tc>
      </w:tr>
    </w:tbl>
    <w:p w:rsidR="00E30857" w:rsidRDefault="00E30857" w:rsidP="00CD1E32">
      <w:pPr>
        <w:rPr>
          <w:sz w:val="28"/>
          <w:szCs w:val="28"/>
        </w:rPr>
      </w:pPr>
    </w:p>
    <w:p w:rsidR="00EE4F1C" w:rsidRDefault="00EE4F1C" w:rsidP="00CD1E32">
      <w:pPr>
        <w:rPr>
          <w:sz w:val="28"/>
          <w:szCs w:val="28"/>
        </w:rPr>
      </w:pPr>
    </w:p>
    <w:p w:rsidR="00EE4F1C" w:rsidRDefault="00EE4F1C" w:rsidP="00CD1E32">
      <w:pPr>
        <w:rPr>
          <w:sz w:val="28"/>
          <w:szCs w:val="28"/>
        </w:rPr>
      </w:pPr>
    </w:p>
    <w:p w:rsidR="00EE4F1C" w:rsidRDefault="00EE4F1C" w:rsidP="00CD1E32">
      <w:pPr>
        <w:rPr>
          <w:sz w:val="28"/>
          <w:szCs w:val="28"/>
        </w:rPr>
      </w:pPr>
    </w:p>
    <w:p w:rsidR="00EE4F1C" w:rsidRDefault="00EE4F1C" w:rsidP="00CD1E32">
      <w:pPr>
        <w:rPr>
          <w:sz w:val="28"/>
          <w:szCs w:val="28"/>
        </w:rPr>
      </w:pPr>
    </w:p>
    <w:p w:rsidR="00EE4F1C" w:rsidRDefault="00EE4F1C" w:rsidP="00CD1E32">
      <w:pPr>
        <w:rPr>
          <w:sz w:val="28"/>
          <w:szCs w:val="28"/>
        </w:rPr>
      </w:pPr>
    </w:p>
    <w:p w:rsidR="00EE4F1C" w:rsidRDefault="00EE4F1C" w:rsidP="00CD1E32">
      <w:pPr>
        <w:rPr>
          <w:sz w:val="28"/>
          <w:szCs w:val="28"/>
        </w:rPr>
      </w:pPr>
    </w:p>
    <w:tbl>
      <w:tblPr>
        <w:tblW w:w="9214" w:type="dxa"/>
        <w:tblBorders>
          <w:insideH w:val="single" w:sz="4" w:space="0" w:color="auto"/>
        </w:tblBorders>
        <w:tblLook w:val="04A0" w:firstRow="1" w:lastRow="0" w:firstColumn="1" w:lastColumn="0" w:noHBand="0" w:noVBand="1"/>
      </w:tblPr>
      <w:tblGrid>
        <w:gridCol w:w="4561"/>
        <w:gridCol w:w="4653"/>
      </w:tblGrid>
      <w:tr w:rsidR="00CD1E32" w:rsidTr="00D97681">
        <w:tc>
          <w:tcPr>
            <w:tcW w:w="4561" w:type="dxa"/>
            <w:hideMark/>
          </w:tcPr>
          <w:p w:rsidR="00CD1E32" w:rsidRDefault="00CD1E32" w:rsidP="00D97681">
            <w:pPr>
              <w:ind w:hanging="105"/>
              <w:rPr>
                <w:sz w:val="28"/>
                <w:szCs w:val="28"/>
              </w:rPr>
            </w:pPr>
            <w:r>
              <w:rPr>
                <w:sz w:val="28"/>
                <w:szCs w:val="28"/>
              </w:rPr>
              <w:t>Finanšu ministr</w:t>
            </w:r>
            <w:r w:rsidR="00E30857">
              <w:rPr>
                <w:sz w:val="28"/>
                <w:szCs w:val="28"/>
              </w:rPr>
              <w:t>s</w:t>
            </w:r>
          </w:p>
        </w:tc>
        <w:tc>
          <w:tcPr>
            <w:tcW w:w="4653" w:type="dxa"/>
            <w:hideMark/>
          </w:tcPr>
          <w:p w:rsidR="00CD1E32" w:rsidRDefault="00E30857" w:rsidP="00D97681">
            <w:pPr>
              <w:ind w:right="-72"/>
              <w:jc w:val="right"/>
              <w:rPr>
                <w:sz w:val="28"/>
                <w:szCs w:val="28"/>
              </w:rPr>
            </w:pPr>
            <w:r>
              <w:rPr>
                <w:sz w:val="28"/>
                <w:szCs w:val="28"/>
              </w:rPr>
              <w:t>Jānis Reirs</w:t>
            </w:r>
          </w:p>
        </w:tc>
      </w:tr>
    </w:tbl>
    <w:p w:rsidR="00CD1E32" w:rsidRDefault="00CD1E32" w:rsidP="00CD1E32">
      <w:pPr>
        <w:rPr>
          <w:sz w:val="26"/>
          <w:szCs w:val="26"/>
        </w:rPr>
      </w:pPr>
    </w:p>
    <w:p w:rsidR="00CD1E32" w:rsidRDefault="00CD1E32" w:rsidP="00CD1E32">
      <w:pPr>
        <w:rPr>
          <w:sz w:val="26"/>
          <w:szCs w:val="26"/>
        </w:rPr>
      </w:pPr>
    </w:p>
    <w:p w:rsidR="00EE4F1C" w:rsidRDefault="00EE4F1C" w:rsidP="00E30857">
      <w:pPr>
        <w:tabs>
          <w:tab w:val="left" w:pos="8222"/>
        </w:tabs>
        <w:rPr>
          <w:sz w:val="26"/>
          <w:szCs w:val="26"/>
        </w:rPr>
      </w:pPr>
    </w:p>
    <w:p w:rsidR="00EE4F1C" w:rsidRDefault="00EE4F1C" w:rsidP="00E30857">
      <w:pPr>
        <w:tabs>
          <w:tab w:val="left" w:pos="8222"/>
        </w:tabs>
        <w:rPr>
          <w:sz w:val="26"/>
          <w:szCs w:val="26"/>
        </w:rPr>
      </w:pPr>
    </w:p>
    <w:p w:rsidR="00EE4F1C" w:rsidRDefault="00EE4F1C" w:rsidP="00E30857">
      <w:pPr>
        <w:tabs>
          <w:tab w:val="left" w:pos="8222"/>
        </w:tabs>
        <w:rPr>
          <w:sz w:val="26"/>
          <w:szCs w:val="26"/>
        </w:rPr>
      </w:pPr>
    </w:p>
    <w:p w:rsidR="00EE4F1C" w:rsidRDefault="00EE4F1C" w:rsidP="00E30857">
      <w:pPr>
        <w:tabs>
          <w:tab w:val="left" w:pos="8222"/>
        </w:tabs>
        <w:rPr>
          <w:sz w:val="26"/>
          <w:szCs w:val="26"/>
        </w:rPr>
      </w:pPr>
    </w:p>
    <w:p w:rsidR="00EE4F1C" w:rsidRDefault="00EE4F1C" w:rsidP="00E30857">
      <w:pPr>
        <w:tabs>
          <w:tab w:val="left" w:pos="8222"/>
        </w:tabs>
        <w:rPr>
          <w:sz w:val="26"/>
          <w:szCs w:val="26"/>
        </w:rPr>
      </w:pPr>
    </w:p>
    <w:p w:rsidR="00EE4F1C" w:rsidRDefault="00EE4F1C" w:rsidP="00E30857">
      <w:pPr>
        <w:tabs>
          <w:tab w:val="left" w:pos="8222"/>
        </w:tabs>
        <w:rPr>
          <w:sz w:val="26"/>
          <w:szCs w:val="26"/>
        </w:rPr>
      </w:pPr>
    </w:p>
    <w:p w:rsidR="00EE4F1C" w:rsidRDefault="00EE4F1C" w:rsidP="00E30857">
      <w:pPr>
        <w:tabs>
          <w:tab w:val="left" w:pos="8222"/>
        </w:tabs>
        <w:rPr>
          <w:sz w:val="26"/>
          <w:szCs w:val="26"/>
        </w:rPr>
      </w:pPr>
    </w:p>
    <w:p w:rsidR="00EE4F1C" w:rsidRDefault="00EE4F1C" w:rsidP="00E30857">
      <w:pPr>
        <w:tabs>
          <w:tab w:val="left" w:pos="8222"/>
        </w:tabs>
        <w:rPr>
          <w:sz w:val="26"/>
          <w:szCs w:val="26"/>
        </w:rPr>
      </w:pPr>
    </w:p>
    <w:p w:rsidR="00EE4F1C" w:rsidRDefault="00EE4F1C" w:rsidP="00E30857">
      <w:pPr>
        <w:tabs>
          <w:tab w:val="left" w:pos="8222"/>
        </w:tabs>
        <w:rPr>
          <w:sz w:val="26"/>
          <w:szCs w:val="26"/>
        </w:rPr>
      </w:pPr>
    </w:p>
    <w:p w:rsidR="00EE4F1C" w:rsidRDefault="00EE4F1C" w:rsidP="00E30857">
      <w:pPr>
        <w:tabs>
          <w:tab w:val="left" w:pos="8222"/>
        </w:tabs>
        <w:rPr>
          <w:sz w:val="26"/>
          <w:szCs w:val="26"/>
        </w:rPr>
      </w:pPr>
    </w:p>
    <w:p w:rsidR="00EE4F1C" w:rsidRDefault="00EE4F1C" w:rsidP="00E30857">
      <w:pPr>
        <w:tabs>
          <w:tab w:val="left" w:pos="8222"/>
        </w:tabs>
        <w:rPr>
          <w:sz w:val="26"/>
          <w:szCs w:val="26"/>
        </w:rPr>
      </w:pPr>
    </w:p>
    <w:p w:rsidR="00EE4F1C" w:rsidRDefault="00EE4F1C" w:rsidP="00E30857">
      <w:pPr>
        <w:tabs>
          <w:tab w:val="left" w:pos="8222"/>
        </w:tabs>
        <w:rPr>
          <w:sz w:val="26"/>
          <w:szCs w:val="26"/>
        </w:rPr>
      </w:pPr>
    </w:p>
    <w:p w:rsidR="00CD1E32" w:rsidRDefault="00CD1E32" w:rsidP="00E30857">
      <w:pPr>
        <w:tabs>
          <w:tab w:val="left" w:pos="8222"/>
        </w:tabs>
        <w:rPr>
          <w:sz w:val="26"/>
          <w:szCs w:val="26"/>
        </w:rPr>
      </w:pPr>
      <w:r>
        <w:rPr>
          <w:sz w:val="26"/>
          <w:szCs w:val="26"/>
        </w:rPr>
        <w:tab/>
      </w:r>
    </w:p>
    <w:p w:rsidR="00CD1E32" w:rsidRDefault="00521361" w:rsidP="00CD1E32">
      <w:pPr>
        <w:rPr>
          <w:sz w:val="20"/>
          <w:szCs w:val="20"/>
        </w:rPr>
      </w:pPr>
      <w:r>
        <w:rPr>
          <w:sz w:val="20"/>
          <w:szCs w:val="20"/>
        </w:rPr>
        <w:t>Zandare</w:t>
      </w:r>
      <w:r w:rsidR="00CD1E32">
        <w:rPr>
          <w:sz w:val="20"/>
          <w:szCs w:val="20"/>
        </w:rPr>
        <w:t xml:space="preserve"> 670</w:t>
      </w:r>
      <w:r>
        <w:rPr>
          <w:sz w:val="20"/>
          <w:szCs w:val="20"/>
        </w:rPr>
        <w:t>95472</w:t>
      </w:r>
    </w:p>
    <w:p w:rsidR="00CD1E32" w:rsidRDefault="00521361" w:rsidP="00CD1E32">
      <w:pPr>
        <w:rPr>
          <w:sz w:val="26"/>
          <w:szCs w:val="26"/>
        </w:rPr>
      </w:pPr>
      <w:r>
        <w:rPr>
          <w:sz w:val="20"/>
          <w:szCs w:val="20"/>
        </w:rPr>
        <w:t>Lolita.Zandare</w:t>
      </w:r>
      <w:r w:rsidR="00CD1E32">
        <w:rPr>
          <w:sz w:val="20"/>
          <w:szCs w:val="20"/>
        </w:rPr>
        <w:t>@fm.gov.lv</w:t>
      </w:r>
    </w:p>
    <w:p w:rsidR="004644FD" w:rsidRDefault="004644FD" w:rsidP="00CD1E32">
      <w:pPr>
        <w:ind w:right="-241"/>
      </w:pPr>
    </w:p>
    <w:sectPr w:rsidR="004644FD" w:rsidSect="00B50F21">
      <w:headerReference w:type="default" r:id="rId9"/>
      <w:footerReference w:type="default" r:id="rId10"/>
      <w:footerReference w:type="first" r:id="rId11"/>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D02" w:rsidRDefault="00E10D02" w:rsidP="00CD1E32">
      <w:r>
        <w:separator/>
      </w:r>
    </w:p>
  </w:endnote>
  <w:endnote w:type="continuationSeparator" w:id="0">
    <w:p w:rsidR="00E10D02" w:rsidRDefault="00E10D02" w:rsidP="00CD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06" w:rsidRDefault="00A64B06">
    <w:pPr>
      <w:pStyle w:val="Footer"/>
      <w:jc w:val="center"/>
    </w:pPr>
  </w:p>
  <w:p w:rsidR="00CD1E32" w:rsidRPr="00A64B06" w:rsidRDefault="00333568">
    <w:pPr>
      <w:pStyle w:val="Footer"/>
      <w:rPr>
        <w:sz w:val="20"/>
        <w:szCs w:val="20"/>
      </w:rPr>
    </w:pPr>
    <w:r>
      <w:rPr>
        <w:sz w:val="20"/>
        <w:szCs w:val="20"/>
      </w:rPr>
      <w:t>FManot_12</w:t>
    </w:r>
    <w:r w:rsidR="00A64B06" w:rsidRPr="00A64B06">
      <w:rPr>
        <w:sz w:val="20"/>
        <w:szCs w:val="20"/>
      </w:rPr>
      <w:t>0419_PFI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6F" w:rsidRPr="00A64B06" w:rsidRDefault="009E456F" w:rsidP="009E456F">
    <w:pPr>
      <w:pStyle w:val="Footer"/>
      <w:rPr>
        <w:sz w:val="20"/>
        <w:szCs w:val="20"/>
      </w:rPr>
    </w:pPr>
    <w:r>
      <w:rPr>
        <w:sz w:val="20"/>
        <w:szCs w:val="20"/>
      </w:rPr>
      <w:t>FManot_12</w:t>
    </w:r>
    <w:r w:rsidRPr="00A64B06">
      <w:rPr>
        <w:sz w:val="20"/>
        <w:szCs w:val="20"/>
      </w:rPr>
      <w:t>0419_PFI</w:t>
    </w:r>
  </w:p>
  <w:p w:rsidR="009E456F" w:rsidRDefault="009E4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D02" w:rsidRDefault="00E10D02" w:rsidP="00CD1E32">
      <w:r>
        <w:separator/>
      </w:r>
    </w:p>
  </w:footnote>
  <w:footnote w:type="continuationSeparator" w:id="0">
    <w:p w:rsidR="00E10D02" w:rsidRDefault="00E10D02" w:rsidP="00CD1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241876"/>
      <w:docPartObj>
        <w:docPartGallery w:val="Page Numbers (Top of Page)"/>
        <w:docPartUnique/>
      </w:docPartObj>
    </w:sdtPr>
    <w:sdtEndPr>
      <w:rPr>
        <w:noProof/>
      </w:rPr>
    </w:sdtEndPr>
    <w:sdtContent>
      <w:p w:rsidR="009D44FC" w:rsidRDefault="009D44FC">
        <w:pPr>
          <w:pStyle w:val="Header"/>
          <w:jc w:val="center"/>
        </w:pPr>
        <w:r>
          <w:fldChar w:fldCharType="begin"/>
        </w:r>
        <w:r>
          <w:instrText xml:space="preserve"> PAGE   \* MERGEFORMAT </w:instrText>
        </w:r>
        <w:r>
          <w:fldChar w:fldCharType="separate"/>
        </w:r>
        <w:r w:rsidR="000640B2">
          <w:rPr>
            <w:noProof/>
          </w:rPr>
          <w:t>4</w:t>
        </w:r>
        <w:r>
          <w:rPr>
            <w:noProof/>
          </w:rPr>
          <w:fldChar w:fldCharType="end"/>
        </w:r>
      </w:p>
    </w:sdtContent>
  </w:sdt>
  <w:p w:rsidR="009D44FC" w:rsidRDefault="009D4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2214"/>
    <w:multiLevelType w:val="hybridMultilevel"/>
    <w:tmpl w:val="71CE5984"/>
    <w:lvl w:ilvl="0" w:tplc="C9241D6E">
      <w:start w:val="1"/>
      <w:numFmt w:val="decimal"/>
      <w:lvlText w:val="%1)"/>
      <w:lvlJc w:val="left"/>
      <w:pPr>
        <w:ind w:left="428" w:hanging="375"/>
      </w:pPr>
    </w:lvl>
    <w:lvl w:ilvl="1" w:tplc="04260019">
      <w:start w:val="1"/>
      <w:numFmt w:val="lowerLetter"/>
      <w:lvlText w:val="%2."/>
      <w:lvlJc w:val="left"/>
      <w:pPr>
        <w:ind w:left="1133" w:hanging="360"/>
      </w:pPr>
    </w:lvl>
    <w:lvl w:ilvl="2" w:tplc="0426001B">
      <w:start w:val="1"/>
      <w:numFmt w:val="lowerRoman"/>
      <w:lvlText w:val="%3."/>
      <w:lvlJc w:val="right"/>
      <w:pPr>
        <w:ind w:left="1853" w:hanging="180"/>
      </w:pPr>
    </w:lvl>
    <w:lvl w:ilvl="3" w:tplc="0426000F">
      <w:start w:val="1"/>
      <w:numFmt w:val="decimal"/>
      <w:lvlText w:val="%4."/>
      <w:lvlJc w:val="left"/>
      <w:pPr>
        <w:ind w:left="2573" w:hanging="360"/>
      </w:pPr>
    </w:lvl>
    <w:lvl w:ilvl="4" w:tplc="04260019">
      <w:start w:val="1"/>
      <w:numFmt w:val="lowerLetter"/>
      <w:lvlText w:val="%5."/>
      <w:lvlJc w:val="left"/>
      <w:pPr>
        <w:ind w:left="3293" w:hanging="360"/>
      </w:pPr>
    </w:lvl>
    <w:lvl w:ilvl="5" w:tplc="0426001B">
      <w:start w:val="1"/>
      <w:numFmt w:val="lowerRoman"/>
      <w:lvlText w:val="%6."/>
      <w:lvlJc w:val="right"/>
      <w:pPr>
        <w:ind w:left="4013" w:hanging="180"/>
      </w:pPr>
    </w:lvl>
    <w:lvl w:ilvl="6" w:tplc="0426000F">
      <w:start w:val="1"/>
      <w:numFmt w:val="decimal"/>
      <w:lvlText w:val="%7."/>
      <w:lvlJc w:val="left"/>
      <w:pPr>
        <w:ind w:left="4733" w:hanging="360"/>
      </w:pPr>
    </w:lvl>
    <w:lvl w:ilvl="7" w:tplc="04260019">
      <w:start w:val="1"/>
      <w:numFmt w:val="lowerLetter"/>
      <w:lvlText w:val="%8."/>
      <w:lvlJc w:val="left"/>
      <w:pPr>
        <w:ind w:left="5453" w:hanging="360"/>
      </w:pPr>
    </w:lvl>
    <w:lvl w:ilvl="8" w:tplc="0426001B">
      <w:start w:val="1"/>
      <w:numFmt w:val="lowerRoman"/>
      <w:lvlText w:val="%9."/>
      <w:lvlJc w:val="right"/>
      <w:pPr>
        <w:ind w:left="617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32"/>
    <w:rsid w:val="000640B2"/>
    <w:rsid w:val="0027703F"/>
    <w:rsid w:val="00333568"/>
    <w:rsid w:val="0041361C"/>
    <w:rsid w:val="004617BC"/>
    <w:rsid w:val="004644FD"/>
    <w:rsid w:val="004D7273"/>
    <w:rsid w:val="00521361"/>
    <w:rsid w:val="0053494C"/>
    <w:rsid w:val="00541A6F"/>
    <w:rsid w:val="005A39CD"/>
    <w:rsid w:val="005C225A"/>
    <w:rsid w:val="006018AC"/>
    <w:rsid w:val="0060592C"/>
    <w:rsid w:val="0064197D"/>
    <w:rsid w:val="00670C5D"/>
    <w:rsid w:val="00673360"/>
    <w:rsid w:val="006A1372"/>
    <w:rsid w:val="006F46F3"/>
    <w:rsid w:val="00701EF6"/>
    <w:rsid w:val="0073468D"/>
    <w:rsid w:val="00761882"/>
    <w:rsid w:val="007C650D"/>
    <w:rsid w:val="007D7F8E"/>
    <w:rsid w:val="009B26BE"/>
    <w:rsid w:val="009D44FC"/>
    <w:rsid w:val="009E456F"/>
    <w:rsid w:val="00A02681"/>
    <w:rsid w:val="00A64B06"/>
    <w:rsid w:val="00AE2B97"/>
    <w:rsid w:val="00B05DD0"/>
    <w:rsid w:val="00B41BE1"/>
    <w:rsid w:val="00B50F21"/>
    <w:rsid w:val="00C379ED"/>
    <w:rsid w:val="00CB2339"/>
    <w:rsid w:val="00CD1E32"/>
    <w:rsid w:val="00CF4D9D"/>
    <w:rsid w:val="00CF7735"/>
    <w:rsid w:val="00D97681"/>
    <w:rsid w:val="00E10D02"/>
    <w:rsid w:val="00E30857"/>
    <w:rsid w:val="00EE4F1C"/>
    <w:rsid w:val="00F128F3"/>
    <w:rsid w:val="00F57439"/>
    <w:rsid w:val="00F81847"/>
    <w:rsid w:val="00FD6B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2CE2C-D957-415C-BBF2-F10844F9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32"/>
    <w:pPr>
      <w:spacing w:after="0" w:line="240" w:lineRule="auto"/>
    </w:pPr>
    <w:rPr>
      <w:rFonts w:eastAsia="Times New Roman"/>
      <w:lang w:eastAsia="lv-LV"/>
    </w:rPr>
  </w:style>
  <w:style w:type="paragraph" w:styleId="Heading2">
    <w:name w:val="heading 2"/>
    <w:basedOn w:val="Normal"/>
    <w:next w:val="Normal"/>
    <w:link w:val="Heading2Char"/>
    <w:semiHidden/>
    <w:unhideWhenUsed/>
    <w:qFormat/>
    <w:rsid w:val="00CD1E32"/>
    <w:pPr>
      <w:keepNext/>
      <w:spacing w:before="240" w:after="60"/>
      <w:jc w:val="both"/>
      <w:outlineLvl w:val="1"/>
    </w:pPr>
    <w:rPr>
      <w:rFonts w:ascii="Cambria" w:hAnsi="Cambria"/>
      <w:b/>
      <w:bCs/>
      <w:i/>
      <w:iCs/>
      <w:sz w:val="28"/>
      <w:szCs w:val="28"/>
      <w:lang w:eastAsia="en-US"/>
    </w:rPr>
  </w:style>
  <w:style w:type="paragraph" w:styleId="Heading3">
    <w:name w:val="heading 3"/>
    <w:basedOn w:val="Normal"/>
    <w:next w:val="Normal"/>
    <w:link w:val="Heading3Char"/>
    <w:semiHidden/>
    <w:unhideWhenUsed/>
    <w:qFormat/>
    <w:rsid w:val="00CD1E32"/>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D1E32"/>
    <w:rPr>
      <w:rFonts w:ascii="Cambria" w:eastAsia="Times New Roman" w:hAnsi="Cambria"/>
      <w:b/>
      <w:bCs/>
      <w:i/>
      <w:iCs/>
      <w:sz w:val="28"/>
      <w:szCs w:val="28"/>
    </w:rPr>
  </w:style>
  <w:style w:type="character" w:customStyle="1" w:styleId="Heading3Char">
    <w:name w:val="Heading 3 Char"/>
    <w:basedOn w:val="DefaultParagraphFont"/>
    <w:link w:val="Heading3"/>
    <w:semiHidden/>
    <w:rsid w:val="00CD1E32"/>
    <w:rPr>
      <w:rFonts w:eastAsia="Times New Roman"/>
      <w:sz w:val="28"/>
      <w:szCs w:val="20"/>
    </w:rPr>
  </w:style>
  <w:style w:type="character" w:styleId="Hyperlink">
    <w:name w:val="Hyperlink"/>
    <w:unhideWhenUsed/>
    <w:rsid w:val="00CD1E32"/>
    <w:rPr>
      <w:color w:val="0000FF"/>
      <w:u w:val="single"/>
    </w:rPr>
  </w:style>
  <w:style w:type="paragraph" w:styleId="NormalWeb">
    <w:name w:val="Normal (Web)"/>
    <w:basedOn w:val="Normal"/>
    <w:uiPriority w:val="99"/>
    <w:unhideWhenUsed/>
    <w:rsid w:val="00CD1E32"/>
    <w:pPr>
      <w:spacing w:before="100" w:beforeAutospacing="1" w:after="100" w:afterAutospacing="1"/>
    </w:pPr>
  </w:style>
  <w:style w:type="paragraph" w:styleId="Header">
    <w:name w:val="header"/>
    <w:basedOn w:val="Normal"/>
    <w:link w:val="HeaderChar"/>
    <w:uiPriority w:val="99"/>
    <w:unhideWhenUsed/>
    <w:rsid w:val="00CD1E32"/>
    <w:pPr>
      <w:tabs>
        <w:tab w:val="center" w:pos="4153"/>
        <w:tab w:val="right" w:pos="8306"/>
      </w:tabs>
    </w:pPr>
  </w:style>
  <w:style w:type="character" w:customStyle="1" w:styleId="HeaderChar">
    <w:name w:val="Header Char"/>
    <w:basedOn w:val="DefaultParagraphFont"/>
    <w:link w:val="Header"/>
    <w:uiPriority w:val="99"/>
    <w:rsid w:val="00CD1E32"/>
    <w:rPr>
      <w:rFonts w:eastAsia="Times New Roman"/>
      <w:lang w:eastAsia="lv-LV"/>
    </w:rPr>
  </w:style>
  <w:style w:type="paragraph" w:styleId="Footer">
    <w:name w:val="footer"/>
    <w:basedOn w:val="Normal"/>
    <w:link w:val="FooterChar"/>
    <w:uiPriority w:val="99"/>
    <w:unhideWhenUsed/>
    <w:rsid w:val="00CD1E32"/>
    <w:pPr>
      <w:tabs>
        <w:tab w:val="center" w:pos="4153"/>
        <w:tab w:val="right" w:pos="8306"/>
      </w:tabs>
    </w:pPr>
  </w:style>
  <w:style w:type="character" w:customStyle="1" w:styleId="FooterChar">
    <w:name w:val="Footer Char"/>
    <w:basedOn w:val="DefaultParagraphFont"/>
    <w:link w:val="Footer"/>
    <w:uiPriority w:val="99"/>
    <w:rsid w:val="00CD1E32"/>
    <w:rPr>
      <w:rFonts w:eastAsia="Times New Roman"/>
      <w:lang w:eastAsia="lv-LV"/>
    </w:rPr>
  </w:style>
  <w:style w:type="paragraph" w:customStyle="1" w:styleId="naisc">
    <w:name w:val="naisc"/>
    <w:basedOn w:val="Normal"/>
    <w:rsid w:val="00FD6B6F"/>
    <w:pPr>
      <w:spacing w:before="75" w:after="75"/>
      <w:jc w:val="center"/>
    </w:pPr>
  </w:style>
  <w:style w:type="character" w:styleId="FollowedHyperlink">
    <w:name w:val="FollowedHyperlink"/>
    <w:basedOn w:val="DefaultParagraphFont"/>
    <w:uiPriority w:val="99"/>
    <w:semiHidden/>
    <w:unhideWhenUsed/>
    <w:rsid w:val="00CB2339"/>
    <w:rPr>
      <w:color w:val="954F72" w:themeColor="followedHyperlink"/>
      <w:u w:val="single"/>
    </w:rPr>
  </w:style>
  <w:style w:type="table" w:styleId="TableGrid">
    <w:name w:val="Table Grid"/>
    <w:basedOn w:val="TableNormal"/>
    <w:uiPriority w:val="59"/>
    <w:rsid w:val="0060592C"/>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6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lv/sabiedribas_lidzdaliba/tiesibu_aktu_projekti/pasvaldibu_finansu_uzraudzibas_politi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A6106-1E9F-4AF2-90FB-0D3F5ED2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4515</Words>
  <Characters>2575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Noteikumu projektja "Noteikumi par PFIF ieņēmumiem un to sadales kārtība 2019.gadā" sākotnējās ietekmes novērtējuma ziņojums (anotācija)</vt:lpstr>
    </vt:vector>
  </TitlesOfParts>
  <Company>Finanšu Ministrija</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"Noteikumi par PFIF ieņēmumiem un to sadales kārtība 2019.gadā" sākotnējās ietekmes novērtējuma ziņojums (anotācija)</dc:title>
  <dc:subject>Noteikumu projekta anotācija</dc:subject>
  <dc:creator>Sandra Vītola</dc:creator>
  <cp:keywords/>
  <dc:description>e-pasts: sandra.vitola@fm.gov.lv_x000d_
tālrunis 67083876</dc:description>
  <cp:lastModifiedBy>Lolita Zandare</cp:lastModifiedBy>
  <cp:revision>22</cp:revision>
  <cp:lastPrinted>2019-04-12T11:20:00Z</cp:lastPrinted>
  <dcterms:created xsi:type="dcterms:W3CDTF">2019-03-18T12:51:00Z</dcterms:created>
  <dcterms:modified xsi:type="dcterms:W3CDTF">2019-04-15T13:24:00Z</dcterms:modified>
</cp:coreProperties>
</file>