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0F" w:rsidRPr="00E455BE" w:rsidRDefault="0035750F" w:rsidP="0035750F">
      <w:pPr>
        <w:spacing w:after="120"/>
        <w:jc w:val="right"/>
        <w:rPr>
          <w:rFonts w:eastAsia="Times New Roman" w:cs="Times New Roman"/>
          <w:i/>
          <w:szCs w:val="24"/>
        </w:rPr>
      </w:pPr>
      <w:r w:rsidRPr="00E455BE">
        <w:rPr>
          <w:rFonts w:eastAsia="Times New Roman" w:cs="Times New Roman"/>
          <w:i/>
          <w:szCs w:val="24"/>
        </w:rPr>
        <w:t>PROJEKTS</w:t>
      </w:r>
    </w:p>
    <w:p w:rsidR="00AF7F91" w:rsidRPr="005F69F7" w:rsidRDefault="00AF7F91" w:rsidP="0035750F">
      <w:pPr>
        <w:jc w:val="both"/>
        <w:rPr>
          <w:szCs w:val="24"/>
        </w:rPr>
      </w:pPr>
    </w:p>
    <w:p w:rsidR="0035750F" w:rsidRPr="005F69F7" w:rsidRDefault="00EC1D5A" w:rsidP="0035750F">
      <w:pPr>
        <w:jc w:val="both"/>
        <w:rPr>
          <w:rFonts w:eastAsia="Times New Roman" w:cs="Times New Roman"/>
          <w:szCs w:val="24"/>
        </w:rPr>
      </w:pPr>
      <w:r>
        <w:rPr>
          <w:szCs w:val="24"/>
        </w:rPr>
        <w:t xml:space="preserve">Uz </w:t>
      </w:r>
      <w:r w:rsidR="00E80A71">
        <w:rPr>
          <w:szCs w:val="24"/>
        </w:rPr>
        <w:t>17.10.2018</w:t>
      </w:r>
      <w:r w:rsidR="0035750F" w:rsidRPr="005F69F7">
        <w:rPr>
          <w:szCs w:val="24"/>
        </w:rPr>
        <w:t>. Nr. </w:t>
      </w:r>
      <w:r w:rsidR="00E80A71">
        <w:rPr>
          <w:szCs w:val="24"/>
        </w:rPr>
        <w:t>1-5/123</w:t>
      </w:r>
    </w:p>
    <w:p w:rsidR="00EC1D5A" w:rsidRPr="005F69F7" w:rsidRDefault="0035750F" w:rsidP="00EE792B">
      <w:pPr>
        <w:ind w:firstLine="720"/>
        <w:jc w:val="right"/>
        <w:rPr>
          <w:rFonts w:eastAsia="Times New Roman" w:cs="Times New Roman"/>
          <w:b/>
          <w:szCs w:val="24"/>
        </w:rPr>
      </w:pPr>
      <w:r w:rsidRPr="005F69F7">
        <w:rPr>
          <w:rFonts w:eastAsia="Times New Roman" w:cs="Times New Roman"/>
          <w:b/>
          <w:szCs w:val="24"/>
        </w:rPr>
        <w:t>Latvijas Republikas</w:t>
      </w:r>
      <w:r w:rsidR="00EE792B">
        <w:rPr>
          <w:rFonts w:eastAsia="Times New Roman" w:cs="Times New Roman"/>
          <w:b/>
          <w:szCs w:val="24"/>
        </w:rPr>
        <w:t xml:space="preserve"> tiesībsargam</w:t>
      </w:r>
    </w:p>
    <w:p w:rsidR="0035750F" w:rsidRPr="005F69F7" w:rsidRDefault="0035750F" w:rsidP="0035750F">
      <w:pPr>
        <w:jc w:val="both"/>
        <w:rPr>
          <w:rFonts w:eastAsia="Times New Roman" w:cs="Times New Roman"/>
          <w:i/>
          <w:szCs w:val="24"/>
        </w:rPr>
      </w:pPr>
    </w:p>
    <w:p w:rsidR="00623B62" w:rsidRDefault="00623B62" w:rsidP="0035750F">
      <w:pPr>
        <w:jc w:val="both"/>
        <w:rPr>
          <w:rFonts w:eastAsia="Times New Roman" w:cs="Times New Roman"/>
          <w:i/>
          <w:szCs w:val="24"/>
        </w:rPr>
      </w:pPr>
      <w:r>
        <w:rPr>
          <w:rFonts w:eastAsia="Times New Roman" w:cs="Times New Roman"/>
          <w:i/>
          <w:szCs w:val="24"/>
        </w:rPr>
        <w:t xml:space="preserve">Par </w:t>
      </w:r>
      <w:r w:rsidR="001B539D">
        <w:rPr>
          <w:rFonts w:eastAsia="Times New Roman" w:cs="Times New Roman"/>
          <w:i/>
          <w:szCs w:val="24"/>
        </w:rPr>
        <w:t xml:space="preserve">2019.gada valsts budžeta </w:t>
      </w:r>
    </w:p>
    <w:p w:rsidR="0035750F" w:rsidRPr="005F69F7" w:rsidRDefault="001B539D" w:rsidP="0035750F">
      <w:pPr>
        <w:jc w:val="both"/>
        <w:rPr>
          <w:rFonts w:eastAsia="Times New Roman" w:cs="Times New Roman"/>
          <w:i/>
          <w:szCs w:val="24"/>
        </w:rPr>
      </w:pPr>
      <w:r>
        <w:rPr>
          <w:rFonts w:eastAsia="Times New Roman" w:cs="Times New Roman"/>
          <w:i/>
          <w:szCs w:val="24"/>
        </w:rPr>
        <w:t>prioritātēm cilvēktiesību jomā</w:t>
      </w:r>
    </w:p>
    <w:p w:rsidR="001A0EC5" w:rsidRPr="005F69F7" w:rsidRDefault="001A0EC5" w:rsidP="001A0EC5">
      <w:pPr>
        <w:jc w:val="both"/>
        <w:rPr>
          <w:rFonts w:eastAsia="Times New Roman" w:cs="Times New Roman"/>
          <w:i/>
          <w:szCs w:val="24"/>
        </w:rPr>
      </w:pPr>
    </w:p>
    <w:p w:rsidR="001A0EC5" w:rsidRPr="00EE2B71" w:rsidRDefault="001B539D" w:rsidP="00305AA4">
      <w:pPr>
        <w:ind w:firstLine="720"/>
        <w:jc w:val="both"/>
        <w:rPr>
          <w:rFonts w:eastAsia="Times New Roman" w:cs="Times New Roman"/>
          <w:color w:val="000000"/>
          <w:szCs w:val="24"/>
          <w:lang w:eastAsia="lv-LV"/>
        </w:rPr>
      </w:pPr>
      <w:r>
        <w:rPr>
          <w:rFonts w:eastAsia="Times New Roman" w:cs="Times New Roman"/>
          <w:color w:val="000000"/>
          <w:szCs w:val="24"/>
          <w:lang w:eastAsia="lv-LV"/>
        </w:rPr>
        <w:t xml:space="preserve">Ministru kabinets </w:t>
      </w:r>
      <w:r w:rsidR="00A02996">
        <w:rPr>
          <w:rFonts w:eastAsia="Times New Roman" w:cs="Times New Roman"/>
          <w:color w:val="000000"/>
          <w:szCs w:val="24"/>
          <w:lang w:eastAsia="lv-LV"/>
        </w:rPr>
        <w:t>ir izskatījis</w:t>
      </w:r>
      <w:r>
        <w:rPr>
          <w:rFonts w:eastAsia="Times New Roman" w:cs="Times New Roman"/>
          <w:color w:val="000000"/>
          <w:szCs w:val="24"/>
          <w:lang w:eastAsia="lv-LV"/>
        </w:rPr>
        <w:t xml:space="preserve"> </w:t>
      </w:r>
      <w:r w:rsidR="00623B62">
        <w:rPr>
          <w:rFonts w:eastAsia="Times New Roman" w:cs="Times New Roman"/>
          <w:color w:val="000000"/>
          <w:szCs w:val="24"/>
          <w:lang w:eastAsia="lv-LV"/>
        </w:rPr>
        <w:t xml:space="preserve">Latvijas Republikas </w:t>
      </w:r>
      <w:r>
        <w:rPr>
          <w:rFonts w:eastAsia="Times New Roman" w:cs="Times New Roman"/>
          <w:color w:val="000000"/>
          <w:szCs w:val="24"/>
          <w:lang w:eastAsia="lv-LV"/>
        </w:rPr>
        <w:t>tiesībsarga 2018.gada 17.oktobra vēstuli Nr.1-5/123 par tiesībsarga redzējumu par 2019.gada valsts budžeta prioritātēm cilvēktiesību jomā</w:t>
      </w:r>
      <w:r w:rsidR="00623B62">
        <w:rPr>
          <w:rFonts w:eastAsia="Times New Roman" w:cs="Times New Roman"/>
          <w:color w:val="000000"/>
          <w:szCs w:val="24"/>
          <w:lang w:eastAsia="lv-LV"/>
        </w:rPr>
        <w:t xml:space="preserve"> (turpmāk tekstā – </w:t>
      </w:r>
      <w:r w:rsidR="00623B62" w:rsidRPr="00EE2B71">
        <w:rPr>
          <w:rFonts w:eastAsia="Times New Roman" w:cs="Times New Roman"/>
          <w:color w:val="000000"/>
          <w:szCs w:val="24"/>
          <w:lang w:eastAsia="lv-LV"/>
        </w:rPr>
        <w:t>vēstule)</w:t>
      </w:r>
      <w:r w:rsidR="00A02996">
        <w:rPr>
          <w:rFonts w:eastAsia="Times New Roman" w:cs="Times New Roman"/>
          <w:color w:val="000000"/>
          <w:szCs w:val="24"/>
          <w:lang w:eastAsia="lv-LV"/>
        </w:rPr>
        <w:t xml:space="preserve"> un informē par tālāk minēto</w:t>
      </w:r>
      <w:r w:rsidRPr="00EE2B71">
        <w:rPr>
          <w:rFonts w:eastAsia="Times New Roman" w:cs="Times New Roman"/>
          <w:color w:val="000000"/>
          <w:szCs w:val="24"/>
          <w:lang w:eastAsia="lv-LV"/>
        </w:rPr>
        <w:t>.</w:t>
      </w:r>
    </w:p>
    <w:p w:rsidR="001B539D" w:rsidRPr="00EE2B71" w:rsidRDefault="00305AA4" w:rsidP="00305AA4">
      <w:pPr>
        <w:ind w:firstLine="720"/>
        <w:jc w:val="both"/>
        <w:rPr>
          <w:rFonts w:cs="Times New Roman"/>
          <w:szCs w:val="24"/>
          <w:lang w:eastAsia="lv-LV"/>
        </w:rPr>
      </w:pPr>
      <w:r w:rsidRPr="00EE2B71">
        <w:rPr>
          <w:rFonts w:eastAsia="Times New Roman" w:cs="Times New Roman"/>
          <w:color w:val="000000"/>
          <w:szCs w:val="24"/>
          <w:lang w:eastAsia="lv-LV"/>
        </w:rPr>
        <w:t>Ministru kabinets</w:t>
      </w:r>
      <w:r w:rsidR="001B539D" w:rsidRPr="00EE2B71">
        <w:rPr>
          <w:rFonts w:eastAsia="Times New Roman" w:cs="Times New Roman"/>
          <w:color w:val="000000"/>
          <w:szCs w:val="24"/>
          <w:lang w:eastAsia="lv-LV"/>
        </w:rPr>
        <w:t xml:space="preserve"> izprot un piekrīt vēstulē paustajam viedoklim, ka valstij, plānojot ikgadējo budžetu, jāpievērš uzmanība pasākumiem, kas dod iespēju ikvienam Latvijas iedzīvotājam nodrošināt pamatvajadzības.</w:t>
      </w:r>
      <w:r w:rsidR="00314DB7" w:rsidRPr="00EE2B71">
        <w:rPr>
          <w:rFonts w:cs="Times New Roman"/>
          <w:szCs w:val="24"/>
        </w:rPr>
        <w:t xml:space="preserve"> </w:t>
      </w:r>
      <w:r w:rsidR="001B539D" w:rsidRPr="00EE2B71">
        <w:rPr>
          <w:rFonts w:cs="Times New Roman"/>
          <w:szCs w:val="24"/>
        </w:rPr>
        <w:t xml:space="preserve">Vienlaikus </w:t>
      </w:r>
      <w:r w:rsidR="001B539D" w:rsidRPr="00EE2B71">
        <w:rPr>
          <w:rFonts w:cs="Times New Roman"/>
          <w:szCs w:val="24"/>
          <w:lang w:eastAsia="lv-LV"/>
        </w:rPr>
        <w:t>jāatzīmē, ka</w:t>
      </w:r>
      <w:r w:rsidR="00240904" w:rsidRPr="00EE2B71">
        <w:rPr>
          <w:rFonts w:cs="Times New Roman"/>
          <w:szCs w:val="24"/>
          <w:lang w:eastAsia="lv-LV"/>
        </w:rPr>
        <w:t xml:space="preserve"> Ministru kabinetam</w:t>
      </w:r>
      <w:r w:rsidR="001B539D" w:rsidRPr="00EE2B71">
        <w:rPr>
          <w:rFonts w:cs="Times New Roman"/>
          <w:szCs w:val="24"/>
          <w:lang w:eastAsia="lv-LV"/>
        </w:rPr>
        <w:t xml:space="preserve">, rēķinoties ar iekasēto budžeta ieņēmumu apmēru, </w:t>
      </w:r>
      <w:r w:rsidR="00411A4A">
        <w:rPr>
          <w:rFonts w:cs="Times New Roman"/>
          <w:szCs w:val="24"/>
          <w:lang w:eastAsia="lv-LV"/>
        </w:rPr>
        <w:t xml:space="preserve">kā arī ievērojot </w:t>
      </w:r>
      <w:r w:rsidR="00411A4A" w:rsidRPr="00840239">
        <w:rPr>
          <w:rFonts w:cs="Times New Roman"/>
          <w:szCs w:val="24"/>
          <w:lang w:eastAsia="lv-LV"/>
        </w:rPr>
        <w:t xml:space="preserve">nacionālo fiskālās disciplīnas regulējumu </w:t>
      </w:r>
      <w:r w:rsidR="00411A4A">
        <w:rPr>
          <w:rFonts w:cs="Times New Roman"/>
          <w:szCs w:val="24"/>
          <w:lang w:eastAsia="lv-LV"/>
        </w:rPr>
        <w:t>un kopējos nosacījumus</w:t>
      </w:r>
      <w:r w:rsidR="00411A4A" w:rsidRPr="00840239">
        <w:rPr>
          <w:rFonts w:cs="Times New Roman"/>
          <w:szCs w:val="24"/>
          <w:lang w:eastAsia="lv-LV"/>
        </w:rPr>
        <w:t xml:space="preserve"> attiecībā uz budžeta politikas īstenošanu Eiropas Savienībā</w:t>
      </w:r>
      <w:r w:rsidR="00411A4A">
        <w:rPr>
          <w:rFonts w:cs="Times New Roman"/>
          <w:szCs w:val="24"/>
          <w:lang w:eastAsia="lv-LV"/>
        </w:rPr>
        <w:t xml:space="preserve"> un eirozonā, </w:t>
      </w:r>
      <w:r w:rsidR="001B539D" w:rsidRPr="00EE2B71">
        <w:rPr>
          <w:rFonts w:cs="Times New Roman"/>
          <w:szCs w:val="24"/>
          <w:lang w:eastAsia="lv-LV"/>
        </w:rPr>
        <w:t>ir jālīdzsvaro valsts vajadzības visās jomās.</w:t>
      </w:r>
    </w:p>
    <w:p w:rsidR="00CB172B" w:rsidRDefault="00CB172B" w:rsidP="00CB172B">
      <w:pPr>
        <w:ind w:firstLine="709"/>
        <w:jc w:val="both"/>
      </w:pPr>
      <w:r>
        <w:rPr>
          <w:rFonts w:cs="Times New Roman"/>
          <w:szCs w:val="24"/>
          <w:lang w:eastAsia="lv-LV"/>
        </w:rPr>
        <w:t>Vēršam uzmanību</w:t>
      </w:r>
      <w:r w:rsidR="00950E5C" w:rsidRPr="00EE2B71">
        <w:rPr>
          <w:rFonts w:cs="Times New Roman"/>
          <w:szCs w:val="24"/>
          <w:lang w:eastAsia="lv-LV"/>
        </w:rPr>
        <w:t xml:space="preserve">, ka 2019.gada valsts budžets ir tehniskais budžets un </w:t>
      </w:r>
      <w:r>
        <w:rPr>
          <w:rFonts w:cs="Times New Roman"/>
          <w:szCs w:val="24"/>
          <w:lang w:eastAsia="lv-LV"/>
        </w:rPr>
        <w:t xml:space="preserve">valdībā </w:t>
      </w:r>
      <w:r w:rsidR="00950E5C" w:rsidRPr="00EE2B71">
        <w:rPr>
          <w:rFonts w:cs="Times New Roman"/>
          <w:szCs w:val="24"/>
          <w:lang w:eastAsia="lv-LV"/>
        </w:rPr>
        <w:t xml:space="preserve">nolemts pasākumus, kuri skar politikas izmaiņas, </w:t>
      </w:r>
      <w:r w:rsidR="00CC5660" w:rsidRPr="00EE2B71">
        <w:rPr>
          <w:rFonts w:cs="Times New Roman"/>
          <w:szCs w:val="24"/>
          <w:lang w:eastAsia="lv-LV"/>
        </w:rPr>
        <w:t>skatīt nākamā gada valsts budžeta sagatavošanas procesā, ko plāno</w:t>
      </w:r>
      <w:r>
        <w:rPr>
          <w:rFonts w:cs="Times New Roman"/>
          <w:szCs w:val="24"/>
          <w:lang w:eastAsia="lv-LV"/>
        </w:rPr>
        <w:t>ts</w:t>
      </w:r>
      <w:r w:rsidR="00CC5660" w:rsidRPr="00EE2B71">
        <w:rPr>
          <w:rFonts w:cs="Times New Roman"/>
          <w:szCs w:val="24"/>
          <w:lang w:eastAsia="lv-LV"/>
        </w:rPr>
        <w:t xml:space="preserve"> sākt jau š.g. apr</w:t>
      </w:r>
      <w:r w:rsidR="007121C8" w:rsidRPr="00EE2B71">
        <w:rPr>
          <w:rFonts w:cs="Times New Roman"/>
          <w:szCs w:val="24"/>
          <w:lang w:eastAsia="lv-LV"/>
        </w:rPr>
        <w:t>īlī</w:t>
      </w:r>
      <w:r w:rsidR="00CC5660" w:rsidRPr="00EE2B71">
        <w:rPr>
          <w:rFonts w:cs="Times New Roman"/>
          <w:szCs w:val="24"/>
          <w:lang w:eastAsia="lv-LV"/>
        </w:rPr>
        <w:t>.</w:t>
      </w:r>
      <w:r w:rsidRPr="00CB172B">
        <w:t xml:space="preserve"> </w:t>
      </w:r>
      <w:r w:rsidR="003501E1">
        <w:t>Jāatzīmē, ka l</w:t>
      </w:r>
      <w:r>
        <w:t>ikumprojektā “Par valsts budžetu 2019.gadam” netiek veiktas būtiskas politikas izmaiņas, bet tiek nodrošināts finansējums jau pieņemto lēmumu īstenošanai nemainīgā līmenī, kā arī atbalstīti tādi nozaru prioritārie pasākumi, kuru īstenošanai finansējums rasts galvenokārt no nozaru ministriju budžetā esošiem finanšu resursiem. Papildu finansējums piešķirts valsts līmeņa prioritāt</w:t>
      </w:r>
      <w:r w:rsidR="00717A77">
        <w:t xml:space="preserve">ēm </w:t>
      </w:r>
      <w:r>
        <w:t xml:space="preserve"> – noziedzīgi iegūtu līdzekļu legalizācijas un terorisma finansēšanas novēršanai (</w:t>
      </w:r>
      <w:proofErr w:type="spellStart"/>
      <w:r>
        <w:t>Moneyval</w:t>
      </w:r>
      <w:proofErr w:type="spellEnd"/>
      <w:r>
        <w:t>)</w:t>
      </w:r>
      <w:r w:rsidR="00717A77">
        <w:t xml:space="preserve"> un </w:t>
      </w:r>
      <w:r>
        <w:t>Diasporas likuma normu īstenošanai,  kā arī  neatliekamiem neatkarīgo institūciju prioritārajiem pasākumiem.</w:t>
      </w:r>
    </w:p>
    <w:p w:rsidR="001B539D" w:rsidRPr="001B539D" w:rsidRDefault="001B539D" w:rsidP="00CB172B">
      <w:pPr>
        <w:ind w:firstLine="709"/>
        <w:jc w:val="both"/>
        <w:rPr>
          <w:rFonts w:cs="Times New Roman"/>
          <w:iCs/>
          <w:szCs w:val="24"/>
        </w:rPr>
      </w:pPr>
      <w:r w:rsidRPr="00EE2B71">
        <w:rPr>
          <w:rFonts w:eastAsia="Times New Roman" w:cs="Times New Roman"/>
          <w:szCs w:val="24"/>
          <w:lang w:eastAsia="lv-LV"/>
        </w:rPr>
        <w:t xml:space="preserve">Attiecībā par vēstulē izteikto viedokli, ka veselības aprūpe ir joma, kas gadiem ir atstāta novārtā un netiek pienācīgi finansēta, vēlamies informēt, ka, </w:t>
      </w:r>
      <w:r w:rsidRPr="00EE2B71">
        <w:rPr>
          <w:rFonts w:cs="Times New Roman"/>
          <w:iCs/>
          <w:szCs w:val="24"/>
        </w:rPr>
        <w:t>lai gan jāpiekrīt, ka Latvijā vispārējās valdības budžeta izdevumi veselības funkcijai, salīdzinot ar citām Eiropas Savienības un Ekonomiskās sadarbības un attīstības organizācijas</w:t>
      </w:r>
      <w:r w:rsidRPr="00EE2B71">
        <w:rPr>
          <w:rFonts w:ascii="Arial" w:hAnsi="Arial" w:cs="Arial"/>
          <w:color w:val="0000FF"/>
          <w:szCs w:val="24"/>
          <w:lang w:eastAsia="lv-LV"/>
        </w:rPr>
        <w:t xml:space="preserve"> </w:t>
      </w:r>
      <w:r w:rsidRPr="00EE2B71">
        <w:rPr>
          <w:rFonts w:cs="Times New Roman"/>
          <w:iCs/>
          <w:szCs w:val="24"/>
        </w:rPr>
        <w:t>dalībvalstīm, ir salīdzinoši zemā līmen</w:t>
      </w:r>
      <w:r w:rsidRPr="001B539D">
        <w:rPr>
          <w:rFonts w:cs="Times New Roman"/>
          <w:iCs/>
          <w:szCs w:val="24"/>
        </w:rPr>
        <w:t xml:space="preserve">ī, tomēr </w:t>
      </w:r>
      <w:r w:rsidR="00240904">
        <w:rPr>
          <w:rFonts w:cs="Times New Roman"/>
          <w:iCs/>
          <w:szCs w:val="24"/>
        </w:rPr>
        <w:t>mūsu</w:t>
      </w:r>
      <w:r w:rsidRPr="001B539D">
        <w:rPr>
          <w:rFonts w:cs="Times New Roman"/>
          <w:iCs/>
          <w:szCs w:val="24"/>
        </w:rPr>
        <w:t xml:space="preserve"> ieskatā </w:t>
      </w:r>
      <w:r w:rsidR="00524AA5">
        <w:rPr>
          <w:rFonts w:cs="Times New Roman"/>
          <w:iCs/>
          <w:szCs w:val="24"/>
        </w:rPr>
        <w:t xml:space="preserve">jāņem </w:t>
      </w:r>
      <w:r w:rsidRPr="001B539D">
        <w:rPr>
          <w:rFonts w:cs="Times New Roman"/>
          <w:iCs/>
          <w:szCs w:val="24"/>
        </w:rPr>
        <w:t xml:space="preserve">vērā pēdējos budžeta sagatavošanas ciklos veselības nozarei piešķirto </w:t>
      </w:r>
      <w:r w:rsidR="00524AA5">
        <w:rPr>
          <w:rFonts w:cs="Times New Roman"/>
          <w:iCs/>
          <w:szCs w:val="24"/>
        </w:rPr>
        <w:t>budžeta</w:t>
      </w:r>
      <w:r w:rsidR="00524AA5" w:rsidRPr="001B539D">
        <w:rPr>
          <w:rFonts w:cs="Times New Roman"/>
          <w:iCs/>
          <w:szCs w:val="24"/>
        </w:rPr>
        <w:t xml:space="preserve"> </w:t>
      </w:r>
      <w:r w:rsidRPr="001B539D">
        <w:rPr>
          <w:rFonts w:cs="Times New Roman"/>
          <w:iCs/>
          <w:szCs w:val="24"/>
        </w:rPr>
        <w:t>pieaugumu.</w:t>
      </w:r>
    </w:p>
    <w:p w:rsidR="001B539D" w:rsidRPr="001B539D" w:rsidRDefault="001B539D" w:rsidP="005156DF">
      <w:pPr>
        <w:ind w:firstLine="709"/>
        <w:jc w:val="both"/>
        <w:rPr>
          <w:rFonts w:cs="Times New Roman"/>
          <w:iCs/>
          <w:szCs w:val="24"/>
        </w:rPr>
      </w:pPr>
      <w:r w:rsidRPr="001B539D">
        <w:rPr>
          <w:rFonts w:cs="Times New Roman"/>
          <w:iCs/>
          <w:szCs w:val="24"/>
        </w:rPr>
        <w:t>Finansējuma pieauguma jautājumi veselības nozarei ir risināti, kopš 2018.gada palielinot valsts sociālās apdrošināšanas obligāto iemaksu (turpmāk – VSAOI) likmi par vienu procenta punktu un to novirzot veselības nozarei. Tādējādi ieņēmumi no VSAOI sadales tik</w:t>
      </w:r>
      <w:r w:rsidR="00782339">
        <w:rPr>
          <w:rFonts w:cs="Times New Roman"/>
          <w:iCs/>
          <w:szCs w:val="24"/>
        </w:rPr>
        <w:t>a</w:t>
      </w:r>
      <w:r w:rsidRPr="001B539D">
        <w:rPr>
          <w:rFonts w:cs="Times New Roman"/>
          <w:iCs/>
          <w:szCs w:val="24"/>
        </w:rPr>
        <w:t xml:space="preserve"> novirzīti veselības aprūpes finansēšanai 2018.gadam 85,3 milj. </w:t>
      </w:r>
      <w:proofErr w:type="spellStart"/>
      <w:r w:rsidRPr="001B539D">
        <w:rPr>
          <w:rFonts w:cs="Times New Roman"/>
          <w:i/>
          <w:iCs/>
          <w:szCs w:val="24"/>
        </w:rPr>
        <w:t>euro</w:t>
      </w:r>
      <w:proofErr w:type="spellEnd"/>
      <w:r w:rsidRPr="001B539D">
        <w:rPr>
          <w:rFonts w:cs="Times New Roman"/>
          <w:i/>
          <w:iCs/>
          <w:szCs w:val="24"/>
        </w:rPr>
        <w:t xml:space="preserve"> </w:t>
      </w:r>
      <w:r w:rsidRPr="001B539D">
        <w:rPr>
          <w:rFonts w:cs="Times New Roman"/>
          <w:iCs/>
          <w:szCs w:val="24"/>
        </w:rPr>
        <w:t>apmērā</w:t>
      </w:r>
      <w:r w:rsidR="00240904">
        <w:rPr>
          <w:rFonts w:cs="Times New Roman"/>
          <w:iCs/>
          <w:szCs w:val="24"/>
        </w:rPr>
        <w:t xml:space="preserve">, 2019.gadam </w:t>
      </w:r>
      <w:r w:rsidR="00782339">
        <w:rPr>
          <w:rFonts w:cs="Times New Roman"/>
          <w:iCs/>
          <w:szCs w:val="24"/>
        </w:rPr>
        <w:t xml:space="preserve">tiks novirzīti </w:t>
      </w:r>
      <w:r w:rsidR="00240904">
        <w:rPr>
          <w:rFonts w:cs="Times New Roman"/>
          <w:iCs/>
          <w:szCs w:val="24"/>
        </w:rPr>
        <w:t>97,8</w:t>
      </w:r>
      <w:r w:rsidRPr="001B539D">
        <w:rPr>
          <w:rFonts w:cs="Times New Roman"/>
          <w:iCs/>
          <w:szCs w:val="24"/>
        </w:rPr>
        <w:t xml:space="preserve"> milj. </w:t>
      </w:r>
      <w:proofErr w:type="spellStart"/>
      <w:r w:rsidRPr="001B539D">
        <w:rPr>
          <w:rFonts w:cs="Times New Roman"/>
          <w:i/>
          <w:iCs/>
          <w:szCs w:val="24"/>
        </w:rPr>
        <w:t>euro</w:t>
      </w:r>
      <w:proofErr w:type="spellEnd"/>
      <w:r w:rsidRPr="001B539D">
        <w:rPr>
          <w:rFonts w:cs="Times New Roman"/>
          <w:iCs/>
          <w:szCs w:val="24"/>
        </w:rPr>
        <w:t xml:space="preserve"> apmērā, 2020.gadam </w:t>
      </w:r>
      <w:r w:rsidR="00240904">
        <w:rPr>
          <w:rFonts w:cs="Times New Roman"/>
          <w:iCs/>
          <w:szCs w:val="24"/>
        </w:rPr>
        <w:t>103,2</w:t>
      </w:r>
      <w:r w:rsidRPr="001B539D">
        <w:rPr>
          <w:rFonts w:cs="Times New Roman"/>
          <w:iCs/>
          <w:szCs w:val="24"/>
        </w:rPr>
        <w:t xml:space="preserve"> milj. </w:t>
      </w:r>
      <w:proofErr w:type="spellStart"/>
      <w:r w:rsidRPr="001B539D">
        <w:rPr>
          <w:rFonts w:cs="Times New Roman"/>
          <w:i/>
          <w:iCs/>
          <w:szCs w:val="24"/>
        </w:rPr>
        <w:t>euro</w:t>
      </w:r>
      <w:proofErr w:type="spellEnd"/>
      <w:r w:rsidRPr="001B539D">
        <w:rPr>
          <w:rFonts w:cs="Times New Roman"/>
          <w:iCs/>
          <w:szCs w:val="24"/>
        </w:rPr>
        <w:t xml:space="preserve"> apmērā </w:t>
      </w:r>
      <w:r w:rsidR="00240904">
        <w:rPr>
          <w:rFonts w:cs="Times New Roman"/>
          <w:iCs/>
          <w:szCs w:val="24"/>
        </w:rPr>
        <w:t>un 2021.gadam 108,9</w:t>
      </w:r>
      <w:r w:rsidRPr="001B539D">
        <w:rPr>
          <w:rFonts w:cs="Times New Roman"/>
          <w:iCs/>
          <w:szCs w:val="24"/>
        </w:rPr>
        <w:t xml:space="preserve"> milj. </w:t>
      </w:r>
      <w:proofErr w:type="spellStart"/>
      <w:r w:rsidRPr="001B539D">
        <w:rPr>
          <w:rFonts w:cs="Times New Roman"/>
          <w:i/>
          <w:iCs/>
          <w:szCs w:val="24"/>
        </w:rPr>
        <w:t>euro</w:t>
      </w:r>
      <w:proofErr w:type="spellEnd"/>
      <w:r w:rsidRPr="001B539D">
        <w:rPr>
          <w:rFonts w:cs="Times New Roman"/>
          <w:iCs/>
          <w:szCs w:val="24"/>
        </w:rPr>
        <w:t xml:space="preserve"> apmērā. </w:t>
      </w:r>
      <w:r w:rsidR="005156DF">
        <w:rPr>
          <w:iCs/>
        </w:rPr>
        <w:t xml:space="preserve">Informējam, ka </w:t>
      </w:r>
      <w:r w:rsidR="00524AA5">
        <w:rPr>
          <w:iCs/>
        </w:rPr>
        <w:t xml:space="preserve">viss </w:t>
      </w:r>
      <w:r w:rsidR="005156DF">
        <w:rPr>
          <w:iCs/>
        </w:rPr>
        <w:t>finansējums no ieņēmumiem no VSAOI sadales ti</w:t>
      </w:r>
      <w:r w:rsidR="00782339">
        <w:rPr>
          <w:iCs/>
        </w:rPr>
        <w:t>e</w:t>
      </w:r>
      <w:r w:rsidR="005156DF">
        <w:rPr>
          <w:iCs/>
        </w:rPr>
        <w:t xml:space="preserve">k novirzīts atlīdzību palielināšanai veselības jomā nodarbinātajiem. </w:t>
      </w:r>
      <w:r w:rsidR="00524AA5">
        <w:rPr>
          <w:iCs/>
        </w:rPr>
        <w:t xml:space="preserve">Turklāt no 2019.gada 1.janvāra </w:t>
      </w:r>
      <w:r w:rsidR="005156DF" w:rsidRPr="00600820">
        <w:rPr>
          <w:color w:val="000000" w:themeColor="text1"/>
        </w:rPr>
        <w:t xml:space="preserve">veselības aprūpes darbinieku darba samaksas paaugstināšanai </w:t>
      </w:r>
      <w:r w:rsidR="00524AA5">
        <w:rPr>
          <w:color w:val="000000" w:themeColor="text1"/>
        </w:rPr>
        <w:t xml:space="preserve">tika piešķirti vēl papildus </w:t>
      </w:r>
      <w:r w:rsidR="005156DF">
        <w:rPr>
          <w:color w:val="000000" w:themeColor="text1"/>
        </w:rPr>
        <w:t xml:space="preserve">87,5 milj. </w:t>
      </w:r>
      <w:proofErr w:type="spellStart"/>
      <w:r w:rsidR="005156DF" w:rsidRPr="00E17104">
        <w:rPr>
          <w:i/>
          <w:color w:val="000000" w:themeColor="text1"/>
        </w:rPr>
        <w:t>euro</w:t>
      </w:r>
      <w:proofErr w:type="spellEnd"/>
      <w:r w:rsidR="005156DF">
        <w:rPr>
          <w:color w:val="000000" w:themeColor="text1"/>
        </w:rPr>
        <w:t xml:space="preserve"> </w:t>
      </w:r>
      <w:r w:rsidR="005156DF">
        <w:rPr>
          <w:iCs/>
        </w:rPr>
        <w:t>2019.gadam un turpmākaj</w:t>
      </w:r>
      <w:r w:rsidR="00623B62">
        <w:rPr>
          <w:iCs/>
        </w:rPr>
        <w:t>iem</w:t>
      </w:r>
      <w:r w:rsidR="005156DF">
        <w:rPr>
          <w:iCs/>
        </w:rPr>
        <w:t xml:space="preserve"> gad</w:t>
      </w:r>
      <w:r w:rsidR="00623B62">
        <w:rPr>
          <w:iCs/>
        </w:rPr>
        <w:t>iem</w:t>
      </w:r>
      <w:r w:rsidR="005156DF">
        <w:rPr>
          <w:iCs/>
        </w:rPr>
        <w:t xml:space="preserve"> ik gadu</w:t>
      </w:r>
      <w:r w:rsidR="005156DF">
        <w:rPr>
          <w:color w:val="000000" w:themeColor="text1"/>
        </w:rPr>
        <w:t>.</w:t>
      </w:r>
    </w:p>
    <w:p w:rsidR="001B539D" w:rsidRPr="001B539D" w:rsidRDefault="001B539D" w:rsidP="00305AA4">
      <w:pPr>
        <w:ind w:firstLine="709"/>
        <w:jc w:val="both"/>
        <w:rPr>
          <w:rFonts w:cs="Times New Roman"/>
          <w:iCs/>
          <w:szCs w:val="24"/>
        </w:rPr>
      </w:pPr>
      <w:r w:rsidRPr="001B539D">
        <w:rPr>
          <w:rFonts w:cs="Times New Roman"/>
          <w:iCs/>
          <w:szCs w:val="24"/>
        </w:rPr>
        <w:t>Tāpat kopš 2017.gada Latvijai no Eiropas Komisijas puses ir piešķirta atļauja izmantot Eiropas Savienības fiskālās politikas ietvarā iestrādātos elastības mehānismus attiecībā uz strukturālajām reformām. Minētā atļauja nodro</w:t>
      </w:r>
      <w:r w:rsidR="00ED7930">
        <w:rPr>
          <w:rFonts w:cs="Times New Roman"/>
          <w:iCs/>
          <w:szCs w:val="24"/>
        </w:rPr>
        <w:t>šina, ka laika periodā no 2017.–</w:t>
      </w:r>
      <w:r w:rsidRPr="001B539D">
        <w:rPr>
          <w:rFonts w:cs="Times New Roman"/>
          <w:iCs/>
          <w:szCs w:val="24"/>
        </w:rPr>
        <w:t xml:space="preserve">2019.gadam veselības nozares reformu finansēšanai ir pieejams nozīmīgs papildu finansējums – 2017.gadam 0,1% no IKP jeb 34,3 milj. </w:t>
      </w:r>
      <w:proofErr w:type="spellStart"/>
      <w:r w:rsidRPr="001B539D">
        <w:rPr>
          <w:rFonts w:cs="Times New Roman"/>
          <w:i/>
          <w:iCs/>
          <w:szCs w:val="24"/>
        </w:rPr>
        <w:t>euro</w:t>
      </w:r>
      <w:proofErr w:type="spellEnd"/>
      <w:r w:rsidRPr="001B539D">
        <w:rPr>
          <w:rFonts w:cs="Times New Roman"/>
          <w:i/>
          <w:iCs/>
          <w:szCs w:val="24"/>
        </w:rPr>
        <w:t xml:space="preserve"> </w:t>
      </w:r>
      <w:r w:rsidRPr="001B539D">
        <w:rPr>
          <w:rFonts w:cs="Times New Roman"/>
          <w:iCs/>
          <w:szCs w:val="24"/>
        </w:rPr>
        <w:t xml:space="preserve">apmērā, 2018.gadam 0,4% no IKP jeb 113,4 milj. </w:t>
      </w:r>
      <w:proofErr w:type="spellStart"/>
      <w:r w:rsidRPr="001B539D">
        <w:rPr>
          <w:rFonts w:cs="Times New Roman"/>
          <w:i/>
          <w:iCs/>
          <w:szCs w:val="24"/>
        </w:rPr>
        <w:t>euro</w:t>
      </w:r>
      <w:proofErr w:type="spellEnd"/>
      <w:r w:rsidRPr="001B539D">
        <w:rPr>
          <w:rFonts w:cs="Times New Roman"/>
          <w:iCs/>
          <w:szCs w:val="24"/>
        </w:rPr>
        <w:t xml:space="preserve"> apmērā un 2019.gadam 0,5% no IKP jeb 154,2 milj. </w:t>
      </w:r>
      <w:proofErr w:type="spellStart"/>
      <w:r w:rsidRPr="001B539D">
        <w:rPr>
          <w:rFonts w:cs="Times New Roman"/>
          <w:i/>
          <w:iCs/>
          <w:szCs w:val="24"/>
        </w:rPr>
        <w:t>euro</w:t>
      </w:r>
      <w:proofErr w:type="spellEnd"/>
      <w:r w:rsidRPr="001B539D">
        <w:rPr>
          <w:rFonts w:cs="Times New Roman"/>
          <w:iCs/>
          <w:szCs w:val="24"/>
        </w:rPr>
        <w:t xml:space="preserve"> apmērā. </w:t>
      </w:r>
      <w:r w:rsidR="005156DF">
        <w:rPr>
          <w:iCs/>
        </w:rPr>
        <w:t xml:space="preserve">Attiecībā par vēstulē izteiktajiem priekšlikumiem par </w:t>
      </w:r>
      <w:r w:rsidR="005156DF" w:rsidRPr="00E17104">
        <w:rPr>
          <w:iCs/>
          <w:szCs w:val="24"/>
        </w:rPr>
        <w:t>ārstniecības un rehabilitācijas pakalpojumu pieejamības uzlabošanu bērniem un pusaudžiem ar garīgās veselības traucējumiem</w:t>
      </w:r>
      <w:r w:rsidR="005156DF" w:rsidRPr="006F05B8">
        <w:rPr>
          <w:iCs/>
        </w:rPr>
        <w:t xml:space="preserve"> v</w:t>
      </w:r>
      <w:r w:rsidR="005156DF">
        <w:rPr>
          <w:iCs/>
        </w:rPr>
        <w:t xml:space="preserve">ēlamies informēt, ka no iepriekšminētā papildu piešķirtā finansējuma 2019.gadam 6,3 milj. </w:t>
      </w:r>
      <w:proofErr w:type="spellStart"/>
      <w:r w:rsidR="005156DF" w:rsidRPr="00E17104">
        <w:rPr>
          <w:i/>
          <w:iCs/>
        </w:rPr>
        <w:t>euro</w:t>
      </w:r>
      <w:proofErr w:type="spellEnd"/>
      <w:r w:rsidR="005156DF">
        <w:rPr>
          <w:i/>
          <w:iCs/>
        </w:rPr>
        <w:t xml:space="preserve"> </w:t>
      </w:r>
      <w:r w:rsidR="005156DF" w:rsidRPr="00E17104">
        <w:rPr>
          <w:iCs/>
        </w:rPr>
        <w:t>apmērā</w:t>
      </w:r>
      <w:r w:rsidR="005156DF">
        <w:rPr>
          <w:iCs/>
        </w:rPr>
        <w:t xml:space="preserve"> plānots novirzīt  psihiskās veselības uzlabošanai, tajā skaitā arī bērniem un pusaudžiem.</w:t>
      </w:r>
    </w:p>
    <w:p w:rsidR="001B539D" w:rsidRPr="00950E5C" w:rsidRDefault="001B539D" w:rsidP="00950E5C">
      <w:pPr>
        <w:ind w:firstLine="709"/>
        <w:jc w:val="both"/>
        <w:rPr>
          <w:rFonts w:cs="Times New Roman"/>
          <w:iCs/>
          <w:szCs w:val="24"/>
        </w:rPr>
      </w:pPr>
      <w:r w:rsidRPr="001B539D">
        <w:rPr>
          <w:rFonts w:cs="Times New Roman"/>
          <w:iCs/>
          <w:szCs w:val="24"/>
        </w:rPr>
        <w:lastRenderedPageBreak/>
        <w:t xml:space="preserve">Jāatzīmē, ka VSAOI likmes palielināšana nodrošina stabilu papildu finansējumu veselības nozarei, bet strukturālo reformu atkāpe darbojas tikai līdz 2019.gadam. Tādējādi, lai nodrošinātu veselības nozares finansējuma stabilitāti, jau likumā “Par vidēja termiņa budžeta ietvaru 2018., 2019. un 2020.gadam” tika paredzēts, ka 2020.gadā strukturālo reformu atkāpes finansējuma </w:t>
      </w:r>
      <w:r w:rsidR="00524AA5">
        <w:rPr>
          <w:rFonts w:cs="Times New Roman"/>
          <w:iCs/>
          <w:szCs w:val="24"/>
        </w:rPr>
        <w:t xml:space="preserve">apmērā </w:t>
      </w:r>
      <w:r w:rsidRPr="001B539D">
        <w:rPr>
          <w:rFonts w:cs="Times New Roman"/>
          <w:iCs/>
          <w:szCs w:val="24"/>
        </w:rPr>
        <w:t xml:space="preserve">veselības nozarei </w:t>
      </w:r>
      <w:r w:rsidR="00524AA5">
        <w:rPr>
          <w:rFonts w:cs="Times New Roman"/>
          <w:iCs/>
          <w:szCs w:val="24"/>
        </w:rPr>
        <w:t xml:space="preserve">tiek piešķirts </w:t>
      </w:r>
      <w:r w:rsidRPr="001B539D">
        <w:rPr>
          <w:rFonts w:cs="Times New Roman"/>
          <w:iCs/>
          <w:szCs w:val="24"/>
        </w:rPr>
        <w:t>finansējum</w:t>
      </w:r>
      <w:r w:rsidR="00524AA5">
        <w:rPr>
          <w:rFonts w:cs="Times New Roman"/>
          <w:iCs/>
          <w:szCs w:val="24"/>
        </w:rPr>
        <w:t>s</w:t>
      </w:r>
      <w:r w:rsidRPr="001B539D">
        <w:rPr>
          <w:rFonts w:cs="Times New Roman"/>
          <w:iCs/>
          <w:szCs w:val="24"/>
        </w:rPr>
        <w:t xml:space="preserve"> </w:t>
      </w:r>
      <w:r w:rsidR="00524AA5">
        <w:rPr>
          <w:rFonts w:cs="Times New Roman"/>
          <w:iCs/>
          <w:szCs w:val="24"/>
        </w:rPr>
        <w:t xml:space="preserve">no valsts pamatbudžeta </w:t>
      </w:r>
      <w:r w:rsidRPr="001B539D">
        <w:rPr>
          <w:rFonts w:cs="Times New Roman"/>
          <w:iCs/>
          <w:szCs w:val="24"/>
        </w:rPr>
        <w:t xml:space="preserve">144,0 milj. </w:t>
      </w:r>
      <w:proofErr w:type="spellStart"/>
      <w:r w:rsidRPr="001B539D">
        <w:rPr>
          <w:rFonts w:cs="Times New Roman"/>
          <w:i/>
          <w:iCs/>
          <w:szCs w:val="24"/>
        </w:rPr>
        <w:t>euro</w:t>
      </w:r>
      <w:proofErr w:type="spellEnd"/>
      <w:r w:rsidR="009B650E">
        <w:rPr>
          <w:rFonts w:cs="Times New Roman"/>
          <w:iCs/>
          <w:szCs w:val="24"/>
        </w:rPr>
        <w:t xml:space="preserve"> apmērā</w:t>
      </w:r>
      <w:r w:rsidRPr="001B539D">
        <w:rPr>
          <w:rFonts w:cs="Times New Roman"/>
          <w:iCs/>
          <w:szCs w:val="24"/>
        </w:rPr>
        <w:t>. Vienlaikus jāatzīmē, kā arī 2021.</w:t>
      </w:r>
      <w:r w:rsidR="00623B62">
        <w:rPr>
          <w:rFonts w:cs="Times New Roman"/>
          <w:iCs/>
          <w:szCs w:val="24"/>
        </w:rPr>
        <w:t>–2022.gadam</w:t>
      </w:r>
      <w:r w:rsidRPr="001B539D">
        <w:rPr>
          <w:rFonts w:cs="Times New Roman"/>
          <w:iCs/>
          <w:szCs w:val="24"/>
        </w:rPr>
        <w:t xml:space="preserve"> finansējums 144,0 milj. </w:t>
      </w:r>
      <w:proofErr w:type="spellStart"/>
      <w:r w:rsidRPr="001B539D">
        <w:rPr>
          <w:rFonts w:cs="Times New Roman"/>
          <w:i/>
          <w:iCs/>
          <w:szCs w:val="24"/>
        </w:rPr>
        <w:t>euro</w:t>
      </w:r>
      <w:proofErr w:type="spellEnd"/>
      <w:r w:rsidRPr="001B539D">
        <w:rPr>
          <w:rFonts w:cs="Times New Roman"/>
          <w:iCs/>
          <w:szCs w:val="24"/>
        </w:rPr>
        <w:t xml:space="preserve"> apmērā ir paredzēts valsts pamatbudžeta bāzes izdevumos.</w:t>
      </w:r>
    </w:p>
    <w:p w:rsidR="00950E5C" w:rsidRPr="001B539D" w:rsidRDefault="00950E5C" w:rsidP="005156DF">
      <w:pPr>
        <w:ind w:firstLine="709"/>
        <w:jc w:val="both"/>
        <w:rPr>
          <w:rFonts w:cs="Times New Roman"/>
          <w:szCs w:val="24"/>
        </w:rPr>
      </w:pPr>
      <w:r w:rsidRPr="00CC5660">
        <w:rPr>
          <w:rFonts w:cs="Times New Roman"/>
          <w:szCs w:val="24"/>
        </w:rPr>
        <w:t>Vienlaikus attiecībā par veselības aprūpes finansējumu Latvijā</w:t>
      </w:r>
      <w:r w:rsidR="00CC5660" w:rsidRPr="00CC5660">
        <w:rPr>
          <w:rFonts w:cs="Times New Roman"/>
          <w:szCs w:val="24"/>
        </w:rPr>
        <w:t xml:space="preserve"> </w:t>
      </w:r>
      <w:r w:rsidRPr="00CC5660">
        <w:rPr>
          <w:rFonts w:cs="Times New Roman"/>
          <w:szCs w:val="24"/>
        </w:rPr>
        <w:t xml:space="preserve">vēlamies informēt, ka ir jau pieejami jaunākie Eurostat dati, proti, 2017.gadā vispārējās valdības budžeta </w:t>
      </w:r>
      <w:r w:rsidRPr="00950E5C">
        <w:rPr>
          <w:rFonts w:cs="Times New Roman"/>
          <w:szCs w:val="24"/>
        </w:rPr>
        <w:t>izdevu</w:t>
      </w:r>
      <w:r w:rsidR="00411A4A">
        <w:rPr>
          <w:rFonts w:cs="Times New Roman"/>
          <w:szCs w:val="24"/>
        </w:rPr>
        <w:t>mi veselības aprūpei veidoja 3,5</w:t>
      </w:r>
      <w:r w:rsidRPr="00950E5C">
        <w:rPr>
          <w:rFonts w:cs="Times New Roman"/>
          <w:szCs w:val="24"/>
        </w:rPr>
        <w:t>% no IKP. Saskaņā ar š.g. 19.februārī Ministru kabinetā apstiprināto Latvijas Vispārējās valdības budžeta plāna projektu 2019.gadam (</w:t>
      </w:r>
      <w:proofErr w:type="spellStart"/>
      <w:r w:rsidRPr="00950E5C">
        <w:rPr>
          <w:rFonts w:cs="Times New Roman"/>
          <w:i/>
          <w:iCs/>
          <w:szCs w:val="24"/>
        </w:rPr>
        <w:t>Draft</w:t>
      </w:r>
      <w:proofErr w:type="spellEnd"/>
      <w:r w:rsidRPr="00950E5C">
        <w:rPr>
          <w:rFonts w:cs="Times New Roman"/>
          <w:i/>
          <w:iCs/>
          <w:szCs w:val="24"/>
        </w:rPr>
        <w:t xml:space="preserve"> </w:t>
      </w:r>
      <w:proofErr w:type="spellStart"/>
      <w:r w:rsidRPr="00950E5C">
        <w:rPr>
          <w:rFonts w:cs="Times New Roman"/>
          <w:i/>
          <w:iCs/>
          <w:szCs w:val="24"/>
        </w:rPr>
        <w:t>Budgetary</w:t>
      </w:r>
      <w:proofErr w:type="spellEnd"/>
      <w:r w:rsidRPr="00950E5C">
        <w:rPr>
          <w:rFonts w:cs="Times New Roman"/>
          <w:i/>
          <w:iCs/>
          <w:szCs w:val="24"/>
        </w:rPr>
        <w:t xml:space="preserve"> </w:t>
      </w:r>
      <w:proofErr w:type="spellStart"/>
      <w:r w:rsidRPr="00950E5C">
        <w:rPr>
          <w:rFonts w:cs="Times New Roman"/>
          <w:i/>
          <w:iCs/>
          <w:szCs w:val="24"/>
        </w:rPr>
        <w:t>Plan</w:t>
      </w:r>
      <w:proofErr w:type="spellEnd"/>
      <w:r w:rsidRPr="00950E5C">
        <w:rPr>
          <w:rFonts w:cs="Times New Roman"/>
          <w:i/>
          <w:iCs/>
          <w:szCs w:val="24"/>
        </w:rPr>
        <w:t xml:space="preserve"> </w:t>
      </w:r>
      <w:proofErr w:type="spellStart"/>
      <w:r w:rsidR="00411A4A">
        <w:rPr>
          <w:rFonts w:cs="Times New Roman"/>
          <w:i/>
          <w:iCs/>
          <w:szCs w:val="24"/>
        </w:rPr>
        <w:t>for</w:t>
      </w:r>
      <w:proofErr w:type="spellEnd"/>
      <w:r w:rsidR="00411A4A">
        <w:rPr>
          <w:rFonts w:cs="Times New Roman"/>
          <w:i/>
          <w:iCs/>
          <w:szCs w:val="24"/>
        </w:rPr>
        <w:t xml:space="preserve"> </w:t>
      </w:r>
      <w:r w:rsidRPr="00950E5C">
        <w:rPr>
          <w:rFonts w:cs="Times New Roman"/>
          <w:i/>
          <w:iCs/>
          <w:szCs w:val="24"/>
        </w:rPr>
        <w:t>2019</w:t>
      </w:r>
      <w:r w:rsidRPr="00950E5C">
        <w:rPr>
          <w:rFonts w:cs="Times New Roman"/>
          <w:szCs w:val="24"/>
        </w:rPr>
        <w:t>) vispārējās valdības budžeta</w:t>
      </w:r>
      <w:r w:rsidR="00411A4A">
        <w:rPr>
          <w:rFonts w:cs="Times New Roman"/>
          <w:szCs w:val="24"/>
        </w:rPr>
        <w:t xml:space="preserve"> izdevumi veselības aprūpei 2018</w:t>
      </w:r>
      <w:r w:rsidRPr="00950E5C">
        <w:rPr>
          <w:rFonts w:cs="Times New Roman"/>
          <w:szCs w:val="24"/>
        </w:rPr>
        <w:t>.gadā v</w:t>
      </w:r>
      <w:r w:rsidR="00411A4A">
        <w:rPr>
          <w:rFonts w:cs="Times New Roman"/>
          <w:szCs w:val="24"/>
        </w:rPr>
        <w:t>eidos 4,0% no IKP, savukārt 2019</w:t>
      </w:r>
      <w:r w:rsidRPr="00950E5C">
        <w:rPr>
          <w:rFonts w:cs="Times New Roman"/>
          <w:szCs w:val="24"/>
        </w:rPr>
        <w:t xml:space="preserve">.gadā atbilstoši </w:t>
      </w:r>
      <w:r w:rsidR="00CC5660">
        <w:rPr>
          <w:rFonts w:cs="Times New Roman"/>
          <w:szCs w:val="24"/>
        </w:rPr>
        <w:t>Finanšu ministrijas</w:t>
      </w:r>
      <w:r w:rsidRPr="00950E5C">
        <w:rPr>
          <w:rFonts w:cs="Times New Roman"/>
          <w:szCs w:val="24"/>
        </w:rPr>
        <w:t xml:space="preserve"> prognozēm tie būs 4,2% no IKP.</w:t>
      </w:r>
    </w:p>
    <w:p w:rsidR="000B4E4E" w:rsidRDefault="000B4E4E" w:rsidP="00762EB4">
      <w:pPr>
        <w:ind w:firstLine="709"/>
        <w:jc w:val="both"/>
        <w:rPr>
          <w:rFonts w:eastAsia="Times New Roman" w:cs="Times New Roman"/>
          <w:szCs w:val="24"/>
          <w:lang w:eastAsia="lv-LV"/>
        </w:rPr>
      </w:pPr>
      <w:r w:rsidRPr="00734DCC">
        <w:rPr>
          <w:rFonts w:cs="Times New Roman"/>
          <w:szCs w:val="24"/>
        </w:rPr>
        <w:t>Vienlaikus vēlamies v</w:t>
      </w:r>
      <w:r>
        <w:rPr>
          <w:rFonts w:cs="Times New Roman"/>
          <w:szCs w:val="24"/>
        </w:rPr>
        <w:t>ēr</w:t>
      </w:r>
      <w:r w:rsidRPr="00734DCC">
        <w:rPr>
          <w:rFonts w:cs="Times New Roman"/>
          <w:szCs w:val="24"/>
        </w:rPr>
        <w:t>s</w:t>
      </w:r>
      <w:r>
        <w:rPr>
          <w:rFonts w:cs="Times New Roman"/>
          <w:szCs w:val="24"/>
        </w:rPr>
        <w:t>t</w:t>
      </w:r>
      <w:r w:rsidRPr="00734DCC">
        <w:rPr>
          <w:rFonts w:cs="Times New Roman"/>
          <w:szCs w:val="24"/>
        </w:rPr>
        <w:t xml:space="preserve"> uzmanību, ka Deklarācijā par Artūra Krišjāņa Kariņa vadītā Ministru kabineta iecerēto darbību ir iezīmēti vairāki pasākumi, kas vērsti uz veselības aprūpes pieejam</w:t>
      </w:r>
      <w:r>
        <w:rPr>
          <w:rFonts w:cs="Times New Roman"/>
          <w:szCs w:val="24"/>
        </w:rPr>
        <w:t>ības uzlabošanu</w:t>
      </w:r>
      <w:r w:rsidRPr="00734DCC">
        <w:rPr>
          <w:rFonts w:cs="Times New Roman"/>
          <w:szCs w:val="24"/>
        </w:rPr>
        <w:t xml:space="preserve"> </w:t>
      </w:r>
      <w:r w:rsidRPr="00950E5C">
        <w:rPr>
          <w:rFonts w:cs="Times New Roman"/>
          <w:szCs w:val="24"/>
        </w:rPr>
        <w:t xml:space="preserve">un nabadzības mazināšanu, t.sk. </w:t>
      </w:r>
      <w:r>
        <w:rPr>
          <w:rFonts w:cs="Times New Roman"/>
          <w:szCs w:val="24"/>
        </w:rPr>
        <w:t>ilgtspējīga veselības aprūpes finansēšanas modeļa izveidošana, vienota valsts apmaksātā pakalpojumu groza noteikšana</w:t>
      </w:r>
      <w:r w:rsidR="00862D63">
        <w:rPr>
          <w:rFonts w:cs="Times New Roman"/>
          <w:szCs w:val="24"/>
        </w:rPr>
        <w:t xml:space="preserve">, </w:t>
      </w:r>
      <w:r w:rsidR="00862D63" w:rsidRPr="00862D63">
        <w:rPr>
          <w:rFonts w:cs="Times New Roman"/>
          <w:szCs w:val="24"/>
        </w:rPr>
        <w:t>pakāpeniska minimālo ienākumu atbalsta sistēmas pilnveidošana, sociālās palīdzības sistēmas pārskatīšana u.c. Tādējādi Ministru kabinets sociālās nevienlīdzības mazināšanu uzskata par svarīgu prioritāti, tādēļ turpmāko gadu dienaskārtībā būs jautājumi par valsts sniegtā atbalsta palielināšanu nabadzības riskam pakļautajām personām, kas ietver gan minimālās pensijas, gan valsts sociālā nodrošinājuma pabalsta apmēra pārskatīšanu un tā regulāru indeksāciju.</w:t>
      </w:r>
    </w:p>
    <w:p w:rsidR="001B539D" w:rsidRPr="001B539D" w:rsidRDefault="000B4E4E" w:rsidP="00305AA4">
      <w:pPr>
        <w:ind w:firstLine="709"/>
        <w:jc w:val="both"/>
        <w:rPr>
          <w:rFonts w:cs="Times New Roman"/>
          <w:szCs w:val="24"/>
          <w:lang w:eastAsia="lv-LV"/>
        </w:rPr>
      </w:pPr>
      <w:r>
        <w:rPr>
          <w:rFonts w:eastAsia="Times New Roman" w:cs="Times New Roman"/>
          <w:szCs w:val="24"/>
          <w:lang w:eastAsia="lv-LV"/>
        </w:rPr>
        <w:t xml:space="preserve">Attiecībā uz jautājumiem </w:t>
      </w:r>
      <w:r w:rsidR="00815BA0">
        <w:rPr>
          <w:rFonts w:eastAsia="Times New Roman" w:cs="Times New Roman"/>
          <w:szCs w:val="24"/>
          <w:lang w:eastAsia="lv-LV"/>
        </w:rPr>
        <w:t xml:space="preserve">par sociālās drošības sistēmu un </w:t>
      </w:r>
      <w:r>
        <w:rPr>
          <w:rFonts w:eastAsia="Times New Roman" w:cs="Times New Roman"/>
          <w:szCs w:val="24"/>
          <w:lang w:eastAsia="lv-LV"/>
        </w:rPr>
        <w:t xml:space="preserve">nevienlīdzības </w:t>
      </w:r>
      <w:r w:rsidR="00815BA0">
        <w:rPr>
          <w:rFonts w:eastAsia="Times New Roman" w:cs="Times New Roman"/>
          <w:szCs w:val="24"/>
          <w:lang w:eastAsia="lv-LV"/>
        </w:rPr>
        <w:t>un nabadzības samazināšanu v</w:t>
      </w:r>
      <w:r w:rsidR="001B539D" w:rsidRPr="001B539D">
        <w:rPr>
          <w:rFonts w:eastAsia="Times New Roman" w:cs="Times New Roman"/>
          <w:szCs w:val="24"/>
          <w:lang w:eastAsia="lv-LV"/>
        </w:rPr>
        <w:t>ēlamies atzīmēt, ka katru gadu atbilstoši valsts budžeta finansiālajām iespējām tiek meklēti risinājumi, lai</w:t>
      </w:r>
      <w:r w:rsidR="001B539D" w:rsidRPr="001B539D">
        <w:rPr>
          <w:rFonts w:cs="Times New Roman"/>
          <w:szCs w:val="24"/>
          <w:lang w:eastAsia="lv-LV"/>
        </w:rPr>
        <w:t xml:space="preserve"> sniegtu lielāku valsts atbalstu mazāk aizsargātām iedzīvotāju grupām, piemēram: </w:t>
      </w:r>
    </w:p>
    <w:p w:rsidR="001B539D" w:rsidRPr="001B539D" w:rsidRDefault="001B539D" w:rsidP="00305AA4">
      <w:pPr>
        <w:jc w:val="both"/>
        <w:rPr>
          <w:rFonts w:cs="Times New Roman"/>
          <w:szCs w:val="24"/>
          <w:lang w:eastAsia="lv-LV"/>
        </w:rPr>
      </w:pPr>
      <w:r w:rsidRPr="001B539D">
        <w:rPr>
          <w:rFonts w:cs="Times New Roman"/>
          <w:szCs w:val="24"/>
          <w:lang w:eastAsia="lv-LV"/>
        </w:rPr>
        <w:t xml:space="preserve">-) </w:t>
      </w:r>
      <w:r w:rsidRPr="001B539D">
        <w:rPr>
          <w:rFonts w:eastAsia="Times New Roman" w:cs="Times New Roman"/>
          <w:szCs w:val="24"/>
          <w:lang w:eastAsia="lv-LV"/>
        </w:rPr>
        <w:t>lai</w:t>
      </w:r>
      <w:r w:rsidRPr="001B539D">
        <w:rPr>
          <w:rFonts w:cs="Times New Roman"/>
          <w:szCs w:val="24"/>
          <w:lang w:eastAsia="lv-LV"/>
        </w:rPr>
        <w:t xml:space="preserve"> uzlabotu pensijas saņēmēju dzīves kvalitāti, ikgadējā pensiju indeksācijā no 2018.gada piemēro lielāk</w:t>
      </w:r>
      <w:r w:rsidR="00BA3C2A">
        <w:rPr>
          <w:rFonts w:cs="Times New Roman"/>
          <w:szCs w:val="24"/>
          <w:lang w:eastAsia="lv-LV"/>
        </w:rPr>
        <w:t>u</w:t>
      </w:r>
      <w:r w:rsidRPr="001B539D">
        <w:rPr>
          <w:rFonts w:cs="Times New Roman"/>
          <w:szCs w:val="24"/>
          <w:lang w:eastAsia="lv-LV"/>
        </w:rPr>
        <w:t xml:space="preserve"> indeks</w:t>
      </w:r>
      <w:r w:rsidR="00BA3C2A">
        <w:rPr>
          <w:rFonts w:cs="Times New Roman"/>
          <w:szCs w:val="24"/>
          <w:lang w:eastAsia="lv-LV"/>
        </w:rPr>
        <w:t>u</w:t>
      </w:r>
      <w:r w:rsidRPr="001B539D">
        <w:rPr>
          <w:rFonts w:cs="Times New Roman"/>
          <w:szCs w:val="24"/>
          <w:lang w:eastAsia="lv-LV"/>
        </w:rPr>
        <w:t xml:space="preserve"> vecuma pensijām ar lielu apdrošināšanas stāžu, no 2018.gada 1.jūlija palielināts piemaksas apmērs par 0,50 </w:t>
      </w:r>
      <w:proofErr w:type="spellStart"/>
      <w:r w:rsidRPr="001B539D">
        <w:rPr>
          <w:rFonts w:cs="Times New Roman"/>
          <w:i/>
          <w:szCs w:val="24"/>
          <w:lang w:eastAsia="lv-LV"/>
        </w:rPr>
        <w:t>euro</w:t>
      </w:r>
      <w:proofErr w:type="spellEnd"/>
      <w:r w:rsidRPr="001B539D">
        <w:rPr>
          <w:rFonts w:cs="Times New Roman"/>
          <w:szCs w:val="24"/>
          <w:lang w:eastAsia="lv-LV"/>
        </w:rPr>
        <w:t xml:space="preserve"> pie vecuma un invaliditātes pensijām par vienu apdrošināšanas s</w:t>
      </w:r>
      <w:r w:rsidR="00581AB8">
        <w:rPr>
          <w:rFonts w:cs="Times New Roman"/>
          <w:szCs w:val="24"/>
          <w:lang w:eastAsia="lv-LV"/>
        </w:rPr>
        <w:t>tāža gadu, kas uzkrāts līdz 1995</w:t>
      </w:r>
      <w:r w:rsidRPr="001B539D">
        <w:rPr>
          <w:rFonts w:cs="Times New Roman"/>
          <w:szCs w:val="24"/>
          <w:lang w:eastAsia="lv-LV"/>
        </w:rPr>
        <w:t>.gada 31.decembrim,</w:t>
      </w:r>
      <w:r w:rsidR="00BE5592" w:rsidRPr="00BE5592">
        <w:rPr>
          <w:rFonts w:eastAsia="Times New Roman" w:cs="Times New Roman"/>
          <w:szCs w:val="24"/>
          <w:lang w:eastAsia="lv-LV"/>
        </w:rPr>
        <w:t xml:space="preserve"> </w:t>
      </w:r>
      <w:r w:rsidR="00BE5592">
        <w:rPr>
          <w:rFonts w:eastAsia="Times New Roman" w:cs="Times New Roman"/>
          <w:szCs w:val="24"/>
          <w:lang w:eastAsia="lv-LV"/>
        </w:rPr>
        <w:t>personām, kurā</w:t>
      </w:r>
      <w:r w:rsidR="00BE5592" w:rsidRPr="0041551E">
        <w:rPr>
          <w:rFonts w:eastAsia="Times New Roman" w:cs="Times New Roman"/>
          <w:szCs w:val="24"/>
          <w:lang w:eastAsia="lv-LV"/>
        </w:rPr>
        <w:t>m līdz 1996.gada beigām bija sasniegts vecuma</w:t>
      </w:r>
      <w:r w:rsidR="00BA3C2A">
        <w:rPr>
          <w:rFonts w:eastAsia="Times New Roman" w:cs="Times New Roman"/>
          <w:szCs w:val="24"/>
          <w:lang w:eastAsia="lv-LV"/>
        </w:rPr>
        <w:t xml:space="preserve"> pensijai nepieciešamais vecums un</w:t>
      </w:r>
      <w:r w:rsidR="00BE5592" w:rsidRPr="0041551E">
        <w:rPr>
          <w:rFonts w:eastAsia="Times New Roman" w:cs="Times New Roman"/>
          <w:szCs w:val="24"/>
          <w:lang w:eastAsia="lv-LV"/>
        </w:rPr>
        <w:t xml:space="preserve"> piešķirta v</w:t>
      </w:r>
      <w:r w:rsidR="00BE5592">
        <w:rPr>
          <w:rFonts w:eastAsia="Times New Roman" w:cs="Times New Roman"/>
          <w:szCs w:val="24"/>
          <w:lang w:eastAsia="lv-LV"/>
        </w:rPr>
        <w:t>ecuma vai invaliditātes pensija,</w:t>
      </w:r>
      <w:r w:rsidR="00CE1E0F">
        <w:rPr>
          <w:rFonts w:cs="Times New Roman"/>
          <w:szCs w:val="24"/>
        </w:rPr>
        <w:t xml:space="preserve"> </w:t>
      </w:r>
      <w:r w:rsidRPr="001B539D">
        <w:rPr>
          <w:rFonts w:cs="Times New Roman"/>
          <w:szCs w:val="24"/>
          <w:lang w:eastAsia="lv-LV"/>
        </w:rPr>
        <w:t>ar 2019.gada 1.janvāri pensijas saņēmēja nāves gadījumā pārdzīvojušam laulātajam</w:t>
      </w:r>
      <w:r w:rsidR="00CE1E0F">
        <w:rPr>
          <w:rFonts w:cs="Times New Roman"/>
          <w:szCs w:val="24"/>
          <w:lang w:eastAsia="lv-LV"/>
        </w:rPr>
        <w:t>, kas arī ir pensijas saņēmējs,</w:t>
      </w:r>
      <w:r w:rsidRPr="001B539D">
        <w:rPr>
          <w:rFonts w:cs="Times New Roman"/>
          <w:szCs w:val="24"/>
          <w:lang w:eastAsia="lv-LV"/>
        </w:rPr>
        <w:t xml:space="preserve"> piešķir </w:t>
      </w:r>
      <w:r w:rsidR="00BA3C2A">
        <w:rPr>
          <w:rFonts w:cs="Times New Roman"/>
          <w:szCs w:val="24"/>
          <w:lang w:eastAsia="lv-LV"/>
        </w:rPr>
        <w:t xml:space="preserve">pabalstu no pensijas saņēmēja nāves dienas </w:t>
      </w:r>
      <w:r w:rsidRPr="001B539D">
        <w:rPr>
          <w:rFonts w:cs="Times New Roman"/>
          <w:szCs w:val="24"/>
          <w:lang w:eastAsia="lv-LV"/>
        </w:rPr>
        <w:t xml:space="preserve">12 mēnešus 50% apmērā no mirušajam laulātajam piešķirtās pensijas, ieskaitot piemaksu par apdrošināšanas stāžu, kas uzkrāts līdz 1995.gada 31.decembrim, </w:t>
      </w:r>
      <w:r w:rsidR="00BA3C2A">
        <w:rPr>
          <w:rFonts w:cs="Times New Roman"/>
          <w:szCs w:val="24"/>
          <w:lang w:eastAsia="lv-LV"/>
        </w:rPr>
        <w:t xml:space="preserve">sākot ar </w:t>
      </w:r>
      <w:r w:rsidR="00BA3C2A" w:rsidRPr="001B539D">
        <w:rPr>
          <w:rFonts w:cs="Times New Roman"/>
          <w:szCs w:val="24"/>
          <w:lang w:eastAsia="lv-LV"/>
        </w:rPr>
        <w:t xml:space="preserve"> </w:t>
      </w:r>
      <w:r w:rsidRPr="001B539D">
        <w:rPr>
          <w:rFonts w:cs="Times New Roman"/>
          <w:szCs w:val="24"/>
          <w:lang w:eastAsia="lv-LV"/>
        </w:rPr>
        <w:t>2019.gad</w:t>
      </w:r>
      <w:r w:rsidR="00671308">
        <w:rPr>
          <w:rFonts w:cs="Times New Roman"/>
          <w:szCs w:val="24"/>
          <w:lang w:eastAsia="lv-LV"/>
        </w:rPr>
        <w:t>u</w:t>
      </w:r>
      <w:r w:rsidRPr="001B539D">
        <w:rPr>
          <w:rFonts w:cs="Times New Roman"/>
          <w:szCs w:val="24"/>
          <w:lang w:eastAsia="lv-LV"/>
        </w:rPr>
        <w:t xml:space="preserve"> </w:t>
      </w:r>
      <w:r w:rsidR="00BE5592" w:rsidRPr="00F87892">
        <w:rPr>
          <w:rFonts w:cs="Times New Roman"/>
          <w:szCs w:val="24"/>
        </w:rPr>
        <w:t>piemaksas apmēru par vienu apdrošināšanas stāža gadu, kas uzkrāts līdz 1995.gad</w:t>
      </w:r>
      <w:r w:rsidR="00BA3C2A">
        <w:rPr>
          <w:rFonts w:cs="Times New Roman"/>
          <w:szCs w:val="24"/>
        </w:rPr>
        <w:t>a 31.decembrim, katru gadu oktobrī pārskatīs</w:t>
      </w:r>
      <w:r w:rsidR="00BE5592" w:rsidRPr="00F87892">
        <w:rPr>
          <w:rFonts w:cs="Times New Roman"/>
          <w:szCs w:val="24"/>
        </w:rPr>
        <w:t>, ņemot vērā faktisko patēriņa cenu indeksu un 50 procentus no apdrošināšanas iemaksu algu summas reālā pieauguma procentiem</w:t>
      </w:r>
      <w:r w:rsidRPr="001B539D">
        <w:rPr>
          <w:rFonts w:cs="Times New Roman"/>
          <w:szCs w:val="24"/>
          <w:lang w:eastAsia="lv-LV"/>
        </w:rPr>
        <w:t>;</w:t>
      </w:r>
    </w:p>
    <w:p w:rsidR="001B539D" w:rsidRPr="001B539D" w:rsidRDefault="001B539D" w:rsidP="00305AA4">
      <w:pPr>
        <w:jc w:val="both"/>
        <w:rPr>
          <w:rFonts w:cs="Times New Roman"/>
          <w:szCs w:val="24"/>
          <w:lang w:eastAsia="lv-LV"/>
        </w:rPr>
      </w:pPr>
      <w:r w:rsidRPr="001B539D">
        <w:rPr>
          <w:rFonts w:cs="Times New Roman"/>
          <w:szCs w:val="24"/>
          <w:lang w:eastAsia="lv-LV"/>
        </w:rPr>
        <w:t xml:space="preserve">-) lai sniegtu lielāku atbalstu ģimenēm ar bērniem, sākot ar 2018.gada 1.martu tika ieviesta piemaksa pie ģimenes valsts pabalsta par divu un vairāk bērnu no viena līdz 20 gadu vecuma sasniegšanai audzināšanu (par diviem bērniem – 10 </w:t>
      </w:r>
      <w:proofErr w:type="spellStart"/>
      <w:r w:rsidRPr="001B539D">
        <w:rPr>
          <w:rFonts w:cs="Times New Roman"/>
          <w:i/>
          <w:szCs w:val="24"/>
          <w:lang w:eastAsia="lv-LV"/>
        </w:rPr>
        <w:t>euro</w:t>
      </w:r>
      <w:proofErr w:type="spellEnd"/>
      <w:r w:rsidRPr="001B539D">
        <w:rPr>
          <w:rFonts w:cs="Times New Roman"/>
          <w:szCs w:val="24"/>
          <w:lang w:eastAsia="lv-LV"/>
        </w:rPr>
        <w:t xml:space="preserve"> mēnesī, par trīs bērniem – 66 </w:t>
      </w:r>
      <w:proofErr w:type="spellStart"/>
      <w:r w:rsidRPr="001B539D">
        <w:rPr>
          <w:rFonts w:cs="Times New Roman"/>
          <w:i/>
          <w:szCs w:val="24"/>
          <w:lang w:eastAsia="lv-LV"/>
        </w:rPr>
        <w:t>euro</w:t>
      </w:r>
      <w:proofErr w:type="spellEnd"/>
      <w:r w:rsidRPr="001B539D">
        <w:rPr>
          <w:rFonts w:cs="Times New Roman"/>
          <w:szCs w:val="24"/>
          <w:lang w:eastAsia="lv-LV"/>
        </w:rPr>
        <w:t xml:space="preserve"> mēnesī, bet par katru nākamo bērnu piemaksas apmērs ir par 50 </w:t>
      </w:r>
      <w:proofErr w:type="spellStart"/>
      <w:r w:rsidRPr="001B539D">
        <w:rPr>
          <w:rFonts w:cs="Times New Roman"/>
          <w:i/>
          <w:szCs w:val="24"/>
          <w:lang w:eastAsia="lv-LV"/>
        </w:rPr>
        <w:t>euro</w:t>
      </w:r>
      <w:proofErr w:type="spellEnd"/>
      <w:r w:rsidRPr="001B539D">
        <w:rPr>
          <w:rFonts w:cs="Times New Roman"/>
          <w:szCs w:val="24"/>
          <w:lang w:eastAsia="lv-LV"/>
        </w:rPr>
        <w:t xml:space="preserve"> mēnesī lielāks nekā par iepriekšējo kopējo audzināmo bērnu skaitu ģimenē);</w:t>
      </w:r>
    </w:p>
    <w:p w:rsidR="001B539D" w:rsidRDefault="001B539D" w:rsidP="00305AA4">
      <w:pPr>
        <w:jc w:val="both"/>
        <w:rPr>
          <w:rFonts w:cs="Times New Roman"/>
          <w:szCs w:val="24"/>
          <w:lang w:eastAsia="lv-LV"/>
        </w:rPr>
      </w:pPr>
      <w:r w:rsidRPr="001B539D">
        <w:rPr>
          <w:rFonts w:cs="Times New Roman"/>
          <w:szCs w:val="24"/>
          <w:lang w:eastAsia="lv-LV"/>
        </w:rPr>
        <w:t>-) lai veicinātu ģimeniskā vidē balstītu ārpusģimenes aprūpes sistēmas attīstību bez vecāku gādības palikušiem bērniem, tiek uzlabota valsts atbalsta sistēma adoptētajiem</w:t>
      </w:r>
      <w:r w:rsidR="00031BE1">
        <w:rPr>
          <w:rFonts w:cs="Times New Roman"/>
          <w:szCs w:val="24"/>
          <w:lang w:eastAsia="lv-LV"/>
        </w:rPr>
        <w:t>, aizbildņiem</w:t>
      </w:r>
      <w:r w:rsidRPr="001B539D">
        <w:rPr>
          <w:rFonts w:cs="Times New Roman"/>
          <w:szCs w:val="24"/>
          <w:lang w:eastAsia="lv-LV"/>
        </w:rPr>
        <w:t xml:space="preserve"> un audžuģimenēm, tai skaitā ieviešot specializētās audžuģimenes</w:t>
      </w:r>
      <w:r w:rsidR="00031BE1">
        <w:rPr>
          <w:rFonts w:cs="Times New Roman"/>
          <w:szCs w:val="24"/>
          <w:lang w:eastAsia="lv-LV"/>
        </w:rPr>
        <w:t xml:space="preserve"> un ārpusģimenes aprūpes atbalsta centrus</w:t>
      </w:r>
      <w:r w:rsidRPr="001B539D">
        <w:rPr>
          <w:rFonts w:cs="Times New Roman"/>
          <w:szCs w:val="24"/>
          <w:lang w:eastAsia="lv-LV"/>
        </w:rPr>
        <w:t>, u.c. pasākumi.</w:t>
      </w:r>
    </w:p>
    <w:p w:rsidR="006059A1" w:rsidRPr="001B539D" w:rsidRDefault="006059A1" w:rsidP="00305AA4">
      <w:pPr>
        <w:jc w:val="both"/>
        <w:rPr>
          <w:rFonts w:cs="Times New Roman"/>
          <w:szCs w:val="24"/>
          <w:lang w:eastAsia="lv-LV"/>
        </w:rPr>
      </w:pPr>
      <w:r>
        <w:rPr>
          <w:rFonts w:cs="Times New Roman"/>
          <w:szCs w:val="24"/>
          <w:lang w:eastAsia="lv-LV"/>
        </w:rPr>
        <w:tab/>
      </w:r>
      <w:r w:rsidR="000B4E4E" w:rsidRPr="000B4E4E">
        <w:rPr>
          <w:rFonts w:cs="Times New Roman"/>
          <w:szCs w:val="24"/>
          <w:lang w:eastAsia="lv-LV"/>
        </w:rPr>
        <w:t xml:space="preserve">Papildu informāciju par valsts atbalstu mazāk aizsargātām iedzīvotāju grupām lūdzam skatīt Ministru kabineta </w:t>
      </w:r>
      <w:r w:rsidR="00CE3987">
        <w:rPr>
          <w:rFonts w:cs="Times New Roman"/>
          <w:szCs w:val="24"/>
          <w:lang w:eastAsia="lv-LV"/>
        </w:rPr>
        <w:t xml:space="preserve">2019.gada </w:t>
      </w:r>
      <w:r w:rsidR="005C2275">
        <w:rPr>
          <w:rFonts w:cs="Times New Roman"/>
          <w:szCs w:val="24"/>
          <w:lang w:eastAsia="lv-LV"/>
        </w:rPr>
        <w:t>1.marta</w:t>
      </w:r>
      <w:r w:rsidR="000B4E4E" w:rsidRPr="000B4E4E">
        <w:rPr>
          <w:rFonts w:cs="Times New Roman"/>
          <w:szCs w:val="24"/>
          <w:lang w:eastAsia="lv-LV"/>
        </w:rPr>
        <w:t xml:space="preserve"> vēstulē Nr. 18/TA-1363/867 tiesībsargam, ar kuru sniegta atbilde uz tiesībsarga 2019.gada 25.janvāra vēstuli Nr.1-5/12 par nabadzības un sociālās atstumtības mazināšanu.  </w:t>
      </w:r>
      <w:r>
        <w:rPr>
          <w:rFonts w:ascii="Calibri" w:hAnsi="Calibri" w:cs="Calibri"/>
          <w:i/>
          <w:iCs/>
          <w:color w:val="000000"/>
          <w:sz w:val="28"/>
          <w:szCs w:val="28"/>
        </w:rPr>
        <w:t xml:space="preserve"> </w:t>
      </w:r>
    </w:p>
    <w:p w:rsidR="00A353C7" w:rsidRDefault="00CB172B" w:rsidP="00A353C7">
      <w:pPr>
        <w:ind w:firstLine="720"/>
        <w:jc w:val="both"/>
        <w:rPr>
          <w:rFonts w:cs="Times New Roman"/>
          <w:szCs w:val="24"/>
        </w:rPr>
      </w:pPr>
      <w:r w:rsidRPr="0054605A">
        <w:rPr>
          <w:rFonts w:cs="Times New Roman"/>
          <w:szCs w:val="24"/>
        </w:rPr>
        <w:lastRenderedPageBreak/>
        <w:t>Savukārt</w:t>
      </w:r>
      <w:r w:rsidR="001B539D" w:rsidRPr="0054605A">
        <w:rPr>
          <w:rFonts w:cs="Times New Roman"/>
          <w:szCs w:val="24"/>
        </w:rPr>
        <w:t xml:space="preserve"> par vēstules 2.2.apakšpunktā “Pašvaldības atbalsts pamatvajadzību nodrošināšanai” un 2.3.apakšpunktā “Sociālās garantijas jauniešiem pēc ārpusģimenes aprūpes” minēto </w:t>
      </w:r>
      <w:r w:rsidR="00A353C7" w:rsidRPr="003C6A8D">
        <w:rPr>
          <w:rFonts w:cs="Times New Roman"/>
          <w:szCs w:val="24"/>
        </w:rPr>
        <w:t xml:space="preserve">piekrītam, ka </w:t>
      </w:r>
      <w:r w:rsidR="00A353C7" w:rsidRPr="003C6A8D">
        <w:rPr>
          <w:color w:val="000000"/>
          <w:szCs w:val="24"/>
        </w:rPr>
        <w:t xml:space="preserve">būtisks valsts un pašvaldību atbalsts ir nepieciešams bāreņiem un bez vecāku gādības palikušajiem bērniem tieši pēc pilngadības sasniegšanas. </w:t>
      </w:r>
      <w:r w:rsidR="0054605A">
        <w:rPr>
          <w:color w:val="000000"/>
          <w:szCs w:val="24"/>
        </w:rPr>
        <w:t xml:space="preserve">Vēlamies informēt, ka </w:t>
      </w:r>
      <w:r w:rsidR="0054605A" w:rsidRPr="00150FD9">
        <w:rPr>
          <w:color w:val="000000"/>
          <w:szCs w:val="24"/>
        </w:rPr>
        <w:t>Labklājības ministrija 2018.gada nogalē ir uzsākusi darbu pie priekšlikumu izstrādes atbalsta sistēmas pilnveidei ārpusģimenes aprūpē esošajiem bērniem pēc pilngadības sasniegšanas, lai kopā ar iesaistītajām institūcijām meklētu atbilstošākos risinājumus, piemēram, psiholoģiskā atbalsta, izglītības, finanšu u.c.</w:t>
      </w:r>
      <w:r w:rsidR="00230F82">
        <w:rPr>
          <w:color w:val="000000"/>
          <w:szCs w:val="24"/>
        </w:rPr>
        <w:t xml:space="preserve"> atbalsta</w:t>
      </w:r>
      <w:r w:rsidR="0054605A">
        <w:rPr>
          <w:color w:val="000000"/>
          <w:szCs w:val="24"/>
        </w:rPr>
        <w:t xml:space="preserve"> jomās.</w:t>
      </w:r>
      <w:r w:rsidR="0054605A" w:rsidRPr="00150FD9">
        <w:rPr>
          <w:color w:val="000000"/>
          <w:szCs w:val="24"/>
        </w:rPr>
        <w:t xml:space="preserve"> </w:t>
      </w:r>
      <w:r w:rsidR="0054605A">
        <w:rPr>
          <w:color w:val="000000"/>
          <w:szCs w:val="24"/>
        </w:rPr>
        <w:t>Vienlaikus j</w:t>
      </w:r>
      <w:r w:rsidR="00A353C7" w:rsidRPr="003C6A8D">
        <w:rPr>
          <w:color w:val="000000"/>
          <w:szCs w:val="24"/>
        </w:rPr>
        <w:t>ā</w:t>
      </w:r>
      <w:r w:rsidR="00623B62" w:rsidRPr="001B5884">
        <w:rPr>
          <w:rFonts w:cs="Times New Roman"/>
          <w:szCs w:val="24"/>
        </w:rPr>
        <w:t>atzīmē</w:t>
      </w:r>
      <w:r w:rsidR="00A353C7" w:rsidRPr="003C6A8D">
        <w:rPr>
          <w:rFonts w:cs="Times New Roman"/>
          <w:szCs w:val="24"/>
        </w:rPr>
        <w:t>,</w:t>
      </w:r>
      <w:r w:rsidR="001B539D" w:rsidRPr="001B5884">
        <w:rPr>
          <w:rFonts w:cs="Times New Roman"/>
          <w:szCs w:val="24"/>
        </w:rPr>
        <w:t xml:space="preserve"> ka pabalsts garantētā minimālā ienākumu līmeņa nodrošināšanai, dzīvokļa pabalsts un pabalsti jauniešiem pēc ārpusģimenes aprūpes tiek izmaksāti no pašvaldību budžetiem. Vēršam uzmanību, ka izmaiņām regulējumā attiecībā uz sociālajiem pabalstiem (GMI pabalsta, trūcīgas personas ienākuma līmeņa palielināšana, d</w:t>
      </w:r>
      <w:r w:rsidR="001B539D" w:rsidRPr="0054605A">
        <w:rPr>
          <w:rFonts w:cs="Times New Roman"/>
          <w:szCs w:val="24"/>
        </w:rPr>
        <w:t>zīvokļa pabalstu, kā arī pabalstu jauniešiem pēc ārpusģimenes aprūpes apmēru un izmaksas kārtības nosacījumu pārskatīšana) ir paredzama negatīva ietekme uz pašvaldību budžetiem, līdz ar to par attiecīgo normatīvo aktu izmaiņām nepieciešams panākt vienošanos ar Latvijas Pašvaldību savienību.</w:t>
      </w:r>
      <w:r w:rsidR="00A353C7" w:rsidRPr="0054605A">
        <w:rPr>
          <w:rFonts w:cs="Times New Roman"/>
          <w:szCs w:val="24"/>
        </w:rPr>
        <w:t xml:space="preserve"> </w:t>
      </w:r>
    </w:p>
    <w:p w:rsidR="00F535C5" w:rsidRPr="00A12FB6" w:rsidRDefault="00F535C5" w:rsidP="00F535C5">
      <w:pPr>
        <w:ind w:firstLine="709"/>
        <w:jc w:val="both"/>
        <w:rPr>
          <w:rFonts w:cs="Times New Roman"/>
          <w:szCs w:val="24"/>
          <w:lang w:eastAsia="lv-LV"/>
        </w:rPr>
      </w:pPr>
      <w:r w:rsidRPr="00A12FB6">
        <w:rPr>
          <w:rFonts w:cs="Times New Roman"/>
          <w:szCs w:val="24"/>
          <w:lang w:eastAsia="lv-LV"/>
        </w:rPr>
        <w:t xml:space="preserve">Ņemot vērā, ka </w:t>
      </w:r>
      <w:r w:rsidR="00762EB4" w:rsidRPr="00A12FB6">
        <w:rPr>
          <w:rFonts w:cs="Times New Roman"/>
          <w:szCs w:val="24"/>
          <w:lang w:eastAsia="lv-LV"/>
        </w:rPr>
        <w:t xml:space="preserve">vēstulē izteiktie priekšlikumi par veselības aprūpes un sociālās drošības jomas jautājumiem, t.sk. </w:t>
      </w:r>
      <w:r w:rsidR="00AC5C9D" w:rsidRPr="00A12FB6">
        <w:rPr>
          <w:rFonts w:cs="Times New Roman"/>
          <w:szCs w:val="24"/>
          <w:lang w:eastAsia="lv-LV"/>
        </w:rPr>
        <w:t>atbalsta palielināšanu</w:t>
      </w:r>
      <w:r w:rsidRPr="00A12FB6">
        <w:rPr>
          <w:rFonts w:cs="Times New Roman"/>
          <w:szCs w:val="24"/>
          <w:lang w:eastAsia="lv-LV"/>
        </w:rPr>
        <w:t xml:space="preserve"> </w:t>
      </w:r>
      <w:proofErr w:type="spellStart"/>
      <w:r w:rsidRPr="00A12FB6">
        <w:rPr>
          <w:rFonts w:cs="Times New Roman"/>
          <w:szCs w:val="24"/>
          <w:lang w:eastAsia="lv-LV"/>
        </w:rPr>
        <w:t>mazaizsargātajām</w:t>
      </w:r>
      <w:proofErr w:type="spellEnd"/>
      <w:r w:rsidRPr="00A12FB6">
        <w:rPr>
          <w:rFonts w:cs="Times New Roman"/>
          <w:szCs w:val="24"/>
          <w:lang w:eastAsia="lv-LV"/>
        </w:rPr>
        <w:t xml:space="preserve"> iedzīvotāju grupām</w:t>
      </w:r>
      <w:r w:rsidR="00762EB4" w:rsidRPr="00A12FB6">
        <w:rPr>
          <w:rFonts w:cs="Times New Roman"/>
          <w:szCs w:val="24"/>
          <w:lang w:eastAsia="lv-LV"/>
        </w:rPr>
        <w:t>, ir saistīti</w:t>
      </w:r>
      <w:r w:rsidRPr="00A12FB6">
        <w:rPr>
          <w:rFonts w:cs="Times New Roman"/>
          <w:szCs w:val="24"/>
          <w:lang w:eastAsia="lv-LV"/>
        </w:rPr>
        <w:t xml:space="preserve"> ar ietekmi uz valsts budžetu, priekšlikumu turpmākā virzība ir jāizskata gadskārtējā valsts budžeta likumprojekta un vidēja termiņa budžeta ietvara likumprojekta sagatavošanas procesā, ņemot vērā valsts budžeta finansiālās iespējas, kā arī pašvaldību </w:t>
      </w:r>
      <w:r w:rsidR="00862D63">
        <w:rPr>
          <w:rFonts w:cs="Times New Roman"/>
          <w:szCs w:val="24"/>
          <w:lang w:eastAsia="lv-LV"/>
        </w:rPr>
        <w:t xml:space="preserve">budžetu </w:t>
      </w:r>
      <w:r w:rsidRPr="00A12FB6">
        <w:rPr>
          <w:rFonts w:cs="Times New Roman"/>
          <w:szCs w:val="24"/>
          <w:lang w:eastAsia="lv-LV"/>
        </w:rPr>
        <w:t xml:space="preserve">iespējas.  </w:t>
      </w:r>
    </w:p>
    <w:p w:rsidR="000B4E4E" w:rsidRPr="00762EB4" w:rsidRDefault="00782339" w:rsidP="00762EB4">
      <w:pPr>
        <w:autoSpaceDE w:val="0"/>
        <w:autoSpaceDN w:val="0"/>
        <w:adjustRightInd w:val="0"/>
        <w:ind w:firstLine="720"/>
        <w:jc w:val="both"/>
        <w:rPr>
          <w:rFonts w:cs="Times New Roman"/>
          <w:color w:val="000000"/>
          <w:szCs w:val="24"/>
        </w:rPr>
      </w:pPr>
      <w:r w:rsidRPr="00A12FB6">
        <w:rPr>
          <w:rFonts w:cs="Times New Roman"/>
          <w:color w:val="000000"/>
          <w:szCs w:val="24"/>
        </w:rPr>
        <w:t>Varam piekrist, ka jautājums par iepirkuma (bāzes) cenu pārskatīšanu nav ticis savlaicīgi risināts, un iepirkuma (bāzes) cenas ir nesamērīgi zemas. Lai risinātu minēto jautājumu, Labklājības ministrija 2019.gadā organizēs iepirkuma (bāzes cenu) pārskatīšanu</w:t>
      </w:r>
      <w:r>
        <w:rPr>
          <w:rFonts w:cs="Times New Roman"/>
          <w:color w:val="000000"/>
          <w:szCs w:val="24"/>
        </w:rPr>
        <w:t xml:space="preserve">. Līdzko tiks saņemta uz pierādījumiem balstīta informācija par individuāli izgatavojamo </w:t>
      </w:r>
      <w:r w:rsidR="00762EB4">
        <w:rPr>
          <w:rFonts w:cs="Times New Roman"/>
          <w:color w:val="000000"/>
          <w:szCs w:val="24"/>
        </w:rPr>
        <w:t>tehnisko palīglīdzekļu (turpmāk tekstā – TPL</w:t>
      </w:r>
      <w:r>
        <w:rPr>
          <w:rFonts w:cs="Times New Roman"/>
          <w:color w:val="000000"/>
          <w:szCs w:val="24"/>
        </w:rPr>
        <w:t xml:space="preserve">) cenu, kas atkarīga no to komponenšu (materiālu, darba u.c.) izmaksām, tiks vērtēts arī kompensācijas apjoms tiem TPL, kas iekļaujas </w:t>
      </w:r>
      <w:proofErr w:type="spellStart"/>
      <w:r>
        <w:rPr>
          <w:rFonts w:cs="Times New Roman"/>
          <w:color w:val="000000"/>
          <w:szCs w:val="24"/>
        </w:rPr>
        <w:t>ortožu</w:t>
      </w:r>
      <w:proofErr w:type="spellEnd"/>
      <w:r>
        <w:rPr>
          <w:rFonts w:cs="Times New Roman"/>
          <w:color w:val="000000"/>
          <w:szCs w:val="24"/>
        </w:rPr>
        <w:t xml:space="preserve"> grupā, nav iekļauti valsts finansēto TPL sarakstā un šobrīd to maksimālais finansējuma apjoms ir 2</w:t>
      </w:r>
      <w:r w:rsidR="00762EB4">
        <w:rPr>
          <w:rFonts w:cs="Times New Roman"/>
          <w:color w:val="000000"/>
          <w:szCs w:val="24"/>
        </w:rPr>
        <w:t xml:space="preserve"> </w:t>
      </w:r>
      <w:r>
        <w:rPr>
          <w:rFonts w:cs="Times New Roman"/>
          <w:color w:val="000000"/>
          <w:szCs w:val="24"/>
        </w:rPr>
        <w:t xml:space="preserve">500 </w:t>
      </w:r>
      <w:proofErr w:type="spellStart"/>
      <w:r w:rsidRPr="00762EB4">
        <w:rPr>
          <w:rFonts w:cs="Times New Roman"/>
          <w:i/>
          <w:color w:val="000000"/>
          <w:szCs w:val="24"/>
        </w:rPr>
        <w:t>euro</w:t>
      </w:r>
      <w:proofErr w:type="spellEnd"/>
      <w:r>
        <w:rPr>
          <w:rFonts w:cs="Times New Roman"/>
          <w:color w:val="000000"/>
          <w:szCs w:val="24"/>
        </w:rPr>
        <w:t>.</w:t>
      </w:r>
    </w:p>
    <w:p w:rsidR="00314DB7" w:rsidRPr="001B539D" w:rsidRDefault="009E2675" w:rsidP="009E2675">
      <w:pPr>
        <w:ind w:firstLine="720"/>
        <w:jc w:val="both"/>
      </w:pPr>
      <w:r>
        <w:rPr>
          <w:color w:val="000000"/>
        </w:rPr>
        <w:t>Papildus informējam, ka šobrīd ir apstiprinātas Valsts nodokļu politikas pamatnostādnes 2018.–2021.gadam, lai nodrošinātu stabilu un pro</w:t>
      </w:r>
      <w:r w:rsidR="00762EB4">
        <w:rPr>
          <w:color w:val="000000"/>
        </w:rPr>
        <w:t xml:space="preserve">gnozējamu nodokļu politiku līdz 2021.gadam. </w:t>
      </w:r>
      <w:r>
        <w:rPr>
          <w:color w:val="000000"/>
        </w:rPr>
        <w:t>Tomēr, izstrādājot nākamās vidēja termiņa nodokļu politikas pamatnostādnes, p</w:t>
      </w:r>
      <w:r>
        <w:t>rimāri tiks vērtēti nodokļu reformas ieviesti</w:t>
      </w:r>
      <w:r w:rsidR="00623B62">
        <w:t>e</w:t>
      </w:r>
      <w:r>
        <w:t xml:space="preserve"> jaunie pasākumi, un pēc analīzes rezultātiem tiks noteikta nodokļu izmaiņu nepieciešamība un virzieni arī sociālās aizsardzības jomās. Fiskālo iespēju ietvaros tiks turpināts darbs, lai nodrošinātu ienākumu palielinājumu iedzīvotājiem ar zemu ienākumu līmeni. Tāpat paredzēts turpināt pārnest nodokļu slogu no darbaspēka uz īpašuma, patēriņa un vides nodokļiem. </w:t>
      </w:r>
    </w:p>
    <w:p w:rsidR="00950E5C" w:rsidRPr="00950E5C" w:rsidRDefault="00950E5C" w:rsidP="00950E5C">
      <w:pPr>
        <w:ind w:firstLine="720"/>
        <w:jc w:val="both"/>
        <w:rPr>
          <w:rFonts w:cs="Times New Roman"/>
          <w:color w:val="000000"/>
          <w:szCs w:val="24"/>
        </w:rPr>
      </w:pPr>
      <w:r w:rsidRPr="00950E5C">
        <w:rPr>
          <w:rFonts w:cs="Times New Roman"/>
          <w:szCs w:val="24"/>
        </w:rPr>
        <w:t>Jāņem vērā, ka atbalsta pasākumu īstenošana mazaizsargātajiem un nabadzības riskam pakļautajiem sabiedrības locekļiem ietver kompleksu pasākumu un iesaistīto pušu kopumu, kas paredz gan Labklājības ministrijas, gan Veselības ministrijas, gan Tieslietu ministrijas, gan citu nozaru ministriju, kā arī būtisku pašvaldību iesaisti.</w:t>
      </w:r>
    </w:p>
    <w:p w:rsidR="000F5661" w:rsidRDefault="000F5661" w:rsidP="0035750F">
      <w:pPr>
        <w:rPr>
          <w:rFonts w:eastAsia="Times New Roman"/>
          <w:szCs w:val="24"/>
          <w:lang w:eastAsia="lv-LV"/>
        </w:rPr>
      </w:pPr>
    </w:p>
    <w:p w:rsidR="0035750F" w:rsidRPr="005F69F7" w:rsidRDefault="0035750F" w:rsidP="0035750F">
      <w:pPr>
        <w:rPr>
          <w:szCs w:val="24"/>
        </w:rPr>
      </w:pPr>
      <w:r w:rsidRPr="005F69F7">
        <w:rPr>
          <w:rFonts w:eastAsia="Times New Roman"/>
          <w:szCs w:val="24"/>
          <w:lang w:eastAsia="lv-LV"/>
        </w:rPr>
        <w:t xml:space="preserve">Ministru prezidents </w:t>
      </w:r>
      <w:r w:rsidRPr="005F69F7">
        <w:rPr>
          <w:rFonts w:eastAsia="Times New Roman"/>
          <w:szCs w:val="24"/>
          <w:lang w:eastAsia="lv-LV"/>
        </w:rPr>
        <w:tab/>
      </w:r>
      <w:r w:rsidRPr="005F69F7">
        <w:rPr>
          <w:rFonts w:eastAsia="Times New Roman"/>
          <w:szCs w:val="24"/>
          <w:lang w:eastAsia="lv-LV"/>
        </w:rPr>
        <w:tab/>
      </w:r>
      <w:r w:rsidRPr="005F69F7">
        <w:rPr>
          <w:rFonts w:eastAsia="Times New Roman"/>
          <w:szCs w:val="24"/>
          <w:lang w:eastAsia="lv-LV"/>
        </w:rPr>
        <w:tab/>
      </w:r>
      <w:r w:rsidRPr="005F69F7">
        <w:rPr>
          <w:rFonts w:eastAsia="Times New Roman"/>
          <w:szCs w:val="24"/>
          <w:lang w:eastAsia="lv-LV"/>
        </w:rPr>
        <w:tab/>
      </w:r>
      <w:r w:rsidRPr="005F69F7">
        <w:rPr>
          <w:rFonts w:eastAsia="Times New Roman"/>
          <w:szCs w:val="24"/>
          <w:lang w:eastAsia="lv-LV"/>
        </w:rPr>
        <w:tab/>
      </w:r>
      <w:r w:rsidRPr="005F69F7">
        <w:rPr>
          <w:rFonts w:eastAsia="Times New Roman"/>
          <w:szCs w:val="24"/>
          <w:lang w:eastAsia="lv-LV"/>
        </w:rPr>
        <w:tab/>
      </w:r>
      <w:r w:rsidR="005F69F7">
        <w:rPr>
          <w:rFonts w:eastAsia="Times New Roman"/>
          <w:szCs w:val="24"/>
          <w:lang w:eastAsia="lv-LV"/>
        </w:rPr>
        <w:t xml:space="preserve">                      </w:t>
      </w:r>
      <w:r w:rsidR="001B539D">
        <w:rPr>
          <w:rFonts w:eastAsia="Times New Roman"/>
          <w:szCs w:val="24"/>
          <w:lang w:eastAsia="lv-LV"/>
        </w:rPr>
        <w:t>A.K</w:t>
      </w:r>
      <w:r w:rsidRPr="005F69F7">
        <w:rPr>
          <w:rFonts w:eastAsia="Times New Roman"/>
          <w:szCs w:val="24"/>
          <w:lang w:eastAsia="lv-LV"/>
        </w:rPr>
        <w:t>. K</w:t>
      </w:r>
      <w:r w:rsidR="001B539D">
        <w:rPr>
          <w:rFonts w:eastAsia="Times New Roman"/>
          <w:szCs w:val="24"/>
          <w:lang w:eastAsia="lv-LV"/>
        </w:rPr>
        <w:t>ariņš</w:t>
      </w:r>
    </w:p>
    <w:p w:rsidR="005F69F7" w:rsidRDefault="005F69F7" w:rsidP="0035750F">
      <w:pPr>
        <w:rPr>
          <w:szCs w:val="24"/>
        </w:rPr>
      </w:pPr>
    </w:p>
    <w:p w:rsidR="009A59D7" w:rsidRDefault="001B539D" w:rsidP="0035750F">
      <w:pPr>
        <w:rPr>
          <w:szCs w:val="24"/>
        </w:rPr>
      </w:pPr>
      <w:bookmarkStart w:id="0" w:name="_GoBack"/>
      <w:r>
        <w:rPr>
          <w:szCs w:val="24"/>
        </w:rPr>
        <w:t xml:space="preserve">Iesniedzējs: </w:t>
      </w:r>
    </w:p>
    <w:p w:rsidR="005F69F7" w:rsidRPr="00A12FB6" w:rsidRDefault="00E53A9C" w:rsidP="00A12FB6">
      <w:pPr>
        <w:rPr>
          <w:szCs w:val="24"/>
        </w:rPr>
      </w:pPr>
      <w:r>
        <w:rPr>
          <w:szCs w:val="24"/>
        </w:rPr>
        <w:t>f</w:t>
      </w:r>
      <w:r w:rsidR="001B539D">
        <w:rPr>
          <w:szCs w:val="24"/>
        </w:rPr>
        <w:t>inanšu ministrs</w:t>
      </w:r>
      <w:r w:rsidR="0035750F" w:rsidRPr="005F69F7">
        <w:rPr>
          <w:szCs w:val="24"/>
        </w:rPr>
        <w:tab/>
      </w:r>
      <w:r w:rsidR="0035750F" w:rsidRPr="005F69F7">
        <w:rPr>
          <w:szCs w:val="24"/>
        </w:rPr>
        <w:tab/>
      </w:r>
      <w:r w:rsidR="0035750F" w:rsidRPr="005F69F7">
        <w:rPr>
          <w:szCs w:val="24"/>
        </w:rPr>
        <w:tab/>
      </w:r>
      <w:r w:rsidR="0035750F" w:rsidRPr="005F69F7">
        <w:rPr>
          <w:szCs w:val="24"/>
        </w:rPr>
        <w:tab/>
        <w:t xml:space="preserve">         </w:t>
      </w:r>
      <w:r w:rsidR="005F69F7">
        <w:rPr>
          <w:szCs w:val="24"/>
        </w:rPr>
        <w:t xml:space="preserve">                     </w:t>
      </w:r>
      <w:r w:rsidR="0035750F" w:rsidRPr="005F69F7">
        <w:rPr>
          <w:szCs w:val="24"/>
        </w:rPr>
        <w:t xml:space="preserve">  </w:t>
      </w:r>
      <w:r w:rsidR="001B539D">
        <w:rPr>
          <w:szCs w:val="24"/>
        </w:rPr>
        <w:t xml:space="preserve"> </w:t>
      </w:r>
      <w:r w:rsidR="009A59D7">
        <w:rPr>
          <w:szCs w:val="24"/>
        </w:rPr>
        <w:t xml:space="preserve">            </w:t>
      </w:r>
      <w:r w:rsidR="001B539D">
        <w:rPr>
          <w:szCs w:val="24"/>
        </w:rPr>
        <w:t xml:space="preserve"> </w:t>
      </w:r>
      <w:r w:rsidR="001B539D">
        <w:rPr>
          <w:rFonts w:eastAsia="Times New Roman" w:cs="Times New Roman"/>
          <w:szCs w:val="24"/>
        </w:rPr>
        <w:t>J.Reirs</w:t>
      </w:r>
      <w:r w:rsidR="0035750F" w:rsidRPr="005F69F7">
        <w:rPr>
          <w:szCs w:val="24"/>
        </w:rPr>
        <w:t xml:space="preserve"> </w:t>
      </w:r>
      <w:bookmarkEnd w:id="0"/>
    </w:p>
    <w:sectPr w:rsidR="005F69F7" w:rsidRPr="00A12FB6" w:rsidSect="00C006E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28" w:rsidRDefault="00560328" w:rsidP="001A0EC5">
      <w:r>
        <w:separator/>
      </w:r>
    </w:p>
  </w:endnote>
  <w:endnote w:type="continuationSeparator" w:id="0">
    <w:p w:rsidR="00560328" w:rsidRDefault="00560328" w:rsidP="001A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B9" w:rsidRDefault="00206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85" w:rsidRPr="00E062E4" w:rsidRDefault="00BD711F" w:rsidP="00575F54">
    <w:pPr>
      <w:rPr>
        <w:i/>
        <w:sz w:val="20"/>
        <w:szCs w:val="20"/>
      </w:rPr>
    </w:pPr>
    <w:r>
      <w:rPr>
        <w:sz w:val="20"/>
        <w:szCs w:val="20"/>
      </w:rPr>
      <w:t>FMA</w:t>
    </w:r>
    <w:r w:rsidR="00251DFE">
      <w:rPr>
        <w:sz w:val="20"/>
        <w:szCs w:val="20"/>
      </w:rPr>
      <w:t>tb</w:t>
    </w:r>
    <w:r w:rsidR="002069B9">
      <w:rPr>
        <w:sz w:val="20"/>
        <w:szCs w:val="20"/>
      </w:rPr>
      <w:t>_0104</w:t>
    </w:r>
    <w:r w:rsidR="00305AA4">
      <w:rPr>
        <w:sz w:val="20"/>
        <w:szCs w:val="20"/>
      </w:rPr>
      <w:t>19</w:t>
    </w:r>
    <w:r w:rsidR="00D25FDA" w:rsidRPr="00D25FDA">
      <w:rPr>
        <w:sz w:val="20"/>
        <w:szCs w:val="20"/>
      </w:rPr>
      <w:t>_</w:t>
    </w:r>
    <w:r w:rsidR="00305AA4">
      <w:rPr>
        <w:sz w:val="20"/>
        <w:szCs w:val="20"/>
      </w:rPr>
      <w:t>Ministu kabineta atbildes projekts Latvijas Republikas tiesībsargam</w:t>
    </w:r>
  </w:p>
  <w:p w:rsidR="00A55785" w:rsidRDefault="00A55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A4" w:rsidRPr="00E062E4" w:rsidRDefault="00BD711F" w:rsidP="00305AA4">
    <w:pPr>
      <w:rPr>
        <w:i/>
        <w:sz w:val="20"/>
        <w:szCs w:val="20"/>
      </w:rPr>
    </w:pPr>
    <w:r>
      <w:rPr>
        <w:sz w:val="20"/>
        <w:szCs w:val="20"/>
      </w:rPr>
      <w:t>FMA</w:t>
    </w:r>
    <w:r w:rsidR="00623B62">
      <w:rPr>
        <w:sz w:val="20"/>
        <w:szCs w:val="20"/>
      </w:rPr>
      <w:t>tb</w:t>
    </w:r>
    <w:r w:rsidR="002069B9">
      <w:rPr>
        <w:sz w:val="20"/>
        <w:szCs w:val="20"/>
      </w:rPr>
      <w:t>_0104</w:t>
    </w:r>
    <w:r w:rsidR="00305AA4">
      <w:rPr>
        <w:sz w:val="20"/>
        <w:szCs w:val="20"/>
      </w:rPr>
      <w:t>19</w:t>
    </w:r>
    <w:r w:rsidR="00305AA4" w:rsidRPr="00D25FDA">
      <w:rPr>
        <w:sz w:val="20"/>
        <w:szCs w:val="20"/>
      </w:rPr>
      <w:t>_</w:t>
    </w:r>
    <w:r w:rsidR="00305AA4">
      <w:rPr>
        <w:sz w:val="20"/>
        <w:szCs w:val="20"/>
      </w:rPr>
      <w:t>Ministu kabineta atbildes projekts Latvijas Republikas tiesībsargam</w:t>
    </w:r>
  </w:p>
  <w:p w:rsidR="00A55785" w:rsidRPr="00305AA4" w:rsidRDefault="00A55785" w:rsidP="00305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28" w:rsidRDefault="00560328" w:rsidP="001A0EC5">
      <w:r>
        <w:separator/>
      </w:r>
    </w:p>
  </w:footnote>
  <w:footnote w:type="continuationSeparator" w:id="0">
    <w:p w:rsidR="00560328" w:rsidRDefault="00560328" w:rsidP="001A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B9" w:rsidRDefault="00206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85" w:rsidRPr="009451D8" w:rsidRDefault="00C96685">
    <w:pPr>
      <w:pStyle w:val="Header"/>
      <w:jc w:val="center"/>
      <w:rPr>
        <w:sz w:val="20"/>
        <w:szCs w:val="20"/>
      </w:rPr>
    </w:pPr>
    <w:r w:rsidRPr="009451D8">
      <w:rPr>
        <w:sz w:val="20"/>
        <w:szCs w:val="20"/>
      </w:rPr>
      <w:fldChar w:fldCharType="begin"/>
    </w:r>
    <w:r w:rsidRPr="009451D8">
      <w:rPr>
        <w:sz w:val="20"/>
        <w:szCs w:val="20"/>
      </w:rPr>
      <w:instrText xml:space="preserve"> PAGE   \* MERGEFORMAT </w:instrText>
    </w:r>
    <w:r w:rsidRPr="009451D8">
      <w:rPr>
        <w:sz w:val="20"/>
        <w:szCs w:val="20"/>
      </w:rPr>
      <w:fldChar w:fldCharType="separate"/>
    </w:r>
    <w:r w:rsidR="00A47894">
      <w:rPr>
        <w:noProof/>
        <w:sz w:val="20"/>
        <w:szCs w:val="20"/>
      </w:rPr>
      <w:t>3</w:t>
    </w:r>
    <w:r w:rsidRPr="009451D8">
      <w:rPr>
        <w:noProof/>
        <w:sz w:val="20"/>
        <w:szCs w:val="20"/>
      </w:rPr>
      <w:fldChar w:fldCharType="end"/>
    </w:r>
  </w:p>
  <w:p w:rsidR="00A55785" w:rsidRDefault="00A55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B9" w:rsidRDefault="00206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87E67"/>
    <w:multiLevelType w:val="hybridMultilevel"/>
    <w:tmpl w:val="1EC263D8"/>
    <w:lvl w:ilvl="0" w:tplc="722804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597F37"/>
    <w:multiLevelType w:val="hybridMultilevel"/>
    <w:tmpl w:val="62140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B804CA"/>
    <w:multiLevelType w:val="hybridMultilevel"/>
    <w:tmpl w:val="D6F03EB2"/>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15:restartNumberingAfterBreak="0">
    <w:nsid w:val="3E8B21EE"/>
    <w:multiLevelType w:val="hybridMultilevel"/>
    <w:tmpl w:val="B588C2F8"/>
    <w:lvl w:ilvl="0" w:tplc="423C89B8">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3941E45"/>
    <w:multiLevelType w:val="hybridMultilevel"/>
    <w:tmpl w:val="C97EA3C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C5"/>
    <w:rsid w:val="000107B1"/>
    <w:rsid w:val="00011924"/>
    <w:rsid w:val="00022D72"/>
    <w:rsid w:val="00024D52"/>
    <w:rsid w:val="00027B24"/>
    <w:rsid w:val="00031BE1"/>
    <w:rsid w:val="000332B3"/>
    <w:rsid w:val="0004363B"/>
    <w:rsid w:val="00055F80"/>
    <w:rsid w:val="00067D95"/>
    <w:rsid w:val="00082966"/>
    <w:rsid w:val="000B4E4E"/>
    <w:rsid w:val="000C15AE"/>
    <w:rsid w:val="000E202D"/>
    <w:rsid w:val="000F5661"/>
    <w:rsid w:val="001074EE"/>
    <w:rsid w:val="001522E4"/>
    <w:rsid w:val="001626DA"/>
    <w:rsid w:val="00174C98"/>
    <w:rsid w:val="0019760F"/>
    <w:rsid w:val="001A007A"/>
    <w:rsid w:val="001A0EC5"/>
    <w:rsid w:val="001A5C18"/>
    <w:rsid w:val="001B00F6"/>
    <w:rsid w:val="001B539D"/>
    <w:rsid w:val="001B5884"/>
    <w:rsid w:val="001E6F93"/>
    <w:rsid w:val="002069B9"/>
    <w:rsid w:val="00222E73"/>
    <w:rsid w:val="00230F82"/>
    <w:rsid w:val="00240904"/>
    <w:rsid w:val="00251DFE"/>
    <w:rsid w:val="00261037"/>
    <w:rsid w:val="002708B1"/>
    <w:rsid w:val="00270BA9"/>
    <w:rsid w:val="002856C6"/>
    <w:rsid w:val="002B33A6"/>
    <w:rsid w:val="002C6F4F"/>
    <w:rsid w:val="002C7296"/>
    <w:rsid w:val="002E60A4"/>
    <w:rsid w:val="002F06ED"/>
    <w:rsid w:val="00305AA4"/>
    <w:rsid w:val="00314DB7"/>
    <w:rsid w:val="00342C8D"/>
    <w:rsid w:val="003501E1"/>
    <w:rsid w:val="00351F9D"/>
    <w:rsid w:val="0035312D"/>
    <w:rsid w:val="0035750F"/>
    <w:rsid w:val="00397EA9"/>
    <w:rsid w:val="003A4493"/>
    <w:rsid w:val="003B564D"/>
    <w:rsid w:val="003C48DD"/>
    <w:rsid w:val="003C6A8D"/>
    <w:rsid w:val="003D6340"/>
    <w:rsid w:val="00406F63"/>
    <w:rsid w:val="00411A4A"/>
    <w:rsid w:val="00420D63"/>
    <w:rsid w:val="00421972"/>
    <w:rsid w:val="004642CA"/>
    <w:rsid w:val="004B600C"/>
    <w:rsid w:val="004F4D81"/>
    <w:rsid w:val="005019CB"/>
    <w:rsid w:val="005156DF"/>
    <w:rsid w:val="00524AA5"/>
    <w:rsid w:val="00536EC5"/>
    <w:rsid w:val="0054605A"/>
    <w:rsid w:val="00560328"/>
    <w:rsid w:val="00562A34"/>
    <w:rsid w:val="00566A25"/>
    <w:rsid w:val="00575F54"/>
    <w:rsid w:val="00581AB8"/>
    <w:rsid w:val="00595DD8"/>
    <w:rsid w:val="005A149A"/>
    <w:rsid w:val="005B6D31"/>
    <w:rsid w:val="005C2275"/>
    <w:rsid w:val="005D4FD1"/>
    <w:rsid w:val="005D5888"/>
    <w:rsid w:val="005E100B"/>
    <w:rsid w:val="005F69F7"/>
    <w:rsid w:val="006059A1"/>
    <w:rsid w:val="00615E02"/>
    <w:rsid w:val="00623B62"/>
    <w:rsid w:val="00642066"/>
    <w:rsid w:val="0064275A"/>
    <w:rsid w:val="00666441"/>
    <w:rsid w:val="006701CE"/>
    <w:rsid w:val="00670CDC"/>
    <w:rsid w:val="00671308"/>
    <w:rsid w:val="00685E9B"/>
    <w:rsid w:val="00693467"/>
    <w:rsid w:val="006B3DEF"/>
    <w:rsid w:val="006C17AF"/>
    <w:rsid w:val="006E7C21"/>
    <w:rsid w:val="006F6BBF"/>
    <w:rsid w:val="00707417"/>
    <w:rsid w:val="007121C8"/>
    <w:rsid w:val="00717A77"/>
    <w:rsid w:val="00734DCC"/>
    <w:rsid w:val="0073767A"/>
    <w:rsid w:val="00740534"/>
    <w:rsid w:val="00762505"/>
    <w:rsid w:val="00762EB4"/>
    <w:rsid w:val="00777C08"/>
    <w:rsid w:val="00782339"/>
    <w:rsid w:val="007D7D80"/>
    <w:rsid w:val="007E177F"/>
    <w:rsid w:val="007E6FF5"/>
    <w:rsid w:val="00805CCD"/>
    <w:rsid w:val="00815BA0"/>
    <w:rsid w:val="00850518"/>
    <w:rsid w:val="00862D63"/>
    <w:rsid w:val="00887D86"/>
    <w:rsid w:val="008906B4"/>
    <w:rsid w:val="008B08D0"/>
    <w:rsid w:val="008D34AD"/>
    <w:rsid w:val="008D506D"/>
    <w:rsid w:val="008D7B30"/>
    <w:rsid w:val="008E02F7"/>
    <w:rsid w:val="008E1587"/>
    <w:rsid w:val="0090168C"/>
    <w:rsid w:val="009107F1"/>
    <w:rsid w:val="0092456D"/>
    <w:rsid w:val="009451D8"/>
    <w:rsid w:val="00950E5C"/>
    <w:rsid w:val="0097492F"/>
    <w:rsid w:val="00977D94"/>
    <w:rsid w:val="009A59D7"/>
    <w:rsid w:val="009B2F2E"/>
    <w:rsid w:val="009B650E"/>
    <w:rsid w:val="009D09DD"/>
    <w:rsid w:val="009E2675"/>
    <w:rsid w:val="00A02996"/>
    <w:rsid w:val="00A042ED"/>
    <w:rsid w:val="00A12FB6"/>
    <w:rsid w:val="00A17601"/>
    <w:rsid w:val="00A211B2"/>
    <w:rsid w:val="00A27980"/>
    <w:rsid w:val="00A353C7"/>
    <w:rsid w:val="00A43076"/>
    <w:rsid w:val="00A47894"/>
    <w:rsid w:val="00A55785"/>
    <w:rsid w:val="00A70265"/>
    <w:rsid w:val="00A87806"/>
    <w:rsid w:val="00A9096D"/>
    <w:rsid w:val="00AC5A60"/>
    <w:rsid w:val="00AC5C9D"/>
    <w:rsid w:val="00AD5CFC"/>
    <w:rsid w:val="00AF7F91"/>
    <w:rsid w:val="00B072AF"/>
    <w:rsid w:val="00B352B4"/>
    <w:rsid w:val="00B443FD"/>
    <w:rsid w:val="00B54A05"/>
    <w:rsid w:val="00B60377"/>
    <w:rsid w:val="00B76758"/>
    <w:rsid w:val="00B973EC"/>
    <w:rsid w:val="00BA3C2A"/>
    <w:rsid w:val="00BA6F52"/>
    <w:rsid w:val="00BC0109"/>
    <w:rsid w:val="00BD711F"/>
    <w:rsid w:val="00BE5592"/>
    <w:rsid w:val="00C006EE"/>
    <w:rsid w:val="00C15E1A"/>
    <w:rsid w:val="00C54120"/>
    <w:rsid w:val="00C67287"/>
    <w:rsid w:val="00C76A0B"/>
    <w:rsid w:val="00C77E0B"/>
    <w:rsid w:val="00C934E2"/>
    <w:rsid w:val="00C93D63"/>
    <w:rsid w:val="00C96685"/>
    <w:rsid w:val="00CB0982"/>
    <w:rsid w:val="00CB172B"/>
    <w:rsid w:val="00CC530A"/>
    <w:rsid w:val="00CC5660"/>
    <w:rsid w:val="00CE1E0F"/>
    <w:rsid w:val="00CE3987"/>
    <w:rsid w:val="00CE5D4B"/>
    <w:rsid w:val="00CE6042"/>
    <w:rsid w:val="00CF352B"/>
    <w:rsid w:val="00CF4CB4"/>
    <w:rsid w:val="00D06BDD"/>
    <w:rsid w:val="00D07A1E"/>
    <w:rsid w:val="00D25FDA"/>
    <w:rsid w:val="00D2791D"/>
    <w:rsid w:val="00D40748"/>
    <w:rsid w:val="00D43AC7"/>
    <w:rsid w:val="00D46AFD"/>
    <w:rsid w:val="00DA23B1"/>
    <w:rsid w:val="00DA5A0F"/>
    <w:rsid w:val="00DA6C23"/>
    <w:rsid w:val="00DC06AC"/>
    <w:rsid w:val="00DC577E"/>
    <w:rsid w:val="00DE354D"/>
    <w:rsid w:val="00E1543D"/>
    <w:rsid w:val="00E424C9"/>
    <w:rsid w:val="00E455BE"/>
    <w:rsid w:val="00E52CE6"/>
    <w:rsid w:val="00E53A9C"/>
    <w:rsid w:val="00E74B46"/>
    <w:rsid w:val="00E80A71"/>
    <w:rsid w:val="00E869C0"/>
    <w:rsid w:val="00EB7DF7"/>
    <w:rsid w:val="00EC1D5A"/>
    <w:rsid w:val="00EC511E"/>
    <w:rsid w:val="00ED7930"/>
    <w:rsid w:val="00EE2B71"/>
    <w:rsid w:val="00EE792B"/>
    <w:rsid w:val="00EF4D57"/>
    <w:rsid w:val="00F260A7"/>
    <w:rsid w:val="00F32883"/>
    <w:rsid w:val="00F44FC0"/>
    <w:rsid w:val="00F535C5"/>
    <w:rsid w:val="00F65D69"/>
    <w:rsid w:val="00F75B13"/>
    <w:rsid w:val="00F95E60"/>
    <w:rsid w:val="00FA549A"/>
    <w:rsid w:val="00FC7987"/>
    <w:rsid w:val="00FE4572"/>
    <w:rsid w:val="00FE4E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23B4"/>
  <w15:docId w15:val="{3632DF1B-0859-4063-9EC7-E85FD952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0EC5"/>
    <w:pPr>
      <w:tabs>
        <w:tab w:val="center" w:pos="4153"/>
        <w:tab w:val="right" w:pos="8306"/>
      </w:tabs>
    </w:pPr>
  </w:style>
  <w:style w:type="character" w:customStyle="1" w:styleId="FooterChar">
    <w:name w:val="Footer Char"/>
    <w:basedOn w:val="DefaultParagraphFont"/>
    <w:link w:val="Footer"/>
    <w:uiPriority w:val="99"/>
    <w:rsid w:val="001A0EC5"/>
  </w:style>
  <w:style w:type="paragraph" w:styleId="FootnoteText">
    <w:name w:val="footnote text"/>
    <w:basedOn w:val="Normal"/>
    <w:link w:val="FootnoteTextChar"/>
    <w:uiPriority w:val="99"/>
    <w:semiHidden/>
    <w:unhideWhenUsed/>
    <w:rsid w:val="001A0EC5"/>
    <w:rPr>
      <w:sz w:val="20"/>
      <w:szCs w:val="20"/>
    </w:rPr>
  </w:style>
  <w:style w:type="character" w:customStyle="1" w:styleId="FootnoteTextChar">
    <w:name w:val="Footnote Text Char"/>
    <w:basedOn w:val="DefaultParagraphFont"/>
    <w:link w:val="FootnoteText"/>
    <w:uiPriority w:val="99"/>
    <w:semiHidden/>
    <w:rsid w:val="001A0EC5"/>
    <w:rPr>
      <w:sz w:val="20"/>
      <w:szCs w:val="20"/>
    </w:rPr>
  </w:style>
  <w:style w:type="paragraph" w:styleId="Header">
    <w:name w:val="header"/>
    <w:basedOn w:val="Normal"/>
    <w:link w:val="HeaderChar"/>
    <w:uiPriority w:val="99"/>
    <w:rsid w:val="001A0EC5"/>
    <w:pPr>
      <w:tabs>
        <w:tab w:val="center" w:pos="4153"/>
        <w:tab w:val="right" w:pos="8306"/>
      </w:tabs>
      <w:spacing w:after="120"/>
      <w:ind w:firstLine="720"/>
      <w:jc w:val="both"/>
    </w:pPr>
    <w:rPr>
      <w:rFonts w:eastAsia="Times New Roman" w:cs="Times New Roman"/>
      <w:sz w:val="28"/>
      <w:szCs w:val="28"/>
      <w:lang w:val="en-GB"/>
    </w:rPr>
  </w:style>
  <w:style w:type="character" w:customStyle="1" w:styleId="HeaderChar">
    <w:name w:val="Header Char"/>
    <w:basedOn w:val="DefaultParagraphFont"/>
    <w:link w:val="Header"/>
    <w:uiPriority w:val="99"/>
    <w:rsid w:val="001A0EC5"/>
    <w:rPr>
      <w:rFonts w:eastAsia="Times New Roman" w:cs="Times New Roman"/>
      <w:sz w:val="28"/>
      <w:szCs w:val="28"/>
      <w:lang w:val="en-GB"/>
    </w:rPr>
  </w:style>
  <w:style w:type="character" w:styleId="Hyperlink">
    <w:name w:val="Hyperlink"/>
    <w:rsid w:val="001A0EC5"/>
    <w:rPr>
      <w:color w:val="0000FF"/>
      <w:u w:val="single"/>
    </w:rPr>
  </w:style>
  <w:style w:type="paragraph" w:customStyle="1" w:styleId="tv2132">
    <w:name w:val="tv2132"/>
    <w:basedOn w:val="Normal"/>
    <w:rsid w:val="001A0EC5"/>
    <w:pPr>
      <w:spacing w:line="360" w:lineRule="auto"/>
      <w:ind w:firstLine="300"/>
    </w:pPr>
    <w:rPr>
      <w:rFonts w:eastAsia="Times New Roman" w:cs="Times New Roman"/>
      <w:color w:val="414142"/>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link w:val="CharCharCharChar"/>
    <w:uiPriority w:val="99"/>
    <w:unhideWhenUsed/>
    <w:qFormat/>
    <w:rsid w:val="001A0EC5"/>
    <w:rPr>
      <w:vertAlign w:val="superscript"/>
    </w:rPr>
  </w:style>
  <w:style w:type="paragraph" w:customStyle="1" w:styleId="CharCharCharChar">
    <w:name w:val="Char Char Char Char"/>
    <w:aliases w:val="Char2"/>
    <w:basedOn w:val="Normal"/>
    <w:next w:val="Normal"/>
    <w:link w:val="FootnoteReference"/>
    <w:uiPriority w:val="99"/>
    <w:rsid w:val="001A0EC5"/>
    <w:pPr>
      <w:spacing w:after="160" w:line="240" w:lineRule="exact"/>
      <w:jc w:val="both"/>
      <w:textAlignment w:val="baseline"/>
    </w:pPr>
    <w:rPr>
      <w:vertAlign w:val="superscript"/>
    </w:rPr>
  </w:style>
  <w:style w:type="paragraph" w:styleId="BalloonText">
    <w:name w:val="Balloon Text"/>
    <w:basedOn w:val="Normal"/>
    <w:link w:val="BalloonTextChar"/>
    <w:uiPriority w:val="99"/>
    <w:semiHidden/>
    <w:unhideWhenUsed/>
    <w:rsid w:val="00D07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1E"/>
    <w:rPr>
      <w:rFonts w:ascii="Segoe UI" w:hAnsi="Segoe UI" w:cs="Segoe UI"/>
      <w:sz w:val="18"/>
      <w:szCs w:val="18"/>
    </w:rPr>
  </w:style>
  <w:style w:type="character" w:styleId="CommentReference">
    <w:name w:val="annotation reference"/>
    <w:basedOn w:val="DefaultParagraphFont"/>
    <w:uiPriority w:val="99"/>
    <w:semiHidden/>
    <w:unhideWhenUsed/>
    <w:rsid w:val="00EC511E"/>
    <w:rPr>
      <w:sz w:val="16"/>
      <w:szCs w:val="16"/>
    </w:rPr>
  </w:style>
  <w:style w:type="paragraph" w:styleId="CommentText">
    <w:name w:val="annotation text"/>
    <w:basedOn w:val="Normal"/>
    <w:link w:val="CommentTextChar"/>
    <w:uiPriority w:val="99"/>
    <w:semiHidden/>
    <w:unhideWhenUsed/>
    <w:rsid w:val="00EC511E"/>
    <w:rPr>
      <w:sz w:val="20"/>
      <w:szCs w:val="20"/>
    </w:rPr>
  </w:style>
  <w:style w:type="character" w:customStyle="1" w:styleId="CommentTextChar">
    <w:name w:val="Comment Text Char"/>
    <w:basedOn w:val="DefaultParagraphFont"/>
    <w:link w:val="CommentText"/>
    <w:uiPriority w:val="99"/>
    <w:semiHidden/>
    <w:rsid w:val="00EC511E"/>
    <w:rPr>
      <w:sz w:val="20"/>
      <w:szCs w:val="20"/>
    </w:rPr>
  </w:style>
  <w:style w:type="paragraph" w:styleId="CommentSubject">
    <w:name w:val="annotation subject"/>
    <w:basedOn w:val="CommentText"/>
    <w:next w:val="CommentText"/>
    <w:link w:val="CommentSubjectChar"/>
    <w:uiPriority w:val="99"/>
    <w:semiHidden/>
    <w:unhideWhenUsed/>
    <w:rsid w:val="00EC511E"/>
    <w:rPr>
      <w:b/>
      <w:bCs/>
    </w:rPr>
  </w:style>
  <w:style w:type="character" w:customStyle="1" w:styleId="CommentSubjectChar">
    <w:name w:val="Comment Subject Char"/>
    <w:basedOn w:val="CommentTextChar"/>
    <w:link w:val="CommentSubject"/>
    <w:uiPriority w:val="99"/>
    <w:semiHidden/>
    <w:rsid w:val="00EC5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89467">
      <w:bodyDiv w:val="1"/>
      <w:marLeft w:val="0"/>
      <w:marRight w:val="0"/>
      <w:marTop w:val="0"/>
      <w:marBottom w:val="0"/>
      <w:divBdr>
        <w:top w:val="none" w:sz="0" w:space="0" w:color="auto"/>
        <w:left w:val="none" w:sz="0" w:space="0" w:color="auto"/>
        <w:bottom w:val="none" w:sz="0" w:space="0" w:color="auto"/>
        <w:right w:val="none" w:sz="0" w:space="0" w:color="auto"/>
      </w:divBdr>
    </w:div>
    <w:div w:id="288628022">
      <w:bodyDiv w:val="1"/>
      <w:marLeft w:val="0"/>
      <w:marRight w:val="0"/>
      <w:marTop w:val="0"/>
      <w:marBottom w:val="0"/>
      <w:divBdr>
        <w:top w:val="none" w:sz="0" w:space="0" w:color="auto"/>
        <w:left w:val="none" w:sz="0" w:space="0" w:color="auto"/>
        <w:bottom w:val="none" w:sz="0" w:space="0" w:color="auto"/>
        <w:right w:val="none" w:sz="0" w:space="0" w:color="auto"/>
      </w:divBdr>
    </w:div>
    <w:div w:id="714350438">
      <w:bodyDiv w:val="1"/>
      <w:marLeft w:val="0"/>
      <w:marRight w:val="0"/>
      <w:marTop w:val="0"/>
      <w:marBottom w:val="0"/>
      <w:divBdr>
        <w:top w:val="none" w:sz="0" w:space="0" w:color="auto"/>
        <w:left w:val="none" w:sz="0" w:space="0" w:color="auto"/>
        <w:bottom w:val="none" w:sz="0" w:space="0" w:color="auto"/>
        <w:right w:val="none" w:sz="0" w:space="0" w:color="auto"/>
      </w:divBdr>
    </w:div>
    <w:div w:id="1531065494">
      <w:bodyDiv w:val="1"/>
      <w:marLeft w:val="0"/>
      <w:marRight w:val="0"/>
      <w:marTop w:val="0"/>
      <w:marBottom w:val="0"/>
      <w:divBdr>
        <w:top w:val="none" w:sz="0" w:space="0" w:color="auto"/>
        <w:left w:val="none" w:sz="0" w:space="0" w:color="auto"/>
        <w:bottom w:val="none" w:sz="0" w:space="0" w:color="auto"/>
        <w:right w:val="none" w:sz="0" w:space="0" w:color="auto"/>
      </w:divBdr>
    </w:div>
    <w:div w:id="19996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31425-981F-4D95-AD68-96F7D90D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7470</Words>
  <Characters>4259</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stipendiju apmēru</vt:lpstr>
      <vt:lpstr/>
    </vt:vector>
  </TitlesOfParts>
  <Company>Finanšu ministrija</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2019.gada valsts budžeta prioritātēm cilvēktiesību jomā</dc:title>
  <dc:subject>Atbildes vēstules projekts</dc:subject>
  <dc:creator>Tatjana Pļaviņa</dc:creator>
  <dc:description>Tatjana Pļaviņa_x000d_
T.67095416_x000d_
tatjana.plavina@fm.gov.lv</dc:description>
  <cp:lastModifiedBy>Tatjana Pļaviņa</cp:lastModifiedBy>
  <cp:revision>5</cp:revision>
  <cp:lastPrinted>2019-04-01T13:42:00Z</cp:lastPrinted>
  <dcterms:created xsi:type="dcterms:W3CDTF">2019-04-01T13:26:00Z</dcterms:created>
  <dcterms:modified xsi:type="dcterms:W3CDTF">2019-04-01T13:51:00Z</dcterms:modified>
</cp:coreProperties>
</file>