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3D538" w14:textId="69C8E7E5" w:rsidR="00946431" w:rsidRPr="00896331" w:rsidRDefault="00DD33B9" w:rsidP="00D9627C">
      <w:pPr>
        <w:pStyle w:val="naisnod"/>
        <w:spacing w:before="0" w:after="0"/>
        <w:ind w:right="-720" w:firstLine="720"/>
        <w:rPr>
          <w:color w:val="000000"/>
        </w:rPr>
      </w:pPr>
      <w:r w:rsidRPr="00896331">
        <w:rPr>
          <w:color w:val="000000"/>
        </w:rPr>
        <w:t xml:space="preserve"> </w:t>
      </w:r>
      <w:r w:rsidR="00946431" w:rsidRPr="00896331">
        <w:rPr>
          <w:color w:val="000000"/>
        </w:rPr>
        <w:t>Izziņa par atzinumos sniegtajiem iebildumiem</w:t>
      </w:r>
    </w:p>
    <w:p w14:paraId="36079FEF" w14:textId="77777777" w:rsidR="00946431" w:rsidRPr="00896331" w:rsidRDefault="00946431" w:rsidP="00D9627C">
      <w:pPr>
        <w:pStyle w:val="naisf"/>
        <w:spacing w:before="0" w:after="0"/>
        <w:ind w:firstLine="0"/>
        <w:jc w:val="center"/>
        <w:rPr>
          <w:b/>
          <w:color w:val="000000"/>
        </w:rPr>
      </w:pPr>
      <w:bookmarkStart w:id="0" w:name="_GoBack"/>
      <w:bookmarkEnd w:id="0"/>
    </w:p>
    <w:tbl>
      <w:tblPr>
        <w:tblW w:w="0" w:type="auto"/>
        <w:jc w:val="center"/>
        <w:tblCellSpacing w:w="0" w:type="dxa"/>
        <w:tblCellMar>
          <w:left w:w="0" w:type="dxa"/>
          <w:right w:w="0" w:type="dxa"/>
        </w:tblCellMar>
        <w:tblLook w:val="0000" w:firstRow="0" w:lastRow="0" w:firstColumn="0" w:lastColumn="0" w:noHBand="0" w:noVBand="0"/>
      </w:tblPr>
      <w:tblGrid>
        <w:gridCol w:w="14327"/>
      </w:tblGrid>
      <w:tr w:rsidR="00946431" w:rsidRPr="00EE1E70" w14:paraId="754196C2" w14:textId="77777777" w:rsidTr="007F4A63">
        <w:trPr>
          <w:trHeight w:val="1406"/>
          <w:tblCellSpacing w:w="0" w:type="dxa"/>
          <w:jc w:val="center"/>
        </w:trPr>
        <w:tc>
          <w:tcPr>
            <w:tcW w:w="14327" w:type="dxa"/>
            <w:tcBorders>
              <w:top w:val="nil"/>
              <w:left w:val="nil"/>
              <w:bottom w:val="single" w:sz="8" w:space="0" w:color="auto"/>
              <w:right w:val="nil"/>
            </w:tcBorders>
          </w:tcPr>
          <w:p w14:paraId="5D8F5E74" w14:textId="0316EE03" w:rsidR="00946431" w:rsidRPr="00EE1E70" w:rsidRDefault="00946431" w:rsidP="00D9627C">
            <w:pPr>
              <w:pStyle w:val="BodyText"/>
              <w:spacing w:after="0"/>
              <w:jc w:val="both"/>
              <w:rPr>
                <w:color w:val="000000"/>
              </w:rPr>
            </w:pPr>
            <w:proofErr w:type="spellStart"/>
            <w:r w:rsidRPr="00EE1E70">
              <w:rPr>
                <w:color w:val="000000"/>
              </w:rPr>
              <w:t>Protokollēmuma</w:t>
            </w:r>
            <w:proofErr w:type="spellEnd"/>
            <w:r w:rsidRPr="00EE1E70">
              <w:rPr>
                <w:color w:val="000000"/>
              </w:rPr>
              <w:t xml:space="preserve"> projektā </w:t>
            </w:r>
            <w:r w:rsidR="00B932E9" w:rsidRPr="00EE1E70">
              <w:t>„</w:t>
            </w:r>
            <w:r w:rsidR="00C5670E">
              <w:t xml:space="preserve"> </w:t>
            </w:r>
            <w:r w:rsidR="00C5670E" w:rsidRPr="00C5670E">
              <w:t xml:space="preserve">Par informatīvo ziņojumu “Par Kohēzijas politikas Eiropas Savienības fondu investīciju aktualitātēm līdz 2018. gada </w:t>
            </w:r>
            <w:r w:rsidR="00C5670E">
              <w:br/>
            </w:r>
            <w:r w:rsidR="00C5670E" w:rsidRPr="00C5670E">
              <w:t>31. decembrim un 2019. gada februāra ikmēneša operatīvā informācija</w:t>
            </w:r>
            <w:r w:rsidR="00B932E9" w:rsidRPr="00EE1E70">
              <w:t>”</w:t>
            </w:r>
            <w:r w:rsidRPr="00EE1E70">
              <w:t xml:space="preserve"> </w:t>
            </w:r>
            <w:r w:rsidRPr="00EE1E70">
              <w:rPr>
                <w:color w:val="000000"/>
              </w:rPr>
              <w:t xml:space="preserve">(turpmāk – </w:t>
            </w:r>
            <w:proofErr w:type="spellStart"/>
            <w:r w:rsidRPr="00EE1E70">
              <w:rPr>
                <w:color w:val="000000"/>
              </w:rPr>
              <w:t>protokollēmuma</w:t>
            </w:r>
            <w:proofErr w:type="spellEnd"/>
            <w:r w:rsidRPr="00EE1E70">
              <w:rPr>
                <w:color w:val="000000"/>
              </w:rPr>
              <w:t xml:space="preserve"> projekts)</w:t>
            </w:r>
          </w:p>
          <w:p w14:paraId="60275EAE" w14:textId="77777777" w:rsidR="00946431" w:rsidRPr="00EE1E70" w:rsidRDefault="00946431" w:rsidP="00D9627C">
            <w:pPr>
              <w:pStyle w:val="BodyText"/>
              <w:spacing w:after="0"/>
              <w:rPr>
                <w:color w:val="000000"/>
              </w:rPr>
            </w:pPr>
            <w:r w:rsidRPr="00EE1E70">
              <w:rPr>
                <w:color w:val="000000"/>
              </w:rPr>
              <w:t>un</w:t>
            </w:r>
          </w:p>
          <w:p w14:paraId="6168318B" w14:textId="5E5A2F5D" w:rsidR="00946431" w:rsidRPr="00EE1E70" w:rsidRDefault="002D3953" w:rsidP="00C5670E">
            <w:pPr>
              <w:pStyle w:val="naisc"/>
              <w:jc w:val="both"/>
              <w:rPr>
                <w:color w:val="000000"/>
              </w:rPr>
            </w:pPr>
            <w:r w:rsidRPr="00EE1E70">
              <w:rPr>
                <w:color w:val="000000"/>
              </w:rPr>
              <w:t>Informatīvā ziņojuma projektā</w:t>
            </w:r>
            <w:r w:rsidR="00946431" w:rsidRPr="00EE1E70">
              <w:rPr>
                <w:color w:val="000000"/>
              </w:rPr>
              <w:t xml:space="preserve"> </w:t>
            </w:r>
            <w:r w:rsidR="00B932E9" w:rsidRPr="00EE1E70">
              <w:rPr>
                <w:color w:val="000000"/>
              </w:rPr>
              <w:t>„</w:t>
            </w:r>
            <w:r w:rsidR="00C5670E">
              <w:t xml:space="preserve"> </w:t>
            </w:r>
            <w:r w:rsidR="00C5670E">
              <w:rPr>
                <w:color w:val="000000"/>
              </w:rPr>
              <w:t xml:space="preserve">Informatīvais ziņojums par </w:t>
            </w:r>
            <w:r w:rsidR="00C5670E" w:rsidRPr="00C5670E">
              <w:rPr>
                <w:color w:val="000000"/>
              </w:rPr>
              <w:t xml:space="preserve">Kohēzijas politikas Eiropas Savienības fondu investīciju aktualitātēm līdz 2018. gada </w:t>
            </w:r>
            <w:r w:rsidR="00C5670E">
              <w:rPr>
                <w:color w:val="000000"/>
              </w:rPr>
              <w:br/>
            </w:r>
            <w:r w:rsidR="00C5670E" w:rsidRPr="00C5670E">
              <w:rPr>
                <w:color w:val="000000"/>
              </w:rPr>
              <w:t>31. decembrim un 2019. gada februāra ikmēneša operatīvā informācija</w:t>
            </w:r>
            <w:r w:rsidR="00B932E9" w:rsidRPr="00EE1E70">
              <w:rPr>
                <w:color w:val="000000"/>
              </w:rPr>
              <w:t>”</w:t>
            </w:r>
            <w:r w:rsidR="00946431" w:rsidRPr="00EE1E70">
              <w:rPr>
                <w:color w:val="000000"/>
              </w:rPr>
              <w:t xml:space="preserve"> (turpmāk – informatīvais ziņojums)</w:t>
            </w:r>
          </w:p>
        </w:tc>
      </w:tr>
    </w:tbl>
    <w:p w14:paraId="70417494" w14:textId="77777777" w:rsidR="00946431" w:rsidRPr="00896331" w:rsidRDefault="00946431" w:rsidP="00D9627C">
      <w:pPr>
        <w:pStyle w:val="naisf"/>
        <w:spacing w:before="0" w:after="0"/>
        <w:ind w:firstLine="0"/>
        <w:rPr>
          <w:b/>
          <w:color w:val="000000"/>
        </w:rPr>
      </w:pPr>
    </w:p>
    <w:p w14:paraId="1A224562" w14:textId="77777777" w:rsidR="00946431" w:rsidRPr="00896331" w:rsidRDefault="00946431" w:rsidP="00D9627C">
      <w:pPr>
        <w:pStyle w:val="naisf"/>
        <w:spacing w:before="0" w:after="0"/>
        <w:ind w:firstLine="0"/>
        <w:jc w:val="center"/>
        <w:rPr>
          <w:b/>
          <w:color w:val="000000"/>
        </w:rPr>
      </w:pPr>
      <w:r w:rsidRPr="00896331">
        <w:rPr>
          <w:b/>
          <w:color w:val="000000"/>
        </w:rPr>
        <w:t>I Jautājumi, par kuriem saskaņošanā vienošanās nav panākta</w:t>
      </w:r>
    </w:p>
    <w:p w14:paraId="2FCC7E92" w14:textId="77777777" w:rsidR="00946431" w:rsidRPr="00896331" w:rsidRDefault="00946431" w:rsidP="00D9627C">
      <w:pPr>
        <w:pStyle w:val="naisf"/>
        <w:spacing w:before="0" w:after="0"/>
        <w:ind w:firstLine="720"/>
        <w:rPr>
          <w:color w:val="000000"/>
        </w:rPr>
      </w:pPr>
    </w:p>
    <w:tbl>
      <w:tblPr>
        <w:tblW w:w="1571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410"/>
        <w:gridCol w:w="3827"/>
        <w:gridCol w:w="3260"/>
        <w:gridCol w:w="3260"/>
        <w:gridCol w:w="2114"/>
      </w:tblGrid>
      <w:tr w:rsidR="00946431" w:rsidRPr="00C245EE" w14:paraId="28203006" w14:textId="77777777" w:rsidTr="00923417">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2062D5" w14:textId="77777777" w:rsidR="00946431" w:rsidRPr="00C245EE" w:rsidRDefault="00946431" w:rsidP="00D9627C">
            <w:pPr>
              <w:pStyle w:val="naisc"/>
              <w:spacing w:before="0" w:after="0"/>
              <w:rPr>
                <w:color w:val="000000"/>
                <w:sz w:val="23"/>
                <w:szCs w:val="23"/>
              </w:rPr>
            </w:pPr>
            <w:r w:rsidRPr="00C245EE">
              <w:rPr>
                <w:color w:val="000000"/>
                <w:sz w:val="23"/>
                <w:szCs w:val="23"/>
              </w:rPr>
              <w:t>Nr. p.k.</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7C5D46" w14:textId="77777777" w:rsidR="00946431" w:rsidRPr="00C245EE" w:rsidRDefault="00946431" w:rsidP="00D9627C">
            <w:pPr>
              <w:pStyle w:val="naisc"/>
              <w:spacing w:before="0" w:after="0"/>
              <w:ind w:firstLine="12"/>
              <w:rPr>
                <w:color w:val="000000"/>
                <w:sz w:val="23"/>
                <w:szCs w:val="23"/>
              </w:rPr>
            </w:pPr>
            <w:r w:rsidRPr="00C245EE">
              <w:rPr>
                <w:color w:val="000000"/>
                <w:sz w:val="23"/>
                <w:szCs w:val="23"/>
              </w:rPr>
              <w:t>Saskaņošanai nosūtītā projekta redakcija (konkrēta punkta (panta) redakcija)</w:t>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12FC60" w14:textId="77777777" w:rsidR="00946431" w:rsidRPr="00C245EE" w:rsidRDefault="00946431" w:rsidP="00D9627C">
            <w:pPr>
              <w:pStyle w:val="naisc"/>
              <w:spacing w:before="0" w:after="0"/>
              <w:ind w:right="3"/>
              <w:rPr>
                <w:color w:val="000000"/>
                <w:sz w:val="23"/>
                <w:szCs w:val="23"/>
              </w:rPr>
            </w:pPr>
            <w:r w:rsidRPr="00C245EE">
              <w:rPr>
                <w:color w:val="000000"/>
                <w:sz w:val="23"/>
                <w:szCs w:val="23"/>
              </w:rPr>
              <w:t>Atzinumā norādītais 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68E6AF" w14:textId="77777777" w:rsidR="00946431" w:rsidRPr="00C245EE" w:rsidRDefault="00946431" w:rsidP="00D9627C">
            <w:pPr>
              <w:pStyle w:val="naisc"/>
              <w:spacing w:before="0" w:after="0"/>
              <w:ind w:firstLine="21"/>
              <w:jc w:val="both"/>
              <w:rPr>
                <w:color w:val="000000"/>
                <w:sz w:val="23"/>
                <w:szCs w:val="23"/>
              </w:rPr>
            </w:pPr>
            <w:r w:rsidRPr="00C245EE">
              <w:rPr>
                <w:color w:val="000000"/>
                <w:sz w:val="23"/>
                <w:szCs w:val="23"/>
              </w:rPr>
              <w:t>Atbildīgās ministrijas pamatojums iebilduma noraidījumam</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466B26C" w14:textId="77777777" w:rsidR="00946431" w:rsidRPr="00C245EE" w:rsidRDefault="00946431" w:rsidP="00D9627C">
            <w:pPr>
              <w:jc w:val="center"/>
              <w:rPr>
                <w:color w:val="000000"/>
                <w:sz w:val="23"/>
                <w:szCs w:val="23"/>
              </w:rPr>
            </w:pPr>
            <w:r w:rsidRPr="00C245EE">
              <w:rPr>
                <w:color w:val="000000"/>
                <w:sz w:val="23"/>
                <w:szCs w:val="23"/>
              </w:rPr>
              <w:t>Atzinuma sniedzēja uzturētais iebildums, ja tas atšķiras no atzinumā norādītā iebilduma pamatojuma</w:t>
            </w:r>
          </w:p>
        </w:tc>
        <w:tc>
          <w:tcPr>
            <w:tcW w:w="2114" w:type="dxa"/>
            <w:tcBorders>
              <w:top w:val="single" w:sz="4" w:space="0" w:color="auto"/>
              <w:left w:val="single" w:sz="4" w:space="0" w:color="auto"/>
              <w:bottom w:val="single" w:sz="4" w:space="0" w:color="auto"/>
            </w:tcBorders>
            <w:shd w:val="clear" w:color="auto" w:fill="auto"/>
            <w:vAlign w:val="center"/>
          </w:tcPr>
          <w:p w14:paraId="02D7B3FA" w14:textId="77777777" w:rsidR="00946431" w:rsidRPr="00C245EE" w:rsidRDefault="00946431" w:rsidP="00D9627C">
            <w:pPr>
              <w:jc w:val="center"/>
              <w:rPr>
                <w:color w:val="000000"/>
                <w:sz w:val="23"/>
                <w:szCs w:val="23"/>
              </w:rPr>
            </w:pPr>
            <w:r w:rsidRPr="00C245EE">
              <w:rPr>
                <w:color w:val="000000"/>
                <w:sz w:val="23"/>
                <w:szCs w:val="23"/>
              </w:rPr>
              <w:t>Projekta attiecīgā punkta (panta) galīgā redakcija</w:t>
            </w:r>
          </w:p>
        </w:tc>
      </w:tr>
      <w:tr w:rsidR="00946431" w:rsidRPr="00C245EE" w14:paraId="43034498" w14:textId="77777777" w:rsidTr="00923417">
        <w:tc>
          <w:tcPr>
            <w:tcW w:w="843" w:type="dxa"/>
            <w:tcBorders>
              <w:top w:val="single" w:sz="6" w:space="0" w:color="000000"/>
              <w:left w:val="single" w:sz="6" w:space="0" w:color="000000"/>
              <w:bottom w:val="single" w:sz="6" w:space="0" w:color="000000"/>
              <w:right w:val="single" w:sz="6" w:space="0" w:color="000000"/>
            </w:tcBorders>
          </w:tcPr>
          <w:p w14:paraId="75DF247B" w14:textId="77777777" w:rsidR="00946431" w:rsidRPr="00C245EE" w:rsidRDefault="00946431" w:rsidP="00D9627C">
            <w:pPr>
              <w:pStyle w:val="naisc"/>
              <w:spacing w:before="0" w:after="0"/>
              <w:rPr>
                <w:color w:val="000000"/>
                <w:sz w:val="23"/>
                <w:szCs w:val="23"/>
              </w:rPr>
            </w:pPr>
            <w:r w:rsidRPr="00C245EE">
              <w:rPr>
                <w:color w:val="000000"/>
                <w:sz w:val="23"/>
                <w:szCs w:val="23"/>
              </w:rPr>
              <w:t>1</w:t>
            </w:r>
          </w:p>
        </w:tc>
        <w:tc>
          <w:tcPr>
            <w:tcW w:w="2410" w:type="dxa"/>
            <w:tcBorders>
              <w:top w:val="single" w:sz="6" w:space="0" w:color="000000"/>
              <w:left w:val="single" w:sz="6" w:space="0" w:color="000000"/>
              <w:bottom w:val="single" w:sz="6" w:space="0" w:color="000000"/>
              <w:right w:val="single" w:sz="6" w:space="0" w:color="000000"/>
            </w:tcBorders>
          </w:tcPr>
          <w:p w14:paraId="0C876C69" w14:textId="77777777" w:rsidR="00946431" w:rsidRPr="00C245EE" w:rsidRDefault="00946431" w:rsidP="00D9627C">
            <w:pPr>
              <w:pStyle w:val="naisc"/>
              <w:spacing w:before="0" w:after="0"/>
              <w:ind w:firstLine="720"/>
              <w:rPr>
                <w:color w:val="000000"/>
                <w:sz w:val="23"/>
                <w:szCs w:val="23"/>
              </w:rPr>
            </w:pPr>
            <w:r w:rsidRPr="00C245EE">
              <w:rPr>
                <w:color w:val="000000"/>
                <w:sz w:val="23"/>
                <w:szCs w:val="23"/>
              </w:rPr>
              <w:t>2</w:t>
            </w:r>
          </w:p>
        </w:tc>
        <w:tc>
          <w:tcPr>
            <w:tcW w:w="3827" w:type="dxa"/>
            <w:tcBorders>
              <w:top w:val="single" w:sz="6" w:space="0" w:color="000000"/>
              <w:left w:val="single" w:sz="6" w:space="0" w:color="000000"/>
              <w:bottom w:val="single" w:sz="6" w:space="0" w:color="000000"/>
              <w:right w:val="single" w:sz="6" w:space="0" w:color="000000"/>
            </w:tcBorders>
          </w:tcPr>
          <w:p w14:paraId="4256B702" w14:textId="77777777" w:rsidR="00946431" w:rsidRPr="00C245EE" w:rsidRDefault="00946431" w:rsidP="00D9627C">
            <w:pPr>
              <w:pStyle w:val="naisc"/>
              <w:spacing w:before="0" w:after="0"/>
              <w:rPr>
                <w:color w:val="000000"/>
                <w:sz w:val="23"/>
                <w:szCs w:val="23"/>
              </w:rPr>
            </w:pPr>
            <w:r w:rsidRPr="00C245EE">
              <w:rPr>
                <w:color w:val="000000"/>
                <w:sz w:val="23"/>
                <w:szCs w:val="23"/>
              </w:rPr>
              <w:t>3</w:t>
            </w:r>
          </w:p>
        </w:tc>
        <w:tc>
          <w:tcPr>
            <w:tcW w:w="3260" w:type="dxa"/>
            <w:tcBorders>
              <w:top w:val="single" w:sz="6" w:space="0" w:color="000000"/>
              <w:left w:val="single" w:sz="6" w:space="0" w:color="000000"/>
              <w:bottom w:val="single" w:sz="6" w:space="0" w:color="000000"/>
              <w:right w:val="single" w:sz="6" w:space="0" w:color="000000"/>
            </w:tcBorders>
          </w:tcPr>
          <w:p w14:paraId="13B7B0C7" w14:textId="77777777" w:rsidR="00946431" w:rsidRPr="00C245EE" w:rsidRDefault="00946431" w:rsidP="00D9627C">
            <w:pPr>
              <w:pStyle w:val="naisc"/>
              <w:spacing w:before="0" w:after="0"/>
              <w:ind w:firstLine="34"/>
              <w:rPr>
                <w:color w:val="000000"/>
                <w:sz w:val="23"/>
                <w:szCs w:val="23"/>
              </w:rPr>
            </w:pPr>
            <w:r w:rsidRPr="00C245EE">
              <w:rPr>
                <w:color w:val="000000"/>
                <w:sz w:val="23"/>
                <w:szCs w:val="23"/>
              </w:rPr>
              <w:t>4</w:t>
            </w:r>
          </w:p>
        </w:tc>
        <w:tc>
          <w:tcPr>
            <w:tcW w:w="3260" w:type="dxa"/>
            <w:tcBorders>
              <w:top w:val="single" w:sz="4" w:space="0" w:color="auto"/>
              <w:left w:val="single" w:sz="4" w:space="0" w:color="auto"/>
              <w:bottom w:val="single" w:sz="4" w:space="0" w:color="auto"/>
              <w:right w:val="single" w:sz="4" w:space="0" w:color="auto"/>
            </w:tcBorders>
          </w:tcPr>
          <w:p w14:paraId="09058F19" w14:textId="77777777" w:rsidR="00946431" w:rsidRPr="00C245EE" w:rsidRDefault="00946431" w:rsidP="00D9627C">
            <w:pPr>
              <w:jc w:val="center"/>
              <w:rPr>
                <w:color w:val="000000"/>
                <w:sz w:val="23"/>
                <w:szCs w:val="23"/>
              </w:rPr>
            </w:pPr>
            <w:r w:rsidRPr="00C245EE">
              <w:rPr>
                <w:color w:val="000000"/>
                <w:sz w:val="23"/>
                <w:szCs w:val="23"/>
              </w:rPr>
              <w:t>5</w:t>
            </w:r>
          </w:p>
        </w:tc>
        <w:tc>
          <w:tcPr>
            <w:tcW w:w="2114" w:type="dxa"/>
            <w:tcBorders>
              <w:top w:val="single" w:sz="4" w:space="0" w:color="auto"/>
              <w:left w:val="single" w:sz="4" w:space="0" w:color="auto"/>
              <w:bottom w:val="single" w:sz="4" w:space="0" w:color="auto"/>
            </w:tcBorders>
          </w:tcPr>
          <w:p w14:paraId="354F6C87" w14:textId="77777777" w:rsidR="00946431" w:rsidRPr="00C245EE" w:rsidRDefault="00946431" w:rsidP="00D9627C">
            <w:pPr>
              <w:jc w:val="center"/>
              <w:rPr>
                <w:color w:val="000000"/>
                <w:sz w:val="23"/>
                <w:szCs w:val="23"/>
              </w:rPr>
            </w:pPr>
            <w:r w:rsidRPr="00C245EE">
              <w:rPr>
                <w:color w:val="000000"/>
                <w:sz w:val="23"/>
                <w:szCs w:val="23"/>
              </w:rPr>
              <w:t>6</w:t>
            </w:r>
          </w:p>
        </w:tc>
      </w:tr>
      <w:tr w:rsidR="00337A26" w:rsidRPr="00C245EE" w14:paraId="76AF0320" w14:textId="77777777" w:rsidTr="00923417">
        <w:tc>
          <w:tcPr>
            <w:tcW w:w="843" w:type="dxa"/>
            <w:tcBorders>
              <w:top w:val="single" w:sz="6" w:space="0" w:color="000000"/>
              <w:left w:val="single" w:sz="6" w:space="0" w:color="000000"/>
              <w:bottom w:val="single" w:sz="6" w:space="0" w:color="000000"/>
              <w:right w:val="single" w:sz="6" w:space="0" w:color="000000"/>
            </w:tcBorders>
          </w:tcPr>
          <w:p w14:paraId="3AA6CD73" w14:textId="77777777" w:rsidR="00337A26" w:rsidRPr="00C245EE" w:rsidRDefault="00337A26" w:rsidP="00923417">
            <w:pPr>
              <w:pStyle w:val="naisc"/>
              <w:numPr>
                <w:ilvl w:val="0"/>
                <w:numId w:val="36"/>
              </w:numPr>
              <w:spacing w:before="0" w:after="0"/>
              <w:rPr>
                <w:color w:val="000000"/>
                <w:sz w:val="23"/>
                <w:szCs w:val="23"/>
              </w:rPr>
            </w:pPr>
          </w:p>
        </w:tc>
        <w:tc>
          <w:tcPr>
            <w:tcW w:w="2410" w:type="dxa"/>
            <w:tcBorders>
              <w:top w:val="single" w:sz="6" w:space="0" w:color="000000"/>
              <w:left w:val="single" w:sz="6" w:space="0" w:color="000000"/>
              <w:right w:val="single" w:sz="6" w:space="0" w:color="000000"/>
            </w:tcBorders>
          </w:tcPr>
          <w:p w14:paraId="2C24791D" w14:textId="1DE04BA1" w:rsidR="00337A26" w:rsidRPr="00C245EE" w:rsidRDefault="00337A26" w:rsidP="00923417">
            <w:pPr>
              <w:pStyle w:val="naisc"/>
              <w:spacing w:before="0" w:after="0"/>
              <w:jc w:val="both"/>
              <w:rPr>
                <w:color w:val="000000"/>
                <w:sz w:val="23"/>
                <w:szCs w:val="23"/>
              </w:rPr>
            </w:pPr>
            <w:proofErr w:type="spellStart"/>
            <w:r w:rsidRPr="00C245EE">
              <w:rPr>
                <w:color w:val="000000"/>
                <w:sz w:val="23"/>
                <w:szCs w:val="23"/>
              </w:rPr>
              <w:t>Protokollēmuma</w:t>
            </w:r>
            <w:proofErr w:type="spellEnd"/>
            <w:r w:rsidRPr="00C245EE">
              <w:rPr>
                <w:color w:val="000000"/>
                <w:sz w:val="23"/>
                <w:szCs w:val="23"/>
              </w:rPr>
              <w:t xml:space="preserve"> 5.punkts “Ņemot vērā snieguma ietvara nosacījumu izpildi darbības programmas ietvaros līdz 2019. gada 30. jūnijam, ministrijām prioritāro virzienu fondu rādītāju izpildes gadījumā līdz 2019. gada 1. jūlijam iesniegt Finanšu ministrijā priekšlikumus par prioritāro virzienu attiecīgo fondu snieguma rezerves finansējuma izmantošanu. </w:t>
            </w:r>
            <w:r w:rsidRPr="00C245EE">
              <w:rPr>
                <w:color w:val="000000"/>
                <w:sz w:val="23"/>
                <w:szCs w:val="23"/>
              </w:rPr>
              <w:lastRenderedPageBreak/>
              <w:t xml:space="preserve">Priekšlikumiem jābūt pamatotiem ar Eiropas Savienības fondu lietderības, efektivitātes un ietekmes </w:t>
            </w:r>
            <w:proofErr w:type="spellStart"/>
            <w:r w:rsidRPr="00C245EE">
              <w:rPr>
                <w:color w:val="000000"/>
                <w:sz w:val="23"/>
                <w:szCs w:val="23"/>
              </w:rPr>
              <w:t>izvērtējumu</w:t>
            </w:r>
            <w:proofErr w:type="spellEnd"/>
            <w:r w:rsidRPr="00C245EE">
              <w:rPr>
                <w:color w:val="000000"/>
                <w:sz w:val="23"/>
                <w:szCs w:val="23"/>
              </w:rPr>
              <w:t xml:space="preserve"> rezultātiem, kur attiecināms.” </w:t>
            </w:r>
            <w:proofErr w:type="spellStart"/>
            <w:r w:rsidRPr="00C245EE">
              <w:rPr>
                <w:color w:val="000000"/>
                <w:sz w:val="23"/>
                <w:szCs w:val="23"/>
              </w:rPr>
              <w:t>Protokollēmuma</w:t>
            </w:r>
            <w:proofErr w:type="spellEnd"/>
            <w:r w:rsidRPr="00C245EE">
              <w:rPr>
                <w:color w:val="000000"/>
                <w:sz w:val="23"/>
                <w:szCs w:val="23"/>
              </w:rPr>
              <w:t xml:space="preserve"> 7. punkts “Finanšu ministrijai sagatavot un līdz 2019. gada 30. septembrim noteiktā kārtībā iesniegt Ministru kabinetā ziņojumu par darbības programmas snieguma ietvara rezerves finansējuma izlietojuma priekšlikumiem. Priekšlikumu izstrādē ņemt vērā  šī </w:t>
            </w:r>
            <w:proofErr w:type="spellStart"/>
            <w:r w:rsidRPr="00C245EE">
              <w:rPr>
                <w:color w:val="000000"/>
                <w:sz w:val="23"/>
                <w:szCs w:val="23"/>
              </w:rPr>
              <w:t>protokollēmuma</w:t>
            </w:r>
            <w:proofErr w:type="spellEnd"/>
            <w:r w:rsidRPr="00C245EE">
              <w:rPr>
                <w:color w:val="000000"/>
                <w:sz w:val="23"/>
                <w:szCs w:val="23"/>
              </w:rPr>
              <w:t xml:space="preserve"> 4. un 5.  punktā sniegto informāciju un nosacījumus, kā arī Ministru kabineta iepriekš pieņemtos lēmumus par investīciju jomām, kurām prioritāri piešķirams snieguma rezerves finansējums.”  </w:t>
            </w:r>
          </w:p>
        </w:tc>
        <w:tc>
          <w:tcPr>
            <w:tcW w:w="3827" w:type="dxa"/>
            <w:tcBorders>
              <w:top w:val="single" w:sz="6" w:space="0" w:color="000000"/>
              <w:left w:val="single" w:sz="6" w:space="0" w:color="000000"/>
              <w:right w:val="single" w:sz="6" w:space="0" w:color="000000"/>
            </w:tcBorders>
          </w:tcPr>
          <w:p w14:paraId="31D4EE92" w14:textId="77777777" w:rsidR="00337A26" w:rsidRPr="00C245EE" w:rsidRDefault="00337A26" w:rsidP="00923417">
            <w:pPr>
              <w:pStyle w:val="naisc"/>
              <w:jc w:val="both"/>
              <w:rPr>
                <w:b/>
                <w:color w:val="000000"/>
                <w:sz w:val="23"/>
                <w:szCs w:val="23"/>
              </w:rPr>
            </w:pPr>
            <w:r w:rsidRPr="00C245EE">
              <w:rPr>
                <w:b/>
                <w:color w:val="000000"/>
                <w:sz w:val="23"/>
                <w:szCs w:val="23"/>
              </w:rPr>
              <w:lastRenderedPageBreak/>
              <w:t>Izglītības un zinātnes ministrija</w:t>
            </w:r>
          </w:p>
          <w:p w14:paraId="0E471A31" w14:textId="44127C96" w:rsidR="00337A26" w:rsidRPr="00C245EE" w:rsidRDefault="00337A26" w:rsidP="00923417">
            <w:pPr>
              <w:pStyle w:val="naisc"/>
              <w:jc w:val="both"/>
              <w:rPr>
                <w:color w:val="000000"/>
                <w:sz w:val="23"/>
                <w:szCs w:val="23"/>
              </w:rPr>
            </w:pPr>
            <w:r w:rsidRPr="00C245EE">
              <w:rPr>
                <w:color w:val="000000"/>
                <w:sz w:val="23"/>
                <w:szCs w:val="23"/>
              </w:rPr>
              <w:t xml:space="preserve">Aicinām papildināt informatīvā ziņojuma </w:t>
            </w:r>
            <w:proofErr w:type="spellStart"/>
            <w:r w:rsidRPr="00C245EE">
              <w:rPr>
                <w:color w:val="000000"/>
                <w:sz w:val="23"/>
                <w:szCs w:val="23"/>
              </w:rPr>
              <w:t>protokollēmuma</w:t>
            </w:r>
            <w:proofErr w:type="spellEnd"/>
            <w:r w:rsidRPr="00C245EE">
              <w:rPr>
                <w:color w:val="000000"/>
                <w:sz w:val="23"/>
                <w:szCs w:val="23"/>
              </w:rPr>
              <w:t xml:space="preserve"> projekta 5.punktu ar norādi, ka snieguma ietvara rezerves finansējuma izmantošanas pamatojums nav jāsniedz par tiem specifiskā atbalsta mērķiem (pasākumiem), ja to īstenošanas noteikumos jau ir noteikti turpmākie snieguma ietvara rezerves finansējuma izmantošanas mērķi.</w:t>
            </w:r>
          </w:p>
        </w:tc>
        <w:tc>
          <w:tcPr>
            <w:tcW w:w="3260" w:type="dxa"/>
            <w:tcBorders>
              <w:top w:val="single" w:sz="6" w:space="0" w:color="000000"/>
              <w:left w:val="single" w:sz="6" w:space="0" w:color="000000"/>
              <w:bottom w:val="single" w:sz="6" w:space="0" w:color="000000"/>
              <w:right w:val="single" w:sz="6" w:space="0" w:color="000000"/>
            </w:tcBorders>
          </w:tcPr>
          <w:p w14:paraId="6938124B" w14:textId="77777777" w:rsidR="00337A26" w:rsidRPr="00C245EE" w:rsidRDefault="00337A26" w:rsidP="00923417">
            <w:pPr>
              <w:pStyle w:val="naisc"/>
              <w:tabs>
                <w:tab w:val="left" w:pos="820"/>
              </w:tabs>
              <w:ind w:firstLine="34"/>
              <w:rPr>
                <w:b/>
                <w:color w:val="000000"/>
                <w:sz w:val="23"/>
                <w:szCs w:val="23"/>
              </w:rPr>
            </w:pPr>
            <w:r w:rsidRPr="00C245EE">
              <w:rPr>
                <w:b/>
                <w:color w:val="000000"/>
                <w:sz w:val="23"/>
                <w:szCs w:val="23"/>
              </w:rPr>
              <w:t>Nav ņemts vērā</w:t>
            </w:r>
          </w:p>
          <w:p w14:paraId="2722A835" w14:textId="1F3115EE" w:rsidR="00337A26" w:rsidRPr="00C245EE" w:rsidRDefault="00337A26" w:rsidP="00CE0120">
            <w:pPr>
              <w:pStyle w:val="naisc"/>
              <w:tabs>
                <w:tab w:val="left" w:pos="820"/>
              </w:tabs>
              <w:ind w:firstLine="34"/>
              <w:jc w:val="both"/>
              <w:rPr>
                <w:color w:val="000000"/>
                <w:sz w:val="23"/>
                <w:szCs w:val="23"/>
              </w:rPr>
            </w:pPr>
            <w:r w:rsidRPr="00C245EE">
              <w:rPr>
                <w:color w:val="000000"/>
                <w:sz w:val="23"/>
                <w:szCs w:val="23"/>
              </w:rPr>
              <w:t xml:space="preserve">Lūdzam skatīt izziņas </w:t>
            </w:r>
            <w:r w:rsidR="00945F07" w:rsidRPr="00C245EE">
              <w:rPr>
                <w:color w:val="000000"/>
                <w:sz w:val="23"/>
                <w:szCs w:val="23"/>
              </w:rPr>
              <w:t xml:space="preserve">II </w:t>
            </w:r>
            <w:r w:rsidR="00E25F23" w:rsidRPr="00C245EE">
              <w:rPr>
                <w:color w:val="000000"/>
                <w:sz w:val="23"/>
                <w:szCs w:val="23"/>
              </w:rPr>
              <w:t>sadaļas “</w:t>
            </w:r>
            <w:r w:rsidR="00945F07" w:rsidRPr="00C245EE">
              <w:rPr>
                <w:color w:val="000000"/>
                <w:sz w:val="23"/>
                <w:szCs w:val="23"/>
              </w:rPr>
              <w:t>Jautājumi, par kuriem saskaņošanā vienošanās ir panākta</w:t>
            </w:r>
            <w:r w:rsidR="00E25F23" w:rsidRPr="00C245EE">
              <w:rPr>
                <w:color w:val="000000"/>
                <w:sz w:val="23"/>
                <w:szCs w:val="23"/>
              </w:rPr>
              <w:t>” 3. punktā</w:t>
            </w:r>
            <w:r w:rsidRPr="00C245EE">
              <w:rPr>
                <w:color w:val="000000"/>
                <w:sz w:val="23"/>
                <w:szCs w:val="23"/>
              </w:rPr>
              <w:t xml:space="preserve"> sniegto skaidrojumu.</w:t>
            </w:r>
          </w:p>
          <w:p w14:paraId="6BBBEE44" w14:textId="77777777" w:rsidR="00D0582A" w:rsidRPr="00C245EE" w:rsidRDefault="00D0582A" w:rsidP="00CE0120">
            <w:pPr>
              <w:pStyle w:val="naisc"/>
              <w:tabs>
                <w:tab w:val="left" w:pos="820"/>
              </w:tabs>
              <w:ind w:firstLine="34"/>
              <w:jc w:val="both"/>
              <w:rPr>
                <w:sz w:val="23"/>
                <w:szCs w:val="23"/>
              </w:rPr>
            </w:pPr>
            <w:r w:rsidRPr="00C245EE">
              <w:rPr>
                <w:sz w:val="23"/>
                <w:szCs w:val="23"/>
              </w:rPr>
              <w:t>Finanšu ministrija 2019. gada septembrī iesniegs Ministru kabinetā informatīvo ziņojumu ar kompleksi izvērtētu situāciju un priekšlikumu par rezerves finansējuma sadalījumu, izvērtējot situāciju attiecībā uz snieguma rezerves finansējumu kopumā, ņemot vērā iespējas un ierobežojumus:</w:t>
            </w:r>
          </w:p>
          <w:p w14:paraId="24D483E4" w14:textId="77777777" w:rsidR="00D0582A" w:rsidRPr="00C245EE" w:rsidRDefault="00D0582A" w:rsidP="00D0582A">
            <w:pPr>
              <w:pStyle w:val="naisc"/>
              <w:numPr>
                <w:ilvl w:val="0"/>
                <w:numId w:val="37"/>
              </w:numPr>
              <w:tabs>
                <w:tab w:val="left" w:pos="820"/>
              </w:tabs>
              <w:jc w:val="both"/>
              <w:rPr>
                <w:color w:val="000000"/>
                <w:sz w:val="23"/>
                <w:szCs w:val="23"/>
              </w:rPr>
            </w:pPr>
            <w:r w:rsidRPr="00C245EE">
              <w:rPr>
                <w:sz w:val="23"/>
                <w:szCs w:val="23"/>
              </w:rPr>
              <w:t>prioritāri ir jāizpilda l</w:t>
            </w:r>
            <w:r w:rsidRPr="00C245EE">
              <w:rPr>
                <w:iCs/>
                <w:sz w:val="23"/>
                <w:szCs w:val="23"/>
              </w:rPr>
              <w:t>ikuma “</w:t>
            </w:r>
            <w:r w:rsidRPr="00C245EE">
              <w:rPr>
                <w:iCs/>
                <w:sz w:val="23"/>
                <w:szCs w:val="23"/>
                <w:lang w:val="fr-FR"/>
              </w:rPr>
              <w:t xml:space="preserve">Par </w:t>
            </w:r>
            <w:r w:rsidRPr="00C245EE">
              <w:rPr>
                <w:iCs/>
                <w:sz w:val="23"/>
                <w:szCs w:val="23"/>
              </w:rPr>
              <w:t xml:space="preserve">vidējā </w:t>
            </w:r>
            <w:r w:rsidRPr="00C245EE">
              <w:rPr>
                <w:iCs/>
                <w:sz w:val="23"/>
                <w:szCs w:val="23"/>
              </w:rPr>
              <w:lastRenderedPageBreak/>
              <w:t xml:space="preserve">termiņa budžeta ietvaru 2018., 2019. un 2020. gadam” </w:t>
            </w:r>
            <w:r w:rsidRPr="00C245EE">
              <w:rPr>
                <w:bCs/>
                <w:iCs/>
                <w:sz w:val="23"/>
                <w:szCs w:val="23"/>
              </w:rPr>
              <w:t xml:space="preserve">19. pantā </w:t>
            </w:r>
            <w:r w:rsidRPr="00C245EE">
              <w:rPr>
                <w:sz w:val="23"/>
                <w:szCs w:val="23"/>
              </w:rPr>
              <w:t xml:space="preserve">noteiktais uzdevums mazināt </w:t>
            </w:r>
            <w:proofErr w:type="spellStart"/>
            <w:r w:rsidRPr="00C245EE">
              <w:rPr>
                <w:sz w:val="23"/>
                <w:szCs w:val="23"/>
              </w:rPr>
              <w:t>virssaistību</w:t>
            </w:r>
            <w:proofErr w:type="spellEnd"/>
            <w:r w:rsidRPr="00C245EE">
              <w:rPr>
                <w:sz w:val="23"/>
                <w:szCs w:val="23"/>
              </w:rPr>
              <w:t xml:space="preserve"> negatīvo ietekmi uz valsts budžetu;</w:t>
            </w:r>
          </w:p>
          <w:p w14:paraId="780440D2" w14:textId="77777777" w:rsidR="00D0582A" w:rsidRPr="00C245EE" w:rsidRDefault="00D0582A" w:rsidP="00D0582A">
            <w:pPr>
              <w:pStyle w:val="naisc"/>
              <w:numPr>
                <w:ilvl w:val="0"/>
                <w:numId w:val="37"/>
              </w:numPr>
              <w:tabs>
                <w:tab w:val="left" w:pos="820"/>
              </w:tabs>
              <w:jc w:val="both"/>
              <w:rPr>
                <w:color w:val="000000"/>
                <w:sz w:val="23"/>
                <w:szCs w:val="23"/>
              </w:rPr>
            </w:pPr>
            <w:r w:rsidRPr="00C245EE">
              <w:rPr>
                <w:sz w:val="23"/>
                <w:szCs w:val="23"/>
              </w:rPr>
              <w:t>jāizskata līdz šim MK pieņemtos lēmumus par papildu finansējuma nepieciešamībām, vērtējot līdz šim veiktās investīcijas;</w:t>
            </w:r>
          </w:p>
          <w:p w14:paraId="0D663B31" w14:textId="77777777" w:rsidR="00D0582A" w:rsidRPr="00C245EE" w:rsidRDefault="00D0582A" w:rsidP="00D0582A">
            <w:pPr>
              <w:pStyle w:val="naisc"/>
              <w:numPr>
                <w:ilvl w:val="0"/>
                <w:numId w:val="37"/>
              </w:numPr>
              <w:tabs>
                <w:tab w:val="left" w:pos="820"/>
              </w:tabs>
              <w:jc w:val="both"/>
              <w:rPr>
                <w:color w:val="000000"/>
                <w:sz w:val="23"/>
                <w:szCs w:val="23"/>
              </w:rPr>
            </w:pPr>
            <w:r w:rsidRPr="00C245EE">
              <w:rPr>
                <w:sz w:val="23"/>
                <w:szCs w:val="23"/>
              </w:rPr>
              <w:t xml:space="preserve">jāizskata gadījumi, kad projektos uz savu risku jau ir </w:t>
            </w:r>
            <w:proofErr w:type="spellStart"/>
            <w:r w:rsidRPr="00C245EE">
              <w:rPr>
                <w:sz w:val="23"/>
                <w:szCs w:val="23"/>
              </w:rPr>
              <w:t>priekšfinansēts</w:t>
            </w:r>
            <w:proofErr w:type="spellEnd"/>
            <w:r w:rsidRPr="00C245EE">
              <w:rPr>
                <w:sz w:val="23"/>
                <w:szCs w:val="23"/>
              </w:rPr>
              <w:t xml:space="preserve"> snieguma rezerves finansējums;</w:t>
            </w:r>
          </w:p>
          <w:p w14:paraId="28644B2D" w14:textId="77777777" w:rsidR="00D0582A" w:rsidRPr="00C245EE" w:rsidRDefault="00D0582A" w:rsidP="00D0582A">
            <w:pPr>
              <w:pStyle w:val="naisc"/>
              <w:numPr>
                <w:ilvl w:val="0"/>
                <w:numId w:val="37"/>
              </w:numPr>
              <w:tabs>
                <w:tab w:val="left" w:pos="820"/>
              </w:tabs>
              <w:jc w:val="both"/>
              <w:rPr>
                <w:color w:val="000000"/>
                <w:sz w:val="23"/>
                <w:szCs w:val="23"/>
              </w:rPr>
            </w:pPr>
            <w:r w:rsidRPr="00C245EE">
              <w:rPr>
                <w:sz w:val="23"/>
                <w:szCs w:val="23"/>
              </w:rPr>
              <w:t>jāizskata finansējuma atlikumi;</w:t>
            </w:r>
          </w:p>
          <w:p w14:paraId="3923047B" w14:textId="1ABD413C" w:rsidR="00D0582A" w:rsidRPr="00C245EE" w:rsidRDefault="00D0582A" w:rsidP="00D0582A">
            <w:pPr>
              <w:pStyle w:val="naisc"/>
              <w:numPr>
                <w:ilvl w:val="0"/>
                <w:numId w:val="37"/>
              </w:numPr>
              <w:tabs>
                <w:tab w:val="left" w:pos="820"/>
              </w:tabs>
              <w:jc w:val="both"/>
              <w:rPr>
                <w:color w:val="000000"/>
                <w:sz w:val="23"/>
                <w:szCs w:val="23"/>
              </w:rPr>
            </w:pPr>
            <w:r w:rsidRPr="00C245EE">
              <w:rPr>
                <w:sz w:val="23"/>
                <w:szCs w:val="23"/>
              </w:rPr>
              <w:t>jāņem vērā EK noteiktie tematiskās koncentrācijas nosacījumi;</w:t>
            </w:r>
          </w:p>
          <w:p w14:paraId="697C4F18" w14:textId="02ED4664" w:rsidR="00D0582A" w:rsidRPr="00C245EE" w:rsidRDefault="00D0582A" w:rsidP="00D0582A">
            <w:pPr>
              <w:pStyle w:val="naisc"/>
              <w:numPr>
                <w:ilvl w:val="0"/>
                <w:numId w:val="37"/>
              </w:numPr>
              <w:tabs>
                <w:tab w:val="left" w:pos="820"/>
              </w:tabs>
              <w:jc w:val="both"/>
              <w:rPr>
                <w:color w:val="000000"/>
                <w:sz w:val="23"/>
                <w:szCs w:val="23"/>
              </w:rPr>
            </w:pPr>
            <w:r w:rsidRPr="00C245EE">
              <w:rPr>
                <w:sz w:val="23"/>
                <w:szCs w:val="23"/>
              </w:rPr>
              <w:t>un citi aktuāli apsvērumu investīciju gaitas novērtējumā un prioritātēs.</w:t>
            </w:r>
          </w:p>
          <w:p w14:paraId="779BAE60" w14:textId="46DC30B3" w:rsidR="00337A26" w:rsidRPr="00C245EE" w:rsidRDefault="00D0582A" w:rsidP="00CE0120">
            <w:pPr>
              <w:pStyle w:val="naisc"/>
              <w:tabs>
                <w:tab w:val="left" w:pos="820"/>
              </w:tabs>
              <w:ind w:firstLine="34"/>
              <w:jc w:val="both"/>
              <w:rPr>
                <w:color w:val="000000"/>
                <w:sz w:val="23"/>
                <w:szCs w:val="23"/>
              </w:rPr>
            </w:pPr>
            <w:r w:rsidRPr="00C245EE">
              <w:rPr>
                <w:color w:val="000000"/>
                <w:sz w:val="23"/>
                <w:szCs w:val="23"/>
              </w:rPr>
              <w:t>Rezumējot</w:t>
            </w:r>
            <w:r w:rsidR="00337A26" w:rsidRPr="00C245EE">
              <w:rPr>
                <w:color w:val="000000"/>
                <w:sz w:val="23"/>
                <w:szCs w:val="23"/>
              </w:rPr>
              <w:t xml:space="preserve">, </w:t>
            </w:r>
            <w:r w:rsidR="00183F3E" w:rsidRPr="00C245EE">
              <w:rPr>
                <w:color w:val="000000"/>
                <w:sz w:val="23"/>
                <w:szCs w:val="23"/>
              </w:rPr>
              <w:t xml:space="preserve">atbilstoši informatīvā ziņojuma 4. sadaļā sniegtajai informācijai </w:t>
            </w:r>
            <w:r w:rsidR="00337A26" w:rsidRPr="00C245EE">
              <w:rPr>
                <w:color w:val="000000"/>
                <w:sz w:val="23"/>
                <w:szCs w:val="23"/>
              </w:rPr>
              <w:t xml:space="preserve">snieguma rezerves  finansējuma izmantošana  tiks </w:t>
            </w:r>
            <w:r w:rsidR="00E25F23" w:rsidRPr="00C245EE">
              <w:rPr>
                <w:color w:val="000000"/>
                <w:sz w:val="23"/>
                <w:szCs w:val="23"/>
              </w:rPr>
              <w:t>izskatīta</w:t>
            </w:r>
            <w:r w:rsidR="00337A26" w:rsidRPr="00C245EE">
              <w:rPr>
                <w:color w:val="000000"/>
                <w:sz w:val="23"/>
                <w:szCs w:val="23"/>
              </w:rPr>
              <w:t xml:space="preserve"> kompleksi, vērtējot jau līdz šim </w:t>
            </w:r>
            <w:r w:rsidR="00337A26" w:rsidRPr="00C245EE">
              <w:rPr>
                <w:color w:val="000000"/>
                <w:sz w:val="23"/>
                <w:szCs w:val="23"/>
              </w:rPr>
              <w:lastRenderedPageBreak/>
              <w:t>paveikto progresu investīciju īstenošanā</w:t>
            </w:r>
            <w:r w:rsidR="00E25F23" w:rsidRPr="00C245EE">
              <w:rPr>
                <w:color w:val="000000"/>
                <w:sz w:val="23"/>
                <w:szCs w:val="23"/>
              </w:rPr>
              <w:t>, konkrētu iepriekš plānoto investīciju aktualitāti</w:t>
            </w:r>
            <w:r w:rsidR="00337A26" w:rsidRPr="00C245EE">
              <w:rPr>
                <w:color w:val="000000"/>
                <w:sz w:val="23"/>
                <w:szCs w:val="23"/>
              </w:rPr>
              <w:t xml:space="preserve"> un identificējot turpmākās vajadzības</w:t>
            </w:r>
            <w:r w:rsidR="00E25F23" w:rsidRPr="00C245EE">
              <w:rPr>
                <w:color w:val="000000"/>
                <w:sz w:val="23"/>
                <w:szCs w:val="23"/>
              </w:rPr>
              <w:t xml:space="preserve">, tai skaitā, specifisko atbalsta mērķu vai to pasākumu ietvaros, kuros jau </w:t>
            </w:r>
            <w:proofErr w:type="spellStart"/>
            <w:r w:rsidR="00E25F23" w:rsidRPr="00C245EE">
              <w:rPr>
                <w:color w:val="000000"/>
                <w:sz w:val="23"/>
                <w:szCs w:val="23"/>
              </w:rPr>
              <w:t>priekšfinansēts</w:t>
            </w:r>
            <w:proofErr w:type="spellEnd"/>
            <w:r w:rsidR="00E25F23" w:rsidRPr="00C245EE">
              <w:rPr>
                <w:color w:val="000000"/>
                <w:sz w:val="23"/>
                <w:szCs w:val="23"/>
              </w:rPr>
              <w:t xml:space="preserve"> snieguma rezerves finansējums.</w:t>
            </w:r>
            <w:r w:rsidR="00337A26" w:rsidRPr="00C245EE">
              <w:rPr>
                <w:color w:val="000000"/>
                <w:sz w:val="23"/>
                <w:szCs w:val="23"/>
              </w:rPr>
              <w:t xml:space="preserve"> </w:t>
            </w:r>
          </w:p>
          <w:p w14:paraId="04131B06" w14:textId="02A41EC0" w:rsidR="00337A26" w:rsidRPr="00C245EE" w:rsidRDefault="00337A26" w:rsidP="00511492">
            <w:pPr>
              <w:pStyle w:val="naisc"/>
              <w:tabs>
                <w:tab w:val="left" w:pos="820"/>
              </w:tabs>
              <w:spacing w:before="0" w:after="0"/>
              <w:ind w:firstLine="34"/>
              <w:jc w:val="both"/>
              <w:rPr>
                <w:color w:val="000000"/>
                <w:sz w:val="23"/>
                <w:szCs w:val="23"/>
              </w:rPr>
            </w:pPr>
            <w:r w:rsidRPr="00C245EE">
              <w:rPr>
                <w:color w:val="000000"/>
                <w:sz w:val="23"/>
                <w:szCs w:val="23"/>
              </w:rPr>
              <w:t xml:space="preserve">Attiecīgi priekšlikumi snieguma rezerves finansējuma tālākai izmantošanai ir </w:t>
            </w:r>
            <w:r w:rsidR="00511492" w:rsidRPr="00C245EE">
              <w:rPr>
                <w:color w:val="000000"/>
                <w:sz w:val="23"/>
                <w:szCs w:val="23"/>
              </w:rPr>
              <w:t>jā</w:t>
            </w:r>
            <w:r w:rsidR="00BF1416" w:rsidRPr="00C245EE">
              <w:rPr>
                <w:color w:val="000000"/>
                <w:sz w:val="23"/>
                <w:szCs w:val="23"/>
              </w:rPr>
              <w:t>iesniedz visos gadījumos, t.sk. arī,</w:t>
            </w:r>
            <w:r w:rsidRPr="00C245EE">
              <w:rPr>
                <w:color w:val="000000"/>
                <w:sz w:val="23"/>
                <w:szCs w:val="23"/>
              </w:rPr>
              <w:t xml:space="preserve">  ja </w:t>
            </w:r>
            <w:r w:rsidR="00BF1416" w:rsidRPr="00C245EE">
              <w:rPr>
                <w:color w:val="000000"/>
                <w:sz w:val="23"/>
                <w:szCs w:val="23"/>
              </w:rPr>
              <w:t xml:space="preserve">rezerves finansējuma izmantošana ir iepriekš tikusi “iezīmēta”, </w:t>
            </w:r>
            <w:r w:rsidRPr="00C245EE">
              <w:rPr>
                <w:color w:val="000000"/>
                <w:sz w:val="23"/>
                <w:szCs w:val="23"/>
              </w:rPr>
              <w:t>tā izmantošanu ir iepriekš pieņemts atbilstošs lēmums Ministru kabinetā.</w:t>
            </w:r>
          </w:p>
          <w:p w14:paraId="58C4764F" w14:textId="49333B42" w:rsidR="00BF1416" w:rsidRPr="00C245EE" w:rsidRDefault="00BF1416" w:rsidP="00511492">
            <w:pPr>
              <w:pStyle w:val="naisc"/>
              <w:tabs>
                <w:tab w:val="left" w:pos="820"/>
              </w:tabs>
              <w:spacing w:before="0" w:after="0"/>
              <w:ind w:firstLine="34"/>
              <w:jc w:val="both"/>
              <w:rPr>
                <w:color w:val="000000"/>
                <w:sz w:val="23"/>
                <w:szCs w:val="23"/>
              </w:rPr>
            </w:pPr>
          </w:p>
        </w:tc>
        <w:tc>
          <w:tcPr>
            <w:tcW w:w="3260" w:type="dxa"/>
            <w:tcBorders>
              <w:top w:val="single" w:sz="4" w:space="0" w:color="auto"/>
              <w:left w:val="single" w:sz="4" w:space="0" w:color="auto"/>
              <w:bottom w:val="single" w:sz="4" w:space="0" w:color="auto"/>
              <w:right w:val="single" w:sz="4" w:space="0" w:color="auto"/>
            </w:tcBorders>
          </w:tcPr>
          <w:p w14:paraId="64FE48EB" w14:textId="77777777" w:rsidR="00337A26" w:rsidRPr="00C245EE" w:rsidRDefault="00337A26" w:rsidP="00CE0120">
            <w:pPr>
              <w:pStyle w:val="naisc"/>
              <w:tabs>
                <w:tab w:val="left" w:pos="820"/>
              </w:tabs>
              <w:ind w:firstLine="34"/>
              <w:jc w:val="left"/>
              <w:rPr>
                <w:b/>
                <w:color w:val="000000"/>
                <w:sz w:val="23"/>
                <w:szCs w:val="23"/>
              </w:rPr>
            </w:pPr>
            <w:r w:rsidRPr="00C245EE">
              <w:rPr>
                <w:b/>
                <w:color w:val="000000"/>
                <w:sz w:val="23"/>
                <w:szCs w:val="23"/>
              </w:rPr>
              <w:lastRenderedPageBreak/>
              <w:t>Izglītības un zinātnes ministrijas izteiktais iebildums 25.02.2019</w:t>
            </w:r>
          </w:p>
          <w:p w14:paraId="03FB8A7F" w14:textId="475D2C7C" w:rsidR="00337A26" w:rsidRPr="00C245EE" w:rsidRDefault="00337A26" w:rsidP="00923417">
            <w:pPr>
              <w:jc w:val="both"/>
              <w:rPr>
                <w:color w:val="000000"/>
                <w:sz w:val="23"/>
                <w:szCs w:val="23"/>
              </w:rPr>
            </w:pPr>
            <w:r w:rsidRPr="00C245EE">
              <w:rPr>
                <w:color w:val="000000"/>
                <w:sz w:val="23"/>
                <w:szCs w:val="23"/>
              </w:rPr>
              <w:t xml:space="preserve">Atkārtoti aicinām precizēt informatīvā ziņojuma </w:t>
            </w:r>
            <w:proofErr w:type="spellStart"/>
            <w:r w:rsidRPr="00C245EE">
              <w:rPr>
                <w:color w:val="000000"/>
                <w:sz w:val="23"/>
                <w:szCs w:val="23"/>
              </w:rPr>
              <w:t>protokollēmuma</w:t>
            </w:r>
            <w:proofErr w:type="spellEnd"/>
            <w:r w:rsidRPr="00C245EE">
              <w:rPr>
                <w:color w:val="000000"/>
                <w:sz w:val="23"/>
                <w:szCs w:val="23"/>
              </w:rPr>
              <w:t xml:space="preserve"> 5.punktu, ar precīzu norādi, ka snieguma ietvara rezerves finansējuma izmantošanas pamatojums nav jāsniedz par tiem specifiskā atbalsta mērķiem (pasākumiem), ja to īstenošanas noteikumos jau ir noteikti turpmākie snieguma ietvara rezerves finansējuma izmantošanas mērķi. Vai arī, ievērojot, ka </w:t>
            </w:r>
            <w:proofErr w:type="spellStart"/>
            <w:r w:rsidRPr="00C245EE">
              <w:rPr>
                <w:color w:val="000000"/>
                <w:sz w:val="23"/>
                <w:szCs w:val="23"/>
              </w:rPr>
              <w:t>protokollēmuma</w:t>
            </w:r>
            <w:proofErr w:type="spellEnd"/>
            <w:r w:rsidRPr="00C245EE">
              <w:rPr>
                <w:color w:val="000000"/>
                <w:sz w:val="23"/>
                <w:szCs w:val="23"/>
              </w:rPr>
              <w:t xml:space="preserve"> projekta 5.punktā ir saglabāta tā sākotnējā redakcija, kas </w:t>
            </w:r>
            <w:r w:rsidRPr="00C245EE">
              <w:rPr>
                <w:color w:val="000000"/>
                <w:sz w:val="23"/>
                <w:szCs w:val="23"/>
              </w:rPr>
              <w:lastRenderedPageBreak/>
              <w:t>papildināta ar vārdiem „kur attiecināms”, precizēt izziņas par sniegtajiem iebildumiem 6.punktu, norādot, ka Izglītības un zinātnes ministrijas atzinumā ietvertais iebildums nav ņemts vērā, vienlaikus tam sniedzot pamatojumu vai paskaidrojumu.</w:t>
            </w:r>
          </w:p>
        </w:tc>
        <w:tc>
          <w:tcPr>
            <w:tcW w:w="2114" w:type="dxa"/>
            <w:vMerge w:val="restart"/>
            <w:tcBorders>
              <w:top w:val="single" w:sz="4" w:space="0" w:color="auto"/>
              <w:left w:val="single" w:sz="4" w:space="0" w:color="auto"/>
            </w:tcBorders>
          </w:tcPr>
          <w:p w14:paraId="6CB6E684" w14:textId="2544A839" w:rsidR="00217A20" w:rsidRPr="00C245EE" w:rsidRDefault="00337A26" w:rsidP="00CE0120">
            <w:pPr>
              <w:pStyle w:val="Default"/>
              <w:jc w:val="both"/>
              <w:rPr>
                <w:sz w:val="23"/>
                <w:szCs w:val="23"/>
              </w:rPr>
            </w:pPr>
            <w:r w:rsidRPr="00C245EE">
              <w:rPr>
                <w:sz w:val="23"/>
                <w:szCs w:val="23"/>
              </w:rPr>
              <w:lastRenderedPageBreak/>
              <w:t xml:space="preserve">Svītrots </w:t>
            </w:r>
            <w:proofErr w:type="spellStart"/>
            <w:r w:rsidRPr="00C245EE">
              <w:rPr>
                <w:sz w:val="23"/>
                <w:szCs w:val="23"/>
              </w:rPr>
              <w:t>protokollēmuma</w:t>
            </w:r>
            <w:proofErr w:type="spellEnd"/>
            <w:r w:rsidRPr="00C245EE">
              <w:rPr>
                <w:sz w:val="23"/>
                <w:szCs w:val="23"/>
              </w:rPr>
              <w:t xml:space="preserve">  4.punkts. </w:t>
            </w:r>
          </w:p>
          <w:p w14:paraId="55F661AE" w14:textId="77777777" w:rsidR="00217A20" w:rsidRPr="00C245EE" w:rsidRDefault="00217A20" w:rsidP="00CE0120">
            <w:pPr>
              <w:pStyle w:val="Default"/>
              <w:jc w:val="both"/>
              <w:rPr>
                <w:sz w:val="23"/>
                <w:szCs w:val="23"/>
              </w:rPr>
            </w:pPr>
          </w:p>
          <w:p w14:paraId="65D66340" w14:textId="44B4F5E1" w:rsidR="00337A26" w:rsidRPr="00C245EE" w:rsidRDefault="00337A26" w:rsidP="00CE0120">
            <w:pPr>
              <w:pStyle w:val="Default"/>
              <w:jc w:val="both"/>
              <w:rPr>
                <w:sz w:val="23"/>
                <w:szCs w:val="23"/>
              </w:rPr>
            </w:pPr>
            <w:r w:rsidRPr="00C245EE">
              <w:rPr>
                <w:sz w:val="23"/>
                <w:szCs w:val="23"/>
              </w:rPr>
              <w:t>Precizēta informatīvā ziņojuma 4. sadaļa</w:t>
            </w:r>
            <w:r w:rsidRPr="00C245EE">
              <w:rPr>
                <w:bCs/>
                <w:color w:val="auto"/>
                <w:sz w:val="23"/>
                <w:szCs w:val="23"/>
              </w:rPr>
              <w:t xml:space="preserve"> “</w:t>
            </w:r>
            <w:r w:rsidRPr="00C245EE">
              <w:rPr>
                <w:sz w:val="23"/>
                <w:szCs w:val="23"/>
              </w:rPr>
              <w:t>2014. - 2020. gada plānošanas perioda ES fondu investīciju aktualitātes</w:t>
            </w:r>
            <w:r w:rsidRPr="00C245EE">
              <w:rPr>
                <w:bCs/>
                <w:color w:val="auto"/>
                <w:sz w:val="23"/>
                <w:szCs w:val="23"/>
              </w:rPr>
              <w:t>”</w:t>
            </w:r>
            <w:r w:rsidRPr="00C245EE">
              <w:rPr>
                <w:sz w:val="23"/>
                <w:szCs w:val="23"/>
              </w:rPr>
              <w:t>.</w:t>
            </w:r>
          </w:p>
          <w:p w14:paraId="6D4998B8" w14:textId="77777777" w:rsidR="00217A20" w:rsidRPr="00C245EE" w:rsidRDefault="00217A20" w:rsidP="00CE0120">
            <w:pPr>
              <w:pStyle w:val="Default"/>
              <w:jc w:val="both"/>
              <w:rPr>
                <w:bCs/>
                <w:color w:val="auto"/>
                <w:sz w:val="23"/>
                <w:szCs w:val="23"/>
              </w:rPr>
            </w:pPr>
          </w:p>
          <w:p w14:paraId="6CAA8C94" w14:textId="77777777" w:rsidR="00337A26" w:rsidRPr="00C245EE" w:rsidRDefault="00337A26" w:rsidP="00CE0120">
            <w:pPr>
              <w:pStyle w:val="Default"/>
              <w:jc w:val="both"/>
              <w:rPr>
                <w:bCs/>
                <w:color w:val="auto"/>
                <w:sz w:val="23"/>
                <w:szCs w:val="23"/>
              </w:rPr>
            </w:pPr>
            <w:r w:rsidRPr="00C245EE">
              <w:rPr>
                <w:bCs/>
                <w:color w:val="auto"/>
                <w:sz w:val="23"/>
                <w:szCs w:val="23"/>
              </w:rPr>
              <w:t xml:space="preserve">Precizēts </w:t>
            </w:r>
            <w:proofErr w:type="spellStart"/>
            <w:r w:rsidRPr="00C245EE">
              <w:rPr>
                <w:bCs/>
                <w:color w:val="auto"/>
                <w:sz w:val="23"/>
                <w:szCs w:val="23"/>
              </w:rPr>
              <w:t>protokollēmuma</w:t>
            </w:r>
            <w:proofErr w:type="spellEnd"/>
            <w:r w:rsidRPr="00C245EE">
              <w:rPr>
                <w:bCs/>
                <w:color w:val="auto"/>
                <w:sz w:val="23"/>
                <w:szCs w:val="23"/>
              </w:rPr>
              <w:t xml:space="preserve"> projekta 6. un 8. punkts:</w:t>
            </w:r>
          </w:p>
          <w:p w14:paraId="65DFED0B" w14:textId="7C5FCF90" w:rsidR="00337A26" w:rsidRPr="00C245EE" w:rsidRDefault="00337A26" w:rsidP="00CE0120">
            <w:pPr>
              <w:pStyle w:val="Default"/>
              <w:jc w:val="both"/>
              <w:rPr>
                <w:bCs/>
                <w:sz w:val="23"/>
                <w:szCs w:val="23"/>
              </w:rPr>
            </w:pPr>
            <w:r w:rsidRPr="00C245EE">
              <w:rPr>
                <w:bCs/>
                <w:color w:val="auto"/>
                <w:sz w:val="23"/>
                <w:szCs w:val="23"/>
              </w:rPr>
              <w:t>“</w:t>
            </w:r>
            <w:r w:rsidRPr="00C245EE">
              <w:rPr>
                <w:sz w:val="23"/>
                <w:szCs w:val="23"/>
              </w:rPr>
              <w:t>6. </w:t>
            </w:r>
            <w:r w:rsidR="00217A20" w:rsidRPr="00C245EE">
              <w:rPr>
                <w:sz w:val="23"/>
                <w:szCs w:val="23"/>
              </w:rPr>
              <w:t xml:space="preserve">Ņemot vērā snieguma ietvara nosacījumu izpildi </w:t>
            </w:r>
            <w:r w:rsidR="00217A20" w:rsidRPr="00C245EE">
              <w:rPr>
                <w:sz w:val="23"/>
                <w:szCs w:val="23"/>
              </w:rPr>
              <w:lastRenderedPageBreak/>
              <w:t xml:space="preserve">darbības programmas ietvaros līdz 2019. gada 30. jūnijam, ministrijām rādītāju izpildes gadījumā līdz 2019. gada 1. jūlijam iesniegt Finanšu ministrijā priekšlikumus par prioritāro virzienu attiecīgo fondu snieguma rezerves finansējuma izmantošanu, tai skaitā, pamatojot ar veikto Eiropas Savienības fondu lietderības, efektivitātes un ietekmes </w:t>
            </w:r>
            <w:proofErr w:type="spellStart"/>
            <w:r w:rsidR="00217A20" w:rsidRPr="00C245EE">
              <w:rPr>
                <w:sz w:val="23"/>
                <w:szCs w:val="23"/>
              </w:rPr>
              <w:t>izvērtējumu</w:t>
            </w:r>
            <w:proofErr w:type="spellEnd"/>
            <w:r w:rsidR="00217A20" w:rsidRPr="00C245EE">
              <w:rPr>
                <w:sz w:val="23"/>
                <w:szCs w:val="23"/>
              </w:rPr>
              <w:t xml:space="preserve"> rezultātiem, kur attiecināms</w:t>
            </w:r>
            <w:r w:rsidRPr="00C245EE">
              <w:rPr>
                <w:bCs/>
                <w:sz w:val="23"/>
                <w:szCs w:val="23"/>
              </w:rPr>
              <w:t>.</w:t>
            </w:r>
          </w:p>
          <w:p w14:paraId="5A95B2C2" w14:textId="4B4784BE" w:rsidR="00337A26" w:rsidRPr="00C245EE" w:rsidRDefault="00337A26" w:rsidP="00CE0120">
            <w:pPr>
              <w:pStyle w:val="Default"/>
              <w:jc w:val="both"/>
              <w:rPr>
                <w:bCs/>
                <w:sz w:val="23"/>
                <w:szCs w:val="23"/>
              </w:rPr>
            </w:pPr>
            <w:r w:rsidRPr="00C245EE">
              <w:rPr>
                <w:bCs/>
                <w:sz w:val="23"/>
                <w:szCs w:val="23"/>
              </w:rPr>
              <w:t>8.</w:t>
            </w:r>
            <w:r w:rsidRPr="00C245EE">
              <w:rPr>
                <w:sz w:val="23"/>
                <w:szCs w:val="23"/>
              </w:rPr>
              <w:t xml:space="preserve"> </w:t>
            </w:r>
            <w:r w:rsidR="00217A20" w:rsidRPr="00C245EE">
              <w:rPr>
                <w:bCs/>
                <w:color w:val="auto"/>
                <w:sz w:val="23"/>
                <w:szCs w:val="23"/>
              </w:rPr>
              <w:t xml:space="preserve">Ņemot vērā informatīvā ziņojuma ceturtajā sadaļā sniegto informāciju, </w:t>
            </w:r>
            <w:r w:rsidR="00217A20" w:rsidRPr="00C245EE">
              <w:rPr>
                <w:sz w:val="23"/>
                <w:szCs w:val="23"/>
              </w:rPr>
              <w:t xml:space="preserve">Finanšu ministrijai sagatavot un līdz 2019. gada 30. septembrim noteiktā kārtībā iesniegt </w:t>
            </w:r>
            <w:r w:rsidR="00217A20" w:rsidRPr="00C245EE">
              <w:rPr>
                <w:sz w:val="23"/>
                <w:szCs w:val="23"/>
              </w:rPr>
              <w:lastRenderedPageBreak/>
              <w:t xml:space="preserve">Ministru kabinetā ziņojumu par darbības programmas snieguma ietvara rezerves finansējuma izlietojuma priekšlikumiem. Priekšlikumu izstrādē izskatīt šī </w:t>
            </w:r>
            <w:proofErr w:type="spellStart"/>
            <w:r w:rsidR="00217A20" w:rsidRPr="00C245EE">
              <w:rPr>
                <w:sz w:val="23"/>
                <w:szCs w:val="23"/>
              </w:rPr>
              <w:t>protokollēmuma</w:t>
            </w:r>
            <w:proofErr w:type="spellEnd"/>
            <w:r w:rsidR="00217A20" w:rsidRPr="00C245EE">
              <w:rPr>
                <w:sz w:val="23"/>
                <w:szCs w:val="23"/>
              </w:rPr>
              <w:t xml:space="preserve"> 6. un 7. punktā sniegto informāciju un ņemt vērā citus nosacījumus, kā arī Ministru kabineta iepriekš pieņemtos lēmumus par investīciju jomām, kurām prioritāri piešķirams snieguma rezerves finansējums</w:t>
            </w:r>
            <w:r w:rsidRPr="00C245EE">
              <w:rPr>
                <w:bCs/>
                <w:sz w:val="23"/>
                <w:szCs w:val="23"/>
              </w:rPr>
              <w:t>.”.</w:t>
            </w:r>
          </w:p>
          <w:p w14:paraId="63FCDCC9" w14:textId="3C6E12DC" w:rsidR="00337A26" w:rsidRPr="00C245EE" w:rsidRDefault="00337A26" w:rsidP="00923417">
            <w:pPr>
              <w:jc w:val="both"/>
              <w:rPr>
                <w:color w:val="000000"/>
                <w:sz w:val="23"/>
                <w:szCs w:val="23"/>
              </w:rPr>
            </w:pPr>
          </w:p>
        </w:tc>
      </w:tr>
      <w:tr w:rsidR="00337A26" w:rsidRPr="00C245EE" w14:paraId="7A461579" w14:textId="77777777" w:rsidTr="00923417">
        <w:tc>
          <w:tcPr>
            <w:tcW w:w="843" w:type="dxa"/>
            <w:tcBorders>
              <w:top w:val="single" w:sz="6" w:space="0" w:color="000000"/>
              <w:left w:val="single" w:sz="6" w:space="0" w:color="000000"/>
              <w:bottom w:val="single" w:sz="6" w:space="0" w:color="000000"/>
              <w:right w:val="single" w:sz="6" w:space="0" w:color="000000"/>
            </w:tcBorders>
          </w:tcPr>
          <w:p w14:paraId="63D497C6" w14:textId="77777777" w:rsidR="00337A26" w:rsidRPr="00C245EE" w:rsidRDefault="00337A26" w:rsidP="00CE0120">
            <w:pPr>
              <w:pStyle w:val="naisc"/>
              <w:spacing w:before="0" w:after="0"/>
              <w:rPr>
                <w:color w:val="000000"/>
                <w:sz w:val="23"/>
                <w:szCs w:val="23"/>
              </w:rPr>
            </w:pPr>
          </w:p>
        </w:tc>
        <w:tc>
          <w:tcPr>
            <w:tcW w:w="2410" w:type="dxa"/>
            <w:tcBorders>
              <w:left w:val="single" w:sz="6" w:space="0" w:color="000000"/>
              <w:right w:val="single" w:sz="6" w:space="0" w:color="000000"/>
            </w:tcBorders>
          </w:tcPr>
          <w:p w14:paraId="6DCF7346" w14:textId="77777777" w:rsidR="00337A26" w:rsidRPr="00C245EE" w:rsidRDefault="00337A26" w:rsidP="00CE0120">
            <w:pPr>
              <w:pStyle w:val="naisc"/>
              <w:spacing w:before="0" w:after="0"/>
              <w:jc w:val="both"/>
              <w:rPr>
                <w:color w:val="000000"/>
                <w:sz w:val="23"/>
                <w:szCs w:val="23"/>
              </w:rPr>
            </w:pPr>
          </w:p>
        </w:tc>
        <w:tc>
          <w:tcPr>
            <w:tcW w:w="3827" w:type="dxa"/>
            <w:tcBorders>
              <w:left w:val="single" w:sz="6" w:space="0" w:color="000000"/>
              <w:bottom w:val="single" w:sz="6" w:space="0" w:color="000000"/>
              <w:right w:val="single" w:sz="6" w:space="0" w:color="000000"/>
            </w:tcBorders>
          </w:tcPr>
          <w:p w14:paraId="4A86374B" w14:textId="77777777" w:rsidR="00337A26" w:rsidRPr="00C245EE" w:rsidRDefault="00337A26" w:rsidP="00CE0120">
            <w:pPr>
              <w:pStyle w:val="naisc"/>
              <w:jc w:val="both"/>
              <w:rPr>
                <w:b/>
                <w:color w:val="000000"/>
                <w:sz w:val="23"/>
                <w:szCs w:val="23"/>
              </w:rPr>
            </w:pPr>
          </w:p>
        </w:tc>
        <w:tc>
          <w:tcPr>
            <w:tcW w:w="3260" w:type="dxa"/>
            <w:tcBorders>
              <w:top w:val="single" w:sz="6" w:space="0" w:color="000000"/>
              <w:left w:val="single" w:sz="6" w:space="0" w:color="000000"/>
              <w:bottom w:val="single" w:sz="6" w:space="0" w:color="000000"/>
              <w:right w:val="single" w:sz="6" w:space="0" w:color="000000"/>
            </w:tcBorders>
          </w:tcPr>
          <w:p w14:paraId="15FA9657" w14:textId="77777777" w:rsidR="00337A26" w:rsidRPr="00C245EE" w:rsidRDefault="00337A26" w:rsidP="00CE0120">
            <w:pPr>
              <w:pStyle w:val="naisc"/>
              <w:tabs>
                <w:tab w:val="left" w:pos="820"/>
              </w:tabs>
              <w:ind w:firstLine="34"/>
              <w:rPr>
                <w:b/>
                <w:color w:val="000000"/>
                <w:sz w:val="23"/>
                <w:szCs w:val="23"/>
              </w:rPr>
            </w:pPr>
            <w:r w:rsidRPr="00C245EE">
              <w:rPr>
                <w:b/>
                <w:color w:val="000000"/>
                <w:sz w:val="23"/>
                <w:szCs w:val="23"/>
              </w:rPr>
              <w:t>Nav ņemts vērā</w:t>
            </w:r>
          </w:p>
          <w:p w14:paraId="03DF9B23" w14:textId="629B02D7" w:rsidR="00E25F23" w:rsidRPr="00C245EE" w:rsidRDefault="00E25F23" w:rsidP="00E25F23">
            <w:pPr>
              <w:pStyle w:val="naisc"/>
              <w:tabs>
                <w:tab w:val="left" w:pos="820"/>
              </w:tabs>
              <w:ind w:firstLine="34"/>
              <w:jc w:val="both"/>
              <w:rPr>
                <w:color w:val="000000"/>
                <w:sz w:val="23"/>
                <w:szCs w:val="23"/>
              </w:rPr>
            </w:pPr>
            <w:r w:rsidRPr="00C245EE">
              <w:rPr>
                <w:color w:val="000000"/>
                <w:sz w:val="23"/>
                <w:szCs w:val="23"/>
              </w:rPr>
              <w:t>Lūdzam skatīt izziņas II sadaļas “Jautājumi, par kuriem saskaņošanā vienošanās ir panākta” 3. punktā un  izziņas I sadaļas “Jautājumi, par kuriem saskaņošanā vienošanās nav panākta” 1. punktā sniegto skaidrojumu.</w:t>
            </w:r>
          </w:p>
          <w:p w14:paraId="1A04239F" w14:textId="728D90CF" w:rsidR="00337A26" w:rsidRPr="00C245EE" w:rsidRDefault="00337A26" w:rsidP="00923417">
            <w:pPr>
              <w:pStyle w:val="naisc"/>
              <w:tabs>
                <w:tab w:val="left" w:pos="820"/>
              </w:tabs>
              <w:ind w:firstLine="34"/>
              <w:jc w:val="both"/>
              <w:rPr>
                <w:b/>
                <w:color w:val="000000"/>
                <w:sz w:val="23"/>
                <w:szCs w:val="23"/>
              </w:rPr>
            </w:pPr>
            <w:r w:rsidRPr="00C245EE">
              <w:rPr>
                <w:color w:val="000000"/>
                <w:sz w:val="23"/>
                <w:szCs w:val="23"/>
              </w:rPr>
              <w:t xml:space="preserve">Aicinām izvērtēt iespējas pārskatīt uz šo brīdi resorā pieejamo neizkontraktēto finansējumu, atlikumus </w:t>
            </w:r>
            <w:proofErr w:type="spellStart"/>
            <w:r w:rsidRPr="00C245EE">
              <w:rPr>
                <w:color w:val="000000"/>
                <w:sz w:val="23"/>
                <w:szCs w:val="23"/>
              </w:rPr>
              <w:t>utml</w:t>
            </w:r>
            <w:proofErr w:type="spellEnd"/>
            <w:r w:rsidRPr="00C245EE">
              <w:rPr>
                <w:color w:val="000000"/>
                <w:sz w:val="23"/>
                <w:szCs w:val="23"/>
              </w:rPr>
              <w:t>., sniedzot priekšlikumus finansējuma novirzīšanai projektiem.</w:t>
            </w:r>
          </w:p>
        </w:tc>
        <w:tc>
          <w:tcPr>
            <w:tcW w:w="3260" w:type="dxa"/>
            <w:tcBorders>
              <w:top w:val="single" w:sz="4" w:space="0" w:color="auto"/>
              <w:left w:val="single" w:sz="4" w:space="0" w:color="auto"/>
              <w:bottom w:val="single" w:sz="4" w:space="0" w:color="auto"/>
              <w:right w:val="single" w:sz="4" w:space="0" w:color="auto"/>
            </w:tcBorders>
          </w:tcPr>
          <w:p w14:paraId="151B9905" w14:textId="77777777" w:rsidR="00337A26" w:rsidRPr="00C245EE" w:rsidRDefault="00337A26" w:rsidP="00CE0120">
            <w:pPr>
              <w:spacing w:after="120"/>
              <w:jc w:val="both"/>
              <w:rPr>
                <w:b/>
                <w:sz w:val="23"/>
                <w:szCs w:val="23"/>
              </w:rPr>
            </w:pPr>
            <w:r w:rsidRPr="00C245EE">
              <w:rPr>
                <w:b/>
                <w:sz w:val="23"/>
                <w:szCs w:val="23"/>
              </w:rPr>
              <w:t>Ekonomikas ministrijas izteiktais iebildums 25.02.2019</w:t>
            </w:r>
          </w:p>
          <w:p w14:paraId="2BD74967" w14:textId="5ECA061E" w:rsidR="00337A26" w:rsidRPr="00C245EE" w:rsidRDefault="00337A26" w:rsidP="00CE0120">
            <w:pPr>
              <w:spacing w:after="120"/>
              <w:jc w:val="both"/>
              <w:rPr>
                <w:sz w:val="23"/>
                <w:szCs w:val="23"/>
              </w:rPr>
            </w:pPr>
            <w:r w:rsidRPr="00C245EE">
              <w:rPr>
                <w:sz w:val="23"/>
                <w:szCs w:val="23"/>
              </w:rPr>
              <w:t xml:space="preserve">Iebilstam pret sākotnējā </w:t>
            </w:r>
            <w:proofErr w:type="spellStart"/>
            <w:r w:rsidRPr="00C245EE">
              <w:rPr>
                <w:sz w:val="23"/>
                <w:szCs w:val="23"/>
              </w:rPr>
              <w:t>protokollēmuma</w:t>
            </w:r>
            <w:proofErr w:type="spellEnd"/>
            <w:r w:rsidRPr="00C245EE">
              <w:rPr>
                <w:sz w:val="23"/>
                <w:szCs w:val="23"/>
              </w:rPr>
              <w:t xml:space="preserve"> projekta 4.punkta dzēšanu (t.sk., saistīto precizējumu veikšanu informatīvajā ziņojumā), kas paredzēja snieguma rezerves ātrāku izmantošanu PV, kur ir sasniegti snieguma ietvara mērķi, piemēram, attiecībā uz  Ekonomikas ministrijas  1. PV “Pētniecība, tehnoloģiju attīstība un inovācijas” un  3. PV “Mazo un vidējo komersantu konkurētspēja” ERAF. Vēršam </w:t>
            </w:r>
            <w:r w:rsidRPr="00C245EE">
              <w:rPr>
                <w:sz w:val="23"/>
                <w:szCs w:val="23"/>
              </w:rPr>
              <w:lastRenderedPageBreak/>
              <w:t>uzmanību, ka Ekonomikas ministrijas pārraudzībā ir SAMP, kuriem rezerves pieejamība jānodrošina ātrākā laikā, lai izvairītos no finansējuma pārrāvuma.  Piemēram, 3.2.1.2.pasākumā “Starptautiskās konkurētspējas veicināšana” komersanti varēs iesniegt maksājumu pieprasījumus par tām atbalstāmām darbībām, kas veiktas tikai līdz 2019.gada 30.aprīlim (ieskaitot).  Skaidrojam, ka sabiedrības ieguvums ir lielāks, ja pasākuma mērķa grupas subjekti bez pārrāvuma Nr.3.2.1.2/16/l/001 projektā turpina saņemt atbalstu, nekā ja projektā ir pārrāvums, tādējādi sekmējot arī 3.2.1.2.pasākuma mērķa, t.i., ir starptautiskās konkurētspējas veicināšana, atbalstot uzņēmējdarbību un ieiešanu ārvalstu tirgos, izpildi.</w:t>
            </w:r>
          </w:p>
        </w:tc>
        <w:tc>
          <w:tcPr>
            <w:tcW w:w="2114" w:type="dxa"/>
            <w:vMerge/>
            <w:tcBorders>
              <w:left w:val="single" w:sz="4" w:space="0" w:color="auto"/>
              <w:bottom w:val="single" w:sz="4" w:space="0" w:color="auto"/>
            </w:tcBorders>
          </w:tcPr>
          <w:p w14:paraId="7D27C88F" w14:textId="77777777" w:rsidR="00337A26" w:rsidRPr="00C245EE" w:rsidRDefault="00337A26" w:rsidP="00CE0120">
            <w:pPr>
              <w:jc w:val="center"/>
              <w:rPr>
                <w:color w:val="000000"/>
                <w:sz w:val="23"/>
                <w:szCs w:val="23"/>
              </w:rPr>
            </w:pPr>
          </w:p>
        </w:tc>
      </w:tr>
      <w:tr w:rsidR="00337A26" w:rsidRPr="00C245EE" w14:paraId="4FADA5A4" w14:textId="77777777" w:rsidTr="0007381F">
        <w:tc>
          <w:tcPr>
            <w:tcW w:w="843" w:type="dxa"/>
            <w:tcBorders>
              <w:top w:val="single" w:sz="6" w:space="0" w:color="000000"/>
              <w:left w:val="single" w:sz="6" w:space="0" w:color="000000"/>
              <w:bottom w:val="single" w:sz="6" w:space="0" w:color="000000"/>
              <w:right w:val="single" w:sz="6" w:space="0" w:color="000000"/>
            </w:tcBorders>
          </w:tcPr>
          <w:p w14:paraId="04947D66" w14:textId="77777777" w:rsidR="00337A26" w:rsidRPr="00C245EE" w:rsidRDefault="00337A26" w:rsidP="00923417">
            <w:pPr>
              <w:pStyle w:val="naisc"/>
              <w:numPr>
                <w:ilvl w:val="0"/>
                <w:numId w:val="36"/>
              </w:numPr>
              <w:spacing w:before="0" w:after="0"/>
              <w:rPr>
                <w:color w:val="000000"/>
                <w:sz w:val="23"/>
                <w:szCs w:val="23"/>
              </w:rPr>
            </w:pPr>
          </w:p>
        </w:tc>
        <w:tc>
          <w:tcPr>
            <w:tcW w:w="2410" w:type="dxa"/>
            <w:vMerge w:val="restart"/>
            <w:tcBorders>
              <w:left w:val="single" w:sz="6" w:space="0" w:color="000000"/>
              <w:right w:val="single" w:sz="6" w:space="0" w:color="000000"/>
            </w:tcBorders>
          </w:tcPr>
          <w:p w14:paraId="4F9B5DBD" w14:textId="77777777" w:rsidR="00337A26" w:rsidRPr="00C245EE" w:rsidRDefault="00337A26" w:rsidP="00CE0120">
            <w:pPr>
              <w:pStyle w:val="naisc"/>
              <w:spacing w:before="0" w:after="0"/>
              <w:jc w:val="both"/>
              <w:rPr>
                <w:color w:val="000000"/>
                <w:sz w:val="23"/>
                <w:szCs w:val="23"/>
              </w:rPr>
            </w:pPr>
          </w:p>
        </w:tc>
        <w:tc>
          <w:tcPr>
            <w:tcW w:w="3827" w:type="dxa"/>
            <w:tcBorders>
              <w:left w:val="single" w:sz="6" w:space="0" w:color="000000"/>
              <w:bottom w:val="single" w:sz="6" w:space="0" w:color="000000"/>
              <w:right w:val="single" w:sz="6" w:space="0" w:color="000000"/>
            </w:tcBorders>
          </w:tcPr>
          <w:p w14:paraId="1667F188" w14:textId="77777777" w:rsidR="00337A26" w:rsidRPr="00C245EE" w:rsidRDefault="00337A26" w:rsidP="00CE0120">
            <w:pPr>
              <w:pStyle w:val="naisc"/>
              <w:jc w:val="both"/>
              <w:rPr>
                <w:b/>
                <w:color w:val="000000"/>
                <w:sz w:val="23"/>
                <w:szCs w:val="23"/>
              </w:rPr>
            </w:pPr>
          </w:p>
        </w:tc>
        <w:tc>
          <w:tcPr>
            <w:tcW w:w="3260" w:type="dxa"/>
            <w:tcBorders>
              <w:top w:val="single" w:sz="6" w:space="0" w:color="000000"/>
              <w:left w:val="single" w:sz="6" w:space="0" w:color="000000"/>
              <w:bottom w:val="single" w:sz="6" w:space="0" w:color="000000"/>
              <w:right w:val="single" w:sz="6" w:space="0" w:color="000000"/>
            </w:tcBorders>
          </w:tcPr>
          <w:p w14:paraId="10A2DA39" w14:textId="77777777" w:rsidR="00337A26" w:rsidRPr="00C245EE" w:rsidRDefault="00337A26" w:rsidP="00CE0120">
            <w:pPr>
              <w:jc w:val="center"/>
              <w:rPr>
                <w:b/>
                <w:iCs/>
                <w:sz w:val="23"/>
                <w:szCs w:val="23"/>
              </w:rPr>
            </w:pPr>
            <w:r w:rsidRPr="00C245EE">
              <w:rPr>
                <w:b/>
                <w:iCs/>
                <w:sz w:val="23"/>
                <w:szCs w:val="23"/>
              </w:rPr>
              <w:t>Nav ņemts vērā</w:t>
            </w:r>
          </w:p>
          <w:p w14:paraId="38130157" w14:textId="24C4E215" w:rsidR="00E25F23" w:rsidRPr="00C245EE" w:rsidRDefault="00E25F23" w:rsidP="00E25F23">
            <w:pPr>
              <w:pStyle w:val="naisc"/>
              <w:tabs>
                <w:tab w:val="left" w:pos="820"/>
              </w:tabs>
              <w:ind w:firstLine="34"/>
              <w:jc w:val="both"/>
              <w:rPr>
                <w:color w:val="000000"/>
                <w:sz w:val="23"/>
                <w:szCs w:val="23"/>
              </w:rPr>
            </w:pPr>
            <w:r w:rsidRPr="00C245EE">
              <w:rPr>
                <w:color w:val="000000"/>
                <w:sz w:val="23"/>
                <w:szCs w:val="23"/>
              </w:rPr>
              <w:t>Lūdzam skatīt izziņas II sadaļas “Jautājumi, par kuriem saskaņošanā vienošanās ir panākta” 3. punktā un  izziņas I sadaļas “Jautājumi, par kuriem saskaņošanā vienošanās nav panākta” 1. punktā sniegtos skaidrojumus.</w:t>
            </w:r>
          </w:p>
          <w:p w14:paraId="2CA9A807" w14:textId="77777777" w:rsidR="00337A26" w:rsidRPr="00C245EE" w:rsidRDefault="00337A26" w:rsidP="00CE0120">
            <w:pPr>
              <w:pStyle w:val="naisc"/>
              <w:tabs>
                <w:tab w:val="left" w:pos="820"/>
              </w:tabs>
              <w:ind w:firstLine="34"/>
              <w:rPr>
                <w:b/>
                <w:color w:val="000000"/>
                <w:sz w:val="23"/>
                <w:szCs w:val="23"/>
              </w:rPr>
            </w:pPr>
          </w:p>
        </w:tc>
        <w:tc>
          <w:tcPr>
            <w:tcW w:w="3260" w:type="dxa"/>
            <w:tcBorders>
              <w:top w:val="single" w:sz="4" w:space="0" w:color="auto"/>
              <w:left w:val="single" w:sz="4" w:space="0" w:color="auto"/>
              <w:bottom w:val="single" w:sz="4" w:space="0" w:color="auto"/>
              <w:right w:val="single" w:sz="4" w:space="0" w:color="auto"/>
            </w:tcBorders>
          </w:tcPr>
          <w:p w14:paraId="29ED4744" w14:textId="77777777" w:rsidR="00337A26" w:rsidRPr="00C245EE" w:rsidRDefault="00337A26" w:rsidP="00CE0120">
            <w:pPr>
              <w:spacing w:after="120"/>
              <w:jc w:val="both"/>
              <w:rPr>
                <w:b/>
                <w:sz w:val="23"/>
                <w:szCs w:val="23"/>
              </w:rPr>
            </w:pPr>
            <w:r w:rsidRPr="00C245EE">
              <w:rPr>
                <w:b/>
                <w:sz w:val="23"/>
                <w:szCs w:val="23"/>
              </w:rPr>
              <w:lastRenderedPageBreak/>
              <w:t>Labklājības ministrijas izteiktais iebildums 22.02.2019</w:t>
            </w:r>
          </w:p>
          <w:p w14:paraId="039FE22C" w14:textId="44E7F8AF" w:rsidR="00337A26" w:rsidRPr="00C245EE" w:rsidRDefault="00337A26" w:rsidP="00CE0120">
            <w:pPr>
              <w:spacing w:after="120"/>
              <w:jc w:val="both"/>
              <w:rPr>
                <w:sz w:val="23"/>
                <w:szCs w:val="23"/>
              </w:rPr>
            </w:pPr>
            <w:r w:rsidRPr="00C245EE">
              <w:rPr>
                <w:sz w:val="23"/>
                <w:szCs w:val="23"/>
              </w:rPr>
              <w:t xml:space="preserve">Lūdzam precizēt </w:t>
            </w:r>
            <w:proofErr w:type="spellStart"/>
            <w:r w:rsidRPr="00C245EE">
              <w:rPr>
                <w:sz w:val="23"/>
                <w:szCs w:val="23"/>
              </w:rPr>
              <w:t>protokollēmuma</w:t>
            </w:r>
            <w:proofErr w:type="spellEnd"/>
            <w:r w:rsidRPr="00C245EE">
              <w:rPr>
                <w:sz w:val="23"/>
                <w:szCs w:val="23"/>
              </w:rPr>
              <w:t xml:space="preserve"> projekta 5.punktu, paredzot, ka priekšlikumi par prioritāro virzienu attiecīgo fondu snieguma ietvara rezerves finansējuma izmantošanu </w:t>
            </w:r>
            <w:r w:rsidRPr="00C245EE">
              <w:rPr>
                <w:sz w:val="23"/>
                <w:szCs w:val="23"/>
              </w:rPr>
              <w:lastRenderedPageBreak/>
              <w:t xml:space="preserve">ministrijām ir jāiesniedz tikai gadījumos, kad par to izmantošanu nav iepriekš pieņemts atbilstošs lēmums Ministru kabinetā (turpmāk – MK). Vēlamies atkārtoti vērst uzmanību, ka LM gadījumā šāds lēmums ir jau pieņemts, apstiprinot MK noteikumus par tās pārziņas specifisko atbalsta mērķu/pasākumu īstenošanu un paredzot kopējo pieejamo finansējumu un sasniedzamos uzraudzības rādītājus līdz 2023.gada 31.decembrim. Jāmin arī, ka LM gadījumā tie visi ir aktīvā īstenošanas stadijā ejoši specifisko atbalsta mērķu/pasākumu projekti (izņemot 9.3.1.1.specifiskā atbalsta mērķa pasākuma “Pakalpojumu infrastruktūras attīstība </w:t>
            </w:r>
            <w:proofErr w:type="spellStart"/>
            <w:r w:rsidRPr="00C245EE">
              <w:rPr>
                <w:sz w:val="23"/>
                <w:szCs w:val="23"/>
              </w:rPr>
              <w:t>deinstitucionalizācijas</w:t>
            </w:r>
            <w:proofErr w:type="spellEnd"/>
            <w:r w:rsidRPr="00C245EE">
              <w:rPr>
                <w:sz w:val="23"/>
                <w:szCs w:val="23"/>
              </w:rPr>
              <w:t xml:space="preserve"> plānu īstenošanai” (turpmāk– 9.3.1.1.pasākums) projektus), un to lietderību un efektivitāti apliecina sekmīgā snieguma ietvara uzraudzības rādītāju izpilde, kā arī iepriekš veikto </w:t>
            </w:r>
            <w:proofErr w:type="spellStart"/>
            <w:r w:rsidRPr="00C245EE">
              <w:rPr>
                <w:sz w:val="23"/>
                <w:szCs w:val="23"/>
              </w:rPr>
              <w:t>izvērtējumu</w:t>
            </w:r>
            <w:proofErr w:type="spellEnd"/>
            <w:r w:rsidRPr="00C245EE">
              <w:rPr>
                <w:sz w:val="23"/>
                <w:szCs w:val="23"/>
              </w:rPr>
              <w:t xml:space="preserve"> rezultāti.</w:t>
            </w:r>
          </w:p>
        </w:tc>
        <w:tc>
          <w:tcPr>
            <w:tcW w:w="2114" w:type="dxa"/>
            <w:vMerge w:val="restart"/>
            <w:tcBorders>
              <w:left w:val="single" w:sz="4" w:space="0" w:color="auto"/>
            </w:tcBorders>
          </w:tcPr>
          <w:p w14:paraId="1FD97E17" w14:textId="77B3B4F0" w:rsidR="00337A26" w:rsidRPr="00C245EE" w:rsidRDefault="00337A26">
            <w:pPr>
              <w:jc w:val="both"/>
              <w:rPr>
                <w:color w:val="000000"/>
                <w:sz w:val="23"/>
                <w:szCs w:val="23"/>
              </w:rPr>
            </w:pPr>
            <w:r w:rsidRPr="00C245EE">
              <w:rPr>
                <w:iCs/>
                <w:sz w:val="23"/>
                <w:szCs w:val="23"/>
              </w:rPr>
              <w:lastRenderedPageBreak/>
              <w:tab/>
              <w:t xml:space="preserve">Skat. </w:t>
            </w:r>
            <w:r w:rsidR="00694CF1" w:rsidRPr="00C245EE">
              <w:rPr>
                <w:color w:val="000000"/>
                <w:sz w:val="23"/>
                <w:szCs w:val="23"/>
              </w:rPr>
              <w:t xml:space="preserve">izziņas I sadaļas “Jautājumi, par kuriem saskaņošanā vienošanās nav panākta” 1. punktā </w:t>
            </w:r>
            <w:r w:rsidRPr="00C245EE">
              <w:rPr>
                <w:iCs/>
                <w:sz w:val="23"/>
                <w:szCs w:val="23"/>
              </w:rPr>
              <w:t xml:space="preserve">gala redakciju. </w:t>
            </w:r>
          </w:p>
          <w:p w14:paraId="27B46C5B" w14:textId="59449919" w:rsidR="00337A26" w:rsidRPr="00C245EE" w:rsidRDefault="00337A26" w:rsidP="00923417">
            <w:pPr>
              <w:jc w:val="both"/>
              <w:rPr>
                <w:color w:val="000000"/>
                <w:sz w:val="23"/>
                <w:szCs w:val="23"/>
              </w:rPr>
            </w:pPr>
          </w:p>
        </w:tc>
      </w:tr>
      <w:tr w:rsidR="00337A26" w:rsidRPr="00C245EE" w14:paraId="55CA6ED7" w14:textId="77777777" w:rsidTr="005E4DD3">
        <w:tc>
          <w:tcPr>
            <w:tcW w:w="843" w:type="dxa"/>
            <w:tcBorders>
              <w:top w:val="single" w:sz="6" w:space="0" w:color="000000"/>
              <w:left w:val="single" w:sz="6" w:space="0" w:color="000000"/>
              <w:bottom w:val="single" w:sz="6" w:space="0" w:color="000000"/>
              <w:right w:val="single" w:sz="6" w:space="0" w:color="000000"/>
            </w:tcBorders>
          </w:tcPr>
          <w:p w14:paraId="05CFA034" w14:textId="77777777" w:rsidR="00337A26" w:rsidRPr="00C245EE" w:rsidRDefault="00337A26" w:rsidP="00923417">
            <w:pPr>
              <w:pStyle w:val="naisc"/>
              <w:numPr>
                <w:ilvl w:val="0"/>
                <w:numId w:val="36"/>
              </w:numPr>
              <w:spacing w:before="0" w:after="0"/>
              <w:rPr>
                <w:color w:val="000000"/>
                <w:sz w:val="23"/>
                <w:szCs w:val="23"/>
              </w:rPr>
            </w:pPr>
          </w:p>
        </w:tc>
        <w:tc>
          <w:tcPr>
            <w:tcW w:w="2410" w:type="dxa"/>
            <w:vMerge/>
            <w:tcBorders>
              <w:left w:val="single" w:sz="6" w:space="0" w:color="000000"/>
              <w:right w:val="single" w:sz="6" w:space="0" w:color="000000"/>
            </w:tcBorders>
          </w:tcPr>
          <w:p w14:paraId="094191B5" w14:textId="77777777" w:rsidR="00337A26" w:rsidRPr="00C245EE" w:rsidRDefault="00337A26" w:rsidP="00CE0120">
            <w:pPr>
              <w:pStyle w:val="naisc"/>
              <w:spacing w:before="0" w:after="0"/>
              <w:jc w:val="both"/>
              <w:rPr>
                <w:color w:val="000000"/>
                <w:sz w:val="23"/>
                <w:szCs w:val="23"/>
              </w:rPr>
            </w:pPr>
          </w:p>
        </w:tc>
        <w:tc>
          <w:tcPr>
            <w:tcW w:w="3827" w:type="dxa"/>
            <w:tcBorders>
              <w:left w:val="single" w:sz="6" w:space="0" w:color="000000"/>
              <w:bottom w:val="single" w:sz="6" w:space="0" w:color="000000"/>
              <w:right w:val="single" w:sz="6" w:space="0" w:color="000000"/>
            </w:tcBorders>
          </w:tcPr>
          <w:p w14:paraId="337F83AD" w14:textId="77777777" w:rsidR="00337A26" w:rsidRPr="00C245EE" w:rsidRDefault="00337A26" w:rsidP="00CE0120">
            <w:pPr>
              <w:pStyle w:val="naisc"/>
              <w:jc w:val="both"/>
              <w:rPr>
                <w:b/>
                <w:color w:val="000000"/>
                <w:sz w:val="23"/>
                <w:szCs w:val="23"/>
              </w:rPr>
            </w:pPr>
          </w:p>
        </w:tc>
        <w:tc>
          <w:tcPr>
            <w:tcW w:w="3260" w:type="dxa"/>
            <w:tcBorders>
              <w:top w:val="single" w:sz="6" w:space="0" w:color="000000"/>
              <w:left w:val="single" w:sz="6" w:space="0" w:color="000000"/>
              <w:bottom w:val="single" w:sz="6" w:space="0" w:color="000000"/>
              <w:right w:val="single" w:sz="6" w:space="0" w:color="000000"/>
            </w:tcBorders>
          </w:tcPr>
          <w:p w14:paraId="3C97B738" w14:textId="77777777" w:rsidR="00337A26" w:rsidRPr="00C245EE" w:rsidRDefault="00337A26" w:rsidP="00CE0120">
            <w:pPr>
              <w:jc w:val="center"/>
              <w:rPr>
                <w:b/>
                <w:sz w:val="23"/>
                <w:szCs w:val="23"/>
              </w:rPr>
            </w:pPr>
            <w:r w:rsidRPr="00C245EE">
              <w:rPr>
                <w:b/>
                <w:sz w:val="23"/>
                <w:szCs w:val="23"/>
              </w:rPr>
              <w:t>Daļēji ņemts vērā</w:t>
            </w:r>
          </w:p>
          <w:p w14:paraId="16B05FDC" w14:textId="1239246F" w:rsidR="00E25F23" w:rsidRPr="00C245EE" w:rsidRDefault="00E25F23" w:rsidP="00E25F23">
            <w:pPr>
              <w:pStyle w:val="naisc"/>
              <w:tabs>
                <w:tab w:val="left" w:pos="820"/>
              </w:tabs>
              <w:ind w:firstLine="34"/>
              <w:jc w:val="both"/>
              <w:rPr>
                <w:color w:val="000000"/>
                <w:sz w:val="23"/>
                <w:szCs w:val="23"/>
              </w:rPr>
            </w:pPr>
            <w:r w:rsidRPr="00C245EE">
              <w:rPr>
                <w:color w:val="000000"/>
                <w:sz w:val="23"/>
                <w:szCs w:val="23"/>
              </w:rPr>
              <w:t xml:space="preserve">Lūdzam skatīt izziņas II sadaļas “Jautājumi, par kuriem saskaņošanā vienošanās ir panākta” 3. punktā un  izziņas I </w:t>
            </w:r>
            <w:r w:rsidRPr="00C245EE">
              <w:rPr>
                <w:color w:val="000000"/>
                <w:sz w:val="23"/>
                <w:szCs w:val="23"/>
              </w:rPr>
              <w:lastRenderedPageBreak/>
              <w:t>sadaļas “Jautājumi, par kuriem saskaņošanā vienošanās nav panākta” 1. punktā sniegtos skaidrojumus.</w:t>
            </w:r>
          </w:p>
          <w:p w14:paraId="3DEB6328" w14:textId="31EB541D" w:rsidR="00337A26" w:rsidRPr="00C245EE" w:rsidRDefault="00337A26" w:rsidP="00E25F23">
            <w:pPr>
              <w:jc w:val="both"/>
              <w:rPr>
                <w:b/>
                <w:iCs/>
                <w:sz w:val="23"/>
                <w:szCs w:val="23"/>
              </w:rPr>
            </w:pPr>
            <w:r w:rsidRPr="00C245EE">
              <w:rPr>
                <w:sz w:val="23"/>
                <w:szCs w:val="23"/>
              </w:rPr>
              <w:t xml:space="preserve">Sniedzot  priekšlikumus līdz 2019.gada 1.jūlijam par snieguma rezerves finansējuma tālāku izmantošanu, aicinām LM iesniegt priekšlikumus par LM apzinātajām reālajām  pašvaldību izmaksām plānošanas reģionu </w:t>
            </w:r>
            <w:proofErr w:type="spellStart"/>
            <w:r w:rsidRPr="00C245EE">
              <w:rPr>
                <w:sz w:val="23"/>
                <w:szCs w:val="23"/>
              </w:rPr>
              <w:t>deinstitucionalizācijas</w:t>
            </w:r>
            <w:proofErr w:type="spellEnd"/>
            <w:r w:rsidRPr="00C245EE">
              <w:rPr>
                <w:sz w:val="23"/>
                <w:szCs w:val="23"/>
              </w:rPr>
              <w:t xml:space="preserve"> plānā noteikto sabiedrībā balstītu sociālo pakalpojumu izveidei. </w:t>
            </w:r>
            <w:r w:rsidRPr="00C245EE">
              <w:rPr>
                <w:iCs/>
                <w:sz w:val="23"/>
                <w:szCs w:val="23"/>
              </w:rPr>
              <w:t xml:space="preserve"> </w:t>
            </w:r>
          </w:p>
        </w:tc>
        <w:tc>
          <w:tcPr>
            <w:tcW w:w="3260" w:type="dxa"/>
            <w:tcBorders>
              <w:top w:val="single" w:sz="4" w:space="0" w:color="auto"/>
              <w:left w:val="single" w:sz="4" w:space="0" w:color="auto"/>
              <w:bottom w:val="single" w:sz="4" w:space="0" w:color="auto"/>
              <w:right w:val="single" w:sz="4" w:space="0" w:color="auto"/>
            </w:tcBorders>
          </w:tcPr>
          <w:p w14:paraId="6B4036C2" w14:textId="77777777" w:rsidR="00337A26" w:rsidRPr="00C245EE" w:rsidRDefault="00337A26" w:rsidP="00CE0120">
            <w:pPr>
              <w:spacing w:after="120"/>
              <w:jc w:val="both"/>
              <w:rPr>
                <w:b/>
                <w:sz w:val="23"/>
                <w:szCs w:val="23"/>
              </w:rPr>
            </w:pPr>
            <w:r w:rsidRPr="00C245EE">
              <w:rPr>
                <w:b/>
                <w:sz w:val="23"/>
                <w:szCs w:val="23"/>
              </w:rPr>
              <w:lastRenderedPageBreak/>
              <w:t>Labklājības ministrijas izteiktais iebildums 22.02.2019</w:t>
            </w:r>
          </w:p>
          <w:p w14:paraId="1981B0FB" w14:textId="77777777" w:rsidR="00337A26" w:rsidRPr="00C245EE" w:rsidRDefault="00337A26" w:rsidP="00CE0120">
            <w:pPr>
              <w:spacing w:after="120"/>
              <w:jc w:val="both"/>
              <w:rPr>
                <w:sz w:val="23"/>
                <w:szCs w:val="23"/>
              </w:rPr>
            </w:pPr>
            <w:r w:rsidRPr="00C245EE">
              <w:rPr>
                <w:sz w:val="23"/>
                <w:szCs w:val="23"/>
              </w:rPr>
              <w:t xml:space="preserve">Lūdzam precizēt </w:t>
            </w:r>
            <w:proofErr w:type="spellStart"/>
            <w:r w:rsidRPr="00C245EE">
              <w:rPr>
                <w:sz w:val="23"/>
                <w:szCs w:val="23"/>
              </w:rPr>
              <w:t>protokollēmuma</w:t>
            </w:r>
            <w:proofErr w:type="spellEnd"/>
            <w:r w:rsidRPr="00C245EE">
              <w:rPr>
                <w:sz w:val="23"/>
                <w:szCs w:val="23"/>
              </w:rPr>
              <w:t xml:space="preserve"> projekta 6.punktu,  paredzot, ka Finanšu </w:t>
            </w:r>
            <w:r w:rsidRPr="00C245EE">
              <w:rPr>
                <w:sz w:val="23"/>
                <w:szCs w:val="23"/>
              </w:rPr>
              <w:lastRenderedPageBreak/>
              <w:t xml:space="preserve">ministrija, sagatavojot un līdz 2019.gada 30.septembrim noteiktā kārtībā iesniedzot MK ziņojumu par darbības programmas “Izaugsme un nodarbinātība” snieguma ietvara rezerves finansējuma izlietojuma priekšlikumiem, t.sk. ņems vērā arī iespējamos lēmumus, kas varētu izrietēt no 2018.gada 11.decembra MK sēdē (MK </w:t>
            </w:r>
            <w:proofErr w:type="spellStart"/>
            <w:r w:rsidRPr="00C245EE">
              <w:rPr>
                <w:sz w:val="23"/>
                <w:szCs w:val="23"/>
              </w:rPr>
              <w:t>protokollēmums</w:t>
            </w:r>
            <w:proofErr w:type="spellEnd"/>
            <w:r w:rsidRPr="00C245EE">
              <w:rPr>
                <w:sz w:val="23"/>
                <w:szCs w:val="23"/>
              </w:rPr>
              <w:t xml:space="preserve"> Nr.18-MKp-59-52) dotā uzdevuma izpildes, proti, kas paredz LM apzināt reālās pašvaldību izmaksas plānošanas reģionu </w:t>
            </w:r>
            <w:proofErr w:type="spellStart"/>
            <w:r w:rsidRPr="00C245EE">
              <w:rPr>
                <w:sz w:val="23"/>
                <w:szCs w:val="23"/>
              </w:rPr>
              <w:t>deinstitucionalizācijas</w:t>
            </w:r>
            <w:proofErr w:type="spellEnd"/>
            <w:r w:rsidRPr="00C245EE">
              <w:rPr>
                <w:sz w:val="23"/>
                <w:szCs w:val="23"/>
              </w:rPr>
              <w:t xml:space="preserve"> plānā noteikto sabiedrībā balstītu sociālo pakalpojumu izveidei un līdz 2019.gada 30.jūnijam iesniegt Finanšu ministrijā priekšlikumus rīcībai, lai 9.3.1.1.pasākuma ietvaros savstarpēji saskaņotu finanšu iespējas un sasniedzamo uzraudzības rādītāju vērtības.</w:t>
            </w:r>
            <w:r w:rsidRPr="00C245EE">
              <w:rPr>
                <w:sz w:val="23"/>
                <w:szCs w:val="23"/>
              </w:rPr>
              <w:tab/>
              <w:t xml:space="preserve">Lūdzam skatīt izziņas 2.  punktā sniegto skaidrojumu. </w:t>
            </w:r>
          </w:p>
          <w:p w14:paraId="0A47D12C" w14:textId="77777777" w:rsidR="00337A26" w:rsidRPr="00C245EE" w:rsidRDefault="00337A26" w:rsidP="00CE0120">
            <w:pPr>
              <w:spacing w:after="120"/>
              <w:jc w:val="both"/>
              <w:rPr>
                <w:b/>
                <w:sz w:val="23"/>
                <w:szCs w:val="23"/>
              </w:rPr>
            </w:pPr>
          </w:p>
        </w:tc>
        <w:tc>
          <w:tcPr>
            <w:tcW w:w="2114" w:type="dxa"/>
            <w:vMerge/>
            <w:tcBorders>
              <w:left w:val="single" w:sz="4" w:space="0" w:color="auto"/>
            </w:tcBorders>
          </w:tcPr>
          <w:p w14:paraId="18F0E203" w14:textId="0A1F42DE" w:rsidR="00337A26" w:rsidRPr="00C245EE" w:rsidRDefault="00337A26" w:rsidP="005E4DD3">
            <w:pPr>
              <w:jc w:val="both"/>
              <w:rPr>
                <w:sz w:val="23"/>
                <w:szCs w:val="23"/>
              </w:rPr>
            </w:pPr>
          </w:p>
        </w:tc>
      </w:tr>
      <w:tr w:rsidR="00337A26" w:rsidRPr="00C245EE" w14:paraId="7C6328EE" w14:textId="77777777" w:rsidTr="005E4DD3">
        <w:tc>
          <w:tcPr>
            <w:tcW w:w="843" w:type="dxa"/>
            <w:tcBorders>
              <w:top w:val="single" w:sz="6" w:space="0" w:color="000000"/>
              <w:left w:val="single" w:sz="6" w:space="0" w:color="000000"/>
              <w:bottom w:val="single" w:sz="6" w:space="0" w:color="000000"/>
              <w:right w:val="single" w:sz="6" w:space="0" w:color="000000"/>
            </w:tcBorders>
          </w:tcPr>
          <w:p w14:paraId="312C77E4" w14:textId="77777777" w:rsidR="00337A26" w:rsidRPr="00C245EE" w:rsidRDefault="00337A26" w:rsidP="00923417">
            <w:pPr>
              <w:pStyle w:val="naisc"/>
              <w:numPr>
                <w:ilvl w:val="0"/>
                <w:numId w:val="36"/>
              </w:numPr>
              <w:spacing w:before="0" w:after="0"/>
              <w:rPr>
                <w:color w:val="000000"/>
                <w:sz w:val="23"/>
                <w:szCs w:val="23"/>
              </w:rPr>
            </w:pPr>
          </w:p>
        </w:tc>
        <w:tc>
          <w:tcPr>
            <w:tcW w:w="2410" w:type="dxa"/>
            <w:vMerge/>
            <w:tcBorders>
              <w:left w:val="single" w:sz="6" w:space="0" w:color="000000"/>
              <w:bottom w:val="single" w:sz="4" w:space="0" w:color="auto"/>
              <w:right w:val="single" w:sz="6" w:space="0" w:color="000000"/>
            </w:tcBorders>
          </w:tcPr>
          <w:p w14:paraId="12003D93" w14:textId="77777777" w:rsidR="00337A26" w:rsidRPr="00C245EE" w:rsidRDefault="00337A26" w:rsidP="005542C1">
            <w:pPr>
              <w:pStyle w:val="naisc"/>
              <w:spacing w:before="0" w:after="0"/>
              <w:jc w:val="both"/>
              <w:rPr>
                <w:color w:val="000000"/>
                <w:sz w:val="23"/>
                <w:szCs w:val="23"/>
              </w:rPr>
            </w:pPr>
          </w:p>
        </w:tc>
        <w:tc>
          <w:tcPr>
            <w:tcW w:w="3827" w:type="dxa"/>
            <w:tcBorders>
              <w:top w:val="single" w:sz="6" w:space="0" w:color="000000"/>
              <w:left w:val="single" w:sz="6" w:space="0" w:color="000000"/>
              <w:bottom w:val="single" w:sz="6" w:space="0" w:color="000000"/>
              <w:right w:val="single" w:sz="6" w:space="0" w:color="000000"/>
            </w:tcBorders>
          </w:tcPr>
          <w:p w14:paraId="06A19B9F" w14:textId="77777777" w:rsidR="00337A26" w:rsidRPr="00C245EE" w:rsidRDefault="00337A26" w:rsidP="005542C1">
            <w:pPr>
              <w:spacing w:after="120"/>
              <w:jc w:val="both"/>
              <w:rPr>
                <w:b/>
                <w:sz w:val="23"/>
                <w:szCs w:val="23"/>
              </w:rPr>
            </w:pPr>
            <w:r w:rsidRPr="00C245EE">
              <w:rPr>
                <w:b/>
                <w:sz w:val="23"/>
                <w:szCs w:val="23"/>
              </w:rPr>
              <w:t>Izglītības un zinātnes ministrija</w:t>
            </w:r>
          </w:p>
          <w:p w14:paraId="00DBC3F6" w14:textId="77777777" w:rsidR="00337A26" w:rsidRPr="00C245EE" w:rsidRDefault="00337A26" w:rsidP="005542C1">
            <w:pPr>
              <w:widowControl w:val="0"/>
              <w:spacing w:after="60"/>
              <w:jc w:val="both"/>
              <w:rPr>
                <w:sz w:val="23"/>
                <w:szCs w:val="23"/>
              </w:rPr>
            </w:pPr>
            <w:r w:rsidRPr="00C245EE">
              <w:rPr>
                <w:sz w:val="23"/>
                <w:szCs w:val="23"/>
              </w:rPr>
              <w:t xml:space="preserve">Aicinām precizēt informatīvā ziņojuma </w:t>
            </w:r>
            <w:proofErr w:type="spellStart"/>
            <w:r w:rsidRPr="00C245EE">
              <w:rPr>
                <w:sz w:val="23"/>
                <w:szCs w:val="23"/>
              </w:rPr>
              <w:t>protokollēmuma</w:t>
            </w:r>
            <w:proofErr w:type="spellEnd"/>
            <w:r w:rsidRPr="00C245EE">
              <w:rPr>
                <w:sz w:val="23"/>
                <w:szCs w:val="23"/>
              </w:rPr>
              <w:t xml:space="preserve"> projekta 5. un 7.punktu, nosakot, ka ātrāka snieguma ietvara rezerves finansējuma izmantošana pieļaujama arī gadījumos, </w:t>
            </w:r>
            <w:r w:rsidRPr="00C245EE">
              <w:rPr>
                <w:sz w:val="23"/>
                <w:szCs w:val="23"/>
              </w:rPr>
              <w:lastRenderedPageBreak/>
              <w:t xml:space="preserve">ja snieguma ietvara izpilde nodrošināta minimāli nepieciešamajā apmērā, un atbilstoši Centrālās un finanšu līguma aģentūras aprēķiniem ir paredzama snieguma ietvara izpildes nodrošināšana pilnā apmērā. </w:t>
            </w:r>
          </w:p>
          <w:p w14:paraId="09F95364" w14:textId="77777777" w:rsidR="00337A26" w:rsidRPr="00C245EE" w:rsidRDefault="00337A26" w:rsidP="005542C1">
            <w:pPr>
              <w:spacing w:after="60"/>
              <w:ind w:firstLine="851"/>
              <w:jc w:val="both"/>
              <w:rPr>
                <w:sz w:val="23"/>
                <w:szCs w:val="23"/>
              </w:rPr>
            </w:pPr>
            <w:r w:rsidRPr="00C245EE">
              <w:rPr>
                <w:sz w:val="23"/>
                <w:szCs w:val="23"/>
              </w:rPr>
              <w:t xml:space="preserve">Vēršam uzmanību, ka 8.1.1.specifiskā atbalsta mērķa „Palielināt modernizēto STEM, tajā skaitā medicīnas un radošās industrijas, studiju programmu skaitu” (turpmāk – 8.1.1.SAM) un 8.1.4. specifiskā atbalsta mērķa „Uzlabot pirmā līmeņa profesionālās augstākās izglītības STEM, tajā skaitā medicīnas un radošās industrijas, studiju mācību vidi koledžās” (turpmāk – 8.1.4.SAM) ietvaros līdz 2019.gada beigām ir plānota vairāku projektu īstenošanas pabeigšana, piemēram, Jāzepa Vītola Latvijas Mūzikas akadēmijai (pabeigšanas termiņš 28.02.2019.), Transporta un sakaru institūtam (pabeigšanas termiņš 31.10.2019.), Latvijas Universitātei (pabeigšanas termiņš 30.12.2019.), Daugavpils Universitātei (pabeigšanas termiņš 31.12.2019.) un Latvijas Sporta pedagoģijas akadēmijai (pabeigšanas termiņš 31.12.2019.). Savukārt 8.1.4.SAM ietvaros līdz 2019.gada beigām plānots pabeigt četru projektu īstenošanu – Liepājas Jūrniecības koledžai (pabeigšanas termiņš 31.03.2019.), Rīgas 1.medicīnas koledžai (pabeigšanas termiņš </w:t>
            </w:r>
            <w:r w:rsidRPr="00C245EE">
              <w:rPr>
                <w:sz w:val="23"/>
                <w:szCs w:val="23"/>
              </w:rPr>
              <w:lastRenderedPageBreak/>
              <w:t xml:space="preserve">31.03.2019.), Rīgas Stradiņa universitātes Sarkanā Krusta medicīnas koledžai (pabeigšanas termiņš 31.03.2019.) un Rīgas Celtniecības koledžai (pabeigšanas termiņš 31.07.2019.). Līdz ar to, Izglītības un zinātnes ministrijas ieskatā tiek apdraudēta snieguma ietvara rezerves finansējuma piešķiršana minētajiem finansējuma saņēmējiem (kopā 1 136 084 </w:t>
            </w:r>
            <w:proofErr w:type="spellStart"/>
            <w:r w:rsidRPr="00C245EE">
              <w:rPr>
                <w:i/>
                <w:sz w:val="23"/>
                <w:szCs w:val="23"/>
              </w:rPr>
              <w:t>euro</w:t>
            </w:r>
            <w:proofErr w:type="spellEnd"/>
            <w:r w:rsidRPr="00C245EE">
              <w:rPr>
                <w:sz w:val="23"/>
                <w:szCs w:val="23"/>
              </w:rPr>
              <w:t xml:space="preserve">), ja lēmuma pieņemšana par tā piešķiršanu plānota ne ātrāk kā 2019.gada oktobrī. </w:t>
            </w:r>
          </w:p>
          <w:p w14:paraId="3D00DE73" w14:textId="77777777" w:rsidR="00337A26" w:rsidRPr="00C245EE" w:rsidRDefault="00337A26" w:rsidP="005542C1">
            <w:pPr>
              <w:spacing w:after="60"/>
              <w:ind w:firstLine="851"/>
              <w:jc w:val="both"/>
              <w:rPr>
                <w:sz w:val="23"/>
                <w:szCs w:val="23"/>
              </w:rPr>
            </w:pPr>
            <w:r w:rsidRPr="00C245EE">
              <w:rPr>
                <w:sz w:val="23"/>
                <w:szCs w:val="23"/>
              </w:rPr>
              <w:t>Ar Izglītības un zinātnes ministrijas izveidoto komisiju saskaņotajās augstākās izglītības institūciju attīstības stratēģijās tika noteikts, kādām papildinošām darbībām tiks izlietots katra projekta rezerves finansējums. Izglītības un zinātnes ministrija vairākkārtīgi ir vērsusi Finanšu ministrijas un Centrālās finanšu un līgumu aģentūras uzmanību par nepieciešamību meklēt risinājumus, kā piešķirt rezerves finansējumu 8.1.1.SAM un 8.1.4.SAM projektiem. Izveidojusies situācija ir nelabvēlīga tieši tiem finansējuma saņēmējiem, kuri īsā termiņā, efektīvi izlietojot piešķirto finansējumu, plāno sasniegt projekta mērķi un rezultātus, vienlaikus veicinot prioritārā virziena snieguma ietvara rādītāju izpildi.</w:t>
            </w:r>
          </w:p>
          <w:p w14:paraId="6562ACD1" w14:textId="77777777" w:rsidR="00337A26" w:rsidRPr="00C245EE" w:rsidRDefault="00337A26" w:rsidP="005542C1">
            <w:pPr>
              <w:spacing w:after="60"/>
              <w:ind w:firstLine="851"/>
              <w:jc w:val="both"/>
              <w:rPr>
                <w:strike/>
                <w:sz w:val="23"/>
                <w:szCs w:val="23"/>
              </w:rPr>
            </w:pPr>
            <w:r w:rsidRPr="00C245EE">
              <w:rPr>
                <w:sz w:val="23"/>
                <w:szCs w:val="23"/>
              </w:rPr>
              <w:t xml:space="preserve">Savukārt 8.3.6.1.pasākuma “Dalība starptautiskos pētījumos” (turpmāk – 8.3.6.1.pasākums) projekta </w:t>
            </w:r>
            <w:r w:rsidRPr="00C245EE">
              <w:rPr>
                <w:sz w:val="23"/>
                <w:szCs w:val="23"/>
              </w:rPr>
              <w:lastRenderedPageBreak/>
              <w:t>ietvaros Izglītības un zinātnes ministrija kā finansējuma saņēmējs ir plānojusi piedalīties Starptautiskās izglītības sasniegumu novērtēšanas asociācijas īstenotā starptautiski salīdzinošā pilsoniskās izglītības pētījumā (</w:t>
            </w:r>
            <w:proofErr w:type="spellStart"/>
            <w:r w:rsidRPr="00C245EE">
              <w:rPr>
                <w:i/>
                <w:sz w:val="23"/>
                <w:szCs w:val="23"/>
              </w:rPr>
              <w:t>International</w:t>
            </w:r>
            <w:proofErr w:type="spellEnd"/>
            <w:r w:rsidRPr="00C245EE">
              <w:rPr>
                <w:i/>
                <w:sz w:val="23"/>
                <w:szCs w:val="23"/>
              </w:rPr>
              <w:t xml:space="preserve"> Association </w:t>
            </w:r>
            <w:proofErr w:type="spellStart"/>
            <w:r w:rsidRPr="00C245EE">
              <w:rPr>
                <w:i/>
                <w:sz w:val="23"/>
                <w:szCs w:val="23"/>
              </w:rPr>
              <w:t>Evaluation</w:t>
            </w:r>
            <w:proofErr w:type="spellEnd"/>
            <w:r w:rsidRPr="00C245EE">
              <w:rPr>
                <w:i/>
                <w:sz w:val="23"/>
                <w:szCs w:val="23"/>
              </w:rPr>
              <w:t xml:space="preserve"> </w:t>
            </w:r>
            <w:proofErr w:type="spellStart"/>
            <w:r w:rsidRPr="00C245EE">
              <w:rPr>
                <w:i/>
                <w:sz w:val="23"/>
                <w:szCs w:val="23"/>
              </w:rPr>
              <w:t>Educational</w:t>
            </w:r>
            <w:proofErr w:type="spellEnd"/>
            <w:r w:rsidRPr="00C245EE">
              <w:rPr>
                <w:i/>
                <w:sz w:val="23"/>
                <w:szCs w:val="23"/>
              </w:rPr>
              <w:t xml:space="preserve"> </w:t>
            </w:r>
            <w:proofErr w:type="spellStart"/>
            <w:r w:rsidRPr="00C245EE">
              <w:rPr>
                <w:i/>
                <w:sz w:val="23"/>
                <w:szCs w:val="23"/>
              </w:rPr>
              <w:t>Achievement</w:t>
            </w:r>
            <w:proofErr w:type="spellEnd"/>
            <w:r w:rsidRPr="00C245EE">
              <w:rPr>
                <w:i/>
                <w:sz w:val="23"/>
                <w:szCs w:val="23"/>
              </w:rPr>
              <w:t xml:space="preserve"> </w:t>
            </w:r>
            <w:proofErr w:type="spellStart"/>
            <w:r w:rsidRPr="00C245EE">
              <w:rPr>
                <w:i/>
                <w:sz w:val="23"/>
                <w:szCs w:val="23"/>
              </w:rPr>
              <w:t>International</w:t>
            </w:r>
            <w:proofErr w:type="spellEnd"/>
            <w:r w:rsidRPr="00C245EE">
              <w:rPr>
                <w:i/>
                <w:sz w:val="23"/>
                <w:szCs w:val="23"/>
              </w:rPr>
              <w:t xml:space="preserve"> Civic </w:t>
            </w:r>
            <w:proofErr w:type="spellStart"/>
            <w:r w:rsidRPr="00C245EE">
              <w:rPr>
                <w:i/>
                <w:sz w:val="23"/>
                <w:szCs w:val="23"/>
              </w:rPr>
              <w:t>and</w:t>
            </w:r>
            <w:proofErr w:type="spellEnd"/>
            <w:r w:rsidRPr="00C245EE">
              <w:rPr>
                <w:i/>
                <w:sz w:val="23"/>
                <w:szCs w:val="23"/>
              </w:rPr>
              <w:t xml:space="preserve"> </w:t>
            </w:r>
            <w:proofErr w:type="spellStart"/>
            <w:r w:rsidRPr="00C245EE">
              <w:rPr>
                <w:i/>
                <w:sz w:val="23"/>
                <w:szCs w:val="23"/>
              </w:rPr>
              <w:t>Citizenship</w:t>
            </w:r>
            <w:proofErr w:type="spellEnd"/>
            <w:r w:rsidRPr="00C245EE">
              <w:rPr>
                <w:i/>
                <w:sz w:val="23"/>
                <w:szCs w:val="23"/>
              </w:rPr>
              <w:t xml:space="preserve"> </w:t>
            </w:r>
            <w:proofErr w:type="spellStart"/>
            <w:r w:rsidRPr="00C245EE">
              <w:rPr>
                <w:i/>
                <w:sz w:val="23"/>
                <w:szCs w:val="23"/>
              </w:rPr>
              <w:t>Education</w:t>
            </w:r>
            <w:proofErr w:type="spellEnd"/>
            <w:r w:rsidRPr="00C245EE">
              <w:rPr>
                <w:i/>
                <w:sz w:val="23"/>
                <w:szCs w:val="23"/>
              </w:rPr>
              <w:t xml:space="preserve"> </w:t>
            </w:r>
            <w:proofErr w:type="spellStart"/>
            <w:r w:rsidRPr="00C245EE">
              <w:rPr>
                <w:i/>
                <w:sz w:val="23"/>
                <w:szCs w:val="23"/>
              </w:rPr>
              <w:t>Study</w:t>
            </w:r>
            <w:proofErr w:type="spellEnd"/>
            <w:r w:rsidRPr="00C245EE">
              <w:rPr>
                <w:sz w:val="23"/>
                <w:szCs w:val="23"/>
              </w:rPr>
              <w:t xml:space="preserve">), kas ir svarīgs ne tikai nacionālajā (Latvijas), bet Eiropas Komisijas līmenī, jo tā ietvaros padziļināti tiks pētīti dažādi indikatori (piemēram, pilsoniskās izglītības apguve, kā tas atspoguļojas skolēnu mācību rezultātos, u.c.), kas būs svarīgi 8.3.6.2.pasākuma “Izglītības kvalitātes monitoringa sistēmas izveide” (turpmāk – 8.3.6.2.pasākums) Izglītības un zinātnes ministrijas projekta īstenošanā. Līdz ar to, ir nepieciešams noteikt ātrāku 8.3.6.2.pasākumam plānotā snieguma ietvara rezerves finansējuma izmantošanu, kas tiktu daļēji piešķirts 8.3.6.1.pasākuma īstenošanai, ņemot vērā, ka 2019.gada martā notiks projektu konkurss, lai pieteiktos uz Eiropas Komisijas līdzfinansējumu, kā rezultātā Latvijai ir jāparedz nacionālā finansējuma daļa dalībai pētījumā un tā īstenošanas izmaksas. </w:t>
            </w:r>
          </w:p>
          <w:p w14:paraId="2E46D86A" w14:textId="158CB794" w:rsidR="00337A26" w:rsidRPr="00C245EE" w:rsidRDefault="00337A26" w:rsidP="005542C1">
            <w:pPr>
              <w:pStyle w:val="naisc"/>
              <w:jc w:val="both"/>
              <w:rPr>
                <w:b/>
                <w:color w:val="000000"/>
                <w:sz w:val="23"/>
                <w:szCs w:val="23"/>
              </w:rPr>
            </w:pPr>
            <w:r w:rsidRPr="00C245EE">
              <w:rPr>
                <w:sz w:val="23"/>
                <w:szCs w:val="23"/>
              </w:rPr>
              <w:t xml:space="preserve">Vēršam uzmanību, ka saskaņā ar informatīvā ziņojuma 4.pielikumu „Snieguma ietvara finanšu rādītāja optimālā izpildes prognoze </w:t>
            </w:r>
            <w:r w:rsidRPr="00C245EE">
              <w:rPr>
                <w:sz w:val="23"/>
                <w:szCs w:val="23"/>
              </w:rPr>
              <w:lastRenderedPageBreak/>
              <w:t>prioritārajos virzienos SAM/SAMP dalījumā” līdz 2018.gada 31.decembrim 8.prioritārā virziena „Izglītība, prasmes un mūžizglītība” (ERAF un ESF) ietvaros ir veiktas atmaksas finansējuma saņēmējiem, attiecīgi, 85,9 un 91 procentu apmērā, paredzot, ka Eiropas Komisijā tiks deklarēti izdevumi, attiecīgi, 129 un 116 procentu apmērā no darbības programmā noteiktā snieguma ietvara.</w:t>
            </w:r>
          </w:p>
        </w:tc>
        <w:tc>
          <w:tcPr>
            <w:tcW w:w="3260" w:type="dxa"/>
            <w:tcBorders>
              <w:top w:val="single" w:sz="6" w:space="0" w:color="000000"/>
              <w:left w:val="single" w:sz="6" w:space="0" w:color="000000"/>
              <w:bottom w:val="single" w:sz="6" w:space="0" w:color="000000"/>
              <w:right w:val="single" w:sz="6" w:space="0" w:color="000000"/>
            </w:tcBorders>
          </w:tcPr>
          <w:p w14:paraId="17239728" w14:textId="77777777" w:rsidR="00337A26" w:rsidRPr="00C245EE" w:rsidRDefault="00337A26" w:rsidP="005542C1">
            <w:pPr>
              <w:pStyle w:val="naisc"/>
              <w:tabs>
                <w:tab w:val="left" w:pos="820"/>
              </w:tabs>
              <w:ind w:firstLine="34"/>
              <w:rPr>
                <w:b/>
                <w:color w:val="000000"/>
                <w:sz w:val="23"/>
                <w:szCs w:val="23"/>
              </w:rPr>
            </w:pPr>
            <w:r w:rsidRPr="00C245EE">
              <w:rPr>
                <w:b/>
                <w:color w:val="000000"/>
                <w:sz w:val="23"/>
                <w:szCs w:val="23"/>
              </w:rPr>
              <w:lastRenderedPageBreak/>
              <w:t>Nav ņemts vērā</w:t>
            </w:r>
          </w:p>
          <w:p w14:paraId="453A6576" w14:textId="77777777" w:rsidR="00E25F23" w:rsidRPr="00C245EE" w:rsidRDefault="00E25F23" w:rsidP="00E25F23">
            <w:pPr>
              <w:pStyle w:val="naisc"/>
              <w:tabs>
                <w:tab w:val="left" w:pos="820"/>
              </w:tabs>
              <w:ind w:firstLine="34"/>
              <w:jc w:val="both"/>
              <w:rPr>
                <w:color w:val="000000"/>
                <w:sz w:val="23"/>
                <w:szCs w:val="23"/>
              </w:rPr>
            </w:pPr>
            <w:r w:rsidRPr="00C245EE">
              <w:rPr>
                <w:color w:val="000000"/>
                <w:sz w:val="23"/>
                <w:szCs w:val="23"/>
              </w:rPr>
              <w:t xml:space="preserve">Lūdzam skatīt izziņas II sadaļas “Jautājumi, par kuriem saskaņošanā vienošanās ir panākta” 3. punktā un  izziņas I sadaļas “Jautājumi, par kuriem </w:t>
            </w:r>
            <w:r w:rsidRPr="00C245EE">
              <w:rPr>
                <w:color w:val="000000"/>
                <w:sz w:val="23"/>
                <w:szCs w:val="23"/>
              </w:rPr>
              <w:lastRenderedPageBreak/>
              <w:t>saskaņošanā vienošanās nav panākta” 1. punktā sniegtos skaidrojumus.</w:t>
            </w:r>
          </w:p>
          <w:p w14:paraId="6EE93432" w14:textId="1466C258" w:rsidR="00337A26" w:rsidRPr="00C245EE" w:rsidRDefault="00337A26" w:rsidP="00923417">
            <w:pPr>
              <w:pStyle w:val="naisc"/>
              <w:spacing w:before="0" w:after="0"/>
              <w:ind w:firstLine="34"/>
              <w:jc w:val="both"/>
              <w:rPr>
                <w:color w:val="000000"/>
                <w:sz w:val="23"/>
                <w:szCs w:val="23"/>
              </w:rPr>
            </w:pPr>
          </w:p>
        </w:tc>
        <w:tc>
          <w:tcPr>
            <w:tcW w:w="3260" w:type="dxa"/>
            <w:tcBorders>
              <w:top w:val="single" w:sz="4" w:space="0" w:color="auto"/>
              <w:left w:val="single" w:sz="4" w:space="0" w:color="auto"/>
              <w:bottom w:val="single" w:sz="4" w:space="0" w:color="auto"/>
              <w:right w:val="single" w:sz="4" w:space="0" w:color="auto"/>
            </w:tcBorders>
          </w:tcPr>
          <w:p w14:paraId="4F74A359" w14:textId="77777777" w:rsidR="00337A26" w:rsidRPr="00C245EE" w:rsidRDefault="00337A26" w:rsidP="005542C1">
            <w:pPr>
              <w:spacing w:after="120"/>
              <w:jc w:val="both"/>
              <w:rPr>
                <w:b/>
                <w:sz w:val="23"/>
                <w:szCs w:val="23"/>
              </w:rPr>
            </w:pPr>
            <w:r w:rsidRPr="00C245EE">
              <w:rPr>
                <w:b/>
                <w:sz w:val="23"/>
                <w:szCs w:val="23"/>
              </w:rPr>
              <w:lastRenderedPageBreak/>
              <w:t>Izglītības un zinātnes ministrijas izteiktais iebildums 25.02.2019</w:t>
            </w:r>
          </w:p>
          <w:p w14:paraId="48AB74A8" w14:textId="77777777" w:rsidR="00337A26" w:rsidRPr="00C245EE" w:rsidRDefault="00337A26" w:rsidP="005542C1">
            <w:pPr>
              <w:spacing w:after="120"/>
              <w:jc w:val="both"/>
              <w:rPr>
                <w:sz w:val="23"/>
                <w:szCs w:val="23"/>
              </w:rPr>
            </w:pPr>
            <w:r w:rsidRPr="00C245EE">
              <w:rPr>
                <w:sz w:val="23"/>
                <w:szCs w:val="23"/>
              </w:rPr>
              <w:t xml:space="preserve">Ievērojot, ka ir svītrots informatīvā ziņojuma </w:t>
            </w:r>
            <w:proofErr w:type="spellStart"/>
            <w:r w:rsidRPr="00C245EE">
              <w:rPr>
                <w:sz w:val="23"/>
                <w:szCs w:val="23"/>
              </w:rPr>
              <w:t>protokollēmuma</w:t>
            </w:r>
            <w:proofErr w:type="spellEnd"/>
            <w:r w:rsidRPr="00C245EE">
              <w:rPr>
                <w:sz w:val="23"/>
                <w:szCs w:val="23"/>
              </w:rPr>
              <w:t xml:space="preserve"> punkts par </w:t>
            </w:r>
            <w:r w:rsidRPr="00C245EE">
              <w:rPr>
                <w:sz w:val="23"/>
                <w:szCs w:val="23"/>
              </w:rPr>
              <w:lastRenderedPageBreak/>
              <w:t xml:space="preserve">snieguma ietvara rezerves finansējuma ātrāku izmantošanu pirms atbilstoša Eiropas Komisijas lēmuma, lūdzam precizēt informatīvo ziņojumu, paredzot risinājumus projekta īstenošanas pagarināšanai (tostarp ļaujot pagarināt projekta īstenošanas termiņu, kas pārsniedz Ministru kabineta 2014.gada 16.decembra Nr.784 „Kārtība, kādā Eiropas Savienības struktūrfondu un Kohēzijas fonda vadībā iesaistītās institūcijas nodrošina plānošanas dokumentu sagatavošanu un šo fondu ieviešanu 2014.–2020.gada plānošanas periodā” 51.4punktā minēto sešu mēnešu termiņu), tādejādi nodrošinot iespējamu snieguma ietvara rezerves finansējuma piešķiršanu tiem projektiem, kur saskaņā ar Finanšu ministrijas 2016.gada 3.jūnija vadlīnijām Nr.2.5 „Vadošās iestādes skaidrojums par snieguma rezerves piemērošanu ES fondu 2014.-2020.gada plānošanas periodā” paredzēta papildus darbību īstenošana, un kuru īstenošanas beigu termiņš iestāsies pirms Eiropas Komisijas lēmuma. </w:t>
            </w:r>
          </w:p>
          <w:p w14:paraId="03844C44" w14:textId="74A73D60" w:rsidR="00337A26" w:rsidRPr="00C245EE" w:rsidRDefault="00337A26" w:rsidP="00923417">
            <w:pPr>
              <w:jc w:val="both"/>
              <w:rPr>
                <w:color w:val="000000"/>
                <w:sz w:val="23"/>
                <w:szCs w:val="23"/>
              </w:rPr>
            </w:pPr>
            <w:r w:rsidRPr="00C245EE">
              <w:rPr>
                <w:sz w:val="23"/>
                <w:szCs w:val="23"/>
              </w:rPr>
              <w:t xml:space="preserve">Atkārtoti informējam, ka 8.1.1.specifiskā atbalsta mērķa </w:t>
            </w:r>
            <w:r w:rsidRPr="00C245EE">
              <w:rPr>
                <w:sz w:val="23"/>
                <w:szCs w:val="23"/>
              </w:rPr>
              <w:lastRenderedPageBreak/>
              <w:t>„Palielināt modernizēto STEM, tajā skaitā medicīnas un radošās industrijas, studiju programmu skaitu” un 8.1.4. specifiskā atbalsta mērķa „Uzlabot pirmā līmeņa profesionālās augstākās izglītības STEM, tajā skaitā medicīnas un radošās industrijas, studiju mācību vidi koledžās” ietvaros 2019.gadā ir paredzēta vairāku augstākās izglītības institūciju projektu īstenošanas pabeigšana, kuru īstenošana pamatota ar Izglītības un zinātnes ministrijas izveidoto komisiju saskaņotām attīstības stratēģijām, kas cita starpā paredz papildinošās darbībās, kas tiks finansētas izmantojot snieguma ietvara rezerves finansējumu.</w:t>
            </w:r>
          </w:p>
        </w:tc>
        <w:tc>
          <w:tcPr>
            <w:tcW w:w="2114" w:type="dxa"/>
            <w:vMerge/>
            <w:tcBorders>
              <w:left w:val="single" w:sz="4" w:space="0" w:color="auto"/>
              <w:bottom w:val="single" w:sz="4" w:space="0" w:color="auto"/>
            </w:tcBorders>
          </w:tcPr>
          <w:p w14:paraId="056E87FA" w14:textId="5B7FA112" w:rsidR="00337A26" w:rsidRPr="00C245EE" w:rsidRDefault="00337A26" w:rsidP="00923417">
            <w:pPr>
              <w:jc w:val="both"/>
              <w:rPr>
                <w:color w:val="000000"/>
                <w:sz w:val="23"/>
                <w:szCs w:val="23"/>
              </w:rPr>
            </w:pPr>
          </w:p>
        </w:tc>
      </w:tr>
      <w:tr w:rsidR="00337A26" w:rsidRPr="00C245EE" w14:paraId="1C82AF44" w14:textId="77777777" w:rsidTr="00152C54">
        <w:trPr>
          <w:trHeight w:val="4385"/>
        </w:trPr>
        <w:tc>
          <w:tcPr>
            <w:tcW w:w="843" w:type="dxa"/>
            <w:tcBorders>
              <w:top w:val="single" w:sz="6" w:space="0" w:color="000000"/>
              <w:left w:val="single" w:sz="6" w:space="0" w:color="000000"/>
              <w:right w:val="single" w:sz="4" w:space="0" w:color="auto"/>
            </w:tcBorders>
          </w:tcPr>
          <w:p w14:paraId="584B8B5E" w14:textId="77777777" w:rsidR="00337A26" w:rsidRPr="00C245EE" w:rsidRDefault="00337A26" w:rsidP="00923417">
            <w:pPr>
              <w:pStyle w:val="naisc"/>
              <w:numPr>
                <w:ilvl w:val="0"/>
                <w:numId w:val="36"/>
              </w:numPr>
              <w:spacing w:before="0" w:after="0"/>
              <w:rPr>
                <w:color w:val="000000"/>
                <w:sz w:val="23"/>
                <w:szCs w:val="23"/>
              </w:rPr>
            </w:pPr>
          </w:p>
        </w:tc>
        <w:tc>
          <w:tcPr>
            <w:tcW w:w="2410" w:type="dxa"/>
            <w:vMerge w:val="restart"/>
            <w:tcBorders>
              <w:top w:val="single" w:sz="4" w:space="0" w:color="auto"/>
              <w:left w:val="single" w:sz="4" w:space="0" w:color="auto"/>
              <w:right w:val="single" w:sz="4" w:space="0" w:color="auto"/>
            </w:tcBorders>
          </w:tcPr>
          <w:p w14:paraId="652E7D5F" w14:textId="397B36DF" w:rsidR="00337A26" w:rsidRPr="00C245EE" w:rsidRDefault="00337A26" w:rsidP="005542C1">
            <w:pPr>
              <w:pStyle w:val="naisc"/>
              <w:spacing w:before="0" w:after="0"/>
              <w:jc w:val="both"/>
              <w:rPr>
                <w:color w:val="000000"/>
                <w:sz w:val="23"/>
                <w:szCs w:val="23"/>
              </w:rPr>
            </w:pPr>
            <w:proofErr w:type="spellStart"/>
            <w:r w:rsidRPr="00C245EE">
              <w:rPr>
                <w:color w:val="000000"/>
                <w:sz w:val="23"/>
                <w:szCs w:val="23"/>
              </w:rPr>
              <w:t>Protokollēmuma</w:t>
            </w:r>
            <w:proofErr w:type="spellEnd"/>
            <w:r w:rsidRPr="00C245EE">
              <w:rPr>
                <w:color w:val="000000"/>
                <w:sz w:val="23"/>
                <w:szCs w:val="23"/>
              </w:rPr>
              <w:t xml:space="preserve"> 6. punkts “Lai novērstu piešķirtā valsts budžeta </w:t>
            </w:r>
            <w:proofErr w:type="spellStart"/>
            <w:r w:rsidRPr="00C245EE">
              <w:rPr>
                <w:color w:val="000000"/>
                <w:sz w:val="23"/>
                <w:szCs w:val="23"/>
              </w:rPr>
              <w:t>virssaistību</w:t>
            </w:r>
            <w:proofErr w:type="spellEnd"/>
            <w:r w:rsidRPr="00C245EE">
              <w:rPr>
                <w:color w:val="000000"/>
                <w:sz w:val="23"/>
                <w:szCs w:val="23"/>
              </w:rPr>
              <w:t xml:space="preserve"> finansējuma 66 269 088 </w:t>
            </w:r>
            <w:proofErr w:type="spellStart"/>
            <w:r w:rsidRPr="00C245EE">
              <w:rPr>
                <w:color w:val="000000"/>
                <w:sz w:val="23"/>
                <w:szCs w:val="23"/>
              </w:rPr>
              <w:t>euro</w:t>
            </w:r>
            <w:proofErr w:type="spellEnd"/>
            <w:r w:rsidRPr="00C245EE">
              <w:rPr>
                <w:color w:val="000000"/>
                <w:sz w:val="23"/>
                <w:szCs w:val="23"/>
              </w:rPr>
              <w:t xml:space="preserve"> negatīvu fiskālo ietekmi, lemjot par snieguma rezerves finansējuma izmantošanu, primāri snieguma rezerves finansējums saskaņā ar Ministru kabineta 2015. gada 10. novembra rīkojuma Nr. 709 “Par integrēto teritoriālo investīciju specifisko atbalsta mērķu finansējuma kopējo apjomu katram nacionālas nozīmes attīstības centram un kopējiem rezultatīvajiem rādītājiem nacionālas </w:t>
            </w:r>
            <w:r w:rsidRPr="00C245EE">
              <w:rPr>
                <w:color w:val="000000"/>
                <w:sz w:val="23"/>
                <w:szCs w:val="23"/>
              </w:rPr>
              <w:lastRenderedPageBreak/>
              <w:t xml:space="preserve">nozīmes attīstības centru grupai” 5. punktu un, ņemot vērā Likuma “Par vidējā termiņa budžeta ietvaru 2018., 2019. un 2020. gadam” 19. pantā noteikto, novirzāms piešķirto valsts budžeta </w:t>
            </w:r>
            <w:proofErr w:type="spellStart"/>
            <w:r w:rsidRPr="00C245EE">
              <w:rPr>
                <w:color w:val="000000"/>
                <w:sz w:val="23"/>
                <w:szCs w:val="23"/>
              </w:rPr>
              <w:t>virssaistību</w:t>
            </w:r>
            <w:proofErr w:type="spellEnd"/>
            <w:r w:rsidRPr="00C245EE">
              <w:rPr>
                <w:color w:val="000000"/>
                <w:sz w:val="23"/>
                <w:szCs w:val="23"/>
              </w:rPr>
              <w:t xml:space="preserve"> segšanai.”</w:t>
            </w:r>
          </w:p>
        </w:tc>
        <w:tc>
          <w:tcPr>
            <w:tcW w:w="3827" w:type="dxa"/>
            <w:tcBorders>
              <w:top w:val="single" w:sz="6" w:space="0" w:color="000000"/>
              <w:left w:val="single" w:sz="4" w:space="0" w:color="auto"/>
              <w:right w:val="single" w:sz="6" w:space="0" w:color="000000"/>
            </w:tcBorders>
          </w:tcPr>
          <w:p w14:paraId="626BF5A0" w14:textId="77777777" w:rsidR="00337A26" w:rsidRPr="00C245EE" w:rsidRDefault="00337A26" w:rsidP="005542C1">
            <w:pPr>
              <w:spacing w:after="120"/>
              <w:jc w:val="both"/>
              <w:rPr>
                <w:b/>
                <w:sz w:val="23"/>
                <w:szCs w:val="23"/>
              </w:rPr>
            </w:pPr>
            <w:r w:rsidRPr="00C245EE">
              <w:rPr>
                <w:b/>
                <w:sz w:val="23"/>
                <w:szCs w:val="23"/>
              </w:rPr>
              <w:lastRenderedPageBreak/>
              <w:t>Vides aizsardzības un reģionālās attīstības ministrija</w:t>
            </w:r>
          </w:p>
          <w:p w14:paraId="438C98C0" w14:textId="78E6ECFD" w:rsidR="00337A26" w:rsidRPr="00C245EE" w:rsidRDefault="00337A26" w:rsidP="005542C1">
            <w:pPr>
              <w:spacing w:after="120"/>
              <w:jc w:val="both"/>
              <w:rPr>
                <w:sz w:val="23"/>
                <w:szCs w:val="23"/>
              </w:rPr>
            </w:pPr>
            <w:r w:rsidRPr="00C245EE">
              <w:rPr>
                <w:sz w:val="23"/>
                <w:szCs w:val="23"/>
              </w:rPr>
              <w:t xml:space="preserve">Aicinām papildināt </w:t>
            </w:r>
            <w:proofErr w:type="spellStart"/>
            <w:r w:rsidRPr="00C245EE">
              <w:rPr>
                <w:sz w:val="23"/>
                <w:szCs w:val="23"/>
              </w:rPr>
              <w:t>protokollēmuma</w:t>
            </w:r>
            <w:proofErr w:type="spellEnd"/>
            <w:r w:rsidRPr="00C245EE">
              <w:rPr>
                <w:sz w:val="23"/>
                <w:szCs w:val="23"/>
              </w:rPr>
              <w:t xml:space="preserve"> projekta 6.punktā norādīto uzdevumu, paredzot, ka prioritāri snieguma rezerves finansējums ir novirzāms ne tikai piešķirto valsts budžeta </w:t>
            </w:r>
            <w:proofErr w:type="spellStart"/>
            <w:r w:rsidRPr="00C245EE">
              <w:rPr>
                <w:sz w:val="23"/>
                <w:szCs w:val="23"/>
              </w:rPr>
              <w:t>virssaistību</w:t>
            </w:r>
            <w:proofErr w:type="spellEnd"/>
            <w:r w:rsidRPr="00C245EE">
              <w:rPr>
                <w:sz w:val="23"/>
                <w:szCs w:val="23"/>
              </w:rPr>
              <w:t xml:space="preserve"> segšanai, bet arī, pozitīva Eiropas Komisijas lēmuma par snieguma rezerves izpildi gadījumā, tiem SAM, kuru ietvaros rezerves finansējuma izmantošana konkrētiem projektiem jau ir noteikta Ministru kabineta noteikumos par SAM īstenošanu</w:t>
            </w:r>
          </w:p>
        </w:tc>
        <w:tc>
          <w:tcPr>
            <w:tcW w:w="3260" w:type="dxa"/>
            <w:tcBorders>
              <w:top w:val="single" w:sz="6" w:space="0" w:color="000000"/>
              <w:left w:val="single" w:sz="6" w:space="0" w:color="000000"/>
              <w:right w:val="single" w:sz="6" w:space="0" w:color="000000"/>
            </w:tcBorders>
          </w:tcPr>
          <w:p w14:paraId="0C3AC187" w14:textId="77777777" w:rsidR="00337A26" w:rsidRPr="00C245EE" w:rsidRDefault="00337A26" w:rsidP="005542C1">
            <w:pPr>
              <w:pStyle w:val="naisc"/>
              <w:tabs>
                <w:tab w:val="left" w:pos="820"/>
              </w:tabs>
              <w:ind w:firstLine="34"/>
              <w:rPr>
                <w:b/>
                <w:color w:val="000000"/>
                <w:sz w:val="23"/>
                <w:szCs w:val="23"/>
              </w:rPr>
            </w:pPr>
            <w:r w:rsidRPr="00C245EE">
              <w:rPr>
                <w:b/>
                <w:color w:val="000000"/>
                <w:sz w:val="23"/>
                <w:szCs w:val="23"/>
              </w:rPr>
              <w:t>Nav ņemts vērā</w:t>
            </w:r>
          </w:p>
          <w:p w14:paraId="4B98EF8B" w14:textId="77777777" w:rsidR="00E25F23" w:rsidRPr="00C245EE" w:rsidRDefault="00E25F23" w:rsidP="00E25F23">
            <w:pPr>
              <w:pStyle w:val="naisc"/>
              <w:tabs>
                <w:tab w:val="left" w:pos="820"/>
              </w:tabs>
              <w:ind w:firstLine="34"/>
              <w:jc w:val="both"/>
              <w:rPr>
                <w:color w:val="000000"/>
                <w:sz w:val="23"/>
                <w:szCs w:val="23"/>
              </w:rPr>
            </w:pPr>
            <w:r w:rsidRPr="00C245EE">
              <w:rPr>
                <w:color w:val="000000"/>
                <w:sz w:val="23"/>
                <w:szCs w:val="23"/>
              </w:rPr>
              <w:t>Lūdzam skatīt izziņas II sadaļas “Jautājumi, par kuriem saskaņošanā vienošanās ir panākta” 3. punktā un  izziņas I sadaļas “Jautājumi, par kuriem saskaņošanā vienošanās nav panākta” 1. punktā sniegtos skaidrojumus.</w:t>
            </w:r>
          </w:p>
          <w:p w14:paraId="03CCE588" w14:textId="7CC5CEBC" w:rsidR="00337A26" w:rsidRPr="00C245EE" w:rsidRDefault="00337A26" w:rsidP="00923417">
            <w:pPr>
              <w:pStyle w:val="naisc"/>
              <w:tabs>
                <w:tab w:val="left" w:pos="820"/>
              </w:tabs>
              <w:ind w:firstLine="34"/>
              <w:jc w:val="left"/>
              <w:rPr>
                <w:color w:val="000000"/>
                <w:sz w:val="23"/>
                <w:szCs w:val="23"/>
              </w:rPr>
            </w:pPr>
          </w:p>
        </w:tc>
        <w:tc>
          <w:tcPr>
            <w:tcW w:w="3260" w:type="dxa"/>
            <w:tcBorders>
              <w:top w:val="single" w:sz="4" w:space="0" w:color="auto"/>
              <w:left w:val="single" w:sz="4" w:space="0" w:color="auto"/>
              <w:right w:val="single" w:sz="4" w:space="0" w:color="auto"/>
            </w:tcBorders>
          </w:tcPr>
          <w:p w14:paraId="668E3578" w14:textId="4635DB85" w:rsidR="00337A26" w:rsidRPr="00C245EE" w:rsidRDefault="00337A26" w:rsidP="005542C1">
            <w:pPr>
              <w:spacing w:after="120"/>
              <w:jc w:val="both"/>
              <w:rPr>
                <w:b/>
                <w:sz w:val="23"/>
                <w:szCs w:val="23"/>
              </w:rPr>
            </w:pPr>
            <w:r w:rsidRPr="00C245EE">
              <w:rPr>
                <w:sz w:val="23"/>
                <w:szCs w:val="23"/>
              </w:rPr>
              <w:t>N/A</w:t>
            </w:r>
          </w:p>
        </w:tc>
        <w:tc>
          <w:tcPr>
            <w:tcW w:w="2114" w:type="dxa"/>
            <w:vMerge w:val="restart"/>
            <w:tcBorders>
              <w:top w:val="single" w:sz="4" w:space="0" w:color="auto"/>
              <w:left w:val="single" w:sz="4" w:space="0" w:color="auto"/>
            </w:tcBorders>
          </w:tcPr>
          <w:p w14:paraId="28455AF1" w14:textId="77777777" w:rsidR="00694CF1" w:rsidRPr="00C245EE" w:rsidRDefault="00694CF1" w:rsidP="00694CF1">
            <w:pPr>
              <w:jc w:val="both"/>
              <w:rPr>
                <w:color w:val="000000"/>
                <w:sz w:val="23"/>
                <w:szCs w:val="23"/>
              </w:rPr>
            </w:pPr>
            <w:r w:rsidRPr="00C245EE">
              <w:rPr>
                <w:iCs/>
                <w:sz w:val="23"/>
                <w:szCs w:val="23"/>
              </w:rPr>
              <w:t xml:space="preserve">Skat. </w:t>
            </w:r>
            <w:r w:rsidRPr="00C245EE">
              <w:rPr>
                <w:color w:val="000000"/>
                <w:sz w:val="23"/>
                <w:szCs w:val="23"/>
              </w:rPr>
              <w:t xml:space="preserve">izziņas I sadaļas “Jautājumi, par kuriem saskaņošanā vienošanās nav panākta” 1. punktā </w:t>
            </w:r>
            <w:r w:rsidRPr="00C245EE">
              <w:rPr>
                <w:iCs/>
                <w:sz w:val="23"/>
                <w:szCs w:val="23"/>
              </w:rPr>
              <w:t xml:space="preserve">gala redakciju. </w:t>
            </w:r>
          </w:p>
          <w:p w14:paraId="78A63D18" w14:textId="041B5981" w:rsidR="00337A26" w:rsidRPr="00C245EE" w:rsidRDefault="00337A26" w:rsidP="005542C1">
            <w:pPr>
              <w:jc w:val="both"/>
              <w:rPr>
                <w:color w:val="000000"/>
                <w:sz w:val="23"/>
                <w:szCs w:val="23"/>
              </w:rPr>
            </w:pPr>
          </w:p>
        </w:tc>
      </w:tr>
      <w:tr w:rsidR="004C0098" w:rsidRPr="00C245EE" w14:paraId="284BE0C8" w14:textId="77777777" w:rsidTr="00923417">
        <w:tc>
          <w:tcPr>
            <w:tcW w:w="843" w:type="dxa"/>
            <w:tcBorders>
              <w:top w:val="single" w:sz="6" w:space="0" w:color="000000"/>
              <w:left w:val="single" w:sz="6" w:space="0" w:color="000000"/>
              <w:bottom w:val="single" w:sz="6" w:space="0" w:color="000000"/>
              <w:right w:val="single" w:sz="4" w:space="0" w:color="auto"/>
            </w:tcBorders>
          </w:tcPr>
          <w:p w14:paraId="646CAC30" w14:textId="77777777" w:rsidR="004C0098" w:rsidRPr="00C245EE" w:rsidRDefault="004C0098" w:rsidP="00923417">
            <w:pPr>
              <w:pStyle w:val="naisc"/>
              <w:numPr>
                <w:ilvl w:val="0"/>
                <w:numId w:val="36"/>
              </w:numPr>
              <w:spacing w:before="0" w:after="0"/>
              <w:rPr>
                <w:color w:val="000000"/>
                <w:sz w:val="23"/>
                <w:szCs w:val="23"/>
              </w:rPr>
            </w:pPr>
          </w:p>
        </w:tc>
        <w:tc>
          <w:tcPr>
            <w:tcW w:w="2410" w:type="dxa"/>
            <w:vMerge/>
            <w:tcBorders>
              <w:left w:val="single" w:sz="4" w:space="0" w:color="auto"/>
              <w:bottom w:val="single" w:sz="4" w:space="0" w:color="auto"/>
              <w:right w:val="single" w:sz="4" w:space="0" w:color="auto"/>
            </w:tcBorders>
          </w:tcPr>
          <w:p w14:paraId="38169810" w14:textId="77777777" w:rsidR="004C0098" w:rsidRPr="00C245EE" w:rsidRDefault="004C0098" w:rsidP="005542C1">
            <w:pPr>
              <w:pStyle w:val="naisc"/>
              <w:spacing w:before="0" w:after="0"/>
              <w:jc w:val="both"/>
              <w:rPr>
                <w:color w:val="000000"/>
                <w:sz w:val="23"/>
                <w:szCs w:val="23"/>
              </w:rPr>
            </w:pPr>
          </w:p>
        </w:tc>
        <w:tc>
          <w:tcPr>
            <w:tcW w:w="3827" w:type="dxa"/>
            <w:tcBorders>
              <w:top w:val="single" w:sz="6" w:space="0" w:color="000000"/>
              <w:left w:val="single" w:sz="4" w:space="0" w:color="auto"/>
              <w:bottom w:val="single" w:sz="6" w:space="0" w:color="000000"/>
              <w:right w:val="single" w:sz="6" w:space="0" w:color="000000"/>
            </w:tcBorders>
          </w:tcPr>
          <w:p w14:paraId="207262DF" w14:textId="77777777" w:rsidR="004C0098" w:rsidRPr="00C245EE" w:rsidRDefault="004C0098" w:rsidP="005542C1">
            <w:pPr>
              <w:spacing w:after="120"/>
              <w:jc w:val="both"/>
              <w:rPr>
                <w:b/>
                <w:sz w:val="23"/>
                <w:szCs w:val="23"/>
              </w:rPr>
            </w:pPr>
            <w:r w:rsidRPr="00C245EE">
              <w:rPr>
                <w:b/>
                <w:sz w:val="23"/>
                <w:szCs w:val="23"/>
              </w:rPr>
              <w:t>Izglītības un zinātnes ministrija</w:t>
            </w:r>
          </w:p>
          <w:p w14:paraId="5F47C30D" w14:textId="77777777" w:rsidR="004C0098" w:rsidRPr="00C245EE" w:rsidRDefault="004C0098" w:rsidP="005542C1">
            <w:pPr>
              <w:widowControl w:val="0"/>
              <w:spacing w:after="60"/>
              <w:jc w:val="both"/>
              <w:rPr>
                <w:sz w:val="23"/>
                <w:szCs w:val="23"/>
              </w:rPr>
            </w:pPr>
            <w:r w:rsidRPr="00C245EE">
              <w:rPr>
                <w:sz w:val="23"/>
                <w:szCs w:val="23"/>
              </w:rPr>
              <w:t xml:space="preserve">Aicinām svītrot informatīvā ziņojuma </w:t>
            </w:r>
            <w:proofErr w:type="spellStart"/>
            <w:r w:rsidRPr="00C245EE">
              <w:rPr>
                <w:sz w:val="23"/>
                <w:szCs w:val="23"/>
              </w:rPr>
              <w:t>protokollēmuma</w:t>
            </w:r>
            <w:proofErr w:type="spellEnd"/>
            <w:r w:rsidRPr="00C245EE">
              <w:rPr>
                <w:sz w:val="23"/>
                <w:szCs w:val="23"/>
              </w:rPr>
              <w:t xml:space="preserve"> projekta 6.punktu, ievērojot, ka tas ir pretrunā līdzšinējiem pieņemtajiem lēmumiem par snieguma ietvara rezerves izmantošanu. Saskaņā ar Ministru kabineta 2015.gada 10.novembra rīkojumu Nr.709 „Par </w:t>
            </w:r>
            <w:r w:rsidRPr="00C245EE">
              <w:rPr>
                <w:sz w:val="23"/>
                <w:szCs w:val="23"/>
              </w:rPr>
              <w:lastRenderedPageBreak/>
              <w:t xml:space="preserve">integrēto teritoriālo investīciju specifisko atbalsta mērķu finansējuma kopējo apjomu katram nacionālas nozīmes attīstības centram un kopējiem rezultatīvajiem rādītājiem nacionālas nozīmes attīstības centru grupai” 8.1.2.specifiskajam atbalsta mērķa „Uzlabot vispārējās izglītības iestāžu mācību vidi” pirmajai atlases kārtai tika noteikts </w:t>
            </w:r>
            <w:proofErr w:type="spellStart"/>
            <w:r w:rsidRPr="00C245EE">
              <w:rPr>
                <w:sz w:val="23"/>
                <w:szCs w:val="23"/>
              </w:rPr>
              <w:t>virssaistības</w:t>
            </w:r>
            <w:proofErr w:type="spellEnd"/>
            <w:r w:rsidRPr="00C245EE">
              <w:rPr>
                <w:sz w:val="23"/>
                <w:szCs w:val="23"/>
              </w:rPr>
              <w:t xml:space="preserve"> 4 095 434 </w:t>
            </w:r>
            <w:proofErr w:type="spellStart"/>
            <w:r w:rsidRPr="00C245EE">
              <w:rPr>
                <w:i/>
                <w:sz w:val="23"/>
                <w:szCs w:val="23"/>
              </w:rPr>
              <w:t>euro</w:t>
            </w:r>
            <w:proofErr w:type="spellEnd"/>
            <w:r w:rsidRPr="00C245EE">
              <w:rPr>
                <w:sz w:val="23"/>
                <w:szCs w:val="23"/>
              </w:rPr>
              <w:t xml:space="preserve"> apmērā, attiecīgi proporcionāli palielinot finansējuma saņēmējiem sasniedzamo iznākumu rādītāju vērtības. Minētā rīkojuma anotācijā minēts, ka, lai nodrošinātu </w:t>
            </w:r>
            <w:proofErr w:type="spellStart"/>
            <w:r w:rsidRPr="00C245EE">
              <w:rPr>
                <w:sz w:val="23"/>
                <w:szCs w:val="23"/>
              </w:rPr>
              <w:t>virssaistību</w:t>
            </w:r>
            <w:proofErr w:type="spellEnd"/>
            <w:r w:rsidRPr="00C245EE">
              <w:rPr>
                <w:sz w:val="23"/>
                <w:szCs w:val="23"/>
              </w:rPr>
              <w:t xml:space="preserve"> neitrālu ietekmi uz valsts budžeta fiskālo telpu, </w:t>
            </w:r>
            <w:r w:rsidRPr="00C245EE">
              <w:rPr>
                <w:sz w:val="23"/>
                <w:szCs w:val="23"/>
                <w:u w:val="single"/>
              </w:rPr>
              <w:t xml:space="preserve">prioritāri </w:t>
            </w:r>
            <w:proofErr w:type="spellStart"/>
            <w:r w:rsidRPr="00C245EE">
              <w:rPr>
                <w:sz w:val="23"/>
                <w:szCs w:val="23"/>
                <w:u w:val="single"/>
              </w:rPr>
              <w:t>virssaistību</w:t>
            </w:r>
            <w:proofErr w:type="spellEnd"/>
            <w:r w:rsidRPr="00C245EE">
              <w:rPr>
                <w:sz w:val="23"/>
                <w:szCs w:val="23"/>
                <w:u w:val="single"/>
              </w:rPr>
              <w:t xml:space="preserve"> dzēšana tiek veikta Eiropas Savienības fondu pārdales ietvaros</w:t>
            </w:r>
            <w:r w:rsidRPr="00C245EE">
              <w:rPr>
                <w:sz w:val="23"/>
                <w:szCs w:val="23"/>
              </w:rPr>
              <w:t xml:space="preserve">. </w:t>
            </w:r>
          </w:p>
          <w:p w14:paraId="55D4637F" w14:textId="5F12B2D8" w:rsidR="004C0098" w:rsidRPr="00C245EE" w:rsidRDefault="004C0098" w:rsidP="005542C1">
            <w:pPr>
              <w:spacing w:after="120"/>
              <w:jc w:val="both"/>
              <w:rPr>
                <w:b/>
                <w:sz w:val="23"/>
                <w:szCs w:val="23"/>
              </w:rPr>
            </w:pPr>
            <w:r w:rsidRPr="00C245EE">
              <w:rPr>
                <w:sz w:val="23"/>
                <w:szCs w:val="23"/>
              </w:rPr>
              <w:t xml:space="preserve">Savukārt no Ministru kabineta 2016.gada 24.maija noteikumu Nr.323 „Darbības programmas „Izaugsme un nodarbinātība” 8.1.2.specifiskā atbalsta mērķa „Uzlabot vispārējās izglītības iestāžu mācību vidi” īstenošanas noteikumi” 16.punkta izriet, ka projektā snieguma ietvara rezervei noteikto finansējumu projekta iesniedzējs paredz no saviem līdzekļiem, ko pēc Eiropas Komisijas lēmuma par prioritārajam virzienam noteiktā snieguma ietvara izpildes projekta ietvaros aizstāj ar Eiropas Reģionālās attīstības fonda finansējumu. Ievērojot minēto, Izglītības un zinātnes ministrijas </w:t>
            </w:r>
            <w:r w:rsidRPr="00C245EE">
              <w:rPr>
                <w:sz w:val="23"/>
                <w:szCs w:val="23"/>
              </w:rPr>
              <w:lastRenderedPageBreak/>
              <w:t>ieskatā būtu saglabājama līdzšinēji plānotā kārtība, tādejādi nodrošinot tiesiskās paļāvības principa ievērošanu attiecībā pret Eiropas Savienības fondu finansējuma saņēmējiem.</w:t>
            </w:r>
          </w:p>
        </w:tc>
        <w:tc>
          <w:tcPr>
            <w:tcW w:w="3260" w:type="dxa"/>
            <w:tcBorders>
              <w:top w:val="single" w:sz="6" w:space="0" w:color="000000"/>
              <w:left w:val="single" w:sz="6" w:space="0" w:color="000000"/>
              <w:bottom w:val="single" w:sz="6" w:space="0" w:color="000000"/>
              <w:right w:val="single" w:sz="6" w:space="0" w:color="000000"/>
            </w:tcBorders>
          </w:tcPr>
          <w:p w14:paraId="42C035EC" w14:textId="2FC03C1B" w:rsidR="004C0098" w:rsidRPr="00C245EE" w:rsidRDefault="004C0098" w:rsidP="005542C1">
            <w:pPr>
              <w:pStyle w:val="naisc"/>
              <w:tabs>
                <w:tab w:val="left" w:pos="820"/>
              </w:tabs>
              <w:ind w:firstLine="34"/>
              <w:rPr>
                <w:b/>
                <w:color w:val="000000"/>
                <w:sz w:val="23"/>
                <w:szCs w:val="23"/>
              </w:rPr>
            </w:pPr>
            <w:r w:rsidRPr="00C245EE">
              <w:rPr>
                <w:b/>
                <w:color w:val="000000"/>
                <w:sz w:val="23"/>
                <w:szCs w:val="23"/>
              </w:rPr>
              <w:lastRenderedPageBreak/>
              <w:t>Daļēji ņemts vērā</w:t>
            </w:r>
          </w:p>
          <w:p w14:paraId="6762FCFE" w14:textId="77777777" w:rsidR="00183F3E" w:rsidRPr="00C245EE" w:rsidRDefault="00183F3E" w:rsidP="00183F3E">
            <w:pPr>
              <w:pStyle w:val="naisc"/>
              <w:tabs>
                <w:tab w:val="left" w:pos="820"/>
              </w:tabs>
              <w:ind w:firstLine="34"/>
              <w:jc w:val="both"/>
              <w:rPr>
                <w:color w:val="000000"/>
                <w:sz w:val="23"/>
                <w:szCs w:val="23"/>
              </w:rPr>
            </w:pPr>
            <w:r w:rsidRPr="00C245EE">
              <w:rPr>
                <w:color w:val="000000"/>
                <w:sz w:val="23"/>
                <w:szCs w:val="23"/>
              </w:rPr>
              <w:t xml:space="preserve">Lūdzam skatīt izziņas II sadaļas “Jautājumi, par kuriem saskaņošanā vienošanās ir panākta” 3. punktā un  izziņas I sadaļas “Jautājumi, par kuriem saskaņošanā vienošanās nav </w:t>
            </w:r>
            <w:r w:rsidRPr="00C245EE">
              <w:rPr>
                <w:color w:val="000000"/>
                <w:sz w:val="23"/>
                <w:szCs w:val="23"/>
              </w:rPr>
              <w:lastRenderedPageBreak/>
              <w:t>panākta” 1. punktā sniegtos skaidrojumus.</w:t>
            </w:r>
          </w:p>
          <w:p w14:paraId="4FF9D621" w14:textId="06C5A54C" w:rsidR="004C0098" w:rsidRPr="00C245EE" w:rsidRDefault="004C0098" w:rsidP="00923417">
            <w:pPr>
              <w:pStyle w:val="naisc"/>
              <w:tabs>
                <w:tab w:val="left" w:pos="820"/>
              </w:tabs>
              <w:ind w:firstLine="34"/>
              <w:jc w:val="both"/>
              <w:rPr>
                <w:b/>
                <w:color w:val="000000"/>
                <w:sz w:val="23"/>
                <w:szCs w:val="23"/>
              </w:rPr>
            </w:pPr>
          </w:p>
        </w:tc>
        <w:tc>
          <w:tcPr>
            <w:tcW w:w="3260" w:type="dxa"/>
            <w:tcBorders>
              <w:top w:val="single" w:sz="4" w:space="0" w:color="auto"/>
              <w:left w:val="single" w:sz="4" w:space="0" w:color="auto"/>
              <w:bottom w:val="single" w:sz="4" w:space="0" w:color="auto"/>
              <w:right w:val="single" w:sz="4" w:space="0" w:color="auto"/>
            </w:tcBorders>
          </w:tcPr>
          <w:p w14:paraId="40913E03" w14:textId="77777777" w:rsidR="004C0098" w:rsidRPr="00C245EE" w:rsidRDefault="004C0098" w:rsidP="005542C1">
            <w:pPr>
              <w:spacing w:after="120"/>
              <w:jc w:val="both"/>
              <w:rPr>
                <w:b/>
                <w:sz w:val="23"/>
                <w:szCs w:val="23"/>
              </w:rPr>
            </w:pPr>
            <w:r w:rsidRPr="00C245EE">
              <w:rPr>
                <w:b/>
                <w:sz w:val="23"/>
                <w:szCs w:val="23"/>
              </w:rPr>
              <w:lastRenderedPageBreak/>
              <w:t>Izglītības un zinātnes ministrijas saņemtais iebildums 25.02.2019</w:t>
            </w:r>
          </w:p>
          <w:p w14:paraId="3E988568" w14:textId="1F04CCA3" w:rsidR="004C0098" w:rsidRPr="00C245EE" w:rsidRDefault="004C0098" w:rsidP="005542C1">
            <w:pPr>
              <w:spacing w:after="120"/>
              <w:jc w:val="both"/>
              <w:rPr>
                <w:sz w:val="23"/>
                <w:szCs w:val="23"/>
              </w:rPr>
            </w:pPr>
            <w:r w:rsidRPr="00C245EE">
              <w:rPr>
                <w:sz w:val="23"/>
                <w:szCs w:val="23"/>
              </w:rPr>
              <w:t xml:space="preserve">Lai nodrošinātu tiesisko noteiktību, aicinām precizēt informatīvā ziņojuma </w:t>
            </w:r>
            <w:proofErr w:type="spellStart"/>
            <w:r w:rsidRPr="00C245EE">
              <w:rPr>
                <w:sz w:val="23"/>
                <w:szCs w:val="23"/>
              </w:rPr>
              <w:t>protokollēmuma</w:t>
            </w:r>
            <w:proofErr w:type="spellEnd"/>
            <w:r w:rsidRPr="00C245EE">
              <w:rPr>
                <w:sz w:val="23"/>
                <w:szCs w:val="23"/>
              </w:rPr>
              <w:t xml:space="preserve"> 6.punktu, to papildinot atbilstoši ierakstiem </w:t>
            </w:r>
            <w:r w:rsidRPr="00C245EE">
              <w:rPr>
                <w:sz w:val="23"/>
                <w:szCs w:val="23"/>
              </w:rPr>
              <w:lastRenderedPageBreak/>
              <w:t xml:space="preserve">informatīvā ziņojuma 4.sadaļā „2014. - 2020. gada plānošanas perioda ES fondu investīciju aktualitātes”, ka primāri snieguma ietvara rezerves finansējums novirzāms ne tikai valsts budžeta </w:t>
            </w:r>
            <w:proofErr w:type="spellStart"/>
            <w:r w:rsidRPr="00C245EE">
              <w:rPr>
                <w:sz w:val="23"/>
                <w:szCs w:val="23"/>
              </w:rPr>
              <w:t>virssaistību</w:t>
            </w:r>
            <w:proofErr w:type="spellEnd"/>
            <w:r w:rsidRPr="00C245EE">
              <w:rPr>
                <w:sz w:val="23"/>
                <w:szCs w:val="23"/>
              </w:rPr>
              <w:t xml:space="preserve"> segšanai, bet arī specifiskā atbalsta mērķiem un pasākumiem par kuru īstenošanu jau ir pieņemti atbilstoši Ministru kabineta lēmumi, un specifiskā atbalsta mērķiem un pasākumiem kuros snieguma ietvara rezerves finansējums jau ir </w:t>
            </w:r>
            <w:proofErr w:type="spellStart"/>
            <w:r w:rsidRPr="00C245EE">
              <w:rPr>
                <w:sz w:val="23"/>
                <w:szCs w:val="23"/>
              </w:rPr>
              <w:t>priekšfinansēts</w:t>
            </w:r>
            <w:proofErr w:type="spellEnd"/>
            <w:r w:rsidRPr="00C245EE">
              <w:rPr>
                <w:sz w:val="23"/>
                <w:szCs w:val="23"/>
              </w:rPr>
              <w:t xml:space="preserve"> (piemēram, no finansējuma saņēmēja budžeta līdzekļiem)</w:t>
            </w:r>
          </w:p>
        </w:tc>
        <w:tc>
          <w:tcPr>
            <w:tcW w:w="2114" w:type="dxa"/>
            <w:vMerge/>
            <w:tcBorders>
              <w:left w:val="single" w:sz="4" w:space="0" w:color="auto"/>
              <w:bottom w:val="single" w:sz="4" w:space="0" w:color="auto"/>
            </w:tcBorders>
          </w:tcPr>
          <w:p w14:paraId="7C42C350" w14:textId="77777777" w:rsidR="004C0098" w:rsidRPr="00C245EE" w:rsidRDefault="004C0098" w:rsidP="005542C1">
            <w:pPr>
              <w:pStyle w:val="Default"/>
              <w:jc w:val="both"/>
              <w:rPr>
                <w:sz w:val="23"/>
                <w:szCs w:val="23"/>
              </w:rPr>
            </w:pPr>
          </w:p>
        </w:tc>
      </w:tr>
      <w:tr w:rsidR="00D90991" w:rsidRPr="00C245EE" w14:paraId="2CDC9EBD" w14:textId="77777777" w:rsidTr="008C472C">
        <w:tc>
          <w:tcPr>
            <w:tcW w:w="843" w:type="dxa"/>
            <w:tcBorders>
              <w:top w:val="single" w:sz="6" w:space="0" w:color="000000"/>
              <w:left w:val="single" w:sz="6" w:space="0" w:color="000000"/>
              <w:bottom w:val="single" w:sz="6" w:space="0" w:color="000000"/>
              <w:right w:val="single" w:sz="4" w:space="0" w:color="auto"/>
            </w:tcBorders>
          </w:tcPr>
          <w:p w14:paraId="31332446" w14:textId="77777777" w:rsidR="00D90991" w:rsidRPr="00C245EE" w:rsidRDefault="00D90991" w:rsidP="00923417">
            <w:pPr>
              <w:pStyle w:val="naisc"/>
              <w:numPr>
                <w:ilvl w:val="0"/>
                <w:numId w:val="36"/>
              </w:numPr>
              <w:spacing w:before="0" w:after="0"/>
              <w:rPr>
                <w:color w:val="000000"/>
                <w:sz w:val="23"/>
                <w:szCs w:val="23"/>
              </w:rPr>
            </w:pPr>
          </w:p>
        </w:tc>
        <w:tc>
          <w:tcPr>
            <w:tcW w:w="2410" w:type="dxa"/>
            <w:vMerge w:val="restart"/>
            <w:tcBorders>
              <w:top w:val="single" w:sz="4" w:space="0" w:color="auto"/>
              <w:left w:val="single" w:sz="4" w:space="0" w:color="auto"/>
              <w:right w:val="single" w:sz="4" w:space="0" w:color="auto"/>
            </w:tcBorders>
          </w:tcPr>
          <w:p w14:paraId="12036295" w14:textId="3ACECCCB" w:rsidR="00D90991" w:rsidRPr="00C245EE" w:rsidRDefault="00D90991" w:rsidP="005542C1">
            <w:pPr>
              <w:pStyle w:val="naisc"/>
              <w:spacing w:before="0" w:after="0"/>
              <w:jc w:val="both"/>
              <w:rPr>
                <w:color w:val="000000"/>
                <w:sz w:val="23"/>
                <w:szCs w:val="23"/>
              </w:rPr>
            </w:pPr>
            <w:r w:rsidRPr="00C245EE">
              <w:rPr>
                <w:rFonts w:eastAsiaTheme="minorHAnsi"/>
                <w:sz w:val="23"/>
                <w:szCs w:val="23"/>
              </w:rPr>
              <w:t>Informatīvā ziņojuma 4. sadaļa</w:t>
            </w:r>
          </w:p>
        </w:tc>
        <w:tc>
          <w:tcPr>
            <w:tcW w:w="3827" w:type="dxa"/>
            <w:tcBorders>
              <w:top w:val="single" w:sz="6" w:space="0" w:color="000000"/>
              <w:left w:val="single" w:sz="4" w:space="0" w:color="auto"/>
              <w:bottom w:val="single" w:sz="6" w:space="0" w:color="000000"/>
              <w:right w:val="single" w:sz="6" w:space="0" w:color="000000"/>
            </w:tcBorders>
          </w:tcPr>
          <w:p w14:paraId="39FA5B6D" w14:textId="77777777" w:rsidR="00D90991" w:rsidRPr="00C245EE" w:rsidRDefault="00D90991" w:rsidP="00FE3C3B">
            <w:pPr>
              <w:spacing w:after="120"/>
              <w:jc w:val="both"/>
              <w:rPr>
                <w:b/>
                <w:sz w:val="23"/>
                <w:szCs w:val="23"/>
              </w:rPr>
            </w:pPr>
            <w:r w:rsidRPr="00C245EE">
              <w:rPr>
                <w:b/>
                <w:sz w:val="23"/>
                <w:szCs w:val="23"/>
              </w:rPr>
              <w:t>Labklājības ministrija</w:t>
            </w:r>
          </w:p>
          <w:p w14:paraId="549224F6" w14:textId="77777777" w:rsidR="00D90991" w:rsidRPr="00C245EE" w:rsidRDefault="00D90991" w:rsidP="00FE3C3B">
            <w:pPr>
              <w:widowControl w:val="0"/>
              <w:jc w:val="both"/>
              <w:rPr>
                <w:sz w:val="23"/>
                <w:szCs w:val="23"/>
              </w:rPr>
            </w:pPr>
            <w:r w:rsidRPr="00C245EE">
              <w:rPr>
                <w:sz w:val="23"/>
                <w:szCs w:val="23"/>
              </w:rPr>
              <w:t xml:space="preserve">Lūdzam precizēt informatīvā ziņojuma 4.sadaļu “2014.-2020.gada plānošanas perioda ES fondu investīciju aktualitātes”, kā arī tam pievienotā </w:t>
            </w:r>
            <w:proofErr w:type="spellStart"/>
            <w:r w:rsidRPr="00C245EE">
              <w:rPr>
                <w:sz w:val="23"/>
                <w:szCs w:val="23"/>
              </w:rPr>
              <w:t>protokollēmuma</w:t>
            </w:r>
            <w:proofErr w:type="spellEnd"/>
            <w:r w:rsidRPr="00C245EE">
              <w:rPr>
                <w:sz w:val="23"/>
                <w:szCs w:val="23"/>
              </w:rPr>
              <w:t xml:space="preserve"> projekta 4. un 5.punktu, paredzot:</w:t>
            </w:r>
          </w:p>
          <w:p w14:paraId="05A0CC56" w14:textId="096F8DEA" w:rsidR="00D90991" w:rsidRPr="00C245EE" w:rsidRDefault="00D90991" w:rsidP="00923417">
            <w:pPr>
              <w:widowControl w:val="0"/>
              <w:jc w:val="both"/>
              <w:rPr>
                <w:sz w:val="23"/>
                <w:szCs w:val="23"/>
              </w:rPr>
            </w:pPr>
            <w:r w:rsidRPr="00C245EE">
              <w:rPr>
                <w:sz w:val="23"/>
                <w:szCs w:val="23"/>
              </w:rPr>
              <w:t>a. atļaut LM snieguma rezerves Eiropas Sociālā fonda finansējuma ātrāku izmantošanu pirms Eiropas Komisijas lēmuma arī 9.prioritārā virziena “Sociālā iekļaušana un nabadzības apkarošana” ietvaros pie nosacījuma, ja tiek izpildīti visi snieguma ietvara nosacījumi līdz š.g. marta sestajai darba dienai (proti, ja apstiprinot līdz š.g. 15.janvārim iesniegtos maksājumu pieprasījumus, tiek izpildīts LM noteiktais iznākuma i.9.2.2.a.rādītājs “personu ar garīga rakstura traucējumiem skaits, kuras saņem Eiropas Sociālā fonda atbalstītos sociālās aprūpes pakalpojumus dzīvesvietā (arī sociālās rehabilitācijas pakalpojumus) – 210”);</w:t>
            </w:r>
          </w:p>
          <w:p w14:paraId="26E996BE" w14:textId="3E1DA7C0" w:rsidR="00D90991" w:rsidRPr="00C245EE" w:rsidRDefault="00D90991" w:rsidP="00FE3C3B">
            <w:pPr>
              <w:spacing w:after="120"/>
              <w:jc w:val="both"/>
              <w:rPr>
                <w:b/>
                <w:sz w:val="23"/>
                <w:szCs w:val="23"/>
              </w:rPr>
            </w:pPr>
            <w:r w:rsidRPr="00C245EE">
              <w:rPr>
                <w:sz w:val="23"/>
                <w:szCs w:val="23"/>
              </w:rPr>
              <w:t xml:space="preserve">b. ka noteiktā kārtībā Ministru kabinetā ar Finanšu ministriju saskaņoti priekšlikumi par prioritāro virzienu attiecīgo fondu snieguma rezerves finansējuma izmantošanu ir jāiesniedz </w:t>
            </w:r>
            <w:r w:rsidRPr="00C245EE">
              <w:rPr>
                <w:sz w:val="23"/>
                <w:szCs w:val="23"/>
              </w:rPr>
              <w:lastRenderedPageBreak/>
              <w:t>tikai gadījumos, kad par to izmantošanu nav iepriekš pieņemts atbilstošs lēmums Ministru kabinetā (vēlamies vērst uzmanību, ka LM gadījumā šāds lēmums ir jau pieņemts, apstiprinot MK noteikumus par tās pārziņas specifisko atbalsta mērķu/pasākumu īstenošanu un paredzot kopējo pieejamo finansējumu un sasniedzamos uzraudzības rādītājus līdz 2023.gada 31.decembrim);</w:t>
            </w:r>
          </w:p>
        </w:tc>
        <w:tc>
          <w:tcPr>
            <w:tcW w:w="3260" w:type="dxa"/>
            <w:tcBorders>
              <w:top w:val="single" w:sz="6" w:space="0" w:color="000000"/>
              <w:left w:val="single" w:sz="6" w:space="0" w:color="000000"/>
              <w:bottom w:val="single" w:sz="6" w:space="0" w:color="000000"/>
              <w:right w:val="single" w:sz="6" w:space="0" w:color="000000"/>
            </w:tcBorders>
          </w:tcPr>
          <w:p w14:paraId="7AD3B9BB" w14:textId="77777777" w:rsidR="00D90991" w:rsidRPr="00C245EE" w:rsidRDefault="00D90991" w:rsidP="00FE3C3B">
            <w:pPr>
              <w:pStyle w:val="naisc"/>
              <w:tabs>
                <w:tab w:val="left" w:pos="820"/>
              </w:tabs>
              <w:ind w:firstLine="34"/>
              <w:rPr>
                <w:b/>
                <w:color w:val="000000"/>
                <w:sz w:val="23"/>
                <w:szCs w:val="23"/>
              </w:rPr>
            </w:pPr>
            <w:r w:rsidRPr="00C245EE">
              <w:rPr>
                <w:b/>
                <w:color w:val="000000"/>
                <w:sz w:val="23"/>
                <w:szCs w:val="23"/>
              </w:rPr>
              <w:lastRenderedPageBreak/>
              <w:t>Daļēji ņemts vērā</w:t>
            </w:r>
          </w:p>
          <w:p w14:paraId="29A90820" w14:textId="77777777" w:rsidR="00183F3E" w:rsidRPr="00C245EE" w:rsidRDefault="00183F3E" w:rsidP="00183F3E">
            <w:pPr>
              <w:pStyle w:val="naisc"/>
              <w:tabs>
                <w:tab w:val="left" w:pos="820"/>
              </w:tabs>
              <w:ind w:firstLine="34"/>
              <w:jc w:val="both"/>
              <w:rPr>
                <w:color w:val="000000"/>
                <w:sz w:val="23"/>
                <w:szCs w:val="23"/>
              </w:rPr>
            </w:pPr>
            <w:r w:rsidRPr="00C245EE">
              <w:rPr>
                <w:color w:val="000000"/>
                <w:sz w:val="23"/>
                <w:szCs w:val="23"/>
              </w:rPr>
              <w:t>Lūdzam skatīt izziņas II sadaļas “Jautājumi, par kuriem saskaņošanā vienošanās ir panākta” 3. punktā un  izziņas I sadaļas “Jautājumi, par kuriem saskaņošanā vienošanās nav panākta” 1. punktā sniegtos skaidrojumus.</w:t>
            </w:r>
          </w:p>
          <w:p w14:paraId="6A48BBBB" w14:textId="5FA3CAD4" w:rsidR="00D90991" w:rsidRPr="00C245EE" w:rsidRDefault="00D90991" w:rsidP="00923417">
            <w:pPr>
              <w:pStyle w:val="naisc"/>
              <w:tabs>
                <w:tab w:val="left" w:pos="820"/>
              </w:tabs>
              <w:ind w:firstLine="34"/>
              <w:jc w:val="both"/>
              <w:rPr>
                <w:color w:val="000000"/>
                <w:sz w:val="23"/>
                <w:szCs w:val="23"/>
              </w:rPr>
            </w:pPr>
          </w:p>
        </w:tc>
        <w:tc>
          <w:tcPr>
            <w:tcW w:w="3260" w:type="dxa"/>
            <w:tcBorders>
              <w:top w:val="single" w:sz="4" w:space="0" w:color="auto"/>
              <w:left w:val="single" w:sz="4" w:space="0" w:color="auto"/>
              <w:bottom w:val="single" w:sz="4" w:space="0" w:color="auto"/>
              <w:right w:val="single" w:sz="4" w:space="0" w:color="auto"/>
            </w:tcBorders>
          </w:tcPr>
          <w:p w14:paraId="0356E46E" w14:textId="08375A2A" w:rsidR="00D90991" w:rsidRPr="00C245EE" w:rsidRDefault="00D90991" w:rsidP="005542C1">
            <w:pPr>
              <w:spacing w:after="120"/>
              <w:jc w:val="both"/>
              <w:rPr>
                <w:b/>
                <w:sz w:val="23"/>
                <w:szCs w:val="23"/>
              </w:rPr>
            </w:pPr>
            <w:r w:rsidRPr="00C245EE">
              <w:rPr>
                <w:sz w:val="23"/>
                <w:szCs w:val="23"/>
              </w:rPr>
              <w:t>N/A</w:t>
            </w:r>
          </w:p>
        </w:tc>
        <w:tc>
          <w:tcPr>
            <w:tcW w:w="2114" w:type="dxa"/>
            <w:tcBorders>
              <w:top w:val="single" w:sz="4" w:space="0" w:color="auto"/>
              <w:left w:val="single" w:sz="4" w:space="0" w:color="auto"/>
              <w:bottom w:val="single" w:sz="4" w:space="0" w:color="auto"/>
            </w:tcBorders>
          </w:tcPr>
          <w:p w14:paraId="6F1340A3" w14:textId="77777777" w:rsidR="00694CF1" w:rsidRPr="00C245EE" w:rsidRDefault="00694CF1" w:rsidP="00694CF1">
            <w:pPr>
              <w:jc w:val="both"/>
              <w:rPr>
                <w:color w:val="000000"/>
                <w:sz w:val="23"/>
                <w:szCs w:val="23"/>
              </w:rPr>
            </w:pPr>
            <w:r w:rsidRPr="00C245EE">
              <w:rPr>
                <w:iCs/>
                <w:sz w:val="23"/>
                <w:szCs w:val="23"/>
              </w:rPr>
              <w:t xml:space="preserve">Skat. </w:t>
            </w:r>
            <w:r w:rsidRPr="00C245EE">
              <w:rPr>
                <w:color w:val="000000"/>
                <w:sz w:val="23"/>
                <w:szCs w:val="23"/>
              </w:rPr>
              <w:t xml:space="preserve">izziņas I sadaļas “Jautājumi, par kuriem saskaņošanā vienošanās nav panākta” 1. punktā </w:t>
            </w:r>
            <w:r w:rsidRPr="00C245EE">
              <w:rPr>
                <w:iCs/>
                <w:sz w:val="23"/>
                <w:szCs w:val="23"/>
              </w:rPr>
              <w:t xml:space="preserve">gala redakciju. </w:t>
            </w:r>
          </w:p>
          <w:p w14:paraId="37860E3A" w14:textId="04208822" w:rsidR="00D90991" w:rsidRPr="00C245EE" w:rsidRDefault="00D90991" w:rsidP="00FE3C3B">
            <w:pPr>
              <w:pStyle w:val="Default"/>
              <w:jc w:val="both"/>
              <w:rPr>
                <w:sz w:val="23"/>
                <w:szCs w:val="23"/>
              </w:rPr>
            </w:pPr>
          </w:p>
        </w:tc>
      </w:tr>
      <w:tr w:rsidR="00D90991" w:rsidRPr="00C245EE" w14:paraId="297B1305" w14:textId="77777777" w:rsidTr="008C472C">
        <w:tc>
          <w:tcPr>
            <w:tcW w:w="843" w:type="dxa"/>
            <w:tcBorders>
              <w:top w:val="single" w:sz="6" w:space="0" w:color="000000"/>
              <w:left w:val="single" w:sz="6" w:space="0" w:color="000000"/>
              <w:bottom w:val="single" w:sz="6" w:space="0" w:color="000000"/>
              <w:right w:val="single" w:sz="4" w:space="0" w:color="auto"/>
            </w:tcBorders>
          </w:tcPr>
          <w:p w14:paraId="6E2E0AA0" w14:textId="77777777" w:rsidR="00D90991" w:rsidRPr="00C245EE" w:rsidRDefault="00D90991" w:rsidP="00923417">
            <w:pPr>
              <w:pStyle w:val="naisc"/>
              <w:numPr>
                <w:ilvl w:val="0"/>
                <w:numId w:val="36"/>
              </w:numPr>
              <w:spacing w:before="0" w:after="0"/>
              <w:rPr>
                <w:color w:val="000000"/>
                <w:sz w:val="23"/>
                <w:szCs w:val="23"/>
              </w:rPr>
            </w:pPr>
          </w:p>
        </w:tc>
        <w:tc>
          <w:tcPr>
            <w:tcW w:w="2410" w:type="dxa"/>
            <w:vMerge/>
            <w:tcBorders>
              <w:left w:val="single" w:sz="4" w:space="0" w:color="auto"/>
              <w:right w:val="single" w:sz="4" w:space="0" w:color="auto"/>
            </w:tcBorders>
          </w:tcPr>
          <w:p w14:paraId="775A7EF4" w14:textId="77777777" w:rsidR="00D90991" w:rsidRPr="00C245EE" w:rsidRDefault="00D90991" w:rsidP="005542C1">
            <w:pPr>
              <w:pStyle w:val="naisc"/>
              <w:spacing w:before="0" w:after="0"/>
              <w:jc w:val="both"/>
              <w:rPr>
                <w:rFonts w:eastAsiaTheme="minorHAnsi"/>
                <w:sz w:val="23"/>
                <w:szCs w:val="23"/>
              </w:rPr>
            </w:pPr>
          </w:p>
        </w:tc>
        <w:tc>
          <w:tcPr>
            <w:tcW w:w="3827" w:type="dxa"/>
            <w:tcBorders>
              <w:top w:val="single" w:sz="6" w:space="0" w:color="000000"/>
              <w:left w:val="single" w:sz="4" w:space="0" w:color="auto"/>
              <w:bottom w:val="single" w:sz="6" w:space="0" w:color="000000"/>
              <w:right w:val="single" w:sz="6" w:space="0" w:color="000000"/>
            </w:tcBorders>
          </w:tcPr>
          <w:p w14:paraId="3747AEB5" w14:textId="77777777" w:rsidR="00D90991" w:rsidRPr="00C245EE" w:rsidRDefault="00D90991" w:rsidP="00FE3C3B">
            <w:pPr>
              <w:spacing w:after="120"/>
              <w:jc w:val="both"/>
              <w:rPr>
                <w:b/>
                <w:sz w:val="23"/>
                <w:szCs w:val="23"/>
              </w:rPr>
            </w:pPr>
            <w:r w:rsidRPr="00C245EE">
              <w:rPr>
                <w:b/>
                <w:sz w:val="23"/>
                <w:szCs w:val="23"/>
              </w:rPr>
              <w:t>Satiksmes ministrija</w:t>
            </w:r>
          </w:p>
          <w:p w14:paraId="65C546F5" w14:textId="22AA114D" w:rsidR="00D90991" w:rsidRPr="00C245EE" w:rsidRDefault="00D90991" w:rsidP="00FE3C3B">
            <w:pPr>
              <w:spacing w:after="120"/>
              <w:jc w:val="both"/>
              <w:rPr>
                <w:sz w:val="23"/>
                <w:szCs w:val="23"/>
              </w:rPr>
            </w:pPr>
            <w:r w:rsidRPr="00C245EE">
              <w:rPr>
                <w:sz w:val="23"/>
                <w:szCs w:val="23"/>
              </w:rPr>
              <w:t xml:space="preserve">Informatīvā ziņojuma projekta 4.sadaļas “2014.-2020.gada plānošanas perioda ES fondu investīciju aktualitātes” </w:t>
            </w:r>
            <w:proofErr w:type="spellStart"/>
            <w:r w:rsidRPr="00C245EE">
              <w:rPr>
                <w:sz w:val="23"/>
                <w:szCs w:val="23"/>
              </w:rPr>
              <w:t>apakšsadaļas</w:t>
            </w:r>
            <w:proofErr w:type="spellEnd"/>
            <w:r w:rsidRPr="00C245EE">
              <w:rPr>
                <w:sz w:val="23"/>
                <w:szCs w:val="23"/>
              </w:rPr>
              <w:t xml:space="preserve"> “Maksājumu plānu un valsts budžeta ES fondu projektiem izpilde” un </w:t>
            </w:r>
            <w:proofErr w:type="spellStart"/>
            <w:r w:rsidRPr="00C245EE">
              <w:rPr>
                <w:sz w:val="23"/>
                <w:szCs w:val="23"/>
              </w:rPr>
              <w:t>protokollēmuma</w:t>
            </w:r>
            <w:proofErr w:type="spellEnd"/>
            <w:r w:rsidRPr="00C245EE">
              <w:rPr>
                <w:sz w:val="23"/>
                <w:szCs w:val="23"/>
              </w:rPr>
              <w:t xml:space="preserve"> projekta 7.punktā noteikts, ka, lemjot par snieguma rezerves piešķiršanu, primāri snieguma rezerves finansējums novirzāms piešķirto valsts budžeta </w:t>
            </w:r>
            <w:proofErr w:type="spellStart"/>
            <w:r w:rsidRPr="00C245EE">
              <w:rPr>
                <w:sz w:val="23"/>
                <w:szCs w:val="23"/>
              </w:rPr>
              <w:t>virssaistību</w:t>
            </w:r>
            <w:proofErr w:type="spellEnd"/>
            <w:r w:rsidRPr="00C245EE">
              <w:rPr>
                <w:sz w:val="23"/>
                <w:szCs w:val="23"/>
              </w:rPr>
              <w:t xml:space="preserve"> segšanai. Vēršam uzmanību,  ka atbilstoši Regulas Nr.1303/2013   22.panta 3.punktam izpildes rezervi piešķir tikai tām programmām un prioritātēm, kurās ir sasniegti starpposma mērķi. Ja prioritātes starpposma mērķi ir sasniegti, uzskata, ka prioritātei noteiktā izpildes rezerves summa ir neatgriezeniski piešķirta. Turklāt, Satiksmes ministrija, nodrošinot prioritārā virziena “Ilgtspējīga transporta sistēma” </w:t>
            </w:r>
            <w:r w:rsidRPr="00C245EE">
              <w:rPr>
                <w:sz w:val="23"/>
                <w:szCs w:val="23"/>
              </w:rPr>
              <w:lastRenderedPageBreak/>
              <w:t xml:space="preserve">snieguma ietvara finanšu mērķa izpildi, ir rēķinājusies ar nozarei pieejamo snieguma rezerves finansējuma apjomu, ko apliecina arī Ministru kabineta 2017.gada 6.jūnija sēdes protokola Nr.29 42.§ 2.punktā noteiktais, proti, Eiropas Savienības fondu 2014.-2020.gada darbības programmas “Izaugsme un nodarbinātība”  </w:t>
            </w:r>
            <w:proofErr w:type="spellStart"/>
            <w:r w:rsidRPr="00C245EE">
              <w:rPr>
                <w:sz w:val="23"/>
                <w:szCs w:val="23"/>
              </w:rPr>
              <w:t>vidusposma</w:t>
            </w:r>
            <w:proofErr w:type="spellEnd"/>
            <w:r w:rsidRPr="00C245EE">
              <w:rPr>
                <w:sz w:val="23"/>
                <w:szCs w:val="23"/>
              </w:rPr>
              <w:t xml:space="preserve"> </w:t>
            </w:r>
            <w:proofErr w:type="spellStart"/>
            <w:r w:rsidRPr="00C245EE">
              <w:rPr>
                <w:sz w:val="23"/>
                <w:szCs w:val="23"/>
              </w:rPr>
              <w:t>izvērtējuma</w:t>
            </w:r>
            <w:proofErr w:type="spellEnd"/>
            <w:r w:rsidRPr="00C245EE">
              <w:rPr>
                <w:sz w:val="23"/>
                <w:szCs w:val="23"/>
              </w:rPr>
              <w:t xml:space="preserve"> ietvaros Eiropas Savienības fondu finansējuma pārdali 6.1.4.specifiskā atbalsta mērķa “Pilsētu infrastruktūras sasaiste ar TEN-T tīklu” 6.1.4.2.pasākumam “Nacionālas nozīmes attīstības centru integrēšana TEN-T tīklā” izskatīt kā prioritāru, ņemot vērā pasākuma paplašinātajā sākotnējā </w:t>
            </w:r>
            <w:proofErr w:type="spellStart"/>
            <w:r w:rsidRPr="00C245EE">
              <w:rPr>
                <w:sz w:val="23"/>
                <w:szCs w:val="23"/>
              </w:rPr>
              <w:t>izvērtējumā</w:t>
            </w:r>
            <w:proofErr w:type="spellEnd"/>
            <w:r w:rsidRPr="00C245EE">
              <w:rPr>
                <w:sz w:val="23"/>
                <w:szCs w:val="23"/>
              </w:rPr>
              <w:t xml:space="preserve"> identificētās infrastruktūras attīstības vajadzības un to īstenošanai nepieciešamo finansējumu. Ņemot vērā minēto, lūdzam ziņojuma projekta 4.sadaļā un </w:t>
            </w:r>
            <w:proofErr w:type="spellStart"/>
            <w:r w:rsidRPr="00C245EE">
              <w:rPr>
                <w:sz w:val="23"/>
                <w:szCs w:val="23"/>
              </w:rPr>
              <w:t>protokollēmuma</w:t>
            </w:r>
            <w:proofErr w:type="spellEnd"/>
            <w:r w:rsidRPr="00C245EE">
              <w:rPr>
                <w:sz w:val="23"/>
                <w:szCs w:val="23"/>
              </w:rPr>
              <w:t xml:space="preserve"> projekta 7.punktā veikt redakcionālus precizējumus, nosakot, ka, lemjot par snieguma rezerves piešķiršanu prioritārajiem virzieniem, kuru ietvaros ir uzņemtas </w:t>
            </w:r>
            <w:proofErr w:type="spellStart"/>
            <w:r w:rsidRPr="00C245EE">
              <w:rPr>
                <w:sz w:val="23"/>
                <w:szCs w:val="23"/>
              </w:rPr>
              <w:t>virssaistības</w:t>
            </w:r>
            <w:proofErr w:type="spellEnd"/>
            <w:r w:rsidRPr="00C245EE">
              <w:rPr>
                <w:sz w:val="23"/>
                <w:szCs w:val="23"/>
              </w:rPr>
              <w:t xml:space="preserve">, primāri šo prioritāro virzienu snieguma rezerves finansējums novirzāms piešķirto valsts budžeta </w:t>
            </w:r>
            <w:proofErr w:type="spellStart"/>
            <w:r w:rsidRPr="00C245EE">
              <w:rPr>
                <w:sz w:val="23"/>
                <w:szCs w:val="23"/>
              </w:rPr>
              <w:t>virssaistību</w:t>
            </w:r>
            <w:proofErr w:type="spellEnd"/>
            <w:r w:rsidRPr="00C245EE">
              <w:rPr>
                <w:sz w:val="23"/>
                <w:szCs w:val="23"/>
              </w:rPr>
              <w:t xml:space="preserve"> segšanai.</w:t>
            </w:r>
          </w:p>
        </w:tc>
        <w:tc>
          <w:tcPr>
            <w:tcW w:w="3260" w:type="dxa"/>
            <w:tcBorders>
              <w:top w:val="single" w:sz="6" w:space="0" w:color="000000"/>
              <w:left w:val="single" w:sz="6" w:space="0" w:color="000000"/>
              <w:bottom w:val="single" w:sz="6" w:space="0" w:color="000000"/>
              <w:right w:val="single" w:sz="6" w:space="0" w:color="000000"/>
            </w:tcBorders>
          </w:tcPr>
          <w:p w14:paraId="68528A99" w14:textId="18FAB95F" w:rsidR="00D90991" w:rsidRPr="00C245EE" w:rsidRDefault="00D90991" w:rsidP="005B14C4">
            <w:pPr>
              <w:pStyle w:val="naisc"/>
              <w:tabs>
                <w:tab w:val="left" w:pos="820"/>
              </w:tabs>
              <w:ind w:firstLine="34"/>
              <w:rPr>
                <w:b/>
                <w:color w:val="000000"/>
                <w:sz w:val="23"/>
                <w:szCs w:val="23"/>
              </w:rPr>
            </w:pPr>
            <w:r w:rsidRPr="00C245EE">
              <w:rPr>
                <w:b/>
                <w:color w:val="000000"/>
                <w:sz w:val="23"/>
                <w:szCs w:val="23"/>
              </w:rPr>
              <w:lastRenderedPageBreak/>
              <w:t>Nav ņemts vērā</w:t>
            </w:r>
          </w:p>
          <w:p w14:paraId="160552D4" w14:textId="77777777" w:rsidR="00183F3E" w:rsidRPr="00C245EE" w:rsidRDefault="00183F3E" w:rsidP="00183F3E">
            <w:pPr>
              <w:pStyle w:val="naisc"/>
              <w:tabs>
                <w:tab w:val="left" w:pos="820"/>
              </w:tabs>
              <w:ind w:firstLine="34"/>
              <w:jc w:val="both"/>
              <w:rPr>
                <w:color w:val="000000"/>
                <w:sz w:val="23"/>
                <w:szCs w:val="23"/>
              </w:rPr>
            </w:pPr>
            <w:r w:rsidRPr="00C245EE">
              <w:rPr>
                <w:color w:val="000000"/>
                <w:sz w:val="23"/>
                <w:szCs w:val="23"/>
              </w:rPr>
              <w:t>Lūdzam skatīt izziņas II sadaļas “Jautājumi, par kuriem saskaņošanā vienošanās ir panākta” 3. punktā un  izziņas I sadaļas “Jautājumi, par kuriem saskaņošanā vienošanās nav panākta” 1. punktā sniegtos skaidrojumus.</w:t>
            </w:r>
          </w:p>
          <w:p w14:paraId="5C4009A2" w14:textId="195CBE82" w:rsidR="00D90991" w:rsidRPr="00C245EE" w:rsidRDefault="00D90991" w:rsidP="00923417">
            <w:pPr>
              <w:pStyle w:val="naisc"/>
              <w:tabs>
                <w:tab w:val="left" w:pos="820"/>
              </w:tabs>
              <w:ind w:firstLine="34"/>
              <w:jc w:val="both"/>
              <w:rPr>
                <w:color w:val="000000"/>
                <w:sz w:val="23"/>
                <w:szCs w:val="23"/>
              </w:rPr>
            </w:pPr>
          </w:p>
        </w:tc>
        <w:tc>
          <w:tcPr>
            <w:tcW w:w="3260" w:type="dxa"/>
            <w:tcBorders>
              <w:top w:val="single" w:sz="4" w:space="0" w:color="auto"/>
              <w:left w:val="single" w:sz="4" w:space="0" w:color="auto"/>
              <w:bottom w:val="single" w:sz="4" w:space="0" w:color="auto"/>
              <w:right w:val="single" w:sz="4" w:space="0" w:color="auto"/>
            </w:tcBorders>
          </w:tcPr>
          <w:p w14:paraId="1FBE6385" w14:textId="0CAB7E6F" w:rsidR="00D90991" w:rsidRPr="00C245EE" w:rsidRDefault="00D90991" w:rsidP="005542C1">
            <w:pPr>
              <w:spacing w:after="120"/>
              <w:jc w:val="both"/>
              <w:rPr>
                <w:sz w:val="23"/>
                <w:szCs w:val="23"/>
              </w:rPr>
            </w:pPr>
            <w:r w:rsidRPr="00C245EE">
              <w:rPr>
                <w:sz w:val="23"/>
                <w:szCs w:val="23"/>
              </w:rPr>
              <w:t>N/A</w:t>
            </w:r>
          </w:p>
        </w:tc>
        <w:tc>
          <w:tcPr>
            <w:tcW w:w="2114" w:type="dxa"/>
            <w:tcBorders>
              <w:top w:val="single" w:sz="4" w:space="0" w:color="auto"/>
              <w:left w:val="single" w:sz="4" w:space="0" w:color="auto"/>
              <w:bottom w:val="single" w:sz="4" w:space="0" w:color="auto"/>
            </w:tcBorders>
          </w:tcPr>
          <w:p w14:paraId="33D55464" w14:textId="77777777" w:rsidR="00694CF1" w:rsidRPr="00C245EE" w:rsidRDefault="00694CF1" w:rsidP="00694CF1">
            <w:pPr>
              <w:jc w:val="both"/>
              <w:rPr>
                <w:color w:val="000000"/>
                <w:sz w:val="23"/>
                <w:szCs w:val="23"/>
              </w:rPr>
            </w:pPr>
            <w:r w:rsidRPr="00C245EE">
              <w:rPr>
                <w:iCs/>
                <w:sz w:val="23"/>
                <w:szCs w:val="23"/>
              </w:rPr>
              <w:t xml:space="preserve">Skat. </w:t>
            </w:r>
            <w:r w:rsidRPr="00C245EE">
              <w:rPr>
                <w:color w:val="000000"/>
                <w:sz w:val="23"/>
                <w:szCs w:val="23"/>
              </w:rPr>
              <w:t xml:space="preserve">izziņas I sadaļas “Jautājumi, par kuriem saskaņošanā vienošanās nav panākta” 1. punktā </w:t>
            </w:r>
            <w:r w:rsidRPr="00C245EE">
              <w:rPr>
                <w:iCs/>
                <w:sz w:val="23"/>
                <w:szCs w:val="23"/>
              </w:rPr>
              <w:t xml:space="preserve">gala redakciju. </w:t>
            </w:r>
          </w:p>
          <w:p w14:paraId="65FCACB9" w14:textId="73558B7E" w:rsidR="00D90991" w:rsidRPr="00C245EE" w:rsidRDefault="00D90991" w:rsidP="005B14C4">
            <w:pPr>
              <w:pStyle w:val="Default"/>
              <w:jc w:val="both"/>
              <w:rPr>
                <w:sz w:val="23"/>
                <w:szCs w:val="23"/>
              </w:rPr>
            </w:pPr>
          </w:p>
        </w:tc>
      </w:tr>
      <w:tr w:rsidR="00337A26" w:rsidRPr="00C245EE" w14:paraId="26A7187C" w14:textId="77777777" w:rsidTr="00923417">
        <w:tc>
          <w:tcPr>
            <w:tcW w:w="843" w:type="dxa"/>
            <w:tcBorders>
              <w:top w:val="single" w:sz="6" w:space="0" w:color="000000"/>
              <w:left w:val="single" w:sz="6" w:space="0" w:color="000000"/>
              <w:bottom w:val="single" w:sz="6" w:space="0" w:color="000000"/>
              <w:right w:val="single" w:sz="4" w:space="0" w:color="auto"/>
            </w:tcBorders>
          </w:tcPr>
          <w:p w14:paraId="3A326BC4" w14:textId="77777777" w:rsidR="00337A26" w:rsidRPr="00C245EE" w:rsidRDefault="00337A26" w:rsidP="00923417">
            <w:pPr>
              <w:pStyle w:val="naisc"/>
              <w:numPr>
                <w:ilvl w:val="0"/>
                <w:numId w:val="36"/>
              </w:numPr>
              <w:spacing w:before="0" w:after="0"/>
              <w:rPr>
                <w:color w:val="000000"/>
                <w:sz w:val="23"/>
                <w:szCs w:val="23"/>
              </w:rPr>
            </w:pPr>
          </w:p>
        </w:tc>
        <w:tc>
          <w:tcPr>
            <w:tcW w:w="2410" w:type="dxa"/>
            <w:tcBorders>
              <w:top w:val="single" w:sz="4" w:space="0" w:color="auto"/>
              <w:left w:val="single" w:sz="4" w:space="0" w:color="auto"/>
              <w:bottom w:val="single" w:sz="4" w:space="0" w:color="auto"/>
              <w:right w:val="single" w:sz="4" w:space="0" w:color="auto"/>
            </w:tcBorders>
          </w:tcPr>
          <w:p w14:paraId="3B5D0A1B" w14:textId="767A4D3A" w:rsidR="00337A26" w:rsidRPr="00C245EE" w:rsidRDefault="00337A26" w:rsidP="008852B7">
            <w:pPr>
              <w:pStyle w:val="naisc"/>
              <w:spacing w:before="0" w:after="0"/>
              <w:jc w:val="both"/>
              <w:rPr>
                <w:rFonts w:eastAsiaTheme="minorHAnsi"/>
                <w:sz w:val="23"/>
                <w:szCs w:val="23"/>
              </w:rPr>
            </w:pPr>
            <w:r w:rsidRPr="00C245EE">
              <w:rPr>
                <w:rFonts w:eastAsiaTheme="minorHAnsi"/>
                <w:sz w:val="23"/>
                <w:szCs w:val="23"/>
                <w:lang w:eastAsia="en-US"/>
              </w:rPr>
              <w:t>Informatīvā ziņojuma 5. pielikums</w:t>
            </w:r>
          </w:p>
        </w:tc>
        <w:tc>
          <w:tcPr>
            <w:tcW w:w="3827" w:type="dxa"/>
            <w:tcBorders>
              <w:top w:val="single" w:sz="6" w:space="0" w:color="000000"/>
              <w:left w:val="single" w:sz="4" w:space="0" w:color="auto"/>
              <w:bottom w:val="single" w:sz="6" w:space="0" w:color="000000"/>
              <w:right w:val="single" w:sz="6" w:space="0" w:color="000000"/>
            </w:tcBorders>
          </w:tcPr>
          <w:p w14:paraId="32D820CB" w14:textId="77777777" w:rsidR="00337A26" w:rsidRPr="00C245EE" w:rsidRDefault="00337A26" w:rsidP="008852B7">
            <w:pPr>
              <w:spacing w:after="120"/>
              <w:jc w:val="both"/>
              <w:rPr>
                <w:b/>
                <w:sz w:val="23"/>
                <w:szCs w:val="23"/>
              </w:rPr>
            </w:pPr>
            <w:r w:rsidRPr="00C245EE">
              <w:rPr>
                <w:b/>
                <w:sz w:val="23"/>
                <w:szCs w:val="23"/>
              </w:rPr>
              <w:t>Izglītības un zinātnes ministrijas saņemtais iebildums 25.02.2019</w:t>
            </w:r>
          </w:p>
          <w:p w14:paraId="286ED7BA" w14:textId="77777777" w:rsidR="00337A26" w:rsidRPr="00C245EE" w:rsidRDefault="00337A26" w:rsidP="008852B7">
            <w:pPr>
              <w:spacing w:after="120"/>
              <w:jc w:val="both"/>
              <w:rPr>
                <w:sz w:val="23"/>
                <w:szCs w:val="23"/>
              </w:rPr>
            </w:pPr>
            <w:r w:rsidRPr="00C245EE">
              <w:rPr>
                <w:sz w:val="23"/>
                <w:szCs w:val="23"/>
              </w:rPr>
              <w:lastRenderedPageBreak/>
              <w:t xml:space="preserve">Ievērojot informatīvā ziņojuma ceturtajā sadaļā un informatīvā ziņojuma 5.pielikumā   „Informācija par darbības programmas “Izaugsme un nodarbinātība” snieguma ietvara izpildi” sniegto informāciju par 1.PV “Pētniecība, tehnoloģiju attīstība un inovācijas” ietvaros līdz 2018. gada 31. decembrim snieguma ietvara nosacījumu izpildi, lūdzam saglabāt sākotnējo </w:t>
            </w:r>
            <w:proofErr w:type="spellStart"/>
            <w:r w:rsidRPr="00C245EE">
              <w:rPr>
                <w:sz w:val="23"/>
                <w:szCs w:val="23"/>
              </w:rPr>
              <w:t>protokollēmuma</w:t>
            </w:r>
            <w:proofErr w:type="spellEnd"/>
            <w:r w:rsidRPr="00C245EE">
              <w:rPr>
                <w:sz w:val="23"/>
                <w:szCs w:val="23"/>
              </w:rPr>
              <w:t xml:space="preserve"> 4.punkta redakciju vai izdarīt izņēmuma gadījumu, paredzot snieguma ietvara rezerves finansējuma ātrāku izmantošanu pirms atbilstoša Eiropas Komisijas lēmuma 1.1.1.5.pasākuma „Atbalsts starptautiskās sadarbības projektiem pētniecībā un inovācijās”  trešās atlases kārtas (turpmāk – 1.1.1.5.pasākums) turpmākajai ieviešanai. </w:t>
            </w:r>
          </w:p>
          <w:p w14:paraId="3F56B517" w14:textId="77777777" w:rsidR="00337A26" w:rsidRPr="00C245EE" w:rsidRDefault="00337A26" w:rsidP="008852B7">
            <w:pPr>
              <w:spacing w:after="120"/>
              <w:jc w:val="both"/>
              <w:rPr>
                <w:sz w:val="23"/>
                <w:szCs w:val="23"/>
              </w:rPr>
            </w:pPr>
            <w:r w:rsidRPr="00C245EE">
              <w:rPr>
                <w:sz w:val="23"/>
                <w:szCs w:val="23"/>
              </w:rPr>
              <w:t xml:space="preserve">Vēršam uzmanību minētajā atlases kārtā atbalsts paredzēts ES pētniecības un inovācijas programmas “Apvārsnis 2020” virs kvalitātes sliekšņa novērtētu, bet finansējumu nesaņēmušu projektu vai to daļu finansēšanai. Minētā atlase tiek organizēta atklātas atlases veidā līdz 2021.gada 31.decembrim, kur šobrīd tiek īstenoti četri projekti par kopējo ES fonda finansējumu 3 705 688,73 </w:t>
            </w:r>
            <w:proofErr w:type="spellStart"/>
            <w:r w:rsidRPr="00C245EE">
              <w:rPr>
                <w:sz w:val="23"/>
                <w:szCs w:val="23"/>
              </w:rPr>
              <w:t>euro</w:t>
            </w:r>
            <w:proofErr w:type="spellEnd"/>
            <w:r w:rsidRPr="00C245EE">
              <w:rPr>
                <w:sz w:val="23"/>
                <w:szCs w:val="23"/>
              </w:rPr>
              <w:t xml:space="preserve">. Uz doto brīdi atlasē pieejamais ES fonda finansējums ir 374 311,27 </w:t>
            </w:r>
            <w:proofErr w:type="spellStart"/>
            <w:r w:rsidRPr="00C245EE">
              <w:rPr>
                <w:sz w:val="23"/>
                <w:szCs w:val="23"/>
              </w:rPr>
              <w:t>euro</w:t>
            </w:r>
            <w:proofErr w:type="spellEnd"/>
            <w:r w:rsidRPr="00C245EE">
              <w:rPr>
                <w:sz w:val="23"/>
                <w:szCs w:val="23"/>
              </w:rPr>
              <w:t xml:space="preserve"> (no sākotnēji līdz 2018.gada 31.decembrim pieejamajiem 4 080 000 </w:t>
            </w:r>
            <w:proofErr w:type="spellStart"/>
            <w:r w:rsidRPr="00C245EE">
              <w:rPr>
                <w:sz w:val="23"/>
                <w:szCs w:val="23"/>
              </w:rPr>
              <w:t>euro</w:t>
            </w:r>
            <w:proofErr w:type="spellEnd"/>
            <w:r w:rsidRPr="00C245EE">
              <w:rPr>
                <w:sz w:val="23"/>
                <w:szCs w:val="23"/>
              </w:rPr>
              <w:t xml:space="preserve">), kas ir </w:t>
            </w:r>
            <w:r w:rsidRPr="00C245EE">
              <w:rPr>
                <w:sz w:val="23"/>
                <w:szCs w:val="23"/>
              </w:rPr>
              <w:lastRenderedPageBreak/>
              <w:t xml:space="preserve">nepietiekams atlases ietvaros iesniegta projekta iesnieguma apstiprināšanai (kopējās plānotās izmaksas 1 498 910 </w:t>
            </w:r>
            <w:proofErr w:type="spellStart"/>
            <w:r w:rsidRPr="00C245EE">
              <w:rPr>
                <w:sz w:val="23"/>
                <w:szCs w:val="23"/>
              </w:rPr>
              <w:t>euro</w:t>
            </w:r>
            <w:proofErr w:type="spellEnd"/>
            <w:r w:rsidRPr="00C245EE">
              <w:rPr>
                <w:sz w:val="23"/>
                <w:szCs w:val="23"/>
              </w:rPr>
              <w:t xml:space="preserve">, tai skaitā ES fonda finansējums 1 274 073 </w:t>
            </w:r>
            <w:proofErr w:type="spellStart"/>
            <w:r w:rsidRPr="00C245EE">
              <w:rPr>
                <w:sz w:val="23"/>
                <w:szCs w:val="23"/>
              </w:rPr>
              <w:t>euro</w:t>
            </w:r>
            <w:proofErr w:type="spellEnd"/>
            <w:r w:rsidRPr="00C245EE">
              <w:rPr>
                <w:sz w:val="23"/>
                <w:szCs w:val="23"/>
              </w:rPr>
              <w:t>).</w:t>
            </w:r>
          </w:p>
          <w:p w14:paraId="7C6E07DF" w14:textId="77777777" w:rsidR="00337A26" w:rsidRPr="00C245EE" w:rsidRDefault="00337A26" w:rsidP="008852B7">
            <w:pPr>
              <w:spacing w:after="120"/>
              <w:jc w:val="both"/>
              <w:rPr>
                <w:sz w:val="23"/>
                <w:szCs w:val="23"/>
              </w:rPr>
            </w:pPr>
            <w:r w:rsidRPr="00C245EE">
              <w:rPr>
                <w:sz w:val="23"/>
                <w:szCs w:val="23"/>
              </w:rPr>
              <w:t>Vēršam uzmanību, ka sākotnēji projekta iesniegums ir iesniegts programmas “Apvārsnis 2020” apakšprogrammas Eiropas Zinātnes padomes (</w:t>
            </w:r>
            <w:proofErr w:type="spellStart"/>
            <w:r w:rsidRPr="00C245EE">
              <w:rPr>
                <w:sz w:val="23"/>
                <w:szCs w:val="23"/>
              </w:rPr>
              <w:t>European</w:t>
            </w:r>
            <w:proofErr w:type="spellEnd"/>
            <w:r w:rsidRPr="00C245EE">
              <w:rPr>
                <w:sz w:val="23"/>
                <w:szCs w:val="23"/>
              </w:rPr>
              <w:t xml:space="preserve"> </w:t>
            </w:r>
            <w:proofErr w:type="spellStart"/>
            <w:r w:rsidRPr="00C245EE">
              <w:rPr>
                <w:sz w:val="23"/>
                <w:szCs w:val="23"/>
              </w:rPr>
              <w:t>Research</w:t>
            </w:r>
            <w:proofErr w:type="spellEnd"/>
            <w:r w:rsidRPr="00C245EE">
              <w:rPr>
                <w:sz w:val="23"/>
                <w:szCs w:val="23"/>
              </w:rPr>
              <w:t xml:space="preserve"> </w:t>
            </w:r>
            <w:proofErr w:type="spellStart"/>
            <w:r w:rsidRPr="00C245EE">
              <w:rPr>
                <w:sz w:val="23"/>
                <w:szCs w:val="23"/>
              </w:rPr>
              <w:t>Council</w:t>
            </w:r>
            <w:proofErr w:type="spellEnd"/>
            <w:r w:rsidRPr="00C245EE">
              <w:rPr>
                <w:sz w:val="23"/>
                <w:szCs w:val="23"/>
              </w:rPr>
              <w:t xml:space="preserve">) </w:t>
            </w:r>
            <w:proofErr w:type="spellStart"/>
            <w:r w:rsidRPr="00C245EE">
              <w:rPr>
                <w:sz w:val="23"/>
                <w:szCs w:val="23"/>
              </w:rPr>
              <w:t>Starting</w:t>
            </w:r>
            <w:proofErr w:type="spellEnd"/>
            <w:r w:rsidRPr="00C245EE">
              <w:rPr>
                <w:sz w:val="23"/>
                <w:szCs w:val="23"/>
              </w:rPr>
              <w:t xml:space="preserve"> grants (ERC-STG) ietvaros un saņēmis Eiropas Komisijas virs kvalitātes sliekšņa novērtējumu, taču noraidīts finansējuma nepietiekamības dēļ. Eiropas Zinātnes padomes granti tiek piešķirti izciliem jaunajiem zinātniekiem, ar mērķi atbalstīt starpdisciplināras un jaunas zinātniskās idejas, pētījumus līdz šim neskartos jaunos zinātnes virzienos, inovatīvus risinājumus, fundamentālus pētījumus un inovācijas. Ņemot vērā Eiropas Zinātnes padomes projektu iesniegumu izcilību, mērogu un konkurenci (izsludinātajos projektu konkursos piedalās zinātnieki no ES dalībvalstu vai asociēto valstu zinātniskajām institūcijām), šī projekta ieviešana ir vērtējama kā būtiska gan zinātniskā līmenī, gan nacionāli zinātniskās izcilības attīstībai. </w:t>
            </w:r>
          </w:p>
          <w:p w14:paraId="7B5987B8" w14:textId="2430F205" w:rsidR="00337A26" w:rsidRPr="00C245EE" w:rsidRDefault="00337A26" w:rsidP="008852B7">
            <w:pPr>
              <w:spacing w:after="120"/>
              <w:jc w:val="both"/>
              <w:rPr>
                <w:b/>
                <w:sz w:val="23"/>
                <w:szCs w:val="23"/>
              </w:rPr>
            </w:pPr>
            <w:r w:rsidRPr="00C245EE">
              <w:rPr>
                <w:sz w:val="23"/>
                <w:szCs w:val="23"/>
              </w:rPr>
              <w:t xml:space="preserve">Ņemot vērā, ka minētā projekta īstenošana paredzēta piecus gadus (līdz 2023.gada 31.decembrim), un projekta iesniedzējs ar 2019.gada 1.februāri jau </w:t>
            </w:r>
            <w:r w:rsidRPr="00C245EE">
              <w:rPr>
                <w:sz w:val="23"/>
                <w:szCs w:val="23"/>
              </w:rPr>
              <w:lastRenderedPageBreak/>
              <w:t>ir uzsācis tā faktisko īstenošanu , lēmumu par 1.1.1.5.pasākumam piešķiramo snieguma ietvara rezerves finansējumu ir jāpieņem iespējami tuvākajā laikā.</w:t>
            </w:r>
          </w:p>
        </w:tc>
        <w:tc>
          <w:tcPr>
            <w:tcW w:w="3260" w:type="dxa"/>
            <w:tcBorders>
              <w:top w:val="single" w:sz="6" w:space="0" w:color="000000"/>
              <w:left w:val="single" w:sz="6" w:space="0" w:color="000000"/>
              <w:bottom w:val="single" w:sz="6" w:space="0" w:color="000000"/>
              <w:right w:val="single" w:sz="6" w:space="0" w:color="000000"/>
            </w:tcBorders>
          </w:tcPr>
          <w:p w14:paraId="4E208D15" w14:textId="77777777" w:rsidR="00337A26" w:rsidRPr="00C245EE" w:rsidRDefault="00337A26" w:rsidP="00923417">
            <w:pPr>
              <w:spacing w:after="120"/>
              <w:jc w:val="center"/>
              <w:rPr>
                <w:b/>
                <w:sz w:val="23"/>
                <w:szCs w:val="23"/>
              </w:rPr>
            </w:pPr>
            <w:r w:rsidRPr="00C245EE">
              <w:rPr>
                <w:b/>
                <w:sz w:val="23"/>
                <w:szCs w:val="23"/>
              </w:rPr>
              <w:lastRenderedPageBreak/>
              <w:t>Nav ņemts vērā</w:t>
            </w:r>
          </w:p>
          <w:p w14:paraId="14E52925" w14:textId="77777777" w:rsidR="00183F3E" w:rsidRPr="00C245EE" w:rsidRDefault="00183F3E" w:rsidP="00183F3E">
            <w:pPr>
              <w:pStyle w:val="naisc"/>
              <w:tabs>
                <w:tab w:val="left" w:pos="820"/>
              </w:tabs>
              <w:ind w:firstLine="34"/>
              <w:jc w:val="both"/>
              <w:rPr>
                <w:color w:val="000000"/>
                <w:sz w:val="23"/>
                <w:szCs w:val="23"/>
              </w:rPr>
            </w:pPr>
            <w:r w:rsidRPr="00C245EE">
              <w:rPr>
                <w:color w:val="000000"/>
                <w:sz w:val="23"/>
                <w:szCs w:val="23"/>
              </w:rPr>
              <w:t xml:space="preserve">Lūdzam skatīt izziņas II sadaļas “Jautājumi, par kuriem </w:t>
            </w:r>
            <w:r w:rsidRPr="00C245EE">
              <w:rPr>
                <w:color w:val="000000"/>
                <w:sz w:val="23"/>
                <w:szCs w:val="23"/>
              </w:rPr>
              <w:lastRenderedPageBreak/>
              <w:t>saskaņošanā vienošanās ir panākta” 3. punktā un  izziņas I sadaļas “Jautājumi, par kuriem saskaņošanā vienošanās nav panākta” 1. punktā sniegtos skaidrojumus.</w:t>
            </w:r>
          </w:p>
          <w:p w14:paraId="34B89CD9" w14:textId="20CA888C" w:rsidR="00337A26" w:rsidRPr="00C245EE" w:rsidRDefault="00337A26" w:rsidP="00923417">
            <w:pPr>
              <w:pStyle w:val="naisc"/>
              <w:tabs>
                <w:tab w:val="left" w:pos="820"/>
              </w:tabs>
              <w:ind w:firstLine="34"/>
              <w:jc w:val="both"/>
              <w:rPr>
                <w:color w:val="000000"/>
                <w:sz w:val="23"/>
                <w:szCs w:val="23"/>
              </w:rPr>
            </w:pPr>
          </w:p>
        </w:tc>
        <w:tc>
          <w:tcPr>
            <w:tcW w:w="3260" w:type="dxa"/>
            <w:tcBorders>
              <w:top w:val="single" w:sz="4" w:space="0" w:color="auto"/>
              <w:left w:val="single" w:sz="4" w:space="0" w:color="auto"/>
              <w:bottom w:val="single" w:sz="4" w:space="0" w:color="auto"/>
              <w:right w:val="single" w:sz="4" w:space="0" w:color="auto"/>
            </w:tcBorders>
          </w:tcPr>
          <w:p w14:paraId="2966062D" w14:textId="752C1F74" w:rsidR="00337A26" w:rsidRPr="00C245EE" w:rsidRDefault="00337A26" w:rsidP="008852B7">
            <w:pPr>
              <w:spacing w:after="120"/>
              <w:jc w:val="both"/>
              <w:rPr>
                <w:b/>
                <w:sz w:val="23"/>
                <w:szCs w:val="23"/>
              </w:rPr>
            </w:pPr>
            <w:r w:rsidRPr="00C245EE">
              <w:rPr>
                <w:sz w:val="23"/>
                <w:szCs w:val="23"/>
              </w:rPr>
              <w:lastRenderedPageBreak/>
              <w:t>N/A</w:t>
            </w:r>
          </w:p>
        </w:tc>
        <w:tc>
          <w:tcPr>
            <w:tcW w:w="2114" w:type="dxa"/>
            <w:tcBorders>
              <w:top w:val="single" w:sz="4" w:space="0" w:color="auto"/>
              <w:left w:val="single" w:sz="4" w:space="0" w:color="auto"/>
              <w:bottom w:val="single" w:sz="4" w:space="0" w:color="auto"/>
            </w:tcBorders>
          </w:tcPr>
          <w:p w14:paraId="600918B1" w14:textId="77777777" w:rsidR="00694CF1" w:rsidRPr="00C245EE" w:rsidRDefault="00694CF1" w:rsidP="00694CF1">
            <w:pPr>
              <w:jc w:val="both"/>
              <w:rPr>
                <w:color w:val="000000"/>
                <w:sz w:val="23"/>
                <w:szCs w:val="23"/>
              </w:rPr>
            </w:pPr>
            <w:r w:rsidRPr="00C245EE">
              <w:rPr>
                <w:iCs/>
                <w:sz w:val="23"/>
                <w:szCs w:val="23"/>
              </w:rPr>
              <w:t xml:space="preserve">Skat. </w:t>
            </w:r>
            <w:r w:rsidRPr="00C245EE">
              <w:rPr>
                <w:color w:val="000000"/>
                <w:sz w:val="23"/>
                <w:szCs w:val="23"/>
              </w:rPr>
              <w:t xml:space="preserve">izziņas I sadaļas “Jautājumi, par kuriem saskaņošanā </w:t>
            </w:r>
            <w:r w:rsidRPr="00C245EE">
              <w:rPr>
                <w:color w:val="000000"/>
                <w:sz w:val="23"/>
                <w:szCs w:val="23"/>
              </w:rPr>
              <w:lastRenderedPageBreak/>
              <w:t xml:space="preserve">vienošanās nav panākta” 1. punktā </w:t>
            </w:r>
            <w:r w:rsidRPr="00C245EE">
              <w:rPr>
                <w:iCs/>
                <w:sz w:val="23"/>
                <w:szCs w:val="23"/>
              </w:rPr>
              <w:t xml:space="preserve">gala redakciju. </w:t>
            </w:r>
          </w:p>
          <w:p w14:paraId="4A07C1EA" w14:textId="36F7EB42" w:rsidR="00337A26" w:rsidRPr="00C245EE" w:rsidRDefault="00337A26" w:rsidP="00337A26">
            <w:pPr>
              <w:pStyle w:val="Default"/>
              <w:jc w:val="both"/>
              <w:rPr>
                <w:sz w:val="23"/>
                <w:szCs w:val="23"/>
              </w:rPr>
            </w:pPr>
          </w:p>
        </w:tc>
      </w:tr>
      <w:tr w:rsidR="00337A26" w:rsidRPr="00C245EE" w14:paraId="46F4A5DB" w14:textId="77777777" w:rsidTr="00923417">
        <w:tc>
          <w:tcPr>
            <w:tcW w:w="843" w:type="dxa"/>
            <w:tcBorders>
              <w:top w:val="single" w:sz="6" w:space="0" w:color="000000"/>
              <w:left w:val="single" w:sz="6" w:space="0" w:color="000000"/>
              <w:bottom w:val="single" w:sz="6" w:space="0" w:color="000000"/>
              <w:right w:val="single" w:sz="4" w:space="0" w:color="auto"/>
            </w:tcBorders>
          </w:tcPr>
          <w:p w14:paraId="5ACA28A8" w14:textId="77777777" w:rsidR="00337A26" w:rsidRPr="00C245EE" w:rsidRDefault="00337A26" w:rsidP="00923417">
            <w:pPr>
              <w:pStyle w:val="naisc"/>
              <w:numPr>
                <w:ilvl w:val="0"/>
                <w:numId w:val="36"/>
              </w:numPr>
              <w:spacing w:before="0" w:after="0"/>
              <w:rPr>
                <w:color w:val="000000"/>
                <w:sz w:val="23"/>
                <w:szCs w:val="23"/>
              </w:rPr>
            </w:pPr>
          </w:p>
        </w:tc>
        <w:tc>
          <w:tcPr>
            <w:tcW w:w="2410" w:type="dxa"/>
            <w:tcBorders>
              <w:top w:val="single" w:sz="4" w:space="0" w:color="auto"/>
              <w:left w:val="single" w:sz="4" w:space="0" w:color="auto"/>
              <w:bottom w:val="single" w:sz="4" w:space="0" w:color="auto"/>
              <w:right w:val="single" w:sz="4" w:space="0" w:color="auto"/>
            </w:tcBorders>
          </w:tcPr>
          <w:p w14:paraId="1886A859" w14:textId="5BD6F2F8" w:rsidR="00337A26" w:rsidRPr="00C245EE" w:rsidRDefault="00337A26" w:rsidP="008852B7">
            <w:pPr>
              <w:pStyle w:val="naisc"/>
              <w:spacing w:before="0" w:after="0"/>
              <w:jc w:val="both"/>
              <w:rPr>
                <w:rFonts w:eastAsiaTheme="minorHAnsi"/>
                <w:sz w:val="23"/>
                <w:szCs w:val="23"/>
                <w:lang w:eastAsia="en-US"/>
              </w:rPr>
            </w:pPr>
            <w:r w:rsidRPr="00C245EE">
              <w:rPr>
                <w:rFonts w:eastAsiaTheme="minorHAnsi"/>
                <w:sz w:val="23"/>
                <w:szCs w:val="23"/>
                <w:lang w:eastAsia="en-US"/>
              </w:rPr>
              <w:t>Vispārīgs iebildums</w:t>
            </w:r>
          </w:p>
        </w:tc>
        <w:tc>
          <w:tcPr>
            <w:tcW w:w="3827" w:type="dxa"/>
            <w:tcBorders>
              <w:top w:val="single" w:sz="6" w:space="0" w:color="000000"/>
              <w:left w:val="single" w:sz="4" w:space="0" w:color="auto"/>
              <w:bottom w:val="single" w:sz="6" w:space="0" w:color="000000"/>
              <w:right w:val="single" w:sz="6" w:space="0" w:color="000000"/>
            </w:tcBorders>
          </w:tcPr>
          <w:p w14:paraId="6B717EC6" w14:textId="77777777" w:rsidR="00337A26" w:rsidRPr="00C245EE" w:rsidRDefault="00337A26" w:rsidP="008852B7">
            <w:pPr>
              <w:spacing w:after="120"/>
              <w:jc w:val="both"/>
              <w:rPr>
                <w:b/>
                <w:sz w:val="23"/>
                <w:szCs w:val="23"/>
              </w:rPr>
            </w:pPr>
            <w:r w:rsidRPr="00C245EE">
              <w:rPr>
                <w:b/>
                <w:sz w:val="23"/>
                <w:szCs w:val="23"/>
              </w:rPr>
              <w:t>Labklājības ministrijas saņemtais iebildums 22.02.2019</w:t>
            </w:r>
          </w:p>
          <w:p w14:paraId="00F526B8" w14:textId="7C197593" w:rsidR="00337A26" w:rsidRPr="00C245EE" w:rsidRDefault="00337A26" w:rsidP="008852B7">
            <w:pPr>
              <w:spacing w:after="120"/>
              <w:jc w:val="both"/>
              <w:rPr>
                <w:sz w:val="23"/>
                <w:szCs w:val="23"/>
              </w:rPr>
            </w:pPr>
            <w:r w:rsidRPr="00C245EE">
              <w:rPr>
                <w:sz w:val="23"/>
                <w:szCs w:val="23"/>
              </w:rPr>
              <w:t xml:space="preserve">Lūdzam papildināt </w:t>
            </w:r>
            <w:proofErr w:type="spellStart"/>
            <w:r w:rsidRPr="00C245EE">
              <w:rPr>
                <w:sz w:val="23"/>
                <w:szCs w:val="23"/>
              </w:rPr>
              <w:t>protokollēmuma</w:t>
            </w:r>
            <w:proofErr w:type="spellEnd"/>
            <w:r w:rsidRPr="00C245EE">
              <w:rPr>
                <w:sz w:val="23"/>
                <w:szCs w:val="23"/>
              </w:rPr>
              <w:t xml:space="preserve"> projektu ar jaunu punktu, kas paredzētu izdarīt izņēmumu un atļaut rezerves finansējuma ātrāku izmantošanu pirms Eiropas Komisijas lēmuma LM 9.prioritārā virziena “Sociālā iekļaušana un nabadzības apkarošana” ietvaros Eiropas Reģionālā attīstības fonda finansējuma daļai , tādējādi nodrošinot jēgpilnu finansējuma izlietošanu un mazinot administratīvo slogu uz rezerves </w:t>
            </w:r>
            <w:proofErr w:type="spellStart"/>
            <w:r w:rsidRPr="00C245EE">
              <w:rPr>
                <w:sz w:val="23"/>
                <w:szCs w:val="23"/>
              </w:rPr>
              <w:t>priekšfinansēšanas</w:t>
            </w:r>
            <w:proofErr w:type="spellEnd"/>
            <w:r w:rsidRPr="00C245EE">
              <w:rPr>
                <w:sz w:val="23"/>
                <w:szCs w:val="23"/>
              </w:rPr>
              <w:t xml:space="preserve"> procesa nodrošināšanas rēķina (proti, 9.3.1.1.pasākuma ietvaros šobrīd noris projektu iesniegumu atlase, un drīzā laikā uzsākies iepirkumu veikšana būvniecības uzsākšanai, kuru veikšana pa daļām nav iespējama). Snieguma ietvara rezerves pieejamība ir īpaši būtiski, jo </w:t>
            </w:r>
            <w:proofErr w:type="spellStart"/>
            <w:r w:rsidRPr="00C245EE">
              <w:rPr>
                <w:sz w:val="23"/>
                <w:szCs w:val="23"/>
              </w:rPr>
              <w:t>deinstitucionalizācijas</w:t>
            </w:r>
            <w:proofErr w:type="spellEnd"/>
            <w:r w:rsidRPr="00C245EE">
              <w:rPr>
                <w:sz w:val="23"/>
                <w:szCs w:val="23"/>
              </w:rPr>
              <w:t xml:space="preserve"> īstenošana ir atzīta kā viena no LM nozares politikas prioritātēm (t.sk. </w:t>
            </w:r>
            <w:proofErr w:type="spellStart"/>
            <w:r w:rsidRPr="00C245EE">
              <w:rPr>
                <w:sz w:val="23"/>
                <w:szCs w:val="23"/>
              </w:rPr>
              <w:t>deinstitucionalizācijas</w:t>
            </w:r>
            <w:proofErr w:type="spellEnd"/>
            <w:r w:rsidRPr="00C245EE">
              <w:rPr>
                <w:sz w:val="23"/>
                <w:szCs w:val="23"/>
              </w:rPr>
              <w:t xml:space="preserve"> veicināšanu par savas darbības svarīgākajiem uzdevumiem atzinusi ne tikai iepriekšējā valdība, bet tas ir iekļauts arī Deklarācijā par Artura Krišjāņa </w:t>
            </w:r>
            <w:r w:rsidRPr="00C245EE">
              <w:rPr>
                <w:sz w:val="23"/>
                <w:szCs w:val="23"/>
              </w:rPr>
              <w:lastRenderedPageBreak/>
              <w:t>Kariņa vadītā MK iecerēto darbību kā 115.uzdevums).</w:t>
            </w:r>
          </w:p>
        </w:tc>
        <w:tc>
          <w:tcPr>
            <w:tcW w:w="3260" w:type="dxa"/>
            <w:tcBorders>
              <w:top w:val="single" w:sz="6" w:space="0" w:color="000000"/>
              <w:left w:val="single" w:sz="6" w:space="0" w:color="000000"/>
              <w:bottom w:val="single" w:sz="6" w:space="0" w:color="000000"/>
              <w:right w:val="single" w:sz="6" w:space="0" w:color="000000"/>
            </w:tcBorders>
          </w:tcPr>
          <w:p w14:paraId="5DA9C886" w14:textId="14418599" w:rsidR="00337A26" w:rsidRPr="00C245EE" w:rsidRDefault="00337A26" w:rsidP="008852B7">
            <w:pPr>
              <w:spacing w:after="120"/>
              <w:jc w:val="center"/>
              <w:rPr>
                <w:b/>
                <w:sz w:val="23"/>
                <w:szCs w:val="23"/>
              </w:rPr>
            </w:pPr>
            <w:r w:rsidRPr="00C245EE">
              <w:rPr>
                <w:b/>
                <w:sz w:val="23"/>
                <w:szCs w:val="23"/>
              </w:rPr>
              <w:lastRenderedPageBreak/>
              <w:t>Nav ņemts vērā</w:t>
            </w:r>
          </w:p>
          <w:p w14:paraId="315CAF27" w14:textId="77777777" w:rsidR="00805716" w:rsidRPr="00C245EE" w:rsidRDefault="00805716" w:rsidP="00805716">
            <w:pPr>
              <w:pStyle w:val="naisc"/>
              <w:tabs>
                <w:tab w:val="left" w:pos="820"/>
              </w:tabs>
              <w:ind w:firstLine="34"/>
              <w:jc w:val="both"/>
              <w:rPr>
                <w:color w:val="000000"/>
                <w:sz w:val="23"/>
                <w:szCs w:val="23"/>
              </w:rPr>
            </w:pPr>
            <w:r w:rsidRPr="00C245EE">
              <w:rPr>
                <w:color w:val="000000"/>
                <w:sz w:val="23"/>
                <w:szCs w:val="23"/>
              </w:rPr>
              <w:t>Lūdzam skatīt izziņas II sadaļas “Jautājumi, par kuriem saskaņošanā vienošanās ir panākta” 3. punktā un  izziņas I sadaļas “Jautājumi, par kuriem saskaņošanā vienošanās nav panākta” 1. punktā sniegtos skaidrojumus.</w:t>
            </w:r>
          </w:p>
          <w:p w14:paraId="57DAFFCA" w14:textId="692E5416" w:rsidR="00337A26" w:rsidRPr="00C245EE" w:rsidRDefault="00337A26" w:rsidP="00923417">
            <w:pPr>
              <w:spacing w:after="120"/>
              <w:jc w:val="both"/>
              <w:rPr>
                <w:sz w:val="23"/>
                <w:szCs w:val="23"/>
              </w:rPr>
            </w:pPr>
          </w:p>
        </w:tc>
        <w:tc>
          <w:tcPr>
            <w:tcW w:w="3260" w:type="dxa"/>
            <w:tcBorders>
              <w:top w:val="single" w:sz="4" w:space="0" w:color="auto"/>
              <w:left w:val="single" w:sz="4" w:space="0" w:color="auto"/>
              <w:bottom w:val="single" w:sz="4" w:space="0" w:color="auto"/>
              <w:right w:val="single" w:sz="4" w:space="0" w:color="auto"/>
            </w:tcBorders>
          </w:tcPr>
          <w:p w14:paraId="0793C2E7" w14:textId="36DA1092" w:rsidR="00337A26" w:rsidRPr="00C245EE" w:rsidRDefault="00337A26" w:rsidP="008852B7">
            <w:pPr>
              <w:spacing w:after="120"/>
              <w:jc w:val="both"/>
              <w:rPr>
                <w:b/>
                <w:sz w:val="23"/>
                <w:szCs w:val="23"/>
              </w:rPr>
            </w:pPr>
            <w:r w:rsidRPr="00C245EE">
              <w:rPr>
                <w:sz w:val="23"/>
                <w:szCs w:val="23"/>
              </w:rPr>
              <w:t>N/A</w:t>
            </w:r>
          </w:p>
        </w:tc>
        <w:tc>
          <w:tcPr>
            <w:tcW w:w="2114" w:type="dxa"/>
            <w:tcBorders>
              <w:top w:val="single" w:sz="4" w:space="0" w:color="auto"/>
              <w:left w:val="single" w:sz="4" w:space="0" w:color="auto"/>
              <w:bottom w:val="single" w:sz="4" w:space="0" w:color="auto"/>
            </w:tcBorders>
          </w:tcPr>
          <w:p w14:paraId="1E9861E5" w14:textId="77777777" w:rsidR="00694CF1" w:rsidRPr="00C245EE" w:rsidRDefault="00694CF1" w:rsidP="00694CF1">
            <w:pPr>
              <w:jc w:val="both"/>
              <w:rPr>
                <w:color w:val="000000"/>
                <w:sz w:val="23"/>
                <w:szCs w:val="23"/>
              </w:rPr>
            </w:pPr>
            <w:r w:rsidRPr="00C245EE">
              <w:rPr>
                <w:iCs/>
                <w:sz w:val="23"/>
                <w:szCs w:val="23"/>
              </w:rPr>
              <w:t xml:space="preserve">Skat. </w:t>
            </w:r>
            <w:r w:rsidRPr="00C245EE">
              <w:rPr>
                <w:color w:val="000000"/>
                <w:sz w:val="23"/>
                <w:szCs w:val="23"/>
              </w:rPr>
              <w:t xml:space="preserve">izziņas I sadaļas “Jautājumi, par kuriem saskaņošanā vienošanās nav panākta” 1. punktā </w:t>
            </w:r>
            <w:r w:rsidRPr="00C245EE">
              <w:rPr>
                <w:iCs/>
                <w:sz w:val="23"/>
                <w:szCs w:val="23"/>
              </w:rPr>
              <w:t xml:space="preserve">gala redakciju. </w:t>
            </w:r>
          </w:p>
          <w:p w14:paraId="4AA8C0AE" w14:textId="3F1187ED" w:rsidR="00337A26" w:rsidRPr="00C245EE" w:rsidRDefault="00337A26" w:rsidP="00337A26">
            <w:pPr>
              <w:pStyle w:val="Default"/>
              <w:jc w:val="both"/>
              <w:rPr>
                <w:sz w:val="23"/>
                <w:szCs w:val="23"/>
              </w:rPr>
            </w:pPr>
          </w:p>
        </w:tc>
      </w:tr>
    </w:tbl>
    <w:p w14:paraId="7A7C05B8" w14:textId="1628E0F3" w:rsidR="00A8248D" w:rsidRPr="00896331" w:rsidRDefault="00A8248D" w:rsidP="007F4A63">
      <w:pPr>
        <w:pStyle w:val="naisf"/>
        <w:spacing w:before="0" w:after="0"/>
        <w:ind w:firstLine="0"/>
        <w:rPr>
          <w:b/>
          <w:color w:val="000000"/>
        </w:rPr>
      </w:pPr>
    </w:p>
    <w:p w14:paraId="2A2AC3CE" w14:textId="77777777" w:rsidR="00F54656" w:rsidRDefault="00F54656">
      <w:pPr>
        <w:rPr>
          <w:b/>
          <w:color w:val="000000"/>
        </w:rPr>
      </w:pPr>
      <w:r>
        <w:rPr>
          <w:b/>
          <w:color w:val="000000"/>
        </w:rPr>
        <w:br w:type="page"/>
      </w:r>
    </w:p>
    <w:p w14:paraId="68BF3C94" w14:textId="674DAE76" w:rsidR="00946431" w:rsidRPr="00896331" w:rsidRDefault="00946431" w:rsidP="00D9627C">
      <w:pPr>
        <w:pStyle w:val="naisf"/>
        <w:spacing w:before="0" w:after="0"/>
        <w:ind w:firstLine="0"/>
        <w:jc w:val="center"/>
        <w:rPr>
          <w:b/>
          <w:color w:val="000000"/>
        </w:rPr>
      </w:pPr>
      <w:r w:rsidRPr="00896331">
        <w:rPr>
          <w:b/>
          <w:color w:val="000000"/>
        </w:rPr>
        <w:lastRenderedPageBreak/>
        <w:t xml:space="preserve">Informācija par </w:t>
      </w:r>
      <w:proofErr w:type="spellStart"/>
      <w:r w:rsidRPr="00896331">
        <w:rPr>
          <w:b/>
          <w:color w:val="000000"/>
        </w:rPr>
        <w:t>starpministriju</w:t>
      </w:r>
      <w:proofErr w:type="spellEnd"/>
      <w:r w:rsidRPr="00896331">
        <w:rPr>
          <w:b/>
          <w:color w:val="000000"/>
        </w:rPr>
        <w:t xml:space="preserve"> (starpinstitūciju) sanāksmi vai elektronisko saskaņošanu</w:t>
      </w:r>
    </w:p>
    <w:p w14:paraId="0B83D6FB" w14:textId="77777777" w:rsidR="00946431" w:rsidRPr="00896331" w:rsidRDefault="00946431" w:rsidP="00D9627C">
      <w:pPr>
        <w:pStyle w:val="naisf"/>
        <w:spacing w:before="0" w:after="0"/>
        <w:ind w:firstLine="0"/>
        <w:rPr>
          <w:b/>
          <w:color w:val="000000"/>
        </w:rPr>
      </w:pPr>
    </w:p>
    <w:tbl>
      <w:tblPr>
        <w:tblW w:w="13872" w:type="dxa"/>
        <w:tblLook w:val="00A0" w:firstRow="1" w:lastRow="0" w:firstColumn="1" w:lastColumn="0" w:noHBand="0" w:noVBand="0"/>
      </w:tblPr>
      <w:tblGrid>
        <w:gridCol w:w="7629"/>
        <w:gridCol w:w="6243"/>
      </w:tblGrid>
      <w:tr w:rsidR="00946431" w:rsidRPr="00896331" w14:paraId="4E3C8EC0" w14:textId="77777777" w:rsidTr="00CA04B5">
        <w:trPr>
          <w:trHeight w:val="253"/>
        </w:trPr>
        <w:tc>
          <w:tcPr>
            <w:tcW w:w="7629" w:type="dxa"/>
          </w:tcPr>
          <w:p w14:paraId="5BDB0D29" w14:textId="77777777" w:rsidR="00946431" w:rsidRPr="00896331" w:rsidRDefault="00946431" w:rsidP="00D9627C">
            <w:pPr>
              <w:pStyle w:val="naisf"/>
              <w:spacing w:before="0" w:after="0"/>
              <w:ind w:firstLine="0"/>
              <w:rPr>
                <w:color w:val="000000"/>
              </w:rPr>
            </w:pPr>
            <w:r w:rsidRPr="00896331">
              <w:rPr>
                <w:color w:val="000000"/>
              </w:rPr>
              <w:t>Datums</w:t>
            </w:r>
          </w:p>
        </w:tc>
        <w:tc>
          <w:tcPr>
            <w:tcW w:w="6243" w:type="dxa"/>
            <w:tcBorders>
              <w:bottom w:val="single" w:sz="4" w:space="0" w:color="auto"/>
            </w:tcBorders>
          </w:tcPr>
          <w:p w14:paraId="7D94BDA6" w14:textId="4271DCEE" w:rsidR="00946431" w:rsidRPr="00896331" w:rsidRDefault="00454C10" w:rsidP="003934DF">
            <w:pPr>
              <w:pStyle w:val="NormalWeb"/>
              <w:spacing w:before="0" w:beforeAutospacing="0" w:after="0" w:afterAutospacing="0"/>
              <w:jc w:val="both"/>
              <w:rPr>
                <w:color w:val="000000"/>
              </w:rPr>
            </w:pPr>
            <w:r>
              <w:rPr>
                <w:color w:val="000000"/>
              </w:rPr>
              <w:t>01</w:t>
            </w:r>
            <w:r w:rsidR="00423FDC">
              <w:rPr>
                <w:color w:val="000000"/>
              </w:rPr>
              <w:t>.02.2019.</w:t>
            </w:r>
            <w:r w:rsidR="00CE32CB">
              <w:rPr>
                <w:color w:val="000000"/>
              </w:rPr>
              <w:t>; 19</w:t>
            </w:r>
            <w:r w:rsidR="00CE32CB" w:rsidRPr="00923417">
              <w:rPr>
                <w:color w:val="000000"/>
              </w:rPr>
              <w:t>.</w:t>
            </w:r>
            <w:r w:rsidR="00CE32CB">
              <w:rPr>
                <w:color w:val="000000"/>
              </w:rPr>
              <w:t>02.2019</w:t>
            </w:r>
          </w:p>
        </w:tc>
      </w:tr>
      <w:tr w:rsidR="00946431" w:rsidRPr="00896331" w14:paraId="6C13D339" w14:textId="77777777" w:rsidTr="00CA04B5">
        <w:trPr>
          <w:trHeight w:val="253"/>
        </w:trPr>
        <w:tc>
          <w:tcPr>
            <w:tcW w:w="7629" w:type="dxa"/>
          </w:tcPr>
          <w:p w14:paraId="043D48ED" w14:textId="77777777" w:rsidR="00946431" w:rsidRPr="00896331" w:rsidRDefault="00946431" w:rsidP="00D9627C">
            <w:pPr>
              <w:pStyle w:val="naisf"/>
              <w:spacing w:before="0" w:after="0"/>
              <w:ind w:firstLine="0"/>
              <w:rPr>
                <w:color w:val="000000"/>
              </w:rPr>
            </w:pPr>
          </w:p>
        </w:tc>
        <w:tc>
          <w:tcPr>
            <w:tcW w:w="6243" w:type="dxa"/>
            <w:tcBorders>
              <w:top w:val="single" w:sz="4" w:space="0" w:color="auto"/>
            </w:tcBorders>
          </w:tcPr>
          <w:p w14:paraId="3E235229" w14:textId="77777777" w:rsidR="00946431" w:rsidRPr="00896331" w:rsidRDefault="00946431" w:rsidP="00423FDC">
            <w:pPr>
              <w:pStyle w:val="NormalWeb"/>
              <w:spacing w:before="0" w:beforeAutospacing="0" w:after="0" w:afterAutospacing="0"/>
              <w:jc w:val="both"/>
              <w:rPr>
                <w:color w:val="000000"/>
              </w:rPr>
            </w:pPr>
          </w:p>
        </w:tc>
      </w:tr>
      <w:tr w:rsidR="00946431" w:rsidRPr="00896331" w14:paraId="64416F9F" w14:textId="77777777" w:rsidTr="00423FDC">
        <w:trPr>
          <w:trHeight w:val="728"/>
        </w:trPr>
        <w:tc>
          <w:tcPr>
            <w:tcW w:w="7629" w:type="dxa"/>
          </w:tcPr>
          <w:p w14:paraId="4F9B13DD" w14:textId="77777777" w:rsidR="00946431" w:rsidRPr="00896331" w:rsidRDefault="00946431" w:rsidP="00D9627C">
            <w:pPr>
              <w:pStyle w:val="naiskr"/>
              <w:spacing w:before="0" w:after="0"/>
              <w:jc w:val="both"/>
              <w:rPr>
                <w:color w:val="000000"/>
              </w:rPr>
            </w:pPr>
            <w:r w:rsidRPr="00896331">
              <w:rPr>
                <w:color w:val="000000"/>
              </w:rPr>
              <w:t>Saskaņošanas dalībnieki</w:t>
            </w:r>
          </w:p>
        </w:tc>
        <w:tc>
          <w:tcPr>
            <w:tcW w:w="6243" w:type="dxa"/>
            <w:tcBorders>
              <w:bottom w:val="single" w:sz="4" w:space="0" w:color="auto"/>
            </w:tcBorders>
          </w:tcPr>
          <w:p w14:paraId="7818A366" w14:textId="292F28D0" w:rsidR="00946431" w:rsidRPr="00423FDC" w:rsidRDefault="0073075A" w:rsidP="00423FDC">
            <w:pPr>
              <w:pStyle w:val="ListParagraph"/>
              <w:spacing w:after="120" w:line="240" w:lineRule="auto"/>
              <w:ind w:left="62"/>
              <w:contextualSpacing w:val="0"/>
              <w:jc w:val="both"/>
              <w:rPr>
                <w:rFonts w:ascii="Times New Roman" w:hAnsi="Times New Roman"/>
                <w:color w:val="000000"/>
                <w:sz w:val="24"/>
                <w:szCs w:val="24"/>
              </w:rPr>
            </w:pPr>
            <w:r w:rsidRPr="00423FDC">
              <w:rPr>
                <w:rFonts w:ascii="Times New Roman" w:hAnsi="Times New Roman"/>
                <w:color w:val="000000"/>
                <w:sz w:val="24"/>
                <w:szCs w:val="24"/>
              </w:rPr>
              <w:t xml:space="preserve">Ārlietu ministrija, Aizsardzības ministrija, </w:t>
            </w:r>
            <w:r w:rsidR="00946431" w:rsidRPr="00423FDC">
              <w:rPr>
                <w:rFonts w:ascii="Times New Roman" w:hAnsi="Times New Roman"/>
                <w:color w:val="000000"/>
                <w:sz w:val="24"/>
                <w:szCs w:val="24"/>
              </w:rPr>
              <w:t>Tiesliet</w:t>
            </w:r>
            <w:r w:rsidR="008B1823" w:rsidRPr="00423FDC">
              <w:rPr>
                <w:rFonts w:ascii="Times New Roman" w:hAnsi="Times New Roman"/>
                <w:color w:val="000000"/>
                <w:sz w:val="24"/>
                <w:szCs w:val="24"/>
              </w:rPr>
              <w:t>u ministrija, Valsts kanceleja</w:t>
            </w:r>
            <w:r w:rsidR="00B932E9" w:rsidRPr="00423FDC">
              <w:rPr>
                <w:rFonts w:ascii="Times New Roman" w:hAnsi="Times New Roman"/>
                <w:color w:val="000000"/>
                <w:sz w:val="24"/>
                <w:szCs w:val="24"/>
              </w:rPr>
              <w:t xml:space="preserve">, Ekonomikas ministrija, </w:t>
            </w:r>
            <w:proofErr w:type="spellStart"/>
            <w:r w:rsidR="00B932E9" w:rsidRPr="00423FDC">
              <w:rPr>
                <w:rFonts w:ascii="Times New Roman" w:hAnsi="Times New Roman"/>
                <w:color w:val="000000"/>
                <w:sz w:val="24"/>
                <w:szCs w:val="24"/>
              </w:rPr>
              <w:t>Iekšlietu</w:t>
            </w:r>
            <w:proofErr w:type="spellEnd"/>
            <w:r w:rsidR="00B932E9" w:rsidRPr="00423FDC">
              <w:rPr>
                <w:rFonts w:ascii="Times New Roman" w:hAnsi="Times New Roman"/>
                <w:color w:val="000000"/>
                <w:sz w:val="24"/>
                <w:szCs w:val="24"/>
              </w:rPr>
              <w:t xml:space="preserve"> ministrija, Izglītības un zinātnes ministrija, Kultūras ministrija, Labklājības ministrija, Satiksmes ministrija, Veselības ministrija, Vides aizsardzības un reģionālās attīstības ministrija</w:t>
            </w:r>
            <w:r w:rsidR="00423FDC" w:rsidRPr="00423FDC">
              <w:rPr>
                <w:rFonts w:ascii="Times New Roman" w:hAnsi="Times New Roman"/>
                <w:color w:val="000000"/>
                <w:sz w:val="24"/>
                <w:szCs w:val="24"/>
              </w:rPr>
              <w:t>,</w:t>
            </w:r>
            <w:r w:rsidR="00B932E9" w:rsidRPr="00423FDC">
              <w:rPr>
                <w:rFonts w:ascii="Times New Roman" w:hAnsi="Times New Roman"/>
                <w:color w:val="000000"/>
                <w:sz w:val="24"/>
                <w:szCs w:val="24"/>
              </w:rPr>
              <w:t xml:space="preserve"> Zemkopības ministrija</w:t>
            </w:r>
            <w:r w:rsidR="00423FDC" w:rsidRPr="00423FDC">
              <w:rPr>
                <w:rFonts w:ascii="Times New Roman" w:hAnsi="Times New Roman"/>
                <w:color w:val="000000"/>
                <w:sz w:val="24"/>
                <w:szCs w:val="24"/>
              </w:rPr>
              <w:t>, Centrāl</w:t>
            </w:r>
            <w:r w:rsidR="00423FDC">
              <w:rPr>
                <w:rFonts w:ascii="Times New Roman" w:hAnsi="Times New Roman"/>
                <w:color w:val="000000"/>
                <w:sz w:val="24"/>
                <w:szCs w:val="24"/>
              </w:rPr>
              <w:t>ā</w:t>
            </w:r>
            <w:r w:rsidR="00423FDC" w:rsidRPr="00423FDC">
              <w:rPr>
                <w:rFonts w:ascii="Times New Roman" w:hAnsi="Times New Roman"/>
                <w:color w:val="000000"/>
                <w:sz w:val="24"/>
                <w:szCs w:val="24"/>
              </w:rPr>
              <w:t xml:space="preserve"> finanšu un līgumu aģentūra, Latvijas Brīvo arodbiedrību savienība, Latvijas Darba devēju konfederācija, Latvijas Lielo pilsētu asociācija</w:t>
            </w:r>
            <w:r w:rsidR="00423FDC">
              <w:rPr>
                <w:rFonts w:ascii="Times New Roman" w:hAnsi="Times New Roman"/>
                <w:color w:val="000000"/>
                <w:sz w:val="24"/>
                <w:szCs w:val="24"/>
              </w:rPr>
              <w:t xml:space="preserve">, </w:t>
            </w:r>
            <w:r w:rsidR="00423FDC" w:rsidRPr="00423FDC">
              <w:rPr>
                <w:rFonts w:ascii="Times New Roman" w:hAnsi="Times New Roman"/>
                <w:color w:val="000000"/>
                <w:sz w:val="24"/>
                <w:szCs w:val="24"/>
              </w:rPr>
              <w:t>Latvijas Pašvaldību savienība</w:t>
            </w:r>
            <w:r w:rsidR="00423FDC">
              <w:rPr>
                <w:rFonts w:ascii="Times New Roman" w:hAnsi="Times New Roman"/>
                <w:color w:val="000000"/>
                <w:sz w:val="24"/>
                <w:szCs w:val="24"/>
              </w:rPr>
              <w:t xml:space="preserve">, </w:t>
            </w:r>
            <w:r w:rsidR="00423FDC" w:rsidRPr="00423FDC">
              <w:rPr>
                <w:rFonts w:ascii="Times New Roman" w:hAnsi="Times New Roman"/>
                <w:color w:val="000000"/>
                <w:sz w:val="24"/>
                <w:szCs w:val="24"/>
              </w:rPr>
              <w:t>Latvijas Tirdzniecības un rūpniecības kamera</w:t>
            </w:r>
            <w:r w:rsidR="00423FDC">
              <w:rPr>
                <w:rFonts w:ascii="Times New Roman" w:hAnsi="Times New Roman"/>
                <w:color w:val="000000"/>
                <w:sz w:val="24"/>
                <w:szCs w:val="24"/>
              </w:rPr>
              <w:t xml:space="preserve">, </w:t>
            </w:r>
            <w:r w:rsidR="00423FDC" w:rsidRPr="00423FDC">
              <w:rPr>
                <w:rFonts w:ascii="Times New Roman" w:hAnsi="Times New Roman"/>
                <w:color w:val="000000"/>
                <w:sz w:val="24"/>
                <w:szCs w:val="24"/>
              </w:rPr>
              <w:t>Nevalstisko organizāciju un Ministru kabineta sadarbības memoranda īstenošanas padome, Reģionālo attīstības centru apvienība</w:t>
            </w:r>
            <w:r w:rsidR="00423FDC">
              <w:rPr>
                <w:rFonts w:ascii="Times New Roman" w:hAnsi="Times New Roman"/>
                <w:color w:val="000000"/>
                <w:sz w:val="24"/>
                <w:szCs w:val="24"/>
              </w:rPr>
              <w:t>.</w:t>
            </w:r>
          </w:p>
        </w:tc>
      </w:tr>
    </w:tbl>
    <w:p w14:paraId="74FEFC3E" w14:textId="77777777" w:rsidR="00946431" w:rsidRPr="00896331" w:rsidRDefault="00946431" w:rsidP="00D9627C">
      <w:pPr>
        <w:pStyle w:val="naiskr"/>
        <w:spacing w:before="0" w:after="0"/>
        <w:jc w:val="both"/>
        <w:rPr>
          <w:color w:val="000000"/>
        </w:rPr>
      </w:pPr>
    </w:p>
    <w:tbl>
      <w:tblPr>
        <w:tblW w:w="13716" w:type="dxa"/>
        <w:tblLook w:val="00A0" w:firstRow="1" w:lastRow="0" w:firstColumn="1" w:lastColumn="0" w:noHBand="0" w:noVBand="0"/>
      </w:tblPr>
      <w:tblGrid>
        <w:gridCol w:w="7479"/>
        <w:gridCol w:w="284"/>
        <w:gridCol w:w="5953"/>
      </w:tblGrid>
      <w:tr w:rsidR="00946431" w:rsidRPr="00896331" w14:paraId="5DEE531F" w14:textId="77777777" w:rsidTr="00704D6C">
        <w:trPr>
          <w:trHeight w:val="285"/>
        </w:trPr>
        <w:tc>
          <w:tcPr>
            <w:tcW w:w="7479" w:type="dxa"/>
          </w:tcPr>
          <w:p w14:paraId="751FCF61" w14:textId="77777777" w:rsidR="00946431" w:rsidRPr="00896331" w:rsidRDefault="00946431" w:rsidP="00D9627C">
            <w:pPr>
              <w:pStyle w:val="naiskr"/>
              <w:spacing w:before="0" w:after="0"/>
              <w:jc w:val="both"/>
              <w:rPr>
                <w:color w:val="000000"/>
              </w:rPr>
            </w:pPr>
            <w:r w:rsidRPr="00896331">
              <w:rPr>
                <w:color w:val="000000"/>
              </w:rPr>
              <w:t>Saskaņošanas dalībnieki izskatīja šādu ministriju (citu institūciju) iebildumus</w:t>
            </w:r>
          </w:p>
        </w:tc>
        <w:tc>
          <w:tcPr>
            <w:tcW w:w="284" w:type="dxa"/>
            <w:tcBorders>
              <w:bottom w:val="single" w:sz="4" w:space="0" w:color="auto"/>
            </w:tcBorders>
          </w:tcPr>
          <w:p w14:paraId="6063BBFD" w14:textId="77777777" w:rsidR="00946431" w:rsidRPr="00423FDC" w:rsidRDefault="00946431" w:rsidP="00D9627C">
            <w:pPr>
              <w:pStyle w:val="naiskr"/>
              <w:spacing w:before="0" w:after="0"/>
              <w:jc w:val="both"/>
              <w:rPr>
                <w:color w:val="000000"/>
              </w:rPr>
            </w:pPr>
          </w:p>
        </w:tc>
        <w:tc>
          <w:tcPr>
            <w:tcW w:w="5953" w:type="dxa"/>
            <w:tcBorders>
              <w:bottom w:val="single" w:sz="4" w:space="0" w:color="auto"/>
            </w:tcBorders>
          </w:tcPr>
          <w:p w14:paraId="6D2FCD92" w14:textId="284B10B8" w:rsidR="00946431" w:rsidRPr="00423FDC" w:rsidRDefault="003F0899" w:rsidP="00423FDC">
            <w:pPr>
              <w:pStyle w:val="naiskr"/>
              <w:spacing w:before="0" w:after="0"/>
              <w:ind w:left="-108"/>
              <w:jc w:val="both"/>
              <w:rPr>
                <w:color w:val="000000"/>
              </w:rPr>
            </w:pPr>
            <w:r w:rsidRPr="00423FDC">
              <w:rPr>
                <w:color w:val="000000"/>
                <w:szCs w:val="20"/>
              </w:rPr>
              <w:t>Vides aizsardzības un reģionālās attīstības ministrijas, Satiksmes ministrijas, Labklājības ministrijas</w:t>
            </w:r>
            <w:r w:rsidR="00670973">
              <w:rPr>
                <w:color w:val="000000"/>
                <w:szCs w:val="20"/>
              </w:rPr>
              <w:t>,</w:t>
            </w:r>
            <w:r w:rsidR="00423FDC" w:rsidRPr="00423FDC">
              <w:rPr>
                <w:color w:val="000000"/>
                <w:szCs w:val="20"/>
              </w:rPr>
              <w:t xml:space="preserve"> Izglītības un zinātnes ministrijas</w:t>
            </w:r>
            <w:r w:rsidR="00670973">
              <w:rPr>
                <w:color w:val="000000"/>
                <w:szCs w:val="20"/>
              </w:rPr>
              <w:t xml:space="preserve"> un Valsts kancelejas</w:t>
            </w:r>
          </w:p>
        </w:tc>
      </w:tr>
      <w:tr w:rsidR="00946431" w:rsidRPr="00896331" w14:paraId="6270F883" w14:textId="77777777" w:rsidTr="00B93C84">
        <w:tc>
          <w:tcPr>
            <w:tcW w:w="7479" w:type="dxa"/>
          </w:tcPr>
          <w:p w14:paraId="774B0142" w14:textId="77777777" w:rsidR="00946431" w:rsidRPr="00896331" w:rsidRDefault="00946431" w:rsidP="00D9627C">
            <w:pPr>
              <w:pStyle w:val="naiskr"/>
              <w:spacing w:before="0" w:after="0"/>
              <w:jc w:val="both"/>
              <w:rPr>
                <w:color w:val="000000"/>
              </w:rPr>
            </w:pPr>
          </w:p>
          <w:p w14:paraId="137C344B" w14:textId="77777777" w:rsidR="00946431" w:rsidRPr="00896331" w:rsidRDefault="00946431" w:rsidP="00D9627C">
            <w:pPr>
              <w:pStyle w:val="naiskr"/>
              <w:spacing w:before="0" w:after="0"/>
              <w:jc w:val="both"/>
              <w:rPr>
                <w:color w:val="000000"/>
              </w:rPr>
            </w:pPr>
            <w:r w:rsidRPr="00896331">
              <w:rPr>
                <w:color w:val="000000"/>
              </w:rPr>
              <w:t>Ministrijas (citas institūcijas), kuras nav ieradušās uz sanāksmi vai kuras nav atbildējušas uz uzaicinājumu piedalīties elektroniskajā saskaņošanā</w:t>
            </w:r>
          </w:p>
        </w:tc>
        <w:tc>
          <w:tcPr>
            <w:tcW w:w="6237" w:type="dxa"/>
            <w:gridSpan w:val="2"/>
          </w:tcPr>
          <w:p w14:paraId="1EEEE9B4" w14:textId="77777777" w:rsidR="00946431" w:rsidRPr="00896331" w:rsidRDefault="00946431" w:rsidP="00D9627C">
            <w:pPr>
              <w:pStyle w:val="naiskr"/>
              <w:spacing w:before="0" w:after="0"/>
              <w:ind w:left="-108"/>
              <w:jc w:val="both"/>
              <w:rPr>
                <w:color w:val="000000"/>
              </w:rPr>
            </w:pPr>
          </w:p>
          <w:p w14:paraId="4E886AAB" w14:textId="77777777" w:rsidR="00946431" w:rsidRPr="00896331" w:rsidRDefault="00946431" w:rsidP="00D9627C">
            <w:pPr>
              <w:pStyle w:val="naiskr"/>
              <w:spacing w:before="0" w:after="0"/>
              <w:ind w:left="176"/>
              <w:jc w:val="both"/>
              <w:rPr>
                <w:color w:val="000000"/>
              </w:rPr>
            </w:pPr>
            <w:r w:rsidRPr="00896331">
              <w:rPr>
                <w:color w:val="000000"/>
              </w:rPr>
              <w:t>-</w:t>
            </w:r>
          </w:p>
        </w:tc>
      </w:tr>
    </w:tbl>
    <w:p w14:paraId="4D76618C" w14:textId="77777777" w:rsidR="00704D6C" w:rsidRPr="00896331" w:rsidRDefault="00704D6C" w:rsidP="00D9627C">
      <w:pPr>
        <w:pStyle w:val="naisf"/>
        <w:spacing w:before="0" w:after="0"/>
        <w:ind w:firstLine="0"/>
        <w:rPr>
          <w:b/>
          <w:color w:val="000000"/>
        </w:rPr>
      </w:pPr>
    </w:p>
    <w:p w14:paraId="5A099D54" w14:textId="77777777" w:rsidR="00704D6C" w:rsidRPr="00896331" w:rsidRDefault="00704D6C" w:rsidP="00D9627C">
      <w:pPr>
        <w:pStyle w:val="naisf"/>
        <w:spacing w:before="0" w:after="0"/>
        <w:ind w:firstLine="0"/>
        <w:rPr>
          <w:b/>
          <w:color w:val="000000"/>
        </w:rPr>
      </w:pPr>
    </w:p>
    <w:p w14:paraId="2DD1DA0D" w14:textId="77777777" w:rsidR="00946431" w:rsidRPr="00896331" w:rsidRDefault="00946431" w:rsidP="00D9627C">
      <w:pPr>
        <w:pStyle w:val="naisf"/>
        <w:spacing w:before="0" w:after="0"/>
        <w:ind w:firstLine="0"/>
        <w:jc w:val="center"/>
        <w:rPr>
          <w:b/>
          <w:color w:val="000000"/>
        </w:rPr>
      </w:pPr>
      <w:r w:rsidRPr="00896331">
        <w:rPr>
          <w:b/>
          <w:color w:val="000000"/>
        </w:rPr>
        <w:t>II Jautājumi, par kuriem saskaņošanā vienošanās ir panākta</w:t>
      </w:r>
    </w:p>
    <w:p w14:paraId="66A6FC29" w14:textId="77777777" w:rsidR="00946431" w:rsidRPr="00AD684B" w:rsidRDefault="00946431" w:rsidP="00D9627C">
      <w:pPr>
        <w:pStyle w:val="naisf"/>
        <w:spacing w:before="0" w:after="0"/>
        <w:ind w:firstLine="720"/>
        <w:rPr>
          <w:color w:val="000000"/>
        </w:rPr>
      </w:pPr>
    </w:p>
    <w:tbl>
      <w:tblPr>
        <w:tblpPr w:leftFromText="180" w:rightFromText="180" w:vertAnchor="text" w:tblpY="1"/>
        <w:tblOverlap w:val="never"/>
        <w:tblW w:w="1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693"/>
        <w:gridCol w:w="5954"/>
        <w:gridCol w:w="2977"/>
        <w:gridCol w:w="3259"/>
      </w:tblGrid>
      <w:tr w:rsidR="00620EBF" w:rsidRPr="00AD684B" w14:paraId="7F31BF3C" w14:textId="77777777" w:rsidTr="00C245EE">
        <w:tc>
          <w:tcPr>
            <w:tcW w:w="704" w:type="dxa"/>
            <w:vAlign w:val="center"/>
          </w:tcPr>
          <w:p w14:paraId="2F24B020" w14:textId="77777777" w:rsidR="00946431" w:rsidRPr="00AD684B" w:rsidRDefault="00946431" w:rsidP="00D9627C">
            <w:pPr>
              <w:pStyle w:val="naisc"/>
              <w:spacing w:before="0" w:after="0"/>
              <w:jc w:val="left"/>
            </w:pPr>
            <w:r w:rsidRPr="00AD684B">
              <w:t>Nr. p.k.</w:t>
            </w:r>
          </w:p>
        </w:tc>
        <w:tc>
          <w:tcPr>
            <w:tcW w:w="2693" w:type="dxa"/>
            <w:vAlign w:val="center"/>
          </w:tcPr>
          <w:p w14:paraId="2D857F70" w14:textId="77777777" w:rsidR="00946431" w:rsidRPr="00AD684B" w:rsidRDefault="00946431" w:rsidP="00D9627C">
            <w:pPr>
              <w:pStyle w:val="naisc"/>
              <w:spacing w:before="0" w:after="0"/>
              <w:ind w:firstLine="12"/>
            </w:pPr>
            <w:r w:rsidRPr="00AD684B">
              <w:t>Saskaņošanai nosūtītā projekta redakcija (konkrēta punkta (panta) redakcija)</w:t>
            </w:r>
          </w:p>
        </w:tc>
        <w:tc>
          <w:tcPr>
            <w:tcW w:w="5954" w:type="dxa"/>
            <w:vAlign w:val="center"/>
          </w:tcPr>
          <w:p w14:paraId="7576ADEC" w14:textId="77777777" w:rsidR="00946431" w:rsidRPr="00C3187A" w:rsidRDefault="00946431" w:rsidP="00D9627C">
            <w:pPr>
              <w:pStyle w:val="naisc"/>
              <w:spacing w:before="0" w:after="0"/>
              <w:ind w:right="3"/>
            </w:pPr>
            <w:r w:rsidRPr="00C3187A">
              <w:t>Atzinumā norādītais ministrijas (citas institūcijas) iebildums, kā arī saskaņošanā papildus izteiktais iebildums par projekta konkrēto punktu (pantu)</w:t>
            </w:r>
          </w:p>
        </w:tc>
        <w:tc>
          <w:tcPr>
            <w:tcW w:w="2977" w:type="dxa"/>
            <w:vAlign w:val="center"/>
          </w:tcPr>
          <w:p w14:paraId="64FB2673" w14:textId="77777777" w:rsidR="00946431" w:rsidRPr="00AD684B" w:rsidRDefault="00946431" w:rsidP="00D9627C">
            <w:pPr>
              <w:pStyle w:val="naisc"/>
              <w:spacing w:before="0" w:after="0"/>
              <w:ind w:firstLine="21"/>
            </w:pPr>
            <w:r w:rsidRPr="00AD684B">
              <w:t>Atbildīgās ministrijas norāde par to, ka iebildums ir ņemts vērā, vai informācija par saskaņošanā panākto alternatīvo risinājumu</w:t>
            </w:r>
          </w:p>
        </w:tc>
        <w:tc>
          <w:tcPr>
            <w:tcW w:w="3259" w:type="dxa"/>
            <w:vAlign w:val="center"/>
          </w:tcPr>
          <w:p w14:paraId="11FF0364" w14:textId="77777777" w:rsidR="00946431" w:rsidRPr="00AD684B" w:rsidRDefault="00946431" w:rsidP="00D9627C">
            <w:pPr>
              <w:jc w:val="center"/>
            </w:pPr>
            <w:r w:rsidRPr="00AD684B">
              <w:t>Projekta attiecīgā punkta (panta) galīgā redakcija</w:t>
            </w:r>
          </w:p>
        </w:tc>
      </w:tr>
      <w:tr w:rsidR="00620EBF" w:rsidRPr="00AD684B" w14:paraId="71B0BA00" w14:textId="77777777" w:rsidTr="00C245EE">
        <w:trPr>
          <w:trHeight w:val="245"/>
        </w:trPr>
        <w:tc>
          <w:tcPr>
            <w:tcW w:w="704" w:type="dxa"/>
          </w:tcPr>
          <w:p w14:paraId="32824B92" w14:textId="6550CAEA" w:rsidR="00946431" w:rsidRPr="00AD684B" w:rsidRDefault="00D43E4C" w:rsidP="00D9627C">
            <w:pPr>
              <w:pStyle w:val="naisc"/>
              <w:spacing w:before="0" w:after="0"/>
              <w:ind w:left="360"/>
            </w:pPr>
            <w:r w:rsidRPr="00AD684B">
              <w:t>1</w:t>
            </w:r>
          </w:p>
        </w:tc>
        <w:tc>
          <w:tcPr>
            <w:tcW w:w="2693" w:type="dxa"/>
          </w:tcPr>
          <w:p w14:paraId="4B99F3BC" w14:textId="77777777" w:rsidR="00946431" w:rsidRPr="00AD684B" w:rsidRDefault="00946431" w:rsidP="00C3187A">
            <w:pPr>
              <w:pStyle w:val="naisc"/>
              <w:spacing w:before="0" w:after="0"/>
              <w:ind w:firstLine="720"/>
            </w:pPr>
            <w:r w:rsidRPr="00AD684B">
              <w:t>2</w:t>
            </w:r>
          </w:p>
        </w:tc>
        <w:tc>
          <w:tcPr>
            <w:tcW w:w="5954" w:type="dxa"/>
          </w:tcPr>
          <w:p w14:paraId="6C284903" w14:textId="77777777" w:rsidR="00946431" w:rsidRPr="00C3187A" w:rsidRDefault="00946431" w:rsidP="00D9627C">
            <w:pPr>
              <w:pStyle w:val="naisc"/>
              <w:spacing w:before="0" w:after="0"/>
            </w:pPr>
            <w:r w:rsidRPr="00C3187A">
              <w:t>3</w:t>
            </w:r>
          </w:p>
        </w:tc>
        <w:tc>
          <w:tcPr>
            <w:tcW w:w="2977" w:type="dxa"/>
          </w:tcPr>
          <w:p w14:paraId="6085F07F" w14:textId="77777777" w:rsidR="00946431" w:rsidRPr="00AD684B" w:rsidRDefault="00946431" w:rsidP="00D9627C">
            <w:pPr>
              <w:pStyle w:val="naisc"/>
              <w:spacing w:before="0" w:after="0"/>
              <w:ind w:firstLine="34"/>
            </w:pPr>
            <w:r w:rsidRPr="00AD684B">
              <w:t>4</w:t>
            </w:r>
          </w:p>
        </w:tc>
        <w:tc>
          <w:tcPr>
            <w:tcW w:w="3259" w:type="dxa"/>
          </w:tcPr>
          <w:p w14:paraId="0D683472" w14:textId="77777777" w:rsidR="00946431" w:rsidRPr="00AD684B" w:rsidRDefault="00946431" w:rsidP="00D9627C">
            <w:pPr>
              <w:jc w:val="center"/>
            </w:pPr>
            <w:r w:rsidRPr="00AD684B">
              <w:t>5</w:t>
            </w:r>
          </w:p>
        </w:tc>
      </w:tr>
      <w:tr w:rsidR="00A44D42" w:rsidRPr="00AD684B" w14:paraId="7F502068" w14:textId="77777777" w:rsidTr="00C245EE">
        <w:trPr>
          <w:trHeight w:val="1001"/>
        </w:trPr>
        <w:tc>
          <w:tcPr>
            <w:tcW w:w="704" w:type="dxa"/>
          </w:tcPr>
          <w:p w14:paraId="11FE6262" w14:textId="77777777" w:rsidR="00A44D42" w:rsidRPr="00AD684B" w:rsidRDefault="00A44D42" w:rsidP="0024749D">
            <w:pPr>
              <w:pStyle w:val="naisc"/>
              <w:numPr>
                <w:ilvl w:val="0"/>
                <w:numId w:val="1"/>
              </w:numPr>
              <w:spacing w:after="0"/>
              <w:ind w:left="313"/>
            </w:pPr>
          </w:p>
        </w:tc>
        <w:tc>
          <w:tcPr>
            <w:tcW w:w="2693" w:type="dxa"/>
            <w:vMerge w:val="restart"/>
          </w:tcPr>
          <w:p w14:paraId="6710F848" w14:textId="76ACB7A0" w:rsidR="00A44D42" w:rsidRPr="00C41836" w:rsidRDefault="00A44D42" w:rsidP="0024749D">
            <w:pPr>
              <w:pStyle w:val="Default"/>
              <w:spacing w:before="75"/>
              <w:rPr>
                <w:rFonts w:eastAsiaTheme="minorHAnsi"/>
                <w:color w:val="auto"/>
              </w:rPr>
            </w:pPr>
            <w:r>
              <w:t xml:space="preserve">Jauns </w:t>
            </w:r>
            <w:proofErr w:type="spellStart"/>
            <w:r>
              <w:t>protokollēmuma</w:t>
            </w:r>
            <w:proofErr w:type="spellEnd"/>
            <w:r>
              <w:t xml:space="preserve"> punkts</w:t>
            </w:r>
          </w:p>
        </w:tc>
        <w:tc>
          <w:tcPr>
            <w:tcW w:w="5954" w:type="dxa"/>
          </w:tcPr>
          <w:p w14:paraId="5B0D685D" w14:textId="77777777" w:rsidR="00A44D42" w:rsidRDefault="00A44D42" w:rsidP="0024749D">
            <w:pPr>
              <w:pStyle w:val="naisc"/>
              <w:spacing w:before="0" w:after="0"/>
              <w:jc w:val="left"/>
              <w:rPr>
                <w:b/>
              </w:rPr>
            </w:pPr>
            <w:r w:rsidRPr="00A05BD5">
              <w:rPr>
                <w:b/>
              </w:rPr>
              <w:t>Finanšu ministrija</w:t>
            </w:r>
          </w:p>
          <w:p w14:paraId="2C699FB6" w14:textId="77777777" w:rsidR="00A44D42" w:rsidRDefault="00A44D42" w:rsidP="0024749D">
            <w:pPr>
              <w:pStyle w:val="naisc"/>
              <w:spacing w:before="0" w:after="0"/>
              <w:jc w:val="left"/>
            </w:pPr>
            <w:r>
              <w:t xml:space="preserve">Papildināt </w:t>
            </w:r>
            <w:proofErr w:type="spellStart"/>
            <w:r>
              <w:t>protokollēmuma</w:t>
            </w:r>
            <w:proofErr w:type="spellEnd"/>
            <w:r>
              <w:t xml:space="preserve"> projektu ar jaunu punktu:</w:t>
            </w:r>
          </w:p>
          <w:p w14:paraId="6B20E07B" w14:textId="77777777" w:rsidR="00A44D42" w:rsidRDefault="00A44D42" w:rsidP="0024749D">
            <w:pPr>
              <w:pStyle w:val="naisc"/>
              <w:spacing w:before="0" w:after="0"/>
              <w:jc w:val="left"/>
            </w:pPr>
          </w:p>
          <w:p w14:paraId="1111C238" w14:textId="6750C6F1" w:rsidR="00A44D42" w:rsidRPr="005361FF" w:rsidRDefault="00A44D42" w:rsidP="0024749D">
            <w:pPr>
              <w:widowControl w:val="0"/>
              <w:spacing w:before="75"/>
              <w:jc w:val="both"/>
            </w:pPr>
            <w:r>
              <w:t>“</w:t>
            </w:r>
            <w:r w:rsidRPr="00A05BD5">
              <w:t xml:space="preserve">Lai nodrošinātu “Deklarācijas par Artura Krišjāņa Kariņa vadītā MK iecerēto darbību” 26. uzdevuma efektīvu izpildi, Ekonomikas ministrijai katru gadu līdz kārtējā gada 1. jūlijam veikt </w:t>
            </w:r>
            <w:proofErr w:type="spellStart"/>
            <w:r w:rsidRPr="00A05BD5">
              <w:t>izvērtējumu</w:t>
            </w:r>
            <w:proofErr w:type="spellEnd"/>
            <w:r w:rsidRPr="00A05BD5">
              <w:t xml:space="preserve"> par prognozētām izmaiņām darba spēka un būvmateriālu izmaksās būvniecības nozarē, analizējot tendences, kā arī līdz kārtējā gada 1.</w:t>
            </w:r>
            <w:r>
              <w:t xml:space="preserve"> </w:t>
            </w:r>
            <w:r w:rsidRPr="00A05BD5">
              <w:t xml:space="preserve">augustam informēt Ministru kabinetu par </w:t>
            </w:r>
            <w:proofErr w:type="spellStart"/>
            <w:r w:rsidRPr="00A05BD5">
              <w:t>izvērtējuma</w:t>
            </w:r>
            <w:proofErr w:type="spellEnd"/>
            <w:r w:rsidRPr="00A05BD5">
              <w:t xml:space="preserve"> rezultātiem, sniedzot priekšlikumus nepieciešamai rīcībai, lai laikus novērstu tautsaimniecības pārkāršanas riskus. Ekonomikas ministrijai ņemt vērā  šī </w:t>
            </w:r>
            <w:proofErr w:type="spellStart"/>
            <w:r w:rsidRPr="00A05BD5">
              <w:t>protokollēmuma</w:t>
            </w:r>
            <w:proofErr w:type="spellEnd"/>
            <w:r w:rsidRPr="00A05BD5">
              <w:t xml:space="preserve"> 2. punktā minēto un katru gadu aktualizēto informāciju par Eiropas Savienības fondu investīciju prognozi. Atzīt par aktualitāti zaudējušu Ministru kabineta 2017. gada 28.augusta sēdes </w:t>
            </w:r>
            <w:proofErr w:type="spellStart"/>
            <w:r w:rsidRPr="00A05BD5">
              <w:t>protokollēmuma</w:t>
            </w:r>
            <w:proofErr w:type="spellEnd"/>
            <w:r w:rsidRPr="00A05BD5">
              <w:t xml:space="preserve"> Nr. 41 1. § “Informatīvais ziņojums “Par valsts budžeta izdevumu pārskatīšanas 2018., 2019. un 2020.gadam rezultātiem un priekšlikumi par šo rezultātu izmantošanu likumprojekta “Par vidēja termiņa budžeta ietvaru 2018., 2019. un 2020.gadam” un likumprojekta “Par valsts budžetu 2018.gadam” izstrādes procesā” 7. punktu.</w:t>
            </w:r>
            <w:r>
              <w:t>”</w:t>
            </w:r>
          </w:p>
        </w:tc>
        <w:tc>
          <w:tcPr>
            <w:tcW w:w="2977" w:type="dxa"/>
          </w:tcPr>
          <w:p w14:paraId="71548C92" w14:textId="20ECF9EC" w:rsidR="00A44D42" w:rsidRPr="00C92949" w:rsidRDefault="00A44D42" w:rsidP="0024749D">
            <w:pPr>
              <w:spacing w:before="75"/>
              <w:jc w:val="center"/>
            </w:pPr>
            <w:r w:rsidRPr="00A05BD5">
              <w:rPr>
                <w:b/>
              </w:rPr>
              <w:t>Ņemts vērā</w:t>
            </w:r>
          </w:p>
        </w:tc>
        <w:tc>
          <w:tcPr>
            <w:tcW w:w="3259" w:type="dxa"/>
            <w:vMerge w:val="restart"/>
          </w:tcPr>
          <w:p w14:paraId="53A1C003" w14:textId="33941DD5" w:rsidR="00A44D42" w:rsidRPr="009541F4" w:rsidRDefault="00A44D42" w:rsidP="006E582A">
            <w:pPr>
              <w:jc w:val="both"/>
            </w:pPr>
            <w:r>
              <w:t xml:space="preserve">Papildināts </w:t>
            </w:r>
            <w:proofErr w:type="spellStart"/>
            <w:r>
              <w:t>p</w:t>
            </w:r>
            <w:r w:rsidRPr="00A525A8">
              <w:t>rotokollēmuma</w:t>
            </w:r>
            <w:proofErr w:type="spellEnd"/>
            <w:r w:rsidRPr="00A525A8">
              <w:t xml:space="preserve"> </w:t>
            </w:r>
            <w:r>
              <w:t xml:space="preserve">projekts ar 3. punktu: “3. </w:t>
            </w:r>
            <w:r w:rsidRPr="009541F4">
              <w:t>Lai nodrošinātu “Deklarācijas par Artura Krišjāņa Kariņa vadītā M</w:t>
            </w:r>
            <w:r>
              <w:t>inistru kabineta</w:t>
            </w:r>
            <w:r w:rsidRPr="009541F4">
              <w:t xml:space="preserve"> iecerēto darbību” 26. uzdevuma efektīvu izpildi, Ekonomikas ministrijai katru gadu līdz kārtējā gada 1. jūlijam veikt </w:t>
            </w:r>
            <w:proofErr w:type="spellStart"/>
            <w:r w:rsidRPr="009541F4">
              <w:t>izvērtējumu</w:t>
            </w:r>
            <w:proofErr w:type="spellEnd"/>
            <w:r w:rsidRPr="009541F4">
              <w:t xml:space="preserve"> par prognozētām izmaiņām darba spēka un būvmateriālu izmaksās būvniecības nozarē, analizējot tendences, kā arī līdz kārtējā gada 1.augustam informēt Ministru kabinetu par </w:t>
            </w:r>
            <w:proofErr w:type="spellStart"/>
            <w:r w:rsidRPr="009541F4">
              <w:t>izvērtējuma</w:t>
            </w:r>
            <w:proofErr w:type="spellEnd"/>
            <w:r w:rsidRPr="009541F4">
              <w:t xml:space="preserve"> rezultātiem, sniedzot priekšlikumus nepieciešamai rīcībai, lai laikus novērstu tautsaimniecības pārkāršanas riskus. </w:t>
            </w:r>
            <w:r>
              <w:t>”.</w:t>
            </w:r>
            <w:r w:rsidRPr="00A525A8">
              <w:t xml:space="preserve"> </w:t>
            </w:r>
          </w:p>
        </w:tc>
      </w:tr>
      <w:tr w:rsidR="00A44D42" w:rsidRPr="00AD684B" w14:paraId="2384E8AE" w14:textId="77777777" w:rsidTr="00C245EE">
        <w:trPr>
          <w:trHeight w:val="1001"/>
        </w:trPr>
        <w:tc>
          <w:tcPr>
            <w:tcW w:w="704" w:type="dxa"/>
          </w:tcPr>
          <w:p w14:paraId="0F0A0F4C" w14:textId="77777777" w:rsidR="00A44D42" w:rsidRPr="00AD684B" w:rsidRDefault="00A44D42" w:rsidP="0024749D">
            <w:pPr>
              <w:pStyle w:val="naisc"/>
              <w:numPr>
                <w:ilvl w:val="0"/>
                <w:numId w:val="1"/>
              </w:numPr>
              <w:spacing w:after="0"/>
              <w:ind w:left="313"/>
            </w:pPr>
          </w:p>
        </w:tc>
        <w:tc>
          <w:tcPr>
            <w:tcW w:w="2693" w:type="dxa"/>
            <w:vMerge/>
          </w:tcPr>
          <w:p w14:paraId="0FF981FF" w14:textId="77777777" w:rsidR="00A44D42" w:rsidRDefault="00A44D42" w:rsidP="0024749D">
            <w:pPr>
              <w:pStyle w:val="Default"/>
              <w:spacing w:before="75"/>
            </w:pPr>
          </w:p>
        </w:tc>
        <w:tc>
          <w:tcPr>
            <w:tcW w:w="5954" w:type="dxa"/>
          </w:tcPr>
          <w:p w14:paraId="13278F47" w14:textId="43539BAA" w:rsidR="00A44D42" w:rsidRDefault="00A44D42" w:rsidP="00A44D42">
            <w:pPr>
              <w:spacing w:after="120"/>
              <w:jc w:val="both"/>
              <w:rPr>
                <w:b/>
              </w:rPr>
            </w:pPr>
            <w:r>
              <w:rPr>
                <w:b/>
              </w:rPr>
              <w:t>Ekonomikas ministrija</w:t>
            </w:r>
            <w:r w:rsidR="00D0756A">
              <w:rPr>
                <w:b/>
              </w:rPr>
              <w:t>s izteiktais iebildums 25.02.2019</w:t>
            </w:r>
          </w:p>
          <w:p w14:paraId="578B9CD8" w14:textId="6256EC1E" w:rsidR="00A44D42" w:rsidRPr="00CF54AE" w:rsidRDefault="00A44D42" w:rsidP="00A44D42">
            <w:pPr>
              <w:spacing w:after="120"/>
              <w:jc w:val="both"/>
            </w:pPr>
            <w:r w:rsidRPr="00CF54AE">
              <w:t xml:space="preserve">Lūdzam svītrot </w:t>
            </w:r>
            <w:proofErr w:type="spellStart"/>
            <w:r w:rsidRPr="00CF54AE">
              <w:t>protokollēmuma</w:t>
            </w:r>
            <w:proofErr w:type="spellEnd"/>
            <w:r w:rsidRPr="00CF54AE">
              <w:t xml:space="preserve"> projekta 3.punktā iekļauto teikumu “Ekonomikas ministrijai ņemt vērā šī </w:t>
            </w:r>
            <w:proofErr w:type="spellStart"/>
            <w:r w:rsidRPr="00CF54AE">
              <w:t>protokollēmuma</w:t>
            </w:r>
            <w:proofErr w:type="spellEnd"/>
            <w:r w:rsidRPr="00CF54AE">
              <w:t xml:space="preserve"> 2. punktā minēto un katru gadu aktualizēto informāciju par Eiropas Savienības fondu investīciju prognozi.”, jo nav skaidrs, kas tieši papildus Ekonomikas ministrijai ar to tiek uzdots un kāpēc </w:t>
            </w:r>
            <w:proofErr w:type="spellStart"/>
            <w:r w:rsidRPr="00CF54AE">
              <w:t>protokollēmuma</w:t>
            </w:r>
            <w:proofErr w:type="spellEnd"/>
            <w:r w:rsidRPr="00CF54AE">
              <w:t xml:space="preserve"> 2. punktā minētais ir saistošs tikai Ekonomikas ministrijai. </w:t>
            </w:r>
          </w:p>
          <w:p w14:paraId="71FCCDA1" w14:textId="220CE582" w:rsidR="00A44D42" w:rsidRPr="00A05BD5" w:rsidRDefault="00A44D42" w:rsidP="00A44D42">
            <w:pPr>
              <w:pStyle w:val="naisc"/>
              <w:spacing w:before="0" w:after="0"/>
              <w:jc w:val="both"/>
              <w:rPr>
                <w:b/>
              </w:rPr>
            </w:pPr>
            <w:r w:rsidRPr="00CF54AE">
              <w:t xml:space="preserve">“Lai nodrošinātu “Deklarācijas par Artura Krišjāņa Kariņa vadītā MK iecerēto darbību” 26. uzdevuma efektīvu izpildi, Ekonomikas ministrijai katru gadu līdz kārtējā gada 1. </w:t>
            </w:r>
            <w:r w:rsidRPr="00CF54AE">
              <w:lastRenderedPageBreak/>
              <w:t xml:space="preserve">jūlijam veikt </w:t>
            </w:r>
            <w:proofErr w:type="spellStart"/>
            <w:r w:rsidRPr="00CF54AE">
              <w:t>izvērtējumu</w:t>
            </w:r>
            <w:proofErr w:type="spellEnd"/>
            <w:r w:rsidRPr="00CF54AE">
              <w:t xml:space="preserve"> par prognozētām izmaiņām darba spēka un būvmateriālu izmaksās būvniecības nozarē, analizējot tendences, kā arī līdz kārtējā gada 1.augustam informēt Ministru kabinetu par </w:t>
            </w:r>
            <w:proofErr w:type="spellStart"/>
            <w:r w:rsidRPr="00CF54AE">
              <w:t>izvērtējuma</w:t>
            </w:r>
            <w:proofErr w:type="spellEnd"/>
            <w:r w:rsidRPr="00CF54AE">
              <w:t xml:space="preserve"> rezultātiem, sniedzot priekšlikumus nepieciešamai rīcībai, lai laikus novērstu tautsaimniecības pārkāršanas riskus</w:t>
            </w:r>
            <w:r w:rsidRPr="00232EA7">
              <w:t xml:space="preserve">. </w:t>
            </w:r>
            <w:r w:rsidRPr="00CF54AE">
              <w:rPr>
                <w:strike/>
              </w:rPr>
              <w:t xml:space="preserve">Ekonomikas ministrijai ņemt vērā šī </w:t>
            </w:r>
            <w:proofErr w:type="spellStart"/>
            <w:r w:rsidRPr="00CF54AE">
              <w:rPr>
                <w:strike/>
              </w:rPr>
              <w:t>protokollēmuma</w:t>
            </w:r>
            <w:proofErr w:type="spellEnd"/>
            <w:r w:rsidRPr="00CF54AE">
              <w:rPr>
                <w:strike/>
              </w:rPr>
              <w:t xml:space="preserve"> 2. punktā minēto un katru gadu aktualizēto informāciju par Eiropas Savienības fondu investīciju prognozi.</w:t>
            </w:r>
            <w:r w:rsidRPr="00CF54AE">
              <w:t xml:space="preserve"> Atzīt par aktualitāti zaudējušu Ministru kabineta 2017. gada 28.augusta sēdes </w:t>
            </w:r>
            <w:proofErr w:type="spellStart"/>
            <w:r w:rsidRPr="00CF54AE">
              <w:t>protokollēmuma</w:t>
            </w:r>
            <w:proofErr w:type="spellEnd"/>
            <w:r w:rsidRPr="00CF54AE">
              <w:t xml:space="preserve"> Nr. 41 1. § “Informatīvais ziņojums “Par valsts budžeta izdevumu pārskatīšanas 2018., 2019. un 2020.gadam rezultātiem un priekšlikumi par šo rezultātu izmantošanu likumprojekta “Par vidēja termiņa budžeta ietvaru 2018., 2019. un 2020.gadam” un likumprojekta “Par valsts budžetu 2018.gadam” izstrādes procesā” 7. punktu.”</w:t>
            </w:r>
          </w:p>
        </w:tc>
        <w:tc>
          <w:tcPr>
            <w:tcW w:w="2977" w:type="dxa"/>
          </w:tcPr>
          <w:p w14:paraId="0A6989F6" w14:textId="68599B03" w:rsidR="00A44D42" w:rsidRPr="00A05BD5" w:rsidRDefault="00A44D42" w:rsidP="0024749D">
            <w:pPr>
              <w:spacing w:before="75"/>
              <w:jc w:val="center"/>
              <w:rPr>
                <w:b/>
              </w:rPr>
            </w:pPr>
            <w:r>
              <w:rPr>
                <w:b/>
              </w:rPr>
              <w:lastRenderedPageBreak/>
              <w:t>Ņemts vēr</w:t>
            </w:r>
            <w:r w:rsidR="00434929">
              <w:rPr>
                <w:b/>
              </w:rPr>
              <w:t>ā</w:t>
            </w:r>
          </w:p>
        </w:tc>
        <w:tc>
          <w:tcPr>
            <w:tcW w:w="3259" w:type="dxa"/>
            <w:vMerge/>
          </w:tcPr>
          <w:p w14:paraId="0DDE4836" w14:textId="77777777" w:rsidR="00A44D42" w:rsidRDefault="00A44D42" w:rsidP="006E582A">
            <w:pPr>
              <w:jc w:val="both"/>
            </w:pPr>
          </w:p>
        </w:tc>
      </w:tr>
      <w:tr w:rsidR="0024749D" w:rsidRPr="00AD684B" w14:paraId="22E7016C" w14:textId="77777777" w:rsidTr="00C245EE">
        <w:trPr>
          <w:trHeight w:val="1001"/>
        </w:trPr>
        <w:tc>
          <w:tcPr>
            <w:tcW w:w="704" w:type="dxa"/>
          </w:tcPr>
          <w:p w14:paraId="61A95B0B" w14:textId="77777777" w:rsidR="0024749D" w:rsidRPr="00AD684B" w:rsidRDefault="0024749D" w:rsidP="0024749D">
            <w:pPr>
              <w:pStyle w:val="naisc"/>
              <w:numPr>
                <w:ilvl w:val="0"/>
                <w:numId w:val="1"/>
              </w:numPr>
              <w:spacing w:after="0"/>
              <w:ind w:left="313"/>
            </w:pPr>
          </w:p>
        </w:tc>
        <w:tc>
          <w:tcPr>
            <w:tcW w:w="2693" w:type="dxa"/>
          </w:tcPr>
          <w:p w14:paraId="39169042" w14:textId="45770C86" w:rsidR="0024749D" w:rsidRDefault="0024749D" w:rsidP="0024749D">
            <w:pPr>
              <w:pStyle w:val="Default"/>
              <w:spacing w:before="75"/>
              <w:rPr>
                <w:rFonts w:eastAsiaTheme="minorHAnsi"/>
              </w:rPr>
            </w:pPr>
            <w:r>
              <w:rPr>
                <w:rFonts w:eastAsiaTheme="minorHAnsi"/>
              </w:rPr>
              <w:t xml:space="preserve">Jauns </w:t>
            </w:r>
            <w:proofErr w:type="spellStart"/>
            <w:r>
              <w:rPr>
                <w:rFonts w:eastAsiaTheme="minorHAnsi"/>
              </w:rPr>
              <w:t>protokollēmuma</w:t>
            </w:r>
            <w:proofErr w:type="spellEnd"/>
            <w:r>
              <w:rPr>
                <w:rFonts w:eastAsiaTheme="minorHAnsi"/>
              </w:rPr>
              <w:t xml:space="preserve"> punkts</w:t>
            </w:r>
          </w:p>
        </w:tc>
        <w:tc>
          <w:tcPr>
            <w:tcW w:w="5954" w:type="dxa"/>
          </w:tcPr>
          <w:p w14:paraId="03284F8B" w14:textId="77777777" w:rsidR="0024749D" w:rsidRPr="00C77943" w:rsidRDefault="0024749D" w:rsidP="0024749D">
            <w:pPr>
              <w:spacing w:before="75" w:after="120"/>
              <w:jc w:val="both"/>
              <w:rPr>
                <w:b/>
              </w:rPr>
            </w:pPr>
            <w:r w:rsidRPr="00C77943">
              <w:rPr>
                <w:b/>
              </w:rPr>
              <w:t xml:space="preserve">Vides aizsardzības un reģionālās attīstības ministrija </w:t>
            </w:r>
          </w:p>
          <w:p w14:paraId="3C803953" w14:textId="77777777" w:rsidR="0024749D" w:rsidRPr="00C77943" w:rsidRDefault="0024749D" w:rsidP="0024749D">
            <w:pPr>
              <w:spacing w:before="75" w:after="120"/>
              <w:jc w:val="both"/>
            </w:pPr>
            <w:r w:rsidRPr="00C77943">
              <w:t xml:space="preserve">Aicinām papildināt </w:t>
            </w:r>
            <w:proofErr w:type="spellStart"/>
            <w:r w:rsidRPr="00C77943">
              <w:t>protokollēmuma</w:t>
            </w:r>
            <w:proofErr w:type="spellEnd"/>
            <w:r w:rsidRPr="00C77943">
              <w:t xml:space="preserve"> projektu ar jaunu punktu, nosakot, ka piešķirto valsts budžeta </w:t>
            </w:r>
            <w:proofErr w:type="spellStart"/>
            <w:r w:rsidRPr="00C77943">
              <w:t>virssaistību</w:t>
            </w:r>
            <w:proofErr w:type="spellEnd"/>
            <w:r w:rsidRPr="00C77943">
              <w:t xml:space="preserve"> segšanai vai citiem mērķiem netiek pārdalīts snieguma rezerves finansējums, kas paredzēts:</w:t>
            </w:r>
          </w:p>
          <w:p w14:paraId="1E23F6FB" w14:textId="77777777" w:rsidR="0024749D" w:rsidRPr="00C77943" w:rsidRDefault="0024749D" w:rsidP="0024749D">
            <w:pPr>
              <w:spacing w:before="75" w:after="120"/>
              <w:jc w:val="both"/>
            </w:pPr>
            <w:r>
              <w:t xml:space="preserve">a. </w:t>
            </w:r>
            <w:r w:rsidRPr="00C77943">
              <w:t xml:space="preserve">tiem specifiskajiem atbalsta mērķiem (turpmāk – SAM), kuru ietvaros tika atļauta snieguma rezerves </w:t>
            </w:r>
            <w:proofErr w:type="spellStart"/>
            <w:r w:rsidRPr="00C77943">
              <w:t>priekšfinansēšana</w:t>
            </w:r>
            <w:proofErr w:type="spellEnd"/>
            <w:r w:rsidRPr="00C77943">
              <w:t xml:space="preserve">. Minētais papildinājums ir nepieciešams, jo pašvaldības jau ir ieguldījušas savu finansējumu, lai </w:t>
            </w:r>
            <w:proofErr w:type="spellStart"/>
            <w:r w:rsidRPr="00C77943">
              <w:t>priekšfinansētu</w:t>
            </w:r>
            <w:proofErr w:type="spellEnd"/>
            <w:r w:rsidRPr="00C77943">
              <w:t xml:space="preserve"> to attīstībai nozīmīgus projektus, kas, atbilstoši Ministru kabineta noteikumos par SAM īstenošanu noteiktajam,  potenciāli tikai uz laiku aizstāj ERAF finansējumu – līdz pozitīva Eiropas Komisijas lēmuma par snieguma rezerves izpildi saņemšanai. Snieguma rezerves finansējuma apjoms, par kuru tika atļauta snieguma rezerves </w:t>
            </w:r>
            <w:proofErr w:type="spellStart"/>
            <w:r w:rsidRPr="00C77943">
              <w:t>priekšfinansēšana</w:t>
            </w:r>
            <w:proofErr w:type="spellEnd"/>
            <w:r w:rsidRPr="00C77943">
              <w:t xml:space="preserve"> SAM 4.2.2.   1.kārtas un SAM 5.6.2.  1., 2. un 3.kārtas ietvaros un kas pozitīva Eiropas Komisijas </w:t>
            </w:r>
            <w:r w:rsidRPr="00C77943">
              <w:lastRenderedPageBreak/>
              <w:t xml:space="preserve">lēmuma par snieguma rezerves izpildi gadījumā tiktu izmantots attiecīgo SAM ietvaros, ir 15 384 293 eiro. </w:t>
            </w:r>
          </w:p>
          <w:p w14:paraId="64C6ACC9" w14:textId="77777777" w:rsidR="0024749D" w:rsidRPr="00C77943" w:rsidRDefault="0024749D" w:rsidP="0024749D">
            <w:pPr>
              <w:spacing w:before="75" w:after="120"/>
              <w:jc w:val="both"/>
            </w:pPr>
            <w:r w:rsidRPr="00C77943">
              <w:t xml:space="preserve">Piemēram, Rēzeknes pilsētas pašvaldībai (Latgale) SAM 4.2.2. ietvaros ir apstiprināti projekti par visu tai pieejamo ERAF finansējumu, t.sk. projektā tiek veikta snieguma rezerves </w:t>
            </w:r>
            <w:proofErr w:type="spellStart"/>
            <w:r w:rsidRPr="00C77943">
              <w:t>priekšfinansēšana</w:t>
            </w:r>
            <w:proofErr w:type="spellEnd"/>
            <w:r w:rsidRPr="00C77943">
              <w:t>, ņemot vērā, ka DP 4.prioriārā virziena ietvaros VARAM pārziņā esošā SAM 4.2.2. ietvaros ir ievērojami pārsniegts tam proporcionāli noteiktais sasniedzamais deklarējamā finansējuma apmērs (deklarēti maksājumi 292% apmērā, kopējā deklarēto maksājumu prognoze pēc iesniegto maksājumu izskatīšanas – 510% no DP noteiktā starpposma rādītāja);</w:t>
            </w:r>
          </w:p>
          <w:p w14:paraId="31A916F5" w14:textId="34DF7E4D" w:rsidR="0024749D" w:rsidRPr="00C77943" w:rsidRDefault="0024749D" w:rsidP="0024749D">
            <w:pPr>
              <w:spacing w:before="75" w:after="120"/>
              <w:jc w:val="both"/>
              <w:rPr>
                <w:b/>
              </w:rPr>
            </w:pPr>
            <w:r>
              <w:t xml:space="preserve">b. </w:t>
            </w:r>
            <w:r w:rsidRPr="00C77943">
              <w:t>5.prioriārā virziena Kohēzijas fonda specifisko atbalsta mērķa ieviešanai, ievērojot 2021. – 2027.gada  ES fondu plānošanas perioda nosacījumu regulējuma projektu attiecībā uz atbalsta tvērumu vides nozarē un potenciālo nosacījumu par atbalsta iespējam atkritumu reģenerācijas darbībām tikai pakāpeniski īstenojamām darbībām, kuru īstenošana pirmajā posmā uzsākta 2014. – 2020.gada plānošanas perioda ietvaros, kā arī ievērojot 5.prioritāra virzienos uz šī atzinuma sagatavošanas brīdi samaksāto un izskatīšanā esošo maksājumu apjomu, kas sasniedz 5.prioritārā virziena Kohēzijas fonda snieguma ietvaru. Kohēzijas fonda rezerves finansējuma apjoms, kas pozitīva Eiropas Komisijas lēmuma par snieguma rezerves izpildi gadījumā tiktu izmantots attiecīgo SAM ietvaros, ir 11 763 234 eiro;</w:t>
            </w:r>
          </w:p>
        </w:tc>
        <w:tc>
          <w:tcPr>
            <w:tcW w:w="2977" w:type="dxa"/>
          </w:tcPr>
          <w:p w14:paraId="1577B068" w14:textId="5E20D918" w:rsidR="002D515B" w:rsidRDefault="0024749D" w:rsidP="0024749D">
            <w:pPr>
              <w:spacing w:before="75" w:after="120"/>
              <w:jc w:val="both"/>
            </w:pPr>
            <w:r w:rsidRPr="003827E3">
              <w:rPr>
                <w:b/>
              </w:rPr>
              <w:lastRenderedPageBreak/>
              <w:t>Skaidrojam</w:t>
            </w:r>
            <w:r>
              <w:t xml:space="preserve">, ka </w:t>
            </w:r>
            <w:r w:rsidR="002D515B">
              <w:t xml:space="preserve">ņemot vērā saskaņošanas laikā saņemtos iebildumus, </w:t>
            </w:r>
            <w:proofErr w:type="spellStart"/>
            <w:r w:rsidR="002D515B">
              <w:t>protokollēmuma</w:t>
            </w:r>
            <w:proofErr w:type="spellEnd"/>
            <w:r w:rsidR="00511F42">
              <w:t xml:space="preserve"> projektā</w:t>
            </w:r>
            <w:r w:rsidR="002D515B">
              <w:t xml:space="preserve"> ir svītrots </w:t>
            </w:r>
            <w:r w:rsidR="00511F42">
              <w:t>4.</w:t>
            </w:r>
            <w:r w:rsidR="002D515B">
              <w:t>punkts</w:t>
            </w:r>
            <w:r w:rsidR="00511F42">
              <w:t>, kas paredzēja</w:t>
            </w:r>
            <w:r w:rsidR="002D515B">
              <w:t xml:space="preserve"> snieguma rezerves ātrāku izmantošanu.</w:t>
            </w:r>
          </w:p>
          <w:p w14:paraId="7CFD1D4C" w14:textId="0E2D029C" w:rsidR="0024749D" w:rsidRDefault="00511F42" w:rsidP="0024749D">
            <w:pPr>
              <w:spacing w:before="75" w:after="120"/>
              <w:jc w:val="both"/>
            </w:pPr>
            <w:r>
              <w:t xml:space="preserve">Ar šo </w:t>
            </w:r>
            <w:r w:rsidR="0024749D">
              <w:t>informatīvā ziņ</w:t>
            </w:r>
            <w:r>
              <w:t xml:space="preserve">ojuma un </w:t>
            </w:r>
            <w:proofErr w:type="spellStart"/>
            <w:r>
              <w:t>protokollēmuma</w:t>
            </w:r>
            <w:proofErr w:type="spellEnd"/>
            <w:r>
              <w:t xml:space="preserve"> projektu</w:t>
            </w:r>
            <w:r w:rsidR="0024749D">
              <w:t xml:space="preserve"> </w:t>
            </w:r>
            <w:r>
              <w:t>paredzēts</w:t>
            </w:r>
            <w:r w:rsidR="0024749D">
              <w:t xml:space="preserve"> </w:t>
            </w:r>
            <w:r w:rsidR="005D1386">
              <w:t xml:space="preserve"> valdībā </w:t>
            </w:r>
            <w:r w:rsidR="0024749D">
              <w:t>izska</w:t>
            </w:r>
            <w:r w:rsidR="002D515B">
              <w:t xml:space="preserve">tīt jautājumu un pieņemt </w:t>
            </w:r>
            <w:r>
              <w:t xml:space="preserve">tālāko </w:t>
            </w:r>
            <w:r w:rsidR="002D515B">
              <w:t>rīcības plānu</w:t>
            </w:r>
            <w:r w:rsidR="0024749D">
              <w:t xml:space="preserve"> snieguma rezerves finansējuma izlietošanai</w:t>
            </w:r>
            <w:r>
              <w:t xml:space="preserve"> 2019.gada otrajā pusē pēc precīzas informācijas par mērķu izpildi un EK lēmuma</w:t>
            </w:r>
            <w:r w:rsidR="002D515B">
              <w:t>.</w:t>
            </w:r>
            <w:r>
              <w:t xml:space="preserve"> Tad būs iespēja valdībā </w:t>
            </w:r>
            <w:r>
              <w:lastRenderedPageBreak/>
              <w:t xml:space="preserve">kompleksi izvērtēt snieguma ietvara rezultātus un citus </w:t>
            </w:r>
            <w:r w:rsidRPr="004430C2">
              <w:t xml:space="preserve">apsvērumus, tai skaitā </w:t>
            </w:r>
            <w:r w:rsidRPr="00A71324">
              <w:t xml:space="preserve"> Vides aizsardzības un reģionālās attīstības ministrijas sniegtos</w:t>
            </w:r>
            <w:r w:rsidRPr="00A247A0">
              <w:t>,</w:t>
            </w:r>
            <w:r>
              <w:rPr>
                <w:b/>
              </w:rPr>
              <w:t xml:space="preserve"> </w:t>
            </w:r>
            <w:r>
              <w:t>lai nodrošinātu vienotu pieeju.</w:t>
            </w:r>
          </w:p>
          <w:p w14:paraId="635452E7" w14:textId="2C706C99" w:rsidR="002D515B" w:rsidRDefault="0024749D" w:rsidP="0024749D">
            <w:pPr>
              <w:spacing w:before="75" w:after="120"/>
              <w:jc w:val="both"/>
            </w:pPr>
            <w:r>
              <w:t xml:space="preserve">Atbilstoši informatīvā ziņojuma un </w:t>
            </w:r>
            <w:proofErr w:type="spellStart"/>
            <w:r>
              <w:t>protokollēmuma</w:t>
            </w:r>
            <w:proofErr w:type="spellEnd"/>
            <w:r>
              <w:t xml:space="preserve"> projektam 2019. gada vasarā – rudenī Finanšu ministrija apkopos priekšlikumus snieguma rezerves finansējuma izmantošanai. </w:t>
            </w:r>
            <w:r w:rsidR="00511F42">
              <w:t xml:space="preserve"> </w:t>
            </w:r>
          </w:p>
          <w:p w14:paraId="44300CC7" w14:textId="1327BB1B" w:rsidR="0024749D" w:rsidRPr="002D515B" w:rsidRDefault="002D515B" w:rsidP="00511F42">
            <w:pPr>
              <w:pStyle w:val="naisc"/>
              <w:jc w:val="both"/>
              <w:rPr>
                <w:lang w:eastAsia="en-US"/>
              </w:rPr>
            </w:pPr>
            <w:r>
              <w:t xml:space="preserve">Par atskaites punktu snieguma rezerves mērķu sasniegšanai atbilstoši vispārējā regulā un EK </w:t>
            </w:r>
            <w:r w:rsidRPr="00FB1F34">
              <w:t>vadlīnij</w:t>
            </w:r>
            <w:r>
              <w:t>ās par snieguma ietvara izpildi</w:t>
            </w:r>
            <w:r w:rsidRPr="00FB1F34">
              <w:t xml:space="preserve"> noteiktajam, tiek vērtēt</w:t>
            </w:r>
            <w:r>
              <w:t>i EK deklarētie izdevumi, kas finansējuma saņēmējam</w:t>
            </w:r>
            <w:r w:rsidRPr="00FB1F34">
              <w:t xml:space="preserve"> ir radušies līdz 2018. gada 31. decembrim un par kuriem līdz 2019. gada 30. jūnijam iesniegta deklarācija EK</w:t>
            </w:r>
            <w:r>
              <w:t>.</w:t>
            </w:r>
            <w:r w:rsidR="0024749D">
              <w:t xml:space="preserve"> </w:t>
            </w:r>
            <w:r w:rsidR="005D1386">
              <w:rPr>
                <w:lang w:eastAsia="en-US"/>
              </w:rPr>
              <w:t xml:space="preserve">Savukārt </w:t>
            </w:r>
            <w:r w:rsidR="00511F42" w:rsidRPr="00777F9F">
              <w:rPr>
                <w:lang w:eastAsia="en-US"/>
              </w:rPr>
              <w:t xml:space="preserve">EK </w:t>
            </w:r>
            <w:proofErr w:type="spellStart"/>
            <w:r w:rsidR="00511F42" w:rsidRPr="00777F9F">
              <w:rPr>
                <w:lang w:eastAsia="en-US"/>
              </w:rPr>
              <w:t>nosūta</w:t>
            </w:r>
            <w:proofErr w:type="spellEnd"/>
            <w:r w:rsidR="00511F42" w:rsidRPr="00777F9F">
              <w:rPr>
                <w:lang w:eastAsia="en-US"/>
              </w:rPr>
              <w:t xml:space="preserve"> dalībvalstīm lēmumu par snieguma ietvara izpildi 2019.gada augustā. </w:t>
            </w:r>
          </w:p>
          <w:p w14:paraId="3EE28CD2" w14:textId="009BFC6E" w:rsidR="0024749D" w:rsidRPr="003827E3" w:rsidRDefault="0024749D" w:rsidP="00412F74">
            <w:pPr>
              <w:spacing w:before="75" w:after="120"/>
              <w:jc w:val="both"/>
              <w:rPr>
                <w:b/>
              </w:rPr>
            </w:pPr>
            <w:r>
              <w:t>Attiecīgi, Finanšu ministrija</w:t>
            </w:r>
            <w:r w:rsidR="005D1386">
              <w:t xml:space="preserve"> 2019. gada septembrī </w:t>
            </w:r>
            <w:r w:rsidR="005D1386">
              <w:lastRenderedPageBreak/>
              <w:t>izstrādās informatīvo ziņojumu, kura</w:t>
            </w:r>
            <w:r>
              <w:t xml:space="preserve"> ietvaros varēs izvērtēt situāciju attiecībā uz snieguma rezerves finansējumu kopumā, ņemot vērā iespējas un ierobežojumus, </w:t>
            </w:r>
            <w:r w:rsidR="00BD7ABE">
              <w:t>proti, izpildot</w:t>
            </w:r>
            <w:r>
              <w:t xml:space="preserve"> </w:t>
            </w:r>
            <w:r w:rsidRPr="0048618F">
              <w:t>MK l</w:t>
            </w:r>
            <w:r w:rsidRPr="00D96CCA">
              <w:t>ēmum</w:t>
            </w:r>
            <w:r>
              <w:t xml:space="preserve">us un </w:t>
            </w:r>
            <w:r w:rsidRPr="00D96CCA">
              <w:t xml:space="preserve"> </w:t>
            </w:r>
            <w:r w:rsidRPr="00A71324">
              <w:t>l</w:t>
            </w:r>
            <w:r w:rsidRPr="00A71324">
              <w:rPr>
                <w:iCs/>
              </w:rPr>
              <w:t>ikuma “</w:t>
            </w:r>
            <w:r w:rsidRPr="00A71324">
              <w:rPr>
                <w:iCs/>
                <w:lang w:val="fr-FR"/>
              </w:rPr>
              <w:t xml:space="preserve">Par </w:t>
            </w:r>
            <w:r w:rsidRPr="00A71324">
              <w:rPr>
                <w:iCs/>
              </w:rPr>
              <w:t xml:space="preserve">vidējā termiņa budžeta ietvaru 2018., 2019. un 2020. gadam” </w:t>
            </w:r>
            <w:r w:rsidRPr="00A71324">
              <w:rPr>
                <w:bCs/>
                <w:iCs/>
              </w:rPr>
              <w:t xml:space="preserve">19. pantā </w:t>
            </w:r>
            <w:r w:rsidRPr="00A71324">
              <w:t>noteikto</w:t>
            </w:r>
            <w:r>
              <w:t xml:space="preserve"> uzdevumu mazināt </w:t>
            </w:r>
            <w:proofErr w:type="spellStart"/>
            <w:r>
              <w:t>virssaistību</w:t>
            </w:r>
            <w:proofErr w:type="spellEnd"/>
            <w:r>
              <w:t xml:space="preserve"> </w:t>
            </w:r>
            <w:r w:rsidRPr="0048618F">
              <w:t>negatīvo ietekmi uz valsts budžetu</w:t>
            </w:r>
            <w:r w:rsidRPr="00A71324">
              <w:t xml:space="preserve">, </w:t>
            </w:r>
            <w:r>
              <w:t xml:space="preserve">tāpat arī </w:t>
            </w:r>
            <w:r w:rsidRPr="0048618F">
              <w:t>līdz šim MK pieņemtos lēmumus</w:t>
            </w:r>
            <w:r>
              <w:t xml:space="preserve"> par papildu finansējuma nepieciešamībām, vērtējot līdz šim veiktās investīcijas, tai skaitā, specifiskos atbalsta mērķus, kuros jau </w:t>
            </w:r>
            <w:proofErr w:type="spellStart"/>
            <w:r>
              <w:t>priekšfinansēts</w:t>
            </w:r>
            <w:proofErr w:type="spellEnd"/>
            <w:r>
              <w:t xml:space="preserve"> snieguma rezerves finansējums, finansējuma atlikumus, kā arī nodrošinot tematisko koncentrāciju.</w:t>
            </w:r>
          </w:p>
        </w:tc>
        <w:tc>
          <w:tcPr>
            <w:tcW w:w="3259" w:type="dxa"/>
          </w:tcPr>
          <w:p w14:paraId="328F7C11" w14:textId="516FA9C2" w:rsidR="0024749D" w:rsidRDefault="002D515B" w:rsidP="00511F42">
            <w:pPr>
              <w:pStyle w:val="Default"/>
              <w:spacing w:before="75"/>
              <w:jc w:val="both"/>
            </w:pPr>
            <w:r>
              <w:lastRenderedPageBreak/>
              <w:t xml:space="preserve">Svītrots </w:t>
            </w:r>
            <w:proofErr w:type="spellStart"/>
            <w:r>
              <w:t>protokollēmuma</w:t>
            </w:r>
            <w:proofErr w:type="spellEnd"/>
            <w:r w:rsidR="00511F42">
              <w:t xml:space="preserve"> projekt</w:t>
            </w:r>
            <w:r w:rsidR="00511F42" w:rsidRPr="009541F4">
              <w:t>a</w:t>
            </w:r>
            <w:r w:rsidRPr="009541F4">
              <w:t xml:space="preserve">  4.</w:t>
            </w:r>
            <w:r w:rsidR="00DB1068">
              <w:t> </w:t>
            </w:r>
            <w:r w:rsidRPr="009541F4">
              <w:t>punkts.</w:t>
            </w:r>
          </w:p>
          <w:p w14:paraId="4FF9F1F1" w14:textId="5A490D65" w:rsidR="009541F4" w:rsidRPr="009541F4" w:rsidRDefault="009541F4" w:rsidP="009541F4">
            <w:pPr>
              <w:pStyle w:val="Default"/>
              <w:jc w:val="both"/>
              <w:rPr>
                <w:bCs/>
                <w:color w:val="auto"/>
              </w:rPr>
            </w:pPr>
            <w:r>
              <w:t>Precizēta</w:t>
            </w:r>
            <w:r w:rsidRPr="00F70B89">
              <w:t xml:space="preserve"> inform</w:t>
            </w:r>
            <w:r>
              <w:t>atīvā ziņojuma 4. sadaļa</w:t>
            </w:r>
            <w:r>
              <w:rPr>
                <w:bCs/>
                <w:color w:val="auto"/>
              </w:rPr>
              <w:t xml:space="preserve"> “</w:t>
            </w:r>
            <w:r w:rsidRPr="00C6456F">
              <w:t>2014. - 2020. gada plānošanas perioda ES fondu investīciju aktualitātes</w:t>
            </w:r>
            <w:r>
              <w:rPr>
                <w:bCs/>
                <w:color w:val="auto"/>
              </w:rPr>
              <w:t>”</w:t>
            </w:r>
            <w:r>
              <w:t>.</w:t>
            </w:r>
          </w:p>
          <w:p w14:paraId="077E0DF6" w14:textId="53E9D8C9" w:rsidR="009541F4" w:rsidRDefault="00511F42" w:rsidP="009541F4">
            <w:pPr>
              <w:pStyle w:val="Default"/>
              <w:jc w:val="both"/>
              <w:rPr>
                <w:bCs/>
              </w:rPr>
            </w:pPr>
            <w:r w:rsidRPr="009541F4">
              <w:rPr>
                <w:bCs/>
                <w:color w:val="auto"/>
              </w:rPr>
              <w:t xml:space="preserve">Precizēts </w:t>
            </w:r>
            <w:proofErr w:type="spellStart"/>
            <w:r w:rsidRPr="009541F4">
              <w:rPr>
                <w:bCs/>
                <w:color w:val="auto"/>
              </w:rPr>
              <w:t>protokollēmuma</w:t>
            </w:r>
            <w:proofErr w:type="spellEnd"/>
            <w:r w:rsidRPr="009541F4">
              <w:rPr>
                <w:bCs/>
                <w:color w:val="auto"/>
              </w:rPr>
              <w:t xml:space="preserve"> projekta </w:t>
            </w:r>
            <w:r w:rsidR="00F01AAF">
              <w:rPr>
                <w:bCs/>
                <w:color w:val="auto"/>
              </w:rPr>
              <w:t>6</w:t>
            </w:r>
            <w:r w:rsidRPr="009541F4">
              <w:rPr>
                <w:bCs/>
                <w:color w:val="auto"/>
              </w:rPr>
              <w:t>. un</w:t>
            </w:r>
            <w:r w:rsidR="00F01AAF">
              <w:rPr>
                <w:bCs/>
                <w:color w:val="auto"/>
              </w:rPr>
              <w:t xml:space="preserve"> 8</w:t>
            </w:r>
            <w:r w:rsidR="009541F4" w:rsidRPr="009541F4">
              <w:rPr>
                <w:bCs/>
                <w:color w:val="auto"/>
              </w:rPr>
              <w:t>. punkts: “</w:t>
            </w:r>
            <w:r w:rsidR="00F01AAF">
              <w:t>6</w:t>
            </w:r>
            <w:r w:rsidR="009541F4" w:rsidRPr="009541F4">
              <w:t>. </w:t>
            </w:r>
            <w:r w:rsidR="009541F4" w:rsidRPr="009541F4">
              <w:rPr>
                <w:bCs/>
              </w:rPr>
              <w:t xml:space="preserve">Ņemot vērā snieguma ietvara nosacījumu izpildi darbības programmas ietvaros līdz 2019. gada 30. jūnijam, ministrijām rādītāju izpildes gadījumā līdz 2019. gada 1. jūlijam iesniegt Finanšu ministrijā priekšlikumus par prioritāro virzienu attiecīgo fondu snieguma rezerves </w:t>
            </w:r>
            <w:r w:rsidR="009541F4" w:rsidRPr="009541F4">
              <w:rPr>
                <w:bCs/>
              </w:rPr>
              <w:lastRenderedPageBreak/>
              <w:t xml:space="preserve">finansējuma izmantošanu, tai skaitā, pamatojot ar veikto Eiropas Savienības fondu lietderības, efektivitātes un ietekmes </w:t>
            </w:r>
            <w:proofErr w:type="spellStart"/>
            <w:r w:rsidR="009541F4" w:rsidRPr="009541F4">
              <w:rPr>
                <w:bCs/>
              </w:rPr>
              <w:t>izvērtējumu</w:t>
            </w:r>
            <w:proofErr w:type="spellEnd"/>
            <w:r w:rsidR="009541F4" w:rsidRPr="009541F4">
              <w:rPr>
                <w:bCs/>
              </w:rPr>
              <w:t xml:space="preserve"> rezultātiem, kur attiecināms.</w:t>
            </w:r>
          </w:p>
          <w:p w14:paraId="70E31886" w14:textId="2E69D83D" w:rsidR="009541F4" w:rsidRPr="009541F4" w:rsidRDefault="00F01AAF" w:rsidP="009541F4">
            <w:pPr>
              <w:pStyle w:val="Default"/>
              <w:jc w:val="both"/>
              <w:rPr>
                <w:bCs/>
              </w:rPr>
            </w:pPr>
            <w:r>
              <w:rPr>
                <w:bCs/>
              </w:rPr>
              <w:t>8</w:t>
            </w:r>
            <w:r w:rsidR="009541F4">
              <w:rPr>
                <w:bCs/>
              </w:rPr>
              <w:t>.</w:t>
            </w:r>
            <w:r w:rsidR="000A3B57">
              <w:rPr>
                <w:sz w:val="28"/>
                <w:szCs w:val="28"/>
              </w:rPr>
              <w:t xml:space="preserve"> </w:t>
            </w:r>
            <w:r w:rsidR="000A3B57" w:rsidRPr="000A3B57">
              <w:rPr>
                <w:bCs/>
              </w:rPr>
              <w:t xml:space="preserve">Ņemot vērā informatīvā ziņojuma ceturtajā sadaļā sniegto informāciju, Finanšu ministrijai sagatavot un līdz 2019. gada 30. septembrim noteiktā kārtībā iesniegt Ministru kabinetā ziņojumu par darbības programmas snieguma ietvara rezerves finansējuma izlietojuma priekšlikumiem. Priekšlikumu izstrādē izskatīt šī </w:t>
            </w:r>
            <w:proofErr w:type="spellStart"/>
            <w:r w:rsidR="000A3B57" w:rsidRPr="000A3B57">
              <w:rPr>
                <w:bCs/>
              </w:rPr>
              <w:t>protokollēmuma</w:t>
            </w:r>
            <w:proofErr w:type="spellEnd"/>
            <w:r w:rsidR="000A3B57" w:rsidRPr="000A3B57">
              <w:rPr>
                <w:bCs/>
              </w:rPr>
              <w:t xml:space="preserve"> 6. un 7. punktā sniegto informāciju un ņemt vērā citus nosacījumus, kā arī Ministru kabineta iepriekš pieņemtos lēmumus par investīciju jomām, kurām prioritāri piešķirams snieguma rezerves finansējums.</w:t>
            </w:r>
            <w:r w:rsidR="009541F4" w:rsidRPr="009541F4">
              <w:rPr>
                <w:bCs/>
              </w:rPr>
              <w:t xml:space="preserve">. Priekšlikumu izstrādē ņemt vērā šī </w:t>
            </w:r>
            <w:proofErr w:type="spellStart"/>
            <w:r w:rsidR="009541F4" w:rsidRPr="009541F4">
              <w:rPr>
                <w:bCs/>
              </w:rPr>
              <w:t>protokollēmuma</w:t>
            </w:r>
            <w:proofErr w:type="spellEnd"/>
            <w:r w:rsidR="009541F4" w:rsidRPr="009541F4">
              <w:rPr>
                <w:bCs/>
              </w:rPr>
              <w:t xml:space="preserve"> </w:t>
            </w:r>
            <w:r>
              <w:rPr>
                <w:bCs/>
              </w:rPr>
              <w:t>6</w:t>
            </w:r>
            <w:r w:rsidR="009541F4" w:rsidRPr="009541F4">
              <w:rPr>
                <w:bCs/>
              </w:rPr>
              <w:t xml:space="preserve">. un </w:t>
            </w:r>
            <w:r>
              <w:rPr>
                <w:bCs/>
              </w:rPr>
              <w:t>7</w:t>
            </w:r>
            <w:r w:rsidR="009541F4" w:rsidRPr="009541F4">
              <w:rPr>
                <w:bCs/>
              </w:rPr>
              <w:t>. punktā sniegto informāciju un nosacījumus, kā arī Ministru kabineta iepriekš pieņemtos lēmumus par investīciju jomām, kurām prioritāri piešķirams snieguma rezerves finansējums.</w:t>
            </w:r>
            <w:r w:rsidR="009541F4">
              <w:rPr>
                <w:bCs/>
              </w:rPr>
              <w:t>”.</w:t>
            </w:r>
          </w:p>
          <w:p w14:paraId="7BE5EC70" w14:textId="517CBA64" w:rsidR="009541F4" w:rsidRDefault="009541F4" w:rsidP="00511F42">
            <w:pPr>
              <w:pStyle w:val="Default"/>
              <w:jc w:val="both"/>
              <w:rPr>
                <w:bCs/>
                <w:color w:val="auto"/>
              </w:rPr>
            </w:pPr>
          </w:p>
          <w:p w14:paraId="144129A3" w14:textId="1BD97192" w:rsidR="00511F42" w:rsidRDefault="00511F42" w:rsidP="009541F4">
            <w:pPr>
              <w:pStyle w:val="Default"/>
              <w:jc w:val="both"/>
            </w:pPr>
          </w:p>
        </w:tc>
      </w:tr>
      <w:tr w:rsidR="0024749D" w:rsidRPr="00AD684B" w14:paraId="7D13106E" w14:textId="77777777" w:rsidTr="00C245EE">
        <w:trPr>
          <w:trHeight w:val="1001"/>
        </w:trPr>
        <w:tc>
          <w:tcPr>
            <w:tcW w:w="704" w:type="dxa"/>
          </w:tcPr>
          <w:p w14:paraId="4D123E56" w14:textId="77777777" w:rsidR="0024749D" w:rsidRPr="00AD684B" w:rsidRDefault="0024749D" w:rsidP="0024749D">
            <w:pPr>
              <w:pStyle w:val="naisc"/>
              <w:numPr>
                <w:ilvl w:val="0"/>
                <w:numId w:val="1"/>
              </w:numPr>
              <w:spacing w:before="0" w:after="0"/>
              <w:ind w:left="313"/>
            </w:pPr>
          </w:p>
        </w:tc>
        <w:tc>
          <w:tcPr>
            <w:tcW w:w="2693" w:type="dxa"/>
          </w:tcPr>
          <w:p w14:paraId="4FEE4B53" w14:textId="746FF8C7" w:rsidR="0024749D" w:rsidRDefault="0024749D" w:rsidP="0024749D">
            <w:pPr>
              <w:pStyle w:val="Default"/>
              <w:rPr>
                <w:rFonts w:eastAsiaTheme="minorHAnsi"/>
              </w:rPr>
            </w:pPr>
            <w:r>
              <w:rPr>
                <w:rFonts w:eastAsiaTheme="minorHAnsi"/>
              </w:rPr>
              <w:t xml:space="preserve">Jauns </w:t>
            </w:r>
            <w:proofErr w:type="spellStart"/>
            <w:r>
              <w:rPr>
                <w:rFonts w:eastAsiaTheme="minorHAnsi"/>
              </w:rPr>
              <w:t>protokollēmuma</w:t>
            </w:r>
            <w:proofErr w:type="spellEnd"/>
            <w:r>
              <w:rPr>
                <w:rFonts w:eastAsiaTheme="minorHAnsi"/>
              </w:rPr>
              <w:t xml:space="preserve"> punkts</w:t>
            </w:r>
          </w:p>
        </w:tc>
        <w:tc>
          <w:tcPr>
            <w:tcW w:w="5954" w:type="dxa"/>
          </w:tcPr>
          <w:p w14:paraId="06A7E362" w14:textId="77777777" w:rsidR="0024749D" w:rsidRDefault="0024749D" w:rsidP="0024749D">
            <w:pPr>
              <w:spacing w:after="120"/>
              <w:jc w:val="both"/>
              <w:rPr>
                <w:b/>
              </w:rPr>
            </w:pPr>
            <w:r w:rsidRPr="00C77943">
              <w:rPr>
                <w:b/>
              </w:rPr>
              <w:t>Vides aizsardzības un reģionālās attīstības ministrija</w:t>
            </w:r>
          </w:p>
          <w:p w14:paraId="71CAC818" w14:textId="77777777" w:rsidR="0024749D" w:rsidRDefault="0024749D" w:rsidP="0024749D">
            <w:pPr>
              <w:spacing w:after="120"/>
              <w:jc w:val="both"/>
            </w:pPr>
            <w:r>
              <w:t xml:space="preserve">Aicinām papildināt </w:t>
            </w:r>
            <w:proofErr w:type="spellStart"/>
            <w:r>
              <w:t>protokollēmuma</w:t>
            </w:r>
            <w:proofErr w:type="spellEnd"/>
            <w:r>
              <w:t xml:space="preserve"> projektu ar jaunu punktu, nosakot, ka tiem SAM, kuri ir izpildījuši tiem noteikto snieguma ietvaru, snieguma rezerves finansējums ir pieejams arī tajos darbības programmas “Izaugsme un nodarbinātība” (turpmāk – DP) prioritārajos virzienos, kuros </w:t>
            </w:r>
            <w:r>
              <w:lastRenderedPageBreak/>
              <w:t xml:space="preserve">netiek sasniegts līdz 2018.gada 31.decembrim ERAF veikto attiecināmo izdevumu snieguma ietvara apmērs. </w:t>
            </w:r>
          </w:p>
          <w:p w14:paraId="03CC8014" w14:textId="77940B5F" w:rsidR="0024749D" w:rsidRPr="00C77943" w:rsidRDefault="0024749D" w:rsidP="0024749D">
            <w:pPr>
              <w:spacing w:after="120"/>
              <w:jc w:val="both"/>
              <w:rPr>
                <w:b/>
              </w:rPr>
            </w:pPr>
            <w:r>
              <w:t>Piemēram, ar Ministru kabineta 2017.gada 10.augusta rīkojumu Nr.422  ir apstiprināts SAM 2.2.1.  projektu iesniegumu atlases 2. kārtas projektu saraksts, ar ko ir sadalīts viss atlikušais  SAM 2.2.1. 2.kārtas finansējums 44 090 840 eiro apmērā, t.sk. snieguma ietvara rezerve. Atbilstoši MK rīkojuma Nr.422 5.punktam līdz 2018.gada 1.decembrim visi sarakstā iekļautie projektu detalizētie apraksti ir iesniegti VARAM saskaņošanai – 7 no tiem jau ir saskaņoti ar VARAM, no tiem 5 ir apstiprināti Ministru kabinetā, pārējie 9 tiek precizēti atbilstoši VARAM izteiktajiem komentāriem. Finansējuma saņēmēji, ieguldot resursus detalizēto projektu aprakstu sagatavošanā, ir paļāvušies uz to, ka, ņemot vērā sasniegtos SAM 2.2.1. snieguma ietvara rādītājus (deklarēti maksājumi 102% apmērā, kopējā deklarēto maksājumu prognoze pēc iesniegto maksājumu izskatīšanas – 175% no DP noteiktā starpposma rādītāja), SAM 2.2.1. ietvaros būs pieejama snieguma ietvara rezerve un visi sarakstā iekļautie projekti varēs tikt īstenoti, ņemot vērā to augsto prioritāti. VARAM nevar uzņemties atbildību par to, ka citu iestāžu administrēto SAM ietvaros nav nodrošināta kopējā prioritārā virziena snieguma ietvara apjoma izpilde.</w:t>
            </w:r>
          </w:p>
        </w:tc>
        <w:tc>
          <w:tcPr>
            <w:tcW w:w="2977" w:type="dxa"/>
          </w:tcPr>
          <w:p w14:paraId="575A3955" w14:textId="2DEF2F7C" w:rsidR="0024749D" w:rsidRPr="00CA6363" w:rsidRDefault="0024749D" w:rsidP="0024749D">
            <w:pPr>
              <w:jc w:val="both"/>
              <w:rPr>
                <w:iCs/>
              </w:rPr>
            </w:pPr>
            <w:r>
              <w:rPr>
                <w:iCs/>
              </w:rPr>
              <w:lastRenderedPageBreak/>
              <w:t xml:space="preserve">Lūdzam skatīt izziņas </w:t>
            </w:r>
            <w:r w:rsidR="006313B3">
              <w:rPr>
                <w:iCs/>
              </w:rPr>
              <w:t>3</w:t>
            </w:r>
            <w:r w:rsidRPr="00CA6363">
              <w:rPr>
                <w:iCs/>
              </w:rPr>
              <w:t>.</w:t>
            </w:r>
            <w:r>
              <w:rPr>
                <w:iCs/>
              </w:rPr>
              <w:t> </w:t>
            </w:r>
            <w:r w:rsidRPr="00CA6363">
              <w:rPr>
                <w:iCs/>
              </w:rPr>
              <w:t>punktā sniegto skaidrojumu</w:t>
            </w:r>
            <w:r>
              <w:rPr>
                <w:iCs/>
              </w:rPr>
              <w:t>.</w:t>
            </w:r>
          </w:p>
        </w:tc>
        <w:tc>
          <w:tcPr>
            <w:tcW w:w="3259" w:type="dxa"/>
          </w:tcPr>
          <w:p w14:paraId="4DACF4BA" w14:textId="77777777" w:rsidR="0024749D" w:rsidRDefault="0024749D" w:rsidP="0024749D">
            <w:pPr>
              <w:pStyle w:val="Default"/>
              <w:jc w:val="both"/>
              <w:rPr>
                <w:bCs/>
                <w:color w:val="auto"/>
              </w:rPr>
            </w:pPr>
            <w:r>
              <w:t>Precizēta</w:t>
            </w:r>
            <w:r w:rsidRPr="00F70B89">
              <w:t xml:space="preserve"> inform</w:t>
            </w:r>
            <w:r>
              <w:t>atīvā ziņojuma 4. sadaļa</w:t>
            </w:r>
            <w:r>
              <w:rPr>
                <w:bCs/>
                <w:color w:val="auto"/>
              </w:rPr>
              <w:t xml:space="preserve"> “</w:t>
            </w:r>
            <w:r w:rsidRPr="00C6456F">
              <w:t>2014. - 2020. gada plānošanas perioda ES fondu investīciju aktualitātes</w:t>
            </w:r>
            <w:r>
              <w:rPr>
                <w:bCs/>
                <w:color w:val="auto"/>
              </w:rPr>
              <w:t>”.</w:t>
            </w:r>
          </w:p>
          <w:p w14:paraId="3B566951" w14:textId="5306B178" w:rsidR="002D515B" w:rsidRPr="00AD684B" w:rsidRDefault="00511F42" w:rsidP="0024749D">
            <w:pPr>
              <w:pStyle w:val="Default"/>
              <w:jc w:val="both"/>
              <w:rPr>
                <w:bCs/>
                <w:color w:val="auto"/>
              </w:rPr>
            </w:pPr>
            <w:r>
              <w:t xml:space="preserve">Svītrots </w:t>
            </w:r>
            <w:proofErr w:type="spellStart"/>
            <w:r>
              <w:t>protokollēmuma</w:t>
            </w:r>
            <w:proofErr w:type="spellEnd"/>
            <w:r>
              <w:t xml:space="preserve">  4.punkts.</w:t>
            </w:r>
          </w:p>
        </w:tc>
      </w:tr>
      <w:tr w:rsidR="0024749D" w:rsidRPr="00AD684B" w14:paraId="14B546D2" w14:textId="77777777" w:rsidTr="00C245EE">
        <w:trPr>
          <w:trHeight w:val="1001"/>
        </w:trPr>
        <w:tc>
          <w:tcPr>
            <w:tcW w:w="704" w:type="dxa"/>
          </w:tcPr>
          <w:p w14:paraId="43EAA0B7" w14:textId="77777777" w:rsidR="0024749D" w:rsidRPr="00AD684B" w:rsidRDefault="0024749D" w:rsidP="0024749D">
            <w:pPr>
              <w:pStyle w:val="naisc"/>
              <w:numPr>
                <w:ilvl w:val="0"/>
                <w:numId w:val="1"/>
              </w:numPr>
              <w:spacing w:before="0" w:after="0"/>
              <w:ind w:left="313"/>
            </w:pPr>
          </w:p>
        </w:tc>
        <w:tc>
          <w:tcPr>
            <w:tcW w:w="2693" w:type="dxa"/>
          </w:tcPr>
          <w:p w14:paraId="1B245AC8" w14:textId="5994C921" w:rsidR="0024749D" w:rsidRDefault="0024749D" w:rsidP="0024749D">
            <w:pPr>
              <w:pStyle w:val="Default"/>
              <w:rPr>
                <w:rFonts w:eastAsiaTheme="minorHAnsi"/>
              </w:rPr>
            </w:pPr>
            <w:r>
              <w:rPr>
                <w:rFonts w:eastAsiaTheme="minorHAnsi"/>
              </w:rPr>
              <w:t xml:space="preserve">Jauns </w:t>
            </w:r>
            <w:proofErr w:type="spellStart"/>
            <w:r>
              <w:rPr>
                <w:rFonts w:eastAsiaTheme="minorHAnsi"/>
              </w:rPr>
              <w:t>protokollēmuma</w:t>
            </w:r>
            <w:proofErr w:type="spellEnd"/>
            <w:r>
              <w:rPr>
                <w:rFonts w:eastAsiaTheme="minorHAnsi"/>
              </w:rPr>
              <w:t xml:space="preserve"> punkts</w:t>
            </w:r>
          </w:p>
        </w:tc>
        <w:tc>
          <w:tcPr>
            <w:tcW w:w="5954" w:type="dxa"/>
          </w:tcPr>
          <w:p w14:paraId="3BF4D89F" w14:textId="77777777" w:rsidR="0024749D" w:rsidRDefault="0024749D" w:rsidP="0024749D">
            <w:pPr>
              <w:spacing w:after="120"/>
              <w:jc w:val="both"/>
              <w:rPr>
                <w:b/>
              </w:rPr>
            </w:pPr>
            <w:r w:rsidRPr="00C77943">
              <w:rPr>
                <w:b/>
              </w:rPr>
              <w:t>Vides aizsardzības un reģionālās attīstības ministrija</w:t>
            </w:r>
          </w:p>
          <w:p w14:paraId="5CBB7D60" w14:textId="3B27193D" w:rsidR="0024749D" w:rsidRPr="00C77943" w:rsidRDefault="0024749D" w:rsidP="0024749D">
            <w:pPr>
              <w:spacing w:after="120"/>
              <w:jc w:val="both"/>
              <w:rPr>
                <w:b/>
              </w:rPr>
            </w:pPr>
            <w:r>
              <w:t>A</w:t>
            </w:r>
            <w:r w:rsidRPr="00C77943">
              <w:t xml:space="preserve">icinām </w:t>
            </w:r>
            <w:proofErr w:type="spellStart"/>
            <w:r w:rsidRPr="00C77943">
              <w:t>protokollēmuma</w:t>
            </w:r>
            <w:proofErr w:type="spellEnd"/>
            <w:r w:rsidRPr="00C77943">
              <w:t xml:space="preserve"> projektu papildināt ar jaunu punktu, paredzot, ka Nacionālajam veselības dienestam vienlaicīgi ar ikgadējo pēc-projektu pārskatu CFLA līdz kārtējā gada 1.jūnijam jāiesniedz arī informāciju par Veselības ministrijas sagatavotā, Ministru kabineta 2018.gada 23.oktobra sēdē izskatītā informatīvā ziņojuma “Par pamatnostādņu “E-veselība Latvijā” ieviešanu 2014.-2016.gadā gala atskaite” 1.pielikumā “E-veselības 1.un </w:t>
            </w:r>
            <w:r w:rsidRPr="00C77943">
              <w:lastRenderedPageBreak/>
              <w:t>2.kārtas projektos izstrādāto funkcionalitāšu lietošanas risku analīze” iekļauto pasākumu faktisko izpildi. Minētais nepieciešams, jo NVD neievēro vienošanās par projektu īstenošanu nosacījumus, nesniedzot CFLA informāciju par projekta  ietvaros izstrādātās informācijas sistēmas izmantošanas rādītāju izpildi,  tādējādi nav iespējams gūt pārliecību, ka e-veselības projektu ietvaros izstrādātā sistēma un tās funkcionalitātes ir pieejamas tās lietotājiem un ka tā tiek izmantota iepriekš plānotajā apmērā.</w:t>
            </w:r>
          </w:p>
        </w:tc>
        <w:tc>
          <w:tcPr>
            <w:tcW w:w="2977" w:type="dxa"/>
          </w:tcPr>
          <w:p w14:paraId="620EBA43" w14:textId="5C7DE27C" w:rsidR="0024749D" w:rsidRDefault="0024749D" w:rsidP="0024749D">
            <w:pPr>
              <w:jc w:val="both"/>
              <w:rPr>
                <w:b/>
                <w:iCs/>
              </w:rPr>
            </w:pPr>
            <w:r>
              <w:rPr>
                <w:b/>
                <w:iCs/>
              </w:rPr>
              <w:lastRenderedPageBreak/>
              <w:t xml:space="preserve">Skaidrojam. </w:t>
            </w:r>
          </w:p>
          <w:p w14:paraId="74C68BA1" w14:textId="1F65C5E2" w:rsidR="0024749D" w:rsidRPr="00F2573B" w:rsidRDefault="00BD7ABE" w:rsidP="0024749D">
            <w:pPr>
              <w:spacing w:after="120"/>
              <w:jc w:val="both"/>
            </w:pPr>
            <w:r>
              <w:rPr>
                <w:iCs/>
              </w:rPr>
              <w:t>No</w:t>
            </w:r>
            <w:r w:rsidR="0024749D" w:rsidRPr="00C77943">
              <w:rPr>
                <w:b/>
              </w:rPr>
              <w:t xml:space="preserve"> </w:t>
            </w:r>
            <w:r w:rsidR="0024749D" w:rsidRPr="00A71324">
              <w:t>Vides aizsardzības un reģionālās attīstības ministrija</w:t>
            </w:r>
            <w:r w:rsidR="0024749D">
              <w:t xml:space="preserve">s (VARAM) sniegtās informācijas konstatējas, ka </w:t>
            </w:r>
            <w:r w:rsidR="0024749D">
              <w:rPr>
                <w:iCs/>
              </w:rPr>
              <w:t xml:space="preserve">projektos, kur ir konstatētas kādas atkāpes no plānotajiem un sasniegtajiem radītajiem, </w:t>
            </w:r>
            <w:r w:rsidR="0024749D" w:rsidRPr="00AB2933">
              <w:rPr>
                <w:iCs/>
              </w:rPr>
              <w:t xml:space="preserve"> rādītāju faktisko izpil</w:t>
            </w:r>
            <w:r w:rsidR="0024749D">
              <w:rPr>
                <w:iCs/>
              </w:rPr>
              <w:t xml:space="preserve">di </w:t>
            </w:r>
            <w:r w:rsidR="0024749D">
              <w:rPr>
                <w:iCs/>
              </w:rPr>
              <w:lastRenderedPageBreak/>
              <w:t>VARAM un CFLA vērtēs pēc nākamā p</w:t>
            </w:r>
            <w:r>
              <w:rPr>
                <w:iCs/>
              </w:rPr>
              <w:t xml:space="preserve">ēc-uzraudzības perioda beigām. </w:t>
            </w:r>
            <w:r w:rsidR="0024749D">
              <w:rPr>
                <w:iCs/>
              </w:rPr>
              <w:t xml:space="preserve">Atsevišķos gadījumos, īpaši attiecībā uz e-veselības projektiem, CFLA veiks projektu pārbaudes un attiecīgi atbilstoši kompetencei rīkosies, t.sk. komunicēs ar projektu īstenotājiem. Būtisku negatīvu konstatējumu vai risku gadījumā </w:t>
            </w:r>
            <w:r>
              <w:rPr>
                <w:iCs/>
              </w:rPr>
              <w:t>CFLA rosinās sadarbībā ar VARAM</w:t>
            </w:r>
            <w:r w:rsidR="0024749D">
              <w:rPr>
                <w:iCs/>
              </w:rPr>
              <w:t xml:space="preserve"> informēt valdību vēlākā posmā, ja nepieciešams. </w:t>
            </w:r>
            <w:r w:rsidR="0024749D" w:rsidRPr="00AD7334">
              <w:rPr>
                <w:rFonts w:eastAsiaTheme="minorHAnsi"/>
                <w:bCs/>
              </w:rPr>
              <w:t xml:space="preserve"> </w:t>
            </w:r>
          </w:p>
          <w:p w14:paraId="1FC5BA19" w14:textId="7B15FDDB" w:rsidR="0024749D" w:rsidRPr="00AD684B" w:rsidRDefault="0024749D" w:rsidP="0024749D">
            <w:pPr>
              <w:jc w:val="both"/>
              <w:rPr>
                <w:b/>
                <w:iCs/>
              </w:rPr>
            </w:pPr>
            <w:r>
              <w:rPr>
                <w:iCs/>
              </w:rPr>
              <w:t xml:space="preserve">Papildus, atsaucoties uz VARAM ierosinājumu, </w:t>
            </w:r>
            <w:r>
              <w:t xml:space="preserve">CFLA lūgs </w:t>
            </w:r>
            <w:r w:rsidRPr="00C77943">
              <w:t>Nacionālajam veselības dienestam vienlaicīgi ar ikgadējo pēc-projektu pārskatu CFLA līdz kārtējā gada 1.jūnijam iesnie</w:t>
            </w:r>
            <w:r>
              <w:t>gt</w:t>
            </w:r>
            <w:r w:rsidRPr="00C77943">
              <w:t xml:space="preserve"> arī informāciju par Veselības ministrijas sagatavotā, Ministru kabineta 2018.gada 23.oktobra sēdē izskatītā informatīvā ziņojuma “Par pamatnostādņu “E-veselība Latvijā” ieviešanu 2014.-2016.gadā gala atskaite” 1.pielikumā “E-veselības 1.un 2.kārtas projektos </w:t>
            </w:r>
            <w:r w:rsidRPr="00C77943">
              <w:lastRenderedPageBreak/>
              <w:t>izstrādāto funkcionalitāšu lietošanas risku analīze” iekļauto pasākumu faktisko izpildi.</w:t>
            </w:r>
          </w:p>
        </w:tc>
        <w:tc>
          <w:tcPr>
            <w:tcW w:w="3259" w:type="dxa"/>
          </w:tcPr>
          <w:p w14:paraId="7F810BF9" w14:textId="5903FEBC" w:rsidR="0024749D" w:rsidRPr="000C4CE5" w:rsidRDefault="0024749D" w:rsidP="009541F4">
            <w:pPr>
              <w:pStyle w:val="Default"/>
              <w:jc w:val="both"/>
            </w:pPr>
            <w:r>
              <w:lastRenderedPageBreak/>
              <w:t xml:space="preserve">Papildināta informatīvā </w:t>
            </w:r>
            <w:r w:rsidRPr="00AD7334">
              <w:t>ziņojuma 3.</w:t>
            </w:r>
            <w:r>
              <w:t> </w:t>
            </w:r>
            <w:r w:rsidRPr="00AD7334">
              <w:t>sadaļa</w:t>
            </w:r>
            <w:r>
              <w:t xml:space="preserve"> “2007-2013. gada plānošanas perioda </w:t>
            </w:r>
            <w:proofErr w:type="spellStart"/>
            <w:r>
              <w:t>pēcuzraudzība</w:t>
            </w:r>
            <w:proofErr w:type="spellEnd"/>
            <w:r>
              <w:t>”</w:t>
            </w:r>
            <w:r w:rsidR="00DB1068">
              <w:t>.</w:t>
            </w:r>
          </w:p>
        </w:tc>
      </w:tr>
      <w:tr w:rsidR="0024749D" w:rsidRPr="00AD684B" w14:paraId="2E405238" w14:textId="77777777" w:rsidTr="00C245EE">
        <w:trPr>
          <w:trHeight w:val="1001"/>
        </w:trPr>
        <w:tc>
          <w:tcPr>
            <w:tcW w:w="704" w:type="dxa"/>
          </w:tcPr>
          <w:p w14:paraId="58DCA777" w14:textId="77777777" w:rsidR="0024749D" w:rsidRPr="00AD684B" w:rsidRDefault="0024749D" w:rsidP="0024749D">
            <w:pPr>
              <w:pStyle w:val="naisc"/>
              <w:numPr>
                <w:ilvl w:val="0"/>
                <w:numId w:val="1"/>
              </w:numPr>
              <w:spacing w:before="0" w:after="0"/>
              <w:ind w:left="313"/>
            </w:pPr>
          </w:p>
        </w:tc>
        <w:tc>
          <w:tcPr>
            <w:tcW w:w="2693" w:type="dxa"/>
          </w:tcPr>
          <w:p w14:paraId="24115799" w14:textId="3369A2B8" w:rsidR="0024749D" w:rsidRDefault="0024749D" w:rsidP="00A44D42">
            <w:pPr>
              <w:pStyle w:val="Default"/>
              <w:jc w:val="both"/>
              <w:rPr>
                <w:rFonts w:eastAsiaTheme="minorHAnsi"/>
              </w:rPr>
            </w:pPr>
            <w:proofErr w:type="spellStart"/>
            <w:r w:rsidRPr="002116F3">
              <w:rPr>
                <w:rFonts w:eastAsiaTheme="minorHAnsi"/>
              </w:rPr>
              <w:t>Protokollēmuma</w:t>
            </w:r>
            <w:proofErr w:type="spellEnd"/>
            <w:r w:rsidRPr="002116F3">
              <w:rPr>
                <w:rFonts w:eastAsiaTheme="minorHAnsi"/>
              </w:rPr>
              <w:t xml:space="preserve"> </w:t>
            </w:r>
            <w:r w:rsidR="00923417">
              <w:rPr>
                <w:rFonts w:eastAsiaTheme="minorHAnsi"/>
              </w:rPr>
              <w:t>3</w:t>
            </w:r>
            <w:r w:rsidRPr="002116F3">
              <w:rPr>
                <w:rFonts w:eastAsiaTheme="minorHAnsi"/>
              </w:rPr>
              <w:t>. punkts “</w:t>
            </w:r>
            <w:r w:rsidRPr="002116F3">
              <w:t>Ņemot vērā informatīvā ziņojuma ceturtajā sadaļā sniegto informāciju un saskaņā ar Ministru kabineta  2014. gada 16. decembra noteikumu Nr. 784 “Kārtība, kādā Eiropas Savienības struktūrfondu un Kohēzijas fonda vadībā iesaistītās institūcijas nodrošina plānošanas dokumentu sagatavošanu un šo fondu ieviešanu 2014. – 2020. gada plānošanas periodā” 51.</w:t>
            </w:r>
            <w:r w:rsidRPr="002116F3">
              <w:rPr>
                <w:vertAlign w:val="superscript"/>
              </w:rPr>
              <w:t>4.</w:t>
            </w:r>
            <w:r w:rsidRPr="002116F3">
              <w:t xml:space="preserve">7. apakšpunktu atbalstīt atsevišķu izņēmuma gadījumu piemērošanu un atļaut </w:t>
            </w:r>
            <w:r w:rsidRPr="002116F3">
              <w:rPr>
                <w:color w:val="0D0D0D" w:themeColor="text1" w:themeTint="F2"/>
              </w:rPr>
              <w:t xml:space="preserve">Centrālajai finanšu un līgumu aģentūrai </w:t>
            </w:r>
            <w:r w:rsidRPr="002116F3">
              <w:t xml:space="preserve">nesamazināt Eiropas Savienības fonda un valsts budžeta līdzfinansējumu, ja tāds projektā ir paredzēts, par starpību, kas pārsniedz 25 % no plānoto maksājuma </w:t>
            </w:r>
            <w:r w:rsidRPr="002116F3">
              <w:lastRenderedPageBreak/>
              <w:t xml:space="preserve">pieprasījumu iesniegšanas grafikā paredzētā, astoņiem projektiem, kas projekta īstenošanas līguma ietvaros uzņemto saistību izpildi nodrošināja 2019. gada janvārī, un vienam </w:t>
            </w:r>
            <w:r w:rsidRPr="002116F3">
              <w:rPr>
                <w:color w:val="0D0D0D" w:themeColor="text1" w:themeTint="F2"/>
              </w:rPr>
              <w:t>Valsts ieņēmumu dienesta padziļinātās sadarbības programmas Zelta klienta projektam.”</w:t>
            </w:r>
          </w:p>
        </w:tc>
        <w:tc>
          <w:tcPr>
            <w:tcW w:w="5954" w:type="dxa"/>
          </w:tcPr>
          <w:p w14:paraId="6398758D" w14:textId="77777777" w:rsidR="0024749D" w:rsidRDefault="0024749D" w:rsidP="0024749D">
            <w:pPr>
              <w:spacing w:after="120"/>
              <w:jc w:val="both"/>
              <w:rPr>
                <w:b/>
              </w:rPr>
            </w:pPr>
            <w:r w:rsidRPr="00C77943">
              <w:rPr>
                <w:b/>
              </w:rPr>
              <w:lastRenderedPageBreak/>
              <w:t>Vides aizsardzības un reģionālās attīstības ministrija</w:t>
            </w:r>
          </w:p>
          <w:p w14:paraId="6AE283A1" w14:textId="5A9BB247" w:rsidR="0024749D" w:rsidRPr="00C77943" w:rsidRDefault="0024749D" w:rsidP="0024749D">
            <w:pPr>
              <w:spacing w:after="120"/>
              <w:jc w:val="both"/>
            </w:pPr>
            <w:r w:rsidRPr="00C77943">
              <w:t xml:space="preserve">Aicinām papildināt </w:t>
            </w:r>
            <w:proofErr w:type="spellStart"/>
            <w:r w:rsidRPr="00C77943">
              <w:t>prot</w:t>
            </w:r>
            <w:r>
              <w:t>o</w:t>
            </w:r>
            <w:r w:rsidRPr="00C77943">
              <w:t>kollēmuma</w:t>
            </w:r>
            <w:proofErr w:type="spellEnd"/>
            <w:r w:rsidRPr="00C77943">
              <w:t xml:space="preserve"> projekta 3.punktu ar pieciem VARAM projektiem, kas minēti informatīvā ziņojuma 3.pielikumā (t.i., Līvānu novada domes projekts Nr.5.6.2.0/16/I/008, SIA “Bauskas ūdens” projekts Nr.5.3.1.0/17/I/020, Jūrmalas pilsētas domes projekts Nr.5.1.1.0/17/I/008, Izglītības un zinātnes ministrijas projekts Nr.2.2.1.1/17/I/019 un  SIA “Auces komunālie pakalpojumi” projekts Nr.5.3.1.0/17/I/015), jo projektu īstenošanas kavējumi un finansējuma apguves riski ir saistīti ar trešo personu radītiem apstākļiem, galvenokārt, kavējumiem projektēšanas stadijā un nekvalitatīvajiem pakalpojumiem no pakalpojumu līgumu izpildītāja puses, par kuriem projekta īstenotāji piemēro/plāno piemērot izpildītājiem līguma sodu. </w:t>
            </w:r>
          </w:p>
          <w:p w14:paraId="0EE0966D" w14:textId="77777777" w:rsidR="0024749D" w:rsidRPr="00C77943" w:rsidRDefault="0024749D" w:rsidP="0024749D">
            <w:pPr>
              <w:spacing w:after="120"/>
              <w:jc w:val="both"/>
            </w:pPr>
            <w:r w:rsidRPr="00C77943">
              <w:t>Vēršam uzmanību, ka VARAM viedoklis par iepriekš minētajiem projektiem Finanšu ministrijai un Centrālajai finanšu un līgumu aģentūrai (turpmāk – CFLA) tika nosūtīts ar VARAM 2019.gada 5.februāra elektroniskā pasta vēstuli Nr. Nr.4.3-2/1025. Nepieciešamības gadījumā aicinām lūgt CFLA paātrināt disciplīnas nosacījumu piemērošanas seku izvērtējama veikšanu, lai nodrošinātu savlaicīgu lēmuma pieņemšanu šī informatīvā ziņojuma izskatīšanas ietvaros.</w:t>
            </w:r>
          </w:p>
          <w:p w14:paraId="485A5A7A" w14:textId="58F78C78" w:rsidR="0024749D" w:rsidRPr="00C77943" w:rsidRDefault="0024749D" w:rsidP="0024749D">
            <w:pPr>
              <w:spacing w:after="120"/>
              <w:jc w:val="both"/>
              <w:rPr>
                <w:b/>
              </w:rPr>
            </w:pPr>
            <w:r w:rsidRPr="00C77943">
              <w:t xml:space="preserve">Lūdzam attiecīgi precizēt arī informatīvā ziņojuma sadaļā “Maksājumu plānu un valsts budžeta ES fondu projektiem izpilde” 32.lpp. norādīto informāciju par projektiem (un to skaitu), kas ietverti priekšlikumā Ministru kabinetam lemt par atļauju CFLA nesamazināt ES fonda un valsts budžeta līdzfinansējumu, ja tāds projektā ir paredzēts, par starpību, </w:t>
            </w:r>
            <w:r w:rsidRPr="00C77943">
              <w:lastRenderedPageBreak/>
              <w:t>kas pārsniedz 25% no plānoto maksājuma pieprasījumu iesniegšanas grafikā paredzētā;</w:t>
            </w:r>
          </w:p>
        </w:tc>
        <w:tc>
          <w:tcPr>
            <w:tcW w:w="2977" w:type="dxa"/>
          </w:tcPr>
          <w:p w14:paraId="33C29615" w14:textId="77777777" w:rsidR="0024749D" w:rsidRDefault="0024749D" w:rsidP="0024749D">
            <w:pPr>
              <w:jc w:val="center"/>
              <w:rPr>
                <w:iCs/>
              </w:rPr>
            </w:pPr>
            <w:r>
              <w:rPr>
                <w:b/>
                <w:iCs/>
              </w:rPr>
              <w:lastRenderedPageBreak/>
              <w:t>Ņemts vērā</w:t>
            </w:r>
            <w:r>
              <w:rPr>
                <w:iCs/>
              </w:rPr>
              <w:t xml:space="preserve"> </w:t>
            </w:r>
          </w:p>
          <w:p w14:paraId="4D4DE89D" w14:textId="3E94CF9E" w:rsidR="0024749D" w:rsidRPr="00341F0D" w:rsidRDefault="0024749D" w:rsidP="0024749D">
            <w:pPr>
              <w:jc w:val="both"/>
              <w:rPr>
                <w:iCs/>
              </w:rPr>
            </w:pPr>
            <w:r>
              <w:rPr>
                <w:iCs/>
              </w:rPr>
              <w:t xml:space="preserve">Papildināts </w:t>
            </w:r>
            <w:proofErr w:type="spellStart"/>
            <w:r>
              <w:rPr>
                <w:iCs/>
              </w:rPr>
              <w:t>protokollēmuma</w:t>
            </w:r>
            <w:proofErr w:type="spellEnd"/>
            <w:r>
              <w:rPr>
                <w:iCs/>
              </w:rPr>
              <w:t xml:space="preserve"> </w:t>
            </w:r>
            <w:r w:rsidR="00563A74">
              <w:rPr>
                <w:iCs/>
              </w:rPr>
              <w:t>5</w:t>
            </w:r>
            <w:r>
              <w:rPr>
                <w:iCs/>
              </w:rPr>
              <w:t>. punkts un pielikums Nr. 3</w:t>
            </w:r>
          </w:p>
        </w:tc>
        <w:tc>
          <w:tcPr>
            <w:tcW w:w="3259" w:type="dxa"/>
          </w:tcPr>
          <w:p w14:paraId="40E1B743" w14:textId="690048F7" w:rsidR="0024749D" w:rsidRPr="00DB1068" w:rsidRDefault="0024749D" w:rsidP="002F5EFA">
            <w:pPr>
              <w:pStyle w:val="Default"/>
              <w:jc w:val="both"/>
            </w:pPr>
            <w:r w:rsidRPr="008E251E">
              <w:t xml:space="preserve">Papildināts </w:t>
            </w:r>
            <w:proofErr w:type="spellStart"/>
            <w:r w:rsidRPr="008E251E">
              <w:t>protokollēmuma</w:t>
            </w:r>
            <w:proofErr w:type="spellEnd"/>
            <w:r w:rsidRPr="008E251E">
              <w:t xml:space="preserve"> projekta </w:t>
            </w:r>
            <w:r w:rsidR="00F01AAF">
              <w:t>5</w:t>
            </w:r>
            <w:r w:rsidRPr="008E251E">
              <w:t>. punkts</w:t>
            </w:r>
            <w:r w:rsidR="009541F4">
              <w:t>:</w:t>
            </w:r>
            <w:r w:rsidRPr="008E251E">
              <w:t xml:space="preserve"> </w:t>
            </w:r>
            <w:r w:rsidR="00DB1068">
              <w:t>“</w:t>
            </w:r>
            <w:r w:rsidR="00F01AAF">
              <w:t>5</w:t>
            </w:r>
            <w:r w:rsidR="00DB1068">
              <w:t xml:space="preserve">. </w:t>
            </w:r>
            <w:r w:rsidR="00DB1068" w:rsidRPr="00DB1068">
              <w:t xml:space="preserve">Ņemot vērā informatīvā ziņojuma ceturtajā sadaļā un </w:t>
            </w:r>
            <w:r w:rsidR="002F5EFA">
              <w:t>3. </w:t>
            </w:r>
            <w:r w:rsidR="00DB1068" w:rsidRPr="00DB1068">
              <w:t>pielikumā “Projektu maksājumu pieprasījumu iesniegšanas 2018. gada plānu izpilde” sniegto informāciju, saskaņā ar Ministru kabineta 2014. gada 16. decembra noteikumu Nr. 784 “Kārtība, kādā Eiropas Savienības struktūrfondu un Kohēzijas fonda vadībā iesaistītās institūcijas nodrošina plānošanas dokumentu sagatavošanu un šo fondu ieviešanu 2014. – 2020. gada plānošanas periodā” 51.</w:t>
            </w:r>
            <w:r w:rsidR="00DB1068" w:rsidRPr="00DB1068">
              <w:rPr>
                <w:vertAlign w:val="superscript"/>
              </w:rPr>
              <w:t>4.</w:t>
            </w:r>
            <w:r w:rsidR="00DB1068" w:rsidRPr="00DB1068">
              <w:t xml:space="preserve">7. apakšpunktu atbalstīt atsevišķu izņēmuma gadījumu piemērošanu un atļaut Centrālajai finanšu un līgumu aģentūrai nesamazināt Eiropas Savienības fonda un valsts budžeta līdzfinansējumu atsevišķiem projektiem, kas izpildi nodrošināja 2019. gada janvārī, Valsts ieņēmumu dienesta padziļinātās sadarbības programmas Zelta klienta projektam, kā arī saskaņā ar </w:t>
            </w:r>
            <w:r w:rsidR="00DB1068" w:rsidRPr="00DB1068">
              <w:lastRenderedPageBreak/>
              <w:t xml:space="preserve">Vides aizsardzības un reģionālās attīstības ministrijas, Izglītības un zinātnes ministrijas un Ekonomikas ministrijas </w:t>
            </w:r>
            <w:proofErr w:type="spellStart"/>
            <w:r w:rsidR="00DB1068" w:rsidRPr="00DB1068">
              <w:t>izvērtējumu</w:t>
            </w:r>
            <w:proofErr w:type="spellEnd"/>
            <w:r w:rsidR="00DB1068" w:rsidRPr="00DB1068">
              <w:t xml:space="preserve"> un priekšlikumu projektiem, kuriem ieviešanas kavējumi saistīti, galvenokārt, ar trešo personu rīcību</w:t>
            </w:r>
            <w:r w:rsidRPr="00DB1068">
              <w:rPr>
                <w:color w:val="0D0D0D" w:themeColor="text1" w:themeTint="F2"/>
              </w:rPr>
              <w:t>.</w:t>
            </w:r>
            <w:r w:rsidRPr="008E251E">
              <w:t>”.</w:t>
            </w:r>
          </w:p>
        </w:tc>
      </w:tr>
      <w:tr w:rsidR="00C175CB" w:rsidRPr="00AD684B" w14:paraId="53CE48DA" w14:textId="77777777" w:rsidTr="00C245EE">
        <w:trPr>
          <w:trHeight w:val="557"/>
        </w:trPr>
        <w:tc>
          <w:tcPr>
            <w:tcW w:w="704" w:type="dxa"/>
          </w:tcPr>
          <w:p w14:paraId="7E213FE5" w14:textId="77777777" w:rsidR="00C175CB" w:rsidRPr="00AD684B" w:rsidRDefault="00C175CB" w:rsidP="0024749D">
            <w:pPr>
              <w:pStyle w:val="naisc"/>
              <w:numPr>
                <w:ilvl w:val="0"/>
                <w:numId w:val="1"/>
              </w:numPr>
              <w:spacing w:before="0" w:after="0"/>
              <w:ind w:left="313"/>
            </w:pPr>
          </w:p>
        </w:tc>
        <w:tc>
          <w:tcPr>
            <w:tcW w:w="2693" w:type="dxa"/>
            <w:vMerge w:val="restart"/>
          </w:tcPr>
          <w:p w14:paraId="5C9D3ECF" w14:textId="6485BC42" w:rsidR="00C175CB" w:rsidRPr="00B95F5C" w:rsidRDefault="00C175CB" w:rsidP="0024749D">
            <w:pPr>
              <w:pStyle w:val="Default"/>
              <w:rPr>
                <w:rFonts w:eastAsiaTheme="minorHAnsi"/>
              </w:rPr>
            </w:pPr>
            <w:r>
              <w:rPr>
                <w:rFonts w:eastAsiaTheme="minorHAnsi"/>
              </w:rPr>
              <w:t>Informatīvā ziņojuma 4. sadaļa</w:t>
            </w:r>
          </w:p>
        </w:tc>
        <w:tc>
          <w:tcPr>
            <w:tcW w:w="5954" w:type="dxa"/>
          </w:tcPr>
          <w:p w14:paraId="79942A7B" w14:textId="77777777" w:rsidR="00C175CB" w:rsidRDefault="00C175CB" w:rsidP="0024749D">
            <w:pPr>
              <w:spacing w:after="120"/>
              <w:jc w:val="both"/>
              <w:rPr>
                <w:b/>
              </w:rPr>
            </w:pPr>
            <w:r>
              <w:rPr>
                <w:b/>
              </w:rPr>
              <w:t>Izglītības un zinātnes ministrija</w:t>
            </w:r>
          </w:p>
          <w:p w14:paraId="177F668A" w14:textId="442EB036" w:rsidR="00C175CB" w:rsidRPr="00B95F5C" w:rsidRDefault="00C175CB" w:rsidP="0024749D">
            <w:pPr>
              <w:spacing w:after="120"/>
              <w:jc w:val="both"/>
              <w:rPr>
                <w:b/>
              </w:rPr>
            </w:pPr>
            <w:r w:rsidRPr="00EE6E26">
              <w:rPr>
                <w:szCs w:val="26"/>
              </w:rPr>
              <w:t>Aicinām informatīvā ziņojuma 4.sadaļā „2014. - 2020. gada plānošanas perioda ES fondu investīciju aktualitātes” informāciju par Ministru kabineta noteikumiem digitālo mācību un metodisko līdzekļu izstrādei (otrajai atlases kārtai) papildināt ar zemsvītras atsauci, ka termiņš – līdz 2019. gada augustam, var mainīties atbilstoši vispārējās vidējās izglītības standarta apstiprināšanas laika grafikam, ievērojot, ka 8.3.1.2. pasākuma „Digitālo mācību un metodisko līdzekļu izstrāde” otrās atlases kārtas ietvaros tiks atbalstīta digitālo mācību un metodisko līdzekļu izstrāde jaunā mācību satura ieviešanai vispārējās vidējās izglītības pakāpē atbilstoši minētajā standartā noteiktajam. Plānots, ka otrās atlases kārtas nosacījumi tiks integrēti pirmās atlases kārtas Ministru kabineta noteikumos;</w:t>
            </w:r>
          </w:p>
        </w:tc>
        <w:tc>
          <w:tcPr>
            <w:tcW w:w="2977" w:type="dxa"/>
          </w:tcPr>
          <w:p w14:paraId="1FE4397E" w14:textId="77777777" w:rsidR="00C175CB" w:rsidRDefault="00C175CB" w:rsidP="0024749D">
            <w:pPr>
              <w:jc w:val="center"/>
              <w:rPr>
                <w:bCs/>
              </w:rPr>
            </w:pPr>
            <w:r>
              <w:rPr>
                <w:b/>
                <w:iCs/>
              </w:rPr>
              <w:t>Ņemts vērā</w:t>
            </w:r>
            <w:r>
              <w:rPr>
                <w:bCs/>
              </w:rPr>
              <w:t xml:space="preserve"> </w:t>
            </w:r>
          </w:p>
          <w:p w14:paraId="0D8D7FB9" w14:textId="272AE177" w:rsidR="00C175CB" w:rsidRPr="00AD684B" w:rsidRDefault="00C175CB" w:rsidP="0024749D">
            <w:pPr>
              <w:jc w:val="both"/>
              <w:rPr>
                <w:b/>
                <w:iCs/>
              </w:rPr>
            </w:pPr>
            <w:r>
              <w:rPr>
                <w:bCs/>
              </w:rPr>
              <w:t>I</w:t>
            </w:r>
            <w:r w:rsidRPr="00ED238A">
              <w:rPr>
                <w:bCs/>
              </w:rPr>
              <w:t xml:space="preserve">nformatīvā ziņojuma </w:t>
            </w:r>
            <w:r>
              <w:rPr>
                <w:bCs/>
              </w:rPr>
              <w:t xml:space="preserve">projekta </w:t>
            </w:r>
            <w:r w:rsidRPr="00ED238A">
              <w:rPr>
                <w:bCs/>
              </w:rPr>
              <w:t xml:space="preserve">4.sadaļā </w:t>
            </w:r>
            <w:r>
              <w:rPr>
                <w:bCs/>
              </w:rPr>
              <w:t>“</w:t>
            </w:r>
            <w:r w:rsidRPr="00ED238A">
              <w:rPr>
                <w:bCs/>
              </w:rPr>
              <w:t xml:space="preserve">2014. </w:t>
            </w:r>
            <w:r>
              <w:rPr>
                <w:bCs/>
              </w:rPr>
              <w:t>–</w:t>
            </w:r>
            <w:r w:rsidRPr="00ED238A">
              <w:rPr>
                <w:bCs/>
              </w:rPr>
              <w:t xml:space="preserve"> 2020. gada plānošanas perioda ES fondu investīciju aktualitātes” informāciju par Ministru kabineta noteikumiem digitālo mācību un metodisko līdzekļu izstrādei (otrajai atlases kārtai) papildināt</w:t>
            </w:r>
            <w:r>
              <w:rPr>
                <w:bCs/>
              </w:rPr>
              <w:t>a</w:t>
            </w:r>
            <w:r w:rsidRPr="00ED238A">
              <w:rPr>
                <w:bCs/>
              </w:rPr>
              <w:t xml:space="preserve"> ar </w:t>
            </w:r>
            <w:r>
              <w:rPr>
                <w:bCs/>
              </w:rPr>
              <w:t xml:space="preserve">ierosināto </w:t>
            </w:r>
            <w:r w:rsidRPr="00ED238A">
              <w:rPr>
                <w:bCs/>
              </w:rPr>
              <w:t>zemsvītras atsauci.</w:t>
            </w:r>
          </w:p>
        </w:tc>
        <w:tc>
          <w:tcPr>
            <w:tcW w:w="3259" w:type="dxa"/>
          </w:tcPr>
          <w:p w14:paraId="0869898B" w14:textId="7AFD7524" w:rsidR="00C175CB" w:rsidRPr="00AD684B" w:rsidRDefault="00C175CB" w:rsidP="00DB1068">
            <w:pPr>
              <w:pStyle w:val="Default"/>
              <w:jc w:val="both"/>
              <w:rPr>
                <w:bCs/>
                <w:color w:val="auto"/>
              </w:rPr>
            </w:pPr>
            <w:r>
              <w:rPr>
                <w:bCs/>
                <w:color w:val="auto"/>
              </w:rPr>
              <w:t>Papildināta informatīvā ziņojuma 4.sadaļa “</w:t>
            </w:r>
            <w:r w:rsidRPr="00C6456F">
              <w:t>2014. - 2020. gada plānošanas perioda ES fondu investīciju aktualitātes</w:t>
            </w:r>
            <w:r>
              <w:rPr>
                <w:bCs/>
                <w:color w:val="auto"/>
              </w:rPr>
              <w:t xml:space="preserve">” ar </w:t>
            </w:r>
            <w:r w:rsidRPr="00ED238A">
              <w:rPr>
                <w:bCs/>
              </w:rPr>
              <w:t xml:space="preserve"> zemsvītras atsauci</w:t>
            </w:r>
            <w:r>
              <w:rPr>
                <w:bCs/>
              </w:rPr>
              <w:t xml:space="preserve">. </w:t>
            </w:r>
          </w:p>
        </w:tc>
      </w:tr>
      <w:tr w:rsidR="00C175CB" w:rsidRPr="00AD684B" w14:paraId="04EC73D9" w14:textId="77777777" w:rsidTr="00C245EE">
        <w:trPr>
          <w:trHeight w:val="557"/>
        </w:trPr>
        <w:tc>
          <w:tcPr>
            <w:tcW w:w="704" w:type="dxa"/>
          </w:tcPr>
          <w:p w14:paraId="61EB2D3D" w14:textId="77777777" w:rsidR="00C175CB" w:rsidRPr="00AD684B" w:rsidRDefault="00C175CB" w:rsidP="0024749D">
            <w:pPr>
              <w:pStyle w:val="naisc"/>
              <w:numPr>
                <w:ilvl w:val="0"/>
                <w:numId w:val="1"/>
              </w:numPr>
              <w:spacing w:before="0" w:after="0"/>
              <w:ind w:left="313"/>
            </w:pPr>
          </w:p>
        </w:tc>
        <w:tc>
          <w:tcPr>
            <w:tcW w:w="2693" w:type="dxa"/>
            <w:vMerge/>
          </w:tcPr>
          <w:p w14:paraId="16337785" w14:textId="77777777" w:rsidR="00C175CB" w:rsidRDefault="00C175CB" w:rsidP="0024749D">
            <w:pPr>
              <w:pStyle w:val="Default"/>
              <w:rPr>
                <w:rFonts w:eastAsiaTheme="minorHAnsi"/>
              </w:rPr>
            </w:pPr>
          </w:p>
        </w:tc>
        <w:tc>
          <w:tcPr>
            <w:tcW w:w="5954" w:type="dxa"/>
          </w:tcPr>
          <w:p w14:paraId="462A50C1" w14:textId="7F94D4C8" w:rsidR="00C175CB" w:rsidRDefault="00C175CB" w:rsidP="0024749D">
            <w:pPr>
              <w:spacing w:after="120"/>
              <w:jc w:val="both"/>
              <w:rPr>
                <w:b/>
              </w:rPr>
            </w:pPr>
            <w:r>
              <w:rPr>
                <w:b/>
              </w:rPr>
              <w:t>Izglītības un zinātnes ministrija</w:t>
            </w:r>
            <w:r w:rsidR="00D0756A">
              <w:rPr>
                <w:b/>
              </w:rPr>
              <w:t>s saņemtais iebildums 25.02.2019</w:t>
            </w:r>
          </w:p>
          <w:p w14:paraId="4F7CF48B" w14:textId="19D6D62E" w:rsidR="00C175CB" w:rsidRPr="00C175CB" w:rsidRDefault="00C175CB" w:rsidP="0024749D">
            <w:pPr>
              <w:spacing w:after="120"/>
              <w:jc w:val="both"/>
            </w:pPr>
            <w:r w:rsidRPr="00C175CB">
              <w:t xml:space="preserve">Aicinām precizētā informatīvā ziņojuma 4.sadaļā „2014. – 2020. gada plānošanas perioda ES fondu investīciju aktualitātes” norādē par Ministru kabineta noteikumu izstrādi 8.3.1.2. pasākuma „Digitālo mācību un metodisko </w:t>
            </w:r>
            <w:r w:rsidRPr="00C175CB">
              <w:lastRenderedPageBreak/>
              <w:t>līdzekļu izstrāde” otrajai atlases kārtai, svītrot vārdus „pēc pasākuma 1. kārtas rezultātu izvērtēšanas”. Skaidrojam, ka sākotnējo lēmumu pieņemšana par 8.3.1.2. pasākuma „Digitālo mācību un metodisko līdzekļu izstrāde” pirmās atlases kārtas ietvaros iesniegtajiem projektu iesniegumiem var tikt pieņemti līdz 2019.gada 13.augustam . Savukārt ne ātrāk kā līdz 2019.oktobrim var tikt pieņemti lēmumi par projektu iesniegumu apstiprināšanu, ja paredzēta lēmumos noteikto nosacījumu izpilde. Līdz ar to, saglabājoties esošajai norādes redakcijai, Ministru kabineta noteikumu izstrāde vēlamajā termiņā (2019.gada augusts) nav iespējama.</w:t>
            </w:r>
          </w:p>
        </w:tc>
        <w:tc>
          <w:tcPr>
            <w:tcW w:w="2977" w:type="dxa"/>
          </w:tcPr>
          <w:p w14:paraId="32803DC6" w14:textId="3B4D2EEB" w:rsidR="00C175CB" w:rsidRDefault="00FA4416" w:rsidP="00A976BA">
            <w:pPr>
              <w:rPr>
                <w:b/>
                <w:iCs/>
              </w:rPr>
            </w:pPr>
            <w:r>
              <w:rPr>
                <w:b/>
                <w:iCs/>
              </w:rPr>
              <w:lastRenderedPageBreak/>
              <w:t xml:space="preserve"> </w:t>
            </w:r>
            <w:r w:rsidR="00D82E59">
              <w:rPr>
                <w:b/>
                <w:iCs/>
              </w:rPr>
              <w:t>Ņ</w:t>
            </w:r>
            <w:r>
              <w:rPr>
                <w:b/>
                <w:iCs/>
              </w:rPr>
              <w:t>emts vērā</w:t>
            </w:r>
          </w:p>
          <w:p w14:paraId="47B541E8" w14:textId="13E0497E" w:rsidR="00D82E59" w:rsidRDefault="00D82E59" w:rsidP="00454C10">
            <w:pPr>
              <w:jc w:val="both"/>
              <w:rPr>
                <w:bCs/>
              </w:rPr>
            </w:pPr>
            <w:r w:rsidRPr="00D82E59">
              <w:rPr>
                <w:bCs/>
              </w:rPr>
              <w:t>Pr</w:t>
            </w:r>
            <w:r>
              <w:rPr>
                <w:bCs/>
              </w:rPr>
              <w:t>ecizēta informatīvā ziņojuma 4.sadaļa “2014. - 2020.</w:t>
            </w:r>
            <w:r w:rsidRPr="00D82E59">
              <w:rPr>
                <w:bCs/>
              </w:rPr>
              <w:t>gada plānošanas perioda ES fondu investīciju aktualitātes”</w:t>
            </w:r>
            <w:r>
              <w:rPr>
                <w:bCs/>
              </w:rPr>
              <w:t>.</w:t>
            </w:r>
          </w:p>
          <w:p w14:paraId="07BE606D" w14:textId="055CA686" w:rsidR="00FA4416" w:rsidRPr="00025C21" w:rsidRDefault="00D82E59" w:rsidP="00D82E59">
            <w:pPr>
              <w:jc w:val="both"/>
              <w:rPr>
                <w:bCs/>
              </w:rPr>
            </w:pPr>
            <w:r>
              <w:rPr>
                <w:bCs/>
              </w:rPr>
              <w:lastRenderedPageBreak/>
              <w:t xml:space="preserve">Vienlaikus vēršam uzmanību, ka, Ministru kabineta noteikumu saskaņošanas procesā lūgsim pārskatīt 1. kārtas ieviešanas nosacījumus. </w:t>
            </w:r>
            <w:r w:rsidR="00025C21" w:rsidRPr="00025C21">
              <w:rPr>
                <w:bCs/>
              </w:rPr>
              <w:t>Skaidrojam, ka</w:t>
            </w:r>
            <w:r w:rsidR="00D15C49">
              <w:rPr>
                <w:bCs/>
              </w:rPr>
              <w:t>,</w:t>
            </w:r>
            <w:r w:rsidR="00025C21" w:rsidRPr="00025C21">
              <w:rPr>
                <w:bCs/>
              </w:rPr>
              <w:t xml:space="preserve"> lai nodrošinātu</w:t>
            </w:r>
            <w:r w:rsidR="00025C21" w:rsidRPr="00025C21">
              <w:rPr>
                <w:rFonts w:eastAsia="Calibri"/>
                <w:szCs w:val="22"/>
                <w:lang w:eastAsia="en-US"/>
              </w:rPr>
              <w:t xml:space="preserve"> </w:t>
            </w:r>
            <w:r w:rsidR="00025C21" w:rsidRPr="00025C21">
              <w:rPr>
                <w:bCs/>
              </w:rPr>
              <w:t xml:space="preserve">saimnieciski lietderīgāku un efektīvāku 8.3.1.2. pasākuma „Digitālo mācību un metodisko līdzekļu izstrāde” </w:t>
            </w:r>
            <w:r w:rsidR="00D15C49">
              <w:rPr>
                <w:bCs/>
              </w:rPr>
              <w:t>2.</w:t>
            </w:r>
            <w:r w:rsidR="00025C21" w:rsidRPr="00025C21">
              <w:rPr>
                <w:bCs/>
              </w:rPr>
              <w:t xml:space="preserve">atlases kārtas ieviešanu, nepieciešams  izvērtēt 1.atlases kārtas rezultātus, identificēt pieļautās kļūdas un potenciālos riskus </w:t>
            </w:r>
            <w:r w:rsidR="00D15C49">
              <w:rPr>
                <w:bCs/>
              </w:rPr>
              <w:t>2.</w:t>
            </w:r>
            <w:r>
              <w:rPr>
                <w:bCs/>
              </w:rPr>
              <w:t xml:space="preserve">atlases kārtā. </w:t>
            </w:r>
            <w:r w:rsidR="00025C21" w:rsidRPr="00025C21">
              <w:rPr>
                <w:bCs/>
              </w:rPr>
              <w:t>Šāda pieeja nodro</w:t>
            </w:r>
            <w:r w:rsidR="00025C21">
              <w:rPr>
                <w:bCs/>
              </w:rPr>
              <w:t>šinātu labās prakses īstenošanu</w:t>
            </w:r>
            <w:r w:rsidR="00025C21" w:rsidRPr="00025C21">
              <w:rPr>
                <w:bCs/>
              </w:rPr>
              <w:t xml:space="preserve"> ES fondu ieviešanā.</w:t>
            </w:r>
            <w:r w:rsidR="00025C21">
              <w:rPr>
                <w:bCs/>
              </w:rPr>
              <w:t xml:space="preserve"> </w:t>
            </w:r>
          </w:p>
        </w:tc>
        <w:tc>
          <w:tcPr>
            <w:tcW w:w="3259" w:type="dxa"/>
          </w:tcPr>
          <w:p w14:paraId="17110774" w14:textId="0EA7016D" w:rsidR="00C175CB" w:rsidRDefault="00D82E59" w:rsidP="00DB1068">
            <w:pPr>
              <w:pStyle w:val="Default"/>
              <w:jc w:val="both"/>
              <w:rPr>
                <w:bCs/>
                <w:color w:val="auto"/>
              </w:rPr>
            </w:pPr>
            <w:r w:rsidRPr="00D82E59">
              <w:rPr>
                <w:bCs/>
                <w:color w:val="auto"/>
              </w:rPr>
              <w:lastRenderedPageBreak/>
              <w:t>Precizēta informatīvā ziņojuma 4. sadaļa</w:t>
            </w:r>
            <w:r>
              <w:rPr>
                <w:bCs/>
                <w:color w:val="auto"/>
              </w:rPr>
              <w:t xml:space="preserve">s </w:t>
            </w:r>
            <w:r w:rsidRPr="00D82E59">
              <w:rPr>
                <w:bCs/>
                <w:color w:val="auto"/>
              </w:rPr>
              <w:t xml:space="preserve"> “2014. - 2020. gada plānošanas perioda ES fondu investīciju aktualitātes”</w:t>
            </w:r>
            <w:r>
              <w:rPr>
                <w:bCs/>
                <w:color w:val="auto"/>
              </w:rPr>
              <w:t>:</w:t>
            </w:r>
            <w:r>
              <w:rPr>
                <w:bCs/>
                <w:color w:val="auto"/>
              </w:rPr>
              <w:br/>
              <w:t>“2)</w:t>
            </w:r>
            <w:r>
              <w:t xml:space="preserve"> </w:t>
            </w:r>
            <w:r w:rsidRPr="00D82E59">
              <w:rPr>
                <w:bCs/>
                <w:color w:val="auto"/>
              </w:rPr>
              <w:t xml:space="preserve">Līdz 2019. gada augustam  izstrādāt investīciju MK noteikumus digitālo mācību un </w:t>
            </w:r>
            <w:r w:rsidRPr="00D82E59">
              <w:rPr>
                <w:bCs/>
                <w:color w:val="auto"/>
              </w:rPr>
              <w:lastRenderedPageBreak/>
              <w:t>metodisko līdzekļu izstrādei (2. kārta</w:t>
            </w:r>
            <w:r>
              <w:rPr>
                <w:bCs/>
                <w:color w:val="auto"/>
              </w:rPr>
              <w:t>)”</w:t>
            </w:r>
          </w:p>
          <w:p w14:paraId="50F08978" w14:textId="77777777" w:rsidR="00D82E59" w:rsidRDefault="00D82E59" w:rsidP="00DB1068">
            <w:pPr>
              <w:pStyle w:val="Default"/>
              <w:jc w:val="both"/>
              <w:rPr>
                <w:bCs/>
                <w:color w:val="auto"/>
              </w:rPr>
            </w:pPr>
          </w:p>
          <w:p w14:paraId="2D85E69A" w14:textId="15FE1ECE" w:rsidR="00D82E59" w:rsidRDefault="00D82E59" w:rsidP="00DB1068">
            <w:pPr>
              <w:pStyle w:val="Default"/>
              <w:jc w:val="both"/>
              <w:rPr>
                <w:bCs/>
                <w:color w:val="auto"/>
              </w:rPr>
            </w:pPr>
          </w:p>
        </w:tc>
      </w:tr>
      <w:tr w:rsidR="0024749D" w:rsidRPr="00AD684B" w14:paraId="5C6BBAC1" w14:textId="77777777" w:rsidTr="00C245EE">
        <w:trPr>
          <w:trHeight w:val="1001"/>
        </w:trPr>
        <w:tc>
          <w:tcPr>
            <w:tcW w:w="704" w:type="dxa"/>
          </w:tcPr>
          <w:p w14:paraId="3BE34A93" w14:textId="77777777" w:rsidR="0024749D" w:rsidRPr="00AD684B" w:rsidRDefault="0024749D" w:rsidP="0024749D">
            <w:pPr>
              <w:pStyle w:val="naisc"/>
              <w:numPr>
                <w:ilvl w:val="0"/>
                <w:numId w:val="1"/>
              </w:numPr>
              <w:spacing w:before="0" w:after="0"/>
              <w:ind w:left="313"/>
            </w:pPr>
          </w:p>
        </w:tc>
        <w:tc>
          <w:tcPr>
            <w:tcW w:w="2693" w:type="dxa"/>
          </w:tcPr>
          <w:p w14:paraId="19B0C591" w14:textId="539AFB69" w:rsidR="0024749D" w:rsidRPr="00C41836" w:rsidRDefault="0024749D" w:rsidP="0024749D">
            <w:pPr>
              <w:pStyle w:val="Default"/>
              <w:rPr>
                <w:rFonts w:eastAsiaTheme="minorHAnsi"/>
                <w:color w:val="auto"/>
              </w:rPr>
            </w:pPr>
            <w:r>
              <w:rPr>
                <w:rFonts w:eastAsiaTheme="minorHAnsi"/>
                <w:color w:val="auto"/>
              </w:rPr>
              <w:t>Informatīvā ziņojuma 4. sadaļa</w:t>
            </w:r>
          </w:p>
        </w:tc>
        <w:tc>
          <w:tcPr>
            <w:tcW w:w="5954" w:type="dxa"/>
          </w:tcPr>
          <w:p w14:paraId="187841BD" w14:textId="77777777" w:rsidR="0024749D" w:rsidRPr="008C33BD" w:rsidRDefault="0024749D" w:rsidP="0024749D">
            <w:pPr>
              <w:spacing w:after="120"/>
              <w:jc w:val="both"/>
              <w:rPr>
                <w:b/>
              </w:rPr>
            </w:pPr>
            <w:r w:rsidRPr="008C33BD">
              <w:rPr>
                <w:b/>
              </w:rPr>
              <w:t>Labklājības ministrija</w:t>
            </w:r>
          </w:p>
          <w:p w14:paraId="587EA7A1" w14:textId="16487F8A" w:rsidR="0024749D" w:rsidRPr="004D54A7" w:rsidRDefault="0024749D" w:rsidP="0024749D">
            <w:pPr>
              <w:widowControl w:val="0"/>
              <w:jc w:val="both"/>
            </w:pPr>
            <w:r>
              <w:t>A</w:t>
            </w:r>
            <w:r w:rsidRPr="004D54A7">
              <w:t xml:space="preserve">icinām izvērtēt nepieciešamību precizēt informatīvā ziņojuma 4.sadaļu “2014.-2020.gada plānošanas perioda ES fondu investīciju aktualitātes”, pie ES fondu izvērtēšanas jautājumiem norādot informāciju arī par 2018.gadā pabeigto </w:t>
            </w:r>
            <w:proofErr w:type="spellStart"/>
            <w:r w:rsidRPr="004D54A7">
              <w:t>izvērtējumu</w:t>
            </w:r>
            <w:proofErr w:type="spellEnd"/>
            <w:r w:rsidRPr="004D54A7">
              <w:t xml:space="preserve"> par profesionāl</w:t>
            </w:r>
            <w:r>
              <w:t>o</w:t>
            </w:r>
            <w:r w:rsidRPr="004D54A7">
              <w:t xml:space="preserve"> izglītīb</w:t>
            </w:r>
            <w:r>
              <w:t>u</w:t>
            </w:r>
            <w:r w:rsidRPr="004D54A7">
              <w:t xml:space="preserve"> un jauniešu gaitām darba tirgū: secinājumi no Jauniešu garantijas programmas </w:t>
            </w:r>
            <w:proofErr w:type="spellStart"/>
            <w:r w:rsidRPr="004D54A7">
              <w:t>izvērtējuma</w:t>
            </w:r>
            <w:proofErr w:type="spellEnd"/>
            <w:r w:rsidRPr="004D54A7">
              <w:t xml:space="preserve"> Latvijā (Eiropas Komisijas veiktais pētījums sadarbībā ar Vienoto pētniecības centru);</w:t>
            </w:r>
          </w:p>
          <w:p w14:paraId="2D980F30" w14:textId="77777777" w:rsidR="0024749D" w:rsidRDefault="0024749D" w:rsidP="0024749D">
            <w:pPr>
              <w:spacing w:after="120"/>
              <w:jc w:val="both"/>
            </w:pPr>
          </w:p>
        </w:tc>
        <w:tc>
          <w:tcPr>
            <w:tcW w:w="2977" w:type="dxa"/>
          </w:tcPr>
          <w:p w14:paraId="730835E6" w14:textId="77777777" w:rsidR="0024749D" w:rsidRDefault="0024749D" w:rsidP="0024749D">
            <w:pPr>
              <w:jc w:val="center"/>
              <w:rPr>
                <w:b/>
                <w:iCs/>
              </w:rPr>
            </w:pPr>
            <w:r>
              <w:rPr>
                <w:b/>
                <w:iCs/>
              </w:rPr>
              <w:t>Ņemts vērā</w:t>
            </w:r>
          </w:p>
          <w:p w14:paraId="3D8B712A" w14:textId="28FF2DDD" w:rsidR="0024749D" w:rsidRPr="0069332C" w:rsidRDefault="0024749D" w:rsidP="0024749D">
            <w:pPr>
              <w:jc w:val="both"/>
              <w:rPr>
                <w:iCs/>
              </w:rPr>
            </w:pPr>
            <w:r>
              <w:rPr>
                <w:iCs/>
              </w:rPr>
              <w:t xml:space="preserve">Informatīvais ziņojums papildināts ar informāciju par 2018. gadā pabeigto </w:t>
            </w:r>
            <w:proofErr w:type="spellStart"/>
            <w:r>
              <w:rPr>
                <w:iCs/>
              </w:rPr>
              <w:t>izvērtējumu</w:t>
            </w:r>
            <w:proofErr w:type="spellEnd"/>
            <w:r>
              <w:rPr>
                <w:iCs/>
              </w:rPr>
              <w:t xml:space="preserve"> par profesionālo izglītību un jauniešu gaitām darba tirgū.</w:t>
            </w:r>
          </w:p>
        </w:tc>
        <w:tc>
          <w:tcPr>
            <w:tcW w:w="3259" w:type="dxa"/>
          </w:tcPr>
          <w:p w14:paraId="29813219" w14:textId="29DECE4F" w:rsidR="0024749D" w:rsidRPr="00AD684B" w:rsidRDefault="0024749D" w:rsidP="00DB1068">
            <w:pPr>
              <w:pStyle w:val="Default"/>
              <w:jc w:val="both"/>
              <w:rPr>
                <w:bCs/>
                <w:color w:val="auto"/>
              </w:rPr>
            </w:pPr>
            <w:r>
              <w:rPr>
                <w:bCs/>
                <w:color w:val="auto"/>
              </w:rPr>
              <w:t>Papildināta informatīvā ziņojuma 4. sadaļa “</w:t>
            </w:r>
            <w:r w:rsidRPr="00C6456F">
              <w:t>2014. - 2020. gada plānošanas perioda ES fondu investīciju aktualitātes</w:t>
            </w:r>
            <w:r w:rsidR="00DB1068">
              <w:rPr>
                <w:bCs/>
                <w:color w:val="auto"/>
              </w:rPr>
              <w:t>”.</w:t>
            </w:r>
          </w:p>
        </w:tc>
      </w:tr>
      <w:tr w:rsidR="0024749D" w:rsidRPr="00AD684B" w14:paraId="16C1EB98" w14:textId="77777777" w:rsidTr="00C245EE">
        <w:trPr>
          <w:trHeight w:val="699"/>
        </w:trPr>
        <w:tc>
          <w:tcPr>
            <w:tcW w:w="704" w:type="dxa"/>
          </w:tcPr>
          <w:p w14:paraId="0E26CFA1" w14:textId="77777777" w:rsidR="0024749D" w:rsidRPr="00AD684B" w:rsidRDefault="0024749D" w:rsidP="0024749D">
            <w:pPr>
              <w:pStyle w:val="naisc"/>
              <w:numPr>
                <w:ilvl w:val="0"/>
                <w:numId w:val="1"/>
              </w:numPr>
              <w:spacing w:before="0" w:after="0"/>
              <w:ind w:left="313"/>
            </w:pPr>
          </w:p>
        </w:tc>
        <w:tc>
          <w:tcPr>
            <w:tcW w:w="2693" w:type="dxa"/>
          </w:tcPr>
          <w:p w14:paraId="01F7FFDA" w14:textId="421657C6" w:rsidR="0024749D" w:rsidRDefault="0024749D" w:rsidP="0024749D">
            <w:pPr>
              <w:jc w:val="both"/>
              <w:rPr>
                <w:rFonts w:eastAsiaTheme="minorHAnsi"/>
                <w:lang w:eastAsia="en-US"/>
              </w:rPr>
            </w:pPr>
            <w:r>
              <w:rPr>
                <w:rFonts w:eastAsiaTheme="minorHAnsi"/>
              </w:rPr>
              <w:t>Informatīvā ziņojuma 4. sadaļa</w:t>
            </w:r>
          </w:p>
        </w:tc>
        <w:tc>
          <w:tcPr>
            <w:tcW w:w="5954" w:type="dxa"/>
          </w:tcPr>
          <w:p w14:paraId="7F69FE4B" w14:textId="77777777" w:rsidR="0024749D" w:rsidRPr="008C33BD" w:rsidRDefault="0024749D" w:rsidP="0024749D">
            <w:pPr>
              <w:spacing w:after="120"/>
              <w:jc w:val="both"/>
              <w:rPr>
                <w:b/>
              </w:rPr>
            </w:pPr>
            <w:r w:rsidRPr="008C33BD">
              <w:rPr>
                <w:b/>
              </w:rPr>
              <w:t>Labklājības ministrija</w:t>
            </w:r>
          </w:p>
          <w:p w14:paraId="221EEFB1" w14:textId="0E3AFEA6" w:rsidR="0024749D" w:rsidRPr="00AA1B10" w:rsidRDefault="0024749D" w:rsidP="0024749D">
            <w:pPr>
              <w:widowControl w:val="0"/>
              <w:jc w:val="both"/>
            </w:pPr>
            <w:r>
              <w:t>L</w:t>
            </w:r>
            <w:r w:rsidRPr="004D54A7">
              <w:t>ūdzam papildināt informatīvā ziņojuma 4.sadaļu “2014.-</w:t>
            </w:r>
            <w:r w:rsidRPr="004D54A7">
              <w:lastRenderedPageBreak/>
              <w:t xml:space="preserve">2020.gada plānošanas perioda ES fondu investīciju aktualitātes”, pie ES fondu ieviešanas progresa informācijas par līdz šim pabeigtajiem projektiem ietvert izvērstāku informāciju par LM pārziņas 7.2.1.1.specifiskā atbalsta pasākumu “Aktīvās darba tirgus politikas pasākumu īstenošana jauniešu bezdarbnieku nodarbinātības veicināšanai”, kas noslēdzies 2018.gada 31.decembrī (t.sk. norādot, ka 1) gala lēmums par minētā pasākuma Jauniešu Nodarbinātības iniciatīvas (turpmāk - JNI) piešķīruma atlikumu novirzīšanu 7.2.1.2.pasākuma “Sākotnējās profesionālās izglītības programmu īstenošana Jauniešu garantijas ietvaros” īstenošanai tiks pieņemts pēc iepazīšanās ar JNI </w:t>
            </w:r>
            <w:proofErr w:type="spellStart"/>
            <w:r w:rsidRPr="004D54A7">
              <w:t>izvērtējuma</w:t>
            </w:r>
            <w:proofErr w:type="spellEnd"/>
            <w:r w:rsidRPr="004D54A7">
              <w:t xml:space="preserve"> rezultātiem; 2) viens no trijiem šim pasākumam plānotajiem iznākuma rādītājiem nav izpildīts pilnā apmērā (t.i., </w:t>
            </w:r>
            <w:r>
              <w:t>i.7.2.1.b.rādītājs “</w:t>
            </w:r>
            <w:r w:rsidRPr="004D54A7">
              <w:t>ilgstošie bezdarbnieki (atbalstu saņēmušie, dalību uzsākušie) – 5</w:t>
            </w:r>
            <w:r>
              <w:t> </w:t>
            </w:r>
            <w:r w:rsidRPr="004D54A7">
              <w:t>700</w:t>
            </w:r>
            <w:r>
              <w:t>”</w:t>
            </w:r>
            <w:r w:rsidRPr="004D54A7">
              <w:t xml:space="preserve">; izpildīts 71% apmērā jeb atbalsts sniegts 4 035 ilgstošajiem bezdarbniekiem), kas liecina par pozitīvu </w:t>
            </w:r>
            <w:r>
              <w:t>neizpildi</w:t>
            </w:r>
            <w:r w:rsidRPr="004D54A7">
              <w:t>, proti, sniegtais atbalsts jauniešiem ir bijis efektīvs, ļaujot tiem atgriezties darba tirgū</w:t>
            </w:r>
            <w:r>
              <w:t xml:space="preserve"> ātrāk</w:t>
            </w:r>
            <w:r w:rsidRPr="004D54A7">
              <w:t xml:space="preserve">, nekļūstot </w:t>
            </w:r>
            <w:r>
              <w:t xml:space="preserve">par </w:t>
            </w:r>
            <w:r w:rsidRPr="004D54A7">
              <w:t>ilgstošajiem bezdarbniekiem);</w:t>
            </w:r>
          </w:p>
        </w:tc>
        <w:tc>
          <w:tcPr>
            <w:tcW w:w="2977" w:type="dxa"/>
          </w:tcPr>
          <w:p w14:paraId="3226B2BE" w14:textId="77777777" w:rsidR="0024749D" w:rsidRDefault="0024749D" w:rsidP="0024749D">
            <w:pPr>
              <w:pStyle w:val="naisc"/>
              <w:spacing w:before="0" w:after="0"/>
              <w:rPr>
                <w:b/>
              </w:rPr>
            </w:pPr>
            <w:r w:rsidRPr="000B6079">
              <w:rPr>
                <w:b/>
              </w:rPr>
              <w:lastRenderedPageBreak/>
              <w:t>Ņemts vērā</w:t>
            </w:r>
          </w:p>
          <w:p w14:paraId="40FCEB1D" w14:textId="31EC4FE1" w:rsidR="0024749D" w:rsidRDefault="0024749D" w:rsidP="0024749D">
            <w:pPr>
              <w:pStyle w:val="naisc"/>
              <w:spacing w:before="0" w:after="0"/>
              <w:jc w:val="both"/>
            </w:pPr>
            <w:r w:rsidRPr="00A71324">
              <w:t xml:space="preserve">Informatīvais ziņojums papildināts ar Labklājības </w:t>
            </w:r>
            <w:r w:rsidRPr="00A71324">
              <w:lastRenderedPageBreak/>
              <w:t>ministrijas ierosināto vēstījumu pēc būtības, bet koncentrētā veidā.</w:t>
            </w:r>
          </w:p>
          <w:p w14:paraId="17DE1433" w14:textId="73D840D2" w:rsidR="0024749D" w:rsidRPr="00A71324" w:rsidRDefault="0024749D" w:rsidP="0024749D">
            <w:pPr>
              <w:pStyle w:val="naisc"/>
              <w:spacing w:before="0" w:after="0"/>
              <w:jc w:val="both"/>
            </w:pPr>
            <w:r>
              <w:t xml:space="preserve">Vienlaikus informatīvajā ziņojumā šobrīd neiekļaujam, bet pieņemam zināšanai LM plānoto rīcību par 7.2.1.1.pasākuma finanšu atlikums iespējamu izmantošanu. Aicinām LM attiecīgi atsevišķi virzīt priekšlikumu, kad tas ir sagatavots un pamatots. </w:t>
            </w:r>
          </w:p>
        </w:tc>
        <w:tc>
          <w:tcPr>
            <w:tcW w:w="3259" w:type="dxa"/>
          </w:tcPr>
          <w:p w14:paraId="3DB9AA2A" w14:textId="27FA9648" w:rsidR="0024749D" w:rsidRPr="00DB1068" w:rsidRDefault="0024749D" w:rsidP="00BD7ABE">
            <w:pPr>
              <w:jc w:val="both"/>
            </w:pPr>
            <w:r>
              <w:lastRenderedPageBreak/>
              <w:t>Papildināta informatīvā ziņojuma 4. sadaļa “</w:t>
            </w:r>
            <w:r w:rsidRPr="00C6456F">
              <w:t xml:space="preserve">2014. - 2020. gada plānošanas </w:t>
            </w:r>
            <w:r w:rsidRPr="00C6456F">
              <w:lastRenderedPageBreak/>
              <w:t>perioda ES fondu investīciju aktualitātes</w:t>
            </w:r>
            <w:r>
              <w:rPr>
                <w:bCs/>
              </w:rPr>
              <w:t>”</w:t>
            </w:r>
            <w:r w:rsidR="00DB1068">
              <w:t>.</w:t>
            </w:r>
          </w:p>
        </w:tc>
      </w:tr>
      <w:tr w:rsidR="0024749D" w:rsidRPr="00AD684B" w14:paraId="102B32C5" w14:textId="77777777" w:rsidTr="00C245EE">
        <w:trPr>
          <w:trHeight w:val="699"/>
        </w:trPr>
        <w:tc>
          <w:tcPr>
            <w:tcW w:w="704" w:type="dxa"/>
          </w:tcPr>
          <w:p w14:paraId="60FDB994" w14:textId="77777777" w:rsidR="0024749D" w:rsidRPr="00AD684B" w:rsidRDefault="0024749D" w:rsidP="0024749D">
            <w:pPr>
              <w:pStyle w:val="naisc"/>
              <w:numPr>
                <w:ilvl w:val="0"/>
                <w:numId w:val="1"/>
              </w:numPr>
              <w:spacing w:before="0" w:after="0"/>
              <w:ind w:left="313"/>
            </w:pPr>
          </w:p>
        </w:tc>
        <w:tc>
          <w:tcPr>
            <w:tcW w:w="2693" w:type="dxa"/>
          </w:tcPr>
          <w:p w14:paraId="00C5526A" w14:textId="1B6FAB36" w:rsidR="0024749D" w:rsidRDefault="0024749D" w:rsidP="0024749D">
            <w:pPr>
              <w:jc w:val="both"/>
              <w:rPr>
                <w:rFonts w:eastAsiaTheme="minorHAnsi"/>
              </w:rPr>
            </w:pPr>
            <w:r>
              <w:rPr>
                <w:rFonts w:eastAsiaTheme="minorHAnsi"/>
              </w:rPr>
              <w:t>Informatīvā ziņojuma 4. sadaļa</w:t>
            </w:r>
          </w:p>
        </w:tc>
        <w:tc>
          <w:tcPr>
            <w:tcW w:w="5954" w:type="dxa"/>
          </w:tcPr>
          <w:p w14:paraId="2607ED2B" w14:textId="77777777" w:rsidR="0024749D" w:rsidRDefault="0024749D" w:rsidP="0024749D">
            <w:pPr>
              <w:spacing w:after="120"/>
              <w:jc w:val="both"/>
              <w:rPr>
                <w:b/>
              </w:rPr>
            </w:pPr>
            <w:r>
              <w:rPr>
                <w:b/>
              </w:rPr>
              <w:t>Satiksmes ministrija</w:t>
            </w:r>
          </w:p>
          <w:p w14:paraId="2CF75259" w14:textId="19224717" w:rsidR="0024749D" w:rsidRPr="008C33BD" w:rsidRDefault="0024749D" w:rsidP="0024749D">
            <w:pPr>
              <w:spacing w:after="120"/>
              <w:jc w:val="both"/>
              <w:rPr>
                <w:b/>
              </w:rPr>
            </w:pPr>
            <w:r w:rsidRPr="007E275E">
              <w:t xml:space="preserve">Informatīvā ziņojuma projekta (23.lpp) ir ietverta sekojošā informācija: “2019.gada 8.janvārī FM nosūtīja saņemto atzinumu CFLA </w:t>
            </w:r>
            <w:proofErr w:type="spellStart"/>
            <w:r w:rsidRPr="007E275E">
              <w:t>starplēmuma</w:t>
            </w:r>
            <w:proofErr w:type="spellEnd"/>
            <w:r w:rsidRPr="007E275E">
              <w:t xml:space="preserve"> pieņemšanai, pirms tam aicinot saņemt SM aktualizētu viedokli par projekta turpmāku īstenošanu. SM 2019.gada 17.janvārī iesniedza CFLA atzinumu par projekta īstenošanu [..]”. Vēlamies informēt, ka Centrālā finanšu un līgumu aģentūra (turpmāk – CFLA) 14.01.2019., atsaucoties uz Finanšu ministrijas 08.01.2019. elektronisko vēstuli Nr.5.1.-16/16/6, lūdza Satiksmes ministriju kā Eiropas Savienības struktūrfondu un Kohēzijas fonda 2014. – 2020.gada plānošanas perioda atbildīgo iestādi līdz 17.01.2019. sniegt apliecinājumu par </w:t>
            </w:r>
            <w:r w:rsidRPr="007E275E">
              <w:lastRenderedPageBreak/>
              <w:t>lielā projekta “Latvijas dzelzceļa elektrifikācija” turpmāku virzību un Satiksmes ministrija kā Eiropas Savienības struktūrfondu un Kohēzijas fonda 2014. – 2020.gada plānošanas perioda atbildīgā iestāde 17.02.2019. savas kompetences un Eiropas Savienības struktūrfondu un Kohēzijas fonda 2014.-2020.gada plānošanas perioda vadības likumā definētā mandāta ietvaros sniedza savu atzinumu, līdz ar to lūdzam precizēt norādīto informāciju;</w:t>
            </w:r>
          </w:p>
        </w:tc>
        <w:tc>
          <w:tcPr>
            <w:tcW w:w="2977" w:type="dxa"/>
          </w:tcPr>
          <w:p w14:paraId="65C88EAE" w14:textId="77777777" w:rsidR="0024749D" w:rsidRDefault="0024749D" w:rsidP="0024749D">
            <w:pPr>
              <w:pStyle w:val="naisc"/>
              <w:spacing w:before="0" w:after="0"/>
              <w:rPr>
                <w:b/>
              </w:rPr>
            </w:pPr>
            <w:r w:rsidRPr="00862091">
              <w:rPr>
                <w:b/>
              </w:rPr>
              <w:lastRenderedPageBreak/>
              <w:t>Ņemts vērā</w:t>
            </w:r>
          </w:p>
          <w:p w14:paraId="0FD5396B" w14:textId="77777777" w:rsidR="0024749D" w:rsidRDefault="0024749D" w:rsidP="0024749D">
            <w:pPr>
              <w:pStyle w:val="naisc"/>
              <w:spacing w:before="0" w:after="0"/>
              <w:rPr>
                <w:b/>
              </w:rPr>
            </w:pPr>
          </w:p>
          <w:p w14:paraId="271EEFC2" w14:textId="0A9B3670" w:rsidR="0024749D" w:rsidRPr="00A71324" w:rsidRDefault="0024749D" w:rsidP="0024749D">
            <w:pPr>
              <w:pStyle w:val="naisc"/>
              <w:spacing w:before="0" w:after="0"/>
              <w:jc w:val="both"/>
            </w:pPr>
            <w:r w:rsidRPr="00A71324">
              <w:t>Pēc būtības redakcija ņemta vērā, īsinot tekstu.</w:t>
            </w:r>
          </w:p>
        </w:tc>
        <w:tc>
          <w:tcPr>
            <w:tcW w:w="3259" w:type="dxa"/>
          </w:tcPr>
          <w:p w14:paraId="31EDC853" w14:textId="6EE7A8EA" w:rsidR="0024749D" w:rsidRDefault="0024749D" w:rsidP="0024749D">
            <w:pPr>
              <w:pStyle w:val="Default"/>
              <w:jc w:val="both"/>
            </w:pPr>
            <w:r>
              <w:t>Precizēta informatīvā ziņojuma 4. sadaļas “</w:t>
            </w:r>
            <w:r w:rsidRPr="00C6456F">
              <w:t>2014. - 2020. gada plānošanas perioda ES fondu investīciju aktualitātes</w:t>
            </w:r>
            <w:r w:rsidR="00DB1068">
              <w:rPr>
                <w:bCs/>
                <w:color w:val="auto"/>
              </w:rPr>
              <w:t>”.</w:t>
            </w:r>
          </w:p>
          <w:p w14:paraId="68E0B922" w14:textId="51993C27" w:rsidR="0024749D" w:rsidRPr="00AD684B" w:rsidRDefault="0024749D" w:rsidP="0024749D">
            <w:pPr>
              <w:pStyle w:val="Default"/>
              <w:jc w:val="both"/>
            </w:pPr>
          </w:p>
        </w:tc>
      </w:tr>
      <w:tr w:rsidR="0024749D" w:rsidRPr="00AD684B" w14:paraId="17AB7A84" w14:textId="77777777" w:rsidTr="00C245EE">
        <w:trPr>
          <w:trHeight w:val="699"/>
        </w:trPr>
        <w:tc>
          <w:tcPr>
            <w:tcW w:w="704" w:type="dxa"/>
          </w:tcPr>
          <w:p w14:paraId="4F0C0D2B" w14:textId="77777777" w:rsidR="0024749D" w:rsidRPr="00AD684B" w:rsidRDefault="0024749D" w:rsidP="0024749D">
            <w:pPr>
              <w:pStyle w:val="naisc"/>
              <w:numPr>
                <w:ilvl w:val="0"/>
                <w:numId w:val="1"/>
              </w:numPr>
              <w:spacing w:before="0" w:after="0"/>
              <w:ind w:left="313"/>
            </w:pPr>
          </w:p>
        </w:tc>
        <w:tc>
          <w:tcPr>
            <w:tcW w:w="2693" w:type="dxa"/>
          </w:tcPr>
          <w:p w14:paraId="1C6215D9" w14:textId="13E46043" w:rsidR="0024749D" w:rsidRDefault="0024749D" w:rsidP="0024749D">
            <w:pPr>
              <w:jc w:val="both"/>
              <w:rPr>
                <w:rFonts w:eastAsiaTheme="minorHAnsi"/>
              </w:rPr>
            </w:pPr>
            <w:r>
              <w:rPr>
                <w:rFonts w:eastAsiaTheme="minorHAnsi"/>
              </w:rPr>
              <w:t>Informatīvā ziņojuma 4. sadaļa</w:t>
            </w:r>
          </w:p>
        </w:tc>
        <w:tc>
          <w:tcPr>
            <w:tcW w:w="5954" w:type="dxa"/>
          </w:tcPr>
          <w:p w14:paraId="3B4DB2DF" w14:textId="77777777" w:rsidR="0024749D" w:rsidRDefault="0024749D" w:rsidP="0024749D">
            <w:pPr>
              <w:spacing w:after="120"/>
              <w:jc w:val="both"/>
              <w:rPr>
                <w:b/>
              </w:rPr>
            </w:pPr>
            <w:r>
              <w:rPr>
                <w:b/>
              </w:rPr>
              <w:t>Satiksmes ministrija</w:t>
            </w:r>
          </w:p>
          <w:p w14:paraId="79ECD688" w14:textId="2ED3E842" w:rsidR="0024749D" w:rsidRDefault="0024749D" w:rsidP="0024749D">
            <w:pPr>
              <w:spacing w:after="120"/>
              <w:jc w:val="both"/>
              <w:rPr>
                <w:b/>
              </w:rPr>
            </w:pPr>
            <w:r>
              <w:rPr>
                <w:lang w:eastAsia="en-US"/>
              </w:rPr>
              <w:t xml:space="preserve">Informatīvā ziņojuma projekta (24.lpp) ir ietverta informāciju: “CFLA 2019.gada 17.janvārī pieņēma </w:t>
            </w:r>
            <w:proofErr w:type="spellStart"/>
            <w:r>
              <w:rPr>
                <w:lang w:eastAsia="en-US"/>
              </w:rPr>
              <w:t>starplēmumu</w:t>
            </w:r>
            <w:proofErr w:type="spellEnd"/>
            <w:r>
              <w:rPr>
                <w:lang w:eastAsia="en-US"/>
              </w:rPr>
              <w:t xml:space="preserve"> par lielā projekta iesnieguma atbalstīšanu un nosūtījusi to FM. Pirms projekta iesniegšanas EK, CFLA precizē atsevišķus projekta īstenošanas jautājumus ar SM.”. Lūdzam papildināt, ka Finanšu ministrija ir apturējusi projekta virzību lūdzot CFLA sniegt papildus informāciju atbilstoši 2017. gada 5. decembra Ministru kabineta </w:t>
            </w:r>
            <w:proofErr w:type="spellStart"/>
            <w:r>
              <w:rPr>
                <w:lang w:eastAsia="en-US"/>
              </w:rPr>
              <w:t>protokollēmumā</w:t>
            </w:r>
            <w:proofErr w:type="spellEnd"/>
            <w:r>
              <w:rPr>
                <w:lang w:eastAsia="en-US"/>
              </w:rPr>
              <w:t xml:space="preserve"> Nr. 60, 51§ 6.punktā dotajam uzdevumam, nepieciešamības gadījumā lūdzot SM sniegt iztrūkstošo aktuālo informāciju;</w:t>
            </w:r>
          </w:p>
        </w:tc>
        <w:tc>
          <w:tcPr>
            <w:tcW w:w="2977" w:type="dxa"/>
          </w:tcPr>
          <w:p w14:paraId="0DEF2229" w14:textId="2C1C5FBE" w:rsidR="0024749D" w:rsidRPr="00862091" w:rsidRDefault="0024749D" w:rsidP="0024749D">
            <w:pPr>
              <w:pStyle w:val="naisc"/>
              <w:spacing w:before="0" w:after="0"/>
              <w:rPr>
                <w:b/>
              </w:rPr>
            </w:pPr>
            <w:r w:rsidRPr="00862091">
              <w:rPr>
                <w:b/>
              </w:rPr>
              <w:t>Ņemts vērā</w:t>
            </w:r>
          </w:p>
        </w:tc>
        <w:tc>
          <w:tcPr>
            <w:tcW w:w="3259" w:type="dxa"/>
          </w:tcPr>
          <w:p w14:paraId="0F0A6E60" w14:textId="19C79440" w:rsidR="00DB1068" w:rsidRDefault="00DB1068" w:rsidP="00DB1068">
            <w:pPr>
              <w:pStyle w:val="Default"/>
              <w:jc w:val="both"/>
            </w:pPr>
            <w:r>
              <w:t>Papildināta informatīvā ziņojuma 4. sadaļa “</w:t>
            </w:r>
            <w:r w:rsidRPr="00C6456F">
              <w:t>2014. - 2020. gada plānošanas perioda ES fondu investīciju aktualitātes</w:t>
            </w:r>
            <w:r>
              <w:rPr>
                <w:bCs/>
                <w:color w:val="auto"/>
              </w:rPr>
              <w:t>”</w:t>
            </w:r>
            <w:r>
              <w:t>.</w:t>
            </w:r>
          </w:p>
          <w:p w14:paraId="29FE3106" w14:textId="257FB92D" w:rsidR="0024749D" w:rsidRPr="00AD684B" w:rsidRDefault="0024749D" w:rsidP="0024749D">
            <w:pPr>
              <w:pStyle w:val="Default"/>
              <w:jc w:val="both"/>
            </w:pPr>
          </w:p>
        </w:tc>
      </w:tr>
      <w:tr w:rsidR="0024749D" w:rsidRPr="00AD684B" w14:paraId="6984E24F" w14:textId="77777777" w:rsidTr="00C245EE">
        <w:trPr>
          <w:trHeight w:val="699"/>
        </w:trPr>
        <w:tc>
          <w:tcPr>
            <w:tcW w:w="704" w:type="dxa"/>
          </w:tcPr>
          <w:p w14:paraId="4AA87AC5" w14:textId="77777777" w:rsidR="0024749D" w:rsidRPr="00AD684B" w:rsidRDefault="0024749D" w:rsidP="0024749D">
            <w:pPr>
              <w:pStyle w:val="naisc"/>
              <w:numPr>
                <w:ilvl w:val="0"/>
                <w:numId w:val="1"/>
              </w:numPr>
              <w:spacing w:before="0" w:after="0"/>
              <w:ind w:left="313"/>
            </w:pPr>
          </w:p>
        </w:tc>
        <w:tc>
          <w:tcPr>
            <w:tcW w:w="2693" w:type="dxa"/>
          </w:tcPr>
          <w:p w14:paraId="3C7ABCDF" w14:textId="2003A1A9" w:rsidR="0024749D" w:rsidRDefault="0024749D" w:rsidP="0024749D">
            <w:pPr>
              <w:jc w:val="both"/>
              <w:rPr>
                <w:rFonts w:eastAsiaTheme="minorHAnsi"/>
              </w:rPr>
            </w:pPr>
            <w:r>
              <w:rPr>
                <w:rFonts w:eastAsiaTheme="minorHAnsi"/>
              </w:rPr>
              <w:t>Informatīvā ziņojuma 4. sadaļa</w:t>
            </w:r>
          </w:p>
        </w:tc>
        <w:tc>
          <w:tcPr>
            <w:tcW w:w="5954" w:type="dxa"/>
          </w:tcPr>
          <w:p w14:paraId="465DA404" w14:textId="77777777" w:rsidR="0024749D" w:rsidRDefault="0024749D" w:rsidP="0024749D">
            <w:pPr>
              <w:spacing w:after="120"/>
              <w:jc w:val="both"/>
              <w:rPr>
                <w:b/>
              </w:rPr>
            </w:pPr>
            <w:r>
              <w:rPr>
                <w:b/>
              </w:rPr>
              <w:t>Satiksmes ministrija</w:t>
            </w:r>
          </w:p>
          <w:p w14:paraId="4BAC97AB" w14:textId="1169FC35" w:rsidR="0024749D" w:rsidRDefault="0024749D" w:rsidP="0024749D">
            <w:pPr>
              <w:spacing w:after="120"/>
              <w:jc w:val="both"/>
              <w:rPr>
                <w:b/>
              </w:rPr>
            </w:pPr>
            <w:r w:rsidRPr="006E0607">
              <w:t xml:space="preserve">Informatīvā ziņojuma projekta (25.lpp) sadaļas “Lielie projekti” 2.punkta pēdējās rindkopas teikumu “VARAM sadarbībā ar SM veic vēstulē pausto viedokļu un priekšlikumu </w:t>
            </w:r>
            <w:proofErr w:type="spellStart"/>
            <w:r w:rsidRPr="006E0607">
              <w:t>izvērtējumu</w:t>
            </w:r>
            <w:proofErr w:type="spellEnd"/>
            <w:r w:rsidRPr="006E0607">
              <w:t>” aicinām izteikt atbilstoši Ministru prezidenta 2019.gada 16.janvāra rezolūcijā Nr.6.2.2./2019-FIZ-25-61 noteiktajam šādā redakcijā</w:t>
            </w:r>
            <w:r>
              <w:t>, lai nodrošinātu vispusīgu informācijas atspoguļošanu</w:t>
            </w:r>
            <w:r w:rsidRPr="006E0607">
              <w:t xml:space="preserve"> “VARAM sadarbībā ar FM, KM un SM veic savstarpēji saskaņotu vēstulē pausto viedokļu un priekšlikumu </w:t>
            </w:r>
            <w:proofErr w:type="spellStart"/>
            <w:r w:rsidRPr="006E0607">
              <w:t>izvērtējumu</w:t>
            </w:r>
            <w:proofErr w:type="spellEnd"/>
            <w:r w:rsidRPr="006E0607">
              <w:t>”;</w:t>
            </w:r>
          </w:p>
        </w:tc>
        <w:tc>
          <w:tcPr>
            <w:tcW w:w="2977" w:type="dxa"/>
          </w:tcPr>
          <w:p w14:paraId="37436119" w14:textId="1943CAD0" w:rsidR="0024749D" w:rsidRPr="00862091" w:rsidRDefault="0024749D" w:rsidP="0024749D">
            <w:pPr>
              <w:pStyle w:val="naisc"/>
              <w:spacing w:before="0" w:after="0"/>
              <w:rPr>
                <w:b/>
              </w:rPr>
            </w:pPr>
            <w:r w:rsidRPr="00862091">
              <w:rPr>
                <w:b/>
              </w:rPr>
              <w:t>Ņemts vērā</w:t>
            </w:r>
          </w:p>
        </w:tc>
        <w:tc>
          <w:tcPr>
            <w:tcW w:w="3259" w:type="dxa"/>
          </w:tcPr>
          <w:p w14:paraId="5D1A88A8" w14:textId="5C2F550D" w:rsidR="0024749D" w:rsidRDefault="0024749D" w:rsidP="0024749D">
            <w:pPr>
              <w:pStyle w:val="Default"/>
              <w:jc w:val="both"/>
            </w:pPr>
            <w:r>
              <w:t>Precizēta informatīvā ziņojuma 4. sadaļa “</w:t>
            </w:r>
            <w:r w:rsidRPr="00C6456F">
              <w:t>2014. - 2020. gada plānošanas perioda ES fondu investīciju aktualitātes</w:t>
            </w:r>
            <w:r>
              <w:rPr>
                <w:bCs/>
                <w:color w:val="auto"/>
              </w:rPr>
              <w:t>”</w:t>
            </w:r>
            <w:r w:rsidR="00DB1068">
              <w:t>.</w:t>
            </w:r>
          </w:p>
          <w:p w14:paraId="2EF0DE17" w14:textId="4B7B8F62" w:rsidR="0024749D" w:rsidRPr="00AD684B" w:rsidRDefault="0024749D" w:rsidP="0024749D">
            <w:pPr>
              <w:pStyle w:val="Default"/>
              <w:jc w:val="both"/>
            </w:pPr>
          </w:p>
        </w:tc>
      </w:tr>
      <w:tr w:rsidR="0024749D" w:rsidRPr="00AD684B" w14:paraId="6967F70E" w14:textId="77777777" w:rsidTr="00C245EE">
        <w:trPr>
          <w:trHeight w:val="699"/>
        </w:trPr>
        <w:tc>
          <w:tcPr>
            <w:tcW w:w="704" w:type="dxa"/>
          </w:tcPr>
          <w:p w14:paraId="1CC7D306" w14:textId="77777777" w:rsidR="0024749D" w:rsidRPr="00AD684B" w:rsidRDefault="0024749D" w:rsidP="0024749D">
            <w:pPr>
              <w:pStyle w:val="naisc"/>
              <w:numPr>
                <w:ilvl w:val="0"/>
                <w:numId w:val="1"/>
              </w:numPr>
              <w:spacing w:before="0" w:after="0"/>
              <w:ind w:left="313"/>
            </w:pPr>
          </w:p>
        </w:tc>
        <w:tc>
          <w:tcPr>
            <w:tcW w:w="2693" w:type="dxa"/>
          </w:tcPr>
          <w:p w14:paraId="38F73F9B" w14:textId="4F5BE507" w:rsidR="0024749D" w:rsidRDefault="0024749D" w:rsidP="0024749D">
            <w:pPr>
              <w:jc w:val="both"/>
              <w:rPr>
                <w:rFonts w:eastAsiaTheme="minorHAnsi"/>
              </w:rPr>
            </w:pPr>
            <w:r>
              <w:rPr>
                <w:rFonts w:eastAsiaTheme="minorHAnsi"/>
              </w:rPr>
              <w:t>Informatīvā ziņojuma 4. sadaļa</w:t>
            </w:r>
          </w:p>
        </w:tc>
        <w:tc>
          <w:tcPr>
            <w:tcW w:w="5954" w:type="dxa"/>
          </w:tcPr>
          <w:p w14:paraId="136E0F71" w14:textId="77777777" w:rsidR="0024749D" w:rsidRDefault="0024749D" w:rsidP="0024749D">
            <w:pPr>
              <w:spacing w:after="120"/>
              <w:jc w:val="both"/>
              <w:rPr>
                <w:b/>
              </w:rPr>
            </w:pPr>
            <w:r>
              <w:rPr>
                <w:b/>
              </w:rPr>
              <w:t>Satiksmes ministrija</w:t>
            </w:r>
          </w:p>
          <w:p w14:paraId="00500085" w14:textId="005329FC" w:rsidR="0024749D" w:rsidRDefault="0024749D" w:rsidP="0024749D">
            <w:pPr>
              <w:spacing w:after="120"/>
              <w:jc w:val="both"/>
              <w:rPr>
                <w:b/>
              </w:rPr>
            </w:pPr>
            <w:r w:rsidRPr="006E0607">
              <w:t>Informatīvā ziņojuma projekta sadaļā “Maksājumu plānu un valsts budžeta ES fondu projektiem izpilde” (30.lpp)  iekļauto teikumu “Analizējot maksājumu plūsmu investīciju jomās, 2018. gadā galvenokārt nav izdevies sasniegt prognozēto tramvaju infrastruktūras, ūdenssaimniecības, kā arī pētniecības un attīstības investīciju projektos.”, ņemot vērā faktu, ka 4.5.1.1.pasākuma “Attīstīt videi draudzīgu sabiedriskā transporta infrastruktūru (sliežu transporta)” ietvaros īstenoto projektu līdz 2018.gada 31.decembim apstiprināto izdevumu apjoms (bez Rīgas tramvaja infrastruktūras attīstības projekta) pret plānotajām finanšu plūsmām (līdz 2018.gada 31.augustam iesniegtajos plānoto maksājumu pieprasījumu iesniegšanas grafikos) ir vairāk nekā 86% apmērā, līdz ar to</w:t>
            </w:r>
            <w:r>
              <w:t xml:space="preserve"> lūdzam skaidrot šāda veida apgalvojuma iekļaušanu šajā sadaļā </w:t>
            </w:r>
            <w:r w:rsidRPr="006E0607">
              <w:t xml:space="preserve"> </w:t>
            </w:r>
            <w:r>
              <w:t>vai arī izteikt to</w:t>
            </w:r>
            <w:r w:rsidRPr="006E0607">
              <w:t xml:space="preserve"> šādā redakcijā: “Analizējot maksājumu plūsmu investīciju jomās, 2018. gadā galvenokārt nav izdevies sasniegt prognozēto ūdenssaimniecības, pētniecības un attīstības investīciju projektos.”;</w:t>
            </w:r>
          </w:p>
        </w:tc>
        <w:tc>
          <w:tcPr>
            <w:tcW w:w="2977" w:type="dxa"/>
          </w:tcPr>
          <w:p w14:paraId="29EF00D8" w14:textId="77777777" w:rsidR="0024749D" w:rsidRDefault="0024749D" w:rsidP="0024749D">
            <w:pPr>
              <w:pStyle w:val="naisc"/>
              <w:spacing w:before="0" w:after="0"/>
              <w:jc w:val="both"/>
              <w:rPr>
                <w:b/>
                <w:iCs/>
              </w:rPr>
            </w:pPr>
            <w:r w:rsidRPr="00AD684B">
              <w:rPr>
                <w:b/>
                <w:iCs/>
              </w:rPr>
              <w:t>Elektroniskās saskaņ</w:t>
            </w:r>
            <w:r>
              <w:rPr>
                <w:b/>
                <w:iCs/>
              </w:rPr>
              <w:t>ošanas laikā iebildums atsaukts</w:t>
            </w:r>
            <w:r w:rsidR="007F5BDA">
              <w:rPr>
                <w:b/>
                <w:iCs/>
              </w:rPr>
              <w:t>.</w:t>
            </w:r>
          </w:p>
          <w:p w14:paraId="0931785F" w14:textId="176CC355" w:rsidR="007F5BDA" w:rsidRDefault="007F5BDA" w:rsidP="007F5BDA">
            <w:pPr>
              <w:pStyle w:val="naisc"/>
              <w:jc w:val="both"/>
            </w:pPr>
            <w:r>
              <w:t xml:space="preserve">Maksājumu prognozes, par kurām izteikts iebildums, nav saistītas ar finanšu disciplīnu par maksājumu pieprasījumu iesniegšanu, uz ko balstīts iebildums. Līdz ar to uz tām nevar attiecināt Ministru kabineta 2018.gada 13.marta sēdes </w:t>
            </w:r>
            <w:proofErr w:type="spellStart"/>
            <w:r>
              <w:t>protokollēmuma</w:t>
            </w:r>
            <w:proofErr w:type="spellEnd"/>
            <w:r>
              <w:t xml:space="preserve"> (prot. Nr. 15 30.§) 5.2.apakšpunktā noteikto, ka, sākot ar 2018.gada 1.septembri, kalendārā gada maksājumu plāna izpildi vērtē pret ES fondu finansējuma saņēmēju līgumu, vienošanās par projekta īstenošanu ietvaros iesniegto maksājumu pieprasījumu iesniegšanas grafiku, kas ir aktuāls uz 2018.gada 1.septembri. Minētais </w:t>
            </w:r>
            <w:proofErr w:type="spellStart"/>
            <w:r>
              <w:t>protokollēmuma</w:t>
            </w:r>
            <w:proofErr w:type="spellEnd"/>
            <w:r>
              <w:t xml:space="preserve"> punkts attiecas uz maksājumu pieprasījumu iesniegšanu, savukārt maksājumu prognozēs un analīzē attiecīgajā Informatīvā ziņojuma sadaļā uzskaitītas CFLA atmaksas projektu ieviesējiem. </w:t>
            </w:r>
          </w:p>
          <w:p w14:paraId="18308E50" w14:textId="49E38883" w:rsidR="007F5BDA" w:rsidRPr="00965BC6" w:rsidRDefault="007F5BDA" w:rsidP="007F5BDA">
            <w:pPr>
              <w:pStyle w:val="naisc"/>
              <w:spacing w:before="0" w:after="0"/>
              <w:jc w:val="both"/>
            </w:pPr>
            <w:r>
              <w:lastRenderedPageBreak/>
              <w:t>Maksājumu prognožu, par ko izteikts iebildums, izveide noteikta Ministru kabineta 2015. gada 24. februāra noteikumu Nr.108 “Kārtība, kādā uzrauga un izvērtē Eiropas Savienības struktūrfondu un Kohēzijas fonda ieviešanu, kā arī izveido un izmanto Kohēzijas politikas fondu vadības informācijas sistēmu 2014. – 2020. gadam” 11. punktā, kurā noteikts, ka “reizi gadā vadošā iestāde sadarbībā ar sadarbības iestādi izstrādā Eiropas Savienības fondu investīciju prognozi prioritāro virzienu, ieguldījumu prioritāšu, specifisko atbalsta mērķu un gadu dalījumā, un Finanšu ministrija līdz kārtējā gada 1. martam informē par to Ministru kabinetu”. Prognozes gada laikā netiek aktualizētas, un pret fiksēto plānu tiek mērīta izpilde.</w:t>
            </w:r>
          </w:p>
        </w:tc>
        <w:tc>
          <w:tcPr>
            <w:tcW w:w="3259" w:type="dxa"/>
          </w:tcPr>
          <w:p w14:paraId="19D05C0C" w14:textId="744D9176" w:rsidR="0024749D" w:rsidRPr="00AD684B" w:rsidRDefault="0024749D" w:rsidP="0024749D">
            <w:pPr>
              <w:pStyle w:val="Default"/>
              <w:jc w:val="both"/>
            </w:pPr>
            <w:r>
              <w:lastRenderedPageBreak/>
              <w:t>N/A</w:t>
            </w:r>
          </w:p>
        </w:tc>
      </w:tr>
      <w:tr w:rsidR="0024749D" w:rsidRPr="00AD684B" w14:paraId="64DFD5FC" w14:textId="77777777" w:rsidTr="00C245EE">
        <w:trPr>
          <w:trHeight w:val="699"/>
        </w:trPr>
        <w:tc>
          <w:tcPr>
            <w:tcW w:w="704" w:type="dxa"/>
          </w:tcPr>
          <w:p w14:paraId="51EDC008" w14:textId="77777777" w:rsidR="0024749D" w:rsidRPr="00AD684B" w:rsidRDefault="0024749D" w:rsidP="0024749D">
            <w:pPr>
              <w:pStyle w:val="naisc"/>
              <w:numPr>
                <w:ilvl w:val="0"/>
                <w:numId w:val="1"/>
              </w:numPr>
              <w:spacing w:before="0" w:after="0"/>
              <w:ind w:left="313"/>
            </w:pPr>
          </w:p>
        </w:tc>
        <w:tc>
          <w:tcPr>
            <w:tcW w:w="2693" w:type="dxa"/>
          </w:tcPr>
          <w:p w14:paraId="28ECD1B1" w14:textId="1F02A382" w:rsidR="0024749D" w:rsidRDefault="0024749D" w:rsidP="0024749D">
            <w:pPr>
              <w:jc w:val="both"/>
              <w:rPr>
                <w:rFonts w:eastAsiaTheme="minorHAnsi"/>
                <w:lang w:eastAsia="en-US"/>
              </w:rPr>
            </w:pPr>
            <w:r>
              <w:rPr>
                <w:rFonts w:eastAsiaTheme="minorHAnsi"/>
              </w:rPr>
              <w:t>Informatīvā ziņojuma 6. sadaļa</w:t>
            </w:r>
          </w:p>
        </w:tc>
        <w:tc>
          <w:tcPr>
            <w:tcW w:w="5954" w:type="dxa"/>
          </w:tcPr>
          <w:p w14:paraId="5462BCB6" w14:textId="77777777" w:rsidR="0024749D" w:rsidRPr="008C33BD" w:rsidRDefault="0024749D" w:rsidP="0024749D">
            <w:pPr>
              <w:spacing w:after="120"/>
              <w:jc w:val="both"/>
              <w:rPr>
                <w:b/>
              </w:rPr>
            </w:pPr>
            <w:r w:rsidRPr="008C33BD">
              <w:rPr>
                <w:b/>
              </w:rPr>
              <w:t>Labklājības ministrija</w:t>
            </w:r>
          </w:p>
          <w:p w14:paraId="2F15F252" w14:textId="0B4A9792" w:rsidR="0024749D" w:rsidRPr="004D54A7" w:rsidRDefault="0024749D" w:rsidP="0024749D">
            <w:pPr>
              <w:widowControl w:val="0"/>
              <w:jc w:val="both"/>
            </w:pPr>
            <w:r>
              <w:t>L</w:t>
            </w:r>
            <w:r w:rsidRPr="004D54A7">
              <w:t xml:space="preserve">ūdzam precizēt informatīvā ziņojuma 6.sadaļu “Projektos konstatētie pārkāpumi ar finansiālu ietekmi”, pie valsts iestāžu projektos konstatētajām neatbilstībām svītrojot informāciju par Nodarbinātības valsts aģentūras projekta Nr.9.1.1.2/15/I/001 “Atbalsts ilgstošajiem bezdarbniekiem” </w:t>
            </w:r>
            <w:r w:rsidRPr="004D54A7">
              <w:lastRenderedPageBreak/>
              <w:t>ietvaros veikto iepirkumu “Psihologu un psihoterapeitu individuālo un grupu konsultācijas”, ņemot vērā, ka minēto gadījumu joprojām izvērtē kompetentas iestādes un gala lēmums par izdevumu atzīšanu par neatbilstoši veiktiem nav pieņemts;</w:t>
            </w:r>
          </w:p>
          <w:p w14:paraId="20354486" w14:textId="189B7BDD" w:rsidR="0024749D" w:rsidRPr="005C6E4E" w:rsidRDefault="0024749D" w:rsidP="0024749D">
            <w:pPr>
              <w:widowControl w:val="0"/>
              <w:spacing w:after="120"/>
              <w:jc w:val="both"/>
              <w:rPr>
                <w:rFonts w:eastAsia="Calibri"/>
                <w:color w:val="000000"/>
                <w:lang w:eastAsia="en-US"/>
              </w:rPr>
            </w:pPr>
          </w:p>
        </w:tc>
        <w:tc>
          <w:tcPr>
            <w:tcW w:w="2977" w:type="dxa"/>
          </w:tcPr>
          <w:p w14:paraId="08EF1327" w14:textId="53DB9DCE" w:rsidR="0024749D" w:rsidRDefault="0024749D" w:rsidP="0024749D">
            <w:pPr>
              <w:pStyle w:val="CM1"/>
              <w:spacing w:after="120"/>
              <w:jc w:val="center"/>
              <w:rPr>
                <w:rFonts w:ascii="Times New Roman" w:hAnsi="Times New Roman" w:cs="Times New Roman"/>
                <w:b/>
                <w:color w:val="000000"/>
              </w:rPr>
            </w:pPr>
            <w:r>
              <w:rPr>
                <w:rFonts w:ascii="Times New Roman" w:hAnsi="Times New Roman" w:cs="Times New Roman"/>
                <w:b/>
                <w:color w:val="000000"/>
              </w:rPr>
              <w:lastRenderedPageBreak/>
              <w:t>Ņemts vērā</w:t>
            </w:r>
          </w:p>
          <w:p w14:paraId="02898320" w14:textId="3E9A54E5" w:rsidR="0024749D" w:rsidRPr="00455456" w:rsidRDefault="0024749D" w:rsidP="0024749D">
            <w:pPr>
              <w:pStyle w:val="CM1"/>
              <w:spacing w:after="120"/>
              <w:jc w:val="both"/>
              <w:rPr>
                <w:rFonts w:ascii="Times New Roman" w:hAnsi="Times New Roman" w:cs="Times New Roman"/>
                <w:color w:val="000000"/>
              </w:rPr>
            </w:pPr>
            <w:r w:rsidRPr="007C4250">
              <w:rPr>
                <w:rFonts w:ascii="Times New Roman" w:hAnsi="Times New Roman" w:cs="Times New Roman"/>
                <w:color w:val="000000"/>
              </w:rPr>
              <w:t>Ziņojumā</w:t>
            </w:r>
            <w:r>
              <w:rPr>
                <w:rFonts w:ascii="Times New Roman" w:hAnsi="Times New Roman" w:cs="Times New Roman"/>
                <w:color w:val="000000"/>
              </w:rPr>
              <w:t xml:space="preserve"> precizēta informācija, neminot konkrētu projektu, bet joprojām atstāts, ka šāda veida neatbilstība ir </w:t>
            </w:r>
            <w:r>
              <w:rPr>
                <w:rFonts w:ascii="Times New Roman" w:hAnsi="Times New Roman" w:cs="Times New Roman"/>
                <w:color w:val="000000"/>
              </w:rPr>
              <w:lastRenderedPageBreak/>
              <w:t>konstatēta 2018. gada II ceturksnī.</w:t>
            </w:r>
            <w:r w:rsidRPr="007C4250">
              <w:rPr>
                <w:rFonts w:ascii="Times New Roman" w:hAnsi="Times New Roman" w:cs="Times New Roman"/>
                <w:color w:val="000000"/>
              </w:rPr>
              <w:t xml:space="preserve"> Skaidrojam</w:t>
            </w:r>
            <w:r w:rsidRPr="00455456">
              <w:rPr>
                <w:rFonts w:ascii="Times New Roman" w:hAnsi="Times New Roman" w:cs="Times New Roman"/>
                <w:color w:val="000000"/>
              </w:rPr>
              <w:t>, ka ziņojumā tiek gatavota analīze par visām pārskata peri</w:t>
            </w:r>
            <w:r>
              <w:rPr>
                <w:rFonts w:ascii="Times New Roman" w:hAnsi="Times New Roman" w:cs="Times New Roman"/>
                <w:color w:val="000000"/>
              </w:rPr>
              <w:t>odā konstatētajām neatbilstībām</w:t>
            </w:r>
            <w:r w:rsidRPr="00455456">
              <w:rPr>
                <w:rFonts w:ascii="Times New Roman" w:hAnsi="Times New Roman" w:cs="Times New Roman"/>
                <w:color w:val="000000"/>
              </w:rPr>
              <w:t xml:space="preserve"> </w:t>
            </w:r>
            <w:r w:rsidRPr="00455456">
              <w:rPr>
                <w:rFonts w:ascii="Times New Roman" w:hAnsi="Times New Roman" w:cs="Times New Roman"/>
              </w:rPr>
              <w:t>ar finansiālu ietekmi.</w:t>
            </w:r>
          </w:p>
          <w:p w14:paraId="0B41D40C" w14:textId="0A8FF3D8" w:rsidR="0024749D" w:rsidRDefault="0024749D" w:rsidP="0024749D">
            <w:pPr>
              <w:pStyle w:val="CM1"/>
              <w:spacing w:after="120"/>
              <w:jc w:val="both"/>
              <w:rPr>
                <w:rFonts w:ascii="Times New Roman" w:hAnsi="Times New Roman" w:cs="Times New Roman"/>
                <w:color w:val="000000"/>
              </w:rPr>
            </w:pPr>
            <w:r w:rsidRPr="00455456">
              <w:rPr>
                <w:rFonts w:ascii="Times New Roman" w:hAnsi="Times New Roman" w:cs="Times New Roman"/>
                <w:color w:val="000000"/>
              </w:rPr>
              <w:t>Saskaņā ar Regulas Nr.1303/2013 2.panta 36.punktu</w:t>
            </w:r>
            <w:r w:rsidRPr="00455456">
              <w:rPr>
                <w:rFonts w:ascii="Times New Roman" w:hAnsi="Times New Roman" w:cs="Times New Roman"/>
              </w:rPr>
              <w:t xml:space="preserve"> </w:t>
            </w:r>
            <w:r w:rsidRPr="0048661B">
              <w:rPr>
                <w:rFonts w:ascii="Times New Roman" w:hAnsi="Times New Roman" w:cs="Times New Roman"/>
              </w:rPr>
              <w:t xml:space="preserve">neatbilstība ar veidu “Aizdomas par krāpšanu vai organizēto noziedzību” uzskatāma </w:t>
            </w:r>
            <w:r w:rsidRPr="0048661B">
              <w:rPr>
                <w:rFonts w:ascii="Times New Roman" w:hAnsi="Times New Roman" w:cs="Times New Roman"/>
                <w:color w:val="000000"/>
              </w:rPr>
              <w:t xml:space="preserve">par konstatētu neatbilstību, jo var radīt  kaitējumu Savienības budžetam, </w:t>
            </w:r>
            <w:r w:rsidRPr="00455456">
              <w:rPr>
                <w:rFonts w:ascii="Times New Roman" w:hAnsi="Times New Roman" w:cs="Times New Roman"/>
                <w:color w:val="000000"/>
              </w:rPr>
              <w:t>prasot no Savienības budžeta segt nepamatotu izdevumu daļu.</w:t>
            </w:r>
            <w:r>
              <w:rPr>
                <w:rFonts w:ascii="Times New Roman" w:hAnsi="Times New Roman" w:cs="Times New Roman"/>
                <w:color w:val="000000"/>
              </w:rPr>
              <w:t xml:space="preserve"> Saskaņā ar neatbilstību vadlīnijās un KPVIS Biznesa rokasgrāmatā noteikto par aizdomām par krāpšanu ir jāpieņem lēmums par neatbilstību un jāziņo EK OLAF dienestam. Tas ir preventīvais mehānisms, lai nepieļautu izdevumu veikšanu projekta ietvaros līdz izmeklēšanas rezultāta saņemšanas.</w:t>
            </w:r>
          </w:p>
          <w:p w14:paraId="36929EA0" w14:textId="4D2C00CC" w:rsidR="0024749D" w:rsidRPr="00EE2142" w:rsidRDefault="0024749D" w:rsidP="0024749D">
            <w:pPr>
              <w:pStyle w:val="Default"/>
              <w:jc w:val="both"/>
            </w:pPr>
            <w:r>
              <w:t xml:space="preserve">Konkrētā gadījuma ietvaros vēl tiek </w:t>
            </w:r>
            <w:r w:rsidRPr="00EE2142">
              <w:t>veikt</w:t>
            </w:r>
            <w:r>
              <w:t>a</w:t>
            </w:r>
            <w:r w:rsidRPr="00EE2142">
              <w:t xml:space="preserve"> padziļināt</w:t>
            </w:r>
            <w:r>
              <w:t>a</w:t>
            </w:r>
            <w:r w:rsidRPr="00EE2142">
              <w:t xml:space="preserve"> pārbaud</w:t>
            </w:r>
            <w:r>
              <w:t xml:space="preserve">e, tāpēc </w:t>
            </w:r>
            <w:r w:rsidRPr="00EE2142">
              <w:t>līdz gala lēmuma pieņemšanai</w:t>
            </w:r>
            <w:r>
              <w:t xml:space="preserve"> no </w:t>
            </w:r>
            <w:r>
              <w:lastRenderedPageBreak/>
              <w:t xml:space="preserve">finansējuma saņēmēja puses iesniegtie maksājumu pieprasījumā </w:t>
            </w:r>
            <w:r w:rsidRPr="00EE2142">
              <w:t>iekļaut</w:t>
            </w:r>
            <w:r>
              <w:t>ie</w:t>
            </w:r>
            <w:r w:rsidRPr="00EE2142">
              <w:t xml:space="preserve"> attiecinām</w:t>
            </w:r>
            <w:r>
              <w:t>ie</w:t>
            </w:r>
            <w:r w:rsidRPr="00EE2142">
              <w:t xml:space="preserve"> izdevum</w:t>
            </w:r>
            <w:r>
              <w:t xml:space="preserve">i tiek ieturēti. Pēc padziļinātās pārbaudes veikšanas šī neatbilstība var tikt anulēta un maksājumu veikšana projekta ietvaros tiks atjaunota. </w:t>
            </w:r>
          </w:p>
        </w:tc>
        <w:tc>
          <w:tcPr>
            <w:tcW w:w="3259" w:type="dxa"/>
          </w:tcPr>
          <w:p w14:paraId="31DC20B7" w14:textId="05CC84CA" w:rsidR="0024749D" w:rsidRPr="00AD684B" w:rsidRDefault="0024749D" w:rsidP="00DB1068">
            <w:pPr>
              <w:pStyle w:val="Default"/>
              <w:jc w:val="both"/>
            </w:pPr>
            <w:r>
              <w:lastRenderedPageBreak/>
              <w:t>Precizēta</w:t>
            </w:r>
            <w:r w:rsidR="00DB1068">
              <w:t xml:space="preserve"> informatīvā ziņojuma 6. sadaļā “Projektos konstatētie pārkāpumi ar finansiālu ietekmi”.</w:t>
            </w:r>
          </w:p>
        </w:tc>
      </w:tr>
      <w:tr w:rsidR="0024749D" w:rsidRPr="00AD684B" w14:paraId="171DF891" w14:textId="77777777" w:rsidTr="00C245EE">
        <w:trPr>
          <w:trHeight w:val="699"/>
        </w:trPr>
        <w:tc>
          <w:tcPr>
            <w:tcW w:w="704" w:type="dxa"/>
          </w:tcPr>
          <w:p w14:paraId="06FFDDE0" w14:textId="77777777" w:rsidR="0024749D" w:rsidRPr="00AD684B" w:rsidRDefault="0024749D" w:rsidP="0024749D">
            <w:pPr>
              <w:pStyle w:val="naisc"/>
              <w:numPr>
                <w:ilvl w:val="0"/>
                <w:numId w:val="1"/>
              </w:numPr>
              <w:spacing w:before="0" w:after="0"/>
              <w:ind w:left="313"/>
            </w:pPr>
          </w:p>
        </w:tc>
        <w:tc>
          <w:tcPr>
            <w:tcW w:w="2693" w:type="dxa"/>
          </w:tcPr>
          <w:p w14:paraId="20EF93EC" w14:textId="5D287398" w:rsidR="0024749D" w:rsidRPr="00AD684B" w:rsidRDefault="0024749D" w:rsidP="0024749D">
            <w:pPr>
              <w:jc w:val="both"/>
              <w:rPr>
                <w:rFonts w:eastAsiaTheme="minorHAnsi"/>
                <w:lang w:eastAsia="en-US"/>
              </w:rPr>
            </w:pPr>
            <w:r>
              <w:rPr>
                <w:rFonts w:eastAsiaTheme="minorHAnsi"/>
              </w:rPr>
              <w:t>Informatīvā ziņojuma 2. pielikums</w:t>
            </w:r>
          </w:p>
        </w:tc>
        <w:tc>
          <w:tcPr>
            <w:tcW w:w="5954" w:type="dxa"/>
          </w:tcPr>
          <w:p w14:paraId="629A594A" w14:textId="77777777" w:rsidR="0024749D" w:rsidRPr="008C33BD" w:rsidRDefault="0024749D" w:rsidP="0024749D">
            <w:pPr>
              <w:spacing w:after="120"/>
              <w:jc w:val="both"/>
              <w:rPr>
                <w:b/>
              </w:rPr>
            </w:pPr>
            <w:r w:rsidRPr="008C33BD">
              <w:rPr>
                <w:b/>
              </w:rPr>
              <w:t>Labklājības ministrija</w:t>
            </w:r>
          </w:p>
          <w:p w14:paraId="220A8B65" w14:textId="77D580CE" w:rsidR="0024749D" w:rsidRPr="005361FF" w:rsidRDefault="0024749D" w:rsidP="0024749D">
            <w:pPr>
              <w:widowControl w:val="0"/>
              <w:jc w:val="both"/>
            </w:pPr>
            <w:r>
              <w:t>A</w:t>
            </w:r>
            <w:r w:rsidRPr="004D54A7">
              <w:t>icinām lūgt sadarbības iestādi precizēt informatīvā ziņojuma 2.pielikumu “Prognoze veiktajiem maksājumiem 2019. un turpmākajos gados projektu finansējuma saņēmējiem Kohēzijas politikas ES fondu 2014.-2020.gada plānošanas perioda ietvaros”, atbilstoši panāktai vienošanai par piemērojamiem</w:t>
            </w:r>
            <w:r>
              <w:t xml:space="preserve"> izpildes</w:t>
            </w:r>
            <w:r w:rsidRPr="004D54A7">
              <w:t xml:space="preserve"> piesardzības koeficientiem, kā arī informāciju pārskatot atbilstoši līdz š.g. 1.februārim aktualizētajiem finansējuma saņēmēju plānotajiem maksājumu pieprasījumu iesniegšanas grafikiem. Papildus lūdzam vadošo iestādi </w:t>
            </w:r>
            <w:r>
              <w:t>informēt par</w:t>
            </w:r>
            <w:r w:rsidRPr="004D54A7">
              <w:t xml:space="preserve"> šo prognožu </w:t>
            </w:r>
            <w:r>
              <w:t>turpmāko izstrādes lietderību</w:t>
            </w:r>
            <w:r w:rsidRPr="004D54A7">
              <w:t>, ņemot vērā, ka disciplīnas pasākumi finansējuma saņēmējiem tiek piemēroti, vērtējot plānoto maksājumu pieprasījumu iesniegšanas grafiku izpildi. Turpretī veikto maksājumu prognoze tiek sastādīta, balstoties uz iepriekš pieminēto plānoto maksājumu pieprasījumu iesniegšanas grafiku (ko finansējuma saņēmēji, izvairoties no disciplīnas pasākum</w:t>
            </w:r>
            <w:r>
              <w:t>u piemērošanas</w:t>
            </w:r>
            <w:r w:rsidRPr="004D54A7">
              <w:t xml:space="preserve">, ir plānojuši iespējami piesardzīgi), tam papildu piemērojot izpildes piesardzības koeficientu. </w:t>
            </w:r>
          </w:p>
        </w:tc>
        <w:tc>
          <w:tcPr>
            <w:tcW w:w="2977" w:type="dxa"/>
          </w:tcPr>
          <w:p w14:paraId="43AAE6A9" w14:textId="77777777" w:rsidR="0024749D" w:rsidRDefault="0024749D" w:rsidP="0024749D">
            <w:pPr>
              <w:pStyle w:val="naisc"/>
              <w:spacing w:before="0" w:after="0"/>
              <w:rPr>
                <w:b/>
                <w:color w:val="000000"/>
              </w:rPr>
            </w:pPr>
            <w:r>
              <w:rPr>
                <w:b/>
                <w:color w:val="000000"/>
              </w:rPr>
              <w:t>Ņemts vērā</w:t>
            </w:r>
          </w:p>
          <w:p w14:paraId="6DCFC59F" w14:textId="77777777" w:rsidR="0024749D" w:rsidRPr="00FA68AA" w:rsidRDefault="0024749D" w:rsidP="0024749D">
            <w:pPr>
              <w:pStyle w:val="naisc"/>
              <w:spacing w:before="0" w:after="0"/>
              <w:jc w:val="both"/>
            </w:pPr>
            <w:r w:rsidRPr="00FA68AA">
              <w:t xml:space="preserve">CFLA aktualizējusi prognozes, tās saskaņojot ar LM. </w:t>
            </w:r>
          </w:p>
          <w:p w14:paraId="0992602F" w14:textId="7083EF40" w:rsidR="0024749D" w:rsidRPr="00FA68AA" w:rsidRDefault="0024749D" w:rsidP="0024749D">
            <w:pPr>
              <w:pStyle w:val="naisc"/>
              <w:spacing w:before="0" w:after="0"/>
              <w:jc w:val="both"/>
              <w:rPr>
                <w:u w:val="single"/>
              </w:rPr>
            </w:pPr>
            <w:r w:rsidRPr="00FA68AA">
              <w:t>LM informēta, par maksājumu prognožu lietderību, tās izmantojot budžeta izdevumu plānošanai, problēmu identificēšanai konkrētos specifi</w:t>
            </w:r>
            <w:r w:rsidR="00BD7ABE">
              <w:t xml:space="preserve">skajos atbalsta mērķos, kā arī </w:t>
            </w:r>
            <w:r w:rsidRPr="00FA68AA">
              <w:t>maksājumu prognozes var lietot citi partneri nozaru investīciju plānošanai un analīzei, t.sk. Ekonomikas ministrijai, ik gadu līdz kārtējā gada 1. jūlijam veicot pētījumu par prognozētām izmaiņām darba spēka un būvmateriālu izmaksās būvniecības nozarē saskaņā ar MK 2017. gada 28. augusta sēdes protokola Nr. 41 1.§ 7.punktā doto uzdevumu</w:t>
            </w:r>
            <w:r>
              <w:rPr>
                <w:color w:val="1F497D"/>
              </w:rPr>
              <w:t>.</w:t>
            </w:r>
            <w:r>
              <w:rPr>
                <w:u w:val="single"/>
              </w:rPr>
              <w:t xml:space="preserve">  </w:t>
            </w:r>
          </w:p>
        </w:tc>
        <w:tc>
          <w:tcPr>
            <w:tcW w:w="3259" w:type="dxa"/>
          </w:tcPr>
          <w:p w14:paraId="4F80B148" w14:textId="428488FB" w:rsidR="0024749D" w:rsidRPr="00AD684B" w:rsidRDefault="00DB1068" w:rsidP="0024749D">
            <w:pPr>
              <w:pStyle w:val="Default"/>
              <w:jc w:val="both"/>
            </w:pPr>
            <w:r>
              <w:t>Precizēts</w:t>
            </w:r>
            <w:r w:rsidR="0024749D" w:rsidRPr="004361E5">
              <w:t xml:space="preserve"> </w:t>
            </w:r>
            <w:r w:rsidR="0024749D">
              <w:t>informatīvā</w:t>
            </w:r>
            <w:r w:rsidR="0024749D" w:rsidRPr="004361E5">
              <w:t xml:space="preserve"> ziņojum</w:t>
            </w:r>
            <w:r>
              <w:t>a 2. pielikums</w:t>
            </w:r>
            <w:r w:rsidR="0024749D">
              <w:t>.</w:t>
            </w:r>
          </w:p>
        </w:tc>
      </w:tr>
      <w:tr w:rsidR="0024749D" w:rsidRPr="00AD684B" w14:paraId="302BD1AE" w14:textId="77777777" w:rsidTr="00C245EE">
        <w:trPr>
          <w:trHeight w:val="699"/>
        </w:trPr>
        <w:tc>
          <w:tcPr>
            <w:tcW w:w="704" w:type="dxa"/>
          </w:tcPr>
          <w:p w14:paraId="3DE391E5" w14:textId="77777777" w:rsidR="0024749D" w:rsidRPr="00AD684B" w:rsidRDefault="0024749D" w:rsidP="0024749D">
            <w:pPr>
              <w:pStyle w:val="naisc"/>
              <w:numPr>
                <w:ilvl w:val="0"/>
                <w:numId w:val="1"/>
              </w:numPr>
              <w:spacing w:before="0" w:after="0"/>
              <w:ind w:left="313"/>
            </w:pPr>
          </w:p>
        </w:tc>
        <w:tc>
          <w:tcPr>
            <w:tcW w:w="2693" w:type="dxa"/>
          </w:tcPr>
          <w:p w14:paraId="5E60C90C" w14:textId="377CB6B2" w:rsidR="0024749D" w:rsidRPr="00EE6E26" w:rsidRDefault="0024749D" w:rsidP="0024749D">
            <w:pPr>
              <w:jc w:val="both"/>
              <w:rPr>
                <w:rFonts w:eastAsiaTheme="minorHAnsi"/>
                <w:lang w:eastAsia="en-US"/>
              </w:rPr>
            </w:pPr>
            <w:r>
              <w:rPr>
                <w:rFonts w:eastAsiaTheme="minorHAnsi"/>
                <w:lang w:eastAsia="en-US"/>
              </w:rPr>
              <w:t>Informatīvā ziņojuma 3. pielikums</w:t>
            </w:r>
          </w:p>
        </w:tc>
        <w:tc>
          <w:tcPr>
            <w:tcW w:w="5954" w:type="dxa"/>
          </w:tcPr>
          <w:p w14:paraId="6C1DB7F1" w14:textId="77777777" w:rsidR="0024749D" w:rsidRPr="00EE6E26" w:rsidRDefault="0024749D" w:rsidP="00617896">
            <w:pPr>
              <w:spacing w:after="120"/>
              <w:jc w:val="both"/>
              <w:rPr>
                <w:b/>
              </w:rPr>
            </w:pPr>
            <w:r w:rsidRPr="00EE6E26">
              <w:rPr>
                <w:b/>
              </w:rPr>
              <w:t>Izglītības un zinātnes ministrija</w:t>
            </w:r>
          </w:p>
          <w:p w14:paraId="48BF7444" w14:textId="7D91A844" w:rsidR="0024749D" w:rsidRPr="00EE6E26" w:rsidRDefault="0024749D" w:rsidP="00617896">
            <w:pPr>
              <w:widowControl w:val="0"/>
              <w:spacing w:after="60"/>
              <w:jc w:val="both"/>
            </w:pPr>
            <w:r w:rsidRPr="00EE6E26">
              <w:t xml:space="preserve">Aicinām precizēt informatīvā ziņojuma pielikumu Nr.3 „Projektos plānoto (aktualizēts uz 31.08.2018) maksājumu pieprasījumu iesniegšanas plānu līdz 2019. gada 1. janvārim izpilde”, paredzot, ka netiek piemērotas finanšu disciplīnā noteiktās sankcijas Liepājas Universitātes un Ventspils Augstskolas 8.2.3.specifiskā atbalsta mērķa „Nodrošināt labāku pārvaldību augstākās izglītības institūcijās” ietvaros īstenotajiem projektiem, ievērojot, ka to īstenošana ir uzsākta tikai 2018.gada nogalē. </w:t>
            </w:r>
          </w:p>
          <w:p w14:paraId="73DC3AAD" w14:textId="77777777" w:rsidR="0024749D" w:rsidRPr="00EE6E26" w:rsidRDefault="0024749D" w:rsidP="0024749D">
            <w:pPr>
              <w:spacing w:after="60"/>
              <w:ind w:firstLine="851"/>
              <w:jc w:val="both"/>
            </w:pPr>
            <w:r w:rsidRPr="00EE6E26">
              <w:t>Liepājas Universitātes projekta “Labākas pārvaldības nodrošināšana Liepājas Universitātē” īstenošana ir uzsākta 2018.gada 1.oktobrī un plānoto maksājumu pieprasījumu iesniegšanas grafiks (PMPIG) līdz 2018.gada 31.decembrim ir izpildīts par 71,40 procentiem. Savukārt Ventspils Augstskolas projekta “Ventspils Augstskolas studiju programmu satura kvalitātes pilnveide, resursu izmantošanas efektivitātes uzlabošana un labākas pārvaldības nodrošināšana” īstenošana ir uzsākta 2018.gada 1.novembrī, tādējādi projekta īstenošana ir noritējusi tikai 2 mēnešus līdz finanšu disciplīnas pasākumu atskaites termiņam. Turklāt nākamo starpposma maksājuma pieprasījumu plānots iesniegt jau 2019.gada 14.februārī.</w:t>
            </w:r>
          </w:p>
          <w:p w14:paraId="420DAD72" w14:textId="2A34C937" w:rsidR="0024749D" w:rsidRPr="00EE6E26" w:rsidRDefault="0024749D" w:rsidP="0024749D">
            <w:pPr>
              <w:spacing w:after="60"/>
              <w:ind w:firstLine="720"/>
              <w:jc w:val="both"/>
            </w:pPr>
            <w:r w:rsidRPr="00EE6E26">
              <w:t>Ievērojot minēto, kā arī ņemot vērā, ka finanšu disciplīnā noteiktās sankcijas attiecas uz avansa maksājumu pieprasījumiem, kas ir finansējums projektu uzsākšanai, nevis uz projekta izlietoto finansējumu, Izglītības un zinātnes ministrijas ieskatā sankciju noteikšana minētajos projektos ir uzskatāma par nesamērīgu sodu un tāpēc nav piemērojama.</w:t>
            </w:r>
          </w:p>
        </w:tc>
        <w:tc>
          <w:tcPr>
            <w:tcW w:w="2977" w:type="dxa"/>
          </w:tcPr>
          <w:p w14:paraId="5E3F077F" w14:textId="77777777" w:rsidR="0024749D" w:rsidRDefault="0024749D" w:rsidP="0024749D">
            <w:pPr>
              <w:jc w:val="center"/>
              <w:rPr>
                <w:iCs/>
              </w:rPr>
            </w:pPr>
            <w:r>
              <w:rPr>
                <w:b/>
                <w:iCs/>
              </w:rPr>
              <w:t>Ņemts vērā</w:t>
            </w:r>
            <w:r>
              <w:rPr>
                <w:iCs/>
              </w:rPr>
              <w:t xml:space="preserve"> </w:t>
            </w:r>
          </w:p>
          <w:p w14:paraId="21C3D152" w14:textId="4D875F90" w:rsidR="0024749D" w:rsidRPr="009755CC" w:rsidRDefault="0043213A" w:rsidP="0043213A">
            <w:pPr>
              <w:pStyle w:val="naisc"/>
              <w:spacing w:before="0" w:after="0"/>
              <w:jc w:val="both"/>
              <w:rPr>
                <w:b/>
              </w:rPr>
            </w:pPr>
            <w:r>
              <w:rPr>
                <w:iCs/>
              </w:rPr>
              <w:t xml:space="preserve">Papildināts </w:t>
            </w:r>
            <w:proofErr w:type="spellStart"/>
            <w:r>
              <w:rPr>
                <w:iCs/>
              </w:rPr>
              <w:t>protokollēmuma</w:t>
            </w:r>
            <w:proofErr w:type="spellEnd"/>
            <w:r>
              <w:rPr>
                <w:iCs/>
              </w:rPr>
              <w:t xml:space="preserve"> 4. </w:t>
            </w:r>
            <w:r w:rsidR="0024749D">
              <w:rPr>
                <w:iCs/>
              </w:rPr>
              <w:t>punkts un pielikums Nr. 3</w:t>
            </w:r>
          </w:p>
        </w:tc>
        <w:tc>
          <w:tcPr>
            <w:tcW w:w="3259" w:type="dxa"/>
          </w:tcPr>
          <w:p w14:paraId="704207A2" w14:textId="352877E4" w:rsidR="0024749D" w:rsidRPr="00AD684B" w:rsidRDefault="0024749D" w:rsidP="002F5EFA">
            <w:pPr>
              <w:pStyle w:val="Default"/>
              <w:jc w:val="both"/>
            </w:pPr>
            <w:r>
              <w:t xml:space="preserve">Papildināts </w:t>
            </w:r>
            <w:proofErr w:type="spellStart"/>
            <w:r>
              <w:t>prot</w:t>
            </w:r>
            <w:r w:rsidR="00DB1068">
              <w:t>okollēmuma</w:t>
            </w:r>
            <w:proofErr w:type="spellEnd"/>
            <w:r w:rsidR="00DB1068">
              <w:t xml:space="preserve"> projekta </w:t>
            </w:r>
            <w:r w:rsidR="00F01AAF">
              <w:t>5</w:t>
            </w:r>
            <w:r w:rsidR="00DB1068">
              <w:t>. punkts</w:t>
            </w:r>
            <w:r>
              <w:t>: “</w:t>
            </w:r>
            <w:r w:rsidR="00F01AAF">
              <w:t>5</w:t>
            </w:r>
            <w:r w:rsidRPr="00181E2C">
              <w:t xml:space="preserve">. Ņemot </w:t>
            </w:r>
            <w:r w:rsidRPr="00DB1068">
              <w:t>vērā informatīv</w:t>
            </w:r>
            <w:r w:rsidR="002F5EFA">
              <w:t>ā ziņojuma ceturtajā sadaļā un 3. </w:t>
            </w:r>
            <w:r w:rsidRPr="00DB1068">
              <w:t>pielikumā “Projektu maksājumu pieprasījumu iesniegšanas 2018.gada plānu izpilde” sniegto informāciju</w:t>
            </w:r>
            <w:r w:rsidR="00BD7ABE" w:rsidRPr="00DB1068">
              <w:t xml:space="preserve">, saskaņā ar Ministru kabineta </w:t>
            </w:r>
            <w:r w:rsidRPr="00DB1068">
              <w:t>2014. gada 16. decembra</w:t>
            </w:r>
            <w:r w:rsidRPr="00181E2C">
              <w:t xml:space="preserve"> noteikumu Nr. 784 “Kārtība, kādā Eiropas Savienības struktūrfondu un Kohēzijas fonda vadībā iesaistītās institūcijas nodrošina plānošanas dokumentu sagatavošanu un šo fondu ieviešanu 2014. – 2020. gada plānošanas periodā” 51.</w:t>
            </w:r>
            <w:r w:rsidRPr="00181E2C">
              <w:rPr>
                <w:vertAlign w:val="superscript"/>
              </w:rPr>
              <w:t>4.</w:t>
            </w:r>
            <w:r w:rsidRPr="00181E2C">
              <w:t>7. </w:t>
            </w:r>
            <w:r w:rsidRPr="00DB1068">
              <w:t xml:space="preserve">apakšpunktu atbalstīt atsevišķu izņēmuma gadījumu piemērošanu un atļaut </w:t>
            </w:r>
            <w:r w:rsidRPr="00DB1068">
              <w:rPr>
                <w:color w:val="0D0D0D" w:themeColor="text1" w:themeTint="F2"/>
              </w:rPr>
              <w:t xml:space="preserve">Centrālajai finanšu un līgumu aģentūrai </w:t>
            </w:r>
            <w:r w:rsidRPr="00DB1068">
              <w:t xml:space="preserve">nesamazināt Eiropas Savienības fonda un valsts budžeta līdzfinansējumu atsevišķiem projektiem, kas izpildi nodrošināja 2019.gada janvārī, </w:t>
            </w:r>
            <w:r w:rsidRPr="00DB1068">
              <w:rPr>
                <w:color w:val="0D0D0D" w:themeColor="text1" w:themeTint="F2"/>
              </w:rPr>
              <w:t xml:space="preserve">Valsts ieņēmumu dienesta padziļinātās sadarbības programmas Zelta klienta projektam, kā arī saskaņā ar Vides aizsardzības un reģionālās attīstības ministrijas, Izglītības un zinātnes ministrijas un Ekonomikas </w:t>
            </w:r>
            <w:r w:rsidRPr="00DB1068">
              <w:rPr>
                <w:color w:val="0D0D0D" w:themeColor="text1" w:themeTint="F2"/>
              </w:rPr>
              <w:lastRenderedPageBreak/>
              <w:t xml:space="preserve">ministrijas </w:t>
            </w:r>
            <w:proofErr w:type="spellStart"/>
            <w:r w:rsidRPr="00DB1068">
              <w:rPr>
                <w:color w:val="0D0D0D" w:themeColor="text1" w:themeTint="F2"/>
              </w:rPr>
              <w:t>izvērtējumu</w:t>
            </w:r>
            <w:proofErr w:type="spellEnd"/>
            <w:r w:rsidRPr="00DB1068">
              <w:rPr>
                <w:color w:val="0D0D0D" w:themeColor="text1" w:themeTint="F2"/>
              </w:rPr>
              <w:t xml:space="preserve"> un priekšlikumu projektiem, kuriem ieviešanas kavējumi saistīti, galvenokārt, ar trešo personu rīcību.</w:t>
            </w:r>
            <w:r w:rsidRPr="00DB1068">
              <w:t>”.</w:t>
            </w:r>
          </w:p>
        </w:tc>
      </w:tr>
      <w:tr w:rsidR="0024749D" w:rsidRPr="00AD684B" w14:paraId="55F78489" w14:textId="77777777" w:rsidTr="00C245EE">
        <w:trPr>
          <w:trHeight w:val="5377"/>
        </w:trPr>
        <w:tc>
          <w:tcPr>
            <w:tcW w:w="704" w:type="dxa"/>
          </w:tcPr>
          <w:p w14:paraId="6F2804E3" w14:textId="77777777" w:rsidR="0024749D" w:rsidRPr="00AD684B" w:rsidRDefault="0024749D" w:rsidP="0024749D">
            <w:pPr>
              <w:pStyle w:val="naisc"/>
              <w:numPr>
                <w:ilvl w:val="0"/>
                <w:numId w:val="1"/>
              </w:numPr>
              <w:spacing w:before="0" w:after="0"/>
              <w:ind w:left="313"/>
            </w:pPr>
          </w:p>
        </w:tc>
        <w:tc>
          <w:tcPr>
            <w:tcW w:w="2693" w:type="dxa"/>
          </w:tcPr>
          <w:p w14:paraId="6D505AD8" w14:textId="61638658" w:rsidR="0024749D" w:rsidRDefault="0024749D" w:rsidP="0024749D">
            <w:pPr>
              <w:jc w:val="both"/>
              <w:rPr>
                <w:rFonts w:eastAsiaTheme="minorHAnsi"/>
                <w:lang w:eastAsia="en-US"/>
              </w:rPr>
            </w:pPr>
            <w:r>
              <w:rPr>
                <w:rFonts w:eastAsiaTheme="minorHAnsi"/>
                <w:lang w:eastAsia="en-US"/>
              </w:rPr>
              <w:t>Informatīvā ziņojuma 5. pielikums</w:t>
            </w:r>
          </w:p>
        </w:tc>
        <w:tc>
          <w:tcPr>
            <w:tcW w:w="5954" w:type="dxa"/>
          </w:tcPr>
          <w:p w14:paraId="62728AE1" w14:textId="77777777" w:rsidR="0024749D" w:rsidRDefault="0024749D" w:rsidP="00617896">
            <w:pPr>
              <w:spacing w:after="120"/>
              <w:jc w:val="both"/>
              <w:rPr>
                <w:b/>
              </w:rPr>
            </w:pPr>
            <w:r>
              <w:rPr>
                <w:b/>
              </w:rPr>
              <w:t>Valsts kanceleja</w:t>
            </w:r>
          </w:p>
          <w:p w14:paraId="3EB9FD57" w14:textId="541BEC23" w:rsidR="0024749D" w:rsidRPr="007A00C2" w:rsidRDefault="0024749D" w:rsidP="00617896">
            <w:pPr>
              <w:jc w:val="both"/>
              <w:rPr>
                <w:szCs w:val="22"/>
              </w:rPr>
            </w:pPr>
            <w:r>
              <w:t xml:space="preserve">Lūdzam papildināt informatīvo ziņojumu, ziņojuma 5.pielikumu un </w:t>
            </w:r>
            <w:proofErr w:type="spellStart"/>
            <w:r>
              <w:t>protokollēmuma</w:t>
            </w:r>
            <w:proofErr w:type="spellEnd"/>
            <w:r>
              <w:t xml:space="preserve"> projekta 4.punktu. 5.pielikumā kolonā “Rezerves saņemšana (izmantots/ piešķirt/ jāvērtē)*/ N/A ja nav rezerves” norādīt, kuriem prioritārā virziena SAM ir nepieciešams pamatojums ar lietderības, efektivitātes un ietekmes </w:t>
            </w:r>
            <w:proofErr w:type="spellStart"/>
            <w:r>
              <w:t>izvērtējuma</w:t>
            </w:r>
            <w:proofErr w:type="spellEnd"/>
            <w:r>
              <w:t xml:space="preserve"> rezultātiem. Līdz ar to ziņojumā un </w:t>
            </w:r>
            <w:proofErr w:type="spellStart"/>
            <w:r>
              <w:t>protokollēmuma</w:t>
            </w:r>
            <w:proofErr w:type="spellEnd"/>
            <w:r>
              <w:t xml:space="preserve"> 4.punktā ietvert informāciju, ka priekšlikumi jāiesniedz saskaņā ar 5.pielikumā norādīto.</w:t>
            </w:r>
          </w:p>
        </w:tc>
        <w:tc>
          <w:tcPr>
            <w:tcW w:w="2977" w:type="dxa"/>
          </w:tcPr>
          <w:p w14:paraId="7B79D628" w14:textId="197D8FB9" w:rsidR="0024749D" w:rsidRPr="00A525A8" w:rsidRDefault="0024749D" w:rsidP="0024749D">
            <w:pPr>
              <w:pStyle w:val="naisc"/>
              <w:spacing w:before="0" w:after="0"/>
              <w:rPr>
                <w:b/>
              </w:rPr>
            </w:pPr>
            <w:r w:rsidRPr="00A525A8">
              <w:rPr>
                <w:b/>
              </w:rPr>
              <w:t>Ņemts vērā</w:t>
            </w:r>
          </w:p>
          <w:p w14:paraId="0038C99A" w14:textId="6F851048" w:rsidR="0024749D" w:rsidRPr="00A525A8" w:rsidRDefault="0024749D" w:rsidP="00FE5D79">
            <w:pPr>
              <w:pStyle w:val="naisc"/>
              <w:spacing w:before="0" w:after="0"/>
              <w:jc w:val="both"/>
              <w:rPr>
                <w:b/>
              </w:rPr>
            </w:pPr>
            <w:r w:rsidRPr="00A525A8">
              <w:t>Skaidrojam,</w:t>
            </w:r>
            <w:r w:rsidR="00FE5D79">
              <w:t xml:space="preserve"> ka </w:t>
            </w:r>
            <w:r w:rsidR="00FE5D79" w:rsidRPr="00A525A8">
              <w:t xml:space="preserve">priekšlikumiem būtu jābūt pamatotiem ar Eiropas Savienības fondu lietderības, efektivitātes un ietekmes </w:t>
            </w:r>
            <w:proofErr w:type="spellStart"/>
            <w:r w:rsidR="00FE5D79" w:rsidRPr="00A525A8">
              <w:t>izvērtēju</w:t>
            </w:r>
            <w:r w:rsidR="00BD7ABE">
              <w:t>mu</w:t>
            </w:r>
            <w:proofErr w:type="spellEnd"/>
            <w:r w:rsidR="00BD7ABE">
              <w:t xml:space="preserve"> rezultātiem un ieteikumiem, </w:t>
            </w:r>
            <w:r w:rsidR="00FE5D79" w:rsidRPr="00A525A8">
              <w:t>ja tādi ir veikti.</w:t>
            </w:r>
            <w:r w:rsidRPr="00A525A8">
              <w:t xml:space="preserve"> </w:t>
            </w:r>
          </w:p>
        </w:tc>
        <w:tc>
          <w:tcPr>
            <w:tcW w:w="3259" w:type="dxa"/>
          </w:tcPr>
          <w:p w14:paraId="0D851757" w14:textId="00E4E6E7" w:rsidR="00DB1068" w:rsidRDefault="00DB1068" w:rsidP="00DB1068">
            <w:pPr>
              <w:pStyle w:val="Default"/>
              <w:jc w:val="both"/>
              <w:rPr>
                <w:bCs/>
                <w:color w:val="auto"/>
              </w:rPr>
            </w:pPr>
            <w:r>
              <w:t xml:space="preserve">Svītrots </w:t>
            </w:r>
            <w:proofErr w:type="spellStart"/>
            <w:r>
              <w:t>protokollēmuma</w:t>
            </w:r>
            <w:proofErr w:type="spellEnd"/>
            <w:r>
              <w:t xml:space="preserve"> projekta  4.punkts.  Precizēta</w:t>
            </w:r>
            <w:r w:rsidRPr="00F70B89">
              <w:t xml:space="preserve"> inform</w:t>
            </w:r>
            <w:r>
              <w:t xml:space="preserve">atīvā ziņojuma 4. sadaļa </w:t>
            </w:r>
            <w:r>
              <w:rPr>
                <w:bCs/>
                <w:color w:val="auto"/>
              </w:rPr>
              <w:t>“</w:t>
            </w:r>
            <w:r w:rsidRPr="00C6456F">
              <w:t>2014. - 2020. gada plānošanas perioda ES fondu investīciju aktualitātes</w:t>
            </w:r>
            <w:r>
              <w:rPr>
                <w:bCs/>
                <w:color w:val="auto"/>
              </w:rPr>
              <w:t>”.</w:t>
            </w:r>
            <w:r w:rsidRPr="00F70B89">
              <w:t xml:space="preserve"> </w:t>
            </w:r>
            <w:r w:rsidRPr="00A525A8">
              <w:rPr>
                <w:bCs/>
                <w:color w:val="auto"/>
              </w:rPr>
              <w:t xml:space="preserve"> Precizēts </w:t>
            </w:r>
            <w:proofErr w:type="spellStart"/>
            <w:r w:rsidRPr="00A525A8">
              <w:rPr>
                <w:bCs/>
                <w:color w:val="auto"/>
              </w:rPr>
              <w:t>protokollēmuma</w:t>
            </w:r>
            <w:proofErr w:type="spellEnd"/>
            <w:r w:rsidRPr="00A525A8">
              <w:rPr>
                <w:bCs/>
                <w:color w:val="auto"/>
              </w:rPr>
              <w:t xml:space="preserve"> projekta </w:t>
            </w:r>
            <w:r w:rsidR="00F01AAF">
              <w:rPr>
                <w:bCs/>
                <w:color w:val="auto"/>
              </w:rPr>
              <w:t>6</w:t>
            </w:r>
            <w:r w:rsidRPr="00A525A8">
              <w:rPr>
                <w:bCs/>
                <w:color w:val="auto"/>
              </w:rPr>
              <w:t xml:space="preserve">. un </w:t>
            </w:r>
            <w:r w:rsidR="00F01AAF">
              <w:rPr>
                <w:bCs/>
                <w:color w:val="auto"/>
              </w:rPr>
              <w:t>8</w:t>
            </w:r>
            <w:r>
              <w:rPr>
                <w:bCs/>
                <w:color w:val="auto"/>
              </w:rPr>
              <w:t>. punkts:</w:t>
            </w:r>
          </w:p>
          <w:p w14:paraId="45DD1F59" w14:textId="2102D51D" w:rsidR="00DB1068" w:rsidRDefault="00DB1068" w:rsidP="00DB1068">
            <w:pPr>
              <w:pStyle w:val="Default"/>
              <w:jc w:val="both"/>
              <w:rPr>
                <w:bCs/>
              </w:rPr>
            </w:pPr>
            <w:r w:rsidRPr="009541F4">
              <w:rPr>
                <w:bCs/>
                <w:color w:val="auto"/>
              </w:rPr>
              <w:t>“</w:t>
            </w:r>
            <w:r w:rsidR="00F01AAF">
              <w:t>6</w:t>
            </w:r>
            <w:r w:rsidRPr="009541F4">
              <w:t>. </w:t>
            </w:r>
            <w:r w:rsidRPr="009541F4">
              <w:rPr>
                <w:bCs/>
              </w:rPr>
              <w:t xml:space="preserve">Ņemot vērā snieguma ietvara nosacījumu izpildi darbības programmas ietvaros līdz 2019. gada 30. jūnijam, ministrijām rādītāju izpildes gadījumā līdz 2019. gada 1. jūlijam iesniegt Finanšu ministrijā priekšlikumus par prioritāro virzienu attiecīgo fondu snieguma rezerves finansējuma izmantošanu, tai skaitā, pamatojot ar veikto Eiropas Savienības fondu lietderības, efektivitātes un ietekmes </w:t>
            </w:r>
            <w:proofErr w:type="spellStart"/>
            <w:r w:rsidRPr="009541F4">
              <w:rPr>
                <w:bCs/>
              </w:rPr>
              <w:t>izvērtējumu</w:t>
            </w:r>
            <w:proofErr w:type="spellEnd"/>
            <w:r w:rsidRPr="009541F4">
              <w:rPr>
                <w:bCs/>
              </w:rPr>
              <w:t xml:space="preserve"> rezultātiem, kur attiecināms.</w:t>
            </w:r>
          </w:p>
          <w:p w14:paraId="1D9AC801" w14:textId="7D6AB441" w:rsidR="00511F42" w:rsidRPr="00A525A8" w:rsidRDefault="00F01AAF" w:rsidP="00DB1068">
            <w:pPr>
              <w:pStyle w:val="Default"/>
              <w:jc w:val="both"/>
            </w:pPr>
            <w:r>
              <w:rPr>
                <w:bCs/>
              </w:rPr>
              <w:t>8</w:t>
            </w:r>
            <w:r w:rsidR="00DB1068">
              <w:rPr>
                <w:bCs/>
              </w:rPr>
              <w:t>.</w:t>
            </w:r>
            <w:r w:rsidR="000A3B57">
              <w:rPr>
                <w:sz w:val="28"/>
                <w:szCs w:val="28"/>
              </w:rPr>
              <w:t xml:space="preserve"> </w:t>
            </w:r>
            <w:r w:rsidR="000A3B57" w:rsidRPr="000A3B57">
              <w:rPr>
                <w:bCs/>
              </w:rPr>
              <w:t xml:space="preserve">Ņemot vērā informatīvā ziņojuma ceturtajā sadaļā sniegto informāciju, Finanšu ministrijai sagatavot un līdz 2019. gada 30. septembrim noteiktā kārtībā iesniegt </w:t>
            </w:r>
            <w:r w:rsidR="000A3B57" w:rsidRPr="000A3B57">
              <w:rPr>
                <w:bCs/>
              </w:rPr>
              <w:lastRenderedPageBreak/>
              <w:t xml:space="preserve">Ministru kabinetā ziņojumu par darbības programmas snieguma ietvara rezerves finansējuma izlietojuma priekšlikumiem. Priekšlikumu izstrādē izskatīt šī </w:t>
            </w:r>
            <w:proofErr w:type="spellStart"/>
            <w:r w:rsidR="000A3B57" w:rsidRPr="000A3B57">
              <w:rPr>
                <w:bCs/>
              </w:rPr>
              <w:t>protokollēmuma</w:t>
            </w:r>
            <w:proofErr w:type="spellEnd"/>
            <w:r w:rsidR="000A3B57" w:rsidRPr="000A3B57">
              <w:rPr>
                <w:bCs/>
              </w:rPr>
              <w:t xml:space="preserve"> 6. un 7. punktā sniegto informāciju un ņemt vērā citus nosacījumus, kā arī Ministru kabineta iepriekš pieņemtos lēmumus par investīciju jomām, kurām prioritāri piešķirams snieguma rezerves finansējums.</w:t>
            </w:r>
            <w:r w:rsidR="00DB1068" w:rsidRPr="009541F4">
              <w:rPr>
                <w:bCs/>
              </w:rPr>
              <w:t xml:space="preserve">. Priekšlikumu izstrādē ņemt vērā šī </w:t>
            </w:r>
            <w:proofErr w:type="spellStart"/>
            <w:r w:rsidR="00DB1068" w:rsidRPr="009541F4">
              <w:rPr>
                <w:bCs/>
              </w:rPr>
              <w:t>protokollēmuma</w:t>
            </w:r>
            <w:proofErr w:type="spellEnd"/>
            <w:r w:rsidR="00DB1068" w:rsidRPr="009541F4">
              <w:rPr>
                <w:bCs/>
              </w:rPr>
              <w:t xml:space="preserve"> </w:t>
            </w:r>
            <w:r>
              <w:rPr>
                <w:bCs/>
              </w:rPr>
              <w:t>6</w:t>
            </w:r>
            <w:r w:rsidR="00DB1068" w:rsidRPr="009541F4">
              <w:rPr>
                <w:bCs/>
              </w:rPr>
              <w:t xml:space="preserve">. un </w:t>
            </w:r>
            <w:r>
              <w:rPr>
                <w:bCs/>
              </w:rPr>
              <w:t>7</w:t>
            </w:r>
            <w:r w:rsidR="00DB1068" w:rsidRPr="009541F4">
              <w:rPr>
                <w:bCs/>
              </w:rPr>
              <w:t>. punktā sniegto informāciju un nosacījumus, kā arī Ministru kabineta iepriekš pieņemtos lēmumus par investīciju jomām, kurām prioritāri piešķirams snieguma rezerves finansējums.</w:t>
            </w:r>
            <w:r w:rsidR="00DB1068">
              <w:rPr>
                <w:bCs/>
              </w:rPr>
              <w:t>”.</w:t>
            </w:r>
          </w:p>
        </w:tc>
      </w:tr>
    </w:tbl>
    <w:p w14:paraId="48184019" w14:textId="5531C521" w:rsidR="003C1D14" w:rsidRDefault="003C1D14" w:rsidP="002A700F">
      <w:pPr>
        <w:pStyle w:val="naisf"/>
        <w:spacing w:before="0" w:after="0"/>
        <w:ind w:firstLine="0"/>
        <w:rPr>
          <w:color w:val="000000"/>
        </w:rPr>
      </w:pPr>
    </w:p>
    <w:p w14:paraId="71646943" w14:textId="77777777" w:rsidR="00655FE8" w:rsidRDefault="00655FE8" w:rsidP="002A700F">
      <w:pPr>
        <w:pStyle w:val="naisf"/>
        <w:spacing w:before="0" w:after="0"/>
        <w:ind w:firstLine="0"/>
        <w:rPr>
          <w:color w:val="000000"/>
        </w:rPr>
      </w:pPr>
    </w:p>
    <w:p w14:paraId="7C75C991" w14:textId="77777777" w:rsidR="003C1D14" w:rsidRDefault="003C1D14" w:rsidP="007F4A63">
      <w:pPr>
        <w:pStyle w:val="naisf"/>
        <w:spacing w:before="0" w:after="0"/>
        <w:rPr>
          <w:color w:val="000000"/>
        </w:rPr>
      </w:pPr>
    </w:p>
    <w:p w14:paraId="6AF7B7BE" w14:textId="35D30BBB" w:rsidR="007F4A63" w:rsidRPr="00896331" w:rsidRDefault="00946431" w:rsidP="007F4A63">
      <w:pPr>
        <w:pStyle w:val="naisf"/>
        <w:spacing w:before="0" w:after="0"/>
        <w:rPr>
          <w:color w:val="000000"/>
        </w:rPr>
      </w:pPr>
      <w:r w:rsidRPr="00896331">
        <w:rPr>
          <w:color w:val="000000"/>
        </w:rPr>
        <w:t>Atbildīgā amatpersona _______________________________________________________</w:t>
      </w:r>
    </w:p>
    <w:p w14:paraId="433AD3D6" w14:textId="445C9444" w:rsidR="007F4A63" w:rsidRPr="00DA6BB5" w:rsidRDefault="00946431" w:rsidP="00DA6BB5">
      <w:pPr>
        <w:pStyle w:val="naisf"/>
        <w:spacing w:before="0" w:after="0"/>
        <w:ind w:firstLine="0"/>
        <w:rPr>
          <w:color w:val="000000"/>
        </w:rPr>
      </w:pPr>
      <w:r w:rsidRPr="00896331">
        <w:rPr>
          <w:color w:val="000000"/>
        </w:rPr>
        <w:tab/>
      </w:r>
      <w:r w:rsidRPr="00896331">
        <w:rPr>
          <w:color w:val="000000"/>
        </w:rPr>
        <w:tab/>
      </w:r>
      <w:r w:rsidRPr="00896331">
        <w:rPr>
          <w:color w:val="000000"/>
        </w:rPr>
        <w:tab/>
      </w:r>
      <w:r w:rsidRPr="00896331">
        <w:rPr>
          <w:color w:val="000000"/>
        </w:rPr>
        <w:tab/>
        <w:t>(paraksts)</w:t>
      </w:r>
    </w:p>
    <w:p w14:paraId="1B8CB618" w14:textId="77777777" w:rsidR="00B85203" w:rsidRDefault="00B85203" w:rsidP="00D9627C">
      <w:pPr>
        <w:tabs>
          <w:tab w:val="center" w:pos="4153"/>
          <w:tab w:val="right" w:pos="8306"/>
        </w:tabs>
        <w:rPr>
          <w:color w:val="000000"/>
        </w:rPr>
      </w:pPr>
    </w:p>
    <w:p w14:paraId="684882FC" w14:textId="176F1531" w:rsidR="00012598" w:rsidRPr="00896331" w:rsidRDefault="008B1823" w:rsidP="00D9627C">
      <w:pPr>
        <w:tabs>
          <w:tab w:val="center" w:pos="4153"/>
          <w:tab w:val="right" w:pos="8306"/>
        </w:tabs>
        <w:rPr>
          <w:color w:val="000000"/>
        </w:rPr>
      </w:pPr>
      <w:r>
        <w:rPr>
          <w:color w:val="000000"/>
        </w:rPr>
        <w:t>Zālīte-Supe</w:t>
      </w:r>
      <w:r w:rsidR="00012598" w:rsidRPr="00896331">
        <w:rPr>
          <w:color w:val="000000"/>
        </w:rPr>
        <w:t xml:space="preserve"> 670</w:t>
      </w:r>
      <w:r w:rsidR="002A1C37" w:rsidRPr="00896331">
        <w:rPr>
          <w:color w:val="000000"/>
        </w:rPr>
        <w:t>83</w:t>
      </w:r>
      <w:r>
        <w:rPr>
          <w:color w:val="000000"/>
        </w:rPr>
        <w:t>808</w:t>
      </w:r>
    </w:p>
    <w:p w14:paraId="0FE4123A" w14:textId="1A082E49" w:rsidR="00AD3626" w:rsidRPr="00896331" w:rsidRDefault="00C245EE" w:rsidP="00D9627C">
      <w:pPr>
        <w:pStyle w:val="Header"/>
      </w:pPr>
      <w:hyperlink r:id="rId8" w:history="1">
        <w:r w:rsidR="008B1823">
          <w:rPr>
            <w:rStyle w:val="Hyperlink"/>
          </w:rPr>
          <w:t>Zinta.Zalite-Supe@fm.gov.lv</w:t>
        </w:r>
      </w:hyperlink>
    </w:p>
    <w:sectPr w:rsidR="00AD3626" w:rsidRPr="00896331" w:rsidSect="00815C6E">
      <w:headerReference w:type="even" r:id="rId9"/>
      <w:headerReference w:type="default" r:id="rId10"/>
      <w:footerReference w:type="default" r:id="rId11"/>
      <w:headerReference w:type="first" r:id="rId12"/>
      <w:footerReference w:type="first" r:id="rId13"/>
      <w:pgSz w:w="16838" w:h="11906" w:orient="landscape" w:code="9"/>
      <w:pgMar w:top="426" w:right="720" w:bottom="709"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BA643" w14:textId="77777777" w:rsidR="0011686D" w:rsidRDefault="0011686D">
      <w:r>
        <w:separator/>
      </w:r>
    </w:p>
  </w:endnote>
  <w:endnote w:type="continuationSeparator" w:id="0">
    <w:p w14:paraId="58B7AC98" w14:textId="77777777" w:rsidR="0011686D" w:rsidRDefault="0011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5AB53" w14:textId="75B29967" w:rsidR="0011686D" w:rsidRPr="009B1998" w:rsidRDefault="0011686D" w:rsidP="009E6370">
    <w:pPr>
      <w:pStyle w:val="Footer"/>
      <w:rPr>
        <w:noProof/>
        <w:sz w:val="20"/>
        <w:szCs w:val="20"/>
      </w:rPr>
    </w:pPr>
    <w:r w:rsidRPr="00F65001">
      <w:rPr>
        <w:noProof/>
        <w:sz w:val="20"/>
        <w:szCs w:val="20"/>
      </w:rPr>
      <w:t xml:space="preserve"> </w:t>
    </w:r>
    <w:r w:rsidRPr="004A0EF2">
      <w:rPr>
        <w:noProof/>
        <w:sz w:val="20"/>
        <w:szCs w:val="20"/>
      </w:rPr>
      <w:t>FMizz_250219_</w:t>
    </w:r>
    <w:r w:rsidRPr="0064292C">
      <w:rPr>
        <w:noProof/>
        <w:sz w:val="20"/>
        <w:szCs w:val="20"/>
      </w:rPr>
      <w:t>ES_fondi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11BFB" w14:textId="16539A16" w:rsidR="0011686D" w:rsidRPr="007D1273" w:rsidRDefault="0011686D" w:rsidP="00C40B41">
    <w:pPr>
      <w:pStyle w:val="Footer"/>
      <w:rPr>
        <w:noProof/>
        <w:sz w:val="20"/>
        <w:szCs w:val="20"/>
      </w:rPr>
    </w:pPr>
    <w:r w:rsidRPr="00F65001">
      <w:rPr>
        <w:noProof/>
        <w:sz w:val="20"/>
        <w:szCs w:val="20"/>
      </w:rPr>
      <w:t xml:space="preserve"> </w:t>
    </w:r>
    <w:r>
      <w:rPr>
        <w:noProof/>
        <w:sz w:val="20"/>
        <w:szCs w:val="20"/>
      </w:rPr>
      <w:t>FMizz_250219_ES_fondi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5D4D1" w14:textId="77777777" w:rsidR="0011686D" w:rsidRDefault="0011686D">
      <w:r>
        <w:separator/>
      </w:r>
    </w:p>
  </w:footnote>
  <w:footnote w:type="continuationSeparator" w:id="0">
    <w:p w14:paraId="722C851C" w14:textId="77777777" w:rsidR="0011686D" w:rsidRDefault="00116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429C" w14:textId="77777777" w:rsidR="0011686D" w:rsidRDefault="0011686D" w:rsidP="002F51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14:paraId="50FA497D" w14:textId="77777777" w:rsidR="0011686D" w:rsidRDefault="00116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912287"/>
      <w:docPartObj>
        <w:docPartGallery w:val="Page Numbers (Top of Page)"/>
        <w:docPartUnique/>
      </w:docPartObj>
    </w:sdtPr>
    <w:sdtEndPr>
      <w:rPr>
        <w:noProof/>
      </w:rPr>
    </w:sdtEndPr>
    <w:sdtContent>
      <w:p w14:paraId="7E25EA74" w14:textId="08DC3ED0" w:rsidR="0011686D" w:rsidRDefault="0011686D" w:rsidP="007A61F9">
        <w:pPr>
          <w:pStyle w:val="Header"/>
          <w:jc w:val="center"/>
        </w:pPr>
        <w:r>
          <w:fldChar w:fldCharType="begin"/>
        </w:r>
        <w:r>
          <w:instrText xml:space="preserve"> PAGE   \* MERGEFORMAT </w:instrText>
        </w:r>
        <w:r>
          <w:fldChar w:fldCharType="separate"/>
        </w:r>
        <w:r w:rsidR="00C245EE">
          <w:rPr>
            <w:noProof/>
          </w:rPr>
          <w:t>35</w:t>
        </w:r>
        <w:r>
          <w:rPr>
            <w:noProof/>
          </w:rPr>
          <w:fldChar w:fldCharType="end"/>
        </w:r>
      </w:p>
    </w:sdtContent>
  </w:sdt>
  <w:p w14:paraId="59CDBCD3" w14:textId="77777777" w:rsidR="0011686D" w:rsidRDefault="001168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646886"/>
      <w:docPartObj>
        <w:docPartGallery w:val="Page Numbers (Top of Page)"/>
        <w:docPartUnique/>
      </w:docPartObj>
    </w:sdtPr>
    <w:sdtEndPr>
      <w:rPr>
        <w:noProof/>
      </w:rPr>
    </w:sdtEndPr>
    <w:sdtContent>
      <w:p w14:paraId="6DB075CB" w14:textId="54875250" w:rsidR="0011686D" w:rsidRDefault="0011686D">
        <w:pPr>
          <w:pStyle w:val="Header"/>
          <w:jc w:val="center"/>
        </w:pPr>
        <w:r>
          <w:fldChar w:fldCharType="begin"/>
        </w:r>
        <w:r>
          <w:instrText xml:space="preserve"> PAGE   \* MERGEFORMAT </w:instrText>
        </w:r>
        <w:r>
          <w:fldChar w:fldCharType="separate"/>
        </w:r>
        <w:r w:rsidR="00C245EE">
          <w:rPr>
            <w:noProof/>
          </w:rPr>
          <w:t>1</w:t>
        </w:r>
        <w:r>
          <w:rPr>
            <w:noProof/>
          </w:rPr>
          <w:fldChar w:fldCharType="end"/>
        </w:r>
      </w:p>
    </w:sdtContent>
  </w:sdt>
  <w:p w14:paraId="33E139F9" w14:textId="77777777" w:rsidR="0011686D" w:rsidRDefault="00116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7B"/>
    <w:multiLevelType w:val="hybridMultilevel"/>
    <w:tmpl w:val="46FC9B1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34467E"/>
    <w:multiLevelType w:val="hybridMultilevel"/>
    <w:tmpl w:val="B1A6ABA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1">
    <w:nsid w:val="04E16433"/>
    <w:multiLevelType w:val="hybridMultilevel"/>
    <w:tmpl w:val="40A8E5FC"/>
    <w:lvl w:ilvl="0" w:tplc="B85E794E">
      <w:start w:val="1"/>
      <w:numFmt w:val="bullet"/>
      <w:lvlText w:val=""/>
      <w:lvlJc w:val="left"/>
      <w:pPr>
        <w:ind w:left="1080" w:hanging="360"/>
      </w:pPr>
      <w:rPr>
        <w:rFonts w:ascii="Symbol" w:hAnsi="Symbol" w:hint="default"/>
      </w:rPr>
    </w:lvl>
    <w:lvl w:ilvl="1" w:tplc="48D69F16" w:tentative="1">
      <w:start w:val="1"/>
      <w:numFmt w:val="bullet"/>
      <w:lvlText w:val="o"/>
      <w:lvlJc w:val="left"/>
      <w:pPr>
        <w:ind w:left="1800" w:hanging="360"/>
      </w:pPr>
      <w:rPr>
        <w:rFonts w:ascii="Courier New" w:hAnsi="Courier New" w:cs="Courier New" w:hint="default"/>
      </w:rPr>
    </w:lvl>
    <w:lvl w:ilvl="2" w:tplc="8D06A3FE" w:tentative="1">
      <w:start w:val="1"/>
      <w:numFmt w:val="bullet"/>
      <w:lvlText w:val=""/>
      <w:lvlJc w:val="left"/>
      <w:pPr>
        <w:ind w:left="2520" w:hanging="360"/>
      </w:pPr>
      <w:rPr>
        <w:rFonts w:ascii="Wingdings" w:hAnsi="Wingdings" w:hint="default"/>
      </w:rPr>
    </w:lvl>
    <w:lvl w:ilvl="3" w:tplc="BED47CD2" w:tentative="1">
      <w:start w:val="1"/>
      <w:numFmt w:val="bullet"/>
      <w:lvlText w:val=""/>
      <w:lvlJc w:val="left"/>
      <w:pPr>
        <w:ind w:left="3240" w:hanging="360"/>
      </w:pPr>
      <w:rPr>
        <w:rFonts w:ascii="Symbol" w:hAnsi="Symbol" w:hint="default"/>
      </w:rPr>
    </w:lvl>
    <w:lvl w:ilvl="4" w:tplc="28F6B59A" w:tentative="1">
      <w:start w:val="1"/>
      <w:numFmt w:val="bullet"/>
      <w:lvlText w:val="o"/>
      <w:lvlJc w:val="left"/>
      <w:pPr>
        <w:ind w:left="3960" w:hanging="360"/>
      </w:pPr>
      <w:rPr>
        <w:rFonts w:ascii="Courier New" w:hAnsi="Courier New" w:cs="Courier New" w:hint="default"/>
      </w:rPr>
    </w:lvl>
    <w:lvl w:ilvl="5" w:tplc="45986BA2" w:tentative="1">
      <w:start w:val="1"/>
      <w:numFmt w:val="bullet"/>
      <w:lvlText w:val=""/>
      <w:lvlJc w:val="left"/>
      <w:pPr>
        <w:ind w:left="4680" w:hanging="360"/>
      </w:pPr>
      <w:rPr>
        <w:rFonts w:ascii="Wingdings" w:hAnsi="Wingdings" w:hint="default"/>
      </w:rPr>
    </w:lvl>
    <w:lvl w:ilvl="6" w:tplc="C7B8629E" w:tentative="1">
      <w:start w:val="1"/>
      <w:numFmt w:val="bullet"/>
      <w:lvlText w:val=""/>
      <w:lvlJc w:val="left"/>
      <w:pPr>
        <w:ind w:left="5400" w:hanging="360"/>
      </w:pPr>
      <w:rPr>
        <w:rFonts w:ascii="Symbol" w:hAnsi="Symbol" w:hint="default"/>
      </w:rPr>
    </w:lvl>
    <w:lvl w:ilvl="7" w:tplc="B43E566E" w:tentative="1">
      <w:start w:val="1"/>
      <w:numFmt w:val="bullet"/>
      <w:lvlText w:val="o"/>
      <w:lvlJc w:val="left"/>
      <w:pPr>
        <w:ind w:left="6120" w:hanging="360"/>
      </w:pPr>
      <w:rPr>
        <w:rFonts w:ascii="Courier New" w:hAnsi="Courier New" w:cs="Courier New" w:hint="default"/>
      </w:rPr>
    </w:lvl>
    <w:lvl w:ilvl="8" w:tplc="3D0C72FA" w:tentative="1">
      <w:start w:val="1"/>
      <w:numFmt w:val="bullet"/>
      <w:lvlText w:val=""/>
      <w:lvlJc w:val="left"/>
      <w:pPr>
        <w:ind w:left="6840" w:hanging="360"/>
      </w:pPr>
      <w:rPr>
        <w:rFonts w:ascii="Wingdings" w:hAnsi="Wingdings" w:hint="default"/>
      </w:rPr>
    </w:lvl>
  </w:abstractNum>
  <w:abstractNum w:abstractNumId="3" w15:restartNumberingAfterBreak="0">
    <w:nsid w:val="06255CDE"/>
    <w:multiLevelType w:val="hybridMultilevel"/>
    <w:tmpl w:val="0C4C1240"/>
    <w:lvl w:ilvl="0" w:tplc="4342A5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91940C9"/>
    <w:multiLevelType w:val="hybridMultilevel"/>
    <w:tmpl w:val="4BFA3D6A"/>
    <w:lvl w:ilvl="0" w:tplc="04260019">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097B5A39"/>
    <w:multiLevelType w:val="hybridMultilevel"/>
    <w:tmpl w:val="8526980A"/>
    <w:lvl w:ilvl="0" w:tplc="78A01434">
      <w:start w:val="1"/>
      <w:numFmt w:val="decimal"/>
      <w:lvlText w:val="%1."/>
      <w:lvlJc w:val="left"/>
      <w:pPr>
        <w:ind w:left="1080" w:hanging="360"/>
      </w:pPr>
      <w:rPr>
        <w:rFonts w:hint="default"/>
        <w:i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AA47199"/>
    <w:multiLevelType w:val="hybridMultilevel"/>
    <w:tmpl w:val="77B828D2"/>
    <w:lvl w:ilvl="0" w:tplc="32D2EE94">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1">
    <w:nsid w:val="0B7E2379"/>
    <w:multiLevelType w:val="hybridMultilevel"/>
    <w:tmpl w:val="2A42B3EE"/>
    <w:lvl w:ilvl="0" w:tplc="567C4670">
      <w:start w:val="1"/>
      <w:numFmt w:val="bullet"/>
      <w:lvlText w:val=""/>
      <w:lvlJc w:val="left"/>
      <w:pPr>
        <w:ind w:left="1571" w:hanging="360"/>
      </w:pPr>
      <w:rPr>
        <w:rFonts w:ascii="Symbol" w:hAnsi="Symbol" w:hint="default"/>
      </w:rPr>
    </w:lvl>
    <w:lvl w:ilvl="1" w:tplc="B830A7C0" w:tentative="1">
      <w:start w:val="1"/>
      <w:numFmt w:val="bullet"/>
      <w:lvlText w:val="o"/>
      <w:lvlJc w:val="left"/>
      <w:pPr>
        <w:ind w:left="2291" w:hanging="360"/>
      </w:pPr>
      <w:rPr>
        <w:rFonts w:ascii="Courier New" w:hAnsi="Courier New" w:cs="Courier New" w:hint="default"/>
      </w:rPr>
    </w:lvl>
    <w:lvl w:ilvl="2" w:tplc="DB9C7272" w:tentative="1">
      <w:start w:val="1"/>
      <w:numFmt w:val="bullet"/>
      <w:lvlText w:val=""/>
      <w:lvlJc w:val="left"/>
      <w:pPr>
        <w:ind w:left="3011" w:hanging="360"/>
      </w:pPr>
      <w:rPr>
        <w:rFonts w:ascii="Wingdings" w:hAnsi="Wingdings" w:hint="default"/>
      </w:rPr>
    </w:lvl>
    <w:lvl w:ilvl="3" w:tplc="019875D0" w:tentative="1">
      <w:start w:val="1"/>
      <w:numFmt w:val="bullet"/>
      <w:lvlText w:val=""/>
      <w:lvlJc w:val="left"/>
      <w:pPr>
        <w:ind w:left="3731" w:hanging="360"/>
      </w:pPr>
      <w:rPr>
        <w:rFonts w:ascii="Symbol" w:hAnsi="Symbol" w:hint="default"/>
      </w:rPr>
    </w:lvl>
    <w:lvl w:ilvl="4" w:tplc="1C5A11A0" w:tentative="1">
      <w:start w:val="1"/>
      <w:numFmt w:val="bullet"/>
      <w:lvlText w:val="o"/>
      <w:lvlJc w:val="left"/>
      <w:pPr>
        <w:ind w:left="4451" w:hanging="360"/>
      </w:pPr>
      <w:rPr>
        <w:rFonts w:ascii="Courier New" w:hAnsi="Courier New" w:cs="Courier New" w:hint="default"/>
      </w:rPr>
    </w:lvl>
    <w:lvl w:ilvl="5" w:tplc="AB126A4E" w:tentative="1">
      <w:start w:val="1"/>
      <w:numFmt w:val="bullet"/>
      <w:lvlText w:val=""/>
      <w:lvlJc w:val="left"/>
      <w:pPr>
        <w:ind w:left="5171" w:hanging="360"/>
      </w:pPr>
      <w:rPr>
        <w:rFonts w:ascii="Wingdings" w:hAnsi="Wingdings" w:hint="default"/>
      </w:rPr>
    </w:lvl>
    <w:lvl w:ilvl="6" w:tplc="B164C2B2" w:tentative="1">
      <w:start w:val="1"/>
      <w:numFmt w:val="bullet"/>
      <w:lvlText w:val=""/>
      <w:lvlJc w:val="left"/>
      <w:pPr>
        <w:ind w:left="5891" w:hanging="360"/>
      </w:pPr>
      <w:rPr>
        <w:rFonts w:ascii="Symbol" w:hAnsi="Symbol" w:hint="default"/>
      </w:rPr>
    </w:lvl>
    <w:lvl w:ilvl="7" w:tplc="A04C2EA0" w:tentative="1">
      <w:start w:val="1"/>
      <w:numFmt w:val="bullet"/>
      <w:lvlText w:val="o"/>
      <w:lvlJc w:val="left"/>
      <w:pPr>
        <w:ind w:left="6611" w:hanging="360"/>
      </w:pPr>
      <w:rPr>
        <w:rFonts w:ascii="Courier New" w:hAnsi="Courier New" w:cs="Courier New" w:hint="default"/>
      </w:rPr>
    </w:lvl>
    <w:lvl w:ilvl="8" w:tplc="01684DD2" w:tentative="1">
      <w:start w:val="1"/>
      <w:numFmt w:val="bullet"/>
      <w:lvlText w:val=""/>
      <w:lvlJc w:val="left"/>
      <w:pPr>
        <w:ind w:left="7331" w:hanging="360"/>
      </w:pPr>
      <w:rPr>
        <w:rFonts w:ascii="Wingdings" w:hAnsi="Wingdings" w:hint="default"/>
      </w:rPr>
    </w:lvl>
  </w:abstractNum>
  <w:abstractNum w:abstractNumId="8" w15:restartNumberingAfterBreak="0">
    <w:nsid w:val="111F0E3D"/>
    <w:multiLevelType w:val="hybridMultilevel"/>
    <w:tmpl w:val="509A759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A301CE"/>
    <w:multiLevelType w:val="multilevel"/>
    <w:tmpl w:val="038A0DC2"/>
    <w:lvl w:ilvl="0">
      <w:start w:val="5"/>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ascii="Times New Roman" w:hAnsi="Times New Roman" w:cs="Times New Roman" w:hint="default"/>
        <w:sz w:val="24"/>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19FE4C2B"/>
    <w:multiLevelType w:val="hybridMultilevel"/>
    <w:tmpl w:val="5A306044"/>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2E7261"/>
    <w:multiLevelType w:val="hybridMultilevel"/>
    <w:tmpl w:val="8CA87EAE"/>
    <w:lvl w:ilvl="0" w:tplc="C5BA1E74">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4B51A3"/>
    <w:multiLevelType w:val="multilevel"/>
    <w:tmpl w:val="C97E7336"/>
    <w:lvl w:ilvl="0">
      <w:start w:val="1"/>
      <w:numFmt w:val="decimal"/>
      <w:lvlText w:val="%1."/>
      <w:lvlJc w:val="left"/>
      <w:pPr>
        <w:ind w:left="5606" w:hanging="360"/>
      </w:pPr>
    </w:lvl>
    <w:lvl w:ilvl="1">
      <w:start w:val="1"/>
      <w:numFmt w:val="decimal"/>
      <w:isLgl/>
      <w:lvlText w:val="%1.%2."/>
      <w:lvlJc w:val="left"/>
      <w:pPr>
        <w:ind w:left="1440" w:hanging="360"/>
      </w:pPr>
      <w:rPr>
        <w:rFonts w:hint="default"/>
        <w:b/>
      </w:rPr>
    </w:lvl>
    <w:lvl w:ilvl="2">
      <w:start w:val="1"/>
      <w:numFmt w:val="decimal"/>
      <w:pStyle w:val="3lmenis"/>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22EA35DB"/>
    <w:multiLevelType w:val="hybridMultilevel"/>
    <w:tmpl w:val="BC1CF9A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BA7A94"/>
    <w:multiLevelType w:val="hybridMultilevel"/>
    <w:tmpl w:val="1CB4B09E"/>
    <w:lvl w:ilvl="0" w:tplc="FFFAC3AC">
      <w:start w:val="1"/>
      <w:numFmt w:val="decimal"/>
      <w:lvlText w:val="%1)"/>
      <w:lvlJc w:val="left"/>
      <w:pPr>
        <w:ind w:left="1211" w:hanging="360"/>
      </w:pPr>
      <w:rPr>
        <w:rFonts w:hint="default"/>
      </w:rPr>
    </w:lvl>
    <w:lvl w:ilvl="1" w:tplc="14485284" w:tentative="1">
      <w:start w:val="1"/>
      <w:numFmt w:val="lowerLetter"/>
      <w:lvlText w:val="%2."/>
      <w:lvlJc w:val="left"/>
      <w:pPr>
        <w:ind w:left="1931" w:hanging="360"/>
      </w:pPr>
    </w:lvl>
    <w:lvl w:ilvl="2" w:tplc="0756C0F0" w:tentative="1">
      <w:start w:val="1"/>
      <w:numFmt w:val="lowerRoman"/>
      <w:lvlText w:val="%3."/>
      <w:lvlJc w:val="right"/>
      <w:pPr>
        <w:ind w:left="2651" w:hanging="180"/>
      </w:pPr>
    </w:lvl>
    <w:lvl w:ilvl="3" w:tplc="6C72ACAE" w:tentative="1">
      <w:start w:val="1"/>
      <w:numFmt w:val="decimal"/>
      <w:lvlText w:val="%4."/>
      <w:lvlJc w:val="left"/>
      <w:pPr>
        <w:ind w:left="3371" w:hanging="360"/>
      </w:pPr>
    </w:lvl>
    <w:lvl w:ilvl="4" w:tplc="369ED820" w:tentative="1">
      <w:start w:val="1"/>
      <w:numFmt w:val="lowerLetter"/>
      <w:lvlText w:val="%5."/>
      <w:lvlJc w:val="left"/>
      <w:pPr>
        <w:ind w:left="4091" w:hanging="360"/>
      </w:pPr>
    </w:lvl>
    <w:lvl w:ilvl="5" w:tplc="DDC42374" w:tentative="1">
      <w:start w:val="1"/>
      <w:numFmt w:val="lowerRoman"/>
      <w:lvlText w:val="%6."/>
      <w:lvlJc w:val="right"/>
      <w:pPr>
        <w:ind w:left="4811" w:hanging="180"/>
      </w:pPr>
    </w:lvl>
    <w:lvl w:ilvl="6" w:tplc="5DA26CAE" w:tentative="1">
      <w:start w:val="1"/>
      <w:numFmt w:val="decimal"/>
      <w:lvlText w:val="%7."/>
      <w:lvlJc w:val="left"/>
      <w:pPr>
        <w:ind w:left="5531" w:hanging="360"/>
      </w:pPr>
    </w:lvl>
    <w:lvl w:ilvl="7" w:tplc="CED2EA10" w:tentative="1">
      <w:start w:val="1"/>
      <w:numFmt w:val="lowerLetter"/>
      <w:lvlText w:val="%8."/>
      <w:lvlJc w:val="left"/>
      <w:pPr>
        <w:ind w:left="6251" w:hanging="360"/>
      </w:pPr>
    </w:lvl>
    <w:lvl w:ilvl="8" w:tplc="1F3C9B62" w:tentative="1">
      <w:start w:val="1"/>
      <w:numFmt w:val="lowerRoman"/>
      <w:lvlText w:val="%9."/>
      <w:lvlJc w:val="right"/>
      <w:pPr>
        <w:ind w:left="6971" w:hanging="180"/>
      </w:pPr>
    </w:lvl>
  </w:abstractNum>
  <w:abstractNum w:abstractNumId="15" w15:restartNumberingAfterBreak="0">
    <w:nsid w:val="25C8242A"/>
    <w:multiLevelType w:val="hybridMultilevel"/>
    <w:tmpl w:val="733AE6F8"/>
    <w:lvl w:ilvl="0" w:tplc="7BFCF08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4A33B5"/>
    <w:multiLevelType w:val="multilevel"/>
    <w:tmpl w:val="BF3CF41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D57CDD"/>
    <w:multiLevelType w:val="hybridMultilevel"/>
    <w:tmpl w:val="47307D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D6009C4"/>
    <w:multiLevelType w:val="multilevel"/>
    <w:tmpl w:val="A9C2E23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AB7CB0"/>
    <w:multiLevelType w:val="multilevel"/>
    <w:tmpl w:val="96BAD78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B631D0"/>
    <w:multiLevelType w:val="hybridMultilevel"/>
    <w:tmpl w:val="6C42C27E"/>
    <w:lvl w:ilvl="0" w:tplc="4C9461B2">
      <w:start w:val="4"/>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57381B"/>
    <w:multiLevelType w:val="hybridMultilevel"/>
    <w:tmpl w:val="703AF5A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367F6D57"/>
    <w:multiLevelType w:val="hybridMultilevel"/>
    <w:tmpl w:val="9A203808"/>
    <w:lvl w:ilvl="0" w:tplc="0426000F">
      <w:start w:val="1"/>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8B66296"/>
    <w:multiLevelType w:val="hybridMultilevel"/>
    <w:tmpl w:val="2174B5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930169"/>
    <w:multiLevelType w:val="multilevel"/>
    <w:tmpl w:val="D080624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2B7ABC"/>
    <w:multiLevelType w:val="hybridMultilevel"/>
    <w:tmpl w:val="449EF38A"/>
    <w:lvl w:ilvl="0" w:tplc="38081A3E">
      <w:start w:val="1"/>
      <w:numFmt w:val="decimal"/>
      <w:lvlText w:val="%1."/>
      <w:lvlJc w:val="left"/>
      <w:pPr>
        <w:ind w:left="785"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4AAF6AAD"/>
    <w:multiLevelType w:val="hybridMultilevel"/>
    <w:tmpl w:val="9746EFC4"/>
    <w:lvl w:ilvl="0" w:tplc="78A01434">
      <w:start w:val="1"/>
      <w:numFmt w:val="decimal"/>
      <w:lvlText w:val="%1."/>
      <w:lvlJc w:val="left"/>
      <w:pPr>
        <w:ind w:left="1080" w:hanging="360"/>
      </w:pPr>
      <w:rPr>
        <w:rFonts w:hint="default"/>
        <w:i w:val="0"/>
      </w:rPr>
    </w:lvl>
    <w:lvl w:ilvl="1" w:tplc="04260019">
      <w:start w:val="1"/>
      <w:numFmt w:val="lowerLetter"/>
      <w:lvlText w:val="%2."/>
      <w:lvlJc w:val="left"/>
      <w:pPr>
        <w:ind w:left="1800" w:hanging="360"/>
      </w:pPr>
    </w:lvl>
    <w:lvl w:ilvl="2" w:tplc="3FE6D048">
      <w:start w:val="1"/>
      <w:numFmt w:val="bullet"/>
      <w:lvlText w:val=""/>
      <w:lvlJc w:val="left"/>
      <w:pPr>
        <w:ind w:left="2520" w:hanging="180"/>
      </w:pPr>
      <w:rPr>
        <w:rFonts w:ascii="Symbol" w:hAnsi="Symbol" w:hint="default"/>
      </w:r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EB830F4"/>
    <w:multiLevelType w:val="hybridMultilevel"/>
    <w:tmpl w:val="EB467B58"/>
    <w:lvl w:ilvl="0" w:tplc="43EC0D04">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F03171"/>
    <w:multiLevelType w:val="multilevel"/>
    <w:tmpl w:val="F55461C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447B5B"/>
    <w:multiLevelType w:val="hybridMultilevel"/>
    <w:tmpl w:val="567E9BB4"/>
    <w:lvl w:ilvl="0" w:tplc="0426000B">
      <w:start w:val="1"/>
      <w:numFmt w:val="bullet"/>
      <w:lvlText w:val=""/>
      <w:lvlJc w:val="left"/>
      <w:pPr>
        <w:ind w:left="754" w:hanging="360"/>
      </w:pPr>
      <w:rPr>
        <w:rFonts w:ascii="Wingdings" w:hAnsi="Wingdings"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0" w15:restartNumberingAfterBreak="0">
    <w:nsid w:val="5C393E40"/>
    <w:multiLevelType w:val="hybridMultilevel"/>
    <w:tmpl w:val="5A4EC9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77346D"/>
    <w:multiLevelType w:val="hybridMultilevel"/>
    <w:tmpl w:val="EE54C2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2D84724"/>
    <w:multiLevelType w:val="hybridMultilevel"/>
    <w:tmpl w:val="0A860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64946CF"/>
    <w:multiLevelType w:val="hybridMultilevel"/>
    <w:tmpl w:val="6F14AAD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CF55008"/>
    <w:multiLevelType w:val="multilevel"/>
    <w:tmpl w:val="3E049EAA"/>
    <w:lvl w:ilvl="0">
      <w:start w:val="1"/>
      <w:numFmt w:val="decimal"/>
      <w:lvlText w:val="%1."/>
      <w:lvlJc w:val="left"/>
      <w:pPr>
        <w:ind w:left="360" w:hanging="360"/>
      </w:pPr>
      <w:rPr>
        <w:rFonts w:ascii="Times New Roman" w:hAnsi="Times New Roman" w:cs="Times New Roman"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35" w15:restartNumberingAfterBreak="0">
    <w:nsid w:val="735C5E0C"/>
    <w:multiLevelType w:val="hybridMultilevel"/>
    <w:tmpl w:val="54886540"/>
    <w:lvl w:ilvl="0" w:tplc="042C787A">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6" w15:restartNumberingAfterBreak="0">
    <w:nsid w:val="781052EC"/>
    <w:multiLevelType w:val="hybridMultilevel"/>
    <w:tmpl w:val="B0A673C2"/>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23"/>
  </w:num>
  <w:num w:numId="3">
    <w:abstractNumId w:val="12"/>
  </w:num>
  <w:num w:numId="4">
    <w:abstractNumId w:val="35"/>
  </w:num>
  <w:num w:numId="5">
    <w:abstractNumId w:val="9"/>
  </w:num>
  <w:num w:numId="6">
    <w:abstractNumId w:val="11"/>
  </w:num>
  <w:num w:numId="7">
    <w:abstractNumId w:val="33"/>
  </w:num>
  <w:num w:numId="8">
    <w:abstractNumId w:val="15"/>
  </w:num>
  <w:num w:numId="9">
    <w:abstractNumId w:val="27"/>
  </w:num>
  <w:num w:numId="10">
    <w:abstractNumId w:val="7"/>
  </w:num>
  <w:num w:numId="11">
    <w:abstractNumId w:val="10"/>
  </w:num>
  <w:num w:numId="12">
    <w:abstractNumId w:val="36"/>
  </w:num>
  <w:num w:numId="13">
    <w:abstractNumId w:val="2"/>
  </w:num>
  <w:num w:numId="14">
    <w:abstractNumId w:val="0"/>
  </w:num>
  <w:num w:numId="15">
    <w:abstractNumId w:val="8"/>
  </w:num>
  <w:num w:numId="16">
    <w:abstractNumId w:val="28"/>
  </w:num>
  <w:num w:numId="17">
    <w:abstractNumId w:val="16"/>
  </w:num>
  <w:num w:numId="18">
    <w:abstractNumId w:val="34"/>
  </w:num>
  <w:num w:numId="19">
    <w:abstractNumId w:val="18"/>
  </w:num>
  <w:num w:numId="20">
    <w:abstractNumId w:val="22"/>
  </w:num>
  <w:num w:numId="21">
    <w:abstractNumId w:val="20"/>
  </w:num>
  <w:num w:numId="22">
    <w:abstractNumId w:val="17"/>
  </w:num>
  <w:num w:numId="23">
    <w:abstractNumId w:val="19"/>
  </w:num>
  <w:num w:numId="24">
    <w:abstractNumId w:val="5"/>
  </w:num>
  <w:num w:numId="25">
    <w:abstractNumId w:val="4"/>
  </w:num>
  <w:num w:numId="26">
    <w:abstractNumId w:val="26"/>
  </w:num>
  <w:num w:numId="27">
    <w:abstractNumId w:val="1"/>
  </w:num>
  <w:num w:numId="28">
    <w:abstractNumId w:val="3"/>
  </w:num>
  <w:num w:numId="29">
    <w:abstractNumId w:val="6"/>
  </w:num>
  <w:num w:numId="30">
    <w:abstractNumId w:val="13"/>
  </w:num>
  <w:num w:numId="31">
    <w:abstractNumId w:val="21"/>
  </w:num>
  <w:num w:numId="32">
    <w:abstractNumId w:val="31"/>
  </w:num>
  <w:num w:numId="33">
    <w:abstractNumId w:val="14"/>
  </w:num>
  <w:num w:numId="34">
    <w:abstractNumId w:val="24"/>
  </w:num>
  <w:num w:numId="35">
    <w:abstractNumId w:val="32"/>
  </w:num>
  <w:num w:numId="36">
    <w:abstractNumId w:val="30"/>
  </w:num>
  <w:num w:numId="37">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64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31"/>
    <w:rsid w:val="00000A26"/>
    <w:rsid w:val="00000F8C"/>
    <w:rsid w:val="000012FA"/>
    <w:rsid w:val="00002FB9"/>
    <w:rsid w:val="000041EE"/>
    <w:rsid w:val="000042A8"/>
    <w:rsid w:val="00005234"/>
    <w:rsid w:val="00005684"/>
    <w:rsid w:val="000059A1"/>
    <w:rsid w:val="00007979"/>
    <w:rsid w:val="00007CA4"/>
    <w:rsid w:val="00007E7F"/>
    <w:rsid w:val="00010015"/>
    <w:rsid w:val="00010573"/>
    <w:rsid w:val="00012331"/>
    <w:rsid w:val="00012598"/>
    <w:rsid w:val="00014270"/>
    <w:rsid w:val="00014752"/>
    <w:rsid w:val="00014D00"/>
    <w:rsid w:val="00015364"/>
    <w:rsid w:val="00016CA2"/>
    <w:rsid w:val="00016E55"/>
    <w:rsid w:val="000174E8"/>
    <w:rsid w:val="00017747"/>
    <w:rsid w:val="00017C0F"/>
    <w:rsid w:val="00020AEF"/>
    <w:rsid w:val="000215CB"/>
    <w:rsid w:val="0002166F"/>
    <w:rsid w:val="00021E54"/>
    <w:rsid w:val="00022762"/>
    <w:rsid w:val="00022F16"/>
    <w:rsid w:val="00023081"/>
    <w:rsid w:val="00025C21"/>
    <w:rsid w:val="00026947"/>
    <w:rsid w:val="00027485"/>
    <w:rsid w:val="00027717"/>
    <w:rsid w:val="00027E96"/>
    <w:rsid w:val="00030CEA"/>
    <w:rsid w:val="00031189"/>
    <w:rsid w:val="000316A4"/>
    <w:rsid w:val="000317EF"/>
    <w:rsid w:val="00031EAE"/>
    <w:rsid w:val="000320F8"/>
    <w:rsid w:val="000322AB"/>
    <w:rsid w:val="000324B5"/>
    <w:rsid w:val="00032E17"/>
    <w:rsid w:val="00034A63"/>
    <w:rsid w:val="00034D75"/>
    <w:rsid w:val="000374E9"/>
    <w:rsid w:val="0003772F"/>
    <w:rsid w:val="00037951"/>
    <w:rsid w:val="00040A7B"/>
    <w:rsid w:val="00041979"/>
    <w:rsid w:val="00041ABD"/>
    <w:rsid w:val="0004232C"/>
    <w:rsid w:val="00042CB5"/>
    <w:rsid w:val="00045A4E"/>
    <w:rsid w:val="00045DCD"/>
    <w:rsid w:val="0004682D"/>
    <w:rsid w:val="00046BF9"/>
    <w:rsid w:val="00050A59"/>
    <w:rsid w:val="000528DF"/>
    <w:rsid w:val="0005383E"/>
    <w:rsid w:val="00053DD0"/>
    <w:rsid w:val="00053F5D"/>
    <w:rsid w:val="00054A82"/>
    <w:rsid w:val="00055032"/>
    <w:rsid w:val="00055C59"/>
    <w:rsid w:val="00055DF1"/>
    <w:rsid w:val="00055E40"/>
    <w:rsid w:val="00056B53"/>
    <w:rsid w:val="00061755"/>
    <w:rsid w:val="00065CC9"/>
    <w:rsid w:val="00067224"/>
    <w:rsid w:val="00067E58"/>
    <w:rsid w:val="00071AAB"/>
    <w:rsid w:val="000734C9"/>
    <w:rsid w:val="000734D0"/>
    <w:rsid w:val="000742F9"/>
    <w:rsid w:val="00074534"/>
    <w:rsid w:val="00074E38"/>
    <w:rsid w:val="00075123"/>
    <w:rsid w:val="000755E2"/>
    <w:rsid w:val="0007677F"/>
    <w:rsid w:val="00076B0E"/>
    <w:rsid w:val="00076EEE"/>
    <w:rsid w:val="000772AE"/>
    <w:rsid w:val="000802BC"/>
    <w:rsid w:val="00080CC4"/>
    <w:rsid w:val="00081A5B"/>
    <w:rsid w:val="0008455C"/>
    <w:rsid w:val="00084F6E"/>
    <w:rsid w:val="00085B29"/>
    <w:rsid w:val="00086570"/>
    <w:rsid w:val="00086ABF"/>
    <w:rsid w:val="00087141"/>
    <w:rsid w:val="00087210"/>
    <w:rsid w:val="0008768F"/>
    <w:rsid w:val="000901D5"/>
    <w:rsid w:val="00091A08"/>
    <w:rsid w:val="00091A4D"/>
    <w:rsid w:val="00093A32"/>
    <w:rsid w:val="00093EBD"/>
    <w:rsid w:val="00094379"/>
    <w:rsid w:val="000948D4"/>
    <w:rsid w:val="00095E0F"/>
    <w:rsid w:val="00097286"/>
    <w:rsid w:val="0009745B"/>
    <w:rsid w:val="000A10B0"/>
    <w:rsid w:val="000A30E2"/>
    <w:rsid w:val="000A31E8"/>
    <w:rsid w:val="000A37A0"/>
    <w:rsid w:val="000A3B57"/>
    <w:rsid w:val="000A4290"/>
    <w:rsid w:val="000A464D"/>
    <w:rsid w:val="000A765B"/>
    <w:rsid w:val="000B04E9"/>
    <w:rsid w:val="000B1760"/>
    <w:rsid w:val="000B20C1"/>
    <w:rsid w:val="000B2375"/>
    <w:rsid w:val="000B440C"/>
    <w:rsid w:val="000B4540"/>
    <w:rsid w:val="000B4B30"/>
    <w:rsid w:val="000B4C73"/>
    <w:rsid w:val="000B4E5A"/>
    <w:rsid w:val="000B5F68"/>
    <w:rsid w:val="000B6079"/>
    <w:rsid w:val="000B740D"/>
    <w:rsid w:val="000B76EC"/>
    <w:rsid w:val="000B7A02"/>
    <w:rsid w:val="000B7A39"/>
    <w:rsid w:val="000C02B4"/>
    <w:rsid w:val="000C10FA"/>
    <w:rsid w:val="000C1D7E"/>
    <w:rsid w:val="000C3FBA"/>
    <w:rsid w:val="000C4CE5"/>
    <w:rsid w:val="000C5A78"/>
    <w:rsid w:val="000C5D5A"/>
    <w:rsid w:val="000C6C87"/>
    <w:rsid w:val="000C7AD8"/>
    <w:rsid w:val="000D0570"/>
    <w:rsid w:val="000D0AA3"/>
    <w:rsid w:val="000D0FBF"/>
    <w:rsid w:val="000D1700"/>
    <w:rsid w:val="000D25EF"/>
    <w:rsid w:val="000D354F"/>
    <w:rsid w:val="000D368A"/>
    <w:rsid w:val="000D39BD"/>
    <w:rsid w:val="000D4A38"/>
    <w:rsid w:val="000D5601"/>
    <w:rsid w:val="000D6751"/>
    <w:rsid w:val="000D7146"/>
    <w:rsid w:val="000D7F9B"/>
    <w:rsid w:val="000E08E3"/>
    <w:rsid w:val="000E0B4D"/>
    <w:rsid w:val="000E3423"/>
    <w:rsid w:val="000E4E46"/>
    <w:rsid w:val="000E520A"/>
    <w:rsid w:val="000E5700"/>
    <w:rsid w:val="000E5B0D"/>
    <w:rsid w:val="000E643B"/>
    <w:rsid w:val="000E667C"/>
    <w:rsid w:val="000E6E6F"/>
    <w:rsid w:val="000E791C"/>
    <w:rsid w:val="000E7A35"/>
    <w:rsid w:val="000F0060"/>
    <w:rsid w:val="000F00F6"/>
    <w:rsid w:val="000F01F6"/>
    <w:rsid w:val="000F0A67"/>
    <w:rsid w:val="000F130E"/>
    <w:rsid w:val="000F1310"/>
    <w:rsid w:val="000F16A8"/>
    <w:rsid w:val="000F16E8"/>
    <w:rsid w:val="000F3F47"/>
    <w:rsid w:val="000F6074"/>
    <w:rsid w:val="000F626B"/>
    <w:rsid w:val="000F62DB"/>
    <w:rsid w:val="000F692B"/>
    <w:rsid w:val="000F7102"/>
    <w:rsid w:val="000F7F02"/>
    <w:rsid w:val="001011CC"/>
    <w:rsid w:val="00103B1E"/>
    <w:rsid w:val="0010402B"/>
    <w:rsid w:val="00104DE8"/>
    <w:rsid w:val="001051EE"/>
    <w:rsid w:val="00105B11"/>
    <w:rsid w:val="00106506"/>
    <w:rsid w:val="0010671A"/>
    <w:rsid w:val="001074A0"/>
    <w:rsid w:val="00107B14"/>
    <w:rsid w:val="00110787"/>
    <w:rsid w:val="00112964"/>
    <w:rsid w:val="00112E0E"/>
    <w:rsid w:val="001133FB"/>
    <w:rsid w:val="001141B8"/>
    <w:rsid w:val="00115285"/>
    <w:rsid w:val="00115695"/>
    <w:rsid w:val="00115C90"/>
    <w:rsid w:val="0011686D"/>
    <w:rsid w:val="00117484"/>
    <w:rsid w:val="001201D3"/>
    <w:rsid w:val="0012148B"/>
    <w:rsid w:val="00122859"/>
    <w:rsid w:val="00123335"/>
    <w:rsid w:val="001237D0"/>
    <w:rsid w:val="001257C4"/>
    <w:rsid w:val="001309B5"/>
    <w:rsid w:val="0013184F"/>
    <w:rsid w:val="00132BF2"/>
    <w:rsid w:val="0013357E"/>
    <w:rsid w:val="00133B6B"/>
    <w:rsid w:val="001360AD"/>
    <w:rsid w:val="00136B7A"/>
    <w:rsid w:val="00136FAA"/>
    <w:rsid w:val="00140361"/>
    <w:rsid w:val="00140D89"/>
    <w:rsid w:val="001411E4"/>
    <w:rsid w:val="00141395"/>
    <w:rsid w:val="00142354"/>
    <w:rsid w:val="0014341E"/>
    <w:rsid w:val="001452FA"/>
    <w:rsid w:val="001455CD"/>
    <w:rsid w:val="001460AF"/>
    <w:rsid w:val="00147D42"/>
    <w:rsid w:val="00150C58"/>
    <w:rsid w:val="00150F3F"/>
    <w:rsid w:val="001528B7"/>
    <w:rsid w:val="00153597"/>
    <w:rsid w:val="00153770"/>
    <w:rsid w:val="001542C9"/>
    <w:rsid w:val="001545CE"/>
    <w:rsid w:val="00156A59"/>
    <w:rsid w:val="00160A41"/>
    <w:rsid w:val="001610C9"/>
    <w:rsid w:val="0016162C"/>
    <w:rsid w:val="00162583"/>
    <w:rsid w:val="001639A0"/>
    <w:rsid w:val="0016413D"/>
    <w:rsid w:val="00164900"/>
    <w:rsid w:val="00165199"/>
    <w:rsid w:val="00165FFE"/>
    <w:rsid w:val="001667BA"/>
    <w:rsid w:val="00166A6B"/>
    <w:rsid w:val="00166FB1"/>
    <w:rsid w:val="00171FDA"/>
    <w:rsid w:val="001727F5"/>
    <w:rsid w:val="0017338B"/>
    <w:rsid w:val="00173972"/>
    <w:rsid w:val="00174184"/>
    <w:rsid w:val="00174CE5"/>
    <w:rsid w:val="00175280"/>
    <w:rsid w:val="001755CA"/>
    <w:rsid w:val="0017643C"/>
    <w:rsid w:val="001772AF"/>
    <w:rsid w:val="00180183"/>
    <w:rsid w:val="001806DF"/>
    <w:rsid w:val="00180B2C"/>
    <w:rsid w:val="00180C12"/>
    <w:rsid w:val="001812DB"/>
    <w:rsid w:val="00181424"/>
    <w:rsid w:val="00181D05"/>
    <w:rsid w:val="00181F05"/>
    <w:rsid w:val="00182343"/>
    <w:rsid w:val="00182B0B"/>
    <w:rsid w:val="00183F3E"/>
    <w:rsid w:val="001857D7"/>
    <w:rsid w:val="00185E53"/>
    <w:rsid w:val="00186624"/>
    <w:rsid w:val="00186C61"/>
    <w:rsid w:val="00186F75"/>
    <w:rsid w:val="00187F47"/>
    <w:rsid w:val="0019085A"/>
    <w:rsid w:val="00191224"/>
    <w:rsid w:val="001937B2"/>
    <w:rsid w:val="0019425F"/>
    <w:rsid w:val="00194730"/>
    <w:rsid w:val="00194D52"/>
    <w:rsid w:val="001963BC"/>
    <w:rsid w:val="00196CEC"/>
    <w:rsid w:val="001970C7"/>
    <w:rsid w:val="00197EF3"/>
    <w:rsid w:val="001A0810"/>
    <w:rsid w:val="001A0CC7"/>
    <w:rsid w:val="001A16F2"/>
    <w:rsid w:val="001A3978"/>
    <w:rsid w:val="001A3DA9"/>
    <w:rsid w:val="001A3E90"/>
    <w:rsid w:val="001A4CD7"/>
    <w:rsid w:val="001A5867"/>
    <w:rsid w:val="001A5C32"/>
    <w:rsid w:val="001A653F"/>
    <w:rsid w:val="001A665B"/>
    <w:rsid w:val="001B0662"/>
    <w:rsid w:val="001B08AD"/>
    <w:rsid w:val="001B0B20"/>
    <w:rsid w:val="001B124E"/>
    <w:rsid w:val="001B129F"/>
    <w:rsid w:val="001B21B3"/>
    <w:rsid w:val="001B2BCF"/>
    <w:rsid w:val="001B30D7"/>
    <w:rsid w:val="001B33E0"/>
    <w:rsid w:val="001B40BF"/>
    <w:rsid w:val="001B452E"/>
    <w:rsid w:val="001B47A9"/>
    <w:rsid w:val="001B5A02"/>
    <w:rsid w:val="001B62A8"/>
    <w:rsid w:val="001B7A78"/>
    <w:rsid w:val="001C07AF"/>
    <w:rsid w:val="001C0B46"/>
    <w:rsid w:val="001C0CA5"/>
    <w:rsid w:val="001C114F"/>
    <w:rsid w:val="001C2FD0"/>
    <w:rsid w:val="001C5C4D"/>
    <w:rsid w:val="001C6476"/>
    <w:rsid w:val="001C655C"/>
    <w:rsid w:val="001C6C02"/>
    <w:rsid w:val="001C7B5F"/>
    <w:rsid w:val="001D19E8"/>
    <w:rsid w:val="001D2728"/>
    <w:rsid w:val="001D354D"/>
    <w:rsid w:val="001D4BA5"/>
    <w:rsid w:val="001D5118"/>
    <w:rsid w:val="001D5291"/>
    <w:rsid w:val="001D6954"/>
    <w:rsid w:val="001D6F8C"/>
    <w:rsid w:val="001D7136"/>
    <w:rsid w:val="001E0C27"/>
    <w:rsid w:val="001E1438"/>
    <w:rsid w:val="001E1502"/>
    <w:rsid w:val="001E785F"/>
    <w:rsid w:val="001F0444"/>
    <w:rsid w:val="001F11FE"/>
    <w:rsid w:val="001F22EC"/>
    <w:rsid w:val="001F33E2"/>
    <w:rsid w:val="001F385A"/>
    <w:rsid w:val="001F3B48"/>
    <w:rsid w:val="001F3B89"/>
    <w:rsid w:val="001F3D6B"/>
    <w:rsid w:val="001F49EA"/>
    <w:rsid w:val="001F672B"/>
    <w:rsid w:val="00201724"/>
    <w:rsid w:val="00201AF6"/>
    <w:rsid w:val="002034AC"/>
    <w:rsid w:val="002047B7"/>
    <w:rsid w:val="0020583F"/>
    <w:rsid w:val="00206212"/>
    <w:rsid w:val="002063BA"/>
    <w:rsid w:val="00207341"/>
    <w:rsid w:val="00207784"/>
    <w:rsid w:val="00210BCE"/>
    <w:rsid w:val="00210DE8"/>
    <w:rsid w:val="002110BB"/>
    <w:rsid w:val="002116F3"/>
    <w:rsid w:val="002128C9"/>
    <w:rsid w:val="00212C3C"/>
    <w:rsid w:val="00213424"/>
    <w:rsid w:val="00213CB5"/>
    <w:rsid w:val="00214064"/>
    <w:rsid w:val="0021499C"/>
    <w:rsid w:val="00214B40"/>
    <w:rsid w:val="0021575E"/>
    <w:rsid w:val="002160D2"/>
    <w:rsid w:val="002171FC"/>
    <w:rsid w:val="0021734C"/>
    <w:rsid w:val="00217A20"/>
    <w:rsid w:val="002214CB"/>
    <w:rsid w:val="00221520"/>
    <w:rsid w:val="00221525"/>
    <w:rsid w:val="00221AA7"/>
    <w:rsid w:val="0022262F"/>
    <w:rsid w:val="00225338"/>
    <w:rsid w:val="00225491"/>
    <w:rsid w:val="00225557"/>
    <w:rsid w:val="0022703D"/>
    <w:rsid w:val="002277E1"/>
    <w:rsid w:val="002305DC"/>
    <w:rsid w:val="00231D9D"/>
    <w:rsid w:val="00232537"/>
    <w:rsid w:val="00232EA7"/>
    <w:rsid w:val="002338A6"/>
    <w:rsid w:val="00233B87"/>
    <w:rsid w:val="00233DDF"/>
    <w:rsid w:val="00234A88"/>
    <w:rsid w:val="00235F25"/>
    <w:rsid w:val="002378D3"/>
    <w:rsid w:val="002405EC"/>
    <w:rsid w:val="00241433"/>
    <w:rsid w:val="00242311"/>
    <w:rsid w:val="00242805"/>
    <w:rsid w:val="00242FE8"/>
    <w:rsid w:val="0024379C"/>
    <w:rsid w:val="002440A9"/>
    <w:rsid w:val="002443E3"/>
    <w:rsid w:val="002445AC"/>
    <w:rsid w:val="00244D68"/>
    <w:rsid w:val="002453EA"/>
    <w:rsid w:val="002461EB"/>
    <w:rsid w:val="0024749D"/>
    <w:rsid w:val="00250B66"/>
    <w:rsid w:val="002517B8"/>
    <w:rsid w:val="00252296"/>
    <w:rsid w:val="00255C7F"/>
    <w:rsid w:val="00255E75"/>
    <w:rsid w:val="002567E3"/>
    <w:rsid w:val="00260FEF"/>
    <w:rsid w:val="00262070"/>
    <w:rsid w:val="0026238E"/>
    <w:rsid w:val="002628B2"/>
    <w:rsid w:val="00263D03"/>
    <w:rsid w:val="00264444"/>
    <w:rsid w:val="00265BA3"/>
    <w:rsid w:val="0026618A"/>
    <w:rsid w:val="00266E40"/>
    <w:rsid w:val="00267C8C"/>
    <w:rsid w:val="0027010C"/>
    <w:rsid w:val="002717EA"/>
    <w:rsid w:val="00272689"/>
    <w:rsid w:val="002730FA"/>
    <w:rsid w:val="002732BC"/>
    <w:rsid w:val="00273C37"/>
    <w:rsid w:val="00273FC5"/>
    <w:rsid w:val="00274512"/>
    <w:rsid w:val="002758FC"/>
    <w:rsid w:val="00276BCA"/>
    <w:rsid w:val="00277071"/>
    <w:rsid w:val="00281367"/>
    <w:rsid w:val="00282CAC"/>
    <w:rsid w:val="00283133"/>
    <w:rsid w:val="00283AA5"/>
    <w:rsid w:val="00284DE7"/>
    <w:rsid w:val="002875ED"/>
    <w:rsid w:val="0029084E"/>
    <w:rsid w:val="00290B56"/>
    <w:rsid w:val="00290E56"/>
    <w:rsid w:val="00291843"/>
    <w:rsid w:val="0029369E"/>
    <w:rsid w:val="00293FBC"/>
    <w:rsid w:val="002940F2"/>
    <w:rsid w:val="002949AF"/>
    <w:rsid w:val="0029688C"/>
    <w:rsid w:val="00296E4F"/>
    <w:rsid w:val="002A035C"/>
    <w:rsid w:val="002A1121"/>
    <w:rsid w:val="002A12D8"/>
    <w:rsid w:val="002A148B"/>
    <w:rsid w:val="002A1574"/>
    <w:rsid w:val="002A15C3"/>
    <w:rsid w:val="002A1C37"/>
    <w:rsid w:val="002A30E9"/>
    <w:rsid w:val="002A379C"/>
    <w:rsid w:val="002A37BA"/>
    <w:rsid w:val="002A4459"/>
    <w:rsid w:val="002A5896"/>
    <w:rsid w:val="002A5B3A"/>
    <w:rsid w:val="002A700F"/>
    <w:rsid w:val="002A7AEE"/>
    <w:rsid w:val="002B02F2"/>
    <w:rsid w:val="002B0581"/>
    <w:rsid w:val="002B1285"/>
    <w:rsid w:val="002B1522"/>
    <w:rsid w:val="002B1949"/>
    <w:rsid w:val="002B1C7C"/>
    <w:rsid w:val="002B3E77"/>
    <w:rsid w:val="002B408C"/>
    <w:rsid w:val="002B4321"/>
    <w:rsid w:val="002B45D4"/>
    <w:rsid w:val="002B45DA"/>
    <w:rsid w:val="002B58BD"/>
    <w:rsid w:val="002B5BFF"/>
    <w:rsid w:val="002B65C0"/>
    <w:rsid w:val="002B6C7B"/>
    <w:rsid w:val="002B7093"/>
    <w:rsid w:val="002B7834"/>
    <w:rsid w:val="002C0414"/>
    <w:rsid w:val="002C0626"/>
    <w:rsid w:val="002C0C19"/>
    <w:rsid w:val="002C0EFC"/>
    <w:rsid w:val="002C246A"/>
    <w:rsid w:val="002C2709"/>
    <w:rsid w:val="002C4697"/>
    <w:rsid w:val="002C4C1B"/>
    <w:rsid w:val="002C65F2"/>
    <w:rsid w:val="002C74F9"/>
    <w:rsid w:val="002D028B"/>
    <w:rsid w:val="002D2175"/>
    <w:rsid w:val="002D2554"/>
    <w:rsid w:val="002D268A"/>
    <w:rsid w:val="002D2E7A"/>
    <w:rsid w:val="002D3953"/>
    <w:rsid w:val="002D4F71"/>
    <w:rsid w:val="002D515B"/>
    <w:rsid w:val="002D540A"/>
    <w:rsid w:val="002D581A"/>
    <w:rsid w:val="002D6838"/>
    <w:rsid w:val="002D7020"/>
    <w:rsid w:val="002D709B"/>
    <w:rsid w:val="002D7A3C"/>
    <w:rsid w:val="002D7ABB"/>
    <w:rsid w:val="002E0960"/>
    <w:rsid w:val="002E4272"/>
    <w:rsid w:val="002E4337"/>
    <w:rsid w:val="002E4BCE"/>
    <w:rsid w:val="002E5776"/>
    <w:rsid w:val="002E5A5E"/>
    <w:rsid w:val="002E5FFB"/>
    <w:rsid w:val="002E69C6"/>
    <w:rsid w:val="002E7CF4"/>
    <w:rsid w:val="002E7E1A"/>
    <w:rsid w:val="002F1299"/>
    <w:rsid w:val="002F34AC"/>
    <w:rsid w:val="002F512E"/>
    <w:rsid w:val="002F52FD"/>
    <w:rsid w:val="002F5DEE"/>
    <w:rsid w:val="002F5E44"/>
    <w:rsid w:val="002F5EFA"/>
    <w:rsid w:val="002F6103"/>
    <w:rsid w:val="002F7822"/>
    <w:rsid w:val="00301230"/>
    <w:rsid w:val="00301E98"/>
    <w:rsid w:val="00302743"/>
    <w:rsid w:val="0030331B"/>
    <w:rsid w:val="00304281"/>
    <w:rsid w:val="003046CE"/>
    <w:rsid w:val="003059C2"/>
    <w:rsid w:val="003060E3"/>
    <w:rsid w:val="0030638E"/>
    <w:rsid w:val="00306C7A"/>
    <w:rsid w:val="003108A0"/>
    <w:rsid w:val="00310C5F"/>
    <w:rsid w:val="003116CE"/>
    <w:rsid w:val="00311842"/>
    <w:rsid w:val="00311D12"/>
    <w:rsid w:val="00312C8A"/>
    <w:rsid w:val="0031321B"/>
    <w:rsid w:val="00313C45"/>
    <w:rsid w:val="00315DBF"/>
    <w:rsid w:val="00316BE4"/>
    <w:rsid w:val="00321369"/>
    <w:rsid w:val="003215E3"/>
    <w:rsid w:val="00321CD7"/>
    <w:rsid w:val="003232C7"/>
    <w:rsid w:val="0032401C"/>
    <w:rsid w:val="003243FE"/>
    <w:rsid w:val="003256FA"/>
    <w:rsid w:val="00325D31"/>
    <w:rsid w:val="00326680"/>
    <w:rsid w:val="003267AF"/>
    <w:rsid w:val="00326F28"/>
    <w:rsid w:val="00327424"/>
    <w:rsid w:val="00330260"/>
    <w:rsid w:val="00331F73"/>
    <w:rsid w:val="00331FF6"/>
    <w:rsid w:val="003326C4"/>
    <w:rsid w:val="00333419"/>
    <w:rsid w:val="0033354D"/>
    <w:rsid w:val="003335EC"/>
    <w:rsid w:val="003349FD"/>
    <w:rsid w:val="0033535A"/>
    <w:rsid w:val="00335A8B"/>
    <w:rsid w:val="00335AE5"/>
    <w:rsid w:val="00336B41"/>
    <w:rsid w:val="003372AB"/>
    <w:rsid w:val="00337A26"/>
    <w:rsid w:val="0034080C"/>
    <w:rsid w:val="00341F0D"/>
    <w:rsid w:val="00342CE3"/>
    <w:rsid w:val="00343034"/>
    <w:rsid w:val="0034314F"/>
    <w:rsid w:val="00344B39"/>
    <w:rsid w:val="0034566E"/>
    <w:rsid w:val="00345E25"/>
    <w:rsid w:val="00346940"/>
    <w:rsid w:val="00347287"/>
    <w:rsid w:val="0035102F"/>
    <w:rsid w:val="0035110D"/>
    <w:rsid w:val="00351DB7"/>
    <w:rsid w:val="003521E6"/>
    <w:rsid w:val="00352226"/>
    <w:rsid w:val="00353590"/>
    <w:rsid w:val="003538DE"/>
    <w:rsid w:val="00354920"/>
    <w:rsid w:val="00354AF8"/>
    <w:rsid w:val="003608DD"/>
    <w:rsid w:val="00360C5F"/>
    <w:rsid w:val="00361DB9"/>
    <w:rsid w:val="0036307F"/>
    <w:rsid w:val="00364D4C"/>
    <w:rsid w:val="003658C9"/>
    <w:rsid w:val="00366440"/>
    <w:rsid w:val="00367F3E"/>
    <w:rsid w:val="00370DDB"/>
    <w:rsid w:val="00370DE7"/>
    <w:rsid w:val="00372A92"/>
    <w:rsid w:val="003733FF"/>
    <w:rsid w:val="00373432"/>
    <w:rsid w:val="00374958"/>
    <w:rsid w:val="003754E5"/>
    <w:rsid w:val="00377D1E"/>
    <w:rsid w:val="003805F2"/>
    <w:rsid w:val="00381B09"/>
    <w:rsid w:val="00381B7E"/>
    <w:rsid w:val="003827E3"/>
    <w:rsid w:val="00384C62"/>
    <w:rsid w:val="003853CB"/>
    <w:rsid w:val="00386786"/>
    <w:rsid w:val="00386F2C"/>
    <w:rsid w:val="00387157"/>
    <w:rsid w:val="0038735E"/>
    <w:rsid w:val="003877F5"/>
    <w:rsid w:val="00390D64"/>
    <w:rsid w:val="0039151C"/>
    <w:rsid w:val="00391A6E"/>
    <w:rsid w:val="00392404"/>
    <w:rsid w:val="003934DF"/>
    <w:rsid w:val="00397129"/>
    <w:rsid w:val="003976D2"/>
    <w:rsid w:val="003A0AAE"/>
    <w:rsid w:val="003A0D8A"/>
    <w:rsid w:val="003A12CE"/>
    <w:rsid w:val="003A1432"/>
    <w:rsid w:val="003A35A4"/>
    <w:rsid w:val="003A3608"/>
    <w:rsid w:val="003A459B"/>
    <w:rsid w:val="003A6AD8"/>
    <w:rsid w:val="003A7CD8"/>
    <w:rsid w:val="003B0E5F"/>
    <w:rsid w:val="003B26CC"/>
    <w:rsid w:val="003B2CEE"/>
    <w:rsid w:val="003B302D"/>
    <w:rsid w:val="003B47E8"/>
    <w:rsid w:val="003B4928"/>
    <w:rsid w:val="003B50EA"/>
    <w:rsid w:val="003B5B1D"/>
    <w:rsid w:val="003B6143"/>
    <w:rsid w:val="003B6201"/>
    <w:rsid w:val="003B6244"/>
    <w:rsid w:val="003B69BF"/>
    <w:rsid w:val="003B6EDA"/>
    <w:rsid w:val="003B6FDD"/>
    <w:rsid w:val="003C1895"/>
    <w:rsid w:val="003C1905"/>
    <w:rsid w:val="003C1960"/>
    <w:rsid w:val="003C1D14"/>
    <w:rsid w:val="003C236C"/>
    <w:rsid w:val="003C3550"/>
    <w:rsid w:val="003C3974"/>
    <w:rsid w:val="003C51EC"/>
    <w:rsid w:val="003C5DA2"/>
    <w:rsid w:val="003C6D96"/>
    <w:rsid w:val="003C7071"/>
    <w:rsid w:val="003C7993"/>
    <w:rsid w:val="003D07EE"/>
    <w:rsid w:val="003D0E5A"/>
    <w:rsid w:val="003D0E7E"/>
    <w:rsid w:val="003D1DBA"/>
    <w:rsid w:val="003D39BD"/>
    <w:rsid w:val="003D3E6B"/>
    <w:rsid w:val="003D65AA"/>
    <w:rsid w:val="003D66D8"/>
    <w:rsid w:val="003D68EE"/>
    <w:rsid w:val="003D7E54"/>
    <w:rsid w:val="003E152D"/>
    <w:rsid w:val="003E1599"/>
    <w:rsid w:val="003E2AB4"/>
    <w:rsid w:val="003E2C94"/>
    <w:rsid w:val="003E34D9"/>
    <w:rsid w:val="003E3EE0"/>
    <w:rsid w:val="003E4489"/>
    <w:rsid w:val="003E5078"/>
    <w:rsid w:val="003E514A"/>
    <w:rsid w:val="003E54DC"/>
    <w:rsid w:val="003E553F"/>
    <w:rsid w:val="003E5815"/>
    <w:rsid w:val="003E597B"/>
    <w:rsid w:val="003E6701"/>
    <w:rsid w:val="003E6D84"/>
    <w:rsid w:val="003E7679"/>
    <w:rsid w:val="003F0899"/>
    <w:rsid w:val="003F193E"/>
    <w:rsid w:val="003F2048"/>
    <w:rsid w:val="003F3434"/>
    <w:rsid w:val="003F4591"/>
    <w:rsid w:val="003F5787"/>
    <w:rsid w:val="003F5E92"/>
    <w:rsid w:val="003F6F67"/>
    <w:rsid w:val="003F796A"/>
    <w:rsid w:val="0040040B"/>
    <w:rsid w:val="00400B23"/>
    <w:rsid w:val="0040101A"/>
    <w:rsid w:val="004018C2"/>
    <w:rsid w:val="00401E64"/>
    <w:rsid w:val="00402F62"/>
    <w:rsid w:val="00405FFF"/>
    <w:rsid w:val="00407B46"/>
    <w:rsid w:val="004112F5"/>
    <w:rsid w:val="00411F71"/>
    <w:rsid w:val="0041227E"/>
    <w:rsid w:val="00412852"/>
    <w:rsid w:val="00412F74"/>
    <w:rsid w:val="00413744"/>
    <w:rsid w:val="0041426F"/>
    <w:rsid w:val="00415B9E"/>
    <w:rsid w:val="004176DE"/>
    <w:rsid w:val="0041772C"/>
    <w:rsid w:val="004200EB"/>
    <w:rsid w:val="00420395"/>
    <w:rsid w:val="004213D5"/>
    <w:rsid w:val="004215F9"/>
    <w:rsid w:val="00421BC4"/>
    <w:rsid w:val="00421E31"/>
    <w:rsid w:val="0042232F"/>
    <w:rsid w:val="00423FDC"/>
    <w:rsid w:val="004248B0"/>
    <w:rsid w:val="00426D1A"/>
    <w:rsid w:val="00426D3E"/>
    <w:rsid w:val="0042728A"/>
    <w:rsid w:val="00427464"/>
    <w:rsid w:val="00427B32"/>
    <w:rsid w:val="00427E1C"/>
    <w:rsid w:val="00430044"/>
    <w:rsid w:val="00430CB0"/>
    <w:rsid w:val="00431353"/>
    <w:rsid w:val="0043213A"/>
    <w:rsid w:val="00432385"/>
    <w:rsid w:val="00433B48"/>
    <w:rsid w:val="004343AA"/>
    <w:rsid w:val="004347D5"/>
    <w:rsid w:val="00434929"/>
    <w:rsid w:val="004359AF"/>
    <w:rsid w:val="004361E5"/>
    <w:rsid w:val="00436295"/>
    <w:rsid w:val="004366A8"/>
    <w:rsid w:val="004376FE"/>
    <w:rsid w:val="00440530"/>
    <w:rsid w:val="00440780"/>
    <w:rsid w:val="004408A6"/>
    <w:rsid w:val="004415BA"/>
    <w:rsid w:val="004421EF"/>
    <w:rsid w:val="00442EC9"/>
    <w:rsid w:val="004430C2"/>
    <w:rsid w:val="004433C4"/>
    <w:rsid w:val="00444E35"/>
    <w:rsid w:val="00445EB7"/>
    <w:rsid w:val="00450194"/>
    <w:rsid w:val="0045093E"/>
    <w:rsid w:val="004532F7"/>
    <w:rsid w:val="00453586"/>
    <w:rsid w:val="00454803"/>
    <w:rsid w:val="004548C1"/>
    <w:rsid w:val="00454C10"/>
    <w:rsid w:val="00455456"/>
    <w:rsid w:val="004572BC"/>
    <w:rsid w:val="00457705"/>
    <w:rsid w:val="004609FF"/>
    <w:rsid w:val="00462225"/>
    <w:rsid w:val="00462815"/>
    <w:rsid w:val="00463367"/>
    <w:rsid w:val="0046379F"/>
    <w:rsid w:val="00465DCB"/>
    <w:rsid w:val="004670C6"/>
    <w:rsid w:val="0046776A"/>
    <w:rsid w:val="004709C2"/>
    <w:rsid w:val="00471797"/>
    <w:rsid w:val="00472280"/>
    <w:rsid w:val="00472974"/>
    <w:rsid w:val="004739C0"/>
    <w:rsid w:val="0047426E"/>
    <w:rsid w:val="00474A0E"/>
    <w:rsid w:val="00475674"/>
    <w:rsid w:val="004756A5"/>
    <w:rsid w:val="004764A5"/>
    <w:rsid w:val="00476F03"/>
    <w:rsid w:val="00477CB5"/>
    <w:rsid w:val="00477D06"/>
    <w:rsid w:val="00477D07"/>
    <w:rsid w:val="00480820"/>
    <w:rsid w:val="00480E2B"/>
    <w:rsid w:val="004822B6"/>
    <w:rsid w:val="00482349"/>
    <w:rsid w:val="004828B0"/>
    <w:rsid w:val="00482BAE"/>
    <w:rsid w:val="00484150"/>
    <w:rsid w:val="00484B87"/>
    <w:rsid w:val="00485032"/>
    <w:rsid w:val="0048618F"/>
    <w:rsid w:val="00486264"/>
    <w:rsid w:val="0048661B"/>
    <w:rsid w:val="00486853"/>
    <w:rsid w:val="00490773"/>
    <w:rsid w:val="00492289"/>
    <w:rsid w:val="004928D1"/>
    <w:rsid w:val="00493164"/>
    <w:rsid w:val="00493D07"/>
    <w:rsid w:val="00496F72"/>
    <w:rsid w:val="00497304"/>
    <w:rsid w:val="004977BA"/>
    <w:rsid w:val="00497E43"/>
    <w:rsid w:val="004A0D89"/>
    <w:rsid w:val="004A0EF2"/>
    <w:rsid w:val="004A0FEA"/>
    <w:rsid w:val="004A115B"/>
    <w:rsid w:val="004A1E32"/>
    <w:rsid w:val="004A2BA6"/>
    <w:rsid w:val="004A4EB6"/>
    <w:rsid w:val="004A5FCB"/>
    <w:rsid w:val="004A7DDA"/>
    <w:rsid w:val="004B1675"/>
    <w:rsid w:val="004B267D"/>
    <w:rsid w:val="004B283D"/>
    <w:rsid w:val="004B3703"/>
    <w:rsid w:val="004B51C3"/>
    <w:rsid w:val="004B535D"/>
    <w:rsid w:val="004B55F6"/>
    <w:rsid w:val="004B5903"/>
    <w:rsid w:val="004B5CDA"/>
    <w:rsid w:val="004C0098"/>
    <w:rsid w:val="004C07E5"/>
    <w:rsid w:val="004C0F21"/>
    <w:rsid w:val="004C2BF0"/>
    <w:rsid w:val="004C3279"/>
    <w:rsid w:val="004C3731"/>
    <w:rsid w:val="004C3D44"/>
    <w:rsid w:val="004C466A"/>
    <w:rsid w:val="004C4FA8"/>
    <w:rsid w:val="004C57FE"/>
    <w:rsid w:val="004C5D9D"/>
    <w:rsid w:val="004C6B1F"/>
    <w:rsid w:val="004C6E86"/>
    <w:rsid w:val="004C72A2"/>
    <w:rsid w:val="004C7745"/>
    <w:rsid w:val="004D0DC5"/>
    <w:rsid w:val="004D1936"/>
    <w:rsid w:val="004D1DD3"/>
    <w:rsid w:val="004D1F52"/>
    <w:rsid w:val="004D1FD8"/>
    <w:rsid w:val="004D2B48"/>
    <w:rsid w:val="004D2BBE"/>
    <w:rsid w:val="004D2F3B"/>
    <w:rsid w:val="004D2FA5"/>
    <w:rsid w:val="004D3BA9"/>
    <w:rsid w:val="004D4228"/>
    <w:rsid w:val="004D51BD"/>
    <w:rsid w:val="004D6194"/>
    <w:rsid w:val="004D6299"/>
    <w:rsid w:val="004D7B67"/>
    <w:rsid w:val="004E0B17"/>
    <w:rsid w:val="004E248F"/>
    <w:rsid w:val="004E3DF7"/>
    <w:rsid w:val="004E442B"/>
    <w:rsid w:val="004E52D5"/>
    <w:rsid w:val="004E5579"/>
    <w:rsid w:val="004E5904"/>
    <w:rsid w:val="004E63AF"/>
    <w:rsid w:val="004E6E4B"/>
    <w:rsid w:val="004E72D7"/>
    <w:rsid w:val="004F003A"/>
    <w:rsid w:val="004F236E"/>
    <w:rsid w:val="004F3E73"/>
    <w:rsid w:val="004F40C2"/>
    <w:rsid w:val="004F411D"/>
    <w:rsid w:val="004F4409"/>
    <w:rsid w:val="004F4AEB"/>
    <w:rsid w:val="004F67EA"/>
    <w:rsid w:val="00500ADF"/>
    <w:rsid w:val="00500DAF"/>
    <w:rsid w:val="00500DFD"/>
    <w:rsid w:val="005022D2"/>
    <w:rsid w:val="00502BBC"/>
    <w:rsid w:val="00502EB8"/>
    <w:rsid w:val="00502EE0"/>
    <w:rsid w:val="00504AA9"/>
    <w:rsid w:val="005050A7"/>
    <w:rsid w:val="0050528F"/>
    <w:rsid w:val="00505846"/>
    <w:rsid w:val="00506B6E"/>
    <w:rsid w:val="00511492"/>
    <w:rsid w:val="00511C42"/>
    <w:rsid w:val="00511F42"/>
    <w:rsid w:val="00512447"/>
    <w:rsid w:val="00512899"/>
    <w:rsid w:val="0051416E"/>
    <w:rsid w:val="00514346"/>
    <w:rsid w:val="0051474D"/>
    <w:rsid w:val="00514AD1"/>
    <w:rsid w:val="00514E68"/>
    <w:rsid w:val="00515192"/>
    <w:rsid w:val="00516EEE"/>
    <w:rsid w:val="00517E84"/>
    <w:rsid w:val="005213AC"/>
    <w:rsid w:val="005221E5"/>
    <w:rsid w:val="00522D9D"/>
    <w:rsid w:val="00524DB0"/>
    <w:rsid w:val="00524F16"/>
    <w:rsid w:val="005250C8"/>
    <w:rsid w:val="005262FE"/>
    <w:rsid w:val="00526483"/>
    <w:rsid w:val="00527405"/>
    <w:rsid w:val="0053009F"/>
    <w:rsid w:val="00530A33"/>
    <w:rsid w:val="00530F58"/>
    <w:rsid w:val="00531D5D"/>
    <w:rsid w:val="005323F3"/>
    <w:rsid w:val="00532473"/>
    <w:rsid w:val="00532FE7"/>
    <w:rsid w:val="0053347C"/>
    <w:rsid w:val="00535498"/>
    <w:rsid w:val="00535503"/>
    <w:rsid w:val="00535BF4"/>
    <w:rsid w:val="005361FF"/>
    <w:rsid w:val="00536C19"/>
    <w:rsid w:val="00541391"/>
    <w:rsid w:val="00542963"/>
    <w:rsid w:val="00543204"/>
    <w:rsid w:val="00543F6C"/>
    <w:rsid w:val="00545012"/>
    <w:rsid w:val="005452B7"/>
    <w:rsid w:val="00545C34"/>
    <w:rsid w:val="00545C6A"/>
    <w:rsid w:val="00545CC2"/>
    <w:rsid w:val="00546133"/>
    <w:rsid w:val="00546B09"/>
    <w:rsid w:val="00547768"/>
    <w:rsid w:val="00547C7F"/>
    <w:rsid w:val="00550149"/>
    <w:rsid w:val="00550A6E"/>
    <w:rsid w:val="00550C95"/>
    <w:rsid w:val="00551BFB"/>
    <w:rsid w:val="00553447"/>
    <w:rsid w:val="005538AD"/>
    <w:rsid w:val="005542C1"/>
    <w:rsid w:val="0055466C"/>
    <w:rsid w:val="00554871"/>
    <w:rsid w:val="005553DD"/>
    <w:rsid w:val="00556230"/>
    <w:rsid w:val="00556288"/>
    <w:rsid w:val="00557860"/>
    <w:rsid w:val="0056044E"/>
    <w:rsid w:val="005605E3"/>
    <w:rsid w:val="005613D1"/>
    <w:rsid w:val="00561CCE"/>
    <w:rsid w:val="0056240F"/>
    <w:rsid w:val="00563750"/>
    <w:rsid w:val="00563A74"/>
    <w:rsid w:val="00563AF1"/>
    <w:rsid w:val="00563C0F"/>
    <w:rsid w:val="005640D4"/>
    <w:rsid w:val="00564258"/>
    <w:rsid w:val="0056513E"/>
    <w:rsid w:val="00565E0B"/>
    <w:rsid w:val="00566476"/>
    <w:rsid w:val="00566B26"/>
    <w:rsid w:val="00567F24"/>
    <w:rsid w:val="00570AEF"/>
    <w:rsid w:val="005711BE"/>
    <w:rsid w:val="005719C0"/>
    <w:rsid w:val="00571D27"/>
    <w:rsid w:val="00573F5A"/>
    <w:rsid w:val="0057407D"/>
    <w:rsid w:val="005741FA"/>
    <w:rsid w:val="00574F61"/>
    <w:rsid w:val="00575235"/>
    <w:rsid w:val="0057548E"/>
    <w:rsid w:val="0057586E"/>
    <w:rsid w:val="00575B66"/>
    <w:rsid w:val="005761BD"/>
    <w:rsid w:val="0057740A"/>
    <w:rsid w:val="00577562"/>
    <w:rsid w:val="00577DE2"/>
    <w:rsid w:val="0058026E"/>
    <w:rsid w:val="00581C6E"/>
    <w:rsid w:val="00582C43"/>
    <w:rsid w:val="00582DDD"/>
    <w:rsid w:val="00583F73"/>
    <w:rsid w:val="005842C9"/>
    <w:rsid w:val="00584B41"/>
    <w:rsid w:val="00584E81"/>
    <w:rsid w:val="00585A8D"/>
    <w:rsid w:val="00590129"/>
    <w:rsid w:val="005901DC"/>
    <w:rsid w:val="00590792"/>
    <w:rsid w:val="00591690"/>
    <w:rsid w:val="00591834"/>
    <w:rsid w:val="0059320B"/>
    <w:rsid w:val="0059444E"/>
    <w:rsid w:val="00595D99"/>
    <w:rsid w:val="005966BD"/>
    <w:rsid w:val="00596961"/>
    <w:rsid w:val="00596E88"/>
    <w:rsid w:val="005A07F4"/>
    <w:rsid w:val="005A090C"/>
    <w:rsid w:val="005A0944"/>
    <w:rsid w:val="005A0C5B"/>
    <w:rsid w:val="005A1359"/>
    <w:rsid w:val="005A181B"/>
    <w:rsid w:val="005A2A90"/>
    <w:rsid w:val="005A407B"/>
    <w:rsid w:val="005A41D0"/>
    <w:rsid w:val="005A43FB"/>
    <w:rsid w:val="005A6937"/>
    <w:rsid w:val="005B05A5"/>
    <w:rsid w:val="005B14C4"/>
    <w:rsid w:val="005B1C27"/>
    <w:rsid w:val="005B294B"/>
    <w:rsid w:val="005B300D"/>
    <w:rsid w:val="005B30A3"/>
    <w:rsid w:val="005B3799"/>
    <w:rsid w:val="005B516A"/>
    <w:rsid w:val="005B5BBC"/>
    <w:rsid w:val="005B5D22"/>
    <w:rsid w:val="005B6483"/>
    <w:rsid w:val="005B6CA8"/>
    <w:rsid w:val="005B6EDB"/>
    <w:rsid w:val="005B74DA"/>
    <w:rsid w:val="005B7BEE"/>
    <w:rsid w:val="005C0688"/>
    <w:rsid w:val="005C0DC1"/>
    <w:rsid w:val="005C25EB"/>
    <w:rsid w:val="005C3134"/>
    <w:rsid w:val="005C3AAF"/>
    <w:rsid w:val="005C4826"/>
    <w:rsid w:val="005C536F"/>
    <w:rsid w:val="005C56A3"/>
    <w:rsid w:val="005C58A4"/>
    <w:rsid w:val="005C5A0D"/>
    <w:rsid w:val="005C5B1C"/>
    <w:rsid w:val="005C5F7A"/>
    <w:rsid w:val="005C6E4E"/>
    <w:rsid w:val="005D1386"/>
    <w:rsid w:val="005D188F"/>
    <w:rsid w:val="005D2E17"/>
    <w:rsid w:val="005D57F8"/>
    <w:rsid w:val="005D5943"/>
    <w:rsid w:val="005D67A9"/>
    <w:rsid w:val="005D6A33"/>
    <w:rsid w:val="005D70D4"/>
    <w:rsid w:val="005E03D7"/>
    <w:rsid w:val="005E0A36"/>
    <w:rsid w:val="005E29D2"/>
    <w:rsid w:val="005E5094"/>
    <w:rsid w:val="005E5F9B"/>
    <w:rsid w:val="005E6827"/>
    <w:rsid w:val="005E722F"/>
    <w:rsid w:val="005E7F16"/>
    <w:rsid w:val="005F2309"/>
    <w:rsid w:val="005F2741"/>
    <w:rsid w:val="005F3CC1"/>
    <w:rsid w:val="005F3CF3"/>
    <w:rsid w:val="005F5D1A"/>
    <w:rsid w:val="005F613B"/>
    <w:rsid w:val="005F678A"/>
    <w:rsid w:val="005F714F"/>
    <w:rsid w:val="005F792C"/>
    <w:rsid w:val="00600001"/>
    <w:rsid w:val="006004F8"/>
    <w:rsid w:val="0060095B"/>
    <w:rsid w:val="00601298"/>
    <w:rsid w:val="0060171A"/>
    <w:rsid w:val="00601811"/>
    <w:rsid w:val="0060188E"/>
    <w:rsid w:val="00601AF7"/>
    <w:rsid w:val="00601B12"/>
    <w:rsid w:val="00602C6C"/>
    <w:rsid w:val="0060426B"/>
    <w:rsid w:val="00605D1F"/>
    <w:rsid w:val="00610BC9"/>
    <w:rsid w:val="00610D07"/>
    <w:rsid w:val="00610D4C"/>
    <w:rsid w:val="00611014"/>
    <w:rsid w:val="006118A2"/>
    <w:rsid w:val="00611B61"/>
    <w:rsid w:val="006120BB"/>
    <w:rsid w:val="00612712"/>
    <w:rsid w:val="006132F3"/>
    <w:rsid w:val="006139EA"/>
    <w:rsid w:val="00613EE3"/>
    <w:rsid w:val="006142D8"/>
    <w:rsid w:val="006152FB"/>
    <w:rsid w:val="006159B9"/>
    <w:rsid w:val="00615EE3"/>
    <w:rsid w:val="00616FDD"/>
    <w:rsid w:val="00617275"/>
    <w:rsid w:val="006176E3"/>
    <w:rsid w:val="00617896"/>
    <w:rsid w:val="00620EBF"/>
    <w:rsid w:val="00621DA9"/>
    <w:rsid w:val="0062585A"/>
    <w:rsid w:val="00625D8E"/>
    <w:rsid w:val="006261F1"/>
    <w:rsid w:val="00626690"/>
    <w:rsid w:val="00627065"/>
    <w:rsid w:val="00627552"/>
    <w:rsid w:val="00627592"/>
    <w:rsid w:val="006275FB"/>
    <w:rsid w:val="00627895"/>
    <w:rsid w:val="00630029"/>
    <w:rsid w:val="006302F9"/>
    <w:rsid w:val="006313B3"/>
    <w:rsid w:val="006319C2"/>
    <w:rsid w:val="00632C4B"/>
    <w:rsid w:val="00633FDB"/>
    <w:rsid w:val="006340D6"/>
    <w:rsid w:val="00634DDA"/>
    <w:rsid w:val="006352D2"/>
    <w:rsid w:val="006357FB"/>
    <w:rsid w:val="00636504"/>
    <w:rsid w:val="00640A30"/>
    <w:rsid w:val="00640B25"/>
    <w:rsid w:val="00642517"/>
    <w:rsid w:val="0064292C"/>
    <w:rsid w:val="006434F2"/>
    <w:rsid w:val="006444AF"/>
    <w:rsid w:val="00644E23"/>
    <w:rsid w:val="00645DAB"/>
    <w:rsid w:val="006461CE"/>
    <w:rsid w:val="00646FA6"/>
    <w:rsid w:val="00647AE2"/>
    <w:rsid w:val="00647CCB"/>
    <w:rsid w:val="00651212"/>
    <w:rsid w:val="006520D6"/>
    <w:rsid w:val="00653205"/>
    <w:rsid w:val="00654AAF"/>
    <w:rsid w:val="00655F33"/>
    <w:rsid w:val="00655FE8"/>
    <w:rsid w:val="006561EC"/>
    <w:rsid w:val="0065651F"/>
    <w:rsid w:val="00656BE9"/>
    <w:rsid w:val="00656E63"/>
    <w:rsid w:val="00657FC8"/>
    <w:rsid w:val="00660E41"/>
    <w:rsid w:val="00660E92"/>
    <w:rsid w:val="0066196C"/>
    <w:rsid w:val="00662746"/>
    <w:rsid w:val="00662B6E"/>
    <w:rsid w:val="00663D6B"/>
    <w:rsid w:val="00666084"/>
    <w:rsid w:val="00666385"/>
    <w:rsid w:val="00666DA0"/>
    <w:rsid w:val="00666DD7"/>
    <w:rsid w:val="00667A54"/>
    <w:rsid w:val="00667BCD"/>
    <w:rsid w:val="0067069C"/>
    <w:rsid w:val="00670973"/>
    <w:rsid w:val="00670AA5"/>
    <w:rsid w:val="006714F0"/>
    <w:rsid w:val="00671ED3"/>
    <w:rsid w:val="0067686C"/>
    <w:rsid w:val="00680409"/>
    <w:rsid w:val="0068112C"/>
    <w:rsid w:val="00681DBB"/>
    <w:rsid w:val="00682CF5"/>
    <w:rsid w:val="00683222"/>
    <w:rsid w:val="00683E97"/>
    <w:rsid w:val="00683F3B"/>
    <w:rsid w:val="006848B0"/>
    <w:rsid w:val="00684C75"/>
    <w:rsid w:val="0068616B"/>
    <w:rsid w:val="006862E2"/>
    <w:rsid w:val="00686B49"/>
    <w:rsid w:val="0069027B"/>
    <w:rsid w:val="00692865"/>
    <w:rsid w:val="0069332C"/>
    <w:rsid w:val="006936E8"/>
    <w:rsid w:val="00693E3E"/>
    <w:rsid w:val="00694CF1"/>
    <w:rsid w:val="00694F54"/>
    <w:rsid w:val="0069556A"/>
    <w:rsid w:val="0069558D"/>
    <w:rsid w:val="00695720"/>
    <w:rsid w:val="006959A6"/>
    <w:rsid w:val="00695CB8"/>
    <w:rsid w:val="00697F1B"/>
    <w:rsid w:val="006A060D"/>
    <w:rsid w:val="006A07B0"/>
    <w:rsid w:val="006A0D11"/>
    <w:rsid w:val="006A15E5"/>
    <w:rsid w:val="006A1B50"/>
    <w:rsid w:val="006A1BCB"/>
    <w:rsid w:val="006A3F13"/>
    <w:rsid w:val="006A409E"/>
    <w:rsid w:val="006A48C6"/>
    <w:rsid w:val="006A561A"/>
    <w:rsid w:val="006A5670"/>
    <w:rsid w:val="006A6BFC"/>
    <w:rsid w:val="006A70B1"/>
    <w:rsid w:val="006A741D"/>
    <w:rsid w:val="006A7CD5"/>
    <w:rsid w:val="006B07CE"/>
    <w:rsid w:val="006B1E1E"/>
    <w:rsid w:val="006B3A65"/>
    <w:rsid w:val="006B49BD"/>
    <w:rsid w:val="006B4CA6"/>
    <w:rsid w:val="006B4CCC"/>
    <w:rsid w:val="006B4F6D"/>
    <w:rsid w:val="006B7479"/>
    <w:rsid w:val="006B7712"/>
    <w:rsid w:val="006C0EBE"/>
    <w:rsid w:val="006C1D2F"/>
    <w:rsid w:val="006C1FD5"/>
    <w:rsid w:val="006C2DBF"/>
    <w:rsid w:val="006C2E6E"/>
    <w:rsid w:val="006C464C"/>
    <w:rsid w:val="006C48FC"/>
    <w:rsid w:val="006C4DD0"/>
    <w:rsid w:val="006C6BFF"/>
    <w:rsid w:val="006C731D"/>
    <w:rsid w:val="006C79B0"/>
    <w:rsid w:val="006C7F5B"/>
    <w:rsid w:val="006D0852"/>
    <w:rsid w:val="006D0B9F"/>
    <w:rsid w:val="006D0EFA"/>
    <w:rsid w:val="006D154B"/>
    <w:rsid w:val="006D1552"/>
    <w:rsid w:val="006D1997"/>
    <w:rsid w:val="006D1F3E"/>
    <w:rsid w:val="006D2484"/>
    <w:rsid w:val="006D2B95"/>
    <w:rsid w:val="006D6259"/>
    <w:rsid w:val="006D7833"/>
    <w:rsid w:val="006E0F33"/>
    <w:rsid w:val="006E1342"/>
    <w:rsid w:val="006E1573"/>
    <w:rsid w:val="006E3357"/>
    <w:rsid w:val="006E47B1"/>
    <w:rsid w:val="006E49BA"/>
    <w:rsid w:val="006E4C5C"/>
    <w:rsid w:val="006E4EF6"/>
    <w:rsid w:val="006E51C1"/>
    <w:rsid w:val="006E582A"/>
    <w:rsid w:val="006E582D"/>
    <w:rsid w:val="006E7F0B"/>
    <w:rsid w:val="006E7F4C"/>
    <w:rsid w:val="006F0048"/>
    <w:rsid w:val="006F006E"/>
    <w:rsid w:val="006F00C5"/>
    <w:rsid w:val="006F05B8"/>
    <w:rsid w:val="006F1250"/>
    <w:rsid w:val="006F32E0"/>
    <w:rsid w:val="006F3CA1"/>
    <w:rsid w:val="006F3DBC"/>
    <w:rsid w:val="006F53C4"/>
    <w:rsid w:val="006F5EA5"/>
    <w:rsid w:val="006F6E81"/>
    <w:rsid w:val="006F7A19"/>
    <w:rsid w:val="006F7A76"/>
    <w:rsid w:val="006F7EB2"/>
    <w:rsid w:val="007008AC"/>
    <w:rsid w:val="007009CC"/>
    <w:rsid w:val="007012CC"/>
    <w:rsid w:val="00701A6D"/>
    <w:rsid w:val="007027A4"/>
    <w:rsid w:val="00702DFF"/>
    <w:rsid w:val="00703C5E"/>
    <w:rsid w:val="00703EC9"/>
    <w:rsid w:val="0070491F"/>
    <w:rsid w:val="00704D58"/>
    <w:rsid w:val="00704D6C"/>
    <w:rsid w:val="00705A0F"/>
    <w:rsid w:val="007108C9"/>
    <w:rsid w:val="007111D0"/>
    <w:rsid w:val="007122F1"/>
    <w:rsid w:val="00712692"/>
    <w:rsid w:val="00712874"/>
    <w:rsid w:val="007133E4"/>
    <w:rsid w:val="00714C53"/>
    <w:rsid w:val="00715C70"/>
    <w:rsid w:val="00716413"/>
    <w:rsid w:val="0071656F"/>
    <w:rsid w:val="00716CCC"/>
    <w:rsid w:val="00716F56"/>
    <w:rsid w:val="00720426"/>
    <w:rsid w:val="0072044D"/>
    <w:rsid w:val="00720D11"/>
    <w:rsid w:val="00720F16"/>
    <w:rsid w:val="00724310"/>
    <w:rsid w:val="00724855"/>
    <w:rsid w:val="007250F5"/>
    <w:rsid w:val="007258AC"/>
    <w:rsid w:val="00726382"/>
    <w:rsid w:val="00726647"/>
    <w:rsid w:val="00727437"/>
    <w:rsid w:val="0072781C"/>
    <w:rsid w:val="00727DC3"/>
    <w:rsid w:val="00730702"/>
    <w:rsid w:val="0073075A"/>
    <w:rsid w:val="00730D5B"/>
    <w:rsid w:val="00730F5B"/>
    <w:rsid w:val="00731485"/>
    <w:rsid w:val="007314CC"/>
    <w:rsid w:val="00731BFF"/>
    <w:rsid w:val="00731D91"/>
    <w:rsid w:val="00733628"/>
    <w:rsid w:val="00735A26"/>
    <w:rsid w:val="00736407"/>
    <w:rsid w:val="00736520"/>
    <w:rsid w:val="00736854"/>
    <w:rsid w:val="00740056"/>
    <w:rsid w:val="00740C28"/>
    <w:rsid w:val="00740EEA"/>
    <w:rsid w:val="0074399D"/>
    <w:rsid w:val="00743C16"/>
    <w:rsid w:val="0074404F"/>
    <w:rsid w:val="007457A7"/>
    <w:rsid w:val="00746BE4"/>
    <w:rsid w:val="00747143"/>
    <w:rsid w:val="0074723E"/>
    <w:rsid w:val="00753705"/>
    <w:rsid w:val="00755AF2"/>
    <w:rsid w:val="0075618D"/>
    <w:rsid w:val="00756A4E"/>
    <w:rsid w:val="007570FE"/>
    <w:rsid w:val="007573FE"/>
    <w:rsid w:val="007575E3"/>
    <w:rsid w:val="00760A05"/>
    <w:rsid w:val="00760E6B"/>
    <w:rsid w:val="0076126A"/>
    <w:rsid w:val="007612B8"/>
    <w:rsid w:val="00763A81"/>
    <w:rsid w:val="0076411E"/>
    <w:rsid w:val="0076554B"/>
    <w:rsid w:val="00765DA8"/>
    <w:rsid w:val="00765E14"/>
    <w:rsid w:val="00766A2D"/>
    <w:rsid w:val="00766D56"/>
    <w:rsid w:val="00767851"/>
    <w:rsid w:val="00771B5F"/>
    <w:rsid w:val="00771F17"/>
    <w:rsid w:val="0077291B"/>
    <w:rsid w:val="00772CD3"/>
    <w:rsid w:val="007732C3"/>
    <w:rsid w:val="007733B7"/>
    <w:rsid w:val="00773570"/>
    <w:rsid w:val="007738E0"/>
    <w:rsid w:val="00774132"/>
    <w:rsid w:val="007748DC"/>
    <w:rsid w:val="007755A0"/>
    <w:rsid w:val="00775CE7"/>
    <w:rsid w:val="007760BC"/>
    <w:rsid w:val="00776E44"/>
    <w:rsid w:val="0077766E"/>
    <w:rsid w:val="00777B03"/>
    <w:rsid w:val="00777C4E"/>
    <w:rsid w:val="007805A9"/>
    <w:rsid w:val="00780842"/>
    <w:rsid w:val="00781EDA"/>
    <w:rsid w:val="00782971"/>
    <w:rsid w:val="00782BF9"/>
    <w:rsid w:val="00783311"/>
    <w:rsid w:val="00784145"/>
    <w:rsid w:val="007850F1"/>
    <w:rsid w:val="0078559C"/>
    <w:rsid w:val="00786999"/>
    <w:rsid w:val="00786B9A"/>
    <w:rsid w:val="0078781D"/>
    <w:rsid w:val="007901AD"/>
    <w:rsid w:val="007936C6"/>
    <w:rsid w:val="00793CED"/>
    <w:rsid w:val="00793D76"/>
    <w:rsid w:val="00794705"/>
    <w:rsid w:val="0079512A"/>
    <w:rsid w:val="0079526E"/>
    <w:rsid w:val="007963EB"/>
    <w:rsid w:val="00797BA7"/>
    <w:rsid w:val="00797F95"/>
    <w:rsid w:val="007A00C2"/>
    <w:rsid w:val="007A0D51"/>
    <w:rsid w:val="007A1902"/>
    <w:rsid w:val="007A2986"/>
    <w:rsid w:val="007A3264"/>
    <w:rsid w:val="007A48C7"/>
    <w:rsid w:val="007A61F9"/>
    <w:rsid w:val="007A700A"/>
    <w:rsid w:val="007B0159"/>
    <w:rsid w:val="007B042A"/>
    <w:rsid w:val="007B093C"/>
    <w:rsid w:val="007B0E6D"/>
    <w:rsid w:val="007B1CCD"/>
    <w:rsid w:val="007B2CE0"/>
    <w:rsid w:val="007B374B"/>
    <w:rsid w:val="007B3A1C"/>
    <w:rsid w:val="007B3BBD"/>
    <w:rsid w:val="007B43EF"/>
    <w:rsid w:val="007B5E2A"/>
    <w:rsid w:val="007B625E"/>
    <w:rsid w:val="007B6463"/>
    <w:rsid w:val="007B6893"/>
    <w:rsid w:val="007B69F4"/>
    <w:rsid w:val="007B7414"/>
    <w:rsid w:val="007C0FC8"/>
    <w:rsid w:val="007C21C9"/>
    <w:rsid w:val="007C235C"/>
    <w:rsid w:val="007C31BF"/>
    <w:rsid w:val="007C381E"/>
    <w:rsid w:val="007C3866"/>
    <w:rsid w:val="007C4250"/>
    <w:rsid w:val="007C4B19"/>
    <w:rsid w:val="007C4C91"/>
    <w:rsid w:val="007C50BA"/>
    <w:rsid w:val="007C5116"/>
    <w:rsid w:val="007C52ED"/>
    <w:rsid w:val="007C670D"/>
    <w:rsid w:val="007C6E2F"/>
    <w:rsid w:val="007C72F0"/>
    <w:rsid w:val="007C7712"/>
    <w:rsid w:val="007C7B17"/>
    <w:rsid w:val="007C7BB9"/>
    <w:rsid w:val="007D0451"/>
    <w:rsid w:val="007D1273"/>
    <w:rsid w:val="007D199E"/>
    <w:rsid w:val="007D1BE1"/>
    <w:rsid w:val="007D20DF"/>
    <w:rsid w:val="007D24DF"/>
    <w:rsid w:val="007D34A8"/>
    <w:rsid w:val="007D40CF"/>
    <w:rsid w:val="007D5F24"/>
    <w:rsid w:val="007D6D26"/>
    <w:rsid w:val="007D75B4"/>
    <w:rsid w:val="007D7886"/>
    <w:rsid w:val="007D7BD2"/>
    <w:rsid w:val="007E0046"/>
    <w:rsid w:val="007E1006"/>
    <w:rsid w:val="007E1562"/>
    <w:rsid w:val="007E2003"/>
    <w:rsid w:val="007E231D"/>
    <w:rsid w:val="007E2721"/>
    <w:rsid w:val="007E28AF"/>
    <w:rsid w:val="007E4193"/>
    <w:rsid w:val="007E4EF0"/>
    <w:rsid w:val="007E52A3"/>
    <w:rsid w:val="007E5C93"/>
    <w:rsid w:val="007E62D1"/>
    <w:rsid w:val="007E6E90"/>
    <w:rsid w:val="007E7291"/>
    <w:rsid w:val="007F067E"/>
    <w:rsid w:val="007F0EE5"/>
    <w:rsid w:val="007F1DB0"/>
    <w:rsid w:val="007F22D7"/>
    <w:rsid w:val="007F2C20"/>
    <w:rsid w:val="007F3042"/>
    <w:rsid w:val="007F3883"/>
    <w:rsid w:val="007F3B2C"/>
    <w:rsid w:val="007F4A63"/>
    <w:rsid w:val="007F5BDA"/>
    <w:rsid w:val="007F6172"/>
    <w:rsid w:val="007F6325"/>
    <w:rsid w:val="007F6A80"/>
    <w:rsid w:val="007F73FE"/>
    <w:rsid w:val="007F7543"/>
    <w:rsid w:val="00801046"/>
    <w:rsid w:val="00801735"/>
    <w:rsid w:val="008029FE"/>
    <w:rsid w:val="00802EAF"/>
    <w:rsid w:val="0080481B"/>
    <w:rsid w:val="00804F60"/>
    <w:rsid w:val="00805420"/>
    <w:rsid w:val="00805716"/>
    <w:rsid w:val="0080751E"/>
    <w:rsid w:val="008078E9"/>
    <w:rsid w:val="00807936"/>
    <w:rsid w:val="00807F1B"/>
    <w:rsid w:val="008112A3"/>
    <w:rsid w:val="008115A4"/>
    <w:rsid w:val="008115AC"/>
    <w:rsid w:val="00811CA4"/>
    <w:rsid w:val="0081331C"/>
    <w:rsid w:val="00813B3A"/>
    <w:rsid w:val="00815864"/>
    <w:rsid w:val="00815AA0"/>
    <w:rsid w:val="00815C6E"/>
    <w:rsid w:val="00815EF1"/>
    <w:rsid w:val="00817A25"/>
    <w:rsid w:val="00820B7F"/>
    <w:rsid w:val="00820FB2"/>
    <w:rsid w:val="008237A5"/>
    <w:rsid w:val="008250EF"/>
    <w:rsid w:val="0082657D"/>
    <w:rsid w:val="00826819"/>
    <w:rsid w:val="00826A3A"/>
    <w:rsid w:val="00826C30"/>
    <w:rsid w:val="008279B5"/>
    <w:rsid w:val="00827AE6"/>
    <w:rsid w:val="00830422"/>
    <w:rsid w:val="0083067D"/>
    <w:rsid w:val="0083089F"/>
    <w:rsid w:val="00830C49"/>
    <w:rsid w:val="00830CEA"/>
    <w:rsid w:val="00830F0A"/>
    <w:rsid w:val="008310C3"/>
    <w:rsid w:val="008318DB"/>
    <w:rsid w:val="00831D0F"/>
    <w:rsid w:val="00833782"/>
    <w:rsid w:val="008358F8"/>
    <w:rsid w:val="00837ED8"/>
    <w:rsid w:val="00837FBE"/>
    <w:rsid w:val="0084074B"/>
    <w:rsid w:val="00841FED"/>
    <w:rsid w:val="0084231E"/>
    <w:rsid w:val="00842992"/>
    <w:rsid w:val="008429C1"/>
    <w:rsid w:val="00842B93"/>
    <w:rsid w:val="0084303B"/>
    <w:rsid w:val="008430F7"/>
    <w:rsid w:val="00843EDA"/>
    <w:rsid w:val="00844D78"/>
    <w:rsid w:val="00845E80"/>
    <w:rsid w:val="00846397"/>
    <w:rsid w:val="008463AE"/>
    <w:rsid w:val="00847A58"/>
    <w:rsid w:val="00850F13"/>
    <w:rsid w:val="0085132B"/>
    <w:rsid w:val="00851C81"/>
    <w:rsid w:val="00854B41"/>
    <w:rsid w:val="00855581"/>
    <w:rsid w:val="008559D3"/>
    <w:rsid w:val="0086052A"/>
    <w:rsid w:val="00860D42"/>
    <w:rsid w:val="00862091"/>
    <w:rsid w:val="0086268D"/>
    <w:rsid w:val="00862798"/>
    <w:rsid w:val="008629FC"/>
    <w:rsid w:val="00863F93"/>
    <w:rsid w:val="00864265"/>
    <w:rsid w:val="00864B08"/>
    <w:rsid w:val="00864BC1"/>
    <w:rsid w:val="0086564A"/>
    <w:rsid w:val="00865D18"/>
    <w:rsid w:val="00866A9A"/>
    <w:rsid w:val="00866B56"/>
    <w:rsid w:val="008702E1"/>
    <w:rsid w:val="00870B25"/>
    <w:rsid w:val="008724C5"/>
    <w:rsid w:val="0087419D"/>
    <w:rsid w:val="008747DE"/>
    <w:rsid w:val="008755C7"/>
    <w:rsid w:val="00875603"/>
    <w:rsid w:val="0087644E"/>
    <w:rsid w:val="00876B5D"/>
    <w:rsid w:val="00877368"/>
    <w:rsid w:val="0087777A"/>
    <w:rsid w:val="008801F7"/>
    <w:rsid w:val="008809CB"/>
    <w:rsid w:val="00882B0E"/>
    <w:rsid w:val="0088306B"/>
    <w:rsid w:val="00883C8C"/>
    <w:rsid w:val="008852B7"/>
    <w:rsid w:val="00885E0B"/>
    <w:rsid w:val="0088633B"/>
    <w:rsid w:val="00886A0F"/>
    <w:rsid w:val="00886BA4"/>
    <w:rsid w:val="00890165"/>
    <w:rsid w:val="00890B0F"/>
    <w:rsid w:val="00890CA9"/>
    <w:rsid w:val="00890CB2"/>
    <w:rsid w:val="008913AC"/>
    <w:rsid w:val="00891BEE"/>
    <w:rsid w:val="00891E07"/>
    <w:rsid w:val="008929F6"/>
    <w:rsid w:val="00893B49"/>
    <w:rsid w:val="00893F4A"/>
    <w:rsid w:val="008951AE"/>
    <w:rsid w:val="00896331"/>
    <w:rsid w:val="00896A46"/>
    <w:rsid w:val="00897242"/>
    <w:rsid w:val="008973C3"/>
    <w:rsid w:val="008A09AC"/>
    <w:rsid w:val="008A0F60"/>
    <w:rsid w:val="008A1584"/>
    <w:rsid w:val="008A1A87"/>
    <w:rsid w:val="008A1E0A"/>
    <w:rsid w:val="008A37D0"/>
    <w:rsid w:val="008A3FD3"/>
    <w:rsid w:val="008A4651"/>
    <w:rsid w:val="008A4F90"/>
    <w:rsid w:val="008A519E"/>
    <w:rsid w:val="008A5793"/>
    <w:rsid w:val="008A59D6"/>
    <w:rsid w:val="008A64ED"/>
    <w:rsid w:val="008A6B7A"/>
    <w:rsid w:val="008B0B36"/>
    <w:rsid w:val="008B0E64"/>
    <w:rsid w:val="008B110B"/>
    <w:rsid w:val="008B1823"/>
    <w:rsid w:val="008B1E2F"/>
    <w:rsid w:val="008B3CC3"/>
    <w:rsid w:val="008B4C87"/>
    <w:rsid w:val="008B558B"/>
    <w:rsid w:val="008B57CA"/>
    <w:rsid w:val="008B5879"/>
    <w:rsid w:val="008B6308"/>
    <w:rsid w:val="008B6528"/>
    <w:rsid w:val="008B69CD"/>
    <w:rsid w:val="008B7C5B"/>
    <w:rsid w:val="008B7DC2"/>
    <w:rsid w:val="008B7DF3"/>
    <w:rsid w:val="008C0389"/>
    <w:rsid w:val="008C03AC"/>
    <w:rsid w:val="008C210C"/>
    <w:rsid w:val="008C23BB"/>
    <w:rsid w:val="008C3129"/>
    <w:rsid w:val="008C331D"/>
    <w:rsid w:val="008C33BD"/>
    <w:rsid w:val="008C3E43"/>
    <w:rsid w:val="008C40AC"/>
    <w:rsid w:val="008C4F70"/>
    <w:rsid w:val="008C55E2"/>
    <w:rsid w:val="008C5B14"/>
    <w:rsid w:val="008C690E"/>
    <w:rsid w:val="008C6CE3"/>
    <w:rsid w:val="008C745A"/>
    <w:rsid w:val="008D0A9B"/>
    <w:rsid w:val="008D0DD9"/>
    <w:rsid w:val="008D113F"/>
    <w:rsid w:val="008D204A"/>
    <w:rsid w:val="008D2099"/>
    <w:rsid w:val="008D21DB"/>
    <w:rsid w:val="008D2543"/>
    <w:rsid w:val="008D26EF"/>
    <w:rsid w:val="008D3CFE"/>
    <w:rsid w:val="008D410F"/>
    <w:rsid w:val="008D4C93"/>
    <w:rsid w:val="008D6EA2"/>
    <w:rsid w:val="008D7DA6"/>
    <w:rsid w:val="008E05BB"/>
    <w:rsid w:val="008E0FA2"/>
    <w:rsid w:val="008E1867"/>
    <w:rsid w:val="008E209B"/>
    <w:rsid w:val="008E251E"/>
    <w:rsid w:val="008E3915"/>
    <w:rsid w:val="008E3F56"/>
    <w:rsid w:val="008E4002"/>
    <w:rsid w:val="008E406F"/>
    <w:rsid w:val="008E472E"/>
    <w:rsid w:val="008E4771"/>
    <w:rsid w:val="008E4AAA"/>
    <w:rsid w:val="008E56BF"/>
    <w:rsid w:val="008E61E9"/>
    <w:rsid w:val="008E68AB"/>
    <w:rsid w:val="008E6F53"/>
    <w:rsid w:val="008E6FDC"/>
    <w:rsid w:val="008E7352"/>
    <w:rsid w:val="008E75BD"/>
    <w:rsid w:val="008F04BC"/>
    <w:rsid w:val="008F0A9C"/>
    <w:rsid w:val="008F1BA4"/>
    <w:rsid w:val="008F264D"/>
    <w:rsid w:val="008F2E8A"/>
    <w:rsid w:val="008F513E"/>
    <w:rsid w:val="008F6872"/>
    <w:rsid w:val="008F7351"/>
    <w:rsid w:val="00902747"/>
    <w:rsid w:val="00902FD3"/>
    <w:rsid w:val="0090478F"/>
    <w:rsid w:val="0090508B"/>
    <w:rsid w:val="00905390"/>
    <w:rsid w:val="00906A90"/>
    <w:rsid w:val="00906EE3"/>
    <w:rsid w:val="00907646"/>
    <w:rsid w:val="00910A2A"/>
    <w:rsid w:val="00910A57"/>
    <w:rsid w:val="00912CDC"/>
    <w:rsid w:val="0091309B"/>
    <w:rsid w:val="009137FE"/>
    <w:rsid w:val="00913995"/>
    <w:rsid w:val="00914A06"/>
    <w:rsid w:val="00915CF6"/>
    <w:rsid w:val="0091637A"/>
    <w:rsid w:val="009174EE"/>
    <w:rsid w:val="00917FB5"/>
    <w:rsid w:val="0092191A"/>
    <w:rsid w:val="009226DA"/>
    <w:rsid w:val="009228A4"/>
    <w:rsid w:val="00922FB7"/>
    <w:rsid w:val="00923417"/>
    <w:rsid w:val="00923DAC"/>
    <w:rsid w:val="00924D33"/>
    <w:rsid w:val="0092531B"/>
    <w:rsid w:val="00926D1E"/>
    <w:rsid w:val="00926DBD"/>
    <w:rsid w:val="00930895"/>
    <w:rsid w:val="00930E27"/>
    <w:rsid w:val="00931458"/>
    <w:rsid w:val="00931D92"/>
    <w:rsid w:val="00931E43"/>
    <w:rsid w:val="00932E77"/>
    <w:rsid w:val="00932F46"/>
    <w:rsid w:val="0093545C"/>
    <w:rsid w:val="00935804"/>
    <w:rsid w:val="00936395"/>
    <w:rsid w:val="0093651C"/>
    <w:rsid w:val="009412DE"/>
    <w:rsid w:val="00941443"/>
    <w:rsid w:val="009419D9"/>
    <w:rsid w:val="0094283E"/>
    <w:rsid w:val="009436EF"/>
    <w:rsid w:val="0094380F"/>
    <w:rsid w:val="009443B3"/>
    <w:rsid w:val="00944994"/>
    <w:rsid w:val="00944F1D"/>
    <w:rsid w:val="0094585B"/>
    <w:rsid w:val="00945BD6"/>
    <w:rsid w:val="00945F07"/>
    <w:rsid w:val="00946431"/>
    <w:rsid w:val="00946A7D"/>
    <w:rsid w:val="00947B6B"/>
    <w:rsid w:val="00947F94"/>
    <w:rsid w:val="00950553"/>
    <w:rsid w:val="0095060C"/>
    <w:rsid w:val="009518F5"/>
    <w:rsid w:val="009530F1"/>
    <w:rsid w:val="009536C4"/>
    <w:rsid w:val="00953CDC"/>
    <w:rsid w:val="00953DE9"/>
    <w:rsid w:val="009541F4"/>
    <w:rsid w:val="009545B3"/>
    <w:rsid w:val="009549DF"/>
    <w:rsid w:val="00954D46"/>
    <w:rsid w:val="009553E7"/>
    <w:rsid w:val="00955F50"/>
    <w:rsid w:val="00956072"/>
    <w:rsid w:val="009562B4"/>
    <w:rsid w:val="009564A3"/>
    <w:rsid w:val="00956648"/>
    <w:rsid w:val="009566D7"/>
    <w:rsid w:val="0096054D"/>
    <w:rsid w:val="00960E50"/>
    <w:rsid w:val="00961470"/>
    <w:rsid w:val="00962F00"/>
    <w:rsid w:val="0096327A"/>
    <w:rsid w:val="00963B9A"/>
    <w:rsid w:val="00964CC3"/>
    <w:rsid w:val="0096544F"/>
    <w:rsid w:val="00965A75"/>
    <w:rsid w:val="00965BC6"/>
    <w:rsid w:val="0096604E"/>
    <w:rsid w:val="00966692"/>
    <w:rsid w:val="00966A1B"/>
    <w:rsid w:val="00970632"/>
    <w:rsid w:val="00970D87"/>
    <w:rsid w:val="00971CD9"/>
    <w:rsid w:val="00972184"/>
    <w:rsid w:val="00972696"/>
    <w:rsid w:val="00972987"/>
    <w:rsid w:val="00972C3C"/>
    <w:rsid w:val="0097330C"/>
    <w:rsid w:val="009747C9"/>
    <w:rsid w:val="00974AFF"/>
    <w:rsid w:val="009755CC"/>
    <w:rsid w:val="00976255"/>
    <w:rsid w:val="00976AE6"/>
    <w:rsid w:val="00977830"/>
    <w:rsid w:val="009805E2"/>
    <w:rsid w:val="00980634"/>
    <w:rsid w:val="00980742"/>
    <w:rsid w:val="00980EEF"/>
    <w:rsid w:val="009817EA"/>
    <w:rsid w:val="0098240D"/>
    <w:rsid w:val="00982BCC"/>
    <w:rsid w:val="00982F17"/>
    <w:rsid w:val="00983A6F"/>
    <w:rsid w:val="0098435C"/>
    <w:rsid w:val="009856A4"/>
    <w:rsid w:val="00985C2C"/>
    <w:rsid w:val="009879E7"/>
    <w:rsid w:val="00987AAE"/>
    <w:rsid w:val="00987DDD"/>
    <w:rsid w:val="00990287"/>
    <w:rsid w:val="00991183"/>
    <w:rsid w:val="009911B9"/>
    <w:rsid w:val="00991B0A"/>
    <w:rsid w:val="00994A42"/>
    <w:rsid w:val="00994DF9"/>
    <w:rsid w:val="009957C3"/>
    <w:rsid w:val="00996BAB"/>
    <w:rsid w:val="00997C70"/>
    <w:rsid w:val="009A0FD2"/>
    <w:rsid w:val="009A1014"/>
    <w:rsid w:val="009A1298"/>
    <w:rsid w:val="009A2246"/>
    <w:rsid w:val="009A2A8C"/>
    <w:rsid w:val="009A2EBE"/>
    <w:rsid w:val="009A2EE1"/>
    <w:rsid w:val="009A37DC"/>
    <w:rsid w:val="009A3E48"/>
    <w:rsid w:val="009A4D90"/>
    <w:rsid w:val="009A5F65"/>
    <w:rsid w:val="009A6468"/>
    <w:rsid w:val="009A64E0"/>
    <w:rsid w:val="009A73A5"/>
    <w:rsid w:val="009A7A25"/>
    <w:rsid w:val="009B02EC"/>
    <w:rsid w:val="009B0991"/>
    <w:rsid w:val="009B3396"/>
    <w:rsid w:val="009B53DD"/>
    <w:rsid w:val="009B5791"/>
    <w:rsid w:val="009B5F04"/>
    <w:rsid w:val="009B6C13"/>
    <w:rsid w:val="009B7336"/>
    <w:rsid w:val="009C0BD3"/>
    <w:rsid w:val="009C131B"/>
    <w:rsid w:val="009C193F"/>
    <w:rsid w:val="009C29A3"/>
    <w:rsid w:val="009C30B1"/>
    <w:rsid w:val="009C396B"/>
    <w:rsid w:val="009C4357"/>
    <w:rsid w:val="009C48AC"/>
    <w:rsid w:val="009C50C5"/>
    <w:rsid w:val="009C5313"/>
    <w:rsid w:val="009C703C"/>
    <w:rsid w:val="009C7479"/>
    <w:rsid w:val="009D0F5E"/>
    <w:rsid w:val="009D28C1"/>
    <w:rsid w:val="009D3677"/>
    <w:rsid w:val="009D3746"/>
    <w:rsid w:val="009D3F45"/>
    <w:rsid w:val="009D4384"/>
    <w:rsid w:val="009D75FA"/>
    <w:rsid w:val="009D7988"/>
    <w:rsid w:val="009E051A"/>
    <w:rsid w:val="009E0546"/>
    <w:rsid w:val="009E06D6"/>
    <w:rsid w:val="009E0907"/>
    <w:rsid w:val="009E0BE7"/>
    <w:rsid w:val="009E0F94"/>
    <w:rsid w:val="009E2221"/>
    <w:rsid w:val="009E290E"/>
    <w:rsid w:val="009E43BC"/>
    <w:rsid w:val="009E6370"/>
    <w:rsid w:val="009E7111"/>
    <w:rsid w:val="009E7A10"/>
    <w:rsid w:val="009F0D0E"/>
    <w:rsid w:val="009F1244"/>
    <w:rsid w:val="009F2721"/>
    <w:rsid w:val="009F2763"/>
    <w:rsid w:val="009F48EF"/>
    <w:rsid w:val="009F50FC"/>
    <w:rsid w:val="009F572D"/>
    <w:rsid w:val="009F6A07"/>
    <w:rsid w:val="009F6EB6"/>
    <w:rsid w:val="009F6F4B"/>
    <w:rsid w:val="009F7DC5"/>
    <w:rsid w:val="00A019CD"/>
    <w:rsid w:val="00A030DD"/>
    <w:rsid w:val="00A038C7"/>
    <w:rsid w:val="00A03D26"/>
    <w:rsid w:val="00A04460"/>
    <w:rsid w:val="00A053EA"/>
    <w:rsid w:val="00A057BF"/>
    <w:rsid w:val="00A05BD5"/>
    <w:rsid w:val="00A067A9"/>
    <w:rsid w:val="00A06D1E"/>
    <w:rsid w:val="00A07665"/>
    <w:rsid w:val="00A10575"/>
    <w:rsid w:val="00A105B2"/>
    <w:rsid w:val="00A10F6D"/>
    <w:rsid w:val="00A11809"/>
    <w:rsid w:val="00A11C6F"/>
    <w:rsid w:val="00A13777"/>
    <w:rsid w:val="00A1461D"/>
    <w:rsid w:val="00A14D8A"/>
    <w:rsid w:val="00A16B17"/>
    <w:rsid w:val="00A17787"/>
    <w:rsid w:val="00A206AE"/>
    <w:rsid w:val="00A219F3"/>
    <w:rsid w:val="00A22622"/>
    <w:rsid w:val="00A22B67"/>
    <w:rsid w:val="00A2328F"/>
    <w:rsid w:val="00A247A0"/>
    <w:rsid w:val="00A247FB"/>
    <w:rsid w:val="00A24FC5"/>
    <w:rsid w:val="00A2506F"/>
    <w:rsid w:val="00A25DD2"/>
    <w:rsid w:val="00A26C07"/>
    <w:rsid w:val="00A26DE4"/>
    <w:rsid w:val="00A2741C"/>
    <w:rsid w:val="00A32329"/>
    <w:rsid w:val="00A3245E"/>
    <w:rsid w:val="00A36098"/>
    <w:rsid w:val="00A36DBB"/>
    <w:rsid w:val="00A376EC"/>
    <w:rsid w:val="00A3797F"/>
    <w:rsid w:val="00A40215"/>
    <w:rsid w:val="00A4061E"/>
    <w:rsid w:val="00A40626"/>
    <w:rsid w:val="00A4320C"/>
    <w:rsid w:val="00A433A6"/>
    <w:rsid w:val="00A44D42"/>
    <w:rsid w:val="00A44FC7"/>
    <w:rsid w:val="00A466D5"/>
    <w:rsid w:val="00A468A2"/>
    <w:rsid w:val="00A46C9E"/>
    <w:rsid w:val="00A474A2"/>
    <w:rsid w:val="00A47BBC"/>
    <w:rsid w:val="00A50995"/>
    <w:rsid w:val="00A518E5"/>
    <w:rsid w:val="00A5207E"/>
    <w:rsid w:val="00A52279"/>
    <w:rsid w:val="00A52597"/>
    <w:rsid w:val="00A525A8"/>
    <w:rsid w:val="00A5329D"/>
    <w:rsid w:val="00A53D93"/>
    <w:rsid w:val="00A5502E"/>
    <w:rsid w:val="00A55B68"/>
    <w:rsid w:val="00A55C60"/>
    <w:rsid w:val="00A561B2"/>
    <w:rsid w:val="00A569A4"/>
    <w:rsid w:val="00A57C7B"/>
    <w:rsid w:val="00A57F96"/>
    <w:rsid w:val="00A60028"/>
    <w:rsid w:val="00A60719"/>
    <w:rsid w:val="00A60F8C"/>
    <w:rsid w:val="00A61423"/>
    <w:rsid w:val="00A61BCB"/>
    <w:rsid w:val="00A6290F"/>
    <w:rsid w:val="00A6327A"/>
    <w:rsid w:val="00A636C5"/>
    <w:rsid w:val="00A638E2"/>
    <w:rsid w:val="00A6471F"/>
    <w:rsid w:val="00A66241"/>
    <w:rsid w:val="00A664C8"/>
    <w:rsid w:val="00A66D65"/>
    <w:rsid w:val="00A66FF9"/>
    <w:rsid w:val="00A675FC"/>
    <w:rsid w:val="00A67DA4"/>
    <w:rsid w:val="00A71324"/>
    <w:rsid w:val="00A71A2C"/>
    <w:rsid w:val="00A73143"/>
    <w:rsid w:val="00A736B6"/>
    <w:rsid w:val="00A73904"/>
    <w:rsid w:val="00A74342"/>
    <w:rsid w:val="00A7454F"/>
    <w:rsid w:val="00A74C34"/>
    <w:rsid w:val="00A75846"/>
    <w:rsid w:val="00A75DA8"/>
    <w:rsid w:val="00A75FC8"/>
    <w:rsid w:val="00A7789D"/>
    <w:rsid w:val="00A77A4F"/>
    <w:rsid w:val="00A80923"/>
    <w:rsid w:val="00A81AB9"/>
    <w:rsid w:val="00A8248D"/>
    <w:rsid w:val="00A8300E"/>
    <w:rsid w:val="00A838F1"/>
    <w:rsid w:val="00A841AF"/>
    <w:rsid w:val="00A841CA"/>
    <w:rsid w:val="00A848B5"/>
    <w:rsid w:val="00A84CD9"/>
    <w:rsid w:val="00A852A4"/>
    <w:rsid w:val="00A85542"/>
    <w:rsid w:val="00A85A29"/>
    <w:rsid w:val="00A86B39"/>
    <w:rsid w:val="00A87615"/>
    <w:rsid w:val="00A902DD"/>
    <w:rsid w:val="00A914DF"/>
    <w:rsid w:val="00A92B45"/>
    <w:rsid w:val="00A9494A"/>
    <w:rsid w:val="00A94D66"/>
    <w:rsid w:val="00A94F74"/>
    <w:rsid w:val="00A950B3"/>
    <w:rsid w:val="00A95864"/>
    <w:rsid w:val="00A95C77"/>
    <w:rsid w:val="00A95CF2"/>
    <w:rsid w:val="00A95F68"/>
    <w:rsid w:val="00A96FD3"/>
    <w:rsid w:val="00A976BA"/>
    <w:rsid w:val="00A97AF9"/>
    <w:rsid w:val="00AA02ED"/>
    <w:rsid w:val="00AA053C"/>
    <w:rsid w:val="00AA0A2D"/>
    <w:rsid w:val="00AA1361"/>
    <w:rsid w:val="00AA1B10"/>
    <w:rsid w:val="00AA1DED"/>
    <w:rsid w:val="00AA2336"/>
    <w:rsid w:val="00AA2940"/>
    <w:rsid w:val="00AA296B"/>
    <w:rsid w:val="00AA3000"/>
    <w:rsid w:val="00AA7535"/>
    <w:rsid w:val="00AA7719"/>
    <w:rsid w:val="00AB0069"/>
    <w:rsid w:val="00AB0506"/>
    <w:rsid w:val="00AB1405"/>
    <w:rsid w:val="00AB174F"/>
    <w:rsid w:val="00AB1FDB"/>
    <w:rsid w:val="00AB2933"/>
    <w:rsid w:val="00AB31E3"/>
    <w:rsid w:val="00AB3B91"/>
    <w:rsid w:val="00AB3BFA"/>
    <w:rsid w:val="00AB3CEE"/>
    <w:rsid w:val="00AB45D7"/>
    <w:rsid w:val="00AB5203"/>
    <w:rsid w:val="00AB6817"/>
    <w:rsid w:val="00AB796A"/>
    <w:rsid w:val="00AB7A7C"/>
    <w:rsid w:val="00AB7CEB"/>
    <w:rsid w:val="00AC1763"/>
    <w:rsid w:val="00AC245B"/>
    <w:rsid w:val="00AC2F9C"/>
    <w:rsid w:val="00AC4521"/>
    <w:rsid w:val="00AC56F3"/>
    <w:rsid w:val="00AC59AE"/>
    <w:rsid w:val="00AC75EF"/>
    <w:rsid w:val="00AD08CE"/>
    <w:rsid w:val="00AD1445"/>
    <w:rsid w:val="00AD1B0D"/>
    <w:rsid w:val="00AD1E63"/>
    <w:rsid w:val="00AD1EC5"/>
    <w:rsid w:val="00AD233E"/>
    <w:rsid w:val="00AD30D0"/>
    <w:rsid w:val="00AD3626"/>
    <w:rsid w:val="00AD3CE9"/>
    <w:rsid w:val="00AD5D88"/>
    <w:rsid w:val="00AD65CD"/>
    <w:rsid w:val="00AD667F"/>
    <w:rsid w:val="00AD684B"/>
    <w:rsid w:val="00AD688A"/>
    <w:rsid w:val="00AD7334"/>
    <w:rsid w:val="00AE0819"/>
    <w:rsid w:val="00AE1349"/>
    <w:rsid w:val="00AE197F"/>
    <w:rsid w:val="00AE2DE8"/>
    <w:rsid w:val="00AE2E2D"/>
    <w:rsid w:val="00AE3E8A"/>
    <w:rsid w:val="00AE4500"/>
    <w:rsid w:val="00AE5C7D"/>
    <w:rsid w:val="00AE62DA"/>
    <w:rsid w:val="00AE6D99"/>
    <w:rsid w:val="00AE7C04"/>
    <w:rsid w:val="00AF0271"/>
    <w:rsid w:val="00AF0F08"/>
    <w:rsid w:val="00AF191B"/>
    <w:rsid w:val="00AF223E"/>
    <w:rsid w:val="00AF2F3C"/>
    <w:rsid w:val="00AF3D7E"/>
    <w:rsid w:val="00AF3E0D"/>
    <w:rsid w:val="00AF4073"/>
    <w:rsid w:val="00AF4E9F"/>
    <w:rsid w:val="00AF516F"/>
    <w:rsid w:val="00AF59EC"/>
    <w:rsid w:val="00AF59F0"/>
    <w:rsid w:val="00AF602A"/>
    <w:rsid w:val="00AF62B5"/>
    <w:rsid w:val="00AF6B5D"/>
    <w:rsid w:val="00AF7522"/>
    <w:rsid w:val="00AF7BF6"/>
    <w:rsid w:val="00B00001"/>
    <w:rsid w:val="00B00035"/>
    <w:rsid w:val="00B001C0"/>
    <w:rsid w:val="00B00665"/>
    <w:rsid w:val="00B007A6"/>
    <w:rsid w:val="00B0095D"/>
    <w:rsid w:val="00B009BA"/>
    <w:rsid w:val="00B0100F"/>
    <w:rsid w:val="00B01486"/>
    <w:rsid w:val="00B01F9E"/>
    <w:rsid w:val="00B02545"/>
    <w:rsid w:val="00B03376"/>
    <w:rsid w:val="00B033FA"/>
    <w:rsid w:val="00B03A37"/>
    <w:rsid w:val="00B04997"/>
    <w:rsid w:val="00B04D47"/>
    <w:rsid w:val="00B05A58"/>
    <w:rsid w:val="00B063BB"/>
    <w:rsid w:val="00B0640F"/>
    <w:rsid w:val="00B07130"/>
    <w:rsid w:val="00B07E0C"/>
    <w:rsid w:val="00B10227"/>
    <w:rsid w:val="00B10481"/>
    <w:rsid w:val="00B10B1F"/>
    <w:rsid w:val="00B10F44"/>
    <w:rsid w:val="00B110DE"/>
    <w:rsid w:val="00B119A5"/>
    <w:rsid w:val="00B119C5"/>
    <w:rsid w:val="00B11D30"/>
    <w:rsid w:val="00B11EF5"/>
    <w:rsid w:val="00B12685"/>
    <w:rsid w:val="00B12FBE"/>
    <w:rsid w:val="00B16E6F"/>
    <w:rsid w:val="00B16FA8"/>
    <w:rsid w:val="00B20953"/>
    <w:rsid w:val="00B20EE6"/>
    <w:rsid w:val="00B215C9"/>
    <w:rsid w:val="00B21E0D"/>
    <w:rsid w:val="00B22BD2"/>
    <w:rsid w:val="00B247F8"/>
    <w:rsid w:val="00B2520C"/>
    <w:rsid w:val="00B27BBD"/>
    <w:rsid w:val="00B30385"/>
    <w:rsid w:val="00B31044"/>
    <w:rsid w:val="00B31B7F"/>
    <w:rsid w:val="00B3313D"/>
    <w:rsid w:val="00B35232"/>
    <w:rsid w:val="00B36E03"/>
    <w:rsid w:val="00B404D1"/>
    <w:rsid w:val="00B406A4"/>
    <w:rsid w:val="00B4186A"/>
    <w:rsid w:val="00B41A45"/>
    <w:rsid w:val="00B427D3"/>
    <w:rsid w:val="00B42D1F"/>
    <w:rsid w:val="00B42D9E"/>
    <w:rsid w:val="00B43436"/>
    <w:rsid w:val="00B43BF4"/>
    <w:rsid w:val="00B43FB9"/>
    <w:rsid w:val="00B443E5"/>
    <w:rsid w:val="00B4472E"/>
    <w:rsid w:val="00B44876"/>
    <w:rsid w:val="00B45986"/>
    <w:rsid w:val="00B459B9"/>
    <w:rsid w:val="00B465BB"/>
    <w:rsid w:val="00B4728B"/>
    <w:rsid w:val="00B47773"/>
    <w:rsid w:val="00B518C6"/>
    <w:rsid w:val="00B5340F"/>
    <w:rsid w:val="00B54823"/>
    <w:rsid w:val="00B54827"/>
    <w:rsid w:val="00B552A8"/>
    <w:rsid w:val="00B564FD"/>
    <w:rsid w:val="00B5652E"/>
    <w:rsid w:val="00B56954"/>
    <w:rsid w:val="00B57419"/>
    <w:rsid w:val="00B5768B"/>
    <w:rsid w:val="00B620B9"/>
    <w:rsid w:val="00B62124"/>
    <w:rsid w:val="00B62D26"/>
    <w:rsid w:val="00B630DD"/>
    <w:rsid w:val="00B63CFD"/>
    <w:rsid w:val="00B6482B"/>
    <w:rsid w:val="00B658A2"/>
    <w:rsid w:val="00B65CBA"/>
    <w:rsid w:val="00B65EFF"/>
    <w:rsid w:val="00B660A9"/>
    <w:rsid w:val="00B663C4"/>
    <w:rsid w:val="00B66675"/>
    <w:rsid w:val="00B666F8"/>
    <w:rsid w:val="00B66E1C"/>
    <w:rsid w:val="00B6721F"/>
    <w:rsid w:val="00B70308"/>
    <w:rsid w:val="00B70544"/>
    <w:rsid w:val="00B71CDB"/>
    <w:rsid w:val="00B725F3"/>
    <w:rsid w:val="00B728BD"/>
    <w:rsid w:val="00B73200"/>
    <w:rsid w:val="00B73C56"/>
    <w:rsid w:val="00B73FB3"/>
    <w:rsid w:val="00B74779"/>
    <w:rsid w:val="00B74EBE"/>
    <w:rsid w:val="00B75268"/>
    <w:rsid w:val="00B754CB"/>
    <w:rsid w:val="00B75E77"/>
    <w:rsid w:val="00B7617E"/>
    <w:rsid w:val="00B7622A"/>
    <w:rsid w:val="00B7641B"/>
    <w:rsid w:val="00B77891"/>
    <w:rsid w:val="00B80CF6"/>
    <w:rsid w:val="00B810C7"/>
    <w:rsid w:val="00B818CD"/>
    <w:rsid w:val="00B81A8D"/>
    <w:rsid w:val="00B85203"/>
    <w:rsid w:val="00B86062"/>
    <w:rsid w:val="00B87B9A"/>
    <w:rsid w:val="00B90482"/>
    <w:rsid w:val="00B906BF"/>
    <w:rsid w:val="00B91EBB"/>
    <w:rsid w:val="00B92915"/>
    <w:rsid w:val="00B92C80"/>
    <w:rsid w:val="00B932E9"/>
    <w:rsid w:val="00B93C84"/>
    <w:rsid w:val="00B95173"/>
    <w:rsid w:val="00B956DF"/>
    <w:rsid w:val="00B959D6"/>
    <w:rsid w:val="00B95F5C"/>
    <w:rsid w:val="00B964AC"/>
    <w:rsid w:val="00B97189"/>
    <w:rsid w:val="00BA0732"/>
    <w:rsid w:val="00BA0EAD"/>
    <w:rsid w:val="00BA0F20"/>
    <w:rsid w:val="00BA132C"/>
    <w:rsid w:val="00BA13EC"/>
    <w:rsid w:val="00BA1564"/>
    <w:rsid w:val="00BA2F08"/>
    <w:rsid w:val="00BA327C"/>
    <w:rsid w:val="00BA5007"/>
    <w:rsid w:val="00BA5468"/>
    <w:rsid w:val="00BA791E"/>
    <w:rsid w:val="00BB1D72"/>
    <w:rsid w:val="00BB38CE"/>
    <w:rsid w:val="00BB406D"/>
    <w:rsid w:val="00BB46FC"/>
    <w:rsid w:val="00BB47F2"/>
    <w:rsid w:val="00BB591A"/>
    <w:rsid w:val="00BB5A75"/>
    <w:rsid w:val="00BB68E4"/>
    <w:rsid w:val="00BB7300"/>
    <w:rsid w:val="00BC0076"/>
    <w:rsid w:val="00BC0B5D"/>
    <w:rsid w:val="00BC2545"/>
    <w:rsid w:val="00BC3D54"/>
    <w:rsid w:val="00BC3F66"/>
    <w:rsid w:val="00BC4147"/>
    <w:rsid w:val="00BC4508"/>
    <w:rsid w:val="00BC4972"/>
    <w:rsid w:val="00BC4B9D"/>
    <w:rsid w:val="00BC61CA"/>
    <w:rsid w:val="00BC6920"/>
    <w:rsid w:val="00BC78EA"/>
    <w:rsid w:val="00BC7A3C"/>
    <w:rsid w:val="00BD0B86"/>
    <w:rsid w:val="00BD0F64"/>
    <w:rsid w:val="00BD1078"/>
    <w:rsid w:val="00BD1125"/>
    <w:rsid w:val="00BD1665"/>
    <w:rsid w:val="00BD392A"/>
    <w:rsid w:val="00BD4095"/>
    <w:rsid w:val="00BD4D52"/>
    <w:rsid w:val="00BD4FCA"/>
    <w:rsid w:val="00BD5355"/>
    <w:rsid w:val="00BD692D"/>
    <w:rsid w:val="00BD6E02"/>
    <w:rsid w:val="00BD7ABE"/>
    <w:rsid w:val="00BD7BAD"/>
    <w:rsid w:val="00BE00EC"/>
    <w:rsid w:val="00BE020C"/>
    <w:rsid w:val="00BE1632"/>
    <w:rsid w:val="00BE21D8"/>
    <w:rsid w:val="00BE2D49"/>
    <w:rsid w:val="00BE3B44"/>
    <w:rsid w:val="00BE4247"/>
    <w:rsid w:val="00BE4255"/>
    <w:rsid w:val="00BE48A7"/>
    <w:rsid w:val="00BE55A4"/>
    <w:rsid w:val="00BE5B8D"/>
    <w:rsid w:val="00BE6A3E"/>
    <w:rsid w:val="00BF08D9"/>
    <w:rsid w:val="00BF0D04"/>
    <w:rsid w:val="00BF0DCE"/>
    <w:rsid w:val="00BF10A7"/>
    <w:rsid w:val="00BF1416"/>
    <w:rsid w:val="00BF1BB5"/>
    <w:rsid w:val="00BF354C"/>
    <w:rsid w:val="00BF374D"/>
    <w:rsid w:val="00BF4051"/>
    <w:rsid w:val="00BF4B53"/>
    <w:rsid w:val="00BF5198"/>
    <w:rsid w:val="00BF671C"/>
    <w:rsid w:val="00BF68DD"/>
    <w:rsid w:val="00BF7BF0"/>
    <w:rsid w:val="00C01512"/>
    <w:rsid w:val="00C02302"/>
    <w:rsid w:val="00C02919"/>
    <w:rsid w:val="00C03A92"/>
    <w:rsid w:val="00C049D8"/>
    <w:rsid w:val="00C04B58"/>
    <w:rsid w:val="00C0519E"/>
    <w:rsid w:val="00C073EF"/>
    <w:rsid w:val="00C10498"/>
    <w:rsid w:val="00C10A06"/>
    <w:rsid w:val="00C1131C"/>
    <w:rsid w:val="00C11609"/>
    <w:rsid w:val="00C11E63"/>
    <w:rsid w:val="00C134D7"/>
    <w:rsid w:val="00C136CE"/>
    <w:rsid w:val="00C155DE"/>
    <w:rsid w:val="00C16993"/>
    <w:rsid w:val="00C1751E"/>
    <w:rsid w:val="00C175CB"/>
    <w:rsid w:val="00C20812"/>
    <w:rsid w:val="00C2164E"/>
    <w:rsid w:val="00C21A50"/>
    <w:rsid w:val="00C245EE"/>
    <w:rsid w:val="00C2465A"/>
    <w:rsid w:val="00C247B5"/>
    <w:rsid w:val="00C25561"/>
    <w:rsid w:val="00C2586D"/>
    <w:rsid w:val="00C26434"/>
    <w:rsid w:val="00C26BB3"/>
    <w:rsid w:val="00C26E6D"/>
    <w:rsid w:val="00C30DDE"/>
    <w:rsid w:val="00C316D9"/>
    <w:rsid w:val="00C3187A"/>
    <w:rsid w:val="00C32165"/>
    <w:rsid w:val="00C32725"/>
    <w:rsid w:val="00C33C49"/>
    <w:rsid w:val="00C33E39"/>
    <w:rsid w:val="00C35641"/>
    <w:rsid w:val="00C36862"/>
    <w:rsid w:val="00C3755E"/>
    <w:rsid w:val="00C37722"/>
    <w:rsid w:val="00C37DD5"/>
    <w:rsid w:val="00C37FC6"/>
    <w:rsid w:val="00C4021B"/>
    <w:rsid w:val="00C40B41"/>
    <w:rsid w:val="00C40E9D"/>
    <w:rsid w:val="00C4182A"/>
    <w:rsid w:val="00C41836"/>
    <w:rsid w:val="00C41B2D"/>
    <w:rsid w:val="00C42B9F"/>
    <w:rsid w:val="00C43402"/>
    <w:rsid w:val="00C43569"/>
    <w:rsid w:val="00C43878"/>
    <w:rsid w:val="00C4426E"/>
    <w:rsid w:val="00C449D7"/>
    <w:rsid w:val="00C454D7"/>
    <w:rsid w:val="00C459BB"/>
    <w:rsid w:val="00C467AB"/>
    <w:rsid w:val="00C473C2"/>
    <w:rsid w:val="00C47E2A"/>
    <w:rsid w:val="00C47EEC"/>
    <w:rsid w:val="00C50CC5"/>
    <w:rsid w:val="00C516D6"/>
    <w:rsid w:val="00C51755"/>
    <w:rsid w:val="00C52695"/>
    <w:rsid w:val="00C52C24"/>
    <w:rsid w:val="00C55F5D"/>
    <w:rsid w:val="00C5637E"/>
    <w:rsid w:val="00C5670E"/>
    <w:rsid w:val="00C577EF"/>
    <w:rsid w:val="00C6080A"/>
    <w:rsid w:val="00C6125A"/>
    <w:rsid w:val="00C61304"/>
    <w:rsid w:val="00C6227B"/>
    <w:rsid w:val="00C623C9"/>
    <w:rsid w:val="00C6246A"/>
    <w:rsid w:val="00C62993"/>
    <w:rsid w:val="00C6304B"/>
    <w:rsid w:val="00C633B9"/>
    <w:rsid w:val="00C63691"/>
    <w:rsid w:val="00C647B8"/>
    <w:rsid w:val="00C64F61"/>
    <w:rsid w:val="00C65336"/>
    <w:rsid w:val="00C65E1C"/>
    <w:rsid w:val="00C65F85"/>
    <w:rsid w:val="00C664D2"/>
    <w:rsid w:val="00C66FC6"/>
    <w:rsid w:val="00C67BB3"/>
    <w:rsid w:val="00C7171D"/>
    <w:rsid w:val="00C71859"/>
    <w:rsid w:val="00C746E3"/>
    <w:rsid w:val="00C74EA7"/>
    <w:rsid w:val="00C75A5D"/>
    <w:rsid w:val="00C77943"/>
    <w:rsid w:val="00C803E3"/>
    <w:rsid w:val="00C80E3D"/>
    <w:rsid w:val="00C81BA3"/>
    <w:rsid w:val="00C81EC9"/>
    <w:rsid w:val="00C83349"/>
    <w:rsid w:val="00C84BF0"/>
    <w:rsid w:val="00C851A5"/>
    <w:rsid w:val="00C864A3"/>
    <w:rsid w:val="00C8686E"/>
    <w:rsid w:val="00C87508"/>
    <w:rsid w:val="00C90344"/>
    <w:rsid w:val="00C905EB"/>
    <w:rsid w:val="00C90804"/>
    <w:rsid w:val="00C91AF3"/>
    <w:rsid w:val="00C92949"/>
    <w:rsid w:val="00C934D4"/>
    <w:rsid w:val="00C93EA1"/>
    <w:rsid w:val="00C96027"/>
    <w:rsid w:val="00C96149"/>
    <w:rsid w:val="00C96789"/>
    <w:rsid w:val="00CA04B5"/>
    <w:rsid w:val="00CA0F9E"/>
    <w:rsid w:val="00CA1BEE"/>
    <w:rsid w:val="00CA306A"/>
    <w:rsid w:val="00CA37BA"/>
    <w:rsid w:val="00CA3ED9"/>
    <w:rsid w:val="00CA54F3"/>
    <w:rsid w:val="00CA6363"/>
    <w:rsid w:val="00CA6FCD"/>
    <w:rsid w:val="00CA70F9"/>
    <w:rsid w:val="00CB196C"/>
    <w:rsid w:val="00CB2257"/>
    <w:rsid w:val="00CB27FA"/>
    <w:rsid w:val="00CB28D8"/>
    <w:rsid w:val="00CB32B2"/>
    <w:rsid w:val="00CB414D"/>
    <w:rsid w:val="00CB4C92"/>
    <w:rsid w:val="00CB62CB"/>
    <w:rsid w:val="00CB656C"/>
    <w:rsid w:val="00CB6AD4"/>
    <w:rsid w:val="00CB6CA6"/>
    <w:rsid w:val="00CB6E76"/>
    <w:rsid w:val="00CB728E"/>
    <w:rsid w:val="00CB7AC7"/>
    <w:rsid w:val="00CB7DA2"/>
    <w:rsid w:val="00CB7E4D"/>
    <w:rsid w:val="00CC0C02"/>
    <w:rsid w:val="00CC1C34"/>
    <w:rsid w:val="00CC2F12"/>
    <w:rsid w:val="00CC43C6"/>
    <w:rsid w:val="00CC454C"/>
    <w:rsid w:val="00CC6802"/>
    <w:rsid w:val="00CC6B18"/>
    <w:rsid w:val="00CC7833"/>
    <w:rsid w:val="00CD0020"/>
    <w:rsid w:val="00CD0282"/>
    <w:rsid w:val="00CD0AB0"/>
    <w:rsid w:val="00CD0BA6"/>
    <w:rsid w:val="00CD19D0"/>
    <w:rsid w:val="00CD2E0B"/>
    <w:rsid w:val="00CD3951"/>
    <w:rsid w:val="00CD6C4F"/>
    <w:rsid w:val="00CE0120"/>
    <w:rsid w:val="00CE0339"/>
    <w:rsid w:val="00CE118A"/>
    <w:rsid w:val="00CE1CEB"/>
    <w:rsid w:val="00CE2DF5"/>
    <w:rsid w:val="00CE3232"/>
    <w:rsid w:val="00CE32CB"/>
    <w:rsid w:val="00CE3A83"/>
    <w:rsid w:val="00CE3C77"/>
    <w:rsid w:val="00CE7502"/>
    <w:rsid w:val="00CE7CC0"/>
    <w:rsid w:val="00CE7E5A"/>
    <w:rsid w:val="00CF07A6"/>
    <w:rsid w:val="00CF095E"/>
    <w:rsid w:val="00CF0DB0"/>
    <w:rsid w:val="00CF132A"/>
    <w:rsid w:val="00CF1988"/>
    <w:rsid w:val="00CF1D05"/>
    <w:rsid w:val="00CF1D35"/>
    <w:rsid w:val="00CF2280"/>
    <w:rsid w:val="00CF40B8"/>
    <w:rsid w:val="00CF413C"/>
    <w:rsid w:val="00CF4378"/>
    <w:rsid w:val="00CF54AE"/>
    <w:rsid w:val="00CF67FE"/>
    <w:rsid w:val="00CF6CF8"/>
    <w:rsid w:val="00D001B1"/>
    <w:rsid w:val="00D00329"/>
    <w:rsid w:val="00D003F3"/>
    <w:rsid w:val="00D00D82"/>
    <w:rsid w:val="00D0106B"/>
    <w:rsid w:val="00D03A56"/>
    <w:rsid w:val="00D03CE8"/>
    <w:rsid w:val="00D0582A"/>
    <w:rsid w:val="00D05C53"/>
    <w:rsid w:val="00D06D8C"/>
    <w:rsid w:val="00D06FE9"/>
    <w:rsid w:val="00D0756A"/>
    <w:rsid w:val="00D10175"/>
    <w:rsid w:val="00D10372"/>
    <w:rsid w:val="00D10B24"/>
    <w:rsid w:val="00D11E77"/>
    <w:rsid w:val="00D11E96"/>
    <w:rsid w:val="00D122A3"/>
    <w:rsid w:val="00D12B14"/>
    <w:rsid w:val="00D13DB4"/>
    <w:rsid w:val="00D15B91"/>
    <w:rsid w:val="00D15C49"/>
    <w:rsid w:val="00D16924"/>
    <w:rsid w:val="00D16AA6"/>
    <w:rsid w:val="00D16F3A"/>
    <w:rsid w:val="00D17164"/>
    <w:rsid w:val="00D2113B"/>
    <w:rsid w:val="00D22051"/>
    <w:rsid w:val="00D234D5"/>
    <w:rsid w:val="00D23891"/>
    <w:rsid w:val="00D2681E"/>
    <w:rsid w:val="00D26D4C"/>
    <w:rsid w:val="00D27562"/>
    <w:rsid w:val="00D306B9"/>
    <w:rsid w:val="00D32255"/>
    <w:rsid w:val="00D3308E"/>
    <w:rsid w:val="00D33EAE"/>
    <w:rsid w:val="00D3534A"/>
    <w:rsid w:val="00D36D9F"/>
    <w:rsid w:val="00D36E39"/>
    <w:rsid w:val="00D37100"/>
    <w:rsid w:val="00D3792E"/>
    <w:rsid w:val="00D4035B"/>
    <w:rsid w:val="00D410E0"/>
    <w:rsid w:val="00D413C1"/>
    <w:rsid w:val="00D414EF"/>
    <w:rsid w:val="00D415E9"/>
    <w:rsid w:val="00D41677"/>
    <w:rsid w:val="00D42E64"/>
    <w:rsid w:val="00D4361A"/>
    <w:rsid w:val="00D436C4"/>
    <w:rsid w:val="00D43B0F"/>
    <w:rsid w:val="00D43DE3"/>
    <w:rsid w:val="00D43E4C"/>
    <w:rsid w:val="00D45B92"/>
    <w:rsid w:val="00D462A0"/>
    <w:rsid w:val="00D46993"/>
    <w:rsid w:val="00D46DD9"/>
    <w:rsid w:val="00D504C3"/>
    <w:rsid w:val="00D50FA2"/>
    <w:rsid w:val="00D5168E"/>
    <w:rsid w:val="00D51CEE"/>
    <w:rsid w:val="00D51F65"/>
    <w:rsid w:val="00D528B7"/>
    <w:rsid w:val="00D53636"/>
    <w:rsid w:val="00D53B38"/>
    <w:rsid w:val="00D53D40"/>
    <w:rsid w:val="00D54D37"/>
    <w:rsid w:val="00D56CB5"/>
    <w:rsid w:val="00D56D30"/>
    <w:rsid w:val="00D57210"/>
    <w:rsid w:val="00D57DBF"/>
    <w:rsid w:val="00D60392"/>
    <w:rsid w:val="00D608F1"/>
    <w:rsid w:val="00D60B63"/>
    <w:rsid w:val="00D60C69"/>
    <w:rsid w:val="00D63626"/>
    <w:rsid w:val="00D63699"/>
    <w:rsid w:val="00D637A0"/>
    <w:rsid w:val="00D63C33"/>
    <w:rsid w:val="00D646EF"/>
    <w:rsid w:val="00D6548A"/>
    <w:rsid w:val="00D654AD"/>
    <w:rsid w:val="00D66937"/>
    <w:rsid w:val="00D705BA"/>
    <w:rsid w:val="00D707C0"/>
    <w:rsid w:val="00D72CED"/>
    <w:rsid w:val="00D72E8F"/>
    <w:rsid w:val="00D738FC"/>
    <w:rsid w:val="00D76182"/>
    <w:rsid w:val="00D762C0"/>
    <w:rsid w:val="00D7725C"/>
    <w:rsid w:val="00D778CC"/>
    <w:rsid w:val="00D7793A"/>
    <w:rsid w:val="00D8044D"/>
    <w:rsid w:val="00D816C4"/>
    <w:rsid w:val="00D82646"/>
    <w:rsid w:val="00D82E59"/>
    <w:rsid w:val="00D838D3"/>
    <w:rsid w:val="00D84C46"/>
    <w:rsid w:val="00D84F55"/>
    <w:rsid w:val="00D854B5"/>
    <w:rsid w:val="00D8571A"/>
    <w:rsid w:val="00D85AC5"/>
    <w:rsid w:val="00D86931"/>
    <w:rsid w:val="00D86BFC"/>
    <w:rsid w:val="00D86E75"/>
    <w:rsid w:val="00D86EB3"/>
    <w:rsid w:val="00D87046"/>
    <w:rsid w:val="00D87D47"/>
    <w:rsid w:val="00D90991"/>
    <w:rsid w:val="00D92C57"/>
    <w:rsid w:val="00D93609"/>
    <w:rsid w:val="00D93CF9"/>
    <w:rsid w:val="00D960FA"/>
    <w:rsid w:val="00D9627C"/>
    <w:rsid w:val="00D96A65"/>
    <w:rsid w:val="00D96BF1"/>
    <w:rsid w:val="00D96CCA"/>
    <w:rsid w:val="00DA0D87"/>
    <w:rsid w:val="00DA2234"/>
    <w:rsid w:val="00DA2645"/>
    <w:rsid w:val="00DA2A5F"/>
    <w:rsid w:val="00DA390A"/>
    <w:rsid w:val="00DA4A42"/>
    <w:rsid w:val="00DA5C5F"/>
    <w:rsid w:val="00DA60DA"/>
    <w:rsid w:val="00DA6BB5"/>
    <w:rsid w:val="00DB1068"/>
    <w:rsid w:val="00DB1AEC"/>
    <w:rsid w:val="00DB41BC"/>
    <w:rsid w:val="00DB4EF1"/>
    <w:rsid w:val="00DB6B74"/>
    <w:rsid w:val="00DB6D91"/>
    <w:rsid w:val="00DB6F8E"/>
    <w:rsid w:val="00DB70E9"/>
    <w:rsid w:val="00DB738B"/>
    <w:rsid w:val="00DB760F"/>
    <w:rsid w:val="00DB7E97"/>
    <w:rsid w:val="00DC0D8D"/>
    <w:rsid w:val="00DC1319"/>
    <w:rsid w:val="00DC1898"/>
    <w:rsid w:val="00DC1ECE"/>
    <w:rsid w:val="00DC3CFA"/>
    <w:rsid w:val="00DC4709"/>
    <w:rsid w:val="00DD0C2B"/>
    <w:rsid w:val="00DD0C41"/>
    <w:rsid w:val="00DD1831"/>
    <w:rsid w:val="00DD1D37"/>
    <w:rsid w:val="00DD33B9"/>
    <w:rsid w:val="00DD37A6"/>
    <w:rsid w:val="00DD51B4"/>
    <w:rsid w:val="00DD703E"/>
    <w:rsid w:val="00DE2A30"/>
    <w:rsid w:val="00DE3E38"/>
    <w:rsid w:val="00DE5418"/>
    <w:rsid w:val="00DE623D"/>
    <w:rsid w:val="00DE7108"/>
    <w:rsid w:val="00DE7A5F"/>
    <w:rsid w:val="00DE7C43"/>
    <w:rsid w:val="00DF0EBF"/>
    <w:rsid w:val="00DF11C1"/>
    <w:rsid w:val="00DF1511"/>
    <w:rsid w:val="00DF21E7"/>
    <w:rsid w:val="00DF3043"/>
    <w:rsid w:val="00DF4380"/>
    <w:rsid w:val="00DF4E3B"/>
    <w:rsid w:val="00DF5AF5"/>
    <w:rsid w:val="00DF79CE"/>
    <w:rsid w:val="00E0012D"/>
    <w:rsid w:val="00E0050C"/>
    <w:rsid w:val="00E01739"/>
    <w:rsid w:val="00E01A93"/>
    <w:rsid w:val="00E020BE"/>
    <w:rsid w:val="00E02E3C"/>
    <w:rsid w:val="00E03639"/>
    <w:rsid w:val="00E03869"/>
    <w:rsid w:val="00E039F0"/>
    <w:rsid w:val="00E0452A"/>
    <w:rsid w:val="00E05596"/>
    <w:rsid w:val="00E05B90"/>
    <w:rsid w:val="00E05EE1"/>
    <w:rsid w:val="00E06C83"/>
    <w:rsid w:val="00E06EC6"/>
    <w:rsid w:val="00E0743C"/>
    <w:rsid w:val="00E07652"/>
    <w:rsid w:val="00E0794D"/>
    <w:rsid w:val="00E10AD5"/>
    <w:rsid w:val="00E119A2"/>
    <w:rsid w:val="00E11F54"/>
    <w:rsid w:val="00E13F68"/>
    <w:rsid w:val="00E15B5D"/>
    <w:rsid w:val="00E16B8A"/>
    <w:rsid w:val="00E2084D"/>
    <w:rsid w:val="00E210CD"/>
    <w:rsid w:val="00E2112E"/>
    <w:rsid w:val="00E228F0"/>
    <w:rsid w:val="00E25009"/>
    <w:rsid w:val="00E25594"/>
    <w:rsid w:val="00E257BF"/>
    <w:rsid w:val="00E25F23"/>
    <w:rsid w:val="00E25F46"/>
    <w:rsid w:val="00E278D8"/>
    <w:rsid w:val="00E27DA1"/>
    <w:rsid w:val="00E31B6E"/>
    <w:rsid w:val="00E3259C"/>
    <w:rsid w:val="00E3363D"/>
    <w:rsid w:val="00E34E54"/>
    <w:rsid w:val="00E35986"/>
    <w:rsid w:val="00E367D1"/>
    <w:rsid w:val="00E4174D"/>
    <w:rsid w:val="00E41A64"/>
    <w:rsid w:val="00E43281"/>
    <w:rsid w:val="00E43F2B"/>
    <w:rsid w:val="00E44389"/>
    <w:rsid w:val="00E4488C"/>
    <w:rsid w:val="00E44A30"/>
    <w:rsid w:val="00E45781"/>
    <w:rsid w:val="00E45A3F"/>
    <w:rsid w:val="00E465A9"/>
    <w:rsid w:val="00E504AD"/>
    <w:rsid w:val="00E50B78"/>
    <w:rsid w:val="00E51E73"/>
    <w:rsid w:val="00E520F2"/>
    <w:rsid w:val="00E53A68"/>
    <w:rsid w:val="00E53CB3"/>
    <w:rsid w:val="00E54A61"/>
    <w:rsid w:val="00E550C1"/>
    <w:rsid w:val="00E56858"/>
    <w:rsid w:val="00E5793E"/>
    <w:rsid w:val="00E60028"/>
    <w:rsid w:val="00E60A05"/>
    <w:rsid w:val="00E60D97"/>
    <w:rsid w:val="00E61158"/>
    <w:rsid w:val="00E61438"/>
    <w:rsid w:val="00E61668"/>
    <w:rsid w:val="00E62183"/>
    <w:rsid w:val="00E6220E"/>
    <w:rsid w:val="00E62C84"/>
    <w:rsid w:val="00E62F0D"/>
    <w:rsid w:val="00E62F9A"/>
    <w:rsid w:val="00E635AF"/>
    <w:rsid w:val="00E63D39"/>
    <w:rsid w:val="00E647F7"/>
    <w:rsid w:val="00E64820"/>
    <w:rsid w:val="00E65DB5"/>
    <w:rsid w:val="00E65EB0"/>
    <w:rsid w:val="00E700F6"/>
    <w:rsid w:val="00E71014"/>
    <w:rsid w:val="00E71687"/>
    <w:rsid w:val="00E71C50"/>
    <w:rsid w:val="00E71DE2"/>
    <w:rsid w:val="00E74111"/>
    <w:rsid w:val="00E74C33"/>
    <w:rsid w:val="00E751B8"/>
    <w:rsid w:val="00E7588D"/>
    <w:rsid w:val="00E75920"/>
    <w:rsid w:val="00E76D2F"/>
    <w:rsid w:val="00E76E77"/>
    <w:rsid w:val="00E80125"/>
    <w:rsid w:val="00E801B4"/>
    <w:rsid w:val="00E8074E"/>
    <w:rsid w:val="00E815A5"/>
    <w:rsid w:val="00E81C48"/>
    <w:rsid w:val="00E8436C"/>
    <w:rsid w:val="00E84D23"/>
    <w:rsid w:val="00E853BD"/>
    <w:rsid w:val="00E86963"/>
    <w:rsid w:val="00E872BC"/>
    <w:rsid w:val="00E90B70"/>
    <w:rsid w:val="00E9120C"/>
    <w:rsid w:val="00E912B5"/>
    <w:rsid w:val="00E91327"/>
    <w:rsid w:val="00E917E7"/>
    <w:rsid w:val="00E921A6"/>
    <w:rsid w:val="00E93317"/>
    <w:rsid w:val="00E93E52"/>
    <w:rsid w:val="00E956EC"/>
    <w:rsid w:val="00E96362"/>
    <w:rsid w:val="00E97998"/>
    <w:rsid w:val="00EA0139"/>
    <w:rsid w:val="00EA0F98"/>
    <w:rsid w:val="00EA247C"/>
    <w:rsid w:val="00EA37A3"/>
    <w:rsid w:val="00EA4E51"/>
    <w:rsid w:val="00EA5784"/>
    <w:rsid w:val="00EA5EAD"/>
    <w:rsid w:val="00EA6348"/>
    <w:rsid w:val="00EB0199"/>
    <w:rsid w:val="00EB021B"/>
    <w:rsid w:val="00EB0852"/>
    <w:rsid w:val="00EB0D34"/>
    <w:rsid w:val="00EB19E7"/>
    <w:rsid w:val="00EB39A5"/>
    <w:rsid w:val="00EB3D85"/>
    <w:rsid w:val="00EB4127"/>
    <w:rsid w:val="00EB6331"/>
    <w:rsid w:val="00EC0F87"/>
    <w:rsid w:val="00EC1C9A"/>
    <w:rsid w:val="00EC45D4"/>
    <w:rsid w:val="00EC4EC5"/>
    <w:rsid w:val="00EC56E6"/>
    <w:rsid w:val="00EC7271"/>
    <w:rsid w:val="00EC77DE"/>
    <w:rsid w:val="00ED051A"/>
    <w:rsid w:val="00ED198C"/>
    <w:rsid w:val="00ED2782"/>
    <w:rsid w:val="00ED32AF"/>
    <w:rsid w:val="00ED4512"/>
    <w:rsid w:val="00ED474C"/>
    <w:rsid w:val="00ED5350"/>
    <w:rsid w:val="00ED7116"/>
    <w:rsid w:val="00ED7156"/>
    <w:rsid w:val="00ED7858"/>
    <w:rsid w:val="00ED7B70"/>
    <w:rsid w:val="00EE0DE7"/>
    <w:rsid w:val="00EE1E70"/>
    <w:rsid w:val="00EE2142"/>
    <w:rsid w:val="00EE372A"/>
    <w:rsid w:val="00EE5811"/>
    <w:rsid w:val="00EE6E26"/>
    <w:rsid w:val="00EE7923"/>
    <w:rsid w:val="00EE7945"/>
    <w:rsid w:val="00EE7CD2"/>
    <w:rsid w:val="00EF0ACE"/>
    <w:rsid w:val="00EF0B95"/>
    <w:rsid w:val="00EF47AA"/>
    <w:rsid w:val="00EF5680"/>
    <w:rsid w:val="00EF5F6F"/>
    <w:rsid w:val="00EF6BF9"/>
    <w:rsid w:val="00EF6D68"/>
    <w:rsid w:val="00EF6E24"/>
    <w:rsid w:val="00F01AAF"/>
    <w:rsid w:val="00F01AE4"/>
    <w:rsid w:val="00F01FBD"/>
    <w:rsid w:val="00F023E9"/>
    <w:rsid w:val="00F0340D"/>
    <w:rsid w:val="00F04F9B"/>
    <w:rsid w:val="00F06BA1"/>
    <w:rsid w:val="00F077B8"/>
    <w:rsid w:val="00F07B55"/>
    <w:rsid w:val="00F10050"/>
    <w:rsid w:val="00F11BFF"/>
    <w:rsid w:val="00F12132"/>
    <w:rsid w:val="00F12F3E"/>
    <w:rsid w:val="00F135AD"/>
    <w:rsid w:val="00F138FB"/>
    <w:rsid w:val="00F1397D"/>
    <w:rsid w:val="00F14A84"/>
    <w:rsid w:val="00F153FF"/>
    <w:rsid w:val="00F158C5"/>
    <w:rsid w:val="00F15A26"/>
    <w:rsid w:val="00F16673"/>
    <w:rsid w:val="00F16A50"/>
    <w:rsid w:val="00F178A2"/>
    <w:rsid w:val="00F1795A"/>
    <w:rsid w:val="00F20EC7"/>
    <w:rsid w:val="00F2191D"/>
    <w:rsid w:val="00F22849"/>
    <w:rsid w:val="00F22CF0"/>
    <w:rsid w:val="00F23070"/>
    <w:rsid w:val="00F2375D"/>
    <w:rsid w:val="00F2394D"/>
    <w:rsid w:val="00F23C3E"/>
    <w:rsid w:val="00F24305"/>
    <w:rsid w:val="00F24576"/>
    <w:rsid w:val="00F2492E"/>
    <w:rsid w:val="00F24B6D"/>
    <w:rsid w:val="00F24C94"/>
    <w:rsid w:val="00F25035"/>
    <w:rsid w:val="00F2573B"/>
    <w:rsid w:val="00F25749"/>
    <w:rsid w:val="00F26E2A"/>
    <w:rsid w:val="00F30E75"/>
    <w:rsid w:val="00F31ED2"/>
    <w:rsid w:val="00F32948"/>
    <w:rsid w:val="00F32BB1"/>
    <w:rsid w:val="00F32F18"/>
    <w:rsid w:val="00F35239"/>
    <w:rsid w:val="00F37542"/>
    <w:rsid w:val="00F376A5"/>
    <w:rsid w:val="00F37ECA"/>
    <w:rsid w:val="00F401EC"/>
    <w:rsid w:val="00F4021F"/>
    <w:rsid w:val="00F4064E"/>
    <w:rsid w:val="00F40900"/>
    <w:rsid w:val="00F41640"/>
    <w:rsid w:val="00F41C2E"/>
    <w:rsid w:val="00F43EB7"/>
    <w:rsid w:val="00F44DE7"/>
    <w:rsid w:val="00F453FF"/>
    <w:rsid w:val="00F4541D"/>
    <w:rsid w:val="00F45571"/>
    <w:rsid w:val="00F45A6A"/>
    <w:rsid w:val="00F464E2"/>
    <w:rsid w:val="00F47648"/>
    <w:rsid w:val="00F47A36"/>
    <w:rsid w:val="00F47D1E"/>
    <w:rsid w:val="00F50DD1"/>
    <w:rsid w:val="00F50FDC"/>
    <w:rsid w:val="00F516A6"/>
    <w:rsid w:val="00F51709"/>
    <w:rsid w:val="00F517EB"/>
    <w:rsid w:val="00F52528"/>
    <w:rsid w:val="00F530A2"/>
    <w:rsid w:val="00F54279"/>
    <w:rsid w:val="00F5430C"/>
    <w:rsid w:val="00F54656"/>
    <w:rsid w:val="00F569EA"/>
    <w:rsid w:val="00F602F0"/>
    <w:rsid w:val="00F60655"/>
    <w:rsid w:val="00F60F13"/>
    <w:rsid w:val="00F60F8F"/>
    <w:rsid w:val="00F62647"/>
    <w:rsid w:val="00F62BBD"/>
    <w:rsid w:val="00F646AD"/>
    <w:rsid w:val="00F65001"/>
    <w:rsid w:val="00F65FEC"/>
    <w:rsid w:val="00F66C7F"/>
    <w:rsid w:val="00F6708B"/>
    <w:rsid w:val="00F67FED"/>
    <w:rsid w:val="00F70849"/>
    <w:rsid w:val="00F70B89"/>
    <w:rsid w:val="00F72046"/>
    <w:rsid w:val="00F7319A"/>
    <w:rsid w:val="00F73A6A"/>
    <w:rsid w:val="00F74278"/>
    <w:rsid w:val="00F7526C"/>
    <w:rsid w:val="00F75557"/>
    <w:rsid w:val="00F7670D"/>
    <w:rsid w:val="00F779DC"/>
    <w:rsid w:val="00F801A8"/>
    <w:rsid w:val="00F80622"/>
    <w:rsid w:val="00F8062B"/>
    <w:rsid w:val="00F81A8D"/>
    <w:rsid w:val="00F81F96"/>
    <w:rsid w:val="00F82C49"/>
    <w:rsid w:val="00F83282"/>
    <w:rsid w:val="00F86267"/>
    <w:rsid w:val="00F867ED"/>
    <w:rsid w:val="00F86A0A"/>
    <w:rsid w:val="00F86BE4"/>
    <w:rsid w:val="00F86E52"/>
    <w:rsid w:val="00F86F19"/>
    <w:rsid w:val="00F87BFE"/>
    <w:rsid w:val="00F90314"/>
    <w:rsid w:val="00F90895"/>
    <w:rsid w:val="00F90DC4"/>
    <w:rsid w:val="00F9174E"/>
    <w:rsid w:val="00F91860"/>
    <w:rsid w:val="00F93CB9"/>
    <w:rsid w:val="00F94678"/>
    <w:rsid w:val="00F9564E"/>
    <w:rsid w:val="00F96ABA"/>
    <w:rsid w:val="00F97398"/>
    <w:rsid w:val="00F9791C"/>
    <w:rsid w:val="00FA1DAC"/>
    <w:rsid w:val="00FA24B9"/>
    <w:rsid w:val="00FA2F20"/>
    <w:rsid w:val="00FA39DD"/>
    <w:rsid w:val="00FA3B1D"/>
    <w:rsid w:val="00FA4416"/>
    <w:rsid w:val="00FA49B5"/>
    <w:rsid w:val="00FA4ECB"/>
    <w:rsid w:val="00FA5E56"/>
    <w:rsid w:val="00FA616C"/>
    <w:rsid w:val="00FA6716"/>
    <w:rsid w:val="00FA687A"/>
    <w:rsid w:val="00FA68AA"/>
    <w:rsid w:val="00FA6F90"/>
    <w:rsid w:val="00FA7374"/>
    <w:rsid w:val="00FB15CD"/>
    <w:rsid w:val="00FB1F34"/>
    <w:rsid w:val="00FB2ADC"/>
    <w:rsid w:val="00FB2B3C"/>
    <w:rsid w:val="00FB2C10"/>
    <w:rsid w:val="00FB35A7"/>
    <w:rsid w:val="00FB3D45"/>
    <w:rsid w:val="00FB751F"/>
    <w:rsid w:val="00FC04DF"/>
    <w:rsid w:val="00FC06E5"/>
    <w:rsid w:val="00FC0785"/>
    <w:rsid w:val="00FC09DC"/>
    <w:rsid w:val="00FC1E33"/>
    <w:rsid w:val="00FC28D1"/>
    <w:rsid w:val="00FC2A40"/>
    <w:rsid w:val="00FC422C"/>
    <w:rsid w:val="00FC57EA"/>
    <w:rsid w:val="00FC5EEC"/>
    <w:rsid w:val="00FC6A37"/>
    <w:rsid w:val="00FC7297"/>
    <w:rsid w:val="00FC7A22"/>
    <w:rsid w:val="00FD0DAC"/>
    <w:rsid w:val="00FD157E"/>
    <w:rsid w:val="00FD18FE"/>
    <w:rsid w:val="00FD1CAE"/>
    <w:rsid w:val="00FD2026"/>
    <w:rsid w:val="00FD2098"/>
    <w:rsid w:val="00FD274E"/>
    <w:rsid w:val="00FD2D8D"/>
    <w:rsid w:val="00FD394E"/>
    <w:rsid w:val="00FD436F"/>
    <w:rsid w:val="00FD4FB8"/>
    <w:rsid w:val="00FD511D"/>
    <w:rsid w:val="00FD52F8"/>
    <w:rsid w:val="00FD586F"/>
    <w:rsid w:val="00FD787D"/>
    <w:rsid w:val="00FD7F6F"/>
    <w:rsid w:val="00FE191A"/>
    <w:rsid w:val="00FE25D4"/>
    <w:rsid w:val="00FE342C"/>
    <w:rsid w:val="00FE37B9"/>
    <w:rsid w:val="00FE3C3B"/>
    <w:rsid w:val="00FE5D79"/>
    <w:rsid w:val="00FE6B68"/>
    <w:rsid w:val="00FE6B71"/>
    <w:rsid w:val="00FF1429"/>
    <w:rsid w:val="00FF2303"/>
    <w:rsid w:val="00FF2495"/>
    <w:rsid w:val="00FF298F"/>
    <w:rsid w:val="00FF3B55"/>
    <w:rsid w:val="00FF4791"/>
    <w:rsid w:val="00FF4FBD"/>
    <w:rsid w:val="00FF5148"/>
    <w:rsid w:val="00FF6011"/>
    <w:rsid w:val="00FF64AF"/>
    <w:rsid w:val="00FF67E5"/>
    <w:rsid w:val="00FF6E3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64897"/>
    <o:shapelayout v:ext="edit">
      <o:idmap v:ext="edit" data="1"/>
    </o:shapelayout>
  </w:shapeDefaults>
  <w:decimalSymbol w:val=","/>
  <w:listSeparator w:val=";"/>
  <w14:docId w14:val="7F5E1FEF"/>
  <w15:chartTrackingRefBased/>
  <w15:docId w15:val="{2FC91371-F979-494B-8981-BE73622B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431"/>
    <w:rPr>
      <w:rFonts w:eastAsia="Times New Roman" w:cs="Times New Roman"/>
      <w:szCs w:val="24"/>
      <w:lang w:eastAsia="lv-LV"/>
    </w:rPr>
  </w:style>
  <w:style w:type="paragraph" w:styleId="Heading2">
    <w:name w:val="heading 2"/>
    <w:basedOn w:val="Normal"/>
    <w:next w:val="Normal"/>
    <w:link w:val="Heading2Char"/>
    <w:uiPriority w:val="9"/>
    <w:semiHidden/>
    <w:unhideWhenUsed/>
    <w:qFormat/>
    <w:rsid w:val="001455C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62C8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46431"/>
    <w:rPr>
      <w:rFonts w:cs="Times New Roman"/>
      <w:color w:val="0000FF"/>
      <w:u w:val="single"/>
    </w:rPr>
  </w:style>
  <w:style w:type="paragraph" w:styleId="NormalWeb">
    <w:name w:val="Normal (Web)"/>
    <w:basedOn w:val="Normal"/>
    <w:uiPriority w:val="99"/>
    <w:rsid w:val="00946431"/>
    <w:pPr>
      <w:spacing w:before="100" w:beforeAutospacing="1" w:after="100" w:afterAutospacing="1"/>
    </w:pPr>
  </w:style>
  <w:style w:type="paragraph" w:customStyle="1" w:styleId="naisf">
    <w:name w:val="naisf"/>
    <w:basedOn w:val="Normal"/>
    <w:rsid w:val="00946431"/>
    <w:pPr>
      <w:spacing w:before="75" w:after="75"/>
      <w:ind w:firstLine="375"/>
      <w:jc w:val="both"/>
    </w:pPr>
  </w:style>
  <w:style w:type="paragraph" w:customStyle="1" w:styleId="naisnod">
    <w:name w:val="naisnod"/>
    <w:basedOn w:val="Normal"/>
    <w:rsid w:val="00946431"/>
    <w:pPr>
      <w:spacing w:before="150" w:after="150"/>
      <w:jc w:val="center"/>
    </w:pPr>
    <w:rPr>
      <w:b/>
      <w:bCs/>
    </w:rPr>
  </w:style>
  <w:style w:type="paragraph" w:customStyle="1" w:styleId="naiskr">
    <w:name w:val="naiskr"/>
    <w:basedOn w:val="Normal"/>
    <w:rsid w:val="00946431"/>
    <w:pPr>
      <w:spacing w:before="75" w:after="75"/>
    </w:pPr>
  </w:style>
  <w:style w:type="paragraph" w:customStyle="1" w:styleId="naisc">
    <w:name w:val="naisc"/>
    <w:basedOn w:val="Normal"/>
    <w:uiPriority w:val="99"/>
    <w:rsid w:val="00946431"/>
    <w:pPr>
      <w:spacing w:before="75" w:after="75"/>
      <w:jc w:val="center"/>
    </w:pPr>
  </w:style>
  <w:style w:type="paragraph" w:styleId="Header">
    <w:name w:val="header"/>
    <w:basedOn w:val="Normal"/>
    <w:link w:val="HeaderChar"/>
    <w:uiPriority w:val="99"/>
    <w:rsid w:val="00946431"/>
    <w:pPr>
      <w:tabs>
        <w:tab w:val="center" w:pos="4153"/>
        <w:tab w:val="right" w:pos="8306"/>
      </w:tabs>
    </w:pPr>
  </w:style>
  <w:style w:type="character" w:customStyle="1" w:styleId="HeaderChar">
    <w:name w:val="Header Char"/>
    <w:basedOn w:val="DefaultParagraphFont"/>
    <w:link w:val="Header"/>
    <w:uiPriority w:val="99"/>
    <w:rsid w:val="00946431"/>
    <w:rPr>
      <w:rFonts w:eastAsia="Times New Roman" w:cs="Times New Roman"/>
      <w:szCs w:val="24"/>
      <w:lang w:eastAsia="lv-LV"/>
    </w:rPr>
  </w:style>
  <w:style w:type="character" w:styleId="PageNumber">
    <w:name w:val="page number"/>
    <w:uiPriority w:val="99"/>
    <w:rsid w:val="00946431"/>
    <w:rPr>
      <w:rFonts w:cs="Times New Roman"/>
    </w:rPr>
  </w:style>
  <w:style w:type="paragraph" w:styleId="Footer">
    <w:name w:val="footer"/>
    <w:basedOn w:val="Normal"/>
    <w:link w:val="FooterChar"/>
    <w:uiPriority w:val="99"/>
    <w:rsid w:val="00946431"/>
    <w:pPr>
      <w:tabs>
        <w:tab w:val="center" w:pos="4153"/>
        <w:tab w:val="right" w:pos="8306"/>
      </w:tabs>
    </w:pPr>
  </w:style>
  <w:style w:type="character" w:customStyle="1" w:styleId="FooterChar">
    <w:name w:val="Footer Char"/>
    <w:basedOn w:val="DefaultParagraphFont"/>
    <w:link w:val="Footer"/>
    <w:uiPriority w:val="99"/>
    <w:rsid w:val="00946431"/>
    <w:rPr>
      <w:rFonts w:eastAsia="Times New Roman" w:cs="Times New Roman"/>
      <w:szCs w:val="24"/>
      <w:lang w:eastAsia="lv-LV"/>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Normal numbered"/>
    <w:basedOn w:val="Normal"/>
    <w:link w:val="ListParagraphChar"/>
    <w:uiPriority w:val="34"/>
    <w:qFormat/>
    <w:rsid w:val="00946431"/>
    <w:pPr>
      <w:spacing w:after="200" w:line="276" w:lineRule="auto"/>
      <w:ind w:left="720"/>
      <w:contextualSpacing/>
    </w:pPr>
    <w:rPr>
      <w:rFonts w:ascii="Calibri" w:hAnsi="Calibri"/>
      <w:sz w:val="22"/>
      <w:szCs w:val="22"/>
      <w:lang w:eastAsia="en-US"/>
    </w:rPr>
  </w:style>
  <w:style w:type="paragraph" w:styleId="BodyText">
    <w:name w:val="Body Text"/>
    <w:basedOn w:val="Normal"/>
    <w:link w:val="BodyTextChar"/>
    <w:uiPriority w:val="99"/>
    <w:unhideWhenUsed/>
    <w:rsid w:val="00946431"/>
    <w:pPr>
      <w:spacing w:after="120"/>
    </w:pPr>
  </w:style>
  <w:style w:type="character" w:customStyle="1" w:styleId="BodyTextChar">
    <w:name w:val="Body Text Char"/>
    <w:basedOn w:val="DefaultParagraphFont"/>
    <w:link w:val="BodyText"/>
    <w:uiPriority w:val="99"/>
    <w:rsid w:val="00946431"/>
    <w:rPr>
      <w:rFonts w:eastAsia="Times New Roman" w:cs="Times New Roman"/>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qFormat/>
    <w:rsid w:val="00115C90"/>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115C90"/>
    <w:rPr>
      <w:rFonts w:eastAsia="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115C90"/>
    <w:rPr>
      <w:vertAlign w:val="superscript"/>
    </w:rPr>
  </w:style>
  <w:style w:type="paragraph" w:styleId="CommentText">
    <w:name w:val="annotation text"/>
    <w:basedOn w:val="Normal"/>
    <w:link w:val="CommentTextChar"/>
    <w:uiPriority w:val="99"/>
    <w:rsid w:val="001963BC"/>
    <w:pPr>
      <w:jc w:val="both"/>
    </w:pPr>
    <w:rPr>
      <w:sz w:val="20"/>
      <w:szCs w:val="20"/>
      <w:lang w:eastAsia="en-US"/>
    </w:rPr>
  </w:style>
  <w:style w:type="character" w:customStyle="1" w:styleId="CommentTextChar">
    <w:name w:val="Comment Text Char"/>
    <w:basedOn w:val="DefaultParagraphFont"/>
    <w:link w:val="CommentText"/>
    <w:uiPriority w:val="99"/>
    <w:rsid w:val="001963BC"/>
    <w:rPr>
      <w:rFonts w:eastAsia="Times New Roman" w:cs="Times New Roman"/>
      <w:sz w:val="20"/>
      <w:szCs w:val="20"/>
    </w:rPr>
  </w:style>
  <w:style w:type="character" w:styleId="CommentReference">
    <w:name w:val="annotation reference"/>
    <w:basedOn w:val="DefaultParagraphFont"/>
    <w:uiPriority w:val="99"/>
    <w:unhideWhenUsed/>
    <w:rsid w:val="00541391"/>
    <w:rPr>
      <w:sz w:val="16"/>
      <w:szCs w:val="16"/>
    </w:rPr>
  </w:style>
  <w:style w:type="paragraph" w:styleId="CommentSubject">
    <w:name w:val="annotation subject"/>
    <w:basedOn w:val="CommentText"/>
    <w:next w:val="CommentText"/>
    <w:link w:val="CommentSubjectChar"/>
    <w:uiPriority w:val="99"/>
    <w:semiHidden/>
    <w:unhideWhenUsed/>
    <w:rsid w:val="00541391"/>
    <w:pPr>
      <w:jc w:val="left"/>
    </w:pPr>
    <w:rPr>
      <w:b/>
      <w:bCs/>
      <w:lang w:eastAsia="lv-LV"/>
    </w:rPr>
  </w:style>
  <w:style w:type="character" w:customStyle="1" w:styleId="CommentSubjectChar">
    <w:name w:val="Comment Subject Char"/>
    <w:basedOn w:val="CommentTextChar"/>
    <w:link w:val="CommentSubject"/>
    <w:uiPriority w:val="99"/>
    <w:semiHidden/>
    <w:rsid w:val="00541391"/>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5413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391"/>
    <w:rPr>
      <w:rFonts w:ascii="Segoe UI" w:eastAsia="Times New Roman" w:hAnsi="Segoe UI" w:cs="Segoe UI"/>
      <w:sz w:val="18"/>
      <w:szCs w:val="18"/>
      <w:lang w:eastAsia="lv-LV"/>
    </w:rPr>
  </w:style>
  <w:style w:type="paragraph" w:customStyle="1" w:styleId="Default">
    <w:name w:val="Default"/>
    <w:rsid w:val="00514346"/>
    <w:pPr>
      <w:autoSpaceDE w:val="0"/>
      <w:autoSpaceDN w:val="0"/>
      <w:adjustRightInd w:val="0"/>
    </w:pPr>
    <w:rPr>
      <w:rFonts w:eastAsia="Calibri" w:cs="Times New Roman"/>
      <w:color w:val="000000"/>
      <w:szCs w:val="24"/>
    </w:rPr>
  </w:style>
  <w:style w:type="paragraph" w:styleId="Title">
    <w:name w:val="Title"/>
    <w:basedOn w:val="Normal"/>
    <w:link w:val="TitleChar"/>
    <w:qFormat/>
    <w:rsid w:val="00BD692D"/>
    <w:pPr>
      <w:jc w:val="center"/>
    </w:pPr>
    <w:rPr>
      <w:b/>
      <w:sz w:val="28"/>
      <w:szCs w:val="28"/>
    </w:rPr>
  </w:style>
  <w:style w:type="character" w:customStyle="1" w:styleId="TitleChar">
    <w:name w:val="Title Char"/>
    <w:basedOn w:val="DefaultParagraphFont"/>
    <w:link w:val="Title"/>
    <w:rsid w:val="00BD692D"/>
    <w:rPr>
      <w:rFonts w:eastAsia="Times New Roman" w:cs="Times New Roman"/>
      <w:b/>
      <w:sz w:val="28"/>
      <w:szCs w:val="28"/>
      <w:lang w:eastAsia="lv-LV"/>
    </w:rPr>
  </w:style>
  <w:style w:type="paragraph" w:styleId="BodyText2">
    <w:name w:val="Body Text 2"/>
    <w:basedOn w:val="Normal"/>
    <w:link w:val="BodyText2Char"/>
    <w:uiPriority w:val="99"/>
    <w:unhideWhenUsed/>
    <w:rsid w:val="007E2721"/>
    <w:pPr>
      <w:spacing w:after="120" w:line="480" w:lineRule="auto"/>
    </w:pPr>
  </w:style>
  <w:style w:type="character" w:customStyle="1" w:styleId="BodyText2Char">
    <w:name w:val="Body Text 2 Char"/>
    <w:basedOn w:val="DefaultParagraphFont"/>
    <w:link w:val="BodyText2"/>
    <w:uiPriority w:val="99"/>
    <w:rsid w:val="007E2721"/>
    <w:rPr>
      <w:rFonts w:eastAsia="Times New Roman" w:cs="Times New Roman"/>
      <w:szCs w:val="24"/>
      <w:lang w:eastAsia="lv-LV"/>
    </w:rPr>
  </w:style>
  <w:style w:type="paragraph" w:customStyle="1" w:styleId="2lmenis">
    <w:name w:val="2.līmenis"/>
    <w:basedOn w:val="Heading2"/>
    <w:link w:val="2lmenisChar"/>
    <w:qFormat/>
    <w:rsid w:val="001455CD"/>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1455CD"/>
    <w:rPr>
      <w:rFonts w:eastAsia="Times New Roman" w:cs="Times New Roman"/>
      <w:b/>
      <w:iCs/>
      <w:sz w:val="28"/>
      <w:szCs w:val="28"/>
    </w:rPr>
  </w:style>
  <w:style w:type="character" w:customStyle="1" w:styleId="Heading2Char">
    <w:name w:val="Heading 2 Char"/>
    <w:basedOn w:val="DefaultParagraphFont"/>
    <w:link w:val="Heading2"/>
    <w:uiPriority w:val="9"/>
    <w:semiHidden/>
    <w:rsid w:val="001455CD"/>
    <w:rPr>
      <w:rFonts w:asciiTheme="majorHAnsi" w:eastAsiaTheme="majorEastAsia" w:hAnsiTheme="majorHAnsi" w:cstheme="majorBidi"/>
      <w:color w:val="2E74B5" w:themeColor="accent1" w:themeShade="BF"/>
      <w:sz w:val="26"/>
      <w:szCs w:val="26"/>
      <w:lang w:eastAsia="lv-LV"/>
    </w:rPr>
  </w:style>
  <w:style w:type="paragraph" w:styleId="BodyTextIndent">
    <w:name w:val="Body Text Indent"/>
    <w:basedOn w:val="Normal"/>
    <w:link w:val="BodyTextIndentChar"/>
    <w:rsid w:val="00683E97"/>
    <w:pPr>
      <w:spacing w:after="120"/>
      <w:ind w:left="283"/>
    </w:pPr>
    <w:rPr>
      <w:lang w:eastAsia="en-US"/>
    </w:rPr>
  </w:style>
  <w:style w:type="character" w:customStyle="1" w:styleId="BodyTextIndentChar">
    <w:name w:val="Body Text Indent Char"/>
    <w:basedOn w:val="DefaultParagraphFont"/>
    <w:link w:val="BodyTextIndent"/>
    <w:uiPriority w:val="99"/>
    <w:rsid w:val="00683E97"/>
    <w:rPr>
      <w:rFonts w:eastAsia="Times New Roman" w:cs="Times New Roman"/>
      <w:szCs w:val="24"/>
    </w:rPr>
  </w:style>
  <w:style w:type="paragraph" w:styleId="Revision">
    <w:name w:val="Revision"/>
    <w:hidden/>
    <w:uiPriority w:val="99"/>
    <w:semiHidden/>
    <w:rsid w:val="006A741D"/>
    <w:rPr>
      <w:rFonts w:eastAsia="Times New Roman" w:cs="Times New Roman"/>
      <w:szCs w:val="24"/>
      <w:lang w:eastAsia="lv-LV"/>
    </w:rPr>
  </w:style>
  <w:style w:type="character" w:customStyle="1" w:styleId="Bodytext0">
    <w:name w:val="Body text_"/>
    <w:basedOn w:val="DefaultParagraphFont"/>
    <w:link w:val="BodyText1"/>
    <w:rsid w:val="001E1502"/>
    <w:rPr>
      <w:rFonts w:eastAsia="Times New Roman" w:cs="Times New Roman"/>
      <w:sz w:val="23"/>
      <w:szCs w:val="23"/>
      <w:shd w:val="clear" w:color="auto" w:fill="FFFFFF"/>
    </w:rPr>
  </w:style>
  <w:style w:type="paragraph" w:customStyle="1" w:styleId="BodyText1">
    <w:name w:val="Body Text1"/>
    <w:basedOn w:val="Normal"/>
    <w:link w:val="Bodytext0"/>
    <w:rsid w:val="001E1502"/>
    <w:pPr>
      <w:widowControl w:val="0"/>
      <w:shd w:val="clear" w:color="auto" w:fill="FFFFFF"/>
      <w:spacing w:before="240" w:after="480" w:line="0" w:lineRule="atLeast"/>
    </w:pPr>
    <w:rPr>
      <w:sz w:val="23"/>
      <w:szCs w:val="23"/>
      <w:lang w:eastAsia="en-US"/>
    </w:rPr>
  </w:style>
  <w:style w:type="paragraph" w:customStyle="1" w:styleId="3lmenis">
    <w:name w:val="3.līmenis"/>
    <w:basedOn w:val="Heading3"/>
    <w:link w:val="3lmenisChar"/>
    <w:autoRedefine/>
    <w:qFormat/>
    <w:rsid w:val="00E62C84"/>
    <w:pPr>
      <w:numPr>
        <w:ilvl w:val="2"/>
        <w:numId w:val="3"/>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E62C84"/>
    <w:rPr>
      <w:rFonts w:eastAsiaTheme="majorEastAsia" w:cstheme="majorBidi"/>
      <w:b/>
      <w:iCs w:val="0"/>
      <w:color w:val="000000"/>
      <w:sz w:val="28"/>
      <w:szCs w:val="24"/>
    </w:rPr>
  </w:style>
  <w:style w:type="character" w:customStyle="1" w:styleId="Heading3Char">
    <w:name w:val="Heading 3 Char"/>
    <w:basedOn w:val="DefaultParagraphFont"/>
    <w:link w:val="Heading3"/>
    <w:uiPriority w:val="9"/>
    <w:semiHidden/>
    <w:rsid w:val="00E62C84"/>
    <w:rPr>
      <w:rFonts w:asciiTheme="majorHAnsi" w:eastAsiaTheme="majorEastAsia" w:hAnsiTheme="majorHAnsi" w:cstheme="majorBidi"/>
      <w:color w:val="1F4D78" w:themeColor="accent1" w:themeShade="7F"/>
      <w:szCs w:val="24"/>
      <w:lang w:eastAsia="lv-LV"/>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7B0E6D"/>
    <w:rPr>
      <w:rFonts w:ascii="Calibri" w:eastAsia="Times New Roman" w:hAnsi="Calibri" w:cs="Times New Roman"/>
      <w:sz w:val="22"/>
    </w:rPr>
  </w:style>
  <w:style w:type="paragraph" w:styleId="EnvelopeReturn">
    <w:name w:val="envelope return"/>
    <w:basedOn w:val="Normal"/>
    <w:rsid w:val="009F50FC"/>
    <w:pPr>
      <w:keepLines/>
      <w:widowControl w:val="0"/>
      <w:spacing w:before="600"/>
    </w:pPr>
    <w:rPr>
      <w:sz w:val="26"/>
      <w:szCs w:val="20"/>
      <w:lang w:eastAsia="en-US"/>
    </w:rPr>
  </w:style>
  <w:style w:type="character" w:customStyle="1" w:styleId="c4">
    <w:name w:val="c4"/>
    <w:basedOn w:val="DefaultParagraphFont"/>
    <w:rsid w:val="009F50FC"/>
  </w:style>
  <w:style w:type="paragraph" w:styleId="NoSpacing">
    <w:name w:val="No Spacing"/>
    <w:uiPriority w:val="1"/>
    <w:qFormat/>
    <w:rsid w:val="001E785F"/>
    <w:rPr>
      <w:rFonts w:asciiTheme="minorHAnsi" w:hAnsiTheme="minorHAnsi"/>
      <w:sz w:val="22"/>
    </w:rPr>
  </w:style>
  <w:style w:type="character" w:styleId="FollowedHyperlink">
    <w:name w:val="FollowedHyperlink"/>
    <w:basedOn w:val="DefaultParagraphFont"/>
    <w:uiPriority w:val="99"/>
    <w:semiHidden/>
    <w:unhideWhenUsed/>
    <w:rsid w:val="00DA390A"/>
    <w:rPr>
      <w:color w:val="954F72" w:themeColor="followedHyperlink"/>
      <w:u w:val="single"/>
    </w:rPr>
  </w:style>
  <w:style w:type="character" w:styleId="Strong">
    <w:name w:val="Strong"/>
    <w:basedOn w:val="DefaultParagraphFont"/>
    <w:uiPriority w:val="22"/>
    <w:qFormat/>
    <w:rsid w:val="00BB591A"/>
    <w:rPr>
      <w:b/>
      <w:bCs/>
    </w:rPr>
  </w:style>
  <w:style w:type="paragraph" w:customStyle="1" w:styleId="CharCharCharChar">
    <w:name w:val="Char Char Char Char"/>
    <w:aliases w:val="Char2"/>
    <w:basedOn w:val="Normal"/>
    <w:next w:val="Normal"/>
    <w:link w:val="FootnoteReference"/>
    <w:uiPriority w:val="99"/>
    <w:rsid w:val="005D2E17"/>
    <w:pPr>
      <w:spacing w:after="160" w:line="240" w:lineRule="exact"/>
      <w:jc w:val="both"/>
      <w:textAlignment w:val="baseline"/>
    </w:pPr>
    <w:rPr>
      <w:rFonts w:eastAsiaTheme="minorHAnsi" w:cstheme="minorBidi"/>
      <w:szCs w:val="22"/>
      <w:vertAlign w:val="superscript"/>
      <w:lang w:eastAsia="en-US"/>
    </w:rPr>
  </w:style>
  <w:style w:type="paragraph" w:customStyle="1" w:styleId="CM1">
    <w:name w:val="CM1"/>
    <w:basedOn w:val="Default"/>
    <w:next w:val="Default"/>
    <w:uiPriority w:val="99"/>
    <w:rsid w:val="00551BFB"/>
    <w:rPr>
      <w:rFonts w:ascii="EUAlbertina" w:eastAsiaTheme="minorHAnsi" w:hAnsi="EUAlbertina" w:cstheme="minorBidi"/>
      <w:color w:val="auto"/>
    </w:rPr>
  </w:style>
  <w:style w:type="paragraph" w:customStyle="1" w:styleId="CM3">
    <w:name w:val="CM3"/>
    <w:basedOn w:val="Default"/>
    <w:next w:val="Default"/>
    <w:uiPriority w:val="99"/>
    <w:rsid w:val="00551BFB"/>
    <w:rPr>
      <w:rFonts w:ascii="EUAlbertina" w:eastAsiaTheme="minorHAnsi" w:hAnsi="EUAlbertina" w:cstheme="minorBidi"/>
      <w:color w:val="auto"/>
    </w:rPr>
  </w:style>
  <w:style w:type="table" w:styleId="TableGrid">
    <w:name w:val="Table Grid"/>
    <w:basedOn w:val="TableNormal"/>
    <w:uiPriority w:val="39"/>
    <w:rsid w:val="003C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822">
      <w:bodyDiv w:val="1"/>
      <w:marLeft w:val="0"/>
      <w:marRight w:val="0"/>
      <w:marTop w:val="0"/>
      <w:marBottom w:val="0"/>
      <w:divBdr>
        <w:top w:val="none" w:sz="0" w:space="0" w:color="auto"/>
        <w:left w:val="none" w:sz="0" w:space="0" w:color="auto"/>
        <w:bottom w:val="none" w:sz="0" w:space="0" w:color="auto"/>
        <w:right w:val="none" w:sz="0" w:space="0" w:color="auto"/>
      </w:divBdr>
    </w:div>
    <w:div w:id="45960761">
      <w:bodyDiv w:val="1"/>
      <w:marLeft w:val="0"/>
      <w:marRight w:val="0"/>
      <w:marTop w:val="0"/>
      <w:marBottom w:val="0"/>
      <w:divBdr>
        <w:top w:val="none" w:sz="0" w:space="0" w:color="auto"/>
        <w:left w:val="none" w:sz="0" w:space="0" w:color="auto"/>
        <w:bottom w:val="none" w:sz="0" w:space="0" w:color="auto"/>
        <w:right w:val="none" w:sz="0" w:space="0" w:color="auto"/>
      </w:divBdr>
    </w:div>
    <w:div w:id="50272820">
      <w:bodyDiv w:val="1"/>
      <w:marLeft w:val="0"/>
      <w:marRight w:val="0"/>
      <w:marTop w:val="0"/>
      <w:marBottom w:val="0"/>
      <w:divBdr>
        <w:top w:val="none" w:sz="0" w:space="0" w:color="auto"/>
        <w:left w:val="none" w:sz="0" w:space="0" w:color="auto"/>
        <w:bottom w:val="none" w:sz="0" w:space="0" w:color="auto"/>
        <w:right w:val="none" w:sz="0" w:space="0" w:color="auto"/>
      </w:divBdr>
    </w:div>
    <w:div w:id="159472115">
      <w:bodyDiv w:val="1"/>
      <w:marLeft w:val="0"/>
      <w:marRight w:val="0"/>
      <w:marTop w:val="0"/>
      <w:marBottom w:val="0"/>
      <w:divBdr>
        <w:top w:val="none" w:sz="0" w:space="0" w:color="auto"/>
        <w:left w:val="none" w:sz="0" w:space="0" w:color="auto"/>
        <w:bottom w:val="none" w:sz="0" w:space="0" w:color="auto"/>
        <w:right w:val="none" w:sz="0" w:space="0" w:color="auto"/>
      </w:divBdr>
    </w:div>
    <w:div w:id="186140447">
      <w:bodyDiv w:val="1"/>
      <w:marLeft w:val="0"/>
      <w:marRight w:val="0"/>
      <w:marTop w:val="0"/>
      <w:marBottom w:val="0"/>
      <w:divBdr>
        <w:top w:val="none" w:sz="0" w:space="0" w:color="auto"/>
        <w:left w:val="none" w:sz="0" w:space="0" w:color="auto"/>
        <w:bottom w:val="none" w:sz="0" w:space="0" w:color="auto"/>
        <w:right w:val="none" w:sz="0" w:space="0" w:color="auto"/>
      </w:divBdr>
    </w:div>
    <w:div w:id="222523359">
      <w:bodyDiv w:val="1"/>
      <w:marLeft w:val="0"/>
      <w:marRight w:val="0"/>
      <w:marTop w:val="0"/>
      <w:marBottom w:val="0"/>
      <w:divBdr>
        <w:top w:val="none" w:sz="0" w:space="0" w:color="auto"/>
        <w:left w:val="none" w:sz="0" w:space="0" w:color="auto"/>
        <w:bottom w:val="none" w:sz="0" w:space="0" w:color="auto"/>
        <w:right w:val="none" w:sz="0" w:space="0" w:color="auto"/>
      </w:divBdr>
    </w:div>
    <w:div w:id="246423487">
      <w:bodyDiv w:val="1"/>
      <w:marLeft w:val="0"/>
      <w:marRight w:val="0"/>
      <w:marTop w:val="0"/>
      <w:marBottom w:val="0"/>
      <w:divBdr>
        <w:top w:val="none" w:sz="0" w:space="0" w:color="auto"/>
        <w:left w:val="none" w:sz="0" w:space="0" w:color="auto"/>
        <w:bottom w:val="none" w:sz="0" w:space="0" w:color="auto"/>
        <w:right w:val="none" w:sz="0" w:space="0" w:color="auto"/>
      </w:divBdr>
    </w:div>
    <w:div w:id="325324191">
      <w:bodyDiv w:val="1"/>
      <w:marLeft w:val="0"/>
      <w:marRight w:val="0"/>
      <w:marTop w:val="0"/>
      <w:marBottom w:val="0"/>
      <w:divBdr>
        <w:top w:val="none" w:sz="0" w:space="0" w:color="auto"/>
        <w:left w:val="none" w:sz="0" w:space="0" w:color="auto"/>
        <w:bottom w:val="none" w:sz="0" w:space="0" w:color="auto"/>
        <w:right w:val="none" w:sz="0" w:space="0" w:color="auto"/>
      </w:divBdr>
    </w:div>
    <w:div w:id="329138063">
      <w:bodyDiv w:val="1"/>
      <w:marLeft w:val="0"/>
      <w:marRight w:val="0"/>
      <w:marTop w:val="0"/>
      <w:marBottom w:val="0"/>
      <w:divBdr>
        <w:top w:val="none" w:sz="0" w:space="0" w:color="auto"/>
        <w:left w:val="none" w:sz="0" w:space="0" w:color="auto"/>
        <w:bottom w:val="none" w:sz="0" w:space="0" w:color="auto"/>
        <w:right w:val="none" w:sz="0" w:space="0" w:color="auto"/>
      </w:divBdr>
    </w:div>
    <w:div w:id="368797427">
      <w:bodyDiv w:val="1"/>
      <w:marLeft w:val="0"/>
      <w:marRight w:val="0"/>
      <w:marTop w:val="0"/>
      <w:marBottom w:val="0"/>
      <w:divBdr>
        <w:top w:val="none" w:sz="0" w:space="0" w:color="auto"/>
        <w:left w:val="none" w:sz="0" w:space="0" w:color="auto"/>
        <w:bottom w:val="none" w:sz="0" w:space="0" w:color="auto"/>
        <w:right w:val="none" w:sz="0" w:space="0" w:color="auto"/>
      </w:divBdr>
    </w:div>
    <w:div w:id="394351525">
      <w:bodyDiv w:val="1"/>
      <w:marLeft w:val="0"/>
      <w:marRight w:val="0"/>
      <w:marTop w:val="0"/>
      <w:marBottom w:val="0"/>
      <w:divBdr>
        <w:top w:val="none" w:sz="0" w:space="0" w:color="auto"/>
        <w:left w:val="none" w:sz="0" w:space="0" w:color="auto"/>
        <w:bottom w:val="none" w:sz="0" w:space="0" w:color="auto"/>
        <w:right w:val="none" w:sz="0" w:space="0" w:color="auto"/>
      </w:divBdr>
    </w:div>
    <w:div w:id="502864996">
      <w:bodyDiv w:val="1"/>
      <w:marLeft w:val="0"/>
      <w:marRight w:val="0"/>
      <w:marTop w:val="0"/>
      <w:marBottom w:val="0"/>
      <w:divBdr>
        <w:top w:val="none" w:sz="0" w:space="0" w:color="auto"/>
        <w:left w:val="none" w:sz="0" w:space="0" w:color="auto"/>
        <w:bottom w:val="none" w:sz="0" w:space="0" w:color="auto"/>
        <w:right w:val="none" w:sz="0" w:space="0" w:color="auto"/>
      </w:divBdr>
    </w:div>
    <w:div w:id="509101635">
      <w:bodyDiv w:val="1"/>
      <w:marLeft w:val="0"/>
      <w:marRight w:val="0"/>
      <w:marTop w:val="0"/>
      <w:marBottom w:val="0"/>
      <w:divBdr>
        <w:top w:val="none" w:sz="0" w:space="0" w:color="auto"/>
        <w:left w:val="none" w:sz="0" w:space="0" w:color="auto"/>
        <w:bottom w:val="none" w:sz="0" w:space="0" w:color="auto"/>
        <w:right w:val="none" w:sz="0" w:space="0" w:color="auto"/>
      </w:divBdr>
    </w:div>
    <w:div w:id="531501894">
      <w:bodyDiv w:val="1"/>
      <w:marLeft w:val="0"/>
      <w:marRight w:val="0"/>
      <w:marTop w:val="0"/>
      <w:marBottom w:val="0"/>
      <w:divBdr>
        <w:top w:val="none" w:sz="0" w:space="0" w:color="auto"/>
        <w:left w:val="none" w:sz="0" w:space="0" w:color="auto"/>
        <w:bottom w:val="none" w:sz="0" w:space="0" w:color="auto"/>
        <w:right w:val="none" w:sz="0" w:space="0" w:color="auto"/>
      </w:divBdr>
    </w:div>
    <w:div w:id="540484525">
      <w:bodyDiv w:val="1"/>
      <w:marLeft w:val="0"/>
      <w:marRight w:val="0"/>
      <w:marTop w:val="0"/>
      <w:marBottom w:val="0"/>
      <w:divBdr>
        <w:top w:val="none" w:sz="0" w:space="0" w:color="auto"/>
        <w:left w:val="none" w:sz="0" w:space="0" w:color="auto"/>
        <w:bottom w:val="none" w:sz="0" w:space="0" w:color="auto"/>
        <w:right w:val="none" w:sz="0" w:space="0" w:color="auto"/>
      </w:divBdr>
    </w:div>
    <w:div w:id="554510193">
      <w:bodyDiv w:val="1"/>
      <w:marLeft w:val="0"/>
      <w:marRight w:val="0"/>
      <w:marTop w:val="0"/>
      <w:marBottom w:val="0"/>
      <w:divBdr>
        <w:top w:val="none" w:sz="0" w:space="0" w:color="auto"/>
        <w:left w:val="none" w:sz="0" w:space="0" w:color="auto"/>
        <w:bottom w:val="none" w:sz="0" w:space="0" w:color="auto"/>
        <w:right w:val="none" w:sz="0" w:space="0" w:color="auto"/>
      </w:divBdr>
    </w:div>
    <w:div w:id="619145018">
      <w:bodyDiv w:val="1"/>
      <w:marLeft w:val="0"/>
      <w:marRight w:val="0"/>
      <w:marTop w:val="0"/>
      <w:marBottom w:val="0"/>
      <w:divBdr>
        <w:top w:val="none" w:sz="0" w:space="0" w:color="auto"/>
        <w:left w:val="none" w:sz="0" w:space="0" w:color="auto"/>
        <w:bottom w:val="none" w:sz="0" w:space="0" w:color="auto"/>
        <w:right w:val="none" w:sz="0" w:space="0" w:color="auto"/>
      </w:divBdr>
    </w:div>
    <w:div w:id="631861051">
      <w:bodyDiv w:val="1"/>
      <w:marLeft w:val="0"/>
      <w:marRight w:val="0"/>
      <w:marTop w:val="0"/>
      <w:marBottom w:val="0"/>
      <w:divBdr>
        <w:top w:val="none" w:sz="0" w:space="0" w:color="auto"/>
        <w:left w:val="none" w:sz="0" w:space="0" w:color="auto"/>
        <w:bottom w:val="none" w:sz="0" w:space="0" w:color="auto"/>
        <w:right w:val="none" w:sz="0" w:space="0" w:color="auto"/>
      </w:divBdr>
    </w:div>
    <w:div w:id="673531006">
      <w:bodyDiv w:val="1"/>
      <w:marLeft w:val="0"/>
      <w:marRight w:val="0"/>
      <w:marTop w:val="0"/>
      <w:marBottom w:val="0"/>
      <w:divBdr>
        <w:top w:val="none" w:sz="0" w:space="0" w:color="auto"/>
        <w:left w:val="none" w:sz="0" w:space="0" w:color="auto"/>
        <w:bottom w:val="none" w:sz="0" w:space="0" w:color="auto"/>
        <w:right w:val="none" w:sz="0" w:space="0" w:color="auto"/>
      </w:divBdr>
    </w:div>
    <w:div w:id="714694138">
      <w:bodyDiv w:val="1"/>
      <w:marLeft w:val="0"/>
      <w:marRight w:val="0"/>
      <w:marTop w:val="0"/>
      <w:marBottom w:val="0"/>
      <w:divBdr>
        <w:top w:val="none" w:sz="0" w:space="0" w:color="auto"/>
        <w:left w:val="none" w:sz="0" w:space="0" w:color="auto"/>
        <w:bottom w:val="none" w:sz="0" w:space="0" w:color="auto"/>
        <w:right w:val="none" w:sz="0" w:space="0" w:color="auto"/>
      </w:divBdr>
    </w:div>
    <w:div w:id="715088498">
      <w:bodyDiv w:val="1"/>
      <w:marLeft w:val="0"/>
      <w:marRight w:val="0"/>
      <w:marTop w:val="0"/>
      <w:marBottom w:val="0"/>
      <w:divBdr>
        <w:top w:val="none" w:sz="0" w:space="0" w:color="auto"/>
        <w:left w:val="none" w:sz="0" w:space="0" w:color="auto"/>
        <w:bottom w:val="none" w:sz="0" w:space="0" w:color="auto"/>
        <w:right w:val="none" w:sz="0" w:space="0" w:color="auto"/>
      </w:divBdr>
    </w:div>
    <w:div w:id="754783288">
      <w:bodyDiv w:val="1"/>
      <w:marLeft w:val="0"/>
      <w:marRight w:val="0"/>
      <w:marTop w:val="0"/>
      <w:marBottom w:val="0"/>
      <w:divBdr>
        <w:top w:val="none" w:sz="0" w:space="0" w:color="auto"/>
        <w:left w:val="none" w:sz="0" w:space="0" w:color="auto"/>
        <w:bottom w:val="none" w:sz="0" w:space="0" w:color="auto"/>
        <w:right w:val="none" w:sz="0" w:space="0" w:color="auto"/>
      </w:divBdr>
    </w:div>
    <w:div w:id="757604500">
      <w:bodyDiv w:val="1"/>
      <w:marLeft w:val="0"/>
      <w:marRight w:val="0"/>
      <w:marTop w:val="0"/>
      <w:marBottom w:val="0"/>
      <w:divBdr>
        <w:top w:val="none" w:sz="0" w:space="0" w:color="auto"/>
        <w:left w:val="none" w:sz="0" w:space="0" w:color="auto"/>
        <w:bottom w:val="none" w:sz="0" w:space="0" w:color="auto"/>
        <w:right w:val="none" w:sz="0" w:space="0" w:color="auto"/>
      </w:divBdr>
    </w:div>
    <w:div w:id="765274681">
      <w:bodyDiv w:val="1"/>
      <w:marLeft w:val="0"/>
      <w:marRight w:val="0"/>
      <w:marTop w:val="0"/>
      <w:marBottom w:val="0"/>
      <w:divBdr>
        <w:top w:val="none" w:sz="0" w:space="0" w:color="auto"/>
        <w:left w:val="none" w:sz="0" w:space="0" w:color="auto"/>
        <w:bottom w:val="none" w:sz="0" w:space="0" w:color="auto"/>
        <w:right w:val="none" w:sz="0" w:space="0" w:color="auto"/>
      </w:divBdr>
    </w:div>
    <w:div w:id="790706432">
      <w:bodyDiv w:val="1"/>
      <w:marLeft w:val="0"/>
      <w:marRight w:val="0"/>
      <w:marTop w:val="0"/>
      <w:marBottom w:val="0"/>
      <w:divBdr>
        <w:top w:val="none" w:sz="0" w:space="0" w:color="auto"/>
        <w:left w:val="none" w:sz="0" w:space="0" w:color="auto"/>
        <w:bottom w:val="none" w:sz="0" w:space="0" w:color="auto"/>
        <w:right w:val="none" w:sz="0" w:space="0" w:color="auto"/>
      </w:divBdr>
    </w:div>
    <w:div w:id="800415255">
      <w:bodyDiv w:val="1"/>
      <w:marLeft w:val="0"/>
      <w:marRight w:val="0"/>
      <w:marTop w:val="0"/>
      <w:marBottom w:val="0"/>
      <w:divBdr>
        <w:top w:val="none" w:sz="0" w:space="0" w:color="auto"/>
        <w:left w:val="none" w:sz="0" w:space="0" w:color="auto"/>
        <w:bottom w:val="none" w:sz="0" w:space="0" w:color="auto"/>
        <w:right w:val="none" w:sz="0" w:space="0" w:color="auto"/>
      </w:divBdr>
    </w:div>
    <w:div w:id="826745975">
      <w:bodyDiv w:val="1"/>
      <w:marLeft w:val="0"/>
      <w:marRight w:val="0"/>
      <w:marTop w:val="0"/>
      <w:marBottom w:val="0"/>
      <w:divBdr>
        <w:top w:val="none" w:sz="0" w:space="0" w:color="auto"/>
        <w:left w:val="none" w:sz="0" w:space="0" w:color="auto"/>
        <w:bottom w:val="none" w:sz="0" w:space="0" w:color="auto"/>
        <w:right w:val="none" w:sz="0" w:space="0" w:color="auto"/>
      </w:divBdr>
    </w:div>
    <w:div w:id="907954838">
      <w:bodyDiv w:val="1"/>
      <w:marLeft w:val="0"/>
      <w:marRight w:val="0"/>
      <w:marTop w:val="0"/>
      <w:marBottom w:val="0"/>
      <w:divBdr>
        <w:top w:val="none" w:sz="0" w:space="0" w:color="auto"/>
        <w:left w:val="none" w:sz="0" w:space="0" w:color="auto"/>
        <w:bottom w:val="none" w:sz="0" w:space="0" w:color="auto"/>
        <w:right w:val="none" w:sz="0" w:space="0" w:color="auto"/>
      </w:divBdr>
    </w:div>
    <w:div w:id="984816253">
      <w:bodyDiv w:val="1"/>
      <w:marLeft w:val="0"/>
      <w:marRight w:val="0"/>
      <w:marTop w:val="0"/>
      <w:marBottom w:val="0"/>
      <w:divBdr>
        <w:top w:val="none" w:sz="0" w:space="0" w:color="auto"/>
        <w:left w:val="none" w:sz="0" w:space="0" w:color="auto"/>
        <w:bottom w:val="none" w:sz="0" w:space="0" w:color="auto"/>
        <w:right w:val="none" w:sz="0" w:space="0" w:color="auto"/>
      </w:divBdr>
    </w:div>
    <w:div w:id="1009676132">
      <w:bodyDiv w:val="1"/>
      <w:marLeft w:val="0"/>
      <w:marRight w:val="0"/>
      <w:marTop w:val="0"/>
      <w:marBottom w:val="0"/>
      <w:divBdr>
        <w:top w:val="none" w:sz="0" w:space="0" w:color="auto"/>
        <w:left w:val="none" w:sz="0" w:space="0" w:color="auto"/>
        <w:bottom w:val="none" w:sz="0" w:space="0" w:color="auto"/>
        <w:right w:val="none" w:sz="0" w:space="0" w:color="auto"/>
      </w:divBdr>
    </w:div>
    <w:div w:id="1040478638">
      <w:bodyDiv w:val="1"/>
      <w:marLeft w:val="0"/>
      <w:marRight w:val="0"/>
      <w:marTop w:val="0"/>
      <w:marBottom w:val="0"/>
      <w:divBdr>
        <w:top w:val="none" w:sz="0" w:space="0" w:color="auto"/>
        <w:left w:val="none" w:sz="0" w:space="0" w:color="auto"/>
        <w:bottom w:val="none" w:sz="0" w:space="0" w:color="auto"/>
        <w:right w:val="none" w:sz="0" w:space="0" w:color="auto"/>
      </w:divBdr>
    </w:div>
    <w:div w:id="1084884809">
      <w:bodyDiv w:val="1"/>
      <w:marLeft w:val="0"/>
      <w:marRight w:val="0"/>
      <w:marTop w:val="0"/>
      <w:marBottom w:val="0"/>
      <w:divBdr>
        <w:top w:val="none" w:sz="0" w:space="0" w:color="auto"/>
        <w:left w:val="none" w:sz="0" w:space="0" w:color="auto"/>
        <w:bottom w:val="none" w:sz="0" w:space="0" w:color="auto"/>
        <w:right w:val="none" w:sz="0" w:space="0" w:color="auto"/>
      </w:divBdr>
    </w:div>
    <w:div w:id="1112093500">
      <w:bodyDiv w:val="1"/>
      <w:marLeft w:val="0"/>
      <w:marRight w:val="0"/>
      <w:marTop w:val="0"/>
      <w:marBottom w:val="0"/>
      <w:divBdr>
        <w:top w:val="none" w:sz="0" w:space="0" w:color="auto"/>
        <w:left w:val="none" w:sz="0" w:space="0" w:color="auto"/>
        <w:bottom w:val="none" w:sz="0" w:space="0" w:color="auto"/>
        <w:right w:val="none" w:sz="0" w:space="0" w:color="auto"/>
      </w:divBdr>
    </w:div>
    <w:div w:id="1122308113">
      <w:bodyDiv w:val="1"/>
      <w:marLeft w:val="0"/>
      <w:marRight w:val="0"/>
      <w:marTop w:val="0"/>
      <w:marBottom w:val="0"/>
      <w:divBdr>
        <w:top w:val="none" w:sz="0" w:space="0" w:color="auto"/>
        <w:left w:val="none" w:sz="0" w:space="0" w:color="auto"/>
        <w:bottom w:val="none" w:sz="0" w:space="0" w:color="auto"/>
        <w:right w:val="none" w:sz="0" w:space="0" w:color="auto"/>
      </w:divBdr>
    </w:div>
    <w:div w:id="1129125489">
      <w:bodyDiv w:val="1"/>
      <w:marLeft w:val="0"/>
      <w:marRight w:val="0"/>
      <w:marTop w:val="0"/>
      <w:marBottom w:val="0"/>
      <w:divBdr>
        <w:top w:val="none" w:sz="0" w:space="0" w:color="auto"/>
        <w:left w:val="none" w:sz="0" w:space="0" w:color="auto"/>
        <w:bottom w:val="none" w:sz="0" w:space="0" w:color="auto"/>
        <w:right w:val="none" w:sz="0" w:space="0" w:color="auto"/>
      </w:divBdr>
    </w:div>
    <w:div w:id="1147354451">
      <w:bodyDiv w:val="1"/>
      <w:marLeft w:val="0"/>
      <w:marRight w:val="0"/>
      <w:marTop w:val="0"/>
      <w:marBottom w:val="0"/>
      <w:divBdr>
        <w:top w:val="none" w:sz="0" w:space="0" w:color="auto"/>
        <w:left w:val="none" w:sz="0" w:space="0" w:color="auto"/>
        <w:bottom w:val="none" w:sz="0" w:space="0" w:color="auto"/>
        <w:right w:val="none" w:sz="0" w:space="0" w:color="auto"/>
      </w:divBdr>
    </w:div>
    <w:div w:id="1165123830">
      <w:bodyDiv w:val="1"/>
      <w:marLeft w:val="0"/>
      <w:marRight w:val="0"/>
      <w:marTop w:val="0"/>
      <w:marBottom w:val="0"/>
      <w:divBdr>
        <w:top w:val="none" w:sz="0" w:space="0" w:color="auto"/>
        <w:left w:val="none" w:sz="0" w:space="0" w:color="auto"/>
        <w:bottom w:val="none" w:sz="0" w:space="0" w:color="auto"/>
        <w:right w:val="none" w:sz="0" w:space="0" w:color="auto"/>
      </w:divBdr>
    </w:div>
    <w:div w:id="1172648206">
      <w:bodyDiv w:val="1"/>
      <w:marLeft w:val="0"/>
      <w:marRight w:val="0"/>
      <w:marTop w:val="0"/>
      <w:marBottom w:val="0"/>
      <w:divBdr>
        <w:top w:val="none" w:sz="0" w:space="0" w:color="auto"/>
        <w:left w:val="none" w:sz="0" w:space="0" w:color="auto"/>
        <w:bottom w:val="none" w:sz="0" w:space="0" w:color="auto"/>
        <w:right w:val="none" w:sz="0" w:space="0" w:color="auto"/>
      </w:divBdr>
    </w:div>
    <w:div w:id="1193762874">
      <w:bodyDiv w:val="1"/>
      <w:marLeft w:val="0"/>
      <w:marRight w:val="0"/>
      <w:marTop w:val="0"/>
      <w:marBottom w:val="0"/>
      <w:divBdr>
        <w:top w:val="none" w:sz="0" w:space="0" w:color="auto"/>
        <w:left w:val="none" w:sz="0" w:space="0" w:color="auto"/>
        <w:bottom w:val="none" w:sz="0" w:space="0" w:color="auto"/>
        <w:right w:val="none" w:sz="0" w:space="0" w:color="auto"/>
      </w:divBdr>
    </w:div>
    <w:div w:id="1196848803">
      <w:bodyDiv w:val="1"/>
      <w:marLeft w:val="0"/>
      <w:marRight w:val="0"/>
      <w:marTop w:val="0"/>
      <w:marBottom w:val="0"/>
      <w:divBdr>
        <w:top w:val="none" w:sz="0" w:space="0" w:color="auto"/>
        <w:left w:val="none" w:sz="0" w:space="0" w:color="auto"/>
        <w:bottom w:val="none" w:sz="0" w:space="0" w:color="auto"/>
        <w:right w:val="none" w:sz="0" w:space="0" w:color="auto"/>
      </w:divBdr>
    </w:div>
    <w:div w:id="1283809455">
      <w:bodyDiv w:val="1"/>
      <w:marLeft w:val="0"/>
      <w:marRight w:val="0"/>
      <w:marTop w:val="0"/>
      <w:marBottom w:val="0"/>
      <w:divBdr>
        <w:top w:val="none" w:sz="0" w:space="0" w:color="auto"/>
        <w:left w:val="none" w:sz="0" w:space="0" w:color="auto"/>
        <w:bottom w:val="none" w:sz="0" w:space="0" w:color="auto"/>
        <w:right w:val="none" w:sz="0" w:space="0" w:color="auto"/>
      </w:divBdr>
    </w:div>
    <w:div w:id="1324813574">
      <w:bodyDiv w:val="1"/>
      <w:marLeft w:val="0"/>
      <w:marRight w:val="0"/>
      <w:marTop w:val="0"/>
      <w:marBottom w:val="0"/>
      <w:divBdr>
        <w:top w:val="none" w:sz="0" w:space="0" w:color="auto"/>
        <w:left w:val="none" w:sz="0" w:space="0" w:color="auto"/>
        <w:bottom w:val="none" w:sz="0" w:space="0" w:color="auto"/>
        <w:right w:val="none" w:sz="0" w:space="0" w:color="auto"/>
      </w:divBdr>
    </w:div>
    <w:div w:id="1399598451">
      <w:bodyDiv w:val="1"/>
      <w:marLeft w:val="0"/>
      <w:marRight w:val="0"/>
      <w:marTop w:val="0"/>
      <w:marBottom w:val="0"/>
      <w:divBdr>
        <w:top w:val="none" w:sz="0" w:space="0" w:color="auto"/>
        <w:left w:val="none" w:sz="0" w:space="0" w:color="auto"/>
        <w:bottom w:val="none" w:sz="0" w:space="0" w:color="auto"/>
        <w:right w:val="none" w:sz="0" w:space="0" w:color="auto"/>
      </w:divBdr>
    </w:div>
    <w:div w:id="1403022517">
      <w:bodyDiv w:val="1"/>
      <w:marLeft w:val="0"/>
      <w:marRight w:val="0"/>
      <w:marTop w:val="0"/>
      <w:marBottom w:val="0"/>
      <w:divBdr>
        <w:top w:val="none" w:sz="0" w:space="0" w:color="auto"/>
        <w:left w:val="none" w:sz="0" w:space="0" w:color="auto"/>
        <w:bottom w:val="none" w:sz="0" w:space="0" w:color="auto"/>
        <w:right w:val="none" w:sz="0" w:space="0" w:color="auto"/>
      </w:divBdr>
    </w:div>
    <w:div w:id="1403874235">
      <w:bodyDiv w:val="1"/>
      <w:marLeft w:val="0"/>
      <w:marRight w:val="0"/>
      <w:marTop w:val="0"/>
      <w:marBottom w:val="0"/>
      <w:divBdr>
        <w:top w:val="none" w:sz="0" w:space="0" w:color="auto"/>
        <w:left w:val="none" w:sz="0" w:space="0" w:color="auto"/>
        <w:bottom w:val="none" w:sz="0" w:space="0" w:color="auto"/>
        <w:right w:val="none" w:sz="0" w:space="0" w:color="auto"/>
      </w:divBdr>
    </w:div>
    <w:div w:id="1418401351">
      <w:bodyDiv w:val="1"/>
      <w:marLeft w:val="0"/>
      <w:marRight w:val="0"/>
      <w:marTop w:val="0"/>
      <w:marBottom w:val="0"/>
      <w:divBdr>
        <w:top w:val="none" w:sz="0" w:space="0" w:color="auto"/>
        <w:left w:val="none" w:sz="0" w:space="0" w:color="auto"/>
        <w:bottom w:val="none" w:sz="0" w:space="0" w:color="auto"/>
        <w:right w:val="none" w:sz="0" w:space="0" w:color="auto"/>
      </w:divBdr>
    </w:div>
    <w:div w:id="1438793242">
      <w:bodyDiv w:val="1"/>
      <w:marLeft w:val="0"/>
      <w:marRight w:val="0"/>
      <w:marTop w:val="0"/>
      <w:marBottom w:val="0"/>
      <w:divBdr>
        <w:top w:val="none" w:sz="0" w:space="0" w:color="auto"/>
        <w:left w:val="none" w:sz="0" w:space="0" w:color="auto"/>
        <w:bottom w:val="none" w:sz="0" w:space="0" w:color="auto"/>
        <w:right w:val="none" w:sz="0" w:space="0" w:color="auto"/>
      </w:divBdr>
    </w:div>
    <w:div w:id="1467241067">
      <w:bodyDiv w:val="1"/>
      <w:marLeft w:val="0"/>
      <w:marRight w:val="0"/>
      <w:marTop w:val="0"/>
      <w:marBottom w:val="0"/>
      <w:divBdr>
        <w:top w:val="none" w:sz="0" w:space="0" w:color="auto"/>
        <w:left w:val="none" w:sz="0" w:space="0" w:color="auto"/>
        <w:bottom w:val="none" w:sz="0" w:space="0" w:color="auto"/>
        <w:right w:val="none" w:sz="0" w:space="0" w:color="auto"/>
      </w:divBdr>
    </w:div>
    <w:div w:id="1480686249">
      <w:bodyDiv w:val="1"/>
      <w:marLeft w:val="0"/>
      <w:marRight w:val="0"/>
      <w:marTop w:val="0"/>
      <w:marBottom w:val="0"/>
      <w:divBdr>
        <w:top w:val="none" w:sz="0" w:space="0" w:color="auto"/>
        <w:left w:val="none" w:sz="0" w:space="0" w:color="auto"/>
        <w:bottom w:val="none" w:sz="0" w:space="0" w:color="auto"/>
        <w:right w:val="none" w:sz="0" w:space="0" w:color="auto"/>
      </w:divBdr>
    </w:div>
    <w:div w:id="1568803256">
      <w:bodyDiv w:val="1"/>
      <w:marLeft w:val="0"/>
      <w:marRight w:val="0"/>
      <w:marTop w:val="0"/>
      <w:marBottom w:val="0"/>
      <w:divBdr>
        <w:top w:val="none" w:sz="0" w:space="0" w:color="auto"/>
        <w:left w:val="none" w:sz="0" w:space="0" w:color="auto"/>
        <w:bottom w:val="none" w:sz="0" w:space="0" w:color="auto"/>
        <w:right w:val="none" w:sz="0" w:space="0" w:color="auto"/>
      </w:divBdr>
    </w:div>
    <w:div w:id="1575822563">
      <w:bodyDiv w:val="1"/>
      <w:marLeft w:val="0"/>
      <w:marRight w:val="0"/>
      <w:marTop w:val="0"/>
      <w:marBottom w:val="0"/>
      <w:divBdr>
        <w:top w:val="none" w:sz="0" w:space="0" w:color="auto"/>
        <w:left w:val="none" w:sz="0" w:space="0" w:color="auto"/>
        <w:bottom w:val="none" w:sz="0" w:space="0" w:color="auto"/>
        <w:right w:val="none" w:sz="0" w:space="0" w:color="auto"/>
      </w:divBdr>
      <w:divsChild>
        <w:div w:id="1823230577">
          <w:marLeft w:val="0"/>
          <w:marRight w:val="0"/>
          <w:marTop w:val="0"/>
          <w:marBottom w:val="0"/>
          <w:divBdr>
            <w:top w:val="none" w:sz="0" w:space="0" w:color="auto"/>
            <w:left w:val="none" w:sz="0" w:space="0" w:color="auto"/>
            <w:bottom w:val="none" w:sz="0" w:space="0" w:color="auto"/>
            <w:right w:val="none" w:sz="0" w:space="0" w:color="auto"/>
          </w:divBdr>
          <w:divsChild>
            <w:div w:id="1013452530">
              <w:marLeft w:val="0"/>
              <w:marRight w:val="0"/>
              <w:marTop w:val="0"/>
              <w:marBottom w:val="0"/>
              <w:divBdr>
                <w:top w:val="none" w:sz="0" w:space="0" w:color="auto"/>
                <w:left w:val="none" w:sz="0" w:space="0" w:color="auto"/>
                <w:bottom w:val="none" w:sz="0" w:space="0" w:color="auto"/>
                <w:right w:val="none" w:sz="0" w:space="0" w:color="auto"/>
              </w:divBdr>
              <w:divsChild>
                <w:div w:id="7724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8094">
      <w:bodyDiv w:val="1"/>
      <w:marLeft w:val="0"/>
      <w:marRight w:val="0"/>
      <w:marTop w:val="0"/>
      <w:marBottom w:val="0"/>
      <w:divBdr>
        <w:top w:val="none" w:sz="0" w:space="0" w:color="auto"/>
        <w:left w:val="none" w:sz="0" w:space="0" w:color="auto"/>
        <w:bottom w:val="none" w:sz="0" w:space="0" w:color="auto"/>
        <w:right w:val="none" w:sz="0" w:space="0" w:color="auto"/>
      </w:divBdr>
    </w:div>
    <w:div w:id="1628272498">
      <w:bodyDiv w:val="1"/>
      <w:marLeft w:val="0"/>
      <w:marRight w:val="0"/>
      <w:marTop w:val="0"/>
      <w:marBottom w:val="0"/>
      <w:divBdr>
        <w:top w:val="none" w:sz="0" w:space="0" w:color="auto"/>
        <w:left w:val="none" w:sz="0" w:space="0" w:color="auto"/>
        <w:bottom w:val="none" w:sz="0" w:space="0" w:color="auto"/>
        <w:right w:val="none" w:sz="0" w:space="0" w:color="auto"/>
      </w:divBdr>
    </w:div>
    <w:div w:id="1634403178">
      <w:bodyDiv w:val="1"/>
      <w:marLeft w:val="0"/>
      <w:marRight w:val="0"/>
      <w:marTop w:val="0"/>
      <w:marBottom w:val="0"/>
      <w:divBdr>
        <w:top w:val="none" w:sz="0" w:space="0" w:color="auto"/>
        <w:left w:val="none" w:sz="0" w:space="0" w:color="auto"/>
        <w:bottom w:val="none" w:sz="0" w:space="0" w:color="auto"/>
        <w:right w:val="none" w:sz="0" w:space="0" w:color="auto"/>
      </w:divBdr>
    </w:div>
    <w:div w:id="1695882887">
      <w:bodyDiv w:val="1"/>
      <w:marLeft w:val="0"/>
      <w:marRight w:val="0"/>
      <w:marTop w:val="0"/>
      <w:marBottom w:val="0"/>
      <w:divBdr>
        <w:top w:val="none" w:sz="0" w:space="0" w:color="auto"/>
        <w:left w:val="none" w:sz="0" w:space="0" w:color="auto"/>
        <w:bottom w:val="none" w:sz="0" w:space="0" w:color="auto"/>
        <w:right w:val="none" w:sz="0" w:space="0" w:color="auto"/>
      </w:divBdr>
    </w:div>
    <w:div w:id="1702710007">
      <w:bodyDiv w:val="1"/>
      <w:marLeft w:val="0"/>
      <w:marRight w:val="0"/>
      <w:marTop w:val="0"/>
      <w:marBottom w:val="0"/>
      <w:divBdr>
        <w:top w:val="none" w:sz="0" w:space="0" w:color="auto"/>
        <w:left w:val="none" w:sz="0" w:space="0" w:color="auto"/>
        <w:bottom w:val="none" w:sz="0" w:space="0" w:color="auto"/>
        <w:right w:val="none" w:sz="0" w:space="0" w:color="auto"/>
      </w:divBdr>
    </w:div>
    <w:div w:id="1713309325">
      <w:bodyDiv w:val="1"/>
      <w:marLeft w:val="0"/>
      <w:marRight w:val="0"/>
      <w:marTop w:val="0"/>
      <w:marBottom w:val="0"/>
      <w:divBdr>
        <w:top w:val="none" w:sz="0" w:space="0" w:color="auto"/>
        <w:left w:val="none" w:sz="0" w:space="0" w:color="auto"/>
        <w:bottom w:val="none" w:sz="0" w:space="0" w:color="auto"/>
        <w:right w:val="none" w:sz="0" w:space="0" w:color="auto"/>
      </w:divBdr>
    </w:div>
    <w:div w:id="1737169005">
      <w:bodyDiv w:val="1"/>
      <w:marLeft w:val="0"/>
      <w:marRight w:val="0"/>
      <w:marTop w:val="0"/>
      <w:marBottom w:val="0"/>
      <w:divBdr>
        <w:top w:val="none" w:sz="0" w:space="0" w:color="auto"/>
        <w:left w:val="none" w:sz="0" w:space="0" w:color="auto"/>
        <w:bottom w:val="none" w:sz="0" w:space="0" w:color="auto"/>
        <w:right w:val="none" w:sz="0" w:space="0" w:color="auto"/>
      </w:divBdr>
    </w:div>
    <w:div w:id="1738548796">
      <w:bodyDiv w:val="1"/>
      <w:marLeft w:val="0"/>
      <w:marRight w:val="0"/>
      <w:marTop w:val="0"/>
      <w:marBottom w:val="0"/>
      <w:divBdr>
        <w:top w:val="none" w:sz="0" w:space="0" w:color="auto"/>
        <w:left w:val="none" w:sz="0" w:space="0" w:color="auto"/>
        <w:bottom w:val="none" w:sz="0" w:space="0" w:color="auto"/>
        <w:right w:val="none" w:sz="0" w:space="0" w:color="auto"/>
      </w:divBdr>
    </w:div>
    <w:div w:id="1747452803">
      <w:bodyDiv w:val="1"/>
      <w:marLeft w:val="0"/>
      <w:marRight w:val="0"/>
      <w:marTop w:val="0"/>
      <w:marBottom w:val="0"/>
      <w:divBdr>
        <w:top w:val="none" w:sz="0" w:space="0" w:color="auto"/>
        <w:left w:val="none" w:sz="0" w:space="0" w:color="auto"/>
        <w:bottom w:val="none" w:sz="0" w:space="0" w:color="auto"/>
        <w:right w:val="none" w:sz="0" w:space="0" w:color="auto"/>
      </w:divBdr>
    </w:div>
    <w:div w:id="1778676156">
      <w:bodyDiv w:val="1"/>
      <w:marLeft w:val="0"/>
      <w:marRight w:val="0"/>
      <w:marTop w:val="0"/>
      <w:marBottom w:val="0"/>
      <w:divBdr>
        <w:top w:val="none" w:sz="0" w:space="0" w:color="auto"/>
        <w:left w:val="none" w:sz="0" w:space="0" w:color="auto"/>
        <w:bottom w:val="none" w:sz="0" w:space="0" w:color="auto"/>
        <w:right w:val="none" w:sz="0" w:space="0" w:color="auto"/>
      </w:divBdr>
    </w:div>
    <w:div w:id="1784302039">
      <w:bodyDiv w:val="1"/>
      <w:marLeft w:val="0"/>
      <w:marRight w:val="0"/>
      <w:marTop w:val="0"/>
      <w:marBottom w:val="0"/>
      <w:divBdr>
        <w:top w:val="none" w:sz="0" w:space="0" w:color="auto"/>
        <w:left w:val="none" w:sz="0" w:space="0" w:color="auto"/>
        <w:bottom w:val="none" w:sz="0" w:space="0" w:color="auto"/>
        <w:right w:val="none" w:sz="0" w:space="0" w:color="auto"/>
      </w:divBdr>
    </w:div>
    <w:div w:id="1797333266">
      <w:bodyDiv w:val="1"/>
      <w:marLeft w:val="0"/>
      <w:marRight w:val="0"/>
      <w:marTop w:val="0"/>
      <w:marBottom w:val="0"/>
      <w:divBdr>
        <w:top w:val="none" w:sz="0" w:space="0" w:color="auto"/>
        <w:left w:val="none" w:sz="0" w:space="0" w:color="auto"/>
        <w:bottom w:val="none" w:sz="0" w:space="0" w:color="auto"/>
        <w:right w:val="none" w:sz="0" w:space="0" w:color="auto"/>
      </w:divBdr>
    </w:div>
    <w:div w:id="1812939080">
      <w:bodyDiv w:val="1"/>
      <w:marLeft w:val="0"/>
      <w:marRight w:val="0"/>
      <w:marTop w:val="0"/>
      <w:marBottom w:val="0"/>
      <w:divBdr>
        <w:top w:val="none" w:sz="0" w:space="0" w:color="auto"/>
        <w:left w:val="none" w:sz="0" w:space="0" w:color="auto"/>
        <w:bottom w:val="none" w:sz="0" w:space="0" w:color="auto"/>
        <w:right w:val="none" w:sz="0" w:space="0" w:color="auto"/>
      </w:divBdr>
    </w:div>
    <w:div w:id="1823816899">
      <w:bodyDiv w:val="1"/>
      <w:marLeft w:val="0"/>
      <w:marRight w:val="0"/>
      <w:marTop w:val="0"/>
      <w:marBottom w:val="0"/>
      <w:divBdr>
        <w:top w:val="none" w:sz="0" w:space="0" w:color="auto"/>
        <w:left w:val="none" w:sz="0" w:space="0" w:color="auto"/>
        <w:bottom w:val="none" w:sz="0" w:space="0" w:color="auto"/>
        <w:right w:val="none" w:sz="0" w:space="0" w:color="auto"/>
      </w:divBdr>
    </w:div>
    <w:div w:id="1855339447">
      <w:bodyDiv w:val="1"/>
      <w:marLeft w:val="0"/>
      <w:marRight w:val="0"/>
      <w:marTop w:val="0"/>
      <w:marBottom w:val="0"/>
      <w:divBdr>
        <w:top w:val="none" w:sz="0" w:space="0" w:color="auto"/>
        <w:left w:val="none" w:sz="0" w:space="0" w:color="auto"/>
        <w:bottom w:val="none" w:sz="0" w:space="0" w:color="auto"/>
        <w:right w:val="none" w:sz="0" w:space="0" w:color="auto"/>
      </w:divBdr>
    </w:div>
    <w:div w:id="1875120465">
      <w:bodyDiv w:val="1"/>
      <w:marLeft w:val="0"/>
      <w:marRight w:val="0"/>
      <w:marTop w:val="0"/>
      <w:marBottom w:val="0"/>
      <w:divBdr>
        <w:top w:val="none" w:sz="0" w:space="0" w:color="auto"/>
        <w:left w:val="none" w:sz="0" w:space="0" w:color="auto"/>
        <w:bottom w:val="none" w:sz="0" w:space="0" w:color="auto"/>
        <w:right w:val="none" w:sz="0" w:space="0" w:color="auto"/>
      </w:divBdr>
    </w:div>
    <w:div w:id="1947037108">
      <w:bodyDiv w:val="1"/>
      <w:marLeft w:val="0"/>
      <w:marRight w:val="0"/>
      <w:marTop w:val="0"/>
      <w:marBottom w:val="0"/>
      <w:divBdr>
        <w:top w:val="none" w:sz="0" w:space="0" w:color="auto"/>
        <w:left w:val="none" w:sz="0" w:space="0" w:color="auto"/>
        <w:bottom w:val="none" w:sz="0" w:space="0" w:color="auto"/>
        <w:right w:val="none" w:sz="0" w:space="0" w:color="auto"/>
      </w:divBdr>
    </w:div>
    <w:div w:id="1978993619">
      <w:bodyDiv w:val="1"/>
      <w:marLeft w:val="0"/>
      <w:marRight w:val="0"/>
      <w:marTop w:val="0"/>
      <w:marBottom w:val="0"/>
      <w:divBdr>
        <w:top w:val="none" w:sz="0" w:space="0" w:color="auto"/>
        <w:left w:val="none" w:sz="0" w:space="0" w:color="auto"/>
        <w:bottom w:val="none" w:sz="0" w:space="0" w:color="auto"/>
        <w:right w:val="none" w:sz="0" w:space="0" w:color="auto"/>
      </w:divBdr>
    </w:div>
    <w:div w:id="1986161419">
      <w:bodyDiv w:val="1"/>
      <w:marLeft w:val="0"/>
      <w:marRight w:val="0"/>
      <w:marTop w:val="0"/>
      <w:marBottom w:val="0"/>
      <w:divBdr>
        <w:top w:val="none" w:sz="0" w:space="0" w:color="auto"/>
        <w:left w:val="none" w:sz="0" w:space="0" w:color="auto"/>
        <w:bottom w:val="none" w:sz="0" w:space="0" w:color="auto"/>
        <w:right w:val="none" w:sz="0" w:space="0" w:color="auto"/>
      </w:divBdr>
    </w:div>
    <w:div w:id="1990402591">
      <w:bodyDiv w:val="1"/>
      <w:marLeft w:val="0"/>
      <w:marRight w:val="0"/>
      <w:marTop w:val="0"/>
      <w:marBottom w:val="0"/>
      <w:divBdr>
        <w:top w:val="none" w:sz="0" w:space="0" w:color="auto"/>
        <w:left w:val="none" w:sz="0" w:space="0" w:color="auto"/>
        <w:bottom w:val="none" w:sz="0" w:space="0" w:color="auto"/>
        <w:right w:val="none" w:sz="0" w:space="0" w:color="auto"/>
      </w:divBdr>
    </w:div>
    <w:div w:id="2021618329">
      <w:bodyDiv w:val="1"/>
      <w:marLeft w:val="0"/>
      <w:marRight w:val="0"/>
      <w:marTop w:val="0"/>
      <w:marBottom w:val="0"/>
      <w:divBdr>
        <w:top w:val="none" w:sz="0" w:space="0" w:color="auto"/>
        <w:left w:val="none" w:sz="0" w:space="0" w:color="auto"/>
        <w:bottom w:val="none" w:sz="0" w:space="0" w:color="auto"/>
        <w:right w:val="none" w:sz="0" w:space="0" w:color="auto"/>
      </w:divBdr>
    </w:div>
    <w:div w:id="2026705281">
      <w:bodyDiv w:val="1"/>
      <w:marLeft w:val="0"/>
      <w:marRight w:val="0"/>
      <w:marTop w:val="0"/>
      <w:marBottom w:val="0"/>
      <w:divBdr>
        <w:top w:val="none" w:sz="0" w:space="0" w:color="auto"/>
        <w:left w:val="none" w:sz="0" w:space="0" w:color="auto"/>
        <w:bottom w:val="none" w:sz="0" w:space="0" w:color="auto"/>
        <w:right w:val="none" w:sz="0" w:space="0" w:color="auto"/>
      </w:divBdr>
    </w:div>
    <w:div w:id="2060349649">
      <w:bodyDiv w:val="1"/>
      <w:marLeft w:val="0"/>
      <w:marRight w:val="0"/>
      <w:marTop w:val="0"/>
      <w:marBottom w:val="0"/>
      <w:divBdr>
        <w:top w:val="none" w:sz="0" w:space="0" w:color="auto"/>
        <w:left w:val="none" w:sz="0" w:space="0" w:color="auto"/>
        <w:bottom w:val="none" w:sz="0" w:space="0" w:color="auto"/>
        <w:right w:val="none" w:sz="0" w:space="0" w:color="auto"/>
      </w:divBdr>
    </w:div>
    <w:div w:id="2062361721">
      <w:bodyDiv w:val="1"/>
      <w:marLeft w:val="0"/>
      <w:marRight w:val="0"/>
      <w:marTop w:val="0"/>
      <w:marBottom w:val="0"/>
      <w:divBdr>
        <w:top w:val="none" w:sz="0" w:space="0" w:color="auto"/>
        <w:left w:val="none" w:sz="0" w:space="0" w:color="auto"/>
        <w:bottom w:val="none" w:sz="0" w:space="0" w:color="auto"/>
        <w:right w:val="none" w:sz="0" w:space="0" w:color="auto"/>
      </w:divBdr>
    </w:div>
    <w:div w:id="2073848161">
      <w:bodyDiv w:val="1"/>
      <w:marLeft w:val="0"/>
      <w:marRight w:val="0"/>
      <w:marTop w:val="0"/>
      <w:marBottom w:val="0"/>
      <w:divBdr>
        <w:top w:val="none" w:sz="0" w:space="0" w:color="auto"/>
        <w:left w:val="none" w:sz="0" w:space="0" w:color="auto"/>
        <w:bottom w:val="none" w:sz="0" w:space="0" w:color="auto"/>
        <w:right w:val="none" w:sz="0" w:space="0" w:color="auto"/>
      </w:divBdr>
    </w:div>
    <w:div w:id="2073963537">
      <w:bodyDiv w:val="1"/>
      <w:marLeft w:val="0"/>
      <w:marRight w:val="0"/>
      <w:marTop w:val="0"/>
      <w:marBottom w:val="0"/>
      <w:divBdr>
        <w:top w:val="none" w:sz="0" w:space="0" w:color="auto"/>
        <w:left w:val="none" w:sz="0" w:space="0" w:color="auto"/>
        <w:bottom w:val="none" w:sz="0" w:space="0" w:color="auto"/>
        <w:right w:val="none" w:sz="0" w:space="0" w:color="auto"/>
      </w:divBdr>
    </w:div>
    <w:div w:id="212749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alaine@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A4B0A-F971-43F9-9519-21318879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1525</TotalTime>
  <Pages>37</Pages>
  <Words>43018</Words>
  <Characters>24521</Characters>
  <Application>Microsoft Office Word</Application>
  <DocSecurity>0</DocSecurity>
  <Lines>204</Lines>
  <Paragraphs>134</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Finanšu ministrija</Company>
  <LinksUpToDate>false</LinksUpToDate>
  <CharactersWithSpaces>67405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Informatīvā ziņojuma izziņa</dc:subject>
  <dc:creator>zinta.zalite-supe@fm.gov.lv</dc:creator>
  <cp:keywords>FMizz_250219_ES_fondi</cp:keywords>
  <dc:description/>
  <cp:lastModifiedBy>Zinta Zālīte-Supe</cp:lastModifiedBy>
  <cp:revision>36</cp:revision>
  <cp:lastPrinted>2019-02-25T08:46:00Z</cp:lastPrinted>
  <dcterms:created xsi:type="dcterms:W3CDTF">2019-02-06T08:25:00Z</dcterms:created>
  <dcterms:modified xsi:type="dcterms:W3CDTF">2019-02-27T11:21:00Z</dcterms:modified>
</cp:coreProperties>
</file>