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4E53" w14:textId="77777777" w:rsidR="00BD5588" w:rsidRPr="006063E2" w:rsidRDefault="006063E2" w:rsidP="00635C0D">
      <w:pPr>
        <w:pStyle w:val="Title"/>
        <w:ind w:firstLine="709"/>
        <w:jc w:val="left"/>
        <w:outlineLvl w:val="0"/>
        <w:rPr>
          <w:b/>
          <w:sz w:val="24"/>
          <w:szCs w:val="24"/>
        </w:rPr>
      </w:pPr>
      <w:r w:rsidRPr="006063E2">
        <w:rPr>
          <w:b/>
          <w:bCs/>
          <w:sz w:val="24"/>
          <w:szCs w:val="24"/>
        </w:rPr>
        <w:t xml:space="preserve">Ministru kabineta noteikumu projekta “Grozījumi Ministru kabineta </w:t>
      </w:r>
      <w:r w:rsidRPr="006063E2">
        <w:rPr>
          <w:b/>
          <w:sz w:val="24"/>
          <w:szCs w:val="24"/>
        </w:rPr>
        <w:t xml:space="preserve">2017. gada 12.decembra </w:t>
      </w:r>
      <w:r w:rsidRPr="006063E2">
        <w:rPr>
          <w:b/>
          <w:bCs/>
          <w:sz w:val="24"/>
          <w:szCs w:val="24"/>
        </w:rPr>
        <w:t>noteikumos Nr. 724 “Noteikumi par Latvijas Zinātnes padomes ekspertu kvalifikācijas kritērijiem, ekspertu komisiju izveidošanu un to darbības organizēšanu”</w:t>
      </w:r>
      <w:r>
        <w:rPr>
          <w:b/>
          <w:bCs/>
          <w:sz w:val="24"/>
          <w:szCs w:val="24"/>
        </w:rPr>
        <w:t xml:space="preserve"> </w:t>
      </w:r>
      <w:r w:rsidR="00BD5588" w:rsidRPr="006063E2">
        <w:rPr>
          <w:b/>
          <w:bCs/>
          <w:sz w:val="24"/>
          <w:szCs w:val="24"/>
        </w:rPr>
        <w:t>sākotnējās ietekmes novērtējuma ziņojums (anotācija)</w:t>
      </w:r>
    </w:p>
    <w:p w14:paraId="599F4E54" w14:textId="77777777" w:rsidR="00BD5588" w:rsidRPr="006063E2" w:rsidRDefault="00BD5588" w:rsidP="006063E2">
      <w:pPr>
        <w:pStyle w:val="Title"/>
        <w:spacing w:before="130" w:line="260" w:lineRule="exact"/>
        <w:ind w:firstLine="539"/>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16"/>
        <w:gridCol w:w="5484"/>
      </w:tblGrid>
      <w:tr w:rsidR="00BD5588" w:rsidRPr="006063E2" w14:paraId="599F4E56" w14:textId="77777777" w:rsidTr="006E31E0">
        <w:trPr>
          <w:cantSplit/>
        </w:trPr>
        <w:tc>
          <w:tcPr>
            <w:tcW w:w="8500" w:type="dxa"/>
            <w:gridSpan w:val="2"/>
            <w:shd w:val="clear" w:color="auto" w:fill="FFFFFF"/>
            <w:vAlign w:val="center"/>
            <w:hideMark/>
          </w:tcPr>
          <w:p w14:paraId="599F4E55" w14:textId="77777777" w:rsidR="00BD5588" w:rsidRPr="006063E2" w:rsidRDefault="00BD5588" w:rsidP="009E0502">
            <w:pPr>
              <w:jc w:val="center"/>
              <w:rPr>
                <w:b/>
                <w:iCs/>
                <w:lang w:eastAsia="en-US"/>
              </w:rPr>
            </w:pPr>
            <w:r w:rsidRPr="006063E2">
              <w:rPr>
                <w:b/>
                <w:iCs/>
                <w:lang w:eastAsia="en-US"/>
              </w:rPr>
              <w:t>Tiesību akta projekta anotācijas kopsavilkums</w:t>
            </w:r>
          </w:p>
        </w:tc>
      </w:tr>
      <w:tr w:rsidR="00BD5588" w:rsidRPr="006063E2" w14:paraId="599F4E5B" w14:textId="77777777" w:rsidTr="006E31E0">
        <w:trPr>
          <w:cantSplit/>
        </w:trPr>
        <w:tc>
          <w:tcPr>
            <w:tcW w:w="3016" w:type="dxa"/>
            <w:shd w:val="clear" w:color="auto" w:fill="FFFFFF"/>
            <w:hideMark/>
          </w:tcPr>
          <w:p w14:paraId="599F4E57" w14:textId="77777777" w:rsidR="00BD5588" w:rsidRPr="006063E2" w:rsidRDefault="00BD5588" w:rsidP="009E0502">
            <w:pPr>
              <w:rPr>
                <w:iCs/>
                <w:lang w:eastAsia="en-US"/>
              </w:rPr>
            </w:pPr>
            <w:r w:rsidRPr="006063E2">
              <w:rPr>
                <w:iCs/>
                <w:lang w:eastAsia="en-US"/>
              </w:rPr>
              <w:t>Mērķis, risinājums un projekta spēkā stāšanās laiks (500 zīmes bez atstarpēm)</w:t>
            </w:r>
          </w:p>
        </w:tc>
        <w:tc>
          <w:tcPr>
            <w:tcW w:w="5484" w:type="dxa"/>
            <w:shd w:val="clear" w:color="auto" w:fill="FFFFFF"/>
            <w:hideMark/>
          </w:tcPr>
          <w:p w14:paraId="2C7AC3A8" w14:textId="6E6F0218" w:rsidR="00635C0D" w:rsidRDefault="00635C0D" w:rsidP="00635C0D">
            <w:pPr>
              <w:jc w:val="both"/>
            </w:pPr>
            <w:r>
              <w:rPr>
                <w:iCs/>
                <w:lang w:eastAsia="en-US"/>
              </w:rPr>
              <w:t>T</w:t>
            </w:r>
            <w:r w:rsidR="008449B9" w:rsidRPr="008449B9">
              <w:rPr>
                <w:iCs/>
                <w:lang w:eastAsia="en-US"/>
              </w:rPr>
              <w:t>iesību akt</w:t>
            </w:r>
            <w:r w:rsidR="00497D90">
              <w:rPr>
                <w:iCs/>
                <w:lang w:eastAsia="en-US"/>
              </w:rPr>
              <w:t>a</w:t>
            </w:r>
            <w:r w:rsidR="008449B9" w:rsidRPr="008449B9">
              <w:rPr>
                <w:iCs/>
                <w:lang w:eastAsia="en-US"/>
              </w:rPr>
              <w:t xml:space="preserve"> mērķis</w:t>
            </w:r>
            <w:r w:rsidR="00945905">
              <w:rPr>
                <w:iCs/>
                <w:lang w:eastAsia="en-US"/>
              </w:rPr>
              <w:t xml:space="preserve"> ir</w:t>
            </w:r>
            <w:r>
              <w:rPr>
                <w:iCs/>
                <w:lang w:eastAsia="en-US"/>
              </w:rPr>
              <w:t xml:space="preserve"> novērst </w:t>
            </w:r>
            <w:r>
              <w:t xml:space="preserve">noteikumu 3.punktā noteikto </w:t>
            </w:r>
            <w:proofErr w:type="spellStart"/>
            <w:r>
              <w:t>pārdeleģējumu</w:t>
            </w:r>
            <w:proofErr w:type="spellEnd"/>
            <w:r>
              <w:t xml:space="preserve"> Latvijas Zinātnes padomei, kas ir pieņemts </w:t>
            </w:r>
            <w:proofErr w:type="spellStart"/>
            <w:r w:rsidRPr="0092669E">
              <w:rPr>
                <w:i/>
              </w:rPr>
              <w:t>ultra</w:t>
            </w:r>
            <w:proofErr w:type="spellEnd"/>
            <w:r w:rsidRPr="0092669E">
              <w:rPr>
                <w:i/>
              </w:rPr>
              <w:t xml:space="preserve"> </w:t>
            </w:r>
            <w:proofErr w:type="spellStart"/>
            <w:r w:rsidRPr="0092669E">
              <w:rPr>
                <w:i/>
              </w:rPr>
              <w:t>vires</w:t>
            </w:r>
            <w:proofErr w:type="spellEnd"/>
            <w:r>
              <w:t xml:space="preserve"> (pārsniedzot pilnvaras) un ir neatbilstošs Satversmes 64.pantam, kas nosaka, ka Latvijā ir divi likumdevēji: tauta un Saeima. Saskaņā ar Satversmes 64.pantu likumdevējam ir jāizlemj svarīgākie jautājumi. Vienlaikus tas var deleģēt citai institūcijai, visbiežāk Ministru kabinetam noteikt ar likuma īstenošanu saistītus detalizētākus noteikumus. Deleģējumu saņēmusī institūcija nav tiesīga neregulēt attiecīgo jautājumu un patvaļīgi deleģēt savas tiesības tālāk. </w:t>
            </w:r>
          </w:p>
          <w:p w14:paraId="599F4E5A" w14:textId="77777777" w:rsidR="008449B9" w:rsidRPr="008449B9" w:rsidRDefault="008449B9" w:rsidP="008449B9">
            <w:pPr>
              <w:jc w:val="both"/>
              <w:rPr>
                <w:iCs/>
                <w:lang w:eastAsia="en-US"/>
              </w:rPr>
            </w:pPr>
            <w:r w:rsidRPr="008449B9">
              <w:rPr>
                <w:iCs/>
              </w:rPr>
              <w:t>Stāsies spēkā Oficiālo publikāciju un tiesiskās informācijas likumā noteiktajā kārtībā.</w:t>
            </w:r>
          </w:p>
        </w:tc>
      </w:tr>
    </w:tbl>
    <w:p w14:paraId="599F4E5C" w14:textId="77777777" w:rsidR="00BD5588" w:rsidRPr="006063E2" w:rsidRDefault="00BD5588" w:rsidP="00BD5588">
      <w:pPr>
        <w:pStyle w:val="Title"/>
        <w:spacing w:before="130" w:line="260" w:lineRule="exact"/>
        <w:ind w:firstLine="539"/>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455"/>
        <w:gridCol w:w="5528"/>
      </w:tblGrid>
      <w:tr w:rsidR="00BD5588" w:rsidRPr="006063E2" w14:paraId="599F4E5E" w14:textId="77777777" w:rsidTr="00951BB9">
        <w:tc>
          <w:tcPr>
            <w:tcW w:w="5000" w:type="pct"/>
            <w:gridSpan w:val="3"/>
            <w:vAlign w:val="center"/>
            <w:hideMark/>
          </w:tcPr>
          <w:p w14:paraId="599F4E5D" w14:textId="77777777" w:rsidR="00BD5588" w:rsidRPr="006063E2" w:rsidRDefault="00BD5588" w:rsidP="009E0502">
            <w:pPr>
              <w:jc w:val="center"/>
              <w:rPr>
                <w:b/>
                <w:bCs/>
              </w:rPr>
            </w:pPr>
            <w:r w:rsidRPr="006063E2">
              <w:rPr>
                <w:b/>
                <w:bCs/>
              </w:rPr>
              <w:t>I. Tiesību akta projekta izstrādes nepieciešamība</w:t>
            </w:r>
          </w:p>
        </w:tc>
      </w:tr>
      <w:tr w:rsidR="00BD5588" w:rsidRPr="006063E2" w14:paraId="599F4E62" w14:textId="77777777" w:rsidTr="00951BB9">
        <w:tc>
          <w:tcPr>
            <w:tcW w:w="304" w:type="pct"/>
            <w:hideMark/>
          </w:tcPr>
          <w:p w14:paraId="599F4E5F" w14:textId="77777777" w:rsidR="00BD5588" w:rsidRPr="006063E2" w:rsidRDefault="00BD5588" w:rsidP="009E0502">
            <w:pPr>
              <w:jc w:val="center"/>
            </w:pPr>
            <w:r w:rsidRPr="006063E2">
              <w:t>1.</w:t>
            </w:r>
          </w:p>
        </w:tc>
        <w:tc>
          <w:tcPr>
            <w:tcW w:w="1444" w:type="pct"/>
            <w:hideMark/>
          </w:tcPr>
          <w:p w14:paraId="599F4E60" w14:textId="77777777" w:rsidR="00BD5588" w:rsidRPr="006063E2" w:rsidRDefault="00BD5588" w:rsidP="009E0502">
            <w:r w:rsidRPr="006063E2">
              <w:t>Pamatojums</w:t>
            </w:r>
          </w:p>
        </w:tc>
        <w:tc>
          <w:tcPr>
            <w:tcW w:w="3252" w:type="pct"/>
            <w:hideMark/>
          </w:tcPr>
          <w:p w14:paraId="599F4E61" w14:textId="5FB5E04A" w:rsidR="00FF2EB7" w:rsidRPr="000A336E" w:rsidRDefault="000A336E" w:rsidP="008B7277">
            <w:pPr>
              <w:ind w:firstLine="396"/>
              <w:jc w:val="both"/>
            </w:pPr>
            <w:r w:rsidRPr="000A336E">
              <w:t xml:space="preserve">Izglītības un zinātnes ministrija (turpmāk – ministrija) ir sagatavojusi </w:t>
            </w:r>
            <w:r w:rsidRPr="000A336E">
              <w:rPr>
                <w:bCs/>
              </w:rPr>
              <w:t xml:space="preserve">Ministru kabineta noteikumu projekta “Grozījumi Ministru kabineta </w:t>
            </w:r>
            <w:r w:rsidRPr="000A336E">
              <w:t xml:space="preserve">2017. gada 12.decembra </w:t>
            </w:r>
            <w:r w:rsidRPr="000A336E">
              <w:rPr>
                <w:bCs/>
              </w:rPr>
              <w:t xml:space="preserve">noteikumos Nr. 724 “Noteikumi par Latvijas Zinātnes padomes ekspertu kvalifikācijas kritērijiem, ekspertu komisiju izveidošanu un to darbības organizēšanu” (turpmāk – projekts) saskaņā ar </w:t>
            </w:r>
            <w:hyperlink r:id="rId8" w:tgtFrame="_blank" w:history="1">
              <w:r w:rsidRPr="000A336E">
                <w:rPr>
                  <w:iCs/>
                </w:rPr>
                <w:t>Zinātniskās darbības likuma</w:t>
              </w:r>
            </w:hyperlink>
            <w:r>
              <w:rPr>
                <w:iCs/>
              </w:rPr>
              <w:t xml:space="preserve"> </w:t>
            </w:r>
            <w:hyperlink r:id="rId9" w:anchor="p18" w:tgtFrame="_blank" w:history="1">
              <w:r w:rsidRPr="000A336E">
                <w:rPr>
                  <w:iCs/>
                </w:rPr>
                <w:t>18. panta</w:t>
              </w:r>
            </w:hyperlink>
            <w:r w:rsidR="008B7277">
              <w:rPr>
                <w:iCs/>
              </w:rPr>
              <w:t xml:space="preserve"> piekto daļu.</w:t>
            </w:r>
          </w:p>
        </w:tc>
      </w:tr>
      <w:tr w:rsidR="00BD5588" w:rsidRPr="006063E2" w14:paraId="599F4E82" w14:textId="77777777" w:rsidTr="00951BB9">
        <w:tc>
          <w:tcPr>
            <w:tcW w:w="304" w:type="pct"/>
            <w:hideMark/>
          </w:tcPr>
          <w:p w14:paraId="599F4E63" w14:textId="77777777" w:rsidR="00BD5588" w:rsidRPr="006063E2" w:rsidRDefault="00BD5588" w:rsidP="009E0502">
            <w:pPr>
              <w:jc w:val="center"/>
            </w:pPr>
            <w:r w:rsidRPr="006063E2">
              <w:t>2.</w:t>
            </w:r>
          </w:p>
        </w:tc>
        <w:tc>
          <w:tcPr>
            <w:tcW w:w="1444" w:type="pct"/>
            <w:hideMark/>
          </w:tcPr>
          <w:p w14:paraId="599F4E64" w14:textId="77777777" w:rsidR="00BD5588" w:rsidRPr="006063E2" w:rsidRDefault="00BD5588" w:rsidP="009E0502">
            <w:r w:rsidRPr="006063E2">
              <w:t>Pašreizējā situācija un problēmas, kuru risināšanai tiesību akta projekts izstrādāts, tiesiskā regulējuma mērķis un būtība</w:t>
            </w:r>
          </w:p>
        </w:tc>
        <w:tc>
          <w:tcPr>
            <w:tcW w:w="3252" w:type="pct"/>
            <w:hideMark/>
          </w:tcPr>
          <w:p w14:paraId="599F4E65" w14:textId="77777777" w:rsidR="00237C90" w:rsidRDefault="008449B9" w:rsidP="008449B9">
            <w:pPr>
              <w:ind w:firstLine="396"/>
              <w:jc w:val="both"/>
            </w:pPr>
            <w:r w:rsidRPr="008449B9">
              <w:rPr>
                <w:u w:val="single"/>
              </w:rPr>
              <w:t>Pašreizējā situācijā</w:t>
            </w:r>
            <w:r w:rsidRPr="008449B9">
              <w:t xml:space="preserve"> </w:t>
            </w:r>
          </w:p>
          <w:p w14:paraId="599F4E66" w14:textId="3565CCCD" w:rsidR="00237C90" w:rsidRDefault="00237C90" w:rsidP="00945905">
            <w:pPr>
              <w:ind w:firstLine="395"/>
              <w:jc w:val="both"/>
            </w:pPr>
            <w:r w:rsidRPr="00237C90">
              <w:t xml:space="preserve">Satversmes tiesa 2019.gada 25.februārī ir ierosinājusi lietu “Par </w:t>
            </w:r>
            <w:r w:rsidRPr="00237C90">
              <w:rPr>
                <w:bCs/>
              </w:rPr>
              <w:t xml:space="preserve">Ministru kabineta </w:t>
            </w:r>
            <w:r w:rsidRPr="00237C90">
              <w:t xml:space="preserve">2017. gada 12.decembra </w:t>
            </w:r>
            <w:r w:rsidRPr="00237C90">
              <w:rPr>
                <w:bCs/>
              </w:rPr>
              <w:t>noteikumu Nr. 724 “Noteikumi par Latvijas Zinātnes padomes ekspertu kvalifikācijas kritērijiem, ekspertu komisiju izveidošanu un to darbības organizēšanu” 3.punkta un Latvijas Zinātnes padomes 2018.gada 15.janvāra lēmuma Nr.19-</w:t>
            </w:r>
            <w:r w:rsidR="00872987">
              <w:rPr>
                <w:bCs/>
              </w:rPr>
              <w:t xml:space="preserve">1-1 “Latvijas Zinātnes padomes </w:t>
            </w:r>
            <w:r w:rsidRPr="00237C90">
              <w:rPr>
                <w:bCs/>
              </w:rPr>
              <w:t>eksperta tiesību piešķiršanas kārtība” atbilstību Latvijas Republikas Satversmes 1. un 64.pantam”.</w:t>
            </w:r>
          </w:p>
          <w:p w14:paraId="599F4E67" w14:textId="71B44E6F" w:rsidR="008449B9" w:rsidRDefault="008449B9" w:rsidP="008449B9">
            <w:pPr>
              <w:ind w:firstLine="396"/>
              <w:jc w:val="both"/>
            </w:pPr>
            <w:r w:rsidRPr="008449B9">
              <w:rPr>
                <w:bCs/>
              </w:rPr>
              <w:t xml:space="preserve">Ministru kabineta </w:t>
            </w:r>
            <w:r w:rsidRPr="008449B9">
              <w:t xml:space="preserve">2017. gada 12.decembra </w:t>
            </w:r>
            <w:r w:rsidRPr="008449B9">
              <w:rPr>
                <w:bCs/>
              </w:rPr>
              <w:t xml:space="preserve">noteikumu Nr. 724 “Noteikumi par Latvijas Zinātnes padomes ekspertu kvalifikācijas kritērijiem, ekspertu komisiju izveidošanu un to darbības organizēšanu” </w:t>
            </w:r>
            <w:r w:rsidR="00FA2385">
              <w:rPr>
                <w:bCs/>
              </w:rPr>
              <w:t xml:space="preserve">(turpmāk – noteikumi) </w:t>
            </w:r>
            <w:r w:rsidRPr="008449B9">
              <w:rPr>
                <w:bCs/>
              </w:rPr>
              <w:t>2.punkts nosaka, ka Latvijas Zinātnes padomes</w:t>
            </w:r>
            <w:r w:rsidRPr="008449B9">
              <w:rPr>
                <w:iCs/>
              </w:rPr>
              <w:t xml:space="preserve"> </w:t>
            </w:r>
            <w:r w:rsidRPr="008449B9">
              <w:t xml:space="preserve">eksperta (turpmāk – </w:t>
            </w:r>
            <w:r w:rsidRPr="008449B9">
              <w:rPr>
                <w:bCs/>
              </w:rPr>
              <w:t>e</w:t>
            </w:r>
            <w:r w:rsidRPr="008449B9">
              <w:t xml:space="preserve">ksperts) tiesības zinātnes nozarē uz laiku, ne ilgāku par trim gadiem, piešķir zinātniekam, kurš pēdējo triju gadu laikā ir veicis zinātnisko darbību attiecīgajā zinātnes nozarē un </w:t>
            </w:r>
            <w:r w:rsidRPr="008449B9">
              <w:lastRenderedPageBreak/>
              <w:t>sasniedzis vismaz trīs rezultātus šādos zinātniskās darbības veidos (kopā):</w:t>
            </w:r>
            <w:r w:rsidRPr="008449B9">
              <w:rPr>
                <w:bCs/>
              </w:rPr>
              <w:t xml:space="preserve"> 1)</w:t>
            </w:r>
            <w:r w:rsidRPr="008449B9">
              <w:t> anonīmi recenzētas zinātniskās publikācijas;</w:t>
            </w:r>
            <w:r w:rsidRPr="008449B9">
              <w:rPr>
                <w:bCs/>
              </w:rPr>
              <w:t xml:space="preserve"> 2) </w:t>
            </w:r>
            <w:r w:rsidRPr="008449B9">
              <w:t>zinātniskā publikācija, kura ir pieejama atvērtajā piekļuvē (</w:t>
            </w:r>
            <w:proofErr w:type="spellStart"/>
            <w:r w:rsidRPr="008449B9">
              <w:rPr>
                <w:i/>
                <w:iCs/>
              </w:rPr>
              <w:t>Open</w:t>
            </w:r>
            <w:proofErr w:type="spellEnd"/>
            <w:r w:rsidRPr="008449B9">
              <w:rPr>
                <w:i/>
                <w:iCs/>
              </w:rPr>
              <w:t xml:space="preserve"> Access</w:t>
            </w:r>
            <w:r w:rsidRPr="008449B9">
              <w:t>);</w:t>
            </w:r>
            <w:r w:rsidRPr="008449B9">
              <w:rPr>
                <w:bCs/>
              </w:rPr>
              <w:t xml:space="preserve"> 3) </w:t>
            </w:r>
            <w:r w:rsidRPr="008449B9">
              <w:t xml:space="preserve">recenzēta zinātniskā monogrāfija. Savukārt noteikumu  </w:t>
            </w:r>
            <w:r w:rsidRPr="008449B9">
              <w:rPr>
                <w:bCs/>
              </w:rPr>
              <w:t xml:space="preserve">3.punkts nosaka, ka </w:t>
            </w:r>
            <w:r w:rsidRPr="008449B9">
              <w:t xml:space="preserve">katra noteikumu </w:t>
            </w:r>
            <w:hyperlink r:id="rId10" w:anchor="p2" w:history="1">
              <w:r w:rsidRPr="008449B9">
                <w:t>2.</w:t>
              </w:r>
            </w:hyperlink>
            <w:r w:rsidRPr="008449B9">
              <w:t xml:space="preserve"> punktā minētā rezultāta kvalitātes kritērijus attiecīgajā zinātnes nozarē, kritēriju izvērtēšanas un eksperta tiesību piešķiršanas kārtību nosaka </w:t>
            </w:r>
            <w:r w:rsidRPr="008449B9">
              <w:rPr>
                <w:bCs/>
              </w:rPr>
              <w:t>Latvijas Zinātnes padome (turpmāk – padome)</w:t>
            </w:r>
            <w:r w:rsidRPr="008449B9">
              <w:t>.</w:t>
            </w:r>
          </w:p>
          <w:p w14:paraId="599F4E6A" w14:textId="77777777" w:rsidR="00E76C65" w:rsidRPr="00237C90" w:rsidRDefault="00237C90" w:rsidP="00E76C65">
            <w:pPr>
              <w:jc w:val="both"/>
              <w:rPr>
                <w:bCs/>
              </w:rPr>
            </w:pPr>
            <w:r>
              <w:t xml:space="preserve">  Ministrijas </w:t>
            </w:r>
            <w:r w:rsidRPr="00237C90">
              <w:rPr>
                <w:u w:val="single"/>
              </w:rPr>
              <w:t>konstatētā</w:t>
            </w:r>
            <w:r w:rsidR="008449B9" w:rsidRPr="00237C90">
              <w:rPr>
                <w:u w:val="single"/>
              </w:rPr>
              <w:t xml:space="preserve"> </w:t>
            </w:r>
            <w:r w:rsidRPr="00237C90">
              <w:rPr>
                <w:u w:val="single"/>
              </w:rPr>
              <w:t>p</w:t>
            </w:r>
            <w:r w:rsidR="009B6262" w:rsidRPr="00237C90">
              <w:rPr>
                <w:u w:val="single"/>
              </w:rPr>
              <w:t>roblēma</w:t>
            </w:r>
            <w:r w:rsidR="009B6262" w:rsidRPr="008449B9">
              <w:rPr>
                <w:u w:val="single"/>
              </w:rPr>
              <w:t>:</w:t>
            </w:r>
          </w:p>
          <w:p w14:paraId="599F4E6B" w14:textId="77777777" w:rsidR="00E76C65" w:rsidRPr="009B6262" w:rsidRDefault="009B6262" w:rsidP="00E76C65">
            <w:pPr>
              <w:pStyle w:val="ListParagraph"/>
              <w:numPr>
                <w:ilvl w:val="0"/>
                <w:numId w:val="1"/>
              </w:numPr>
              <w:ind w:left="0" w:firstLine="290"/>
              <w:jc w:val="both"/>
            </w:pPr>
            <w:r w:rsidRPr="009B6262">
              <w:rPr>
                <w:bCs/>
              </w:rPr>
              <w:t xml:space="preserve">ar noteikumu </w:t>
            </w:r>
            <w:r w:rsidR="00E76C65" w:rsidRPr="009B6262">
              <w:rPr>
                <w:bCs/>
              </w:rPr>
              <w:t xml:space="preserve">3.punktu padomei ir pārdeleģēts  </w:t>
            </w:r>
            <w:hyperlink r:id="rId11" w:tgtFrame="_blank" w:history="1">
              <w:r w:rsidR="00E76C65" w:rsidRPr="009B6262">
                <w:rPr>
                  <w:iCs/>
                </w:rPr>
                <w:t>Zinātniskās darbības likuma</w:t>
              </w:r>
            </w:hyperlink>
            <w:r w:rsidR="00E76C65" w:rsidRPr="009B6262">
              <w:rPr>
                <w:iCs/>
              </w:rPr>
              <w:t xml:space="preserve"> </w:t>
            </w:r>
            <w:hyperlink r:id="rId12" w:anchor="p18" w:tgtFrame="_blank" w:history="1">
              <w:r w:rsidR="00E76C65" w:rsidRPr="009B6262">
                <w:rPr>
                  <w:iCs/>
                </w:rPr>
                <w:t>18. panta</w:t>
              </w:r>
            </w:hyperlink>
            <w:r w:rsidR="00E76C65" w:rsidRPr="009B6262">
              <w:rPr>
                <w:iCs/>
              </w:rPr>
              <w:t xml:space="preserve"> piektajā daļā Ministru kabinetam noteiktais deleģējums par </w:t>
            </w:r>
            <w:r w:rsidR="00E76C65" w:rsidRPr="009B6262">
              <w:t>eksperta kvalifikācijas kritēriju noteikšanu;</w:t>
            </w:r>
          </w:p>
          <w:p w14:paraId="599F4E6C" w14:textId="05660503" w:rsidR="00E76C65" w:rsidRPr="009B6262" w:rsidRDefault="009B6262" w:rsidP="00FF2EB7">
            <w:pPr>
              <w:pStyle w:val="ListParagraph"/>
              <w:numPr>
                <w:ilvl w:val="0"/>
                <w:numId w:val="1"/>
              </w:numPr>
              <w:ind w:left="0" w:firstLine="290"/>
              <w:jc w:val="both"/>
            </w:pPr>
            <w:r w:rsidRPr="009B6262">
              <w:t>noteikumu 2.punktā</w:t>
            </w:r>
            <w:r w:rsidR="00E76C65" w:rsidRPr="009B6262">
              <w:t xml:space="preserve"> ir noteikti zinātniskās darbības rezultāti</w:t>
            </w:r>
            <w:r w:rsidRPr="009B6262">
              <w:t>, lai</w:t>
            </w:r>
            <w:r w:rsidR="00E76C65" w:rsidRPr="009B6262">
              <w:t xml:space="preserve"> kvalificētos eksperta amatam, savukārt Zinātniskās darbības likuma 18.panta piektā daļa nosaka, ka Ministru kabinets nosaka ekspertu kval</w:t>
            </w:r>
            <w:r w:rsidRPr="009B6262">
              <w:t>ifikācijas kritērij</w:t>
            </w:r>
            <w:r w:rsidR="00497D90">
              <w:t>us</w:t>
            </w:r>
            <w:r w:rsidR="00E76C65" w:rsidRPr="009B6262">
              <w:t>;</w:t>
            </w:r>
          </w:p>
          <w:p w14:paraId="599F4E6D" w14:textId="77777777" w:rsidR="00FF2EB7" w:rsidRDefault="009B6262" w:rsidP="00FF2EB7">
            <w:pPr>
              <w:pStyle w:val="ListParagraph"/>
              <w:numPr>
                <w:ilvl w:val="0"/>
                <w:numId w:val="1"/>
              </w:numPr>
              <w:ind w:left="0" w:firstLine="290"/>
              <w:jc w:val="both"/>
            </w:pPr>
            <w:r w:rsidRPr="009B6262">
              <w:t>noteikumu 3.punktā</w:t>
            </w:r>
            <w:r w:rsidR="00E76C65" w:rsidRPr="009B6262">
              <w:t xml:space="preserve"> ir noteikts, ka </w:t>
            </w:r>
            <w:r w:rsidRPr="009B6262">
              <w:t>padome nosaka noteikumu 2.punktā minēto rezultātu kvalitātes kritērijus, ko nepar</w:t>
            </w:r>
            <w:r w:rsidR="00FF2EB7">
              <w:t>edz Zinātniskās darbības likums;</w:t>
            </w:r>
          </w:p>
          <w:p w14:paraId="599F4E6E" w14:textId="303C3F7B" w:rsidR="0092669E" w:rsidRDefault="0092669E" w:rsidP="00FF2EB7">
            <w:pPr>
              <w:pStyle w:val="ListParagraph"/>
              <w:numPr>
                <w:ilvl w:val="0"/>
                <w:numId w:val="1"/>
              </w:numPr>
              <w:ind w:left="0" w:firstLine="290"/>
              <w:jc w:val="both"/>
            </w:pPr>
            <w:r>
              <w:t>pamatojoties uz noteikumu 3.punkt</w:t>
            </w:r>
            <w:r w:rsidR="00E3434B">
              <w:t>u</w:t>
            </w:r>
            <w:bookmarkStart w:id="0" w:name="_GoBack"/>
            <w:bookmarkEnd w:id="0"/>
            <w:r>
              <w:t xml:space="preserve">, padome ir izdevusi </w:t>
            </w:r>
            <w:r w:rsidR="00FF2EB7" w:rsidRPr="00B42047">
              <w:rPr>
                <w:color w:val="000000"/>
              </w:rPr>
              <w:t>Padomes Eksperta tiesību piešķiršanas kārtīb</w:t>
            </w:r>
            <w:r w:rsidR="00FF2EB7">
              <w:rPr>
                <w:color w:val="000000"/>
              </w:rPr>
              <w:t>u</w:t>
            </w:r>
            <w:r w:rsidR="00FF2EB7" w:rsidRPr="00B42047">
              <w:rPr>
                <w:color w:val="000000"/>
              </w:rPr>
              <w:t xml:space="preserve"> (apstiprināta ar Padomes 2018. gada 15. janvāra rakstiskās procedūras lēmumu Nr. 19-1-1)</w:t>
            </w:r>
            <w:r w:rsidR="001E3D25">
              <w:rPr>
                <w:rStyle w:val="FootnoteReference"/>
              </w:rPr>
              <w:footnoteReference w:id="1"/>
            </w:r>
            <w:r w:rsidR="00FF2EB7">
              <w:rPr>
                <w:color w:val="000000"/>
              </w:rPr>
              <w:t xml:space="preserve"> (turpmāk – padomes kārtība)</w:t>
            </w:r>
            <w:r>
              <w:t xml:space="preserve">, kurā ir ietverti </w:t>
            </w:r>
            <w:r w:rsidR="00FF2EB7">
              <w:t>(detalizēti) papildu</w:t>
            </w:r>
            <w:r w:rsidR="001E3D25">
              <w:t xml:space="preserve"> </w:t>
            </w:r>
            <w:r>
              <w:t xml:space="preserve">kritēriji, kas </w:t>
            </w:r>
            <w:r w:rsidR="001E3D25">
              <w:t xml:space="preserve">modificē un papildina </w:t>
            </w:r>
            <w:r>
              <w:t>noteikumu 2.pu</w:t>
            </w:r>
            <w:r w:rsidR="001E3D25">
              <w:t>nktā</w:t>
            </w:r>
            <w:r>
              <w:t xml:space="preserve"> noteikto</w:t>
            </w:r>
            <w:r w:rsidR="001E3D25">
              <w:t>s</w:t>
            </w:r>
            <w:r>
              <w:t xml:space="preserve"> rezultātu</w:t>
            </w:r>
            <w:r w:rsidR="001E3D25">
              <w:t>s</w:t>
            </w:r>
            <w:r>
              <w:t>.</w:t>
            </w:r>
          </w:p>
          <w:p w14:paraId="599F4E6F" w14:textId="77777777" w:rsidR="0092669E" w:rsidRDefault="0092669E" w:rsidP="0092669E">
            <w:pPr>
              <w:pStyle w:val="ListParagraph"/>
              <w:ind w:left="-29" w:firstLine="389"/>
              <w:jc w:val="both"/>
            </w:pPr>
            <w:r>
              <w:t>Ievērojot minēto</w:t>
            </w:r>
            <w:r w:rsidR="00497D90">
              <w:t>,</w:t>
            </w:r>
            <w:r>
              <w:t xml:space="preserve"> noteikumu 3.punkts ir pieņemts </w:t>
            </w:r>
            <w:proofErr w:type="spellStart"/>
            <w:r w:rsidRPr="0092669E">
              <w:rPr>
                <w:i/>
              </w:rPr>
              <w:t>ultra</w:t>
            </w:r>
            <w:proofErr w:type="spellEnd"/>
            <w:r w:rsidRPr="0092669E">
              <w:rPr>
                <w:i/>
              </w:rPr>
              <w:t xml:space="preserve"> </w:t>
            </w:r>
            <w:proofErr w:type="spellStart"/>
            <w:r w:rsidRPr="0092669E">
              <w:rPr>
                <w:i/>
              </w:rPr>
              <w:t>vires</w:t>
            </w:r>
            <w:proofErr w:type="spellEnd"/>
            <w:r>
              <w:t xml:space="preserve"> (pārsniedzot pilnvaras) un </w:t>
            </w:r>
            <w:r w:rsidR="00776277">
              <w:t xml:space="preserve">neatbilstoši </w:t>
            </w:r>
            <w:r>
              <w:t xml:space="preserve">Satversmes 64.pantam, </w:t>
            </w:r>
            <w:r w:rsidR="00776277">
              <w:t xml:space="preserve">kas nosaka, </w:t>
            </w:r>
            <w:r>
              <w:t>ka Latvijā ir divi likumdevēji: tauta un Saeima. Saskaņā ar Satversmes 64.pantu likumdevējam ir jāizlemj svarīgākie jautājumi. Vienlaikus tas var deleģēt citai institūcijai, visbiežāk Ministru kabinetam noteikt ar likum</w:t>
            </w:r>
            <w:r w:rsidR="00776277">
              <w:t>a</w:t>
            </w:r>
            <w:r>
              <w:t xml:space="preserve"> īstenošanu saistītus detalizētākus noteikumus. Deleģējumu saņēmusī institūcija nav tiesīga neregulēt attiecīgo jautājumu un patvaļīgi deleģēt savas tiesības tālāk.</w:t>
            </w:r>
            <w:r w:rsidR="000E34AF">
              <w:t xml:space="preserve"> </w:t>
            </w:r>
          </w:p>
          <w:p w14:paraId="599F4E70" w14:textId="77777777" w:rsidR="000E34AF" w:rsidRDefault="000E34AF" w:rsidP="0092669E">
            <w:pPr>
              <w:pStyle w:val="ListParagraph"/>
              <w:ind w:left="-29" w:firstLine="389"/>
              <w:jc w:val="both"/>
            </w:pPr>
            <w:r>
              <w:t xml:space="preserve">Ar Zinātniskās darbības likuma 18.panta </w:t>
            </w:r>
            <w:r w:rsidR="001E3D25">
              <w:t>piektās</w:t>
            </w:r>
            <w:r>
              <w:t xml:space="preserve"> daļas pirmo teikumu </w:t>
            </w:r>
            <w:r w:rsidR="001E3D25">
              <w:t>Ministru</w:t>
            </w:r>
            <w:r>
              <w:t xml:space="preserve"> </w:t>
            </w:r>
            <w:r w:rsidR="001E3D25">
              <w:t>kabinets</w:t>
            </w:r>
            <w:r>
              <w:t xml:space="preserve"> ir</w:t>
            </w:r>
            <w:r w:rsidR="001E3D25">
              <w:t xml:space="preserve"> </w:t>
            </w:r>
            <w:r>
              <w:t xml:space="preserve">pilnvarots noteikt ekspertu </w:t>
            </w:r>
            <w:r w:rsidR="001E3D25">
              <w:t>kvalifikācijas</w:t>
            </w:r>
            <w:r>
              <w:t xml:space="preserve"> </w:t>
            </w:r>
            <w:r w:rsidR="001E3D25">
              <w:t>kritērijus</w:t>
            </w:r>
            <w:r>
              <w:t xml:space="preserve">, savukārt padomei </w:t>
            </w:r>
            <w:r w:rsidR="001E3D25">
              <w:t>jāpieņem</w:t>
            </w:r>
            <w:r>
              <w:t xml:space="preserve"> individuāli lēmumi </w:t>
            </w:r>
            <w:r w:rsidR="001E3D25">
              <w:t>atbilstoši</w:t>
            </w:r>
            <w:r>
              <w:t xml:space="preserve"> </w:t>
            </w:r>
            <w:r w:rsidR="001E3D25">
              <w:t>Ministru</w:t>
            </w:r>
            <w:r>
              <w:t xml:space="preserve"> </w:t>
            </w:r>
            <w:r w:rsidR="001E3D25">
              <w:t>kabineta</w:t>
            </w:r>
            <w:r>
              <w:t xml:space="preserve"> </w:t>
            </w:r>
            <w:r w:rsidR="001E3D25">
              <w:t>noteiktajiem</w:t>
            </w:r>
            <w:r>
              <w:t xml:space="preserve"> </w:t>
            </w:r>
            <w:r w:rsidR="001E3D25">
              <w:t>kritērijiem</w:t>
            </w:r>
            <w:r>
              <w:t xml:space="preserve">. Ministru </w:t>
            </w:r>
            <w:r w:rsidR="001E3D25">
              <w:t>kabinets</w:t>
            </w:r>
            <w:r>
              <w:t xml:space="preserve"> nav tiesīgs </w:t>
            </w:r>
            <w:r w:rsidR="001E3D25">
              <w:t>pārdeleģēt</w:t>
            </w:r>
            <w:r>
              <w:t xml:space="preserve"> ekspertu </w:t>
            </w:r>
            <w:r w:rsidR="00776277">
              <w:t xml:space="preserve">kvalifikācijas </w:t>
            </w:r>
            <w:r w:rsidR="001E3D25">
              <w:t>kritēriju noteikšanu.</w:t>
            </w:r>
            <w:r>
              <w:t xml:space="preserve"> </w:t>
            </w:r>
          </w:p>
          <w:p w14:paraId="599F4E71" w14:textId="30CD86DC" w:rsidR="00C55B51" w:rsidRDefault="00C55B51" w:rsidP="0092669E">
            <w:pPr>
              <w:pStyle w:val="ListParagraph"/>
              <w:ind w:left="-29" w:firstLine="389"/>
              <w:jc w:val="both"/>
            </w:pPr>
            <w:r w:rsidRPr="008449B9">
              <w:rPr>
                <w:u w:val="single"/>
              </w:rPr>
              <w:t>Projekta mērķis</w:t>
            </w:r>
            <w:r>
              <w:t xml:space="preserve"> ir </w:t>
            </w:r>
            <w:r w:rsidR="009D2E3F">
              <w:t xml:space="preserve">novērst </w:t>
            </w:r>
            <w:proofErr w:type="spellStart"/>
            <w:r w:rsidR="009D2E3F" w:rsidRPr="009D2E3F">
              <w:rPr>
                <w:i/>
              </w:rPr>
              <w:t>ultra</w:t>
            </w:r>
            <w:proofErr w:type="spellEnd"/>
            <w:r w:rsidR="009D2E3F" w:rsidRPr="009D2E3F">
              <w:rPr>
                <w:i/>
              </w:rPr>
              <w:t xml:space="preserve"> </w:t>
            </w:r>
            <w:proofErr w:type="spellStart"/>
            <w:r w:rsidR="009D2E3F" w:rsidRPr="009D2E3F">
              <w:rPr>
                <w:i/>
              </w:rPr>
              <w:t>vires</w:t>
            </w:r>
            <w:proofErr w:type="spellEnd"/>
            <w:r w:rsidR="00635C0D">
              <w:rPr>
                <w:i/>
              </w:rPr>
              <w:t>.</w:t>
            </w:r>
          </w:p>
          <w:p w14:paraId="599F4E72" w14:textId="77777777" w:rsidR="00050E2A" w:rsidRDefault="00050E2A" w:rsidP="0092669E">
            <w:pPr>
              <w:pStyle w:val="ListParagraph"/>
              <w:ind w:left="-29" w:firstLine="389"/>
              <w:jc w:val="both"/>
              <w:rPr>
                <w:rFonts w:ascii="Arial" w:hAnsi="Arial" w:cs="Arial"/>
              </w:rPr>
            </w:pPr>
            <w:r w:rsidRPr="00050E2A">
              <w:lastRenderedPageBreak/>
              <w:t>Projekts neparedz ieviest jaunus pakalpojumus vai jaunas informācijas un komunikācijas tehnoloģiju sistēmas vai pilnveidot esošās</w:t>
            </w:r>
            <w:r>
              <w:rPr>
                <w:rFonts w:ascii="Arial" w:hAnsi="Arial" w:cs="Arial"/>
              </w:rPr>
              <w:t>.</w:t>
            </w:r>
          </w:p>
          <w:p w14:paraId="599F4E74" w14:textId="77777777" w:rsidR="00A74B64" w:rsidRDefault="006E31E0" w:rsidP="0092669E">
            <w:pPr>
              <w:pStyle w:val="ListParagraph"/>
              <w:ind w:left="-29" w:firstLine="389"/>
              <w:jc w:val="both"/>
            </w:pPr>
            <w:r w:rsidRPr="008449B9">
              <w:rPr>
                <w:u w:val="single"/>
              </w:rPr>
              <w:t>Projekta būtība</w:t>
            </w:r>
            <w:r w:rsidRPr="006E31E0">
              <w:t>:</w:t>
            </w:r>
          </w:p>
          <w:p w14:paraId="2EE08DF2" w14:textId="1F100EC0" w:rsidR="00FA2385" w:rsidRDefault="00D43242" w:rsidP="00FA2385">
            <w:pPr>
              <w:pStyle w:val="ListParagraph"/>
              <w:numPr>
                <w:ilvl w:val="0"/>
                <w:numId w:val="2"/>
              </w:numPr>
              <w:ind w:left="0" w:firstLine="360"/>
              <w:jc w:val="both"/>
            </w:pPr>
            <w:r>
              <w:t xml:space="preserve">ar projekta </w:t>
            </w:r>
            <w:r w:rsidR="00635C0D">
              <w:t>1</w:t>
            </w:r>
            <w:r>
              <w:t>.punktu svītro</w:t>
            </w:r>
            <w:r w:rsidR="00635C0D">
              <w:t>t</w:t>
            </w:r>
            <w:r w:rsidR="00B5519F">
              <w:t>s</w:t>
            </w:r>
            <w:r w:rsidR="00DB1149">
              <w:t xml:space="preserve"> </w:t>
            </w:r>
            <w:r>
              <w:t>noteikumu 3</w:t>
            </w:r>
            <w:r w:rsidR="00DB1149">
              <w:t>.punkt</w:t>
            </w:r>
            <w:r w:rsidR="00B5519F">
              <w:t>s</w:t>
            </w:r>
            <w:r w:rsidR="00DB1149">
              <w:t>,</w:t>
            </w:r>
            <w:r>
              <w:t xml:space="preserve"> lai novērstu </w:t>
            </w:r>
            <w:proofErr w:type="spellStart"/>
            <w:r w:rsidRPr="00D43242">
              <w:rPr>
                <w:i/>
              </w:rPr>
              <w:t>ulta</w:t>
            </w:r>
            <w:proofErr w:type="spellEnd"/>
            <w:r w:rsidRPr="00D43242">
              <w:rPr>
                <w:i/>
              </w:rPr>
              <w:t xml:space="preserve"> </w:t>
            </w:r>
            <w:proofErr w:type="spellStart"/>
            <w:r w:rsidRPr="00D43242">
              <w:rPr>
                <w:i/>
              </w:rPr>
              <w:t>vires</w:t>
            </w:r>
            <w:proofErr w:type="spellEnd"/>
            <w:r w:rsidR="00DB1149">
              <w:t>;</w:t>
            </w:r>
          </w:p>
          <w:p w14:paraId="367E9427" w14:textId="4B556902" w:rsidR="00B5519F" w:rsidRPr="004A29AC" w:rsidRDefault="00635C0D" w:rsidP="00367521">
            <w:pPr>
              <w:pStyle w:val="ListParagraph"/>
              <w:numPr>
                <w:ilvl w:val="0"/>
                <w:numId w:val="2"/>
              </w:numPr>
              <w:ind w:left="0" w:firstLine="360"/>
              <w:jc w:val="both"/>
            </w:pPr>
            <w:r>
              <w:t>ar projekta 2</w:t>
            </w:r>
            <w:r w:rsidRPr="004A29AC">
              <w:t>.punktu</w:t>
            </w:r>
            <w:r w:rsidR="00322004">
              <w:t xml:space="preserve"> </w:t>
            </w:r>
            <w:r w:rsidR="00B5519F">
              <w:t xml:space="preserve">noteikumu noslēgumu jautājumu 31.punktā </w:t>
            </w:r>
            <w:r w:rsidR="00B5519F" w:rsidRPr="004A29AC">
              <w:t>nosakot, ka ekspertu komisijas, kas izveidotas saskaņā ar Ministru kabineta 2006. gada 20.</w:t>
            </w:r>
            <w:r w:rsidR="00872987">
              <w:t> </w:t>
            </w:r>
            <w:r w:rsidR="00B5519F" w:rsidRPr="004A29AC">
              <w:t>jūnija noteikumiem Nr. 497 "</w:t>
            </w:r>
            <w:hyperlink r:id="rId13" w:tgtFrame="_blank" w:history="1">
              <w:r w:rsidR="00B5519F" w:rsidRPr="004A29AC">
                <w:t>Noteikumi par Latvijas Zinātnes padomes ekspertu komisiju izveidošanu un darbību</w:t>
              </w:r>
            </w:hyperlink>
            <w:r w:rsidR="00B5519F" w:rsidRPr="004A29AC">
              <w:t xml:space="preserve">", turpina savu darbību līdz </w:t>
            </w:r>
            <w:r w:rsidR="00B5519F">
              <w:t xml:space="preserve">2019.gada 2.septembrim. </w:t>
            </w:r>
            <w:r w:rsidR="00B5519F" w:rsidRPr="004A29AC">
              <w:t>Minētais ir pamatots ar nepieciešamību ministrijai un padomei sagatavoties padomes sastāva izmaiņām, jo saskaņā ar Zinātniskās darbības likuma 14.pantu padomes locekļu pilnvaras laiks ir 3 gadi. Esošās padomes locekļu pilnvaras laiks beidzas 2019.gada 15.augustā</w:t>
            </w:r>
            <w:r w:rsidR="00B5519F" w:rsidRPr="004A29AC">
              <w:rPr>
                <w:rStyle w:val="FootnoteReference"/>
              </w:rPr>
              <w:footnoteReference w:id="2"/>
            </w:r>
            <w:r w:rsidR="00B5519F" w:rsidRPr="004A29AC">
              <w:t xml:space="preserve">. Jaunās padomes sastāvā ir iekļaujami arī 5 ekspertu komisiju pārstāvji (Zinātniskās darbības likuma 15.panta pirmās daļas 4.punkts). </w:t>
            </w:r>
            <w:r w:rsidR="00B5519F">
              <w:t>Ievērojot minēto, lai nebūtu jāveic grozījumi padomes sastāvā pirms jaunās padomes apstiprināšanas dēļ tā, ka noteikumu 31.punktā ir noteikts, ka esošo ekspertu komisiju pilnvaru laiks ir līdz 2019.gada 2.jūnijam (divus mēnešus pirms esošās padomes locekļu pilnvaras beigām), tad ar projektu tiek precizēts, ka esošās ekspertu komisijas ir darboties tiesīgas līdz jauno ekspertu komisiju apstiprināšanai, savukārt, padome plāno velēšanas, ievērojot padomes pilnvaras laiku un to, ka padomes sastāvā jāiekļauj ievēlēto ekspertu komisiju pārstāvji. Attiecīgi ministrija veic attiecīgas darbības not</w:t>
            </w:r>
            <w:r w:rsidR="00367521">
              <w:t xml:space="preserve">eiktā kārtībā, lai nodrošinātu </w:t>
            </w:r>
            <w:r w:rsidR="00B5519F">
              <w:t>jaunās padomes sastāva apstiprināšanu Ministru kabinetā.</w:t>
            </w:r>
          </w:p>
          <w:p w14:paraId="74912989" w14:textId="77777777" w:rsidR="003549AB" w:rsidRDefault="003549AB" w:rsidP="003549AB">
            <w:pPr>
              <w:jc w:val="both"/>
              <w:outlineLvl w:val="0"/>
              <w:rPr>
                <w:color w:val="000000" w:themeColor="text1"/>
                <w:szCs w:val="28"/>
                <w:shd w:val="clear" w:color="auto" w:fill="FFFFFF"/>
              </w:rPr>
            </w:pPr>
          </w:p>
          <w:p w14:paraId="599F4E81" w14:textId="78F7C6C4" w:rsidR="00DB1149" w:rsidRPr="00411EB6" w:rsidRDefault="00B5519F" w:rsidP="004F7180">
            <w:pPr>
              <w:suppressAutoHyphens/>
              <w:ind w:firstLine="395"/>
              <w:contextualSpacing/>
              <w:jc w:val="both"/>
              <w:rPr>
                <w:rFonts w:cs="Calibri"/>
                <w:color w:val="000000"/>
                <w:spacing w:val="-2"/>
                <w:lang w:eastAsia="ar-SA"/>
              </w:rPr>
            </w:pPr>
            <w:r>
              <w:rPr>
                <w:rFonts w:cs="Calibri"/>
                <w:color w:val="000000"/>
                <w:spacing w:val="-2"/>
                <w:lang w:eastAsia="ar-SA"/>
              </w:rPr>
              <w:t xml:space="preserve">Ar Ministru kabineta </w:t>
            </w:r>
            <w:proofErr w:type="spellStart"/>
            <w:r>
              <w:rPr>
                <w:rFonts w:cs="Calibri"/>
                <w:color w:val="000000"/>
                <w:spacing w:val="-2"/>
                <w:lang w:eastAsia="ar-SA"/>
              </w:rPr>
              <w:t>protoko</w:t>
            </w:r>
            <w:r w:rsidR="00411EB6" w:rsidRPr="00411EB6">
              <w:rPr>
                <w:rFonts w:cs="Calibri"/>
                <w:color w:val="000000"/>
                <w:spacing w:val="-2"/>
                <w:lang w:eastAsia="ar-SA"/>
              </w:rPr>
              <w:t>llēmuma</w:t>
            </w:r>
            <w:proofErr w:type="spellEnd"/>
            <w:r w:rsidR="00411EB6" w:rsidRPr="00411EB6">
              <w:rPr>
                <w:rFonts w:cs="Calibri"/>
                <w:color w:val="000000"/>
                <w:spacing w:val="-2"/>
                <w:lang w:eastAsia="ar-SA"/>
              </w:rPr>
              <w:t xml:space="preserve"> projektu ir paredzēts uzdot ministrijai izvērtēt un </w:t>
            </w:r>
            <w:r w:rsidR="004F7180">
              <w:rPr>
                <w:rFonts w:cs="Calibri"/>
                <w:color w:val="000000"/>
                <w:spacing w:val="-2"/>
                <w:lang w:eastAsia="ar-SA"/>
              </w:rPr>
              <w:t>pilnveidot</w:t>
            </w:r>
            <w:r w:rsidR="00411EB6" w:rsidRPr="00411EB6">
              <w:rPr>
                <w:rFonts w:cs="Calibri"/>
                <w:color w:val="000000"/>
                <w:spacing w:val="-2"/>
                <w:lang w:eastAsia="ar-SA"/>
              </w:rPr>
              <w:t xml:space="preserve"> Zinātniskās darbības likumu, lai precizētu nosacījumus attiecībā uz Latvijas Zinātnes padomes ekspertu tiesību piešķiršanas kārtību, sagatavojot un normatīvajos aktos noteiktā kārtībā iesniedzot izskatīšanai Ministru kabinetā attiecīgu tiesību akta projektu.</w:t>
            </w:r>
          </w:p>
        </w:tc>
      </w:tr>
      <w:tr w:rsidR="00BD5588" w:rsidRPr="006063E2" w14:paraId="599F4E86" w14:textId="77777777" w:rsidTr="00951BB9">
        <w:tc>
          <w:tcPr>
            <w:tcW w:w="304" w:type="pct"/>
            <w:hideMark/>
          </w:tcPr>
          <w:p w14:paraId="599F4E83" w14:textId="1086DE87" w:rsidR="00BD5588" w:rsidRPr="006063E2" w:rsidRDefault="00BD5588" w:rsidP="009E0502">
            <w:pPr>
              <w:jc w:val="center"/>
            </w:pPr>
            <w:r w:rsidRPr="006063E2">
              <w:lastRenderedPageBreak/>
              <w:t>3.</w:t>
            </w:r>
          </w:p>
        </w:tc>
        <w:tc>
          <w:tcPr>
            <w:tcW w:w="1444" w:type="pct"/>
            <w:hideMark/>
          </w:tcPr>
          <w:p w14:paraId="599F4E84" w14:textId="77777777" w:rsidR="00BD5588" w:rsidRPr="006063E2" w:rsidRDefault="00BD5588" w:rsidP="009E0502">
            <w:r w:rsidRPr="006063E2">
              <w:t>Projekta izstrādē iesaistītās institūcijas un publiskas personas kapitālsabiedrības</w:t>
            </w:r>
          </w:p>
        </w:tc>
        <w:tc>
          <w:tcPr>
            <w:tcW w:w="3252" w:type="pct"/>
            <w:hideMark/>
          </w:tcPr>
          <w:p w14:paraId="599F4E85" w14:textId="77777777" w:rsidR="00BD5588" w:rsidRPr="006063E2" w:rsidRDefault="003D30A4" w:rsidP="009E0502">
            <w:r>
              <w:t>Ministrija un Latvijas Zinātnes padome.</w:t>
            </w:r>
          </w:p>
        </w:tc>
      </w:tr>
      <w:tr w:rsidR="00BD5588" w:rsidRPr="006063E2" w14:paraId="599F4E8B" w14:textId="77777777" w:rsidTr="00951BB9">
        <w:tc>
          <w:tcPr>
            <w:tcW w:w="304" w:type="pct"/>
            <w:hideMark/>
          </w:tcPr>
          <w:p w14:paraId="599F4E87" w14:textId="77777777" w:rsidR="00BD5588" w:rsidRPr="006063E2" w:rsidRDefault="00BD5588" w:rsidP="009E0502">
            <w:pPr>
              <w:jc w:val="center"/>
            </w:pPr>
            <w:r w:rsidRPr="006063E2">
              <w:t>4.</w:t>
            </w:r>
          </w:p>
        </w:tc>
        <w:tc>
          <w:tcPr>
            <w:tcW w:w="1444" w:type="pct"/>
            <w:hideMark/>
          </w:tcPr>
          <w:p w14:paraId="599F4E88" w14:textId="77777777" w:rsidR="00BD5588" w:rsidRPr="006063E2" w:rsidRDefault="00BD5588" w:rsidP="009E0502">
            <w:r w:rsidRPr="006063E2">
              <w:t>Cita informācija</w:t>
            </w:r>
          </w:p>
        </w:tc>
        <w:tc>
          <w:tcPr>
            <w:tcW w:w="3252" w:type="pct"/>
            <w:hideMark/>
          </w:tcPr>
          <w:p w14:paraId="599F4E8A" w14:textId="456886EA" w:rsidR="00BD5588" w:rsidRPr="006063E2" w:rsidRDefault="00B5519F" w:rsidP="00D94595">
            <w:pPr>
              <w:pStyle w:val="naisc"/>
              <w:spacing w:before="0" w:after="0"/>
              <w:jc w:val="both"/>
            </w:pPr>
            <w:r w:rsidRPr="00237C90">
              <w:t>Satversmes tiesa</w:t>
            </w:r>
            <w:r>
              <w:t>s 2019.gada 25.februārī</w:t>
            </w:r>
            <w:r w:rsidRPr="00237C90">
              <w:t xml:space="preserve"> ir ierosinājusi lietu “Par </w:t>
            </w:r>
            <w:r w:rsidRPr="00237C90">
              <w:rPr>
                <w:bCs/>
              </w:rPr>
              <w:t xml:space="preserve">Ministru kabineta </w:t>
            </w:r>
            <w:r w:rsidRPr="00237C90">
              <w:t xml:space="preserve">2017. gada 12.decembra </w:t>
            </w:r>
            <w:r w:rsidRPr="00237C90">
              <w:rPr>
                <w:bCs/>
              </w:rPr>
              <w:t xml:space="preserve">noteikumu Nr. 724 “Noteikumi par Latvijas Zinātnes </w:t>
            </w:r>
            <w:r w:rsidRPr="00237C90">
              <w:rPr>
                <w:bCs/>
              </w:rPr>
              <w:lastRenderedPageBreak/>
              <w:t>padomes ekspertu kvalifikācijas kritērijiem, ekspertu komisiju izveidošanu un to darbības organizēšanu” 3.punkta un Latvijas Zinātnes padomes 2018.gada 15.janvāra lēmuma Nr.19-1-1 “Latvijas Zinātnes padomes  eksperta tiesību piešķiršanas kārtība” atbilstību Latvijas Republikas Satversmes 1. un 64.pantam”.</w:t>
            </w:r>
          </w:p>
        </w:tc>
      </w:tr>
    </w:tbl>
    <w:p w14:paraId="599F4E8C" w14:textId="77777777" w:rsidR="00BD5588" w:rsidRPr="006063E2" w:rsidRDefault="00BD5588" w:rsidP="00BD5588">
      <w:pPr>
        <w:pStyle w:val="Title"/>
        <w:spacing w:before="130" w:line="260" w:lineRule="exact"/>
        <w:ind w:firstLine="539"/>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455"/>
        <w:gridCol w:w="5528"/>
      </w:tblGrid>
      <w:tr w:rsidR="00BD5588" w:rsidRPr="006063E2" w14:paraId="599F4E8E" w14:textId="77777777" w:rsidTr="006E31E0">
        <w:trPr>
          <w:cantSplit/>
        </w:trPr>
        <w:tc>
          <w:tcPr>
            <w:tcW w:w="5000" w:type="pct"/>
            <w:gridSpan w:val="3"/>
            <w:vAlign w:val="center"/>
            <w:hideMark/>
          </w:tcPr>
          <w:p w14:paraId="599F4E8D" w14:textId="77777777" w:rsidR="00BD5588" w:rsidRPr="006063E2" w:rsidRDefault="00BD5588" w:rsidP="009E0502">
            <w:pPr>
              <w:jc w:val="center"/>
              <w:rPr>
                <w:b/>
                <w:bCs/>
              </w:rPr>
            </w:pPr>
            <w:r w:rsidRPr="006063E2">
              <w:rPr>
                <w:b/>
                <w:bCs/>
              </w:rPr>
              <w:t>II. Tiesību akta projekta ietekme uz sabiedrību, tautsaimniecības attīstību un administratīvo slogu</w:t>
            </w:r>
          </w:p>
        </w:tc>
      </w:tr>
      <w:tr w:rsidR="00BD5588" w:rsidRPr="006063E2" w14:paraId="599F4E92" w14:textId="77777777" w:rsidTr="006E31E0">
        <w:trPr>
          <w:cantSplit/>
        </w:trPr>
        <w:tc>
          <w:tcPr>
            <w:tcW w:w="304" w:type="pct"/>
            <w:hideMark/>
          </w:tcPr>
          <w:p w14:paraId="599F4E8F" w14:textId="77777777" w:rsidR="00BD5588" w:rsidRPr="006063E2" w:rsidRDefault="00BD5588" w:rsidP="009E0502">
            <w:pPr>
              <w:jc w:val="center"/>
            </w:pPr>
            <w:r w:rsidRPr="006063E2">
              <w:t>1.</w:t>
            </w:r>
          </w:p>
        </w:tc>
        <w:tc>
          <w:tcPr>
            <w:tcW w:w="1444" w:type="pct"/>
            <w:hideMark/>
          </w:tcPr>
          <w:p w14:paraId="599F4E90" w14:textId="77777777" w:rsidR="00BD5588" w:rsidRPr="006063E2" w:rsidRDefault="00BD5588" w:rsidP="009E0502">
            <w:r w:rsidRPr="006063E2">
              <w:t xml:space="preserve">Sabiedrības </w:t>
            </w:r>
            <w:proofErr w:type="spellStart"/>
            <w:r w:rsidRPr="006063E2">
              <w:t>mērķgrupas</w:t>
            </w:r>
            <w:proofErr w:type="spellEnd"/>
            <w:r w:rsidRPr="006063E2">
              <w:t>, kuras tiesiskais regulējums ietekmē vai varētu ietekmēt</w:t>
            </w:r>
          </w:p>
        </w:tc>
        <w:tc>
          <w:tcPr>
            <w:tcW w:w="3252" w:type="pct"/>
            <w:hideMark/>
          </w:tcPr>
          <w:p w14:paraId="599F4E91" w14:textId="0CC6EB18" w:rsidR="00BD5588" w:rsidRPr="006063E2" w:rsidRDefault="00A74B64" w:rsidP="006C6C50">
            <w:pPr>
              <w:jc w:val="both"/>
            </w:pPr>
            <w:r>
              <w:t>Zinātnieki, promociju padomes,</w:t>
            </w:r>
            <w:r w:rsidR="006C6C50">
              <w:t xml:space="preserve"> augstskolu akadēmiskais personāls,</w:t>
            </w:r>
            <w:r>
              <w:t xml:space="preserve"> </w:t>
            </w:r>
            <w:r w:rsidR="006C6C50">
              <w:t xml:space="preserve">Latvijas Zinātnes padome, </w:t>
            </w:r>
            <w:r>
              <w:t>Latvijas zinātnes padomes eksperti</w:t>
            </w:r>
            <w:r w:rsidR="00A84ED6">
              <w:t xml:space="preserve"> un </w:t>
            </w:r>
            <w:r w:rsidR="00CE299A">
              <w:t xml:space="preserve">ekspertu </w:t>
            </w:r>
            <w:r w:rsidR="00A84ED6">
              <w:t>komisijas</w:t>
            </w:r>
            <w:r w:rsidR="006C6C50">
              <w:t xml:space="preserve"> locekļi</w:t>
            </w:r>
            <w:r>
              <w:t>.</w:t>
            </w:r>
          </w:p>
        </w:tc>
      </w:tr>
      <w:tr w:rsidR="00BD5588" w:rsidRPr="006063E2" w14:paraId="599F4E96" w14:textId="77777777" w:rsidTr="006E31E0">
        <w:trPr>
          <w:cantSplit/>
        </w:trPr>
        <w:tc>
          <w:tcPr>
            <w:tcW w:w="304" w:type="pct"/>
            <w:hideMark/>
          </w:tcPr>
          <w:p w14:paraId="599F4E93" w14:textId="77777777" w:rsidR="00BD5588" w:rsidRPr="006063E2" w:rsidRDefault="00BD5588" w:rsidP="009E0502">
            <w:pPr>
              <w:jc w:val="center"/>
            </w:pPr>
            <w:r w:rsidRPr="006063E2">
              <w:t>2.</w:t>
            </w:r>
          </w:p>
        </w:tc>
        <w:tc>
          <w:tcPr>
            <w:tcW w:w="1444" w:type="pct"/>
            <w:hideMark/>
          </w:tcPr>
          <w:p w14:paraId="599F4E94" w14:textId="77777777" w:rsidR="00BD5588" w:rsidRPr="006063E2" w:rsidRDefault="00BD5588" w:rsidP="009E0502">
            <w:r w:rsidRPr="006063E2">
              <w:t>Tiesiskā regulējuma ietekme uz tautsaimniecību un administratīvo slogu</w:t>
            </w:r>
          </w:p>
        </w:tc>
        <w:tc>
          <w:tcPr>
            <w:tcW w:w="3252" w:type="pct"/>
            <w:hideMark/>
          </w:tcPr>
          <w:p w14:paraId="599F4E95" w14:textId="77777777" w:rsidR="00BD5588" w:rsidRPr="006063E2" w:rsidRDefault="00A74B64" w:rsidP="009E0502">
            <w:r>
              <w:t>Projekts šo jomu neskar.</w:t>
            </w:r>
          </w:p>
        </w:tc>
      </w:tr>
      <w:tr w:rsidR="00BD5588" w:rsidRPr="006063E2" w14:paraId="599F4E9A" w14:textId="77777777" w:rsidTr="006E31E0">
        <w:trPr>
          <w:cantSplit/>
        </w:trPr>
        <w:tc>
          <w:tcPr>
            <w:tcW w:w="304" w:type="pct"/>
            <w:hideMark/>
          </w:tcPr>
          <w:p w14:paraId="599F4E97" w14:textId="77777777" w:rsidR="00BD5588" w:rsidRPr="006063E2" w:rsidRDefault="00BD5588" w:rsidP="009E0502">
            <w:pPr>
              <w:jc w:val="center"/>
            </w:pPr>
            <w:r w:rsidRPr="006063E2">
              <w:t>3.</w:t>
            </w:r>
          </w:p>
        </w:tc>
        <w:tc>
          <w:tcPr>
            <w:tcW w:w="1444" w:type="pct"/>
            <w:hideMark/>
          </w:tcPr>
          <w:p w14:paraId="599F4E98" w14:textId="77777777" w:rsidR="00BD5588" w:rsidRPr="00227C1E" w:rsidRDefault="00BD5588" w:rsidP="009E0502">
            <w:r w:rsidRPr="00227C1E">
              <w:t>Administratīvo izmaksu monetārs novērtējums</w:t>
            </w:r>
          </w:p>
        </w:tc>
        <w:tc>
          <w:tcPr>
            <w:tcW w:w="3252" w:type="pct"/>
            <w:hideMark/>
          </w:tcPr>
          <w:p w14:paraId="599F4E99" w14:textId="77777777" w:rsidR="00BD5588" w:rsidRPr="00227C1E" w:rsidRDefault="00227C1E" w:rsidP="00227C1E">
            <w:r w:rsidRPr="00227C1E">
              <w:t xml:space="preserve">Administratīvās izmaksas naudas izteiksmē gada laikā </w:t>
            </w:r>
            <w:proofErr w:type="spellStart"/>
            <w:r w:rsidRPr="00227C1E">
              <w:t>mērķgrupām</w:t>
            </w:r>
            <w:proofErr w:type="spellEnd"/>
            <w:r w:rsidRPr="00227C1E">
              <w:t>, ko veido fiziskas personas, uz kuriem ir attiecināms projekts,</w:t>
            </w:r>
            <w:r>
              <w:t xml:space="preserve"> </w:t>
            </w:r>
            <w:r w:rsidRPr="00227C1E">
              <w:t>nepārsniedz 200 </w:t>
            </w:r>
            <w:proofErr w:type="spellStart"/>
            <w:r w:rsidRPr="00227C1E">
              <w:rPr>
                <w:i/>
              </w:rPr>
              <w:t>euro</w:t>
            </w:r>
            <w:proofErr w:type="spellEnd"/>
            <w:r w:rsidRPr="00227C1E">
              <w:t>.</w:t>
            </w:r>
          </w:p>
        </w:tc>
      </w:tr>
      <w:tr w:rsidR="00BD5588" w:rsidRPr="006063E2" w14:paraId="599F4E9E" w14:textId="77777777" w:rsidTr="006E31E0">
        <w:trPr>
          <w:cantSplit/>
        </w:trPr>
        <w:tc>
          <w:tcPr>
            <w:tcW w:w="304" w:type="pct"/>
            <w:hideMark/>
          </w:tcPr>
          <w:p w14:paraId="599F4E9B" w14:textId="77777777" w:rsidR="00BD5588" w:rsidRPr="006063E2" w:rsidRDefault="00BD5588" w:rsidP="009E0502">
            <w:pPr>
              <w:jc w:val="center"/>
            </w:pPr>
            <w:r w:rsidRPr="006063E2">
              <w:t>4.</w:t>
            </w:r>
          </w:p>
        </w:tc>
        <w:tc>
          <w:tcPr>
            <w:tcW w:w="1444" w:type="pct"/>
            <w:hideMark/>
          </w:tcPr>
          <w:p w14:paraId="599F4E9C" w14:textId="77777777" w:rsidR="00BD5588" w:rsidRPr="006063E2" w:rsidRDefault="00BD5588" w:rsidP="009E0502">
            <w:r w:rsidRPr="006063E2">
              <w:t>Atbilstības izmaksu monetārs novērtējums</w:t>
            </w:r>
          </w:p>
        </w:tc>
        <w:tc>
          <w:tcPr>
            <w:tcW w:w="3252" w:type="pct"/>
            <w:hideMark/>
          </w:tcPr>
          <w:p w14:paraId="599F4E9D" w14:textId="77777777" w:rsidR="00BD5588" w:rsidRPr="006063E2" w:rsidRDefault="00A74B64" w:rsidP="009E0502">
            <w:r>
              <w:t>Projekts šo jomu neskar.</w:t>
            </w:r>
          </w:p>
        </w:tc>
      </w:tr>
      <w:tr w:rsidR="00BD5588" w:rsidRPr="006063E2" w14:paraId="599F4EA2" w14:textId="77777777" w:rsidTr="006E31E0">
        <w:trPr>
          <w:cantSplit/>
        </w:trPr>
        <w:tc>
          <w:tcPr>
            <w:tcW w:w="304" w:type="pct"/>
            <w:hideMark/>
          </w:tcPr>
          <w:p w14:paraId="599F4E9F" w14:textId="77777777" w:rsidR="00BD5588" w:rsidRPr="006063E2" w:rsidRDefault="00BD5588" w:rsidP="009E0502">
            <w:pPr>
              <w:jc w:val="center"/>
            </w:pPr>
            <w:r w:rsidRPr="006063E2">
              <w:t>5.</w:t>
            </w:r>
          </w:p>
        </w:tc>
        <w:tc>
          <w:tcPr>
            <w:tcW w:w="1444" w:type="pct"/>
            <w:hideMark/>
          </w:tcPr>
          <w:p w14:paraId="599F4EA0" w14:textId="77777777" w:rsidR="00BD5588" w:rsidRPr="006063E2" w:rsidRDefault="00BD5588" w:rsidP="009E0502">
            <w:r w:rsidRPr="006063E2">
              <w:t>Cita informācija</w:t>
            </w:r>
          </w:p>
        </w:tc>
        <w:tc>
          <w:tcPr>
            <w:tcW w:w="3252" w:type="pct"/>
            <w:hideMark/>
          </w:tcPr>
          <w:p w14:paraId="599F4EA1" w14:textId="77777777" w:rsidR="00BD5588" w:rsidRPr="006063E2" w:rsidRDefault="00A74B64" w:rsidP="009E0502">
            <w:r>
              <w:t>Nav</w:t>
            </w:r>
          </w:p>
        </w:tc>
      </w:tr>
    </w:tbl>
    <w:p w14:paraId="599F4EA5" w14:textId="77777777" w:rsidR="00BD5588" w:rsidRPr="006063E2"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6063E2" w14:paraId="599F4EA7" w14:textId="77777777" w:rsidTr="003D30A4">
        <w:trPr>
          <w:cantSplit/>
        </w:trPr>
        <w:tc>
          <w:tcPr>
            <w:tcW w:w="8299" w:type="dxa"/>
            <w:shd w:val="clear" w:color="auto" w:fill="auto"/>
            <w:vAlign w:val="center"/>
            <w:hideMark/>
          </w:tcPr>
          <w:p w14:paraId="599F4EA6" w14:textId="77777777" w:rsidR="00BD5588" w:rsidRPr="006063E2" w:rsidRDefault="00BD5588" w:rsidP="009E0502">
            <w:pPr>
              <w:jc w:val="center"/>
              <w:rPr>
                <w:b/>
                <w:bCs/>
                <w:lang w:eastAsia="en-US"/>
              </w:rPr>
            </w:pPr>
            <w:r w:rsidRPr="006063E2">
              <w:rPr>
                <w:b/>
                <w:bCs/>
                <w:lang w:eastAsia="en-US"/>
              </w:rPr>
              <w:t>III. Tiesību akta projekta ietekme uz valsts budžetu un pašvaldību budžetiem</w:t>
            </w:r>
          </w:p>
        </w:tc>
      </w:tr>
      <w:tr w:rsidR="003D30A4" w:rsidRPr="006063E2" w14:paraId="599F4EA9" w14:textId="77777777" w:rsidTr="003D30A4">
        <w:trPr>
          <w:cantSplit/>
        </w:trPr>
        <w:tc>
          <w:tcPr>
            <w:tcW w:w="8299" w:type="dxa"/>
            <w:shd w:val="clear" w:color="auto" w:fill="auto"/>
            <w:vAlign w:val="center"/>
          </w:tcPr>
          <w:p w14:paraId="599F4EA8" w14:textId="77777777" w:rsidR="003D30A4" w:rsidRPr="003D30A4" w:rsidRDefault="003D30A4" w:rsidP="009E0502">
            <w:pPr>
              <w:jc w:val="center"/>
              <w:rPr>
                <w:bCs/>
                <w:lang w:eastAsia="en-US"/>
              </w:rPr>
            </w:pPr>
            <w:r w:rsidRPr="003D30A4">
              <w:rPr>
                <w:bCs/>
                <w:lang w:eastAsia="en-US"/>
              </w:rPr>
              <w:t>Projekts šo jomu neskar.</w:t>
            </w:r>
          </w:p>
        </w:tc>
      </w:tr>
      <w:tr w:rsidR="00BD5588" w:rsidRPr="006063E2" w14:paraId="599F4EAB" w14:textId="77777777" w:rsidTr="003D30A4">
        <w:tblPrEx>
          <w:tblCellMar>
            <w:top w:w="30" w:type="dxa"/>
            <w:left w:w="30" w:type="dxa"/>
            <w:bottom w:w="30" w:type="dxa"/>
            <w:right w:w="30" w:type="dxa"/>
          </w:tblCellMar>
        </w:tblPrEx>
        <w:trPr>
          <w:cantSplit/>
        </w:trPr>
        <w:tc>
          <w:tcPr>
            <w:tcW w:w="8299" w:type="dxa"/>
            <w:vAlign w:val="center"/>
            <w:hideMark/>
          </w:tcPr>
          <w:p w14:paraId="599F4EAA" w14:textId="77777777" w:rsidR="00BD5588" w:rsidRPr="006063E2" w:rsidRDefault="00BD5588" w:rsidP="009E0502">
            <w:pPr>
              <w:jc w:val="center"/>
              <w:rPr>
                <w:b/>
                <w:bCs/>
              </w:rPr>
            </w:pPr>
            <w:r w:rsidRPr="006063E2">
              <w:rPr>
                <w:b/>
                <w:bCs/>
              </w:rPr>
              <w:t>IV. Tiesību akta projekta ietekme uz spēkā esošo tiesību normu sistēmu</w:t>
            </w:r>
          </w:p>
        </w:tc>
      </w:tr>
      <w:tr w:rsidR="00A74B64" w:rsidRPr="006063E2" w14:paraId="599F4EAD" w14:textId="77777777" w:rsidTr="003D30A4">
        <w:tblPrEx>
          <w:tblCellMar>
            <w:top w:w="30" w:type="dxa"/>
            <w:left w:w="30" w:type="dxa"/>
            <w:bottom w:w="30" w:type="dxa"/>
            <w:right w:w="30" w:type="dxa"/>
          </w:tblCellMar>
        </w:tblPrEx>
        <w:trPr>
          <w:cantSplit/>
        </w:trPr>
        <w:tc>
          <w:tcPr>
            <w:tcW w:w="8299" w:type="dxa"/>
            <w:vAlign w:val="center"/>
          </w:tcPr>
          <w:p w14:paraId="599F4EAC" w14:textId="77777777" w:rsidR="00A74B64" w:rsidRPr="006063E2" w:rsidRDefault="00A74B64" w:rsidP="009E0502">
            <w:pPr>
              <w:jc w:val="center"/>
              <w:rPr>
                <w:b/>
                <w:bCs/>
              </w:rPr>
            </w:pPr>
            <w:r w:rsidRPr="003D30A4">
              <w:rPr>
                <w:bCs/>
                <w:lang w:eastAsia="en-US"/>
              </w:rPr>
              <w:t>Projekts šo jomu neskar.</w:t>
            </w:r>
          </w:p>
        </w:tc>
      </w:tr>
    </w:tbl>
    <w:p w14:paraId="599F4EAE" w14:textId="77777777" w:rsidR="00BD5588" w:rsidRPr="006063E2" w:rsidRDefault="00BD5588" w:rsidP="00A74B6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6063E2" w14:paraId="599F4EB0" w14:textId="77777777" w:rsidTr="009E0502">
        <w:trPr>
          <w:cantSplit/>
        </w:trPr>
        <w:tc>
          <w:tcPr>
            <w:tcW w:w="5000" w:type="pct"/>
            <w:vAlign w:val="center"/>
            <w:hideMark/>
          </w:tcPr>
          <w:p w14:paraId="599F4EAF" w14:textId="77777777" w:rsidR="00BD5588" w:rsidRPr="006063E2" w:rsidRDefault="00BD5588" w:rsidP="009E0502">
            <w:pPr>
              <w:jc w:val="center"/>
              <w:rPr>
                <w:b/>
                <w:bCs/>
              </w:rPr>
            </w:pPr>
            <w:r w:rsidRPr="006063E2">
              <w:rPr>
                <w:b/>
                <w:bCs/>
              </w:rPr>
              <w:t>V. Tiesību akta projekta atbilstība Latvijas Republikas starptautiskajām saistībām</w:t>
            </w:r>
          </w:p>
        </w:tc>
      </w:tr>
      <w:tr w:rsidR="003D30A4" w:rsidRPr="006063E2" w14:paraId="599F4EB2" w14:textId="77777777" w:rsidTr="009E0502">
        <w:trPr>
          <w:cantSplit/>
        </w:trPr>
        <w:tc>
          <w:tcPr>
            <w:tcW w:w="5000" w:type="pct"/>
            <w:vAlign w:val="center"/>
          </w:tcPr>
          <w:p w14:paraId="599F4EB1" w14:textId="77777777" w:rsidR="003D30A4" w:rsidRPr="006063E2" w:rsidRDefault="003D30A4" w:rsidP="009E0502">
            <w:pPr>
              <w:jc w:val="center"/>
              <w:rPr>
                <w:b/>
                <w:bCs/>
              </w:rPr>
            </w:pPr>
            <w:r w:rsidRPr="003D30A4">
              <w:rPr>
                <w:bCs/>
                <w:lang w:eastAsia="en-US"/>
              </w:rPr>
              <w:t>Projekts šo jomu neskar.</w:t>
            </w:r>
          </w:p>
        </w:tc>
      </w:tr>
    </w:tbl>
    <w:p w14:paraId="599F4EB3" w14:textId="77777777" w:rsidR="00BD5588" w:rsidRPr="006063E2" w:rsidRDefault="00BD5588" w:rsidP="003D30A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6063E2" w14:paraId="599F4EB5" w14:textId="77777777" w:rsidTr="009E0502">
        <w:trPr>
          <w:cantSplit/>
        </w:trPr>
        <w:tc>
          <w:tcPr>
            <w:tcW w:w="5000" w:type="pct"/>
            <w:gridSpan w:val="3"/>
            <w:vAlign w:val="center"/>
            <w:hideMark/>
          </w:tcPr>
          <w:p w14:paraId="599F4EB4" w14:textId="77777777" w:rsidR="00BD5588" w:rsidRPr="006063E2" w:rsidRDefault="00BD5588" w:rsidP="009E0502">
            <w:pPr>
              <w:jc w:val="center"/>
              <w:rPr>
                <w:b/>
                <w:bCs/>
              </w:rPr>
            </w:pPr>
            <w:r w:rsidRPr="006063E2">
              <w:rPr>
                <w:b/>
                <w:bCs/>
              </w:rPr>
              <w:t>VI. Sabiedrības līdzdalība un komunikācijas aktivitātes</w:t>
            </w:r>
          </w:p>
        </w:tc>
      </w:tr>
      <w:tr w:rsidR="00BD5588" w:rsidRPr="006063E2" w14:paraId="599F4EBB" w14:textId="77777777" w:rsidTr="009E0502">
        <w:trPr>
          <w:cantSplit/>
        </w:trPr>
        <w:tc>
          <w:tcPr>
            <w:tcW w:w="311" w:type="pct"/>
            <w:hideMark/>
          </w:tcPr>
          <w:p w14:paraId="599F4EB6" w14:textId="77777777" w:rsidR="00BD5588" w:rsidRPr="006063E2" w:rsidRDefault="00BD5588" w:rsidP="009E0502">
            <w:pPr>
              <w:jc w:val="center"/>
            </w:pPr>
            <w:r w:rsidRPr="006063E2">
              <w:t>1.</w:t>
            </w:r>
          </w:p>
        </w:tc>
        <w:tc>
          <w:tcPr>
            <w:tcW w:w="1479" w:type="pct"/>
            <w:hideMark/>
          </w:tcPr>
          <w:p w14:paraId="599F4EB7" w14:textId="77777777" w:rsidR="00BD5588" w:rsidRPr="006063E2" w:rsidRDefault="00BD5588" w:rsidP="009E0502">
            <w:r w:rsidRPr="006063E2">
              <w:t>Plānotās sabiedrības līdzdalības un komunikācijas aktivitātes saistībā ar projektu</w:t>
            </w:r>
          </w:p>
        </w:tc>
        <w:tc>
          <w:tcPr>
            <w:tcW w:w="3210" w:type="pct"/>
            <w:hideMark/>
          </w:tcPr>
          <w:p w14:paraId="7FB55B96" w14:textId="25979AE8" w:rsidR="00367521" w:rsidRDefault="00367521" w:rsidP="00CE299A">
            <w:pPr>
              <w:pStyle w:val="ListParagraph"/>
              <w:ind w:left="-28"/>
              <w:jc w:val="both"/>
            </w:pPr>
            <w:r>
              <w:t>Izglītības un zinātnes ministrija informēs ar zinātni saistītās institūcijas un organizācijas par projektu.</w:t>
            </w:r>
          </w:p>
          <w:p w14:paraId="3ACD4C75" w14:textId="77777777" w:rsidR="00367521" w:rsidRDefault="00367521" w:rsidP="00CE299A">
            <w:pPr>
              <w:pStyle w:val="ListParagraph"/>
              <w:ind w:left="-28"/>
              <w:jc w:val="both"/>
            </w:pPr>
          </w:p>
          <w:p w14:paraId="599F4EBA" w14:textId="441E7320" w:rsidR="003773A8" w:rsidRPr="003D30A4" w:rsidRDefault="003773A8" w:rsidP="00367521">
            <w:pPr>
              <w:pStyle w:val="ListParagraph"/>
              <w:ind w:left="-28"/>
              <w:jc w:val="both"/>
            </w:pPr>
          </w:p>
        </w:tc>
      </w:tr>
      <w:tr w:rsidR="00BD5588" w:rsidRPr="006063E2" w14:paraId="599F4EC0" w14:textId="77777777" w:rsidTr="009E0502">
        <w:trPr>
          <w:cantSplit/>
        </w:trPr>
        <w:tc>
          <w:tcPr>
            <w:tcW w:w="311" w:type="pct"/>
            <w:hideMark/>
          </w:tcPr>
          <w:p w14:paraId="599F4EBC" w14:textId="70FAF0EE" w:rsidR="00BD5588" w:rsidRPr="006063E2" w:rsidRDefault="00BD5588" w:rsidP="009E0502">
            <w:pPr>
              <w:jc w:val="center"/>
            </w:pPr>
            <w:r w:rsidRPr="006063E2">
              <w:lastRenderedPageBreak/>
              <w:t>2.</w:t>
            </w:r>
          </w:p>
        </w:tc>
        <w:tc>
          <w:tcPr>
            <w:tcW w:w="1479" w:type="pct"/>
            <w:hideMark/>
          </w:tcPr>
          <w:p w14:paraId="599F4EBD" w14:textId="77777777" w:rsidR="00BD5588" w:rsidRPr="006063E2" w:rsidRDefault="00BD5588" w:rsidP="00DE044A">
            <w:pPr>
              <w:jc w:val="both"/>
            </w:pPr>
            <w:r w:rsidRPr="006063E2">
              <w:t>Sabiedrības līdzdalība projekta izstrādē</w:t>
            </w:r>
          </w:p>
        </w:tc>
        <w:tc>
          <w:tcPr>
            <w:tcW w:w="3210" w:type="pct"/>
            <w:hideMark/>
          </w:tcPr>
          <w:p w14:paraId="599F4EBE" w14:textId="77777777" w:rsidR="00DE044A" w:rsidRDefault="003D30A4" w:rsidP="00DE044A">
            <w:pPr>
              <w:jc w:val="both"/>
              <w:rPr>
                <w:color w:val="1F497D"/>
                <w:sz w:val="22"/>
                <w:szCs w:val="22"/>
              </w:rPr>
            </w:pPr>
            <w:r w:rsidRPr="003D30A4">
              <w:t>Lai informētu sabiedrību par noteikumu projektu un dotu iespēju ieinteresētajām personām izteikt viedokli, projekts ievietots Izglītības un zinātnes ministrijas mājaslapā</w:t>
            </w:r>
            <w:r w:rsidR="00DE044A">
              <w:t xml:space="preserve">: </w:t>
            </w:r>
            <w:hyperlink r:id="rId14" w:history="1">
              <w:r w:rsidR="00DE044A">
                <w:rPr>
                  <w:rStyle w:val="Hyperlink"/>
                </w:rPr>
                <w:t>https://izm.gov.lv/lv/sabiedribas-lidzdaliba/sabiedriskajai-apspriesanai-nodotie-normativo-aktu-projekti/3440-grozijumi-mk-noteikumos-nr-724-noteikumi-par-latvijas-zinatnes-padomes-ekspertu-kvalifikacijas-kriterijiem-ekspertu-komisiju-izveidosanu-un-to-darbibas-organizesanu</w:t>
              </w:r>
            </w:hyperlink>
          </w:p>
          <w:p w14:paraId="599F4EBF" w14:textId="77777777" w:rsidR="003D30A4" w:rsidRPr="006063E2" w:rsidRDefault="003D30A4" w:rsidP="00DE044A">
            <w:pPr>
              <w:jc w:val="both"/>
            </w:pPr>
          </w:p>
        </w:tc>
      </w:tr>
      <w:tr w:rsidR="00BD5588" w:rsidRPr="006063E2" w14:paraId="599F4EC4" w14:textId="77777777" w:rsidTr="009E0502">
        <w:trPr>
          <w:cantSplit/>
        </w:trPr>
        <w:tc>
          <w:tcPr>
            <w:tcW w:w="311" w:type="pct"/>
            <w:hideMark/>
          </w:tcPr>
          <w:p w14:paraId="599F4EC1" w14:textId="77777777" w:rsidR="00BD5588" w:rsidRPr="006063E2" w:rsidRDefault="00BD5588" w:rsidP="009E0502">
            <w:pPr>
              <w:jc w:val="center"/>
            </w:pPr>
            <w:r w:rsidRPr="006063E2">
              <w:t>3.</w:t>
            </w:r>
          </w:p>
        </w:tc>
        <w:tc>
          <w:tcPr>
            <w:tcW w:w="1479" w:type="pct"/>
            <w:hideMark/>
          </w:tcPr>
          <w:p w14:paraId="599F4EC2" w14:textId="77777777" w:rsidR="00BD5588" w:rsidRPr="006063E2" w:rsidRDefault="00BD5588" w:rsidP="009E0502">
            <w:r w:rsidRPr="006063E2">
              <w:t>Sabiedrības līdzdalības rezultāti</w:t>
            </w:r>
          </w:p>
        </w:tc>
        <w:tc>
          <w:tcPr>
            <w:tcW w:w="3210" w:type="pct"/>
            <w:hideMark/>
          </w:tcPr>
          <w:p w14:paraId="599F4EC3" w14:textId="77777777" w:rsidR="00BD5588" w:rsidRPr="003D30A4" w:rsidRDefault="003D30A4" w:rsidP="003D30A4">
            <w:pPr>
              <w:jc w:val="both"/>
            </w:pPr>
            <w:r w:rsidRPr="003D30A4">
              <w:t>Šobrīd nav saņemti priekšlikumi no sabiedrības pārstāvjiem.</w:t>
            </w:r>
          </w:p>
        </w:tc>
      </w:tr>
      <w:tr w:rsidR="00BD5588" w:rsidRPr="006063E2" w14:paraId="599F4EC8" w14:textId="77777777" w:rsidTr="009E0502">
        <w:trPr>
          <w:cantSplit/>
        </w:trPr>
        <w:tc>
          <w:tcPr>
            <w:tcW w:w="311" w:type="pct"/>
            <w:hideMark/>
          </w:tcPr>
          <w:p w14:paraId="599F4EC5" w14:textId="77777777" w:rsidR="00BD5588" w:rsidRPr="006063E2" w:rsidRDefault="00BD5588" w:rsidP="009E0502">
            <w:pPr>
              <w:jc w:val="center"/>
            </w:pPr>
            <w:r w:rsidRPr="006063E2">
              <w:t>4.</w:t>
            </w:r>
          </w:p>
        </w:tc>
        <w:tc>
          <w:tcPr>
            <w:tcW w:w="1479" w:type="pct"/>
            <w:hideMark/>
          </w:tcPr>
          <w:p w14:paraId="599F4EC6" w14:textId="77777777" w:rsidR="00BD5588" w:rsidRPr="006063E2" w:rsidRDefault="00BD5588" w:rsidP="009E0502">
            <w:r w:rsidRPr="006063E2">
              <w:t>Cita informācija</w:t>
            </w:r>
          </w:p>
        </w:tc>
        <w:tc>
          <w:tcPr>
            <w:tcW w:w="3210" w:type="pct"/>
            <w:hideMark/>
          </w:tcPr>
          <w:p w14:paraId="599F4EC7" w14:textId="77777777" w:rsidR="00BD5588" w:rsidRPr="006063E2" w:rsidRDefault="003D30A4" w:rsidP="009E0502">
            <w:r>
              <w:t>Nav</w:t>
            </w:r>
          </w:p>
        </w:tc>
      </w:tr>
    </w:tbl>
    <w:p w14:paraId="599F4EC9" w14:textId="77777777" w:rsidR="00BD5588" w:rsidRPr="006063E2"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6063E2" w14:paraId="599F4ECB" w14:textId="77777777" w:rsidTr="009E0502">
        <w:trPr>
          <w:cantSplit/>
        </w:trPr>
        <w:tc>
          <w:tcPr>
            <w:tcW w:w="5000" w:type="pct"/>
            <w:gridSpan w:val="3"/>
            <w:vAlign w:val="center"/>
            <w:hideMark/>
          </w:tcPr>
          <w:p w14:paraId="599F4ECA" w14:textId="77777777" w:rsidR="00BD5588" w:rsidRPr="006063E2" w:rsidRDefault="00BD5588" w:rsidP="009E0502">
            <w:pPr>
              <w:jc w:val="center"/>
              <w:rPr>
                <w:b/>
                <w:bCs/>
              </w:rPr>
            </w:pPr>
            <w:r w:rsidRPr="006063E2">
              <w:rPr>
                <w:b/>
                <w:bCs/>
              </w:rPr>
              <w:t>VII. Tiesību akta projekta izpildes nodrošināšana un tās ietekme uz institūcijām</w:t>
            </w:r>
          </w:p>
        </w:tc>
      </w:tr>
      <w:tr w:rsidR="00BD5588" w:rsidRPr="006063E2" w14:paraId="599F4ECF" w14:textId="77777777" w:rsidTr="009E0502">
        <w:trPr>
          <w:cantSplit/>
        </w:trPr>
        <w:tc>
          <w:tcPr>
            <w:tcW w:w="311" w:type="pct"/>
            <w:hideMark/>
          </w:tcPr>
          <w:p w14:paraId="599F4ECC" w14:textId="77777777" w:rsidR="00BD5588" w:rsidRPr="006063E2" w:rsidRDefault="00BD5588" w:rsidP="009E0502">
            <w:pPr>
              <w:jc w:val="center"/>
            </w:pPr>
            <w:r w:rsidRPr="006063E2">
              <w:t>1.</w:t>
            </w:r>
          </w:p>
        </w:tc>
        <w:tc>
          <w:tcPr>
            <w:tcW w:w="1479" w:type="pct"/>
            <w:hideMark/>
          </w:tcPr>
          <w:p w14:paraId="599F4ECD" w14:textId="77777777" w:rsidR="00BD5588" w:rsidRPr="006063E2" w:rsidRDefault="00BD5588" w:rsidP="009E0502">
            <w:r w:rsidRPr="006063E2">
              <w:t>Projekta izpildē iesaistītās institūcijas</w:t>
            </w:r>
          </w:p>
        </w:tc>
        <w:tc>
          <w:tcPr>
            <w:tcW w:w="3210" w:type="pct"/>
            <w:hideMark/>
          </w:tcPr>
          <w:p w14:paraId="599F4ECE" w14:textId="77777777" w:rsidR="00BD5588" w:rsidRPr="003D30A4" w:rsidRDefault="003D30A4" w:rsidP="003D30A4">
            <w:pPr>
              <w:jc w:val="both"/>
            </w:pPr>
            <w:r w:rsidRPr="003D30A4">
              <w:rPr>
                <w:iCs/>
              </w:rPr>
              <w:t>Izglītības un zinātnes ministrija un Latvijas Zinātnes padome</w:t>
            </w:r>
          </w:p>
        </w:tc>
      </w:tr>
      <w:tr w:rsidR="00BD5588" w:rsidRPr="006063E2" w14:paraId="599F4ED3" w14:textId="77777777" w:rsidTr="009E0502">
        <w:trPr>
          <w:cantSplit/>
        </w:trPr>
        <w:tc>
          <w:tcPr>
            <w:tcW w:w="311" w:type="pct"/>
            <w:hideMark/>
          </w:tcPr>
          <w:p w14:paraId="599F4ED0" w14:textId="77777777" w:rsidR="00BD5588" w:rsidRPr="006063E2" w:rsidRDefault="00BD5588" w:rsidP="009E0502">
            <w:pPr>
              <w:jc w:val="center"/>
            </w:pPr>
            <w:r w:rsidRPr="006063E2">
              <w:t>2.</w:t>
            </w:r>
          </w:p>
        </w:tc>
        <w:tc>
          <w:tcPr>
            <w:tcW w:w="1479" w:type="pct"/>
            <w:hideMark/>
          </w:tcPr>
          <w:p w14:paraId="599F4ED1" w14:textId="77777777" w:rsidR="00BD5588" w:rsidRPr="003D30A4" w:rsidRDefault="00BD5588" w:rsidP="003D30A4">
            <w:pPr>
              <w:jc w:val="both"/>
            </w:pPr>
            <w:r w:rsidRPr="003D30A4">
              <w:t>Projekta izpildes ietekme uz pārvaldes funkcijām un institucionālo struktūru.</w:t>
            </w:r>
            <w:r w:rsidRPr="003D30A4">
              <w:br/>
              <w:t>Jaunu institūciju izveide, esošu institūciju likvidācija vai reorganizācija, to ietekme uz institūcijas cilvēkresursiem</w:t>
            </w:r>
          </w:p>
        </w:tc>
        <w:tc>
          <w:tcPr>
            <w:tcW w:w="3210" w:type="pct"/>
            <w:hideMark/>
          </w:tcPr>
          <w:p w14:paraId="599F4ED2" w14:textId="77777777" w:rsidR="00BD5588" w:rsidRPr="003D30A4" w:rsidRDefault="003D30A4" w:rsidP="003D30A4">
            <w:pPr>
              <w:jc w:val="both"/>
            </w:pPr>
            <w:r w:rsidRPr="003D30A4">
              <w:rPr>
                <w:iCs/>
              </w:rPr>
              <w:t>Projektam</w:t>
            </w:r>
            <w:r w:rsidRPr="003D30A4">
              <w:t xml:space="preserve"> nav ietekmes uz pārvaldes funkcijām un institucionālo struktūru. Saistībā ar projekta izpildi jaunu institūciju izveide, institūciju likvidācija vai reorganizācija nav nepieciešama.</w:t>
            </w:r>
          </w:p>
        </w:tc>
      </w:tr>
      <w:tr w:rsidR="00BD5588" w:rsidRPr="006063E2" w14:paraId="599F4ED7" w14:textId="77777777" w:rsidTr="009E0502">
        <w:trPr>
          <w:cantSplit/>
        </w:trPr>
        <w:tc>
          <w:tcPr>
            <w:tcW w:w="311" w:type="pct"/>
            <w:hideMark/>
          </w:tcPr>
          <w:p w14:paraId="599F4ED4" w14:textId="77777777" w:rsidR="00BD5588" w:rsidRPr="006063E2" w:rsidRDefault="00BD5588" w:rsidP="009E0502">
            <w:pPr>
              <w:jc w:val="center"/>
            </w:pPr>
            <w:r w:rsidRPr="006063E2">
              <w:t>3.</w:t>
            </w:r>
          </w:p>
        </w:tc>
        <w:tc>
          <w:tcPr>
            <w:tcW w:w="1479" w:type="pct"/>
            <w:hideMark/>
          </w:tcPr>
          <w:p w14:paraId="599F4ED5" w14:textId="77777777" w:rsidR="00BD5588" w:rsidRPr="006063E2" w:rsidRDefault="00BD5588" w:rsidP="009E0502">
            <w:r w:rsidRPr="006063E2">
              <w:t>Cita informācija</w:t>
            </w:r>
          </w:p>
        </w:tc>
        <w:tc>
          <w:tcPr>
            <w:tcW w:w="3210" w:type="pct"/>
            <w:hideMark/>
          </w:tcPr>
          <w:p w14:paraId="599F4ED6" w14:textId="77777777" w:rsidR="00BD5588" w:rsidRPr="006063E2" w:rsidRDefault="003D30A4" w:rsidP="009E0502">
            <w:r>
              <w:t>Nav</w:t>
            </w:r>
          </w:p>
        </w:tc>
      </w:tr>
    </w:tbl>
    <w:p w14:paraId="599F4ED8" w14:textId="77777777" w:rsidR="00A74B64" w:rsidRDefault="00A74B64" w:rsidP="00A74B64"/>
    <w:p w14:paraId="599F4ED9" w14:textId="77777777" w:rsidR="00A74B64" w:rsidRPr="00A74B64" w:rsidRDefault="00A74B64" w:rsidP="005722AB">
      <w:pPr>
        <w:ind w:firstLine="720"/>
      </w:pPr>
      <w:r w:rsidRPr="00A74B64">
        <w:t>Izgl</w:t>
      </w:r>
      <w:r w:rsidR="005722AB">
        <w:t>ītības un zinātnes ministre</w:t>
      </w:r>
      <w:r w:rsidR="005722AB">
        <w:tab/>
      </w:r>
      <w:r w:rsidR="005722AB">
        <w:tab/>
      </w:r>
      <w:r w:rsidR="005722AB">
        <w:tab/>
      </w:r>
      <w:r w:rsidR="005722AB">
        <w:tab/>
      </w:r>
      <w:r w:rsidRPr="00A74B64">
        <w:t>Ilga Šuplinska</w:t>
      </w:r>
    </w:p>
    <w:p w14:paraId="599F4EDA" w14:textId="77777777" w:rsidR="00A74B64" w:rsidRPr="00A74B64" w:rsidRDefault="00A74B64" w:rsidP="00A74B64">
      <w:pPr>
        <w:pStyle w:val="Heading1"/>
        <w:ind w:firstLine="720"/>
        <w:jc w:val="both"/>
        <w:rPr>
          <w:sz w:val="24"/>
        </w:rPr>
      </w:pPr>
    </w:p>
    <w:p w14:paraId="599F4EDB" w14:textId="77777777" w:rsidR="00A74B64" w:rsidRPr="00A74B64" w:rsidRDefault="00A74B64" w:rsidP="00A74B64">
      <w:pPr>
        <w:rPr>
          <w:lang w:eastAsia="en-US"/>
        </w:rPr>
      </w:pPr>
    </w:p>
    <w:p w14:paraId="599F4EDC" w14:textId="77777777" w:rsidR="00A74B64" w:rsidRPr="00A74B64" w:rsidRDefault="00A74B64" w:rsidP="005722AB">
      <w:pPr>
        <w:ind w:firstLine="720"/>
        <w:jc w:val="both"/>
      </w:pPr>
      <w:r w:rsidRPr="00A74B64">
        <w:t xml:space="preserve">Vizē: </w:t>
      </w:r>
    </w:p>
    <w:p w14:paraId="599F4EDD" w14:textId="77777777" w:rsidR="00E44472" w:rsidRDefault="005722AB" w:rsidP="005722AB">
      <w:pPr>
        <w:ind w:firstLine="720"/>
        <w:jc w:val="both"/>
      </w:pPr>
      <w:r>
        <w:t>Valsts sekretāre</w:t>
      </w:r>
      <w:r>
        <w:tab/>
      </w:r>
      <w:r>
        <w:tab/>
      </w:r>
      <w:r>
        <w:tab/>
      </w:r>
      <w:r>
        <w:tab/>
      </w:r>
      <w:r>
        <w:tab/>
      </w:r>
      <w:r>
        <w:tab/>
      </w:r>
      <w:r w:rsidR="00A74B64" w:rsidRPr="00A74B64">
        <w:t>Līga Lejiņa</w:t>
      </w:r>
    </w:p>
    <w:p w14:paraId="599F4EDE" w14:textId="77777777" w:rsidR="005722AB" w:rsidRDefault="005722AB" w:rsidP="00951BB9">
      <w:pPr>
        <w:jc w:val="both"/>
      </w:pPr>
    </w:p>
    <w:p w14:paraId="599F4EDF" w14:textId="77777777" w:rsidR="005722AB" w:rsidRDefault="005722AB" w:rsidP="00951BB9">
      <w:pPr>
        <w:jc w:val="both"/>
      </w:pPr>
    </w:p>
    <w:p w14:paraId="599F4EE0" w14:textId="77777777" w:rsidR="005722AB" w:rsidRDefault="005722AB" w:rsidP="00951BB9">
      <w:pPr>
        <w:jc w:val="both"/>
      </w:pPr>
    </w:p>
    <w:p w14:paraId="599F4EE1" w14:textId="77777777" w:rsidR="005722AB" w:rsidRDefault="005722AB" w:rsidP="00951BB9">
      <w:pPr>
        <w:jc w:val="both"/>
      </w:pPr>
    </w:p>
    <w:p w14:paraId="599F4EE2" w14:textId="77777777" w:rsidR="005722AB" w:rsidRDefault="005722AB" w:rsidP="00951BB9">
      <w:pPr>
        <w:jc w:val="both"/>
      </w:pPr>
    </w:p>
    <w:p w14:paraId="599F4EE3" w14:textId="77777777" w:rsidR="005722AB" w:rsidRDefault="005722AB" w:rsidP="00951BB9">
      <w:pPr>
        <w:jc w:val="both"/>
      </w:pPr>
    </w:p>
    <w:p w14:paraId="599F4EE4" w14:textId="77777777" w:rsidR="005722AB" w:rsidRPr="00892A60" w:rsidRDefault="005722AB" w:rsidP="005722AB">
      <w:pPr>
        <w:pStyle w:val="Title"/>
        <w:ind w:firstLine="709"/>
        <w:jc w:val="both"/>
        <w:outlineLvl w:val="0"/>
        <w:rPr>
          <w:sz w:val="20"/>
        </w:rPr>
      </w:pPr>
      <w:r w:rsidRPr="00892A60">
        <w:rPr>
          <w:sz w:val="20"/>
        </w:rPr>
        <w:t>Depkovska, 67047772</w:t>
      </w:r>
    </w:p>
    <w:p w14:paraId="599F4EE5" w14:textId="77777777" w:rsidR="005722AB" w:rsidRPr="006063E2" w:rsidRDefault="00D43CC8" w:rsidP="005722AB">
      <w:pPr>
        <w:ind w:firstLine="709"/>
        <w:jc w:val="both"/>
      </w:pPr>
      <w:hyperlink r:id="rId15" w:history="1">
        <w:r w:rsidR="005722AB" w:rsidRPr="00A31E5C">
          <w:rPr>
            <w:rStyle w:val="Hyperlink"/>
            <w:sz w:val="20"/>
          </w:rPr>
          <w:t>anita.depkovska@izm.gov.lv</w:t>
        </w:r>
      </w:hyperlink>
    </w:p>
    <w:sectPr w:rsidR="005722AB" w:rsidRPr="006063E2" w:rsidSect="00951BB9">
      <w:headerReference w:type="default" r:id="rId16"/>
      <w:footerReference w:type="default" r:id="rId17"/>
      <w:footerReference w:type="first" r:id="rId18"/>
      <w:pgSz w:w="11906" w:h="16838"/>
      <w:pgMar w:top="1276" w:right="1800"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6806C" w14:textId="77777777" w:rsidR="00D43CC8" w:rsidRDefault="00D43CC8" w:rsidP="0092669E">
      <w:r>
        <w:separator/>
      </w:r>
    </w:p>
  </w:endnote>
  <w:endnote w:type="continuationSeparator" w:id="0">
    <w:p w14:paraId="1976F64D" w14:textId="77777777" w:rsidR="00D43CC8" w:rsidRDefault="00D43CC8" w:rsidP="0092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4EEB" w14:textId="41046888" w:rsidR="003D30A4" w:rsidRPr="003D30A4" w:rsidRDefault="00367521" w:rsidP="003D30A4">
    <w:pPr>
      <w:pStyle w:val="Title"/>
      <w:ind w:firstLine="709"/>
      <w:jc w:val="both"/>
      <w:outlineLvl w:val="0"/>
      <w:rPr>
        <w:sz w:val="20"/>
      </w:rPr>
    </w:pPr>
    <w:r>
      <w:rPr>
        <w:sz w:val="20"/>
      </w:rPr>
      <w:t>IZManot_23</w:t>
    </w:r>
    <w:r w:rsidR="00CE299A">
      <w:rPr>
        <w:sz w:val="20"/>
      </w:rPr>
      <w:t>04</w:t>
    </w:r>
    <w:r w:rsidR="003D30A4" w:rsidRPr="003D30A4">
      <w:rPr>
        <w:sz w:val="20"/>
      </w:rPr>
      <w:t xml:space="preserve">19_groz724; </w:t>
    </w:r>
    <w:r w:rsidR="003D30A4" w:rsidRPr="003D30A4">
      <w:rPr>
        <w:bCs/>
        <w:sz w:val="20"/>
      </w:rPr>
      <w:t xml:space="preserve">Ministru kabineta noteikumu projekta “Grozījumi Ministru kabineta </w:t>
    </w:r>
    <w:r w:rsidR="003D30A4" w:rsidRPr="003D30A4">
      <w:rPr>
        <w:sz w:val="20"/>
      </w:rPr>
      <w:t xml:space="preserve">2017. gada 12.decembra </w:t>
    </w:r>
    <w:r w:rsidR="003D30A4" w:rsidRPr="003D30A4">
      <w:rPr>
        <w:bCs/>
        <w:sz w:val="20"/>
      </w:rPr>
      <w:t>noteikumos Nr. 724 “Noteikumi par Latvijas Zinātnes padomes ekspertu kvalifikācijas kritērijiem, ekspertu komisiju izveidošanu un to darbības organizēšanu” sākotnējās ietekmes novērtējuma ziņojums (anotācija)</w:t>
    </w:r>
  </w:p>
  <w:p w14:paraId="599F4EEC" w14:textId="77777777" w:rsidR="003D30A4" w:rsidRPr="003D30A4" w:rsidRDefault="003D30A4" w:rsidP="003D30A4">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4EED" w14:textId="68448DCE" w:rsidR="008449B9" w:rsidRPr="003D30A4" w:rsidRDefault="00367521" w:rsidP="008449B9">
    <w:pPr>
      <w:pStyle w:val="Title"/>
      <w:ind w:firstLine="709"/>
      <w:jc w:val="both"/>
      <w:outlineLvl w:val="0"/>
      <w:rPr>
        <w:sz w:val="20"/>
      </w:rPr>
    </w:pPr>
    <w:r>
      <w:rPr>
        <w:sz w:val="20"/>
      </w:rPr>
      <w:t>IZManot_23</w:t>
    </w:r>
    <w:r w:rsidR="00CE299A">
      <w:rPr>
        <w:sz w:val="20"/>
      </w:rPr>
      <w:t>04</w:t>
    </w:r>
    <w:r w:rsidR="008449B9" w:rsidRPr="003D30A4">
      <w:rPr>
        <w:sz w:val="20"/>
      </w:rPr>
      <w:t xml:space="preserve">19_groz724; </w:t>
    </w:r>
    <w:r w:rsidR="008449B9" w:rsidRPr="003D30A4">
      <w:rPr>
        <w:bCs/>
        <w:sz w:val="20"/>
      </w:rPr>
      <w:t xml:space="preserve">Ministru kabineta noteikumu projekta “Grozījumi Ministru kabineta </w:t>
    </w:r>
    <w:r w:rsidR="008449B9" w:rsidRPr="003D30A4">
      <w:rPr>
        <w:sz w:val="20"/>
      </w:rPr>
      <w:t xml:space="preserve">2017. gada 12.decembra </w:t>
    </w:r>
    <w:r w:rsidR="008449B9" w:rsidRPr="003D30A4">
      <w:rPr>
        <w:bCs/>
        <w:sz w:val="20"/>
      </w:rPr>
      <w:t>noteikumos Nr. 724 “Noteikumi par Latvijas Zinātnes padomes ekspertu kvalifikācijas kritērijiem, ekspertu komisiju izveidošanu un to darbības organizēšanu” sākotnējās ietekmes novērtējuma ziņojums (anotācija)</w:t>
    </w:r>
  </w:p>
  <w:p w14:paraId="599F4EEE" w14:textId="77777777" w:rsidR="008449B9" w:rsidRDefault="00844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56A01" w14:textId="77777777" w:rsidR="00D43CC8" w:rsidRDefault="00D43CC8" w:rsidP="0092669E">
      <w:r>
        <w:separator/>
      </w:r>
    </w:p>
  </w:footnote>
  <w:footnote w:type="continuationSeparator" w:id="0">
    <w:p w14:paraId="3AE717BE" w14:textId="77777777" w:rsidR="00D43CC8" w:rsidRDefault="00D43CC8" w:rsidP="0092669E">
      <w:r>
        <w:continuationSeparator/>
      </w:r>
    </w:p>
  </w:footnote>
  <w:footnote w:id="1">
    <w:p w14:paraId="599F4EF1" w14:textId="77777777" w:rsidR="001E3D25" w:rsidRPr="00B42047" w:rsidRDefault="001E3D25" w:rsidP="00B42047">
      <w:pPr>
        <w:pStyle w:val="FootnoteText"/>
        <w:jc w:val="both"/>
      </w:pPr>
      <w:r w:rsidRPr="00B42047">
        <w:rPr>
          <w:rStyle w:val="FootnoteReference"/>
        </w:rPr>
        <w:footnoteRef/>
      </w:r>
      <w:hyperlink r:id="rId1" w:history="1">
        <w:r w:rsidR="00B42047" w:rsidRPr="00B42047">
          <w:rPr>
            <w:rStyle w:val="Hyperlink"/>
          </w:rPr>
          <w:t>https://www.lzp.gov.lv/images/stories/dokumenti/LZP_eksperta_tiesibu_pieskirsanas_kartiba_2018.01.15_19_1_1.pdf</w:t>
        </w:r>
      </w:hyperlink>
      <w:r w:rsidR="00B42047" w:rsidRPr="00B42047">
        <w:rPr>
          <w:color w:val="000000"/>
        </w:rPr>
        <w:t xml:space="preserve"> </w:t>
      </w:r>
    </w:p>
  </w:footnote>
  <w:footnote w:id="2">
    <w:p w14:paraId="61348D86" w14:textId="77777777" w:rsidR="00B5519F" w:rsidRPr="002F55DB" w:rsidRDefault="00B5519F" w:rsidP="00B5519F">
      <w:pPr>
        <w:jc w:val="both"/>
        <w:rPr>
          <w:sz w:val="20"/>
          <w:szCs w:val="20"/>
        </w:rPr>
      </w:pPr>
      <w:r w:rsidRPr="002F55DB">
        <w:rPr>
          <w:rStyle w:val="FootnoteReference"/>
          <w:sz w:val="20"/>
          <w:szCs w:val="20"/>
        </w:rPr>
        <w:footnoteRef/>
      </w:r>
      <w:r w:rsidRPr="002F55DB">
        <w:rPr>
          <w:sz w:val="20"/>
          <w:szCs w:val="20"/>
        </w:rPr>
        <w:t xml:space="preserve"> </w:t>
      </w:r>
      <w:r w:rsidRPr="002F55DB">
        <w:rPr>
          <w:bCs/>
          <w:sz w:val="20"/>
          <w:szCs w:val="20"/>
        </w:rPr>
        <w:t xml:space="preserve">Ministru kabineta </w:t>
      </w:r>
      <w:r>
        <w:rPr>
          <w:sz w:val="20"/>
          <w:szCs w:val="20"/>
        </w:rPr>
        <w:t>2016. gada 16. augusta</w:t>
      </w:r>
      <w:r w:rsidRPr="002F55DB">
        <w:rPr>
          <w:sz w:val="20"/>
          <w:szCs w:val="20"/>
        </w:rPr>
        <w:t xml:space="preserve"> </w:t>
      </w:r>
      <w:r w:rsidRPr="002F55DB">
        <w:rPr>
          <w:bCs/>
          <w:sz w:val="20"/>
          <w:szCs w:val="20"/>
        </w:rPr>
        <w:t>rīkojums Nr. 452</w:t>
      </w:r>
      <w:r>
        <w:rPr>
          <w:sz w:val="20"/>
          <w:szCs w:val="20"/>
        </w:rPr>
        <w:t xml:space="preserve"> “</w:t>
      </w:r>
      <w:r w:rsidRPr="002F55DB">
        <w:rPr>
          <w:bCs/>
          <w:sz w:val="20"/>
          <w:szCs w:val="20"/>
        </w:rPr>
        <w:t>Par Latvijas Zinātnes padomes sastāvu</w:t>
      </w:r>
      <w:r>
        <w:rPr>
          <w:b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292419"/>
      <w:docPartObj>
        <w:docPartGallery w:val="Page Numbers (Top of Page)"/>
        <w:docPartUnique/>
      </w:docPartObj>
    </w:sdtPr>
    <w:sdtEndPr>
      <w:rPr>
        <w:noProof/>
      </w:rPr>
    </w:sdtEndPr>
    <w:sdtContent>
      <w:p w14:paraId="599F4EEA" w14:textId="77777777" w:rsidR="003D30A4" w:rsidRDefault="003D30A4" w:rsidP="00951BB9">
        <w:pPr>
          <w:pStyle w:val="Header"/>
          <w:jc w:val="center"/>
        </w:pPr>
        <w:r>
          <w:fldChar w:fldCharType="begin"/>
        </w:r>
        <w:r>
          <w:instrText xml:space="preserve"> PAGE   \* MERGEFORMAT </w:instrText>
        </w:r>
        <w:r>
          <w:fldChar w:fldCharType="separate"/>
        </w:r>
        <w:r w:rsidR="00E3434B">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2954"/>
    <w:multiLevelType w:val="hybridMultilevel"/>
    <w:tmpl w:val="447C9CD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E85F30"/>
    <w:multiLevelType w:val="hybridMultilevel"/>
    <w:tmpl w:val="0108CC14"/>
    <w:lvl w:ilvl="0" w:tplc="365CBC36">
      <w:start w:val="1"/>
      <w:numFmt w:val="low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CB59BC"/>
    <w:multiLevelType w:val="hybridMultilevel"/>
    <w:tmpl w:val="F0E040F6"/>
    <w:lvl w:ilvl="0" w:tplc="7012BF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900BDF"/>
    <w:multiLevelType w:val="hybridMultilevel"/>
    <w:tmpl w:val="412EDD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2A9F"/>
    <w:rsid w:val="00050E2A"/>
    <w:rsid w:val="0006377F"/>
    <w:rsid w:val="000A336E"/>
    <w:rsid w:val="000E34AF"/>
    <w:rsid w:val="001037C9"/>
    <w:rsid w:val="001611A2"/>
    <w:rsid w:val="001B5277"/>
    <w:rsid w:val="001C6E9E"/>
    <w:rsid w:val="001E3D25"/>
    <w:rsid w:val="001F0CF8"/>
    <w:rsid w:val="00227C1E"/>
    <w:rsid w:val="00235C54"/>
    <w:rsid w:val="00237C90"/>
    <w:rsid w:val="00240668"/>
    <w:rsid w:val="00240934"/>
    <w:rsid w:val="002B0823"/>
    <w:rsid w:val="002D3946"/>
    <w:rsid w:val="002F55DB"/>
    <w:rsid w:val="00322004"/>
    <w:rsid w:val="003549AB"/>
    <w:rsid w:val="00367521"/>
    <w:rsid w:val="003773A8"/>
    <w:rsid w:val="003D30A4"/>
    <w:rsid w:val="003E5D56"/>
    <w:rsid w:val="00411EB6"/>
    <w:rsid w:val="0043543B"/>
    <w:rsid w:val="00497D90"/>
    <w:rsid w:val="004A29AC"/>
    <w:rsid w:val="004A5536"/>
    <w:rsid w:val="004D5EAA"/>
    <w:rsid w:val="004F7180"/>
    <w:rsid w:val="005722AB"/>
    <w:rsid w:val="006063E2"/>
    <w:rsid w:val="006211F0"/>
    <w:rsid w:val="00635C0D"/>
    <w:rsid w:val="00674D0E"/>
    <w:rsid w:val="006C6C50"/>
    <w:rsid w:val="006E0DEA"/>
    <w:rsid w:val="006E31E0"/>
    <w:rsid w:val="00724F51"/>
    <w:rsid w:val="00776277"/>
    <w:rsid w:val="00815C62"/>
    <w:rsid w:val="008449B9"/>
    <w:rsid w:val="00872987"/>
    <w:rsid w:val="008B2B44"/>
    <w:rsid w:val="008B7277"/>
    <w:rsid w:val="008F3A3B"/>
    <w:rsid w:val="00912408"/>
    <w:rsid w:val="0092669E"/>
    <w:rsid w:val="00945905"/>
    <w:rsid w:val="00951BB9"/>
    <w:rsid w:val="009B6262"/>
    <w:rsid w:val="009D2E3F"/>
    <w:rsid w:val="009D6978"/>
    <w:rsid w:val="009E736E"/>
    <w:rsid w:val="009F7038"/>
    <w:rsid w:val="00A74B64"/>
    <w:rsid w:val="00A84ED6"/>
    <w:rsid w:val="00AA5570"/>
    <w:rsid w:val="00AB32BB"/>
    <w:rsid w:val="00AB7302"/>
    <w:rsid w:val="00B00EED"/>
    <w:rsid w:val="00B42047"/>
    <w:rsid w:val="00B5519F"/>
    <w:rsid w:val="00B94112"/>
    <w:rsid w:val="00BA3B8D"/>
    <w:rsid w:val="00BB3AB4"/>
    <w:rsid w:val="00BD5588"/>
    <w:rsid w:val="00C24057"/>
    <w:rsid w:val="00C2587C"/>
    <w:rsid w:val="00C55B51"/>
    <w:rsid w:val="00C77A12"/>
    <w:rsid w:val="00CB5E7E"/>
    <w:rsid w:val="00CE299A"/>
    <w:rsid w:val="00CF1D54"/>
    <w:rsid w:val="00D31BD2"/>
    <w:rsid w:val="00D43242"/>
    <w:rsid w:val="00D43CC8"/>
    <w:rsid w:val="00D94595"/>
    <w:rsid w:val="00DB1149"/>
    <w:rsid w:val="00DE044A"/>
    <w:rsid w:val="00E3434B"/>
    <w:rsid w:val="00E44472"/>
    <w:rsid w:val="00E76C65"/>
    <w:rsid w:val="00EC1807"/>
    <w:rsid w:val="00F063EF"/>
    <w:rsid w:val="00F67013"/>
    <w:rsid w:val="00F82BA4"/>
    <w:rsid w:val="00FA2385"/>
    <w:rsid w:val="00FB6C4B"/>
    <w:rsid w:val="00FC5105"/>
    <w:rsid w:val="00FC5BEC"/>
    <w:rsid w:val="00FF2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F4E53"/>
  <w15:docId w15:val="{87CDDEF1-622E-49E1-AAAA-1F22ACEF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74B64"/>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ListParagraph">
    <w:name w:val="List Paragraph"/>
    <w:aliases w:val="2,Akapit z listą BS,H&amp;P List Paragraph,Strip"/>
    <w:basedOn w:val="Normal"/>
    <w:link w:val="ListParagraphChar"/>
    <w:uiPriority w:val="34"/>
    <w:qFormat/>
    <w:rsid w:val="00E76C65"/>
    <w:pPr>
      <w:ind w:left="720"/>
      <w:contextualSpacing/>
    </w:pPr>
  </w:style>
  <w:style w:type="paragraph" w:styleId="EndnoteText">
    <w:name w:val="endnote text"/>
    <w:basedOn w:val="Normal"/>
    <w:link w:val="EndnoteTextChar"/>
    <w:uiPriority w:val="99"/>
    <w:semiHidden/>
    <w:unhideWhenUsed/>
    <w:rsid w:val="0092669E"/>
    <w:rPr>
      <w:sz w:val="20"/>
      <w:szCs w:val="20"/>
    </w:rPr>
  </w:style>
  <w:style w:type="character" w:customStyle="1" w:styleId="EndnoteTextChar">
    <w:name w:val="Endnote Text Char"/>
    <w:basedOn w:val="DefaultParagraphFont"/>
    <w:link w:val="EndnoteText"/>
    <w:uiPriority w:val="99"/>
    <w:semiHidden/>
    <w:rsid w:val="0092669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92669E"/>
    <w:rPr>
      <w:vertAlign w:val="superscript"/>
    </w:rPr>
  </w:style>
  <w:style w:type="paragraph" w:styleId="FootnoteText">
    <w:name w:val="footnote text"/>
    <w:basedOn w:val="Normal"/>
    <w:link w:val="FootnoteTextChar"/>
    <w:uiPriority w:val="99"/>
    <w:semiHidden/>
    <w:unhideWhenUsed/>
    <w:rsid w:val="001E3D25"/>
    <w:rPr>
      <w:sz w:val="20"/>
      <w:szCs w:val="20"/>
    </w:rPr>
  </w:style>
  <w:style w:type="character" w:customStyle="1" w:styleId="FootnoteTextChar">
    <w:name w:val="Footnote Text Char"/>
    <w:basedOn w:val="DefaultParagraphFont"/>
    <w:link w:val="FootnoteText"/>
    <w:uiPriority w:val="99"/>
    <w:semiHidden/>
    <w:rsid w:val="001E3D2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E3D25"/>
    <w:rPr>
      <w:vertAlign w:val="superscript"/>
    </w:rPr>
  </w:style>
  <w:style w:type="paragraph" w:styleId="Header">
    <w:name w:val="header"/>
    <w:basedOn w:val="Normal"/>
    <w:link w:val="HeaderChar"/>
    <w:uiPriority w:val="99"/>
    <w:unhideWhenUsed/>
    <w:rsid w:val="003D30A4"/>
    <w:pPr>
      <w:tabs>
        <w:tab w:val="center" w:pos="4153"/>
        <w:tab w:val="right" w:pos="8306"/>
      </w:tabs>
    </w:pPr>
  </w:style>
  <w:style w:type="character" w:customStyle="1" w:styleId="HeaderChar">
    <w:name w:val="Header Char"/>
    <w:basedOn w:val="DefaultParagraphFont"/>
    <w:link w:val="Header"/>
    <w:uiPriority w:val="99"/>
    <w:rsid w:val="003D30A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D30A4"/>
    <w:pPr>
      <w:tabs>
        <w:tab w:val="center" w:pos="4153"/>
        <w:tab w:val="right" w:pos="8306"/>
      </w:tabs>
    </w:pPr>
  </w:style>
  <w:style w:type="character" w:customStyle="1" w:styleId="FooterChar">
    <w:name w:val="Footer Char"/>
    <w:basedOn w:val="DefaultParagraphFont"/>
    <w:link w:val="Footer"/>
    <w:uiPriority w:val="99"/>
    <w:rsid w:val="003D30A4"/>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A74B6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CF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54"/>
    <w:rPr>
      <w:rFonts w:ascii="Segoe UI" w:eastAsia="Times New Roman" w:hAnsi="Segoe UI" w:cs="Segoe UI"/>
      <w:sz w:val="18"/>
      <w:szCs w:val="18"/>
      <w:lang w:eastAsia="lv-LV"/>
    </w:rPr>
  </w:style>
  <w:style w:type="character" w:customStyle="1" w:styleId="ListParagraphChar">
    <w:name w:val="List Paragraph Char"/>
    <w:aliases w:val="2 Char,Akapit z listą BS Char,H&amp;P List Paragraph Char,Strip Char"/>
    <w:link w:val="ListParagraph"/>
    <w:uiPriority w:val="34"/>
    <w:locked/>
    <w:rsid w:val="003773A8"/>
    <w:rPr>
      <w:rFonts w:ascii="Times New Roman" w:eastAsia="Times New Roman" w:hAnsi="Times New Roman" w:cs="Times New Roman"/>
      <w:sz w:val="24"/>
      <w:szCs w:val="24"/>
      <w:lang w:eastAsia="lv-LV"/>
    </w:rPr>
  </w:style>
  <w:style w:type="paragraph" w:customStyle="1" w:styleId="naisc">
    <w:name w:val="naisc"/>
    <w:basedOn w:val="Normal"/>
    <w:rsid w:val="00322004"/>
    <w:pPr>
      <w:spacing w:before="75" w:after="75"/>
      <w:jc w:val="center"/>
    </w:pPr>
  </w:style>
  <w:style w:type="paragraph" w:customStyle="1" w:styleId="h1">
    <w:name w:val="h1"/>
    <w:basedOn w:val="Normal"/>
    <w:uiPriority w:val="99"/>
    <w:rsid w:val="001611A2"/>
    <w:pPr>
      <w:spacing w:after="150"/>
    </w:pPr>
    <w:rPr>
      <w:color w:val="30606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39912">
      <w:bodyDiv w:val="1"/>
      <w:marLeft w:val="0"/>
      <w:marRight w:val="0"/>
      <w:marTop w:val="0"/>
      <w:marBottom w:val="0"/>
      <w:divBdr>
        <w:top w:val="none" w:sz="0" w:space="0" w:color="auto"/>
        <w:left w:val="none" w:sz="0" w:space="0" w:color="auto"/>
        <w:bottom w:val="none" w:sz="0" w:space="0" w:color="auto"/>
        <w:right w:val="none" w:sz="0" w:space="0" w:color="auto"/>
      </w:divBdr>
      <w:divsChild>
        <w:div w:id="1185822251">
          <w:marLeft w:val="0"/>
          <w:marRight w:val="0"/>
          <w:marTop w:val="0"/>
          <w:marBottom w:val="0"/>
          <w:divBdr>
            <w:top w:val="none" w:sz="0" w:space="0" w:color="auto"/>
            <w:left w:val="none" w:sz="0" w:space="0" w:color="auto"/>
            <w:bottom w:val="none" w:sz="0" w:space="0" w:color="auto"/>
            <w:right w:val="none" w:sz="0" w:space="0" w:color="auto"/>
          </w:divBdr>
          <w:divsChild>
            <w:div w:id="1268391019">
              <w:marLeft w:val="0"/>
              <w:marRight w:val="0"/>
              <w:marTop w:val="0"/>
              <w:marBottom w:val="0"/>
              <w:divBdr>
                <w:top w:val="none" w:sz="0" w:space="0" w:color="auto"/>
                <w:left w:val="none" w:sz="0" w:space="0" w:color="auto"/>
                <w:bottom w:val="none" w:sz="0" w:space="0" w:color="auto"/>
                <w:right w:val="none" w:sz="0" w:space="0" w:color="auto"/>
              </w:divBdr>
              <w:divsChild>
                <w:div w:id="1699349980">
                  <w:marLeft w:val="0"/>
                  <w:marRight w:val="0"/>
                  <w:marTop w:val="0"/>
                  <w:marBottom w:val="0"/>
                  <w:divBdr>
                    <w:top w:val="none" w:sz="0" w:space="0" w:color="auto"/>
                    <w:left w:val="none" w:sz="0" w:space="0" w:color="auto"/>
                    <w:bottom w:val="none" w:sz="0" w:space="0" w:color="auto"/>
                    <w:right w:val="none" w:sz="0" w:space="0" w:color="auto"/>
                  </w:divBdr>
                  <w:divsChild>
                    <w:div w:id="1730610886">
                      <w:marLeft w:val="0"/>
                      <w:marRight w:val="0"/>
                      <w:marTop w:val="0"/>
                      <w:marBottom w:val="0"/>
                      <w:divBdr>
                        <w:top w:val="none" w:sz="0" w:space="0" w:color="auto"/>
                        <w:left w:val="none" w:sz="0" w:space="0" w:color="auto"/>
                        <w:bottom w:val="none" w:sz="0" w:space="0" w:color="auto"/>
                        <w:right w:val="none" w:sz="0" w:space="0" w:color="auto"/>
                      </w:divBdr>
                      <w:divsChild>
                        <w:div w:id="9141896">
                          <w:marLeft w:val="0"/>
                          <w:marRight w:val="0"/>
                          <w:marTop w:val="0"/>
                          <w:marBottom w:val="0"/>
                          <w:divBdr>
                            <w:top w:val="none" w:sz="0" w:space="0" w:color="auto"/>
                            <w:left w:val="none" w:sz="0" w:space="0" w:color="auto"/>
                            <w:bottom w:val="none" w:sz="0" w:space="0" w:color="auto"/>
                            <w:right w:val="none" w:sz="0" w:space="0" w:color="auto"/>
                          </w:divBdr>
                          <w:divsChild>
                            <w:div w:id="18922252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3771">
      <w:bodyDiv w:val="1"/>
      <w:marLeft w:val="0"/>
      <w:marRight w:val="0"/>
      <w:marTop w:val="0"/>
      <w:marBottom w:val="0"/>
      <w:divBdr>
        <w:top w:val="none" w:sz="0" w:space="0" w:color="auto"/>
        <w:left w:val="none" w:sz="0" w:space="0" w:color="auto"/>
        <w:bottom w:val="none" w:sz="0" w:space="0" w:color="auto"/>
        <w:right w:val="none" w:sz="0" w:space="0" w:color="auto"/>
      </w:divBdr>
      <w:divsChild>
        <w:div w:id="1960600267">
          <w:marLeft w:val="0"/>
          <w:marRight w:val="0"/>
          <w:marTop w:val="0"/>
          <w:marBottom w:val="0"/>
          <w:divBdr>
            <w:top w:val="none" w:sz="0" w:space="0" w:color="auto"/>
            <w:left w:val="none" w:sz="0" w:space="0" w:color="auto"/>
            <w:bottom w:val="none" w:sz="0" w:space="0" w:color="auto"/>
            <w:right w:val="none" w:sz="0" w:space="0" w:color="auto"/>
          </w:divBdr>
          <w:divsChild>
            <w:div w:id="475026854">
              <w:marLeft w:val="0"/>
              <w:marRight w:val="0"/>
              <w:marTop w:val="0"/>
              <w:marBottom w:val="0"/>
              <w:divBdr>
                <w:top w:val="none" w:sz="0" w:space="0" w:color="auto"/>
                <w:left w:val="none" w:sz="0" w:space="0" w:color="auto"/>
                <w:bottom w:val="none" w:sz="0" w:space="0" w:color="auto"/>
                <w:right w:val="none" w:sz="0" w:space="0" w:color="auto"/>
              </w:divBdr>
              <w:divsChild>
                <w:div w:id="1841384774">
                  <w:marLeft w:val="0"/>
                  <w:marRight w:val="0"/>
                  <w:marTop w:val="0"/>
                  <w:marBottom w:val="0"/>
                  <w:divBdr>
                    <w:top w:val="none" w:sz="0" w:space="0" w:color="auto"/>
                    <w:left w:val="none" w:sz="0" w:space="0" w:color="auto"/>
                    <w:bottom w:val="none" w:sz="0" w:space="0" w:color="auto"/>
                    <w:right w:val="none" w:sz="0" w:space="0" w:color="auto"/>
                  </w:divBdr>
                  <w:divsChild>
                    <w:div w:id="1800220388">
                      <w:marLeft w:val="0"/>
                      <w:marRight w:val="0"/>
                      <w:marTop w:val="0"/>
                      <w:marBottom w:val="0"/>
                      <w:divBdr>
                        <w:top w:val="none" w:sz="0" w:space="0" w:color="auto"/>
                        <w:left w:val="none" w:sz="0" w:space="0" w:color="auto"/>
                        <w:bottom w:val="none" w:sz="0" w:space="0" w:color="auto"/>
                        <w:right w:val="none" w:sz="0" w:space="0" w:color="auto"/>
                      </w:divBdr>
                      <w:divsChild>
                        <w:div w:id="913006344">
                          <w:marLeft w:val="0"/>
                          <w:marRight w:val="0"/>
                          <w:marTop w:val="0"/>
                          <w:marBottom w:val="0"/>
                          <w:divBdr>
                            <w:top w:val="none" w:sz="0" w:space="0" w:color="auto"/>
                            <w:left w:val="none" w:sz="0" w:space="0" w:color="auto"/>
                            <w:bottom w:val="none" w:sz="0" w:space="0" w:color="auto"/>
                            <w:right w:val="none" w:sz="0" w:space="0" w:color="auto"/>
                          </w:divBdr>
                          <w:divsChild>
                            <w:div w:id="17858050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1199">
      <w:bodyDiv w:val="1"/>
      <w:marLeft w:val="0"/>
      <w:marRight w:val="0"/>
      <w:marTop w:val="0"/>
      <w:marBottom w:val="0"/>
      <w:divBdr>
        <w:top w:val="none" w:sz="0" w:space="0" w:color="auto"/>
        <w:left w:val="none" w:sz="0" w:space="0" w:color="auto"/>
        <w:bottom w:val="none" w:sz="0" w:space="0" w:color="auto"/>
        <w:right w:val="none" w:sz="0" w:space="0" w:color="auto"/>
      </w:divBdr>
      <w:divsChild>
        <w:div w:id="954098583">
          <w:marLeft w:val="0"/>
          <w:marRight w:val="0"/>
          <w:marTop w:val="0"/>
          <w:marBottom w:val="0"/>
          <w:divBdr>
            <w:top w:val="none" w:sz="0" w:space="0" w:color="auto"/>
            <w:left w:val="none" w:sz="0" w:space="0" w:color="auto"/>
            <w:bottom w:val="none" w:sz="0" w:space="0" w:color="auto"/>
            <w:right w:val="none" w:sz="0" w:space="0" w:color="auto"/>
          </w:divBdr>
          <w:divsChild>
            <w:div w:id="599146318">
              <w:marLeft w:val="0"/>
              <w:marRight w:val="0"/>
              <w:marTop w:val="0"/>
              <w:marBottom w:val="0"/>
              <w:divBdr>
                <w:top w:val="none" w:sz="0" w:space="0" w:color="auto"/>
                <w:left w:val="none" w:sz="0" w:space="0" w:color="auto"/>
                <w:bottom w:val="none" w:sz="0" w:space="0" w:color="auto"/>
                <w:right w:val="none" w:sz="0" w:space="0" w:color="auto"/>
              </w:divBdr>
              <w:divsChild>
                <w:div w:id="1807118732">
                  <w:marLeft w:val="0"/>
                  <w:marRight w:val="0"/>
                  <w:marTop w:val="0"/>
                  <w:marBottom w:val="0"/>
                  <w:divBdr>
                    <w:top w:val="none" w:sz="0" w:space="0" w:color="auto"/>
                    <w:left w:val="none" w:sz="0" w:space="0" w:color="auto"/>
                    <w:bottom w:val="none" w:sz="0" w:space="0" w:color="auto"/>
                    <w:right w:val="none" w:sz="0" w:space="0" w:color="auto"/>
                  </w:divBdr>
                  <w:divsChild>
                    <w:div w:id="1234127196">
                      <w:marLeft w:val="0"/>
                      <w:marRight w:val="0"/>
                      <w:marTop w:val="0"/>
                      <w:marBottom w:val="0"/>
                      <w:divBdr>
                        <w:top w:val="none" w:sz="0" w:space="0" w:color="auto"/>
                        <w:left w:val="none" w:sz="0" w:space="0" w:color="auto"/>
                        <w:bottom w:val="none" w:sz="0" w:space="0" w:color="auto"/>
                        <w:right w:val="none" w:sz="0" w:space="0" w:color="auto"/>
                      </w:divBdr>
                      <w:divsChild>
                        <w:div w:id="1606377917">
                          <w:marLeft w:val="0"/>
                          <w:marRight w:val="0"/>
                          <w:marTop w:val="0"/>
                          <w:marBottom w:val="0"/>
                          <w:divBdr>
                            <w:top w:val="none" w:sz="0" w:space="0" w:color="auto"/>
                            <w:left w:val="none" w:sz="0" w:space="0" w:color="auto"/>
                            <w:bottom w:val="none" w:sz="0" w:space="0" w:color="auto"/>
                            <w:right w:val="none" w:sz="0" w:space="0" w:color="auto"/>
                          </w:divBdr>
                          <w:divsChild>
                            <w:div w:id="176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46973">
      <w:bodyDiv w:val="1"/>
      <w:marLeft w:val="0"/>
      <w:marRight w:val="0"/>
      <w:marTop w:val="0"/>
      <w:marBottom w:val="0"/>
      <w:divBdr>
        <w:top w:val="none" w:sz="0" w:space="0" w:color="auto"/>
        <w:left w:val="none" w:sz="0" w:space="0" w:color="auto"/>
        <w:bottom w:val="none" w:sz="0" w:space="0" w:color="auto"/>
        <w:right w:val="none" w:sz="0" w:space="0" w:color="auto"/>
      </w:divBdr>
      <w:divsChild>
        <w:div w:id="172958187">
          <w:marLeft w:val="0"/>
          <w:marRight w:val="0"/>
          <w:marTop w:val="0"/>
          <w:marBottom w:val="0"/>
          <w:divBdr>
            <w:top w:val="none" w:sz="0" w:space="0" w:color="auto"/>
            <w:left w:val="none" w:sz="0" w:space="0" w:color="auto"/>
            <w:bottom w:val="none" w:sz="0" w:space="0" w:color="auto"/>
            <w:right w:val="none" w:sz="0" w:space="0" w:color="auto"/>
          </w:divBdr>
          <w:divsChild>
            <w:div w:id="179517497">
              <w:marLeft w:val="0"/>
              <w:marRight w:val="0"/>
              <w:marTop w:val="0"/>
              <w:marBottom w:val="0"/>
              <w:divBdr>
                <w:top w:val="none" w:sz="0" w:space="0" w:color="auto"/>
                <w:left w:val="none" w:sz="0" w:space="0" w:color="auto"/>
                <w:bottom w:val="none" w:sz="0" w:space="0" w:color="auto"/>
                <w:right w:val="none" w:sz="0" w:space="0" w:color="auto"/>
              </w:divBdr>
              <w:divsChild>
                <w:div w:id="622736548">
                  <w:marLeft w:val="0"/>
                  <w:marRight w:val="0"/>
                  <w:marTop w:val="0"/>
                  <w:marBottom w:val="0"/>
                  <w:divBdr>
                    <w:top w:val="none" w:sz="0" w:space="0" w:color="auto"/>
                    <w:left w:val="none" w:sz="0" w:space="0" w:color="auto"/>
                    <w:bottom w:val="none" w:sz="0" w:space="0" w:color="auto"/>
                    <w:right w:val="none" w:sz="0" w:space="0" w:color="auto"/>
                  </w:divBdr>
                  <w:divsChild>
                    <w:div w:id="222107767">
                      <w:marLeft w:val="0"/>
                      <w:marRight w:val="0"/>
                      <w:marTop w:val="0"/>
                      <w:marBottom w:val="0"/>
                      <w:divBdr>
                        <w:top w:val="none" w:sz="0" w:space="0" w:color="auto"/>
                        <w:left w:val="none" w:sz="0" w:space="0" w:color="auto"/>
                        <w:bottom w:val="none" w:sz="0" w:space="0" w:color="auto"/>
                        <w:right w:val="none" w:sz="0" w:space="0" w:color="auto"/>
                      </w:divBdr>
                      <w:divsChild>
                        <w:div w:id="1537623778">
                          <w:marLeft w:val="0"/>
                          <w:marRight w:val="0"/>
                          <w:marTop w:val="0"/>
                          <w:marBottom w:val="0"/>
                          <w:divBdr>
                            <w:top w:val="none" w:sz="0" w:space="0" w:color="auto"/>
                            <w:left w:val="none" w:sz="0" w:space="0" w:color="auto"/>
                            <w:bottom w:val="none" w:sz="0" w:space="0" w:color="auto"/>
                            <w:right w:val="none" w:sz="0" w:space="0" w:color="auto"/>
                          </w:divBdr>
                          <w:divsChild>
                            <w:div w:id="7219762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0295">
      <w:bodyDiv w:val="1"/>
      <w:marLeft w:val="0"/>
      <w:marRight w:val="0"/>
      <w:marTop w:val="0"/>
      <w:marBottom w:val="0"/>
      <w:divBdr>
        <w:top w:val="none" w:sz="0" w:space="0" w:color="auto"/>
        <w:left w:val="none" w:sz="0" w:space="0" w:color="auto"/>
        <w:bottom w:val="none" w:sz="0" w:space="0" w:color="auto"/>
        <w:right w:val="none" w:sz="0" w:space="0" w:color="auto"/>
      </w:divBdr>
    </w:div>
    <w:div w:id="1740060557">
      <w:bodyDiv w:val="1"/>
      <w:marLeft w:val="0"/>
      <w:marRight w:val="0"/>
      <w:marTop w:val="0"/>
      <w:marBottom w:val="0"/>
      <w:divBdr>
        <w:top w:val="none" w:sz="0" w:space="0" w:color="auto"/>
        <w:left w:val="none" w:sz="0" w:space="0" w:color="auto"/>
        <w:bottom w:val="none" w:sz="0" w:space="0" w:color="auto"/>
        <w:right w:val="none" w:sz="0" w:space="0" w:color="auto"/>
      </w:divBdr>
    </w:div>
    <w:div w:id="1827164080">
      <w:bodyDiv w:val="1"/>
      <w:marLeft w:val="0"/>
      <w:marRight w:val="0"/>
      <w:marTop w:val="0"/>
      <w:marBottom w:val="0"/>
      <w:divBdr>
        <w:top w:val="none" w:sz="0" w:space="0" w:color="auto"/>
        <w:left w:val="none" w:sz="0" w:space="0" w:color="auto"/>
        <w:bottom w:val="none" w:sz="0" w:space="0" w:color="auto"/>
        <w:right w:val="none" w:sz="0" w:space="0" w:color="auto"/>
      </w:divBdr>
      <w:divsChild>
        <w:div w:id="481820715">
          <w:marLeft w:val="0"/>
          <w:marRight w:val="0"/>
          <w:marTop w:val="0"/>
          <w:marBottom w:val="0"/>
          <w:divBdr>
            <w:top w:val="none" w:sz="0" w:space="0" w:color="auto"/>
            <w:left w:val="none" w:sz="0" w:space="0" w:color="auto"/>
            <w:bottom w:val="none" w:sz="0" w:space="0" w:color="auto"/>
            <w:right w:val="none" w:sz="0" w:space="0" w:color="auto"/>
          </w:divBdr>
          <w:divsChild>
            <w:div w:id="353505118">
              <w:marLeft w:val="0"/>
              <w:marRight w:val="0"/>
              <w:marTop w:val="0"/>
              <w:marBottom w:val="0"/>
              <w:divBdr>
                <w:top w:val="none" w:sz="0" w:space="0" w:color="auto"/>
                <w:left w:val="none" w:sz="0" w:space="0" w:color="auto"/>
                <w:bottom w:val="none" w:sz="0" w:space="0" w:color="auto"/>
                <w:right w:val="none" w:sz="0" w:space="0" w:color="auto"/>
              </w:divBdr>
              <w:divsChild>
                <w:div w:id="915675859">
                  <w:marLeft w:val="0"/>
                  <w:marRight w:val="0"/>
                  <w:marTop w:val="0"/>
                  <w:marBottom w:val="0"/>
                  <w:divBdr>
                    <w:top w:val="none" w:sz="0" w:space="0" w:color="auto"/>
                    <w:left w:val="none" w:sz="0" w:space="0" w:color="auto"/>
                    <w:bottom w:val="none" w:sz="0" w:space="0" w:color="auto"/>
                    <w:right w:val="none" w:sz="0" w:space="0" w:color="auto"/>
                  </w:divBdr>
                  <w:divsChild>
                    <w:div w:id="2121414401">
                      <w:marLeft w:val="0"/>
                      <w:marRight w:val="0"/>
                      <w:marTop w:val="0"/>
                      <w:marBottom w:val="0"/>
                      <w:divBdr>
                        <w:top w:val="none" w:sz="0" w:space="0" w:color="auto"/>
                        <w:left w:val="none" w:sz="0" w:space="0" w:color="auto"/>
                        <w:bottom w:val="none" w:sz="0" w:space="0" w:color="auto"/>
                        <w:right w:val="none" w:sz="0" w:space="0" w:color="auto"/>
                      </w:divBdr>
                      <w:divsChild>
                        <w:div w:id="241185729">
                          <w:marLeft w:val="0"/>
                          <w:marRight w:val="0"/>
                          <w:marTop w:val="0"/>
                          <w:marBottom w:val="0"/>
                          <w:divBdr>
                            <w:top w:val="none" w:sz="0" w:space="0" w:color="auto"/>
                            <w:left w:val="none" w:sz="0" w:space="0" w:color="auto"/>
                            <w:bottom w:val="none" w:sz="0" w:space="0" w:color="auto"/>
                            <w:right w:val="none" w:sz="0" w:space="0" w:color="auto"/>
                          </w:divBdr>
                          <w:divsChild>
                            <w:div w:id="3277530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2030">
      <w:bodyDiv w:val="1"/>
      <w:marLeft w:val="0"/>
      <w:marRight w:val="0"/>
      <w:marTop w:val="0"/>
      <w:marBottom w:val="0"/>
      <w:divBdr>
        <w:top w:val="none" w:sz="0" w:space="0" w:color="auto"/>
        <w:left w:val="none" w:sz="0" w:space="0" w:color="auto"/>
        <w:bottom w:val="none" w:sz="0" w:space="0" w:color="auto"/>
        <w:right w:val="none" w:sz="0" w:space="0" w:color="auto"/>
      </w:divBdr>
      <w:divsChild>
        <w:div w:id="83578108">
          <w:marLeft w:val="0"/>
          <w:marRight w:val="0"/>
          <w:marTop w:val="0"/>
          <w:marBottom w:val="0"/>
          <w:divBdr>
            <w:top w:val="none" w:sz="0" w:space="0" w:color="auto"/>
            <w:left w:val="none" w:sz="0" w:space="0" w:color="auto"/>
            <w:bottom w:val="none" w:sz="0" w:space="0" w:color="auto"/>
            <w:right w:val="none" w:sz="0" w:space="0" w:color="auto"/>
          </w:divBdr>
          <w:divsChild>
            <w:div w:id="371733174">
              <w:marLeft w:val="0"/>
              <w:marRight w:val="0"/>
              <w:marTop w:val="0"/>
              <w:marBottom w:val="0"/>
              <w:divBdr>
                <w:top w:val="none" w:sz="0" w:space="0" w:color="auto"/>
                <w:left w:val="none" w:sz="0" w:space="0" w:color="auto"/>
                <w:bottom w:val="none" w:sz="0" w:space="0" w:color="auto"/>
                <w:right w:val="none" w:sz="0" w:space="0" w:color="auto"/>
              </w:divBdr>
              <w:divsChild>
                <w:div w:id="1540119415">
                  <w:marLeft w:val="0"/>
                  <w:marRight w:val="0"/>
                  <w:marTop w:val="0"/>
                  <w:marBottom w:val="0"/>
                  <w:divBdr>
                    <w:top w:val="none" w:sz="0" w:space="0" w:color="auto"/>
                    <w:left w:val="none" w:sz="0" w:space="0" w:color="auto"/>
                    <w:bottom w:val="none" w:sz="0" w:space="0" w:color="auto"/>
                    <w:right w:val="none" w:sz="0" w:space="0" w:color="auto"/>
                  </w:divBdr>
                  <w:divsChild>
                    <w:div w:id="253830342">
                      <w:marLeft w:val="0"/>
                      <w:marRight w:val="0"/>
                      <w:marTop w:val="0"/>
                      <w:marBottom w:val="0"/>
                      <w:divBdr>
                        <w:top w:val="none" w:sz="0" w:space="0" w:color="auto"/>
                        <w:left w:val="none" w:sz="0" w:space="0" w:color="auto"/>
                        <w:bottom w:val="none" w:sz="0" w:space="0" w:color="auto"/>
                        <w:right w:val="none" w:sz="0" w:space="0" w:color="auto"/>
                      </w:divBdr>
                      <w:divsChild>
                        <w:div w:id="1151171289">
                          <w:marLeft w:val="0"/>
                          <w:marRight w:val="0"/>
                          <w:marTop w:val="0"/>
                          <w:marBottom w:val="0"/>
                          <w:divBdr>
                            <w:top w:val="none" w:sz="0" w:space="0" w:color="auto"/>
                            <w:left w:val="none" w:sz="0" w:space="0" w:color="auto"/>
                            <w:bottom w:val="none" w:sz="0" w:space="0" w:color="auto"/>
                            <w:right w:val="none" w:sz="0" w:space="0" w:color="auto"/>
                          </w:divBdr>
                          <w:divsChild>
                            <w:div w:id="13617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https://likumi.lv/ta/id/139978-noteikumi-par-latvijas-zinatnes-padomes-ekspertu-komisiju-izveidosanu-un-darbib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7337-zinatniskas-darbibas-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7337-zinatniskas-darbibas-likums" TargetMode="External"/><Relationship Id="rId5" Type="http://schemas.openxmlformats.org/officeDocument/2006/relationships/webSettings" Target="webSettings.xml"/><Relationship Id="rId15" Type="http://schemas.openxmlformats.org/officeDocument/2006/relationships/hyperlink" Target="mailto:anita.depkovska@izm.gov.lv" TargetMode="External"/><Relationship Id="rId10" Type="http://schemas.openxmlformats.org/officeDocument/2006/relationships/hyperlink" Target="https://likumi.lv/ta/id/2957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07337-zinatniskas-darbibas-likums" TargetMode="External"/><Relationship Id="rId14" Type="http://schemas.openxmlformats.org/officeDocument/2006/relationships/hyperlink" Target="https://izm.gov.lv/lv/sabiedribas-lidzdaliba/sabiedriskajai-apspriesanai-nodotie-normativo-aktu-projekti/3440-grozijumi-mk-noteikumos-nr-724-noteikumi-par-latvijas-zinatnes-padomes-ekspertu-kvalifikacijas-kriterijiem-ekspertu-komisiju-izveidosanu-un-to-darbibas-organizesan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zp.gov.lv/images/stories/dokumenti/LZP_eksperta_tiesibu_pieskirsanas_kartiba_2018.01.15_19_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2171-0F0C-4EC4-9C90-4A013E89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Daiga Dambīte</cp:lastModifiedBy>
  <cp:revision>10</cp:revision>
  <cp:lastPrinted>2019-03-25T07:56:00Z</cp:lastPrinted>
  <dcterms:created xsi:type="dcterms:W3CDTF">2019-04-23T06:45:00Z</dcterms:created>
  <dcterms:modified xsi:type="dcterms:W3CDTF">2019-04-23T07:54:00Z</dcterms:modified>
</cp:coreProperties>
</file>