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spacing w:val="0"/>
          <w:kern w:val="0"/>
          <w:sz w:val="22"/>
          <w:szCs w:val="22"/>
        </w:rPr>
        <w:id w:val="1488051909"/>
        <w:docPartObj>
          <w:docPartGallery w:val="Cover Pages"/>
          <w:docPartUnique/>
        </w:docPartObj>
      </w:sdtPr>
      <w:sdtEndPr>
        <w:rPr>
          <w:rFonts w:asciiTheme="majorHAnsi" w:eastAsiaTheme="minorEastAsia" w:hAnsiTheme="majorHAnsi" w:cstheme="minorHAnsi"/>
          <w:color w:val="8E05A9"/>
          <w:spacing w:val="-10"/>
          <w:kern w:val="28"/>
          <w:sz w:val="28"/>
          <w:szCs w:val="28"/>
        </w:rPr>
      </w:sdtEndPr>
      <w:sdtContent>
        <w:p w14:paraId="347759DB" w14:textId="77777777" w:rsidR="009A51A9" w:rsidRPr="00BB1C12" w:rsidRDefault="009A51A9" w:rsidP="0024408B">
          <w:pPr>
            <w:pStyle w:val="Title"/>
          </w:pPr>
          <w:r w:rsidRPr="009A51A9">
            <w:rPr>
              <w:rFonts w:cstheme="minorHAnsi"/>
              <w:noProof/>
              <w:lang w:val="en-US"/>
            </w:rPr>
            <mc:AlternateContent>
              <mc:Choice Requires="wps">
                <w:drawing>
                  <wp:anchor distT="0" distB="0" distL="114300" distR="114300" simplePos="0" relativeHeight="251657216" behindDoc="0" locked="0" layoutInCell="1" allowOverlap="1" wp14:anchorId="3913C6AE" wp14:editId="46B9D2E2">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1908810"/>
                    <wp:effectExtent l="0" t="0" r="13335" b="1524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19092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7C8E1" w14:textId="661CFF12" w:rsidR="00A52305" w:rsidRDefault="004C0BF6">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A52305">
                                      <w:rPr>
                                        <w:caps/>
                                        <w:color w:val="323E4F" w:themeColor="text2" w:themeShade="BF"/>
                                        <w:sz w:val="52"/>
                                        <w:szCs w:val="52"/>
                                        <w:lang w:val="lv-LV"/>
                                      </w:rPr>
                                      <w:t>Informatīvais ziņojums</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45222905" w14:textId="77777777" w:rsidR="00A52305" w:rsidRDefault="00A52305">
                                    <w:pPr>
                                      <w:pStyle w:val="NoSpacing"/>
                                      <w:jc w:val="right"/>
                                      <w:rPr>
                                        <w:smallCaps/>
                                        <w:color w:val="44546A" w:themeColor="text2"/>
                                        <w:sz w:val="36"/>
                                        <w:szCs w:val="36"/>
                                      </w:rPr>
                                    </w:pPr>
                                    <w:r>
                                      <w:rPr>
                                        <w:smallCaps/>
                                        <w:color w:val="44546A" w:themeColor="text2"/>
                                        <w:sz w:val="36"/>
                                        <w:szCs w:val="36"/>
                                        <w:lang w:val="lv-LV"/>
                                      </w:rPr>
                                      <w:t>Pēcdoktorantūras pētniecības programmas vidusposma izvērtējums un priekšlikumi turpmākajiem saturiskiem un procedurāliem uzlabojumiem</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3913C6AE" id="_x0000_t202" coordsize="21600,21600" o:spt="202" path="m,l,21600r21600,l21600,xe">
                    <v:stroke joinstyle="miter"/>
                    <v:path gradientshapeok="t" o:connecttype="rect"/>
                  </v:shapetype>
                  <v:shape id="Text Box 113" o:spid="_x0000_s1026" type="#_x0000_t202" style="position:absolute;margin-left:0;margin-top:0;width:453pt;height:150.3pt;z-index:251657216;visibility:visible;mso-wrap-style:square;mso-width-percent:734;mso-height-percent:0;mso-left-percent:150;mso-top-percent:455;mso-wrap-distance-left:9pt;mso-wrap-distance-top:0;mso-wrap-distance-right:9pt;mso-wrap-distance-bottom:0;mso-position-horizontal-relative:page;mso-position-vertical-relative:page;mso-width-percent:734;mso-height-percent:0;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" filled="f" stroked="f" strokeweight=".5pt">
                    <v:textbox inset="0,0,0,0">
                      <w:txbxContent>
                        <w:p w14:paraId="2637C8E1" w14:textId="661CFF12" w:rsidR="00A52305" w:rsidRDefault="004C0BF6">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A52305">
                                <w:rPr>
                                  <w:caps/>
                                  <w:color w:val="323E4F" w:themeColor="text2" w:themeShade="BF"/>
                                  <w:sz w:val="52"/>
                                  <w:szCs w:val="52"/>
                                  <w:lang w:val="lv-LV"/>
                                </w:rPr>
                                <w:t>Informatīvais ziņojums</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45222905" w14:textId="77777777" w:rsidR="00A52305" w:rsidRDefault="00A52305">
                              <w:pPr>
                                <w:pStyle w:val="NoSpacing"/>
                                <w:jc w:val="right"/>
                                <w:rPr>
                                  <w:smallCaps/>
                                  <w:color w:val="44546A" w:themeColor="text2"/>
                                  <w:sz w:val="36"/>
                                  <w:szCs w:val="36"/>
                                </w:rPr>
                              </w:pPr>
                              <w:r>
                                <w:rPr>
                                  <w:smallCaps/>
                                  <w:color w:val="44546A" w:themeColor="text2"/>
                                  <w:sz w:val="36"/>
                                  <w:szCs w:val="36"/>
                                  <w:lang w:val="lv-LV"/>
                                </w:rPr>
                                <w:t>Pēcdoktorantūras pētniecības programmas vidusposma izvērtējums un priekšlikumi turpmākajiem saturiskiem un procedurāliem uzlabojumiem</w:t>
                              </w:r>
                            </w:p>
                          </w:sdtContent>
                        </w:sdt>
                      </w:txbxContent>
                    </v:textbox>
                    <w10:wrap type="square" anchorx="page" anchory="page"/>
                  </v:shape>
                </w:pict>
              </mc:Fallback>
            </mc:AlternateContent>
          </w:r>
          <w:r w:rsidRPr="009A51A9">
            <w:rPr>
              <w:rFonts w:cstheme="minorHAnsi"/>
              <w:noProof/>
              <w:lang w:val="en-US"/>
            </w:rPr>
            <mc:AlternateContent>
              <mc:Choice Requires="wps">
                <w:drawing>
                  <wp:anchor distT="0" distB="0" distL="114300" distR="114300" simplePos="0" relativeHeight="251659264" behindDoc="0" locked="0" layoutInCell="1" allowOverlap="1" wp14:anchorId="61DC017D" wp14:editId="50320CFF">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08D89C3E" w14:textId="042A1E1B" w:rsidR="00A52305" w:rsidRPr="00C0601A" w:rsidRDefault="00A52305">
                                    <w:pPr>
                                      <w:pStyle w:val="NoSpacing"/>
                                      <w:jc w:val="right"/>
                                      <w:rPr>
                                        <w:caps/>
                                        <w:color w:val="323E4F" w:themeColor="text2" w:themeShade="BF"/>
                                        <w:sz w:val="28"/>
                                        <w:szCs w:val="28"/>
                                      </w:rPr>
                                    </w:pPr>
                                    <w:r>
                                      <w:rPr>
                                        <w:caps/>
                                        <w:color w:val="323E4F" w:themeColor="text2" w:themeShade="BF"/>
                                        <w:sz w:val="28"/>
                                        <w:szCs w:val="28"/>
                                      </w:rPr>
                                      <w:t>Rīga</w:t>
                                    </w:r>
                                  </w:p>
                                </w:sdtContent>
                              </w:sdt>
                              <w:p w14:paraId="78EEBEAD" w14:textId="77777777" w:rsidR="00A52305" w:rsidRPr="00C0601A" w:rsidRDefault="004C0BF6" w:rsidP="009A51A9">
                                <w:pPr>
                                  <w:pStyle w:val="NoSpacing"/>
                                  <w:jc w:val="right"/>
                                  <w:rPr>
                                    <w:caps/>
                                    <w:color w:val="323E4F" w:themeColor="text2" w:themeShade="BF"/>
                                    <w:sz w:val="20"/>
                                    <w:szCs w:val="20"/>
                                  </w:rPr>
                                </w:pPr>
                                <w:sdt>
                                  <w:sdtPr>
                                    <w:rPr>
                                      <w:caps/>
                                      <w:color w:val="323E4F" w:themeColor="text2" w:themeShade="BF"/>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A52305">
                                      <w:rPr>
                                        <w:caps/>
                                        <w:color w:val="323E4F" w:themeColor="text2" w:themeShade="BF"/>
                                        <w:sz w:val="20"/>
                                        <w:szCs w:val="20"/>
                                      </w:rPr>
                                      <w:t>2019. gads</w:t>
                                    </w:r>
                                  </w:sdtContent>
                                </w:sdt>
                                <w:r w:rsidR="00A52305" w:rsidRPr="00C0601A">
                                  <w:rPr>
                                    <w:color w:val="323E4F" w:themeColor="text2" w:themeShade="BF"/>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61DC017D" id="Text Box 112" o:spid="_x0000_s1027" type="#_x0000_t202" style="position:absolute;margin-left:0;margin-top:0;width:453pt;height:51.4pt;z-index:251659264;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sdt>
                          <w:sdtPr>
                            <w:rPr>
                              <w:caps/>
                              <w:color w:val="323E4F" w:themeColor="text2" w:themeShade="BF"/>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08D89C3E" w14:textId="042A1E1B" w:rsidR="00A52305" w:rsidRPr="00C0601A" w:rsidRDefault="00A52305">
                              <w:pPr>
                                <w:pStyle w:val="NoSpacing"/>
                                <w:jc w:val="right"/>
                                <w:rPr>
                                  <w:caps/>
                                  <w:color w:val="323E4F" w:themeColor="text2" w:themeShade="BF"/>
                                  <w:sz w:val="28"/>
                                  <w:szCs w:val="28"/>
                                </w:rPr>
                              </w:pPr>
                              <w:r>
                                <w:rPr>
                                  <w:caps/>
                                  <w:color w:val="323E4F" w:themeColor="text2" w:themeShade="BF"/>
                                  <w:sz w:val="28"/>
                                  <w:szCs w:val="28"/>
                                </w:rPr>
                                <w:t>Rīga</w:t>
                              </w:r>
                            </w:p>
                          </w:sdtContent>
                        </w:sdt>
                        <w:p w14:paraId="78EEBEAD" w14:textId="77777777" w:rsidR="00A52305" w:rsidRPr="00C0601A" w:rsidRDefault="004C0BF6" w:rsidP="009A51A9">
                          <w:pPr>
                            <w:pStyle w:val="NoSpacing"/>
                            <w:jc w:val="right"/>
                            <w:rPr>
                              <w:caps/>
                              <w:color w:val="323E4F" w:themeColor="text2" w:themeShade="BF"/>
                              <w:sz w:val="20"/>
                              <w:szCs w:val="20"/>
                            </w:rPr>
                          </w:pPr>
                          <w:sdt>
                            <w:sdtPr>
                              <w:rPr>
                                <w:caps/>
                                <w:color w:val="323E4F" w:themeColor="text2" w:themeShade="BF"/>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A52305">
                                <w:rPr>
                                  <w:caps/>
                                  <w:color w:val="323E4F" w:themeColor="text2" w:themeShade="BF"/>
                                  <w:sz w:val="20"/>
                                  <w:szCs w:val="20"/>
                                </w:rPr>
                                <w:t>2019. gads</w:t>
                              </w:r>
                            </w:sdtContent>
                          </w:sdt>
                          <w:r w:rsidR="00A52305" w:rsidRPr="00C0601A">
                            <w:rPr>
                              <w:color w:val="323E4F" w:themeColor="text2" w:themeShade="BF"/>
                              <w:sz w:val="20"/>
                              <w:szCs w:val="20"/>
                            </w:rPr>
                            <w:t xml:space="preserve"> </w:t>
                          </w:r>
                        </w:p>
                      </w:txbxContent>
                    </v:textbox>
                    <w10:wrap type="square" anchorx="page" anchory="page"/>
                  </v:shape>
                </w:pict>
              </mc:Fallback>
            </mc:AlternateContent>
          </w:r>
          <w:r w:rsidRPr="009A51A9">
            <w:rPr>
              <w:rFonts w:cstheme="minorHAnsi"/>
              <w:noProof/>
              <w:lang w:val="en-US"/>
            </w:rPr>
            <mc:AlternateContent>
              <mc:Choice Requires="wpg">
                <w:drawing>
                  <wp:anchor distT="0" distB="0" distL="114300" distR="114300" simplePos="0" relativeHeight="251655168" behindDoc="0" locked="0" layoutInCell="1" allowOverlap="1" wp14:anchorId="2B2984C1" wp14:editId="72D6AC16">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E8CAFA"/>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7754AAA" id="Group 114" o:spid="_x0000_s1026" style="position:absolute;margin-left:0;margin-top:0;width:18pt;height:10in;z-index:25165516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n08EA&#10;AADcAAAADwAAAGRycy9kb3ducmV2LnhtbERPS2sCMRC+F/wPYQRvNWvBIqtRVChaPJT6uI/JuLu4&#10;mSxJ3F3/fVMo9DYf33MWq97WoiUfKscKJuMMBLF2puJCwfn08ToDESKywdoxKXhSgNVy8LLA3LiO&#10;v6k9xkKkEA45KihjbHIpgy7JYhi7hjhxN+ctxgR9IY3HLoXbWr5l2bu0WHFqKLGhbUn6fnxYBRd3&#10;23RWX/mzfX5Vj93Baz07KDUa9us5iEh9/Bf/ufcmzZ9M4f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Z9PBAAAA3AAAAA8AAAAAAAAAAAAAAAAAmAIAAGRycy9kb3du&#10;cmV2LnhtbFBLBQYAAAAABAAEAPUAAACGAwAAAAA=&#10;" filled="f"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148QA&#10;AADcAAAADwAAAGRycy9kb3ducmV2LnhtbERPTWvCQBC9C/6HZYReim4UUUldpUgLqRdbzcHjNDvN&#10;hmZnQ3Yb4793hYK3ebzPWW97W4uOWl85VjCdJCCIC6crLhXkp/fxCoQPyBprx6TgSh62m+Fgjal2&#10;F/6i7hhKEUPYp6jAhNCkUvrCkEU/cQ1x5H5cazFE2JZSt3iJ4baWsyRZSIsVxwaDDe0MFb/HP6vg&#10;+fA2Nx/ZPvnMujxv6vP3cjdbKvU06l9fQATqw0P87850nD9dwP2ZeIH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NePEAAAA3AAAAA8AAAAAAAAAAAAAAAAAmAIAAGRycy9k&#10;b3ducmV2LnhtbFBLBQYAAAAABAAEAPUAAACJAwAAAAA=&#10;" filled="f" stroked="f" strokeweight="1pt">
                      <v:path arrowok="t"/>
                      <o:lock v:ext="edit" aspectratio="t"/>
                    </v:rect>
                    <w10:wrap anchorx="page" anchory="page"/>
                  </v:group>
                </w:pict>
              </mc:Fallback>
            </mc:AlternateContent>
          </w:r>
          <w:r w:rsidRPr="009A51A9">
            <w:rPr>
              <w:rFonts w:eastAsiaTheme="minorEastAsia" w:cstheme="minorHAnsi"/>
              <w:color w:val="8E05A9"/>
              <w:sz w:val="28"/>
              <w:szCs w:val="28"/>
            </w:rPr>
            <w:br w:type="page"/>
          </w:r>
        </w:p>
      </w:sdtContent>
    </w:sdt>
    <w:sdt>
      <w:sdtPr>
        <w:rPr>
          <w:rFonts w:eastAsiaTheme="minorHAnsi" w:cstheme="minorHAnsi"/>
          <w:sz w:val="24"/>
          <w:szCs w:val="24"/>
          <w:lang w:val="lv-LV"/>
        </w:rPr>
        <w:id w:val="1018970482"/>
        <w:docPartObj>
          <w:docPartGallery w:val="Table of Contents"/>
          <w:docPartUnique/>
        </w:docPartObj>
      </w:sdtPr>
      <w:sdtEndPr>
        <w:rPr>
          <w:bCs/>
          <w:noProof/>
          <w:color w:val="323E4F" w:themeColor="text2" w:themeShade="BF"/>
        </w:rPr>
      </w:sdtEndPr>
      <w:sdtContent>
        <w:p w14:paraId="61BEE9C4" w14:textId="77777777" w:rsidR="007266A8" w:rsidRPr="00C0601A" w:rsidRDefault="007266A8" w:rsidP="0024408B">
          <w:pPr>
            <w:pStyle w:val="NoSpacing"/>
            <w:rPr>
              <w:caps/>
              <w:color w:val="323E4F" w:themeColor="text2" w:themeShade="BF"/>
              <w:sz w:val="28"/>
              <w:szCs w:val="28"/>
              <w:lang w:val="lv-LV"/>
            </w:rPr>
          </w:pPr>
          <w:r w:rsidRPr="00C0601A">
            <w:rPr>
              <w:caps/>
              <w:color w:val="323E4F" w:themeColor="text2" w:themeShade="BF"/>
              <w:sz w:val="28"/>
              <w:szCs w:val="28"/>
              <w:lang w:val="lv-LV"/>
            </w:rPr>
            <w:t>Saturs</w:t>
          </w:r>
        </w:p>
        <w:p w14:paraId="741B01C8" w14:textId="77777777" w:rsidR="00664C0B" w:rsidRPr="009851BE" w:rsidRDefault="00664C0B" w:rsidP="0024408B">
          <w:pPr>
            <w:pStyle w:val="NoSpacing"/>
            <w:rPr>
              <w:rFonts w:cstheme="minorHAnsi"/>
              <w:color w:val="323E4F" w:themeColor="text2" w:themeShade="BF"/>
              <w:sz w:val="28"/>
              <w:szCs w:val="28"/>
            </w:rPr>
          </w:pPr>
        </w:p>
        <w:p w14:paraId="7D451F99" w14:textId="77777777" w:rsidR="00F02751" w:rsidRPr="00F02751" w:rsidRDefault="00CA2F4F">
          <w:pPr>
            <w:pStyle w:val="TOC1"/>
            <w:tabs>
              <w:tab w:val="right" w:leader="dot" w:pos="9061"/>
            </w:tabs>
            <w:rPr>
              <w:rFonts w:eastAsiaTheme="minorEastAsia"/>
              <w:noProof/>
              <w:lang w:val="en-US"/>
            </w:rPr>
          </w:pPr>
          <w:r w:rsidRPr="00F02751">
            <w:rPr>
              <w:rFonts w:cstheme="minorHAnsi"/>
              <w:color w:val="323E4F" w:themeColor="text2" w:themeShade="BF"/>
              <w:sz w:val="24"/>
              <w:szCs w:val="24"/>
            </w:rPr>
            <w:fldChar w:fldCharType="begin"/>
          </w:r>
          <w:r w:rsidRPr="00F02751">
            <w:rPr>
              <w:rFonts w:cstheme="minorHAnsi"/>
              <w:color w:val="323E4F" w:themeColor="text2" w:themeShade="BF"/>
              <w:sz w:val="24"/>
              <w:szCs w:val="24"/>
            </w:rPr>
            <w:instrText xml:space="preserve"> TOC \o "1-3" \h \z \u </w:instrText>
          </w:r>
          <w:r w:rsidRPr="00F02751">
            <w:rPr>
              <w:rFonts w:cstheme="minorHAnsi"/>
              <w:color w:val="323E4F" w:themeColor="text2" w:themeShade="BF"/>
              <w:sz w:val="24"/>
              <w:szCs w:val="24"/>
            </w:rPr>
            <w:fldChar w:fldCharType="separate"/>
          </w:r>
          <w:hyperlink w:anchor="_Toc3218328" w:history="1">
            <w:r w:rsidR="00F02751" w:rsidRPr="00F02751">
              <w:rPr>
                <w:rStyle w:val="Hyperlink"/>
                <w:noProof/>
              </w:rPr>
              <w:t>Izmantotie saīsinājumi un termini</w:t>
            </w:r>
            <w:r w:rsidR="00F02751" w:rsidRPr="00F02751">
              <w:rPr>
                <w:noProof/>
                <w:webHidden/>
              </w:rPr>
              <w:tab/>
            </w:r>
            <w:r w:rsidR="00F02751" w:rsidRPr="00F02751">
              <w:rPr>
                <w:noProof/>
                <w:webHidden/>
              </w:rPr>
              <w:fldChar w:fldCharType="begin"/>
            </w:r>
            <w:r w:rsidR="00F02751" w:rsidRPr="00F02751">
              <w:rPr>
                <w:noProof/>
                <w:webHidden/>
              </w:rPr>
              <w:instrText xml:space="preserve"> PAGEREF _Toc3218328 \h </w:instrText>
            </w:r>
            <w:r w:rsidR="00F02751" w:rsidRPr="00F02751">
              <w:rPr>
                <w:noProof/>
                <w:webHidden/>
              </w:rPr>
            </w:r>
            <w:r w:rsidR="00F02751" w:rsidRPr="00F02751">
              <w:rPr>
                <w:noProof/>
                <w:webHidden/>
              </w:rPr>
              <w:fldChar w:fldCharType="separate"/>
            </w:r>
            <w:r w:rsidR="00F02751" w:rsidRPr="00F02751">
              <w:rPr>
                <w:noProof/>
                <w:webHidden/>
              </w:rPr>
              <w:t>2</w:t>
            </w:r>
            <w:r w:rsidR="00F02751" w:rsidRPr="00F02751">
              <w:rPr>
                <w:noProof/>
                <w:webHidden/>
              </w:rPr>
              <w:fldChar w:fldCharType="end"/>
            </w:r>
          </w:hyperlink>
        </w:p>
        <w:p w14:paraId="5FDA3DAC" w14:textId="77777777" w:rsidR="00F02751" w:rsidRPr="00F02751" w:rsidRDefault="004C0BF6">
          <w:pPr>
            <w:pStyle w:val="TOC1"/>
            <w:tabs>
              <w:tab w:val="right" w:leader="dot" w:pos="9061"/>
            </w:tabs>
            <w:rPr>
              <w:rFonts w:eastAsiaTheme="minorEastAsia"/>
              <w:noProof/>
              <w:lang w:val="en-US"/>
            </w:rPr>
          </w:pPr>
          <w:hyperlink w:anchor="_Toc3218329" w:history="1">
            <w:r w:rsidR="00F02751" w:rsidRPr="00F02751">
              <w:rPr>
                <w:rStyle w:val="Hyperlink"/>
                <w:noProof/>
              </w:rPr>
              <w:t>IEVADS</w:t>
            </w:r>
            <w:r w:rsidR="00F02751" w:rsidRPr="00F02751">
              <w:rPr>
                <w:noProof/>
                <w:webHidden/>
              </w:rPr>
              <w:tab/>
            </w:r>
            <w:r w:rsidR="00F02751" w:rsidRPr="00F02751">
              <w:rPr>
                <w:noProof/>
                <w:webHidden/>
              </w:rPr>
              <w:fldChar w:fldCharType="begin"/>
            </w:r>
            <w:r w:rsidR="00F02751" w:rsidRPr="00F02751">
              <w:rPr>
                <w:noProof/>
                <w:webHidden/>
              </w:rPr>
              <w:instrText xml:space="preserve"> PAGEREF _Toc3218329 \h </w:instrText>
            </w:r>
            <w:r w:rsidR="00F02751" w:rsidRPr="00F02751">
              <w:rPr>
                <w:noProof/>
                <w:webHidden/>
              </w:rPr>
            </w:r>
            <w:r w:rsidR="00F02751" w:rsidRPr="00F02751">
              <w:rPr>
                <w:noProof/>
                <w:webHidden/>
              </w:rPr>
              <w:fldChar w:fldCharType="separate"/>
            </w:r>
            <w:r w:rsidR="00F02751" w:rsidRPr="00F02751">
              <w:rPr>
                <w:noProof/>
                <w:webHidden/>
              </w:rPr>
              <w:t>3</w:t>
            </w:r>
            <w:r w:rsidR="00F02751" w:rsidRPr="00F02751">
              <w:rPr>
                <w:noProof/>
                <w:webHidden/>
              </w:rPr>
              <w:fldChar w:fldCharType="end"/>
            </w:r>
          </w:hyperlink>
        </w:p>
        <w:p w14:paraId="527CCA85" w14:textId="77777777" w:rsidR="00F02751" w:rsidRPr="00F02751" w:rsidRDefault="004C0BF6">
          <w:pPr>
            <w:pStyle w:val="TOC1"/>
            <w:tabs>
              <w:tab w:val="left" w:pos="440"/>
              <w:tab w:val="right" w:leader="dot" w:pos="9061"/>
            </w:tabs>
            <w:rPr>
              <w:rFonts w:eastAsiaTheme="minorEastAsia"/>
              <w:noProof/>
              <w:lang w:val="en-US"/>
            </w:rPr>
          </w:pPr>
          <w:hyperlink w:anchor="_Toc3218330" w:history="1">
            <w:r w:rsidR="00F02751" w:rsidRPr="00F02751">
              <w:rPr>
                <w:rStyle w:val="Hyperlink"/>
                <w:noProof/>
              </w:rPr>
              <w:t>1.</w:t>
            </w:r>
            <w:r w:rsidR="00F02751" w:rsidRPr="00F02751">
              <w:rPr>
                <w:rFonts w:eastAsiaTheme="minorEastAsia"/>
                <w:noProof/>
                <w:lang w:val="en-US"/>
              </w:rPr>
              <w:tab/>
            </w:r>
            <w:r w:rsidR="00F02751" w:rsidRPr="00F02751">
              <w:rPr>
                <w:rStyle w:val="Hyperlink"/>
                <w:noProof/>
              </w:rPr>
              <w:t>Pēcdoktorantūras pētniecības programmas īstenošanas analīze</w:t>
            </w:r>
            <w:r w:rsidR="00F02751" w:rsidRPr="00F02751">
              <w:rPr>
                <w:noProof/>
                <w:webHidden/>
              </w:rPr>
              <w:tab/>
            </w:r>
            <w:r w:rsidR="00F02751" w:rsidRPr="00F02751">
              <w:rPr>
                <w:noProof/>
                <w:webHidden/>
              </w:rPr>
              <w:fldChar w:fldCharType="begin"/>
            </w:r>
            <w:r w:rsidR="00F02751" w:rsidRPr="00F02751">
              <w:rPr>
                <w:noProof/>
                <w:webHidden/>
              </w:rPr>
              <w:instrText xml:space="preserve"> PAGEREF _Toc3218330 \h </w:instrText>
            </w:r>
            <w:r w:rsidR="00F02751" w:rsidRPr="00F02751">
              <w:rPr>
                <w:noProof/>
                <w:webHidden/>
              </w:rPr>
            </w:r>
            <w:r w:rsidR="00F02751" w:rsidRPr="00F02751">
              <w:rPr>
                <w:noProof/>
                <w:webHidden/>
              </w:rPr>
              <w:fldChar w:fldCharType="separate"/>
            </w:r>
            <w:r w:rsidR="00F02751" w:rsidRPr="00F02751">
              <w:rPr>
                <w:noProof/>
                <w:webHidden/>
              </w:rPr>
              <w:t>4</w:t>
            </w:r>
            <w:r w:rsidR="00F02751" w:rsidRPr="00F02751">
              <w:rPr>
                <w:noProof/>
                <w:webHidden/>
              </w:rPr>
              <w:fldChar w:fldCharType="end"/>
            </w:r>
          </w:hyperlink>
        </w:p>
        <w:p w14:paraId="187244C2" w14:textId="77777777" w:rsidR="00F02751" w:rsidRPr="00F02751" w:rsidRDefault="004C0BF6">
          <w:pPr>
            <w:pStyle w:val="TOC1"/>
            <w:tabs>
              <w:tab w:val="left" w:pos="660"/>
              <w:tab w:val="right" w:leader="dot" w:pos="9061"/>
            </w:tabs>
            <w:rPr>
              <w:rFonts w:eastAsiaTheme="minorEastAsia"/>
              <w:noProof/>
              <w:lang w:val="en-US"/>
            </w:rPr>
          </w:pPr>
          <w:hyperlink w:anchor="_Toc3218331" w:history="1">
            <w:r w:rsidR="00F02751" w:rsidRPr="00F02751">
              <w:rPr>
                <w:rStyle w:val="Hyperlink"/>
                <w:noProof/>
              </w:rPr>
              <w:t>1.1.</w:t>
            </w:r>
            <w:r w:rsidR="00F02751" w:rsidRPr="00F02751">
              <w:rPr>
                <w:rFonts w:eastAsiaTheme="minorEastAsia"/>
                <w:noProof/>
                <w:lang w:val="en-US"/>
              </w:rPr>
              <w:tab/>
            </w:r>
            <w:r w:rsidR="00F02751" w:rsidRPr="00F02751">
              <w:rPr>
                <w:rStyle w:val="Hyperlink"/>
                <w:noProof/>
              </w:rPr>
              <w:t>Pētniecības pieteikumu pirmās un otrās atlases kārtas analīze</w:t>
            </w:r>
            <w:r w:rsidR="00F02751" w:rsidRPr="00F02751">
              <w:rPr>
                <w:noProof/>
                <w:webHidden/>
              </w:rPr>
              <w:tab/>
            </w:r>
            <w:r w:rsidR="00F02751" w:rsidRPr="00F02751">
              <w:rPr>
                <w:noProof/>
                <w:webHidden/>
              </w:rPr>
              <w:fldChar w:fldCharType="begin"/>
            </w:r>
            <w:r w:rsidR="00F02751" w:rsidRPr="00F02751">
              <w:rPr>
                <w:noProof/>
                <w:webHidden/>
              </w:rPr>
              <w:instrText xml:space="preserve"> PAGEREF _Toc3218331 \h </w:instrText>
            </w:r>
            <w:r w:rsidR="00F02751" w:rsidRPr="00F02751">
              <w:rPr>
                <w:noProof/>
                <w:webHidden/>
              </w:rPr>
            </w:r>
            <w:r w:rsidR="00F02751" w:rsidRPr="00F02751">
              <w:rPr>
                <w:noProof/>
                <w:webHidden/>
              </w:rPr>
              <w:fldChar w:fldCharType="separate"/>
            </w:r>
            <w:r w:rsidR="00F02751" w:rsidRPr="00F02751">
              <w:rPr>
                <w:noProof/>
                <w:webHidden/>
              </w:rPr>
              <w:t>4</w:t>
            </w:r>
            <w:r w:rsidR="00F02751" w:rsidRPr="00F02751">
              <w:rPr>
                <w:noProof/>
                <w:webHidden/>
              </w:rPr>
              <w:fldChar w:fldCharType="end"/>
            </w:r>
          </w:hyperlink>
        </w:p>
        <w:p w14:paraId="72C4844A" w14:textId="77777777" w:rsidR="00F02751" w:rsidRPr="00F02751" w:rsidRDefault="004C0BF6">
          <w:pPr>
            <w:pStyle w:val="TOC1"/>
            <w:tabs>
              <w:tab w:val="left" w:pos="660"/>
              <w:tab w:val="right" w:leader="dot" w:pos="9061"/>
            </w:tabs>
            <w:rPr>
              <w:rFonts w:eastAsiaTheme="minorEastAsia"/>
              <w:noProof/>
              <w:lang w:val="en-US"/>
            </w:rPr>
          </w:pPr>
          <w:hyperlink w:anchor="_Toc3218332" w:history="1">
            <w:r w:rsidR="00F02751" w:rsidRPr="00F02751">
              <w:rPr>
                <w:rStyle w:val="Hyperlink"/>
                <w:noProof/>
              </w:rPr>
              <w:t>1.2.</w:t>
            </w:r>
            <w:r w:rsidR="00F02751" w:rsidRPr="00F02751">
              <w:rPr>
                <w:rFonts w:eastAsiaTheme="minorEastAsia"/>
                <w:noProof/>
                <w:lang w:val="en-US"/>
              </w:rPr>
              <w:tab/>
            </w:r>
            <w:r w:rsidR="00F02751" w:rsidRPr="00F02751">
              <w:rPr>
                <w:rStyle w:val="Hyperlink"/>
                <w:noProof/>
              </w:rPr>
              <w:t>Pēcdoktorantūras pētniecības programmas rezultāti</w:t>
            </w:r>
            <w:r w:rsidR="00F02751" w:rsidRPr="00F02751">
              <w:rPr>
                <w:noProof/>
                <w:webHidden/>
              </w:rPr>
              <w:tab/>
            </w:r>
            <w:r w:rsidR="00F02751" w:rsidRPr="00F02751">
              <w:rPr>
                <w:noProof/>
                <w:webHidden/>
              </w:rPr>
              <w:fldChar w:fldCharType="begin"/>
            </w:r>
            <w:r w:rsidR="00F02751" w:rsidRPr="00F02751">
              <w:rPr>
                <w:noProof/>
                <w:webHidden/>
              </w:rPr>
              <w:instrText xml:space="preserve"> PAGEREF _Toc3218332 \h </w:instrText>
            </w:r>
            <w:r w:rsidR="00F02751" w:rsidRPr="00F02751">
              <w:rPr>
                <w:noProof/>
                <w:webHidden/>
              </w:rPr>
            </w:r>
            <w:r w:rsidR="00F02751" w:rsidRPr="00F02751">
              <w:rPr>
                <w:noProof/>
                <w:webHidden/>
              </w:rPr>
              <w:fldChar w:fldCharType="separate"/>
            </w:r>
            <w:r w:rsidR="00F02751" w:rsidRPr="00F02751">
              <w:rPr>
                <w:noProof/>
                <w:webHidden/>
              </w:rPr>
              <w:t>10</w:t>
            </w:r>
            <w:r w:rsidR="00F02751" w:rsidRPr="00F02751">
              <w:rPr>
                <w:noProof/>
                <w:webHidden/>
              </w:rPr>
              <w:fldChar w:fldCharType="end"/>
            </w:r>
          </w:hyperlink>
        </w:p>
        <w:p w14:paraId="78140576" w14:textId="77777777" w:rsidR="00F02751" w:rsidRPr="00F02751" w:rsidRDefault="004C0BF6">
          <w:pPr>
            <w:pStyle w:val="TOC1"/>
            <w:tabs>
              <w:tab w:val="left" w:pos="660"/>
              <w:tab w:val="right" w:leader="dot" w:pos="9061"/>
            </w:tabs>
            <w:rPr>
              <w:rFonts w:eastAsiaTheme="minorEastAsia"/>
              <w:noProof/>
              <w:lang w:val="en-US"/>
            </w:rPr>
          </w:pPr>
          <w:hyperlink w:anchor="_Toc3218333" w:history="1">
            <w:r w:rsidR="00F02751" w:rsidRPr="00F02751">
              <w:rPr>
                <w:rStyle w:val="Hyperlink"/>
                <w:noProof/>
              </w:rPr>
              <w:t>1.3.</w:t>
            </w:r>
            <w:r w:rsidR="00F02751" w:rsidRPr="00F02751">
              <w:rPr>
                <w:rFonts w:eastAsiaTheme="minorEastAsia"/>
                <w:noProof/>
                <w:lang w:val="en-US"/>
              </w:rPr>
              <w:tab/>
            </w:r>
            <w:r w:rsidR="00F02751" w:rsidRPr="00F02751">
              <w:rPr>
                <w:rStyle w:val="Hyperlink"/>
                <w:noProof/>
              </w:rPr>
              <w:t>Pēcdoktorantūras pētniecības programmas finanšu progress</w:t>
            </w:r>
            <w:r w:rsidR="00F02751" w:rsidRPr="00F02751">
              <w:rPr>
                <w:noProof/>
                <w:webHidden/>
              </w:rPr>
              <w:tab/>
            </w:r>
            <w:r w:rsidR="00F02751" w:rsidRPr="00F02751">
              <w:rPr>
                <w:noProof/>
                <w:webHidden/>
              </w:rPr>
              <w:fldChar w:fldCharType="begin"/>
            </w:r>
            <w:r w:rsidR="00F02751" w:rsidRPr="00F02751">
              <w:rPr>
                <w:noProof/>
                <w:webHidden/>
              </w:rPr>
              <w:instrText xml:space="preserve"> PAGEREF _Toc3218333 \h </w:instrText>
            </w:r>
            <w:r w:rsidR="00F02751" w:rsidRPr="00F02751">
              <w:rPr>
                <w:noProof/>
                <w:webHidden/>
              </w:rPr>
            </w:r>
            <w:r w:rsidR="00F02751" w:rsidRPr="00F02751">
              <w:rPr>
                <w:noProof/>
                <w:webHidden/>
              </w:rPr>
              <w:fldChar w:fldCharType="separate"/>
            </w:r>
            <w:r w:rsidR="00F02751" w:rsidRPr="00F02751">
              <w:rPr>
                <w:noProof/>
                <w:webHidden/>
              </w:rPr>
              <w:t>14</w:t>
            </w:r>
            <w:r w:rsidR="00F02751" w:rsidRPr="00F02751">
              <w:rPr>
                <w:noProof/>
                <w:webHidden/>
              </w:rPr>
              <w:fldChar w:fldCharType="end"/>
            </w:r>
          </w:hyperlink>
        </w:p>
        <w:p w14:paraId="3322865D" w14:textId="77777777" w:rsidR="00F02751" w:rsidRPr="00F02751" w:rsidRDefault="004C0BF6">
          <w:pPr>
            <w:pStyle w:val="TOC1"/>
            <w:tabs>
              <w:tab w:val="left" w:pos="660"/>
              <w:tab w:val="right" w:leader="dot" w:pos="9061"/>
            </w:tabs>
            <w:rPr>
              <w:rFonts w:eastAsiaTheme="minorEastAsia"/>
              <w:noProof/>
              <w:lang w:val="en-US"/>
            </w:rPr>
          </w:pPr>
          <w:hyperlink w:anchor="_Toc3218334" w:history="1">
            <w:r w:rsidR="00F02751" w:rsidRPr="00F02751">
              <w:rPr>
                <w:rStyle w:val="Hyperlink"/>
                <w:noProof/>
              </w:rPr>
              <w:t>1.4.</w:t>
            </w:r>
            <w:r w:rsidR="00F02751" w:rsidRPr="00F02751">
              <w:rPr>
                <w:rFonts w:eastAsiaTheme="minorEastAsia"/>
                <w:noProof/>
                <w:lang w:val="en-US"/>
              </w:rPr>
              <w:tab/>
            </w:r>
            <w:r w:rsidR="00F02751" w:rsidRPr="00F02751">
              <w:rPr>
                <w:rStyle w:val="Hyperlink"/>
                <w:noProof/>
              </w:rPr>
              <w:t>Pētniecības pieteikumu ieguldījums RIS3 specializācijas jomu attīstībā</w:t>
            </w:r>
            <w:r w:rsidR="00F02751" w:rsidRPr="00F02751">
              <w:rPr>
                <w:noProof/>
                <w:webHidden/>
              </w:rPr>
              <w:tab/>
            </w:r>
            <w:r w:rsidR="00F02751" w:rsidRPr="00F02751">
              <w:rPr>
                <w:noProof/>
                <w:webHidden/>
              </w:rPr>
              <w:fldChar w:fldCharType="begin"/>
            </w:r>
            <w:r w:rsidR="00F02751" w:rsidRPr="00F02751">
              <w:rPr>
                <w:noProof/>
                <w:webHidden/>
              </w:rPr>
              <w:instrText xml:space="preserve"> PAGEREF _Toc3218334 \h </w:instrText>
            </w:r>
            <w:r w:rsidR="00F02751" w:rsidRPr="00F02751">
              <w:rPr>
                <w:noProof/>
                <w:webHidden/>
              </w:rPr>
            </w:r>
            <w:r w:rsidR="00F02751" w:rsidRPr="00F02751">
              <w:rPr>
                <w:noProof/>
                <w:webHidden/>
              </w:rPr>
              <w:fldChar w:fldCharType="separate"/>
            </w:r>
            <w:r w:rsidR="00F02751" w:rsidRPr="00F02751">
              <w:rPr>
                <w:noProof/>
                <w:webHidden/>
              </w:rPr>
              <w:t>15</w:t>
            </w:r>
            <w:r w:rsidR="00F02751" w:rsidRPr="00F02751">
              <w:rPr>
                <w:noProof/>
                <w:webHidden/>
              </w:rPr>
              <w:fldChar w:fldCharType="end"/>
            </w:r>
          </w:hyperlink>
        </w:p>
        <w:p w14:paraId="4E89796C" w14:textId="77777777" w:rsidR="00F02751" w:rsidRPr="00F02751" w:rsidRDefault="004C0BF6">
          <w:pPr>
            <w:pStyle w:val="TOC1"/>
            <w:tabs>
              <w:tab w:val="left" w:pos="440"/>
              <w:tab w:val="right" w:leader="dot" w:pos="9061"/>
            </w:tabs>
            <w:rPr>
              <w:rFonts w:eastAsiaTheme="minorEastAsia"/>
              <w:noProof/>
              <w:lang w:val="en-US"/>
            </w:rPr>
          </w:pPr>
          <w:hyperlink w:anchor="_Toc3218335" w:history="1">
            <w:r w:rsidR="00F02751" w:rsidRPr="00F02751">
              <w:rPr>
                <w:rStyle w:val="Hyperlink"/>
                <w:noProof/>
              </w:rPr>
              <w:t>2.</w:t>
            </w:r>
            <w:r w:rsidR="00F02751" w:rsidRPr="00F02751">
              <w:rPr>
                <w:rFonts w:eastAsiaTheme="minorEastAsia"/>
                <w:noProof/>
                <w:lang w:val="en-US"/>
              </w:rPr>
              <w:tab/>
            </w:r>
            <w:r w:rsidR="00F02751" w:rsidRPr="00F02751">
              <w:rPr>
                <w:rStyle w:val="Hyperlink"/>
                <w:noProof/>
              </w:rPr>
              <w:t>VIAA kā Pēcdoktorantūras pētniecības programmas finansējuma saņēmēja veikto darbību analīze</w:t>
            </w:r>
            <w:r w:rsidR="00F02751" w:rsidRPr="00F02751">
              <w:rPr>
                <w:noProof/>
                <w:webHidden/>
              </w:rPr>
              <w:tab/>
            </w:r>
            <w:r w:rsidR="00F02751" w:rsidRPr="00F02751">
              <w:rPr>
                <w:noProof/>
                <w:webHidden/>
              </w:rPr>
              <w:fldChar w:fldCharType="begin"/>
            </w:r>
            <w:r w:rsidR="00F02751" w:rsidRPr="00F02751">
              <w:rPr>
                <w:noProof/>
                <w:webHidden/>
              </w:rPr>
              <w:instrText xml:space="preserve"> PAGEREF _Toc3218335 \h </w:instrText>
            </w:r>
            <w:r w:rsidR="00F02751" w:rsidRPr="00F02751">
              <w:rPr>
                <w:noProof/>
                <w:webHidden/>
              </w:rPr>
            </w:r>
            <w:r w:rsidR="00F02751" w:rsidRPr="00F02751">
              <w:rPr>
                <w:noProof/>
                <w:webHidden/>
              </w:rPr>
              <w:fldChar w:fldCharType="separate"/>
            </w:r>
            <w:r w:rsidR="00F02751" w:rsidRPr="00F02751">
              <w:rPr>
                <w:noProof/>
                <w:webHidden/>
              </w:rPr>
              <w:t>20</w:t>
            </w:r>
            <w:r w:rsidR="00F02751" w:rsidRPr="00F02751">
              <w:rPr>
                <w:noProof/>
                <w:webHidden/>
              </w:rPr>
              <w:fldChar w:fldCharType="end"/>
            </w:r>
          </w:hyperlink>
        </w:p>
        <w:p w14:paraId="0B0403B2" w14:textId="77777777" w:rsidR="00F02751" w:rsidRPr="00F02751" w:rsidRDefault="004C0BF6">
          <w:pPr>
            <w:pStyle w:val="TOC1"/>
            <w:tabs>
              <w:tab w:val="left" w:pos="440"/>
              <w:tab w:val="right" w:leader="dot" w:pos="9061"/>
            </w:tabs>
            <w:rPr>
              <w:rFonts w:eastAsiaTheme="minorEastAsia"/>
              <w:noProof/>
              <w:lang w:val="en-US"/>
            </w:rPr>
          </w:pPr>
          <w:hyperlink w:anchor="_Toc3218336" w:history="1">
            <w:r w:rsidR="00F02751" w:rsidRPr="00F02751">
              <w:rPr>
                <w:rStyle w:val="Hyperlink"/>
                <w:noProof/>
              </w:rPr>
              <w:t>3.</w:t>
            </w:r>
            <w:r w:rsidR="00F02751" w:rsidRPr="00F02751">
              <w:rPr>
                <w:rFonts w:eastAsiaTheme="minorEastAsia"/>
                <w:noProof/>
                <w:lang w:val="en-US"/>
              </w:rPr>
              <w:tab/>
            </w:r>
            <w:r w:rsidR="00F02751" w:rsidRPr="00F02751">
              <w:rPr>
                <w:rStyle w:val="Hyperlink"/>
                <w:noProof/>
              </w:rPr>
              <w:t>Priekšlikumi pēcdoktorantūras pētniecības programmas ieviešanas nosacījumu pilnveidei</w:t>
            </w:r>
            <w:r w:rsidR="00F02751" w:rsidRPr="00F02751">
              <w:rPr>
                <w:noProof/>
                <w:webHidden/>
              </w:rPr>
              <w:tab/>
            </w:r>
            <w:r w:rsidR="00F02751" w:rsidRPr="00F02751">
              <w:rPr>
                <w:noProof/>
                <w:webHidden/>
              </w:rPr>
              <w:fldChar w:fldCharType="begin"/>
            </w:r>
            <w:r w:rsidR="00F02751" w:rsidRPr="00F02751">
              <w:rPr>
                <w:noProof/>
                <w:webHidden/>
              </w:rPr>
              <w:instrText xml:space="preserve"> PAGEREF _Toc3218336 \h </w:instrText>
            </w:r>
            <w:r w:rsidR="00F02751" w:rsidRPr="00F02751">
              <w:rPr>
                <w:noProof/>
                <w:webHidden/>
              </w:rPr>
            </w:r>
            <w:r w:rsidR="00F02751" w:rsidRPr="00F02751">
              <w:rPr>
                <w:noProof/>
                <w:webHidden/>
              </w:rPr>
              <w:fldChar w:fldCharType="separate"/>
            </w:r>
            <w:r w:rsidR="00F02751" w:rsidRPr="00F02751">
              <w:rPr>
                <w:noProof/>
                <w:webHidden/>
              </w:rPr>
              <w:t>26</w:t>
            </w:r>
            <w:r w:rsidR="00F02751" w:rsidRPr="00F02751">
              <w:rPr>
                <w:noProof/>
                <w:webHidden/>
              </w:rPr>
              <w:fldChar w:fldCharType="end"/>
            </w:r>
          </w:hyperlink>
        </w:p>
        <w:p w14:paraId="52FE8C13" w14:textId="77777777" w:rsidR="00CA2F4F" w:rsidRPr="00F02751" w:rsidRDefault="00CA2F4F" w:rsidP="0024408B">
          <w:pPr>
            <w:spacing w:line="240" w:lineRule="auto"/>
            <w:jc w:val="both"/>
            <w:rPr>
              <w:rFonts w:cstheme="minorHAnsi"/>
              <w:color w:val="323E4F" w:themeColor="text2" w:themeShade="BF"/>
              <w:sz w:val="24"/>
              <w:szCs w:val="24"/>
            </w:rPr>
          </w:pPr>
          <w:r w:rsidRPr="00F02751">
            <w:rPr>
              <w:rFonts w:cstheme="minorHAnsi"/>
              <w:bCs/>
              <w:noProof/>
              <w:color w:val="323E4F" w:themeColor="text2" w:themeShade="BF"/>
              <w:sz w:val="24"/>
              <w:szCs w:val="24"/>
            </w:rPr>
            <w:fldChar w:fldCharType="end"/>
          </w:r>
        </w:p>
      </w:sdtContent>
    </w:sdt>
    <w:p w14:paraId="0A509CD5" w14:textId="77777777" w:rsidR="00EA012C" w:rsidRPr="00B25975" w:rsidRDefault="0019079E" w:rsidP="0024408B">
      <w:pPr>
        <w:spacing w:line="240" w:lineRule="auto"/>
        <w:rPr>
          <w:rFonts w:cstheme="minorHAnsi"/>
          <w:color w:val="323E4F" w:themeColor="text2" w:themeShade="BF"/>
          <w:sz w:val="24"/>
          <w:szCs w:val="24"/>
        </w:rPr>
      </w:pPr>
      <w:r w:rsidRPr="00B25975">
        <w:rPr>
          <w:rFonts w:cstheme="minorHAnsi"/>
          <w:color w:val="323E4F" w:themeColor="text2" w:themeShade="BF"/>
          <w:sz w:val="24"/>
          <w:szCs w:val="24"/>
        </w:rPr>
        <w:br w:type="page"/>
      </w:r>
    </w:p>
    <w:p w14:paraId="519D4862" w14:textId="77777777" w:rsidR="002B7F37" w:rsidRPr="00EE5C5C" w:rsidRDefault="002B7F37" w:rsidP="0024408B">
      <w:pPr>
        <w:pStyle w:val="Heading1"/>
        <w:numPr>
          <w:ilvl w:val="0"/>
          <w:numId w:val="0"/>
        </w:numPr>
        <w:spacing w:line="240" w:lineRule="auto"/>
        <w:ind w:left="432"/>
        <w:rPr>
          <w:b/>
          <w:color w:val="323E4F" w:themeColor="text2" w:themeShade="BF"/>
          <w:sz w:val="28"/>
          <w:szCs w:val="28"/>
        </w:rPr>
      </w:pPr>
      <w:bookmarkStart w:id="1" w:name="_Toc3218328"/>
      <w:r w:rsidRPr="007C583D">
        <w:rPr>
          <w:b/>
          <w:color w:val="323E4F" w:themeColor="text2" w:themeShade="BF"/>
          <w:sz w:val="28"/>
          <w:szCs w:val="28"/>
        </w:rPr>
        <w:lastRenderedPageBreak/>
        <w:t>Izmantotie saīsinājumi un termini</w:t>
      </w:r>
      <w:bookmarkEnd w:id="1"/>
    </w:p>
    <w:p w14:paraId="19EEA980" w14:textId="77777777" w:rsidR="00A6430D" w:rsidRPr="00A6430D" w:rsidRDefault="00A6430D" w:rsidP="0024408B">
      <w:pPr>
        <w:pStyle w:val="NoSpacing"/>
        <w:rPr>
          <w:b/>
          <w:caps/>
          <w:color w:val="323E4F" w:themeColor="text2" w:themeShade="BF"/>
          <w:sz w:val="24"/>
          <w:szCs w:val="24"/>
          <w:lang w:val="lv-LV"/>
        </w:rPr>
      </w:pPr>
    </w:p>
    <w:tbl>
      <w:tblPr>
        <w:tblStyle w:val="TableGrid"/>
        <w:tblW w:w="0" w:type="auto"/>
        <w:tblLook w:val="04A0" w:firstRow="1" w:lastRow="0" w:firstColumn="1" w:lastColumn="0" w:noHBand="0" w:noVBand="1"/>
      </w:tblPr>
      <w:tblGrid>
        <w:gridCol w:w="2263"/>
        <w:gridCol w:w="6753"/>
      </w:tblGrid>
      <w:tr w:rsidR="00902C23" w:rsidRPr="00470C60" w14:paraId="0100C565" w14:textId="77777777" w:rsidTr="00470C60">
        <w:tc>
          <w:tcPr>
            <w:tcW w:w="2263" w:type="dxa"/>
          </w:tcPr>
          <w:p w14:paraId="73E95B6E" w14:textId="77777777" w:rsidR="00902C23" w:rsidRPr="00470C60" w:rsidRDefault="00902C23" w:rsidP="0024408B">
            <w:pPr>
              <w:jc w:val="both"/>
              <w:rPr>
                <w:rFonts w:cstheme="minorHAnsi"/>
                <w:sz w:val="20"/>
                <w:szCs w:val="20"/>
              </w:rPr>
            </w:pPr>
            <w:r>
              <w:rPr>
                <w:rFonts w:cstheme="minorHAnsi"/>
                <w:sz w:val="20"/>
                <w:szCs w:val="20"/>
              </w:rPr>
              <w:t>1.1.1. SAM</w:t>
            </w:r>
          </w:p>
        </w:tc>
        <w:tc>
          <w:tcPr>
            <w:tcW w:w="6753" w:type="dxa"/>
          </w:tcPr>
          <w:p w14:paraId="5A65732F" w14:textId="77777777" w:rsidR="00902C23" w:rsidRPr="00470C60" w:rsidRDefault="00902C23" w:rsidP="0024408B">
            <w:pPr>
              <w:jc w:val="both"/>
              <w:rPr>
                <w:rFonts w:cstheme="minorHAnsi"/>
                <w:sz w:val="20"/>
                <w:szCs w:val="20"/>
              </w:rPr>
            </w:pPr>
            <w:r>
              <w:rPr>
                <w:rFonts w:cstheme="minorHAnsi"/>
                <w:sz w:val="20"/>
                <w:szCs w:val="20"/>
              </w:rPr>
              <w:t>1.1.1. specifiskais atbalsta mērķis</w:t>
            </w:r>
            <w:r w:rsidRPr="00470C60">
              <w:rPr>
                <w:rFonts w:cstheme="minorHAnsi"/>
                <w:sz w:val="20"/>
                <w:szCs w:val="20"/>
              </w:rPr>
              <w:t xml:space="preserve"> "Palielināt Latvijas zinātnisko institūciju pētniecisko un inovatīvo kapacitāti un spēju piesaistīt ārējo finansējumu, ieguldot cilvēkresursos un infrastruktūrā"</w:t>
            </w:r>
          </w:p>
        </w:tc>
      </w:tr>
      <w:tr w:rsidR="00902C23" w:rsidRPr="00470C60" w14:paraId="6CB7F79C" w14:textId="77777777" w:rsidTr="00470C60">
        <w:tc>
          <w:tcPr>
            <w:tcW w:w="2263" w:type="dxa"/>
          </w:tcPr>
          <w:p w14:paraId="15A155B6" w14:textId="77777777" w:rsidR="00902C23" w:rsidRPr="00470C60" w:rsidRDefault="00902C23" w:rsidP="0024408B">
            <w:pPr>
              <w:jc w:val="both"/>
              <w:rPr>
                <w:rFonts w:cstheme="minorHAnsi"/>
                <w:sz w:val="20"/>
                <w:szCs w:val="20"/>
              </w:rPr>
            </w:pPr>
            <w:r w:rsidRPr="00470C60">
              <w:rPr>
                <w:rFonts w:cstheme="minorHAnsi"/>
                <w:sz w:val="20"/>
                <w:szCs w:val="20"/>
              </w:rPr>
              <w:t>CFLA</w:t>
            </w:r>
          </w:p>
        </w:tc>
        <w:tc>
          <w:tcPr>
            <w:tcW w:w="6753" w:type="dxa"/>
          </w:tcPr>
          <w:p w14:paraId="6961EC6D" w14:textId="77777777" w:rsidR="00902C23" w:rsidRPr="00470C60" w:rsidRDefault="00902C23" w:rsidP="0024408B">
            <w:pPr>
              <w:jc w:val="both"/>
              <w:rPr>
                <w:rFonts w:cstheme="minorHAnsi"/>
                <w:sz w:val="20"/>
                <w:szCs w:val="20"/>
              </w:rPr>
            </w:pPr>
            <w:r w:rsidRPr="00470C60">
              <w:rPr>
                <w:rFonts w:cstheme="minorHAnsi"/>
                <w:sz w:val="20"/>
                <w:szCs w:val="20"/>
              </w:rPr>
              <w:t>Centrālā finanšu un līgumu aģentūra</w:t>
            </w:r>
          </w:p>
        </w:tc>
      </w:tr>
      <w:tr w:rsidR="00902C23" w:rsidRPr="00470C60" w14:paraId="13D7C889" w14:textId="77777777" w:rsidTr="00470C60">
        <w:tc>
          <w:tcPr>
            <w:tcW w:w="2263" w:type="dxa"/>
          </w:tcPr>
          <w:p w14:paraId="68A3144E" w14:textId="77777777" w:rsidR="00902C23" w:rsidRPr="00470C60" w:rsidRDefault="00902C23" w:rsidP="0024408B">
            <w:pPr>
              <w:jc w:val="both"/>
              <w:rPr>
                <w:rFonts w:cstheme="minorHAnsi"/>
                <w:sz w:val="20"/>
                <w:szCs w:val="20"/>
              </w:rPr>
            </w:pPr>
            <w:r w:rsidRPr="00470C60">
              <w:rPr>
                <w:rFonts w:cstheme="minorHAnsi"/>
                <w:sz w:val="20"/>
                <w:szCs w:val="20"/>
              </w:rPr>
              <w:t>COFUND</w:t>
            </w:r>
          </w:p>
        </w:tc>
        <w:tc>
          <w:tcPr>
            <w:tcW w:w="6753" w:type="dxa"/>
          </w:tcPr>
          <w:p w14:paraId="534EDF42" w14:textId="77777777" w:rsidR="00902C23" w:rsidRPr="00470C60" w:rsidRDefault="00902C23" w:rsidP="0024408B">
            <w:pPr>
              <w:jc w:val="both"/>
              <w:rPr>
                <w:rFonts w:cstheme="minorHAnsi"/>
                <w:sz w:val="20"/>
                <w:szCs w:val="20"/>
              </w:rPr>
            </w:pPr>
            <w:r w:rsidRPr="00470C60">
              <w:rPr>
                <w:rFonts w:cstheme="minorHAnsi"/>
                <w:sz w:val="20"/>
                <w:szCs w:val="20"/>
              </w:rPr>
              <w:t xml:space="preserve">Eiropas Savienības pētniecības un inovāciju pamatprogrammas „Apvārsnis 2020” Marijas Sklodovskas-Kirī programmas aktivitāte „Līdzfinansējums reģionālajām, nacionālajām un starptautiskajām programmām </w:t>
            </w:r>
            <w:r w:rsidRPr="00470C60">
              <w:rPr>
                <w:rFonts w:cstheme="minorHAnsi"/>
                <w:sz w:val="20"/>
                <w:szCs w:val="20"/>
                <w:lang w:val="en-US"/>
              </w:rPr>
              <w:t>(</w:t>
            </w:r>
            <w:r w:rsidRPr="00470C60">
              <w:rPr>
                <w:rFonts w:cstheme="minorHAnsi"/>
                <w:i/>
                <w:sz w:val="20"/>
                <w:szCs w:val="20"/>
                <w:lang w:val="en-US"/>
              </w:rPr>
              <w:t xml:space="preserve">COFUND – funding of regional, national and international </w:t>
            </w:r>
            <w:proofErr w:type="spellStart"/>
            <w:r w:rsidRPr="00470C60">
              <w:rPr>
                <w:rFonts w:cstheme="minorHAnsi"/>
                <w:i/>
                <w:sz w:val="20"/>
                <w:szCs w:val="20"/>
                <w:lang w:val="en-US"/>
              </w:rPr>
              <w:t>programmes</w:t>
            </w:r>
            <w:proofErr w:type="spellEnd"/>
            <w:r w:rsidRPr="00470C60">
              <w:rPr>
                <w:rFonts w:cstheme="minorHAnsi"/>
                <w:sz w:val="20"/>
                <w:szCs w:val="20"/>
                <w:lang w:val="en-US"/>
              </w:rPr>
              <w:t>)”</w:t>
            </w:r>
          </w:p>
        </w:tc>
      </w:tr>
      <w:tr w:rsidR="00902C23" w:rsidRPr="00470C60" w14:paraId="53FE8C91" w14:textId="77777777" w:rsidTr="00470C60">
        <w:tc>
          <w:tcPr>
            <w:tcW w:w="2263" w:type="dxa"/>
          </w:tcPr>
          <w:p w14:paraId="5834F647" w14:textId="77777777" w:rsidR="00902C23" w:rsidRPr="00470C60" w:rsidRDefault="00902C23" w:rsidP="0024408B">
            <w:pPr>
              <w:jc w:val="both"/>
              <w:rPr>
                <w:rFonts w:cstheme="minorHAnsi"/>
                <w:sz w:val="20"/>
                <w:szCs w:val="20"/>
              </w:rPr>
            </w:pPr>
            <w:r w:rsidRPr="00470C60">
              <w:rPr>
                <w:rFonts w:cstheme="minorHAnsi"/>
                <w:sz w:val="20"/>
                <w:szCs w:val="20"/>
              </w:rPr>
              <w:t>DP papildinājums</w:t>
            </w:r>
          </w:p>
        </w:tc>
        <w:tc>
          <w:tcPr>
            <w:tcW w:w="6753" w:type="dxa"/>
          </w:tcPr>
          <w:p w14:paraId="02D8D8B7" w14:textId="77777777" w:rsidR="00902C23" w:rsidRPr="00470C60" w:rsidRDefault="00902C23" w:rsidP="0024408B">
            <w:pPr>
              <w:jc w:val="both"/>
              <w:rPr>
                <w:rFonts w:cstheme="minorHAnsi"/>
                <w:sz w:val="20"/>
                <w:szCs w:val="20"/>
              </w:rPr>
            </w:pPr>
            <w:r w:rsidRPr="00470C60">
              <w:rPr>
                <w:rFonts w:cstheme="minorHAnsi"/>
                <w:sz w:val="20"/>
                <w:szCs w:val="20"/>
              </w:rPr>
              <w:t>Darbības programmas „Izaugsme un nodarbinātība” papildinājums</w:t>
            </w:r>
          </w:p>
        </w:tc>
      </w:tr>
      <w:tr w:rsidR="00902C23" w:rsidRPr="00470C60" w14:paraId="29EF74DD" w14:textId="77777777" w:rsidTr="00470C60">
        <w:tc>
          <w:tcPr>
            <w:tcW w:w="2263" w:type="dxa"/>
          </w:tcPr>
          <w:p w14:paraId="67637755" w14:textId="77777777" w:rsidR="00902C23" w:rsidRPr="00470C60" w:rsidRDefault="00902C23" w:rsidP="0024408B">
            <w:pPr>
              <w:jc w:val="both"/>
              <w:rPr>
                <w:rFonts w:cstheme="minorHAnsi"/>
                <w:sz w:val="20"/>
                <w:szCs w:val="20"/>
              </w:rPr>
            </w:pPr>
            <w:r w:rsidRPr="00470C60">
              <w:rPr>
                <w:rFonts w:cstheme="minorHAnsi"/>
                <w:sz w:val="20"/>
                <w:szCs w:val="20"/>
              </w:rPr>
              <w:t>DP, darbības programma</w:t>
            </w:r>
          </w:p>
        </w:tc>
        <w:tc>
          <w:tcPr>
            <w:tcW w:w="6753" w:type="dxa"/>
          </w:tcPr>
          <w:p w14:paraId="6DE5F4DB" w14:textId="77777777" w:rsidR="00902C23" w:rsidRPr="00470C60" w:rsidRDefault="00902C23" w:rsidP="0024408B">
            <w:pPr>
              <w:jc w:val="both"/>
              <w:rPr>
                <w:rFonts w:cstheme="minorHAnsi"/>
                <w:sz w:val="20"/>
                <w:szCs w:val="20"/>
              </w:rPr>
            </w:pPr>
            <w:r w:rsidRPr="00470C60">
              <w:rPr>
                <w:rFonts w:cstheme="minorHAnsi"/>
                <w:sz w:val="20"/>
                <w:szCs w:val="20"/>
              </w:rPr>
              <w:t>Darbības programma „Izaugsme un nodarbinātība”</w:t>
            </w:r>
          </w:p>
        </w:tc>
      </w:tr>
      <w:tr w:rsidR="00902C23" w:rsidRPr="00470C60" w14:paraId="364687DE" w14:textId="77777777" w:rsidTr="00470C60">
        <w:tc>
          <w:tcPr>
            <w:tcW w:w="2263" w:type="dxa"/>
          </w:tcPr>
          <w:p w14:paraId="62630D23" w14:textId="77777777" w:rsidR="00902C23" w:rsidRPr="00470C60" w:rsidRDefault="00902C23" w:rsidP="0024408B">
            <w:pPr>
              <w:jc w:val="both"/>
              <w:rPr>
                <w:rFonts w:cstheme="minorHAnsi"/>
                <w:sz w:val="20"/>
                <w:szCs w:val="20"/>
              </w:rPr>
            </w:pPr>
            <w:r w:rsidRPr="00470C60">
              <w:rPr>
                <w:rFonts w:cstheme="minorHAnsi"/>
                <w:sz w:val="20"/>
                <w:szCs w:val="20"/>
              </w:rPr>
              <w:t>EK eksperti</w:t>
            </w:r>
          </w:p>
        </w:tc>
        <w:tc>
          <w:tcPr>
            <w:tcW w:w="6753" w:type="dxa"/>
          </w:tcPr>
          <w:p w14:paraId="0CFBE32A" w14:textId="77777777" w:rsidR="00902C23" w:rsidRPr="00470C60" w:rsidRDefault="00902C23" w:rsidP="0024408B">
            <w:pPr>
              <w:jc w:val="both"/>
              <w:rPr>
                <w:rFonts w:cstheme="minorHAnsi"/>
                <w:sz w:val="20"/>
                <w:szCs w:val="20"/>
              </w:rPr>
            </w:pPr>
            <w:r w:rsidRPr="00470C60">
              <w:rPr>
                <w:rFonts w:cstheme="minorHAnsi"/>
                <w:sz w:val="20"/>
                <w:szCs w:val="20"/>
              </w:rPr>
              <w:t>Eiropas Komisijas ekspertu datubāzē iekļautie eksperti, kas atbilst MK noteikumu Nr. 50 18. punktā minētajiem kritērijiem</w:t>
            </w:r>
          </w:p>
        </w:tc>
      </w:tr>
      <w:tr w:rsidR="00902C23" w:rsidRPr="00470C60" w14:paraId="69A03957" w14:textId="77777777" w:rsidTr="00470C60">
        <w:tc>
          <w:tcPr>
            <w:tcW w:w="2263" w:type="dxa"/>
          </w:tcPr>
          <w:p w14:paraId="4AD71FAC" w14:textId="77777777" w:rsidR="00902C23" w:rsidRPr="00470C60" w:rsidRDefault="00902C23" w:rsidP="0024408B">
            <w:pPr>
              <w:jc w:val="both"/>
              <w:rPr>
                <w:rFonts w:cstheme="minorHAnsi"/>
                <w:sz w:val="20"/>
                <w:szCs w:val="20"/>
              </w:rPr>
            </w:pPr>
            <w:r w:rsidRPr="00470C60">
              <w:rPr>
                <w:rFonts w:cstheme="minorHAnsi"/>
                <w:sz w:val="20"/>
                <w:szCs w:val="20"/>
              </w:rPr>
              <w:t>ERAF</w:t>
            </w:r>
          </w:p>
        </w:tc>
        <w:tc>
          <w:tcPr>
            <w:tcW w:w="6753" w:type="dxa"/>
          </w:tcPr>
          <w:p w14:paraId="39E6E306" w14:textId="77777777" w:rsidR="00902C23" w:rsidRPr="00470C60" w:rsidRDefault="00902C23" w:rsidP="0024408B">
            <w:pPr>
              <w:jc w:val="both"/>
              <w:rPr>
                <w:rFonts w:cstheme="minorHAnsi"/>
                <w:sz w:val="20"/>
                <w:szCs w:val="20"/>
              </w:rPr>
            </w:pPr>
            <w:r w:rsidRPr="00470C60">
              <w:rPr>
                <w:rFonts w:cstheme="minorHAnsi"/>
                <w:sz w:val="20"/>
                <w:szCs w:val="20"/>
              </w:rPr>
              <w:t>Eiropas Reģionālās attīstības fonds</w:t>
            </w:r>
          </w:p>
        </w:tc>
      </w:tr>
      <w:tr w:rsidR="00902C23" w:rsidRPr="00470C60" w14:paraId="0CA6ECFD" w14:textId="77777777" w:rsidTr="00470C60">
        <w:tc>
          <w:tcPr>
            <w:tcW w:w="2263" w:type="dxa"/>
          </w:tcPr>
          <w:p w14:paraId="42C4A87B" w14:textId="77777777" w:rsidR="00902C23" w:rsidRPr="00470C60" w:rsidRDefault="00902C23" w:rsidP="0024408B">
            <w:pPr>
              <w:jc w:val="both"/>
              <w:rPr>
                <w:rFonts w:cstheme="minorHAnsi"/>
                <w:sz w:val="20"/>
                <w:szCs w:val="20"/>
              </w:rPr>
            </w:pPr>
            <w:r w:rsidRPr="00470C60">
              <w:rPr>
                <w:rFonts w:cstheme="minorHAnsi"/>
                <w:sz w:val="20"/>
                <w:szCs w:val="20"/>
              </w:rPr>
              <w:t>ES</w:t>
            </w:r>
          </w:p>
        </w:tc>
        <w:tc>
          <w:tcPr>
            <w:tcW w:w="6753" w:type="dxa"/>
          </w:tcPr>
          <w:p w14:paraId="0D80436A" w14:textId="77777777" w:rsidR="00902C23" w:rsidRPr="00470C60" w:rsidRDefault="00902C23" w:rsidP="0024408B">
            <w:pPr>
              <w:jc w:val="both"/>
              <w:rPr>
                <w:rFonts w:cstheme="minorHAnsi"/>
                <w:sz w:val="20"/>
                <w:szCs w:val="20"/>
              </w:rPr>
            </w:pPr>
            <w:r w:rsidRPr="00470C60">
              <w:rPr>
                <w:rFonts w:cstheme="minorHAnsi"/>
                <w:sz w:val="20"/>
                <w:szCs w:val="20"/>
              </w:rPr>
              <w:t>Eiropas Savienība</w:t>
            </w:r>
          </w:p>
        </w:tc>
      </w:tr>
      <w:tr w:rsidR="00902C23" w:rsidRPr="00470C60" w14:paraId="2248BC99" w14:textId="77777777" w:rsidTr="00470C60">
        <w:tc>
          <w:tcPr>
            <w:tcW w:w="2263" w:type="dxa"/>
          </w:tcPr>
          <w:p w14:paraId="7ADE5137" w14:textId="77777777" w:rsidR="00902C23" w:rsidRPr="00470C60" w:rsidRDefault="00902C23" w:rsidP="0024408B">
            <w:pPr>
              <w:jc w:val="both"/>
              <w:rPr>
                <w:rFonts w:cstheme="minorHAnsi"/>
                <w:sz w:val="20"/>
                <w:szCs w:val="20"/>
              </w:rPr>
            </w:pPr>
            <w:r w:rsidRPr="00470C60">
              <w:rPr>
                <w:rFonts w:cstheme="minorHAnsi"/>
                <w:sz w:val="20"/>
                <w:szCs w:val="20"/>
              </w:rPr>
              <w:t>IZM</w:t>
            </w:r>
          </w:p>
        </w:tc>
        <w:tc>
          <w:tcPr>
            <w:tcW w:w="6753" w:type="dxa"/>
          </w:tcPr>
          <w:p w14:paraId="3DDEAABC" w14:textId="77777777" w:rsidR="00902C23" w:rsidRPr="00470C60" w:rsidRDefault="00902C23" w:rsidP="0024408B">
            <w:pPr>
              <w:jc w:val="both"/>
              <w:rPr>
                <w:rFonts w:cstheme="minorHAnsi"/>
                <w:sz w:val="20"/>
                <w:szCs w:val="20"/>
              </w:rPr>
            </w:pPr>
            <w:r w:rsidRPr="00470C60">
              <w:rPr>
                <w:rFonts w:cstheme="minorHAnsi"/>
                <w:sz w:val="20"/>
                <w:szCs w:val="20"/>
              </w:rPr>
              <w:t>Izglītības un zinātnes ministrija</w:t>
            </w:r>
          </w:p>
        </w:tc>
      </w:tr>
      <w:tr w:rsidR="00902C23" w:rsidRPr="00470C60" w14:paraId="7AE53D0E" w14:textId="77777777" w:rsidTr="00470C60">
        <w:tc>
          <w:tcPr>
            <w:tcW w:w="2263" w:type="dxa"/>
          </w:tcPr>
          <w:p w14:paraId="5B780C4D" w14:textId="77777777" w:rsidR="00902C23" w:rsidRPr="00470C60" w:rsidRDefault="00902C23" w:rsidP="0024408B">
            <w:pPr>
              <w:jc w:val="both"/>
              <w:rPr>
                <w:rFonts w:cstheme="minorHAnsi"/>
                <w:sz w:val="20"/>
                <w:szCs w:val="20"/>
              </w:rPr>
            </w:pPr>
            <w:r>
              <w:rPr>
                <w:rFonts w:cstheme="minorHAnsi"/>
                <w:sz w:val="20"/>
                <w:szCs w:val="20"/>
              </w:rPr>
              <w:t>Komersants</w:t>
            </w:r>
          </w:p>
        </w:tc>
        <w:tc>
          <w:tcPr>
            <w:tcW w:w="6753" w:type="dxa"/>
          </w:tcPr>
          <w:p w14:paraId="277CD432" w14:textId="77777777" w:rsidR="00902C23" w:rsidRPr="00470C60" w:rsidRDefault="00902C23" w:rsidP="0024408B">
            <w:pPr>
              <w:jc w:val="both"/>
              <w:rPr>
                <w:rFonts w:cstheme="minorHAnsi"/>
                <w:sz w:val="20"/>
                <w:szCs w:val="20"/>
              </w:rPr>
            </w:pPr>
            <w:r w:rsidRPr="00470C60">
              <w:rPr>
                <w:rFonts w:cstheme="minorHAnsi"/>
                <w:sz w:val="20"/>
                <w:szCs w:val="20"/>
              </w:rPr>
              <w:t>Latvijas Republikas Uzņēmumu reģistrā reģistrēts sīkais (mikro), mazais, vidējais vai lielais komersants</w:t>
            </w:r>
          </w:p>
        </w:tc>
      </w:tr>
      <w:tr w:rsidR="00902C23" w:rsidRPr="00470C60" w14:paraId="7B414BBF" w14:textId="77777777" w:rsidTr="00470C60">
        <w:tc>
          <w:tcPr>
            <w:tcW w:w="2263" w:type="dxa"/>
          </w:tcPr>
          <w:p w14:paraId="47643972" w14:textId="77777777" w:rsidR="00902C23" w:rsidRPr="001C6468" w:rsidRDefault="00902C23" w:rsidP="0024408B">
            <w:pPr>
              <w:jc w:val="both"/>
              <w:rPr>
                <w:rFonts w:cstheme="minorHAnsi"/>
                <w:sz w:val="20"/>
                <w:szCs w:val="20"/>
              </w:rPr>
            </w:pPr>
            <w:r w:rsidRPr="001C6468">
              <w:rPr>
                <w:rFonts w:cstheme="minorHAnsi"/>
                <w:sz w:val="20"/>
                <w:szCs w:val="20"/>
              </w:rPr>
              <w:t>MK noteikumi Nr. 50</w:t>
            </w:r>
          </w:p>
        </w:tc>
        <w:tc>
          <w:tcPr>
            <w:tcW w:w="6753" w:type="dxa"/>
          </w:tcPr>
          <w:p w14:paraId="6AFCB1E3" w14:textId="77777777" w:rsidR="00902C23" w:rsidRPr="001C6468" w:rsidRDefault="00902C23" w:rsidP="0024408B">
            <w:pPr>
              <w:jc w:val="both"/>
              <w:rPr>
                <w:rFonts w:cstheme="minorHAnsi"/>
                <w:sz w:val="20"/>
                <w:szCs w:val="20"/>
              </w:rPr>
            </w:pPr>
            <w:r w:rsidRPr="001C6468">
              <w:rPr>
                <w:rFonts w:cstheme="minorHAnsi"/>
                <w:sz w:val="20"/>
                <w:szCs w:val="20"/>
              </w:rPr>
              <w:t xml:space="preserve">Ministru kabineta 19.01.2016. noteikumi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w:t>
            </w:r>
          </w:p>
        </w:tc>
      </w:tr>
      <w:tr w:rsidR="00902C23" w:rsidRPr="00470C60" w14:paraId="15A88BCC" w14:textId="77777777" w:rsidTr="00470C60">
        <w:tc>
          <w:tcPr>
            <w:tcW w:w="2263" w:type="dxa"/>
          </w:tcPr>
          <w:p w14:paraId="1303C903" w14:textId="77777777" w:rsidR="00902C23" w:rsidRDefault="00902C23" w:rsidP="0024408B">
            <w:pPr>
              <w:jc w:val="both"/>
              <w:rPr>
                <w:rFonts w:cstheme="minorHAnsi"/>
                <w:sz w:val="20"/>
                <w:szCs w:val="20"/>
              </w:rPr>
            </w:pPr>
            <w:r>
              <w:rPr>
                <w:rFonts w:cstheme="minorHAnsi"/>
                <w:sz w:val="20"/>
                <w:szCs w:val="20"/>
              </w:rPr>
              <w:t>MVK</w:t>
            </w:r>
          </w:p>
        </w:tc>
        <w:tc>
          <w:tcPr>
            <w:tcW w:w="6753" w:type="dxa"/>
          </w:tcPr>
          <w:p w14:paraId="13433DDA" w14:textId="77777777" w:rsidR="00902C23" w:rsidRDefault="00902C23" w:rsidP="0024408B">
            <w:pPr>
              <w:jc w:val="both"/>
              <w:rPr>
                <w:rFonts w:cstheme="minorHAnsi"/>
                <w:sz w:val="20"/>
                <w:szCs w:val="20"/>
              </w:rPr>
            </w:pPr>
            <w:r>
              <w:rPr>
                <w:rFonts w:cstheme="minorHAnsi"/>
                <w:sz w:val="20"/>
                <w:szCs w:val="20"/>
              </w:rPr>
              <w:t>Mazais un vidējais komersants</w:t>
            </w:r>
          </w:p>
        </w:tc>
      </w:tr>
      <w:tr w:rsidR="00902C23" w:rsidRPr="00470C60" w14:paraId="049F7D1E" w14:textId="77777777" w:rsidTr="00470C60">
        <w:tc>
          <w:tcPr>
            <w:tcW w:w="2263" w:type="dxa"/>
          </w:tcPr>
          <w:p w14:paraId="7E07BC0A" w14:textId="77777777" w:rsidR="00902C23" w:rsidRDefault="00902C23" w:rsidP="0024408B">
            <w:pPr>
              <w:jc w:val="both"/>
              <w:rPr>
                <w:rFonts w:cstheme="minorHAnsi"/>
                <w:sz w:val="20"/>
                <w:szCs w:val="20"/>
              </w:rPr>
            </w:pPr>
            <w:r>
              <w:rPr>
                <w:rFonts w:cstheme="minorHAnsi"/>
                <w:sz w:val="20"/>
                <w:szCs w:val="20"/>
              </w:rPr>
              <w:t>NZDIS</w:t>
            </w:r>
          </w:p>
        </w:tc>
        <w:tc>
          <w:tcPr>
            <w:tcW w:w="6753" w:type="dxa"/>
          </w:tcPr>
          <w:p w14:paraId="09C5CEE9" w14:textId="77777777" w:rsidR="00902C23" w:rsidRDefault="00902C23" w:rsidP="0024408B">
            <w:pPr>
              <w:jc w:val="both"/>
              <w:rPr>
                <w:rFonts w:cstheme="minorHAnsi"/>
                <w:sz w:val="20"/>
                <w:szCs w:val="20"/>
              </w:rPr>
            </w:pPr>
            <w:r w:rsidRPr="00902C23">
              <w:rPr>
                <w:rFonts w:cstheme="minorHAnsi"/>
                <w:sz w:val="20"/>
                <w:szCs w:val="20"/>
              </w:rPr>
              <w:t>Nacionālā zinātniskās darbības informācijas sistēma</w:t>
            </w:r>
          </w:p>
        </w:tc>
      </w:tr>
      <w:tr w:rsidR="00902C23" w:rsidRPr="00470C60" w14:paraId="3555509D" w14:textId="77777777" w:rsidTr="00470C60">
        <w:tc>
          <w:tcPr>
            <w:tcW w:w="2263" w:type="dxa"/>
          </w:tcPr>
          <w:p w14:paraId="758F8B69" w14:textId="77777777" w:rsidR="00902C23" w:rsidRPr="001C6468" w:rsidRDefault="00902C23" w:rsidP="0024408B">
            <w:pPr>
              <w:jc w:val="both"/>
              <w:rPr>
                <w:rFonts w:cstheme="minorHAnsi"/>
                <w:sz w:val="20"/>
                <w:szCs w:val="20"/>
              </w:rPr>
            </w:pPr>
            <w:r w:rsidRPr="001C6468">
              <w:rPr>
                <w:rFonts w:cstheme="minorHAnsi"/>
                <w:sz w:val="20"/>
                <w:szCs w:val="20"/>
              </w:rPr>
              <w:t>Pēcdoktorants</w:t>
            </w:r>
          </w:p>
        </w:tc>
        <w:tc>
          <w:tcPr>
            <w:tcW w:w="6753" w:type="dxa"/>
          </w:tcPr>
          <w:p w14:paraId="1EE43F18" w14:textId="77777777" w:rsidR="00902C23" w:rsidRPr="001C6468" w:rsidRDefault="00902C23" w:rsidP="0024408B">
            <w:pPr>
              <w:jc w:val="both"/>
              <w:rPr>
                <w:rFonts w:cstheme="minorHAnsi"/>
                <w:sz w:val="20"/>
                <w:szCs w:val="20"/>
              </w:rPr>
            </w:pPr>
            <w:r w:rsidRPr="001C6468">
              <w:rPr>
                <w:rFonts w:cstheme="minorHAnsi"/>
                <w:sz w:val="20"/>
                <w:szCs w:val="20"/>
              </w:rPr>
              <w:t>Latvijas vai ārvalstu zinātnieks, kas doktora grādu ieguvis ne agrāk kā piecus gadus pirms pētniecības pieteikuma iesniegšanas termiņa</w:t>
            </w:r>
          </w:p>
        </w:tc>
      </w:tr>
      <w:tr w:rsidR="00902C23" w:rsidRPr="00470C60" w14:paraId="6ADFF202" w14:textId="77777777" w:rsidTr="00470C60">
        <w:tc>
          <w:tcPr>
            <w:tcW w:w="2263" w:type="dxa"/>
          </w:tcPr>
          <w:p w14:paraId="25026929" w14:textId="77777777" w:rsidR="00902C23" w:rsidRPr="001C6468" w:rsidRDefault="00902C23" w:rsidP="0024408B">
            <w:pPr>
              <w:jc w:val="both"/>
              <w:rPr>
                <w:rFonts w:cstheme="minorHAnsi"/>
                <w:sz w:val="20"/>
                <w:szCs w:val="20"/>
              </w:rPr>
            </w:pPr>
            <w:r w:rsidRPr="001C6468">
              <w:rPr>
                <w:rFonts w:cstheme="minorHAnsi"/>
                <w:sz w:val="20"/>
                <w:szCs w:val="20"/>
              </w:rPr>
              <w:t>Pēcdoktorantūras pētniecības programma</w:t>
            </w:r>
          </w:p>
        </w:tc>
        <w:tc>
          <w:tcPr>
            <w:tcW w:w="6753" w:type="dxa"/>
          </w:tcPr>
          <w:p w14:paraId="6889005E" w14:textId="77777777" w:rsidR="00902C23" w:rsidRPr="001C6468" w:rsidRDefault="00902C23" w:rsidP="0024408B">
            <w:pPr>
              <w:jc w:val="both"/>
              <w:rPr>
                <w:rFonts w:cstheme="minorHAnsi"/>
                <w:sz w:val="20"/>
                <w:szCs w:val="20"/>
              </w:rPr>
            </w:pPr>
            <w:r w:rsidRPr="001C6468">
              <w:rPr>
                <w:rFonts w:cstheme="minorHAnsi"/>
                <w:sz w:val="20"/>
                <w:szCs w:val="20"/>
              </w:rPr>
              <w:t xml:space="preserve">Darbības programmas "Izaugsme un nodarbinātība" 1.1.1. specifiskā atbalsta mērķa "Palielināt Latvijas zinātnisko institūciju pētniecisko un inovatīvo kapacitāti un spēju piesaistīt ārējo finansējumu, ieguldot cilvēkresursos un infrastruktūrā" 1.1.1.2. pasākums "Pēcdoktorantūras pētniecības atbalsts" </w:t>
            </w:r>
          </w:p>
        </w:tc>
      </w:tr>
      <w:tr w:rsidR="00902C23" w:rsidRPr="00470C60" w14:paraId="62A0E8E3" w14:textId="77777777" w:rsidTr="00470C60">
        <w:tc>
          <w:tcPr>
            <w:tcW w:w="2263" w:type="dxa"/>
          </w:tcPr>
          <w:p w14:paraId="2C542B17" w14:textId="77777777" w:rsidR="00902C23" w:rsidRPr="001C6468" w:rsidRDefault="00902C23" w:rsidP="0024408B">
            <w:pPr>
              <w:jc w:val="both"/>
              <w:rPr>
                <w:rFonts w:cstheme="minorHAnsi"/>
                <w:sz w:val="20"/>
                <w:szCs w:val="20"/>
              </w:rPr>
            </w:pPr>
            <w:r w:rsidRPr="001C6468">
              <w:rPr>
                <w:rFonts w:cstheme="minorHAnsi"/>
                <w:sz w:val="20"/>
                <w:szCs w:val="20"/>
              </w:rPr>
              <w:t>Pētniecības pieteikuma iesniedzējs</w:t>
            </w:r>
          </w:p>
        </w:tc>
        <w:tc>
          <w:tcPr>
            <w:tcW w:w="6753" w:type="dxa"/>
          </w:tcPr>
          <w:p w14:paraId="3405EEA4" w14:textId="77777777" w:rsidR="00902C23" w:rsidRPr="001C6468" w:rsidRDefault="00902C23" w:rsidP="0024408B">
            <w:pPr>
              <w:jc w:val="both"/>
              <w:rPr>
                <w:rFonts w:cstheme="minorHAnsi"/>
                <w:sz w:val="20"/>
                <w:szCs w:val="20"/>
              </w:rPr>
            </w:pPr>
            <w:r w:rsidRPr="001C6468">
              <w:rPr>
                <w:rFonts w:cstheme="minorHAnsi"/>
                <w:sz w:val="20"/>
                <w:szCs w:val="20"/>
              </w:rPr>
              <w:t>Zinātniskā institūcija vai komersants</w:t>
            </w:r>
          </w:p>
        </w:tc>
      </w:tr>
      <w:tr w:rsidR="00902C23" w:rsidRPr="00470C60" w14:paraId="5AF1237E" w14:textId="77777777" w:rsidTr="00470C60">
        <w:tc>
          <w:tcPr>
            <w:tcW w:w="2263" w:type="dxa"/>
          </w:tcPr>
          <w:p w14:paraId="5213281A" w14:textId="77777777" w:rsidR="00902C23" w:rsidRPr="001C6468" w:rsidRDefault="00902C23" w:rsidP="0024408B">
            <w:pPr>
              <w:jc w:val="both"/>
              <w:rPr>
                <w:rFonts w:cstheme="minorHAnsi"/>
                <w:sz w:val="20"/>
                <w:szCs w:val="20"/>
              </w:rPr>
            </w:pPr>
            <w:r w:rsidRPr="001C6468">
              <w:rPr>
                <w:rFonts w:cstheme="minorHAnsi"/>
                <w:sz w:val="20"/>
                <w:szCs w:val="20"/>
              </w:rPr>
              <w:t>Pētniecības pieteikums</w:t>
            </w:r>
          </w:p>
        </w:tc>
        <w:tc>
          <w:tcPr>
            <w:tcW w:w="6753" w:type="dxa"/>
          </w:tcPr>
          <w:p w14:paraId="43F64CE7" w14:textId="77777777" w:rsidR="00902C23" w:rsidRPr="001C6468" w:rsidRDefault="00902C23" w:rsidP="0024408B">
            <w:pPr>
              <w:jc w:val="both"/>
              <w:rPr>
                <w:rFonts w:cstheme="minorHAnsi"/>
                <w:sz w:val="20"/>
                <w:szCs w:val="20"/>
              </w:rPr>
            </w:pPr>
            <w:r w:rsidRPr="001C6468">
              <w:rPr>
                <w:rFonts w:cstheme="minorHAnsi"/>
                <w:sz w:val="20"/>
                <w:szCs w:val="20"/>
              </w:rPr>
              <w:t>Individuāla atbalsta pētniecības, apmācības un tīklošanās projekts, ko iesniedz un, nodarbinot pēcdoktorantu, īsteno zinātniskā institūcija vai komersants</w:t>
            </w:r>
          </w:p>
        </w:tc>
      </w:tr>
      <w:tr w:rsidR="00902C23" w:rsidRPr="00470C60" w14:paraId="09D1F90C" w14:textId="77777777" w:rsidTr="00470C60">
        <w:tc>
          <w:tcPr>
            <w:tcW w:w="2263" w:type="dxa"/>
          </w:tcPr>
          <w:p w14:paraId="6FEB6FFD" w14:textId="77777777" w:rsidR="00902C23" w:rsidRPr="001C6468" w:rsidRDefault="00902C23" w:rsidP="0024408B">
            <w:pPr>
              <w:jc w:val="both"/>
              <w:rPr>
                <w:rFonts w:cstheme="minorHAnsi"/>
                <w:sz w:val="20"/>
                <w:szCs w:val="20"/>
              </w:rPr>
            </w:pPr>
            <w:r w:rsidRPr="001C6468">
              <w:rPr>
                <w:rFonts w:cstheme="minorHAnsi"/>
                <w:sz w:val="20"/>
                <w:szCs w:val="20"/>
              </w:rPr>
              <w:t>PLE</w:t>
            </w:r>
          </w:p>
        </w:tc>
        <w:tc>
          <w:tcPr>
            <w:tcW w:w="6753" w:type="dxa"/>
          </w:tcPr>
          <w:p w14:paraId="3634273C" w14:textId="77777777" w:rsidR="00902C23" w:rsidRPr="001C6468" w:rsidRDefault="00902C23" w:rsidP="0024408B">
            <w:pPr>
              <w:jc w:val="both"/>
              <w:rPr>
                <w:rFonts w:cstheme="minorHAnsi"/>
                <w:sz w:val="20"/>
                <w:szCs w:val="20"/>
              </w:rPr>
            </w:pPr>
            <w:r w:rsidRPr="001C6468">
              <w:rPr>
                <w:rFonts w:cstheme="minorHAnsi"/>
                <w:sz w:val="20"/>
                <w:szCs w:val="20"/>
              </w:rPr>
              <w:t>Pilna laika ekvivalents</w:t>
            </w:r>
          </w:p>
        </w:tc>
      </w:tr>
      <w:tr w:rsidR="00902C23" w:rsidRPr="00470C60" w14:paraId="438786D4" w14:textId="77777777" w:rsidTr="00470C60">
        <w:tc>
          <w:tcPr>
            <w:tcW w:w="2263" w:type="dxa"/>
          </w:tcPr>
          <w:p w14:paraId="574C0970" w14:textId="77777777" w:rsidR="00902C23" w:rsidRPr="001C6468" w:rsidRDefault="00902C23" w:rsidP="0024408B">
            <w:pPr>
              <w:jc w:val="both"/>
              <w:rPr>
                <w:rFonts w:cstheme="minorHAnsi"/>
                <w:sz w:val="20"/>
                <w:szCs w:val="20"/>
              </w:rPr>
            </w:pPr>
            <w:proofErr w:type="spellStart"/>
            <w:r w:rsidRPr="001C6468">
              <w:rPr>
                <w:rFonts w:cstheme="minorHAnsi"/>
                <w:i/>
                <w:sz w:val="20"/>
                <w:szCs w:val="20"/>
              </w:rPr>
              <w:t>PostDoc</w:t>
            </w:r>
            <w:proofErr w:type="spellEnd"/>
            <w:r w:rsidRPr="001C6468">
              <w:rPr>
                <w:rFonts w:cstheme="minorHAnsi"/>
                <w:sz w:val="20"/>
                <w:szCs w:val="20"/>
              </w:rPr>
              <w:t xml:space="preserve"> IT sistēma</w:t>
            </w:r>
          </w:p>
        </w:tc>
        <w:tc>
          <w:tcPr>
            <w:tcW w:w="6753" w:type="dxa"/>
          </w:tcPr>
          <w:p w14:paraId="1B1303DA" w14:textId="77777777" w:rsidR="00902C23" w:rsidRPr="001C6468" w:rsidRDefault="00902C23" w:rsidP="0024408B">
            <w:pPr>
              <w:jc w:val="both"/>
              <w:rPr>
                <w:rFonts w:cstheme="minorHAnsi"/>
                <w:sz w:val="20"/>
                <w:szCs w:val="20"/>
              </w:rPr>
            </w:pPr>
            <w:r w:rsidRPr="001C6468">
              <w:rPr>
                <w:rFonts w:cstheme="minorHAnsi"/>
                <w:sz w:val="20"/>
                <w:szCs w:val="20"/>
              </w:rPr>
              <w:t>Valsts izglītības attīstības aģentūras izveidotā pēcdoktorantūras pētniecības pieteikumu informācijas sistēma</w:t>
            </w:r>
          </w:p>
        </w:tc>
      </w:tr>
      <w:tr w:rsidR="00902C23" w:rsidRPr="00470C60" w14:paraId="7BC8A664" w14:textId="77777777" w:rsidTr="00470C60">
        <w:tc>
          <w:tcPr>
            <w:tcW w:w="2263" w:type="dxa"/>
          </w:tcPr>
          <w:p w14:paraId="414C5B8A" w14:textId="77777777" w:rsidR="00902C23" w:rsidRPr="001C6468" w:rsidRDefault="00902C23" w:rsidP="0024408B">
            <w:pPr>
              <w:jc w:val="both"/>
              <w:rPr>
                <w:rFonts w:cstheme="minorHAnsi"/>
                <w:i/>
                <w:sz w:val="20"/>
                <w:szCs w:val="20"/>
              </w:rPr>
            </w:pPr>
            <w:r w:rsidRPr="001C6468">
              <w:rPr>
                <w:rFonts w:cstheme="minorHAnsi"/>
                <w:sz w:val="20"/>
                <w:szCs w:val="20"/>
              </w:rPr>
              <w:t>RIS3</w:t>
            </w:r>
          </w:p>
        </w:tc>
        <w:tc>
          <w:tcPr>
            <w:tcW w:w="6753" w:type="dxa"/>
          </w:tcPr>
          <w:p w14:paraId="2960A5E2" w14:textId="77777777" w:rsidR="00902C23" w:rsidRPr="001C6468" w:rsidRDefault="00902C23" w:rsidP="0024408B">
            <w:pPr>
              <w:jc w:val="both"/>
              <w:rPr>
                <w:rFonts w:cstheme="minorHAnsi"/>
                <w:sz w:val="20"/>
                <w:szCs w:val="20"/>
              </w:rPr>
            </w:pPr>
            <w:r w:rsidRPr="001C6468">
              <w:rPr>
                <w:rFonts w:cstheme="minorHAnsi"/>
                <w:sz w:val="20"/>
                <w:szCs w:val="20"/>
              </w:rPr>
              <w:t>Latvijas Viedās specializācijas stratēģija</w:t>
            </w:r>
          </w:p>
        </w:tc>
      </w:tr>
      <w:tr w:rsidR="00902C23" w:rsidRPr="00470C60" w14:paraId="1F95296A" w14:textId="77777777" w:rsidTr="00470C60">
        <w:tc>
          <w:tcPr>
            <w:tcW w:w="2263" w:type="dxa"/>
          </w:tcPr>
          <w:p w14:paraId="5BA43B9E" w14:textId="77777777" w:rsidR="00902C23" w:rsidRPr="001C6468" w:rsidRDefault="00902C23" w:rsidP="0024408B">
            <w:pPr>
              <w:jc w:val="both"/>
              <w:rPr>
                <w:rFonts w:cstheme="minorHAnsi"/>
                <w:sz w:val="20"/>
                <w:szCs w:val="20"/>
              </w:rPr>
            </w:pPr>
            <w:r w:rsidRPr="001C6468">
              <w:rPr>
                <w:rFonts w:cstheme="minorHAnsi"/>
                <w:sz w:val="20"/>
                <w:szCs w:val="20"/>
              </w:rPr>
              <w:t>VIAA</w:t>
            </w:r>
          </w:p>
        </w:tc>
        <w:tc>
          <w:tcPr>
            <w:tcW w:w="6753" w:type="dxa"/>
          </w:tcPr>
          <w:p w14:paraId="46900ED0" w14:textId="77777777" w:rsidR="00902C23" w:rsidRPr="001C6468" w:rsidRDefault="00902C23" w:rsidP="0024408B">
            <w:pPr>
              <w:jc w:val="both"/>
              <w:rPr>
                <w:rFonts w:cstheme="minorHAnsi"/>
                <w:sz w:val="20"/>
                <w:szCs w:val="20"/>
              </w:rPr>
            </w:pPr>
            <w:r w:rsidRPr="001C6468">
              <w:rPr>
                <w:rFonts w:cstheme="minorHAnsi"/>
                <w:sz w:val="20"/>
                <w:szCs w:val="20"/>
              </w:rPr>
              <w:t>Valsts izglītības attīstības aģentūra</w:t>
            </w:r>
          </w:p>
        </w:tc>
      </w:tr>
      <w:tr w:rsidR="00902C23" w:rsidRPr="00470C60" w14:paraId="4422D287" w14:textId="77777777" w:rsidTr="00470C60">
        <w:tc>
          <w:tcPr>
            <w:tcW w:w="2263" w:type="dxa"/>
          </w:tcPr>
          <w:p w14:paraId="386297E8" w14:textId="77777777" w:rsidR="00902C23" w:rsidRPr="00470C60" w:rsidRDefault="00902C23" w:rsidP="0024408B">
            <w:pPr>
              <w:jc w:val="both"/>
              <w:rPr>
                <w:rFonts w:cstheme="minorHAnsi"/>
                <w:sz w:val="20"/>
                <w:szCs w:val="20"/>
              </w:rPr>
            </w:pPr>
            <w:r>
              <w:rPr>
                <w:rFonts w:cstheme="minorHAnsi"/>
                <w:sz w:val="20"/>
                <w:szCs w:val="20"/>
              </w:rPr>
              <w:t>VIAA projekts</w:t>
            </w:r>
          </w:p>
        </w:tc>
        <w:tc>
          <w:tcPr>
            <w:tcW w:w="6753" w:type="dxa"/>
          </w:tcPr>
          <w:p w14:paraId="396A754D" w14:textId="77777777" w:rsidR="00902C23" w:rsidRPr="00470C60" w:rsidRDefault="00902C23" w:rsidP="0024408B">
            <w:pPr>
              <w:jc w:val="both"/>
              <w:rPr>
                <w:rFonts w:cstheme="minorHAnsi"/>
                <w:sz w:val="20"/>
                <w:szCs w:val="20"/>
              </w:rPr>
            </w:pPr>
            <w:r>
              <w:rPr>
                <w:rFonts w:cstheme="minorHAnsi"/>
                <w:sz w:val="20"/>
                <w:szCs w:val="20"/>
              </w:rPr>
              <w:t>Projekts Nr. 1.1.1.2/16/I/001 „Atbalsts pēcdoktorantūras pētniecības īstenošanai”</w:t>
            </w:r>
          </w:p>
        </w:tc>
      </w:tr>
      <w:tr w:rsidR="00902C23" w:rsidRPr="00470C60" w14:paraId="2051C231" w14:textId="77777777" w:rsidTr="00470C60">
        <w:tc>
          <w:tcPr>
            <w:tcW w:w="2263" w:type="dxa"/>
          </w:tcPr>
          <w:p w14:paraId="06F370CB" w14:textId="77777777" w:rsidR="00902C23" w:rsidRPr="00470C60" w:rsidRDefault="00902C23" w:rsidP="0024408B">
            <w:pPr>
              <w:jc w:val="both"/>
              <w:rPr>
                <w:rFonts w:cstheme="minorHAnsi"/>
                <w:sz w:val="20"/>
                <w:szCs w:val="20"/>
              </w:rPr>
            </w:pPr>
            <w:r w:rsidRPr="00470C60">
              <w:rPr>
                <w:rFonts w:cstheme="minorHAnsi"/>
                <w:sz w:val="20"/>
                <w:szCs w:val="20"/>
              </w:rPr>
              <w:t>Zinātniskā institūcija</w:t>
            </w:r>
          </w:p>
        </w:tc>
        <w:tc>
          <w:tcPr>
            <w:tcW w:w="6753" w:type="dxa"/>
          </w:tcPr>
          <w:p w14:paraId="443AD6DD" w14:textId="77777777" w:rsidR="00902C23" w:rsidRPr="00470C60" w:rsidRDefault="00902C23" w:rsidP="0024408B">
            <w:pPr>
              <w:jc w:val="both"/>
              <w:rPr>
                <w:rFonts w:cstheme="minorHAnsi"/>
                <w:sz w:val="20"/>
                <w:szCs w:val="20"/>
              </w:rPr>
            </w:pPr>
            <w:r w:rsidRPr="00470C60">
              <w:rPr>
                <w:rFonts w:cstheme="minorHAnsi"/>
                <w:sz w:val="20"/>
                <w:szCs w:val="20"/>
              </w:rPr>
              <w:t>Latvijas Republikas Zinātnisko institūciju reģistrā reģistrēts zinātniskais institūts (publiska aģentūra, atvasināta publiska persona vai privāto tiesību juridiska persona) vai augstskola</w:t>
            </w:r>
          </w:p>
        </w:tc>
      </w:tr>
      <w:tr w:rsidR="00902C23" w:rsidRPr="00470C60" w14:paraId="7D6D3B04" w14:textId="77777777" w:rsidTr="00470C60">
        <w:tc>
          <w:tcPr>
            <w:tcW w:w="2263" w:type="dxa"/>
          </w:tcPr>
          <w:p w14:paraId="7B938679" w14:textId="77777777" w:rsidR="00902C23" w:rsidRPr="00470C60" w:rsidRDefault="00902C23" w:rsidP="0024408B">
            <w:pPr>
              <w:jc w:val="both"/>
              <w:rPr>
                <w:rFonts w:cstheme="minorHAnsi"/>
                <w:sz w:val="20"/>
                <w:szCs w:val="20"/>
              </w:rPr>
            </w:pPr>
            <w:r>
              <w:rPr>
                <w:rFonts w:cstheme="minorHAnsi"/>
                <w:sz w:val="20"/>
                <w:szCs w:val="20"/>
              </w:rPr>
              <w:t>ZTAI pamatnostādnes</w:t>
            </w:r>
          </w:p>
        </w:tc>
        <w:tc>
          <w:tcPr>
            <w:tcW w:w="6753" w:type="dxa"/>
          </w:tcPr>
          <w:p w14:paraId="659AC465" w14:textId="77777777" w:rsidR="00902C23" w:rsidRPr="00470C60" w:rsidRDefault="00902C23" w:rsidP="0024408B">
            <w:pPr>
              <w:jc w:val="both"/>
              <w:rPr>
                <w:rFonts w:cstheme="minorHAnsi"/>
                <w:sz w:val="20"/>
                <w:szCs w:val="20"/>
              </w:rPr>
            </w:pPr>
            <w:r>
              <w:rPr>
                <w:rFonts w:cstheme="minorHAnsi"/>
                <w:sz w:val="20"/>
                <w:szCs w:val="20"/>
              </w:rPr>
              <w:t>Zinātnes, tehnoloģijas attīstības un inovācijas pamatnostādnes 2014.-2020. gadam</w:t>
            </w:r>
          </w:p>
        </w:tc>
      </w:tr>
    </w:tbl>
    <w:p w14:paraId="627E10F9" w14:textId="77777777" w:rsidR="00A6430D" w:rsidRDefault="00A6430D" w:rsidP="0024408B">
      <w:pPr>
        <w:spacing w:line="240" w:lineRule="auto"/>
        <w:jc w:val="both"/>
        <w:rPr>
          <w:rFonts w:cstheme="minorHAnsi"/>
          <w:sz w:val="24"/>
          <w:szCs w:val="24"/>
        </w:rPr>
      </w:pPr>
    </w:p>
    <w:p w14:paraId="195DF880" w14:textId="77777777" w:rsidR="00F82D60" w:rsidRPr="009A51A9" w:rsidRDefault="00A6430D" w:rsidP="0024408B">
      <w:pPr>
        <w:spacing w:line="240" w:lineRule="auto"/>
        <w:rPr>
          <w:rFonts w:cstheme="minorHAnsi"/>
          <w:sz w:val="24"/>
          <w:szCs w:val="24"/>
        </w:rPr>
      </w:pPr>
      <w:r>
        <w:rPr>
          <w:rFonts w:cstheme="minorHAnsi"/>
          <w:sz w:val="24"/>
          <w:szCs w:val="24"/>
        </w:rPr>
        <w:br w:type="page"/>
      </w:r>
    </w:p>
    <w:p w14:paraId="45130A63" w14:textId="77777777" w:rsidR="00F82D60" w:rsidRPr="00E67CC6" w:rsidRDefault="00F82D60" w:rsidP="0024408B">
      <w:pPr>
        <w:pStyle w:val="Heading1"/>
        <w:numPr>
          <w:ilvl w:val="0"/>
          <w:numId w:val="0"/>
        </w:numPr>
        <w:spacing w:before="120" w:line="240" w:lineRule="auto"/>
        <w:ind w:left="431"/>
        <w:rPr>
          <w:b/>
          <w:color w:val="323E4F" w:themeColor="text2" w:themeShade="BF"/>
          <w:sz w:val="28"/>
          <w:szCs w:val="28"/>
        </w:rPr>
      </w:pPr>
      <w:bookmarkStart w:id="2" w:name="_Toc3218329"/>
      <w:r w:rsidRPr="007C583D">
        <w:rPr>
          <w:b/>
          <w:color w:val="323E4F" w:themeColor="text2" w:themeShade="BF"/>
          <w:sz w:val="28"/>
          <w:szCs w:val="28"/>
        </w:rPr>
        <w:lastRenderedPageBreak/>
        <w:t>IEVADS</w:t>
      </w:r>
      <w:bookmarkEnd w:id="2"/>
    </w:p>
    <w:p w14:paraId="0682412C" w14:textId="77777777" w:rsidR="00BA2331" w:rsidRDefault="00F82D60" w:rsidP="0024408B">
      <w:pPr>
        <w:spacing w:before="120" w:after="120" w:line="240" w:lineRule="auto"/>
        <w:jc w:val="both"/>
        <w:rPr>
          <w:rFonts w:cstheme="minorHAnsi"/>
          <w:sz w:val="24"/>
          <w:szCs w:val="24"/>
        </w:rPr>
      </w:pPr>
      <w:r w:rsidRPr="0090281E">
        <w:rPr>
          <w:rFonts w:cstheme="minorHAnsi"/>
          <w:sz w:val="24"/>
          <w:szCs w:val="24"/>
        </w:rPr>
        <w:t>Informatīvais ziņojums „Pēcdoktorantūras pētniecības programmas vidusposma izvērtējums un priekšlikumi turpmākajiem saturiskiem un procedurāliem uzlabojumiem” (turpmāk – ziņojums) izst</w:t>
      </w:r>
      <w:r w:rsidR="00A10BB3" w:rsidRPr="0090281E">
        <w:rPr>
          <w:rFonts w:cstheme="minorHAnsi"/>
          <w:sz w:val="24"/>
          <w:szCs w:val="24"/>
        </w:rPr>
        <w:t xml:space="preserve">rādāts atbilstoši </w:t>
      </w:r>
      <w:r w:rsidR="006A2727">
        <w:rPr>
          <w:rFonts w:cstheme="minorHAnsi"/>
          <w:sz w:val="24"/>
          <w:szCs w:val="24"/>
        </w:rPr>
        <w:t xml:space="preserve">19.01.2016. </w:t>
      </w:r>
      <w:r w:rsidR="00A10BB3" w:rsidRPr="0090281E">
        <w:rPr>
          <w:rFonts w:cstheme="minorHAnsi"/>
          <w:sz w:val="24"/>
          <w:szCs w:val="24"/>
        </w:rPr>
        <w:t>MK noteikumiem</w:t>
      </w:r>
      <w:r w:rsidRPr="0090281E">
        <w:rPr>
          <w:rFonts w:cstheme="minorHAnsi"/>
          <w:sz w:val="24"/>
          <w:szCs w:val="24"/>
        </w:rPr>
        <w:t xml:space="preserve"> Nr. 50</w:t>
      </w:r>
      <w:r w:rsidRPr="0090281E">
        <w:rPr>
          <w:rStyle w:val="FootnoteReference"/>
          <w:rFonts w:cstheme="minorHAnsi"/>
          <w:sz w:val="24"/>
          <w:szCs w:val="24"/>
        </w:rPr>
        <w:footnoteReference w:id="1"/>
      </w:r>
      <w:r w:rsidR="006B3F9C" w:rsidRPr="0090281E">
        <w:rPr>
          <w:rFonts w:cstheme="minorHAnsi"/>
          <w:sz w:val="24"/>
          <w:szCs w:val="24"/>
        </w:rPr>
        <w:t xml:space="preserve">, kas </w:t>
      </w:r>
      <w:r w:rsidR="00EE5C5C">
        <w:rPr>
          <w:rFonts w:cstheme="minorHAnsi"/>
          <w:sz w:val="24"/>
          <w:szCs w:val="24"/>
        </w:rPr>
        <w:t>nosaka</w:t>
      </w:r>
      <w:r w:rsidR="006B3F9C" w:rsidRPr="0090281E">
        <w:rPr>
          <w:rFonts w:cstheme="minorHAnsi"/>
          <w:sz w:val="24"/>
          <w:szCs w:val="24"/>
        </w:rPr>
        <w:t xml:space="preserve">, ka </w:t>
      </w:r>
      <w:r w:rsidR="00360DF9">
        <w:rPr>
          <w:rFonts w:cstheme="minorHAnsi"/>
          <w:sz w:val="24"/>
          <w:szCs w:val="24"/>
        </w:rPr>
        <w:t>IZM</w:t>
      </w:r>
      <w:r w:rsidRPr="0090281E">
        <w:rPr>
          <w:rFonts w:cstheme="minorHAnsi"/>
          <w:sz w:val="24"/>
          <w:szCs w:val="24"/>
        </w:rPr>
        <w:t xml:space="preserve"> līdz </w:t>
      </w:r>
      <w:r w:rsidR="00360DF9">
        <w:rPr>
          <w:rFonts w:cstheme="minorHAnsi"/>
          <w:sz w:val="24"/>
          <w:szCs w:val="24"/>
        </w:rPr>
        <w:t xml:space="preserve">31.12.2018. </w:t>
      </w:r>
      <w:r w:rsidR="00FB635D">
        <w:rPr>
          <w:rFonts w:cstheme="minorHAnsi"/>
          <w:sz w:val="24"/>
          <w:szCs w:val="24"/>
        </w:rPr>
        <w:t>jā</w:t>
      </w:r>
      <w:r w:rsidR="00360DF9">
        <w:rPr>
          <w:rFonts w:cstheme="minorHAnsi"/>
          <w:sz w:val="24"/>
          <w:szCs w:val="24"/>
        </w:rPr>
        <w:t>veic P</w:t>
      </w:r>
      <w:r w:rsidRPr="0090281E">
        <w:rPr>
          <w:rFonts w:cstheme="minorHAnsi"/>
          <w:sz w:val="24"/>
          <w:szCs w:val="24"/>
        </w:rPr>
        <w:t>ēcdoktorantūras pētniecības programmas ieviešanas nosacījumu un atbalstāmo darbību vidusposma izvērtējumu, tai skaitā izvērtē</w:t>
      </w:r>
      <w:r w:rsidR="00360DF9">
        <w:rPr>
          <w:rFonts w:cstheme="minorHAnsi"/>
          <w:sz w:val="24"/>
          <w:szCs w:val="24"/>
        </w:rPr>
        <w:t>jot</w:t>
      </w:r>
      <w:r w:rsidRPr="0090281E">
        <w:rPr>
          <w:rFonts w:cstheme="minorHAnsi"/>
          <w:sz w:val="24"/>
          <w:szCs w:val="24"/>
        </w:rPr>
        <w:t xml:space="preserve"> atbilstību aktuālākajiem RIS3 uzstādījumiem, un, ja nepieciešams, sagatavo</w:t>
      </w:r>
      <w:r w:rsidR="00360DF9">
        <w:rPr>
          <w:rFonts w:cstheme="minorHAnsi"/>
          <w:sz w:val="24"/>
          <w:szCs w:val="24"/>
        </w:rPr>
        <w:t>jot</w:t>
      </w:r>
      <w:r w:rsidRPr="0090281E">
        <w:rPr>
          <w:rFonts w:cstheme="minorHAnsi"/>
          <w:sz w:val="24"/>
          <w:szCs w:val="24"/>
        </w:rPr>
        <w:t xml:space="preserve"> priekšlikumus grozījumiem programmas ieviešanas nosacījumos un atbalstāmajās darbībās</w:t>
      </w:r>
      <w:r w:rsidR="006B3F9C" w:rsidRPr="0090281E">
        <w:rPr>
          <w:rFonts w:cstheme="minorHAnsi"/>
          <w:sz w:val="24"/>
          <w:szCs w:val="24"/>
        </w:rPr>
        <w:t>.</w:t>
      </w:r>
    </w:p>
    <w:p w14:paraId="4E0AFA38" w14:textId="77777777" w:rsidR="001F15FB" w:rsidRDefault="00360DF9" w:rsidP="0024408B">
      <w:pPr>
        <w:spacing w:after="120" w:line="240" w:lineRule="auto"/>
        <w:jc w:val="both"/>
        <w:rPr>
          <w:rFonts w:cstheme="minorHAnsi"/>
          <w:sz w:val="24"/>
          <w:szCs w:val="24"/>
        </w:rPr>
      </w:pPr>
      <w:r>
        <w:rPr>
          <w:rFonts w:cstheme="minorHAnsi"/>
          <w:sz w:val="24"/>
          <w:szCs w:val="24"/>
        </w:rPr>
        <w:t xml:space="preserve">Pēcdoktorantūras pētniecības programmas ietvaros </w:t>
      </w:r>
      <w:r w:rsidR="006A2727">
        <w:rPr>
          <w:rFonts w:cstheme="minorHAnsi"/>
          <w:sz w:val="24"/>
          <w:szCs w:val="24"/>
        </w:rPr>
        <w:t>plānots</w:t>
      </w:r>
      <w:r>
        <w:rPr>
          <w:rFonts w:cstheme="minorHAnsi"/>
          <w:sz w:val="24"/>
          <w:szCs w:val="24"/>
        </w:rPr>
        <w:t xml:space="preserve"> attīstīt</w:t>
      </w:r>
      <w:r w:rsidR="006A2727">
        <w:rPr>
          <w:rFonts w:cstheme="minorHAnsi"/>
          <w:sz w:val="24"/>
          <w:szCs w:val="24"/>
        </w:rPr>
        <w:t xml:space="preserve"> indikatīvi 455</w:t>
      </w:r>
      <w:r>
        <w:rPr>
          <w:rFonts w:cstheme="minorHAnsi"/>
          <w:sz w:val="24"/>
          <w:szCs w:val="24"/>
        </w:rPr>
        <w:t xml:space="preserve"> jauno zinātnieku </w:t>
      </w:r>
      <w:r w:rsidR="006A2727">
        <w:rPr>
          <w:rFonts w:cstheme="minorHAnsi"/>
          <w:sz w:val="24"/>
          <w:szCs w:val="24"/>
        </w:rPr>
        <w:t xml:space="preserve">– pēcdoktorantu – </w:t>
      </w:r>
      <w:r w:rsidRPr="00360DF9">
        <w:rPr>
          <w:rFonts w:cstheme="minorHAnsi"/>
          <w:sz w:val="24"/>
          <w:szCs w:val="24"/>
        </w:rPr>
        <w:t xml:space="preserve">prasmes un zinātnisko kapacitāti, nodrošinot </w:t>
      </w:r>
      <w:r w:rsidR="00B7374F">
        <w:rPr>
          <w:sz w:val="24"/>
          <w:szCs w:val="24"/>
        </w:rPr>
        <w:t>jaunu</w:t>
      </w:r>
      <w:r w:rsidR="00D5353F">
        <w:rPr>
          <w:sz w:val="24"/>
          <w:szCs w:val="24"/>
        </w:rPr>
        <w:t xml:space="preserve"> zinātnisko grupu līderu attīstību,</w:t>
      </w:r>
      <w:r w:rsidR="00D5353F" w:rsidRPr="00360DF9">
        <w:rPr>
          <w:rFonts w:cstheme="minorHAnsi"/>
          <w:sz w:val="24"/>
          <w:szCs w:val="24"/>
        </w:rPr>
        <w:t xml:space="preserve"> </w:t>
      </w:r>
      <w:r w:rsidRPr="00360DF9">
        <w:rPr>
          <w:rFonts w:cstheme="minorHAnsi"/>
          <w:sz w:val="24"/>
          <w:szCs w:val="24"/>
        </w:rPr>
        <w:t>karjeras uzsākšanas iespējas zinātniskajās institūcijās un pie komersantiem, kā arī</w:t>
      </w:r>
      <w:r w:rsidR="00534BF8">
        <w:rPr>
          <w:rFonts w:cstheme="minorHAnsi"/>
          <w:sz w:val="24"/>
          <w:szCs w:val="24"/>
        </w:rPr>
        <w:t xml:space="preserve"> veicināt</w:t>
      </w:r>
      <w:r w:rsidRPr="00360DF9">
        <w:rPr>
          <w:rFonts w:cstheme="minorHAnsi"/>
          <w:sz w:val="24"/>
          <w:szCs w:val="24"/>
        </w:rPr>
        <w:t xml:space="preserve"> pētniecības kompetenču pilnveidošanu, cilvēkresursu atjaunotni un kvalificētu speciālistu skaita pieaugumu</w:t>
      </w:r>
      <w:r w:rsidR="006A2727">
        <w:rPr>
          <w:rFonts w:cstheme="minorHAnsi"/>
          <w:sz w:val="24"/>
          <w:szCs w:val="24"/>
        </w:rPr>
        <w:t xml:space="preserve">. </w:t>
      </w:r>
    </w:p>
    <w:p w14:paraId="162E09E4" w14:textId="77777777" w:rsidR="00FF59A8" w:rsidRDefault="007312E9" w:rsidP="0024408B">
      <w:pPr>
        <w:spacing w:before="120" w:after="120" w:line="240" w:lineRule="auto"/>
        <w:jc w:val="both"/>
        <w:rPr>
          <w:sz w:val="24"/>
          <w:szCs w:val="24"/>
        </w:rPr>
      </w:pPr>
      <w:r>
        <w:rPr>
          <w:sz w:val="24"/>
          <w:szCs w:val="24"/>
        </w:rPr>
        <w:t xml:space="preserve">Pēcdoktorantūras pētniecības programmas ieviešanas nosacījumu izstrādes </w:t>
      </w:r>
      <w:r w:rsidRPr="00DE68BA">
        <w:rPr>
          <w:sz w:val="24"/>
          <w:szCs w:val="24"/>
        </w:rPr>
        <w:t>laikā VIAA tika noteikta kā 1.1.1.2. pasākuma projekta iesniedzēja – finansējuma saņēmēja –, ņemo</w:t>
      </w:r>
      <w:r w:rsidR="002359A0">
        <w:rPr>
          <w:sz w:val="24"/>
          <w:szCs w:val="24"/>
        </w:rPr>
        <w:t>t</w:t>
      </w:r>
      <w:r>
        <w:rPr>
          <w:sz w:val="24"/>
          <w:szCs w:val="24"/>
        </w:rPr>
        <w:t xml:space="preserve"> vērā tās līdzšinējo pieredzi ES struktūrfondu pētniecības projek</w:t>
      </w:r>
      <w:r w:rsidR="00534BF8">
        <w:rPr>
          <w:sz w:val="24"/>
          <w:szCs w:val="24"/>
        </w:rPr>
        <w:t xml:space="preserve">tu administrēšanā un uzraudzībā. VIAA 24.08.2016. noslēdza līgumu ar CFLA par projekta Nr. 1.1.1.2/16/I/001 „Atbalsts pēcdoktorantūras pētniecības īstenošanai” īstenošanu. </w:t>
      </w:r>
      <w:r w:rsidR="004175C5">
        <w:rPr>
          <w:sz w:val="24"/>
          <w:szCs w:val="24"/>
        </w:rPr>
        <w:t>L</w:t>
      </w:r>
      <w:r w:rsidR="00534BF8">
        <w:rPr>
          <w:sz w:val="24"/>
          <w:szCs w:val="24"/>
        </w:rPr>
        <w:t>ai nodrošinātu</w:t>
      </w:r>
      <w:r>
        <w:rPr>
          <w:sz w:val="24"/>
          <w:szCs w:val="24"/>
        </w:rPr>
        <w:t xml:space="preserve"> elastīgāku Pēcdoktorantūras pētniecības programmas īstenošanu, </w:t>
      </w:r>
      <w:r w:rsidR="004175C5">
        <w:rPr>
          <w:sz w:val="24"/>
          <w:szCs w:val="24"/>
        </w:rPr>
        <w:t>VIAA projekta ietvaros</w:t>
      </w:r>
      <w:r w:rsidR="00534BF8">
        <w:rPr>
          <w:sz w:val="24"/>
          <w:szCs w:val="24"/>
        </w:rPr>
        <w:t xml:space="preserve"> veic </w:t>
      </w:r>
      <w:r>
        <w:rPr>
          <w:sz w:val="24"/>
          <w:szCs w:val="24"/>
        </w:rPr>
        <w:t>ikgadēju pētniecības pieteikumu atlases konkursu nosacījumu aktualizāciju, padziļinātāku konsultatīvo un metodisko</w:t>
      </w:r>
      <w:r w:rsidRPr="00316909">
        <w:rPr>
          <w:sz w:val="24"/>
          <w:szCs w:val="24"/>
        </w:rPr>
        <w:t xml:space="preserve"> atba</w:t>
      </w:r>
      <w:r>
        <w:rPr>
          <w:sz w:val="24"/>
          <w:szCs w:val="24"/>
        </w:rPr>
        <w:t>lstu</w:t>
      </w:r>
      <w:r w:rsidRPr="00316909">
        <w:rPr>
          <w:sz w:val="24"/>
          <w:szCs w:val="24"/>
        </w:rPr>
        <w:t xml:space="preserve"> </w:t>
      </w:r>
      <w:r>
        <w:rPr>
          <w:sz w:val="24"/>
          <w:szCs w:val="24"/>
        </w:rPr>
        <w:t xml:space="preserve">pēcdoktorantiem, zinātniskajām institūcijām un komersantiem </w:t>
      </w:r>
      <w:r w:rsidRPr="00316909">
        <w:rPr>
          <w:sz w:val="24"/>
          <w:szCs w:val="24"/>
        </w:rPr>
        <w:t>pētniecības pieteikumu</w:t>
      </w:r>
      <w:r>
        <w:rPr>
          <w:sz w:val="24"/>
          <w:szCs w:val="24"/>
        </w:rPr>
        <w:t xml:space="preserve"> izstrādē un ieviešanā, kā arī </w:t>
      </w:r>
      <w:r w:rsidR="00534BF8">
        <w:rPr>
          <w:sz w:val="24"/>
          <w:szCs w:val="24"/>
        </w:rPr>
        <w:t>īsteno darbības, lai veicinātu</w:t>
      </w:r>
      <w:r>
        <w:rPr>
          <w:sz w:val="24"/>
          <w:szCs w:val="24"/>
        </w:rPr>
        <w:t xml:space="preserve"> papildu</w:t>
      </w:r>
      <w:r w:rsidRPr="0079217E">
        <w:rPr>
          <w:sz w:val="24"/>
          <w:szCs w:val="24"/>
        </w:rPr>
        <w:t xml:space="preserve"> finansējuma piesaisti pēcdoktorantu mobilitātei un karjeras attīstībai</w:t>
      </w:r>
      <w:r>
        <w:rPr>
          <w:sz w:val="24"/>
          <w:szCs w:val="24"/>
        </w:rPr>
        <w:t xml:space="preserve">. </w:t>
      </w:r>
    </w:p>
    <w:p w14:paraId="7F3E379B" w14:textId="77777777" w:rsidR="007312E9" w:rsidRPr="007312E9" w:rsidRDefault="00534BF8" w:rsidP="0024408B">
      <w:pPr>
        <w:spacing w:before="120" w:after="120" w:line="240" w:lineRule="auto"/>
        <w:jc w:val="both"/>
        <w:rPr>
          <w:sz w:val="24"/>
          <w:szCs w:val="24"/>
        </w:rPr>
      </w:pPr>
      <w:r>
        <w:rPr>
          <w:sz w:val="24"/>
          <w:szCs w:val="24"/>
        </w:rPr>
        <w:t>Pēcdoktorantūras pētniecības programmas</w:t>
      </w:r>
      <w:r w:rsidR="007312E9">
        <w:rPr>
          <w:sz w:val="24"/>
          <w:szCs w:val="24"/>
        </w:rPr>
        <w:t xml:space="preserve"> kopējais attiecināmais finansējums </w:t>
      </w:r>
      <w:r w:rsidR="00EB020F">
        <w:rPr>
          <w:sz w:val="24"/>
          <w:szCs w:val="24"/>
        </w:rPr>
        <w:t xml:space="preserve">ir </w:t>
      </w:r>
      <w:r w:rsidR="007312E9">
        <w:rPr>
          <w:sz w:val="24"/>
          <w:szCs w:val="24"/>
        </w:rPr>
        <w:t>64</w:t>
      </w:r>
      <w:r w:rsidR="00E67CC6">
        <w:rPr>
          <w:sz w:val="24"/>
          <w:szCs w:val="24"/>
        </w:rPr>
        <w:t xml:space="preserve"> </w:t>
      </w:r>
      <w:r w:rsidR="007312E9">
        <w:rPr>
          <w:sz w:val="24"/>
          <w:szCs w:val="24"/>
        </w:rPr>
        <w:t>milj.</w:t>
      </w:r>
      <w:r w:rsidR="007312E9" w:rsidRPr="00C30290">
        <w:rPr>
          <w:sz w:val="24"/>
          <w:szCs w:val="24"/>
        </w:rPr>
        <w:t> </w:t>
      </w:r>
      <w:r w:rsidR="007312E9" w:rsidRPr="00C30290">
        <w:rPr>
          <w:i/>
          <w:sz w:val="24"/>
          <w:szCs w:val="24"/>
        </w:rPr>
        <w:t>euro</w:t>
      </w:r>
      <w:r w:rsidR="007312E9" w:rsidRPr="00C30290">
        <w:rPr>
          <w:sz w:val="24"/>
          <w:szCs w:val="24"/>
        </w:rPr>
        <w:t xml:space="preserve">, </w:t>
      </w:r>
      <w:r w:rsidR="00EB020F">
        <w:rPr>
          <w:sz w:val="24"/>
          <w:szCs w:val="24"/>
        </w:rPr>
        <w:t>ko veido</w:t>
      </w:r>
      <w:r w:rsidR="007312E9" w:rsidRPr="00C30290">
        <w:rPr>
          <w:sz w:val="24"/>
          <w:szCs w:val="24"/>
        </w:rPr>
        <w:t xml:space="preserve"> </w:t>
      </w:r>
      <w:r w:rsidR="00FD1DDE">
        <w:rPr>
          <w:sz w:val="24"/>
          <w:szCs w:val="24"/>
        </w:rPr>
        <w:t xml:space="preserve">ERAF finansējums </w:t>
      </w:r>
      <w:r w:rsidR="007312E9">
        <w:rPr>
          <w:sz w:val="24"/>
          <w:szCs w:val="24"/>
        </w:rPr>
        <w:t>54,</w:t>
      </w:r>
      <w:r w:rsidR="007312E9" w:rsidRPr="00C30290">
        <w:rPr>
          <w:sz w:val="24"/>
          <w:szCs w:val="24"/>
        </w:rPr>
        <w:t>4</w:t>
      </w:r>
      <w:r w:rsidR="007312E9">
        <w:rPr>
          <w:sz w:val="24"/>
          <w:szCs w:val="24"/>
        </w:rPr>
        <w:t xml:space="preserve"> milj.</w:t>
      </w:r>
      <w:r w:rsidR="007312E9" w:rsidRPr="00C30290">
        <w:rPr>
          <w:sz w:val="24"/>
          <w:szCs w:val="24"/>
        </w:rPr>
        <w:t> </w:t>
      </w:r>
      <w:r w:rsidR="007312E9" w:rsidRPr="00C30290">
        <w:rPr>
          <w:i/>
          <w:sz w:val="24"/>
          <w:szCs w:val="24"/>
        </w:rPr>
        <w:t>euro</w:t>
      </w:r>
      <w:r w:rsidR="007312E9" w:rsidRPr="00C30290">
        <w:rPr>
          <w:sz w:val="24"/>
          <w:szCs w:val="24"/>
        </w:rPr>
        <w:t>, val</w:t>
      </w:r>
      <w:r w:rsidR="00FD1DDE">
        <w:rPr>
          <w:sz w:val="24"/>
          <w:szCs w:val="24"/>
        </w:rPr>
        <w:t xml:space="preserve">sts budžeta līdzfinansējums </w:t>
      </w:r>
      <w:r w:rsidR="007312E9">
        <w:rPr>
          <w:sz w:val="24"/>
          <w:szCs w:val="24"/>
        </w:rPr>
        <w:t>6,</w:t>
      </w:r>
      <w:r w:rsidR="007312E9" w:rsidRPr="00C30290">
        <w:rPr>
          <w:sz w:val="24"/>
          <w:szCs w:val="24"/>
        </w:rPr>
        <w:t>4</w:t>
      </w:r>
      <w:r w:rsidR="007312E9">
        <w:rPr>
          <w:sz w:val="24"/>
          <w:szCs w:val="24"/>
        </w:rPr>
        <w:t xml:space="preserve"> milj.</w:t>
      </w:r>
      <w:r w:rsidR="007312E9" w:rsidRPr="00C30290">
        <w:rPr>
          <w:sz w:val="24"/>
          <w:szCs w:val="24"/>
        </w:rPr>
        <w:t> </w:t>
      </w:r>
      <w:r w:rsidR="007312E9" w:rsidRPr="00C30290">
        <w:rPr>
          <w:i/>
          <w:sz w:val="24"/>
          <w:szCs w:val="24"/>
        </w:rPr>
        <w:t>euro</w:t>
      </w:r>
      <w:r w:rsidR="007312E9" w:rsidRPr="00C30290">
        <w:rPr>
          <w:sz w:val="24"/>
          <w:szCs w:val="24"/>
        </w:rPr>
        <w:t> u</w:t>
      </w:r>
      <w:r w:rsidR="00FD1DDE">
        <w:rPr>
          <w:sz w:val="24"/>
          <w:szCs w:val="24"/>
        </w:rPr>
        <w:t xml:space="preserve">n privātais līdzfinansējums </w:t>
      </w:r>
      <w:r w:rsidR="007312E9">
        <w:rPr>
          <w:sz w:val="24"/>
          <w:szCs w:val="24"/>
        </w:rPr>
        <w:t>3,</w:t>
      </w:r>
      <w:r w:rsidR="007312E9" w:rsidRPr="00C30290">
        <w:rPr>
          <w:sz w:val="24"/>
          <w:szCs w:val="24"/>
        </w:rPr>
        <w:t>2</w:t>
      </w:r>
      <w:r w:rsidR="007312E9">
        <w:rPr>
          <w:sz w:val="24"/>
          <w:szCs w:val="24"/>
        </w:rPr>
        <w:t xml:space="preserve"> milj.</w:t>
      </w:r>
      <w:r w:rsidR="007312E9" w:rsidRPr="00C30290">
        <w:rPr>
          <w:sz w:val="24"/>
          <w:szCs w:val="24"/>
        </w:rPr>
        <w:t> </w:t>
      </w:r>
      <w:r w:rsidR="007312E9" w:rsidRPr="00C30290">
        <w:rPr>
          <w:i/>
          <w:sz w:val="24"/>
          <w:szCs w:val="24"/>
        </w:rPr>
        <w:t>euro</w:t>
      </w:r>
      <w:r w:rsidR="007312E9" w:rsidRPr="00C30290">
        <w:rPr>
          <w:sz w:val="24"/>
          <w:szCs w:val="24"/>
        </w:rPr>
        <w:t>.</w:t>
      </w:r>
      <w:r>
        <w:rPr>
          <w:sz w:val="24"/>
          <w:szCs w:val="24"/>
        </w:rPr>
        <w:t xml:space="preserve"> Savukārt </w:t>
      </w:r>
      <w:r w:rsidR="007312E9">
        <w:rPr>
          <w:sz w:val="24"/>
          <w:szCs w:val="24"/>
        </w:rPr>
        <w:t xml:space="preserve">VIAA </w:t>
      </w:r>
      <w:r w:rsidR="007312E9" w:rsidRPr="0079217E">
        <w:rPr>
          <w:sz w:val="24"/>
          <w:szCs w:val="24"/>
        </w:rPr>
        <w:t>p</w:t>
      </w:r>
      <w:r w:rsidR="007312E9">
        <w:rPr>
          <w:sz w:val="24"/>
          <w:szCs w:val="24"/>
        </w:rPr>
        <w:t>rojekta ietvaros plānoto darbību īstenošanai kopējais a</w:t>
      </w:r>
      <w:r w:rsidR="00E67CC6">
        <w:rPr>
          <w:sz w:val="24"/>
          <w:szCs w:val="24"/>
        </w:rPr>
        <w:t>ttiecināmais finansējums ir 3,1</w:t>
      </w:r>
      <w:r w:rsidR="007312E9">
        <w:rPr>
          <w:sz w:val="24"/>
          <w:szCs w:val="24"/>
        </w:rPr>
        <w:t xml:space="preserve"> milj. </w:t>
      </w:r>
      <w:r w:rsidR="007312E9" w:rsidRPr="00316909">
        <w:rPr>
          <w:i/>
          <w:sz w:val="24"/>
          <w:szCs w:val="24"/>
        </w:rPr>
        <w:t>euro</w:t>
      </w:r>
      <w:r w:rsidR="007312E9">
        <w:rPr>
          <w:sz w:val="24"/>
          <w:szCs w:val="24"/>
        </w:rPr>
        <w:t xml:space="preserve">, </w:t>
      </w:r>
      <w:r w:rsidR="00FD1DDE">
        <w:rPr>
          <w:sz w:val="24"/>
          <w:szCs w:val="24"/>
        </w:rPr>
        <w:t>ko veido</w:t>
      </w:r>
      <w:r w:rsidR="007312E9">
        <w:rPr>
          <w:sz w:val="24"/>
          <w:szCs w:val="24"/>
        </w:rPr>
        <w:t xml:space="preserve"> ERAF finansējums 2,6 milj. </w:t>
      </w:r>
      <w:r w:rsidR="007312E9" w:rsidRPr="00683581">
        <w:rPr>
          <w:i/>
          <w:sz w:val="24"/>
          <w:szCs w:val="24"/>
        </w:rPr>
        <w:t>euro</w:t>
      </w:r>
      <w:r w:rsidR="007312E9">
        <w:rPr>
          <w:sz w:val="24"/>
          <w:szCs w:val="24"/>
        </w:rPr>
        <w:t xml:space="preserve"> un valsts budžeta līdzfinansējums 0,46 milj. </w:t>
      </w:r>
      <w:r w:rsidR="007312E9" w:rsidRPr="00683581">
        <w:rPr>
          <w:i/>
          <w:sz w:val="24"/>
          <w:szCs w:val="24"/>
        </w:rPr>
        <w:t>euro</w:t>
      </w:r>
      <w:r w:rsidR="007312E9">
        <w:rPr>
          <w:sz w:val="24"/>
          <w:szCs w:val="24"/>
        </w:rPr>
        <w:t>.</w:t>
      </w:r>
    </w:p>
    <w:p w14:paraId="10E835F7" w14:textId="77777777" w:rsidR="003B7648" w:rsidRDefault="009D3AD6" w:rsidP="0024408B">
      <w:pPr>
        <w:spacing w:before="120" w:after="120" w:line="240" w:lineRule="auto"/>
        <w:jc w:val="both"/>
        <w:rPr>
          <w:sz w:val="24"/>
          <w:szCs w:val="24"/>
        </w:rPr>
      </w:pPr>
      <w:r>
        <w:rPr>
          <w:sz w:val="24"/>
          <w:szCs w:val="24"/>
        </w:rPr>
        <w:t>A</w:t>
      </w:r>
      <w:r w:rsidR="007C488A">
        <w:rPr>
          <w:sz w:val="24"/>
          <w:szCs w:val="24"/>
        </w:rPr>
        <w:t xml:space="preserve">tklāta konkursa ietvaros </w:t>
      </w:r>
      <w:r w:rsidR="003B7648">
        <w:rPr>
          <w:sz w:val="24"/>
          <w:szCs w:val="24"/>
        </w:rPr>
        <w:t>p</w:t>
      </w:r>
      <w:r w:rsidR="003B7648" w:rsidRPr="00963F94">
        <w:rPr>
          <w:sz w:val="24"/>
          <w:szCs w:val="24"/>
        </w:rPr>
        <w:t>ētniecības pieteikumus</w:t>
      </w:r>
      <w:r w:rsidR="003B7648">
        <w:rPr>
          <w:sz w:val="24"/>
          <w:szCs w:val="24"/>
        </w:rPr>
        <w:t xml:space="preserve"> var</w:t>
      </w:r>
      <w:r w:rsidR="003B7648" w:rsidRPr="00963F94">
        <w:rPr>
          <w:sz w:val="24"/>
          <w:szCs w:val="24"/>
        </w:rPr>
        <w:t xml:space="preserve"> iesniegt </w:t>
      </w:r>
      <w:r w:rsidR="003B7648">
        <w:rPr>
          <w:sz w:val="24"/>
          <w:szCs w:val="24"/>
        </w:rPr>
        <w:t>jebkurā zinātņu jomā strādājoša</w:t>
      </w:r>
      <w:r w:rsidR="003B7648" w:rsidRPr="00963F94">
        <w:rPr>
          <w:sz w:val="24"/>
          <w:szCs w:val="24"/>
        </w:rPr>
        <w:t xml:space="preserve"> </w:t>
      </w:r>
      <w:r w:rsidR="003B7648">
        <w:rPr>
          <w:sz w:val="24"/>
          <w:szCs w:val="24"/>
        </w:rPr>
        <w:t>zinātniskā institūcija</w:t>
      </w:r>
      <w:r w:rsidR="003B7648" w:rsidRPr="00963F94">
        <w:rPr>
          <w:sz w:val="24"/>
          <w:szCs w:val="24"/>
        </w:rPr>
        <w:t xml:space="preserve"> </w:t>
      </w:r>
      <w:r w:rsidR="003B7648">
        <w:rPr>
          <w:sz w:val="24"/>
          <w:szCs w:val="24"/>
        </w:rPr>
        <w:t>un komersants</w:t>
      </w:r>
      <w:r w:rsidR="003B7648" w:rsidRPr="00963F94">
        <w:rPr>
          <w:sz w:val="24"/>
          <w:szCs w:val="24"/>
        </w:rPr>
        <w:t xml:space="preserve">, nodarbinot pilna laika pētniecībā Latvijas </w:t>
      </w:r>
      <w:r w:rsidR="003B7648" w:rsidRPr="00D57FF7">
        <w:rPr>
          <w:sz w:val="24"/>
          <w:szCs w:val="24"/>
        </w:rPr>
        <w:t xml:space="preserve">vai ārvalstu jauno zinātnieku, kurš doktora grādu ieguvis ne agrāk kā piecus gadus pirms pētniecības </w:t>
      </w:r>
      <w:r w:rsidR="003B7648" w:rsidRPr="0079169A">
        <w:rPr>
          <w:sz w:val="24"/>
          <w:szCs w:val="24"/>
        </w:rPr>
        <w:t xml:space="preserve">pieteikuma iesniegšanas termiņa. Viena pētniecības pieteikuma maksimālais apmērs ir </w:t>
      </w:r>
      <w:r w:rsidR="003B7648" w:rsidRPr="0079169A">
        <w:rPr>
          <w:bCs/>
          <w:sz w:val="24"/>
          <w:szCs w:val="24"/>
        </w:rPr>
        <w:t xml:space="preserve">133 806 </w:t>
      </w:r>
      <w:r w:rsidR="003B7648" w:rsidRPr="0079169A">
        <w:rPr>
          <w:bCs/>
          <w:i/>
          <w:sz w:val="24"/>
          <w:szCs w:val="24"/>
        </w:rPr>
        <w:t>euro</w:t>
      </w:r>
      <w:r w:rsidR="00A5651E" w:rsidRPr="0079169A">
        <w:rPr>
          <w:rStyle w:val="FootnoteReference"/>
          <w:bCs/>
          <w:i/>
          <w:sz w:val="24"/>
          <w:szCs w:val="24"/>
        </w:rPr>
        <w:footnoteReference w:id="2"/>
      </w:r>
      <w:r w:rsidR="003B7648" w:rsidRPr="0079169A">
        <w:rPr>
          <w:bCs/>
          <w:sz w:val="24"/>
          <w:szCs w:val="24"/>
        </w:rPr>
        <w:t>,</w:t>
      </w:r>
      <w:r w:rsidR="003B7648" w:rsidRPr="00D57FF7">
        <w:rPr>
          <w:bCs/>
          <w:sz w:val="24"/>
          <w:szCs w:val="24"/>
        </w:rPr>
        <w:t xml:space="preserve"> </w:t>
      </w:r>
      <w:r w:rsidR="003B7648" w:rsidRPr="00D57FF7">
        <w:rPr>
          <w:sz w:val="24"/>
          <w:szCs w:val="24"/>
        </w:rPr>
        <w:t xml:space="preserve">paredzot atbalstu </w:t>
      </w:r>
      <w:r w:rsidR="00B5304B">
        <w:rPr>
          <w:sz w:val="24"/>
          <w:szCs w:val="24"/>
        </w:rPr>
        <w:t>trīs</w:t>
      </w:r>
      <w:r w:rsidR="003B7648">
        <w:rPr>
          <w:sz w:val="24"/>
          <w:szCs w:val="24"/>
        </w:rPr>
        <w:t xml:space="preserve"> </w:t>
      </w:r>
      <w:r w:rsidR="003B7648" w:rsidRPr="00D57FF7">
        <w:rPr>
          <w:sz w:val="24"/>
          <w:szCs w:val="24"/>
        </w:rPr>
        <w:t>gadu periodā fundamentālajiem vai rūpnieciskajiem pētījumiem,</w:t>
      </w:r>
      <w:r w:rsidR="003B7648">
        <w:rPr>
          <w:sz w:val="24"/>
          <w:szCs w:val="24"/>
        </w:rPr>
        <w:t xml:space="preserve"> </w:t>
      </w:r>
      <w:r w:rsidR="003B7648" w:rsidRPr="00963F94">
        <w:rPr>
          <w:sz w:val="24"/>
          <w:szCs w:val="24"/>
        </w:rPr>
        <w:t>pēcdoktoranta kompetenču pilnveidei, s</w:t>
      </w:r>
      <w:r w:rsidR="003B7648">
        <w:rPr>
          <w:sz w:val="24"/>
          <w:szCs w:val="24"/>
        </w:rPr>
        <w:t>tarptautiskajai</w:t>
      </w:r>
      <w:r w:rsidR="003B7648" w:rsidRPr="00963F94">
        <w:rPr>
          <w:sz w:val="24"/>
          <w:szCs w:val="24"/>
        </w:rPr>
        <w:t xml:space="preserve"> mobilitātei, </w:t>
      </w:r>
      <w:r w:rsidR="003B7648">
        <w:rPr>
          <w:sz w:val="24"/>
          <w:szCs w:val="24"/>
        </w:rPr>
        <w:t>kā arī tehnoloģiju pārnesei un</w:t>
      </w:r>
      <w:r w:rsidR="003B7648" w:rsidRPr="00963F94">
        <w:rPr>
          <w:sz w:val="24"/>
          <w:szCs w:val="24"/>
        </w:rPr>
        <w:t xml:space="preserve"> tehnoloģiju tiesību aizsardzībai. </w:t>
      </w:r>
    </w:p>
    <w:p w14:paraId="376AF390" w14:textId="77777777" w:rsidR="003B7648" w:rsidRPr="00D65CC0" w:rsidRDefault="003B7648" w:rsidP="0024408B">
      <w:pPr>
        <w:spacing w:after="120" w:line="240" w:lineRule="auto"/>
        <w:jc w:val="both"/>
        <w:rPr>
          <w:sz w:val="24"/>
          <w:szCs w:val="24"/>
        </w:rPr>
      </w:pPr>
      <w:r>
        <w:rPr>
          <w:sz w:val="24"/>
          <w:szCs w:val="24"/>
        </w:rPr>
        <w:t xml:space="preserve">Pētniecības pieteikumu īstenošanai plānotais kopējais attiecināmais finansējums ir 60,9 milj. </w:t>
      </w:r>
      <w:r w:rsidRPr="00336D75">
        <w:rPr>
          <w:i/>
          <w:sz w:val="24"/>
          <w:szCs w:val="24"/>
        </w:rPr>
        <w:t>euro</w:t>
      </w:r>
      <w:r>
        <w:rPr>
          <w:sz w:val="24"/>
          <w:szCs w:val="24"/>
        </w:rPr>
        <w:t xml:space="preserve">, </w:t>
      </w:r>
      <w:r w:rsidR="009D3AD6">
        <w:rPr>
          <w:sz w:val="24"/>
          <w:szCs w:val="24"/>
        </w:rPr>
        <w:t>ko veido</w:t>
      </w:r>
      <w:r>
        <w:rPr>
          <w:sz w:val="24"/>
          <w:szCs w:val="24"/>
        </w:rPr>
        <w:t xml:space="preserve"> ERAF finansējums 51,7 milj. </w:t>
      </w:r>
      <w:r w:rsidRPr="00336D75">
        <w:rPr>
          <w:i/>
          <w:sz w:val="24"/>
          <w:szCs w:val="24"/>
        </w:rPr>
        <w:t>euro</w:t>
      </w:r>
      <w:r>
        <w:rPr>
          <w:sz w:val="24"/>
          <w:szCs w:val="24"/>
        </w:rPr>
        <w:t>, valsts budžeta finansējums 5,9 milj. </w:t>
      </w:r>
      <w:r w:rsidRPr="00336D75">
        <w:rPr>
          <w:i/>
          <w:sz w:val="24"/>
          <w:szCs w:val="24"/>
        </w:rPr>
        <w:t>euro</w:t>
      </w:r>
      <w:r>
        <w:rPr>
          <w:sz w:val="24"/>
          <w:szCs w:val="24"/>
        </w:rPr>
        <w:t xml:space="preserve"> un privātais līdzfinansējums 3,2 milj. </w:t>
      </w:r>
      <w:r w:rsidRPr="00336D75">
        <w:rPr>
          <w:i/>
          <w:sz w:val="24"/>
          <w:szCs w:val="24"/>
        </w:rPr>
        <w:t>euro</w:t>
      </w:r>
      <w:r>
        <w:rPr>
          <w:sz w:val="24"/>
          <w:szCs w:val="24"/>
        </w:rPr>
        <w:t>.</w:t>
      </w:r>
    </w:p>
    <w:p w14:paraId="1D0EA2F2" w14:textId="77777777" w:rsidR="0090281E" w:rsidRPr="00A52632" w:rsidRDefault="0090281E" w:rsidP="0024408B">
      <w:pPr>
        <w:pStyle w:val="Heading1"/>
        <w:numPr>
          <w:ilvl w:val="0"/>
          <w:numId w:val="3"/>
        </w:numPr>
        <w:spacing w:line="240" w:lineRule="auto"/>
        <w:rPr>
          <w:b/>
          <w:color w:val="323E4F" w:themeColor="text2" w:themeShade="BF"/>
          <w:sz w:val="28"/>
          <w:szCs w:val="28"/>
        </w:rPr>
      </w:pPr>
      <w:bookmarkStart w:id="3" w:name="_Toc3218330"/>
      <w:r w:rsidRPr="00A52632">
        <w:rPr>
          <w:b/>
          <w:color w:val="323E4F" w:themeColor="text2" w:themeShade="BF"/>
          <w:sz w:val="28"/>
          <w:szCs w:val="28"/>
        </w:rPr>
        <w:lastRenderedPageBreak/>
        <w:t>Pēcdoktorantūras pētniecības programmas īstenošanas analīze</w:t>
      </w:r>
      <w:bookmarkEnd w:id="3"/>
    </w:p>
    <w:p w14:paraId="558DEA44" w14:textId="77777777" w:rsidR="00C42129" w:rsidRPr="00906D4B" w:rsidRDefault="0090281E" w:rsidP="0024408B">
      <w:pPr>
        <w:pStyle w:val="Heading1"/>
        <w:numPr>
          <w:ilvl w:val="1"/>
          <w:numId w:val="3"/>
        </w:numPr>
        <w:spacing w:after="240" w:line="240" w:lineRule="auto"/>
        <w:ind w:left="1220" w:hanging="369"/>
        <w:jc w:val="both"/>
        <w:rPr>
          <w:b/>
          <w:color w:val="323E4F" w:themeColor="text2" w:themeShade="BF"/>
          <w:sz w:val="28"/>
          <w:szCs w:val="28"/>
        </w:rPr>
      </w:pPr>
      <w:bookmarkStart w:id="4" w:name="_Ref527972631"/>
      <w:bookmarkStart w:id="5" w:name="_Ref527972633"/>
      <w:bookmarkStart w:id="6" w:name="_Ref527972649"/>
      <w:bookmarkStart w:id="7" w:name="_Toc3218331"/>
      <w:r w:rsidRPr="001E35BA">
        <w:rPr>
          <w:b/>
          <w:color w:val="323E4F" w:themeColor="text2" w:themeShade="BF"/>
          <w:sz w:val="28"/>
          <w:szCs w:val="28"/>
        </w:rPr>
        <w:t>Pētniecības pieteikumu pirmās un otrās atlases kārtas analīze</w:t>
      </w:r>
      <w:bookmarkEnd w:id="4"/>
      <w:bookmarkEnd w:id="5"/>
      <w:bookmarkEnd w:id="6"/>
      <w:bookmarkEnd w:id="7"/>
    </w:p>
    <w:p w14:paraId="40611010" w14:textId="77777777" w:rsidR="00336D75" w:rsidRPr="00D65CC0" w:rsidRDefault="00426EE9" w:rsidP="0024408B">
      <w:pPr>
        <w:spacing w:after="120" w:line="240" w:lineRule="auto"/>
        <w:jc w:val="both"/>
        <w:rPr>
          <w:sz w:val="24"/>
          <w:szCs w:val="24"/>
        </w:rPr>
      </w:pPr>
      <w:r>
        <w:rPr>
          <w:sz w:val="24"/>
          <w:szCs w:val="24"/>
        </w:rPr>
        <w:t>Pēcdokto</w:t>
      </w:r>
      <w:r w:rsidR="003D21A1">
        <w:rPr>
          <w:sz w:val="24"/>
          <w:szCs w:val="24"/>
        </w:rPr>
        <w:t>rantūras pētniecības programmā</w:t>
      </w:r>
      <w:r>
        <w:rPr>
          <w:sz w:val="24"/>
          <w:szCs w:val="24"/>
        </w:rPr>
        <w:t xml:space="preserve"> </w:t>
      </w:r>
      <w:r w:rsidR="003D21A1" w:rsidRPr="002E6E1E">
        <w:rPr>
          <w:sz w:val="24"/>
          <w:szCs w:val="24"/>
        </w:rPr>
        <w:t xml:space="preserve">līdz 31.12.2018. </w:t>
      </w:r>
      <w:r w:rsidR="00FF59A8" w:rsidRPr="002E6E1E">
        <w:rPr>
          <w:sz w:val="24"/>
          <w:szCs w:val="24"/>
        </w:rPr>
        <w:t>izsludinātas divas atlases kārtas</w:t>
      </w:r>
      <w:r w:rsidR="003D21A1" w:rsidRPr="002E6E1E">
        <w:rPr>
          <w:sz w:val="24"/>
          <w:szCs w:val="24"/>
        </w:rPr>
        <w:t xml:space="preserve">. </w:t>
      </w:r>
      <w:r w:rsidR="00E85ADD" w:rsidRPr="002E6E1E">
        <w:rPr>
          <w:sz w:val="24"/>
          <w:szCs w:val="24"/>
        </w:rPr>
        <w:t xml:space="preserve"> </w:t>
      </w:r>
      <w:r w:rsidR="003D21A1" w:rsidRPr="002E6E1E">
        <w:rPr>
          <w:sz w:val="24"/>
          <w:szCs w:val="24"/>
        </w:rPr>
        <w:t xml:space="preserve">Abu kārtu ietvaros </w:t>
      </w:r>
      <w:r w:rsidR="00E85ADD" w:rsidRPr="002E6E1E">
        <w:rPr>
          <w:sz w:val="24"/>
          <w:szCs w:val="24"/>
        </w:rPr>
        <w:t xml:space="preserve">uzņemtas līgumsaistības </w:t>
      </w:r>
      <w:r w:rsidR="00FF59A8" w:rsidRPr="002E6E1E">
        <w:rPr>
          <w:sz w:val="24"/>
          <w:szCs w:val="24"/>
        </w:rPr>
        <w:t xml:space="preserve">25,8 milj. </w:t>
      </w:r>
      <w:r w:rsidR="00FF59A8" w:rsidRPr="002E6E1E">
        <w:rPr>
          <w:i/>
          <w:sz w:val="24"/>
          <w:szCs w:val="24"/>
        </w:rPr>
        <w:t>euro</w:t>
      </w:r>
      <w:r w:rsidR="00FF59A8" w:rsidRPr="002E6E1E">
        <w:rPr>
          <w:sz w:val="24"/>
          <w:szCs w:val="24"/>
        </w:rPr>
        <w:t xml:space="preserve"> jeb 42,4 % </w:t>
      </w:r>
      <w:r w:rsidR="00E85ADD" w:rsidRPr="002E6E1E">
        <w:rPr>
          <w:sz w:val="24"/>
          <w:szCs w:val="24"/>
        </w:rPr>
        <w:t xml:space="preserve">apmērā </w:t>
      </w:r>
      <w:r w:rsidR="00FF59A8" w:rsidRPr="002E6E1E">
        <w:rPr>
          <w:sz w:val="24"/>
          <w:szCs w:val="24"/>
        </w:rPr>
        <w:t xml:space="preserve">no </w:t>
      </w:r>
      <w:r w:rsidR="003D21A1" w:rsidRPr="002E6E1E">
        <w:rPr>
          <w:sz w:val="24"/>
          <w:szCs w:val="24"/>
        </w:rPr>
        <w:t xml:space="preserve">kopējā </w:t>
      </w:r>
      <w:r w:rsidR="00FF59A8" w:rsidRPr="002E6E1E">
        <w:rPr>
          <w:sz w:val="24"/>
          <w:szCs w:val="24"/>
        </w:rPr>
        <w:t xml:space="preserve">pētniecības pieteikumu īstenošanai </w:t>
      </w:r>
      <w:r w:rsidR="00E85ADD" w:rsidRPr="002E6E1E">
        <w:rPr>
          <w:sz w:val="24"/>
          <w:szCs w:val="24"/>
        </w:rPr>
        <w:t xml:space="preserve">pieejamā </w:t>
      </w:r>
      <w:r w:rsidR="009C4A64" w:rsidRPr="002E6E1E">
        <w:rPr>
          <w:sz w:val="24"/>
          <w:szCs w:val="24"/>
        </w:rPr>
        <w:t>f</w:t>
      </w:r>
      <w:r w:rsidR="00FF59A8" w:rsidRPr="002E6E1E">
        <w:rPr>
          <w:sz w:val="24"/>
          <w:szCs w:val="24"/>
        </w:rPr>
        <w:t>inansējuma.</w:t>
      </w:r>
    </w:p>
    <w:p w14:paraId="66B21C16" w14:textId="77777777" w:rsidR="009E1523" w:rsidRPr="00CC54A7" w:rsidRDefault="00F11790" w:rsidP="000D2688">
      <w:pPr>
        <w:spacing w:after="120" w:line="240" w:lineRule="auto"/>
        <w:jc w:val="both"/>
        <w:rPr>
          <w:rFonts w:ascii="Times New Roman" w:hAnsi="Times New Roman" w:cs="Times New Roman"/>
          <w:sz w:val="24"/>
          <w:szCs w:val="24"/>
        </w:rPr>
      </w:pPr>
      <w:r w:rsidRPr="00536DB2">
        <w:rPr>
          <w:b/>
          <w:sz w:val="24"/>
          <w:szCs w:val="24"/>
        </w:rPr>
        <w:t>Pēcdoktorantūras pētniecības programmas 1.</w:t>
      </w:r>
      <w:r w:rsidR="00DC65DF">
        <w:rPr>
          <w:b/>
          <w:sz w:val="24"/>
          <w:szCs w:val="24"/>
        </w:rPr>
        <w:t xml:space="preserve"> atlases kārta </w:t>
      </w:r>
      <w:r w:rsidR="00DC65DF" w:rsidRPr="006318BB">
        <w:rPr>
          <w:sz w:val="24"/>
          <w:szCs w:val="24"/>
        </w:rPr>
        <w:t>tika izsludināta</w:t>
      </w:r>
      <w:r w:rsidR="00DC65DF" w:rsidRPr="000B1E25">
        <w:rPr>
          <w:sz w:val="24"/>
          <w:szCs w:val="24"/>
        </w:rPr>
        <w:t xml:space="preserve"> </w:t>
      </w:r>
      <w:r w:rsidR="000B1E25" w:rsidRPr="000B1E25">
        <w:rPr>
          <w:sz w:val="24"/>
          <w:szCs w:val="24"/>
        </w:rPr>
        <w:t>15.09.2016.</w:t>
      </w:r>
      <w:r w:rsidR="00163377">
        <w:rPr>
          <w:sz w:val="24"/>
          <w:szCs w:val="24"/>
        </w:rPr>
        <w:t xml:space="preserve"> </w:t>
      </w:r>
      <w:r w:rsidR="00410463" w:rsidRPr="009E1523">
        <w:rPr>
          <w:sz w:val="24"/>
          <w:szCs w:val="24"/>
        </w:rPr>
        <w:t>Atlases kārtas ietvaros</w:t>
      </w:r>
      <w:r w:rsidR="00E04614" w:rsidRPr="009E1523">
        <w:rPr>
          <w:sz w:val="24"/>
          <w:szCs w:val="24"/>
        </w:rPr>
        <w:t xml:space="preserve"> kopumā </w:t>
      </w:r>
      <w:r w:rsidR="006318BB" w:rsidRPr="009E1523">
        <w:rPr>
          <w:sz w:val="24"/>
          <w:szCs w:val="24"/>
        </w:rPr>
        <w:t>tika saņemti</w:t>
      </w:r>
      <w:r w:rsidRPr="009E1523">
        <w:rPr>
          <w:sz w:val="24"/>
          <w:szCs w:val="24"/>
        </w:rPr>
        <w:t xml:space="preserve"> 246</w:t>
      </w:r>
      <w:r w:rsidR="00DC65DF" w:rsidRPr="009E1523">
        <w:rPr>
          <w:sz w:val="24"/>
          <w:szCs w:val="24"/>
        </w:rPr>
        <w:t xml:space="preserve"> </w:t>
      </w:r>
      <w:r w:rsidR="006318BB" w:rsidRPr="009E1523">
        <w:rPr>
          <w:sz w:val="24"/>
          <w:szCs w:val="24"/>
        </w:rPr>
        <w:t xml:space="preserve">pētniecības pieteikumi, no kuriem </w:t>
      </w:r>
      <w:r w:rsidR="003447B3" w:rsidRPr="009E1523">
        <w:rPr>
          <w:sz w:val="24"/>
          <w:szCs w:val="24"/>
        </w:rPr>
        <w:t xml:space="preserve">apstiprināšanai virzīts </w:t>
      </w:r>
      <w:r w:rsidRPr="009E1523">
        <w:rPr>
          <w:sz w:val="24"/>
          <w:szCs w:val="24"/>
        </w:rPr>
        <w:t>141 pētniecības pieteikums</w:t>
      </w:r>
      <w:r w:rsidR="005160C2" w:rsidRPr="009E1523">
        <w:rPr>
          <w:rStyle w:val="FootnoteReference"/>
          <w:sz w:val="24"/>
          <w:szCs w:val="24"/>
        </w:rPr>
        <w:footnoteReference w:id="3"/>
      </w:r>
      <w:r w:rsidR="0044086B" w:rsidRPr="009E1523">
        <w:rPr>
          <w:sz w:val="24"/>
          <w:szCs w:val="24"/>
        </w:rPr>
        <w:t>.</w:t>
      </w:r>
      <w:r w:rsidR="00D65CC0" w:rsidRPr="009E1523">
        <w:rPr>
          <w:sz w:val="24"/>
          <w:szCs w:val="24"/>
        </w:rPr>
        <w:t xml:space="preserve"> </w:t>
      </w:r>
      <w:r w:rsidR="00AD6803" w:rsidRPr="009E1523">
        <w:rPr>
          <w:sz w:val="24"/>
          <w:szCs w:val="24"/>
        </w:rPr>
        <w:t>Saskaņā ar VIAA sniegto informāciju, l</w:t>
      </w:r>
      <w:r w:rsidR="00D65CC0" w:rsidRPr="009E1523">
        <w:rPr>
          <w:sz w:val="24"/>
          <w:szCs w:val="24"/>
        </w:rPr>
        <w:t>īdz</w:t>
      </w:r>
      <w:r w:rsidR="00D11BFE" w:rsidRPr="009E1523">
        <w:rPr>
          <w:sz w:val="24"/>
          <w:szCs w:val="24"/>
        </w:rPr>
        <w:t xml:space="preserve"> 31.</w:t>
      </w:r>
      <w:r w:rsidR="00B66552">
        <w:rPr>
          <w:sz w:val="24"/>
          <w:szCs w:val="24"/>
        </w:rPr>
        <w:t>12</w:t>
      </w:r>
      <w:r w:rsidR="00D11BFE" w:rsidRPr="009E1523">
        <w:rPr>
          <w:sz w:val="24"/>
          <w:szCs w:val="24"/>
        </w:rPr>
        <w:t>.2018.</w:t>
      </w:r>
      <w:r w:rsidR="00410463" w:rsidRPr="009E1523">
        <w:rPr>
          <w:sz w:val="24"/>
          <w:szCs w:val="24"/>
        </w:rPr>
        <w:t xml:space="preserve"> </w:t>
      </w:r>
      <w:r w:rsidR="00AD6803" w:rsidRPr="009E1523">
        <w:rPr>
          <w:sz w:val="24"/>
          <w:szCs w:val="24"/>
        </w:rPr>
        <w:t>ir noslēgti</w:t>
      </w:r>
      <w:r w:rsidRPr="009E1523">
        <w:rPr>
          <w:sz w:val="24"/>
          <w:szCs w:val="24"/>
        </w:rPr>
        <w:t xml:space="preserve"> </w:t>
      </w:r>
      <w:r w:rsidR="00AD6803" w:rsidRPr="009E1523">
        <w:rPr>
          <w:b/>
          <w:sz w:val="24"/>
          <w:szCs w:val="24"/>
        </w:rPr>
        <w:t>līgumi</w:t>
      </w:r>
      <w:r w:rsidRPr="009E1523">
        <w:rPr>
          <w:b/>
          <w:sz w:val="24"/>
          <w:szCs w:val="24"/>
        </w:rPr>
        <w:t xml:space="preserve"> par 131 pētniecības pieteikuma īstenošanu</w:t>
      </w:r>
      <w:r w:rsidR="00BB1C12" w:rsidRPr="009E1523">
        <w:rPr>
          <w:sz w:val="24"/>
          <w:szCs w:val="24"/>
        </w:rPr>
        <w:t>, kuru kopējais attiecināmais finansējums ir</w:t>
      </w:r>
      <w:r w:rsidRPr="009E1523">
        <w:rPr>
          <w:sz w:val="24"/>
          <w:szCs w:val="24"/>
        </w:rPr>
        <w:t xml:space="preserve"> 17,4 milj. </w:t>
      </w:r>
      <w:r w:rsidRPr="009E1523">
        <w:rPr>
          <w:i/>
          <w:sz w:val="24"/>
          <w:szCs w:val="24"/>
        </w:rPr>
        <w:t>euro</w:t>
      </w:r>
      <w:r w:rsidR="000545E5" w:rsidRPr="009E1523">
        <w:rPr>
          <w:sz w:val="24"/>
          <w:szCs w:val="24"/>
        </w:rPr>
        <w:t xml:space="preserve"> (</w:t>
      </w:r>
      <w:r w:rsidRPr="009E1523">
        <w:rPr>
          <w:sz w:val="24"/>
          <w:szCs w:val="24"/>
        </w:rPr>
        <w:t xml:space="preserve">ERAF finansējums 14,8 milj. </w:t>
      </w:r>
      <w:r w:rsidRPr="009E1523">
        <w:rPr>
          <w:i/>
          <w:sz w:val="24"/>
          <w:szCs w:val="24"/>
        </w:rPr>
        <w:t>euro</w:t>
      </w:r>
      <w:r w:rsidRPr="009E1523">
        <w:rPr>
          <w:sz w:val="24"/>
          <w:szCs w:val="24"/>
        </w:rPr>
        <w:t xml:space="preserve">, valsts budžeta līdzfinansējums 1,7 milj. </w:t>
      </w:r>
      <w:r w:rsidRPr="009E1523">
        <w:rPr>
          <w:i/>
          <w:sz w:val="24"/>
          <w:szCs w:val="24"/>
        </w:rPr>
        <w:t>euro</w:t>
      </w:r>
      <w:r w:rsidRPr="009E1523">
        <w:rPr>
          <w:sz w:val="24"/>
          <w:szCs w:val="24"/>
        </w:rPr>
        <w:t xml:space="preserve"> un privātais piesaistītais līdzfinansējums 0,9 milj. </w:t>
      </w:r>
      <w:r w:rsidRPr="009E1523">
        <w:rPr>
          <w:i/>
          <w:sz w:val="24"/>
          <w:szCs w:val="24"/>
        </w:rPr>
        <w:t>euro</w:t>
      </w:r>
      <w:r w:rsidR="006318BB" w:rsidRPr="009E1523">
        <w:rPr>
          <w:sz w:val="24"/>
          <w:szCs w:val="24"/>
        </w:rPr>
        <w:t xml:space="preserve">, </w:t>
      </w:r>
      <w:r w:rsidR="00F45F86" w:rsidRPr="009E1523">
        <w:rPr>
          <w:sz w:val="24"/>
          <w:szCs w:val="24"/>
        </w:rPr>
        <w:t>kas</w:t>
      </w:r>
      <w:r w:rsidR="006318BB" w:rsidRPr="009E1523">
        <w:rPr>
          <w:sz w:val="24"/>
          <w:szCs w:val="24"/>
        </w:rPr>
        <w:t xml:space="preserve"> tostarp</w:t>
      </w:r>
      <w:r w:rsidR="00F45F86" w:rsidRPr="009E1523">
        <w:rPr>
          <w:sz w:val="24"/>
          <w:szCs w:val="24"/>
        </w:rPr>
        <w:t xml:space="preserve"> ietver privāto līdzfinansējumu</w:t>
      </w:r>
      <w:r w:rsidRPr="009E1523">
        <w:rPr>
          <w:sz w:val="24"/>
          <w:szCs w:val="24"/>
        </w:rPr>
        <w:t xml:space="preserve"> </w:t>
      </w:r>
      <w:r w:rsidR="001B5388" w:rsidRPr="009E1523">
        <w:rPr>
          <w:sz w:val="24"/>
          <w:szCs w:val="24"/>
        </w:rPr>
        <w:t>0,28</w:t>
      </w:r>
      <w:r w:rsidRPr="009E1523">
        <w:rPr>
          <w:sz w:val="24"/>
          <w:szCs w:val="24"/>
        </w:rPr>
        <w:t xml:space="preserve"> milj. </w:t>
      </w:r>
      <w:r w:rsidRPr="009E1523">
        <w:rPr>
          <w:i/>
          <w:sz w:val="24"/>
          <w:szCs w:val="24"/>
        </w:rPr>
        <w:t>euro</w:t>
      </w:r>
      <w:r w:rsidRPr="009E1523">
        <w:rPr>
          <w:sz w:val="24"/>
          <w:szCs w:val="24"/>
        </w:rPr>
        <w:t xml:space="preserve"> </w:t>
      </w:r>
      <w:r w:rsidR="00F45F86" w:rsidRPr="009E1523">
        <w:rPr>
          <w:sz w:val="24"/>
          <w:szCs w:val="24"/>
        </w:rPr>
        <w:t>apmērā</w:t>
      </w:r>
      <w:r w:rsidRPr="009E1523">
        <w:rPr>
          <w:sz w:val="24"/>
          <w:szCs w:val="24"/>
        </w:rPr>
        <w:t xml:space="preserve"> un</w:t>
      </w:r>
      <w:r w:rsidR="00F45F86" w:rsidRPr="009E1523">
        <w:rPr>
          <w:sz w:val="24"/>
          <w:szCs w:val="24"/>
        </w:rPr>
        <w:t xml:space="preserve"> citu </w:t>
      </w:r>
      <w:r w:rsidR="006318BB" w:rsidRPr="009E1523">
        <w:rPr>
          <w:sz w:val="24"/>
          <w:szCs w:val="24"/>
        </w:rPr>
        <w:t xml:space="preserve">zinātnisko institūciju rīcībā esošo </w:t>
      </w:r>
      <w:r w:rsidR="00F45F86" w:rsidRPr="009E1523">
        <w:rPr>
          <w:sz w:val="24"/>
          <w:szCs w:val="24"/>
        </w:rPr>
        <w:t>publisko</w:t>
      </w:r>
      <w:r w:rsidR="00F45F86">
        <w:rPr>
          <w:sz w:val="24"/>
          <w:szCs w:val="24"/>
        </w:rPr>
        <w:t xml:space="preserve"> finansējumu</w:t>
      </w:r>
      <w:r w:rsidR="006318BB">
        <w:rPr>
          <w:sz w:val="24"/>
          <w:szCs w:val="24"/>
        </w:rPr>
        <w:t xml:space="preserve"> </w:t>
      </w:r>
      <w:r w:rsidR="001B5388" w:rsidRPr="001B5388">
        <w:rPr>
          <w:sz w:val="24"/>
          <w:szCs w:val="24"/>
        </w:rPr>
        <w:t xml:space="preserve">0,62 </w:t>
      </w:r>
      <w:r w:rsidRPr="001B5388">
        <w:rPr>
          <w:sz w:val="24"/>
          <w:szCs w:val="24"/>
        </w:rPr>
        <w:t xml:space="preserve">milj. </w:t>
      </w:r>
      <w:r w:rsidRPr="001B5388">
        <w:rPr>
          <w:i/>
          <w:sz w:val="24"/>
          <w:szCs w:val="24"/>
        </w:rPr>
        <w:t>euro</w:t>
      </w:r>
      <w:r w:rsidRPr="001B5388">
        <w:rPr>
          <w:sz w:val="24"/>
          <w:szCs w:val="24"/>
        </w:rPr>
        <w:t xml:space="preserve"> </w:t>
      </w:r>
      <w:r w:rsidR="00F45F86">
        <w:rPr>
          <w:sz w:val="24"/>
          <w:szCs w:val="24"/>
        </w:rPr>
        <w:t>apmērā</w:t>
      </w:r>
      <w:r w:rsidRPr="001B5388">
        <w:rPr>
          <w:sz w:val="24"/>
          <w:szCs w:val="24"/>
        </w:rPr>
        <w:t>)</w:t>
      </w:r>
      <w:r w:rsidRPr="001B5388">
        <w:rPr>
          <w:rStyle w:val="FootnoteReference"/>
          <w:sz w:val="24"/>
          <w:szCs w:val="24"/>
        </w:rPr>
        <w:footnoteReference w:id="4"/>
      </w:r>
      <w:r w:rsidR="003447B3">
        <w:rPr>
          <w:sz w:val="24"/>
          <w:szCs w:val="24"/>
        </w:rPr>
        <w:t xml:space="preserve"> jeb 28,6 % no kopējā </w:t>
      </w:r>
      <w:r w:rsidR="00136184">
        <w:rPr>
          <w:sz w:val="24"/>
          <w:szCs w:val="24"/>
        </w:rPr>
        <w:t xml:space="preserve">Pēcdoktorantūras pētniecības programmas ietvaros </w:t>
      </w:r>
      <w:r w:rsidR="003447B3">
        <w:rPr>
          <w:sz w:val="24"/>
          <w:szCs w:val="24"/>
        </w:rPr>
        <w:t xml:space="preserve">kopējā </w:t>
      </w:r>
      <w:r w:rsidR="000B1E25">
        <w:rPr>
          <w:sz w:val="24"/>
          <w:szCs w:val="24"/>
        </w:rPr>
        <w:t xml:space="preserve">pieejamā </w:t>
      </w:r>
      <w:r w:rsidR="007A69BA">
        <w:rPr>
          <w:sz w:val="24"/>
          <w:szCs w:val="24"/>
        </w:rPr>
        <w:t xml:space="preserve">attiecināmā finansējuma pētniecības pieteikumu </w:t>
      </w:r>
      <w:r w:rsidR="000D2688">
        <w:rPr>
          <w:sz w:val="24"/>
          <w:szCs w:val="24"/>
        </w:rPr>
        <w:t>īstenošanai.</w:t>
      </w:r>
      <w:r w:rsidR="000D2688" w:rsidRPr="00CC54A7">
        <w:rPr>
          <w:rFonts w:ascii="Times New Roman" w:hAnsi="Times New Roman" w:cs="Times New Roman"/>
          <w:sz w:val="24"/>
          <w:szCs w:val="24"/>
        </w:rPr>
        <w:t xml:space="preserve"> </w:t>
      </w:r>
    </w:p>
    <w:p w14:paraId="5F72CBD8" w14:textId="77777777" w:rsidR="004951AC" w:rsidRDefault="004877D2" w:rsidP="001A4D1C">
      <w:pPr>
        <w:spacing w:before="120" w:after="120" w:line="240" w:lineRule="auto"/>
        <w:jc w:val="both"/>
        <w:rPr>
          <w:sz w:val="24"/>
          <w:szCs w:val="24"/>
        </w:rPr>
      </w:pPr>
      <w:r>
        <w:rPr>
          <w:sz w:val="24"/>
          <w:szCs w:val="24"/>
        </w:rPr>
        <w:t xml:space="preserve">Šobrīd, VIAA ir uzsākusi 1. atlases kārtas </w:t>
      </w:r>
      <w:r w:rsidRPr="007E0702">
        <w:rPr>
          <w:sz w:val="24"/>
          <w:szCs w:val="24"/>
        </w:rPr>
        <w:t>ietvaros īstenoto pētniecības pieteikumu vidusposma rezultātu zinātniskās kvalitātes vērtēšanu</w:t>
      </w:r>
      <w:r w:rsidRPr="007E0702">
        <w:rPr>
          <w:rStyle w:val="FootnoteReference"/>
          <w:sz w:val="24"/>
          <w:szCs w:val="24"/>
        </w:rPr>
        <w:footnoteReference w:id="5"/>
      </w:r>
      <w:r w:rsidRPr="007E0702">
        <w:rPr>
          <w:sz w:val="24"/>
          <w:szCs w:val="24"/>
        </w:rPr>
        <w:t>, lai novērtētu</w:t>
      </w:r>
      <w:r w:rsidRPr="000253EE">
        <w:rPr>
          <w:sz w:val="24"/>
          <w:szCs w:val="24"/>
        </w:rPr>
        <w:t xml:space="preserve"> pētniecības pieteikumu īstenošanas progresu un zinātnisko kvalitāti </w:t>
      </w:r>
      <w:r>
        <w:rPr>
          <w:sz w:val="24"/>
          <w:szCs w:val="24"/>
        </w:rPr>
        <w:t>vidusposmā</w:t>
      </w:r>
      <w:r w:rsidRPr="000253EE">
        <w:rPr>
          <w:sz w:val="24"/>
          <w:szCs w:val="24"/>
        </w:rPr>
        <w:t>.</w:t>
      </w:r>
      <w:r>
        <w:rPr>
          <w:sz w:val="24"/>
          <w:szCs w:val="24"/>
        </w:rPr>
        <w:t xml:space="preserve"> Paredzēts, ka vidusposma izvērtēšanas rezultātā pēcdoktoranti saņems EK ekspertu viedokli par īstenoto pētniecības pieteikumu stiprajām un vājajām pusēm, kā arī rekomendācijas un ieteikumus pētniecības pieteikuma </w:t>
      </w:r>
      <w:r w:rsidR="000004B9">
        <w:rPr>
          <w:sz w:val="24"/>
          <w:szCs w:val="24"/>
        </w:rPr>
        <w:t xml:space="preserve">turpmākai </w:t>
      </w:r>
      <w:r>
        <w:rPr>
          <w:sz w:val="24"/>
          <w:szCs w:val="24"/>
        </w:rPr>
        <w:t>pilnveidei. Tādējādi, pamatojoties uz EK ekspertu novērtējumu, nepieciešamības gadījumā, pēcdoktoranti veik</w:t>
      </w:r>
      <w:r w:rsidR="00360491">
        <w:rPr>
          <w:sz w:val="24"/>
          <w:szCs w:val="24"/>
        </w:rPr>
        <w:t>s</w:t>
      </w:r>
      <w:r>
        <w:rPr>
          <w:sz w:val="24"/>
          <w:szCs w:val="24"/>
        </w:rPr>
        <w:t xml:space="preserve"> izmaiņas pētniecības pieteikumā </w:t>
      </w:r>
      <w:r w:rsidRPr="00F85929">
        <w:rPr>
          <w:sz w:val="24"/>
          <w:szCs w:val="24"/>
        </w:rPr>
        <w:t>plānot</w:t>
      </w:r>
      <w:r>
        <w:rPr>
          <w:sz w:val="24"/>
          <w:szCs w:val="24"/>
        </w:rPr>
        <w:t>o</w:t>
      </w:r>
      <w:r w:rsidRPr="00F85929">
        <w:rPr>
          <w:sz w:val="24"/>
          <w:szCs w:val="24"/>
        </w:rPr>
        <w:t xml:space="preserve"> darbību un aktivitāšu</w:t>
      </w:r>
      <w:r>
        <w:rPr>
          <w:sz w:val="24"/>
          <w:szCs w:val="24"/>
        </w:rPr>
        <w:t xml:space="preserve"> plānā, lai nodrošinātu kvalitatīvu pētījuma īstenošanu un plānoto rezultātu sasniegšanu, </w:t>
      </w:r>
      <w:r w:rsidRPr="003C07BF">
        <w:rPr>
          <w:sz w:val="24"/>
          <w:szCs w:val="24"/>
        </w:rPr>
        <w:t xml:space="preserve">kā arī </w:t>
      </w:r>
      <w:r>
        <w:rPr>
          <w:sz w:val="24"/>
          <w:szCs w:val="24"/>
        </w:rPr>
        <w:t>sekmētu</w:t>
      </w:r>
      <w:r w:rsidRPr="003C07BF">
        <w:rPr>
          <w:sz w:val="24"/>
          <w:szCs w:val="24"/>
        </w:rPr>
        <w:t xml:space="preserve"> uz rezultātu-orientētu </w:t>
      </w:r>
      <w:r w:rsidRPr="00591B07">
        <w:rPr>
          <w:sz w:val="24"/>
          <w:szCs w:val="24"/>
        </w:rPr>
        <w:t>pētniecības pieteikumu īstenošanu.</w:t>
      </w:r>
      <w:r w:rsidR="004951AC">
        <w:rPr>
          <w:sz w:val="24"/>
          <w:szCs w:val="24"/>
        </w:rPr>
        <w:t xml:space="preserve"> </w:t>
      </w:r>
    </w:p>
    <w:p w14:paraId="52030385" w14:textId="77777777" w:rsidR="0047628A" w:rsidRDefault="004877D2" w:rsidP="0024408B">
      <w:pPr>
        <w:spacing w:after="120" w:line="240" w:lineRule="auto"/>
        <w:jc w:val="both"/>
        <w:rPr>
          <w:sz w:val="24"/>
          <w:szCs w:val="24"/>
        </w:rPr>
      </w:pPr>
      <w:r w:rsidRPr="00591B07">
        <w:rPr>
          <w:sz w:val="24"/>
          <w:szCs w:val="24"/>
        </w:rPr>
        <w:t xml:space="preserve">Plānots, ka </w:t>
      </w:r>
      <w:r w:rsidR="008D1DD9">
        <w:rPr>
          <w:sz w:val="24"/>
          <w:szCs w:val="24"/>
        </w:rPr>
        <w:t xml:space="preserve">lielākoties </w:t>
      </w:r>
      <w:r w:rsidRPr="00591B07">
        <w:rPr>
          <w:sz w:val="24"/>
          <w:szCs w:val="24"/>
        </w:rPr>
        <w:t>pirmie EK ekspertu pētniecības pieteikumu vidusposma vērtējumi tiks saņemti 2019. gada pirmajā pusē</w:t>
      </w:r>
      <w:r w:rsidR="008D1DD9">
        <w:rPr>
          <w:sz w:val="24"/>
          <w:szCs w:val="24"/>
        </w:rPr>
        <w:t xml:space="preserve">. </w:t>
      </w:r>
      <w:r w:rsidR="00360491">
        <w:rPr>
          <w:sz w:val="24"/>
          <w:szCs w:val="24"/>
        </w:rPr>
        <w:t>A</w:t>
      </w:r>
      <w:r w:rsidRPr="00591B07">
        <w:rPr>
          <w:sz w:val="24"/>
          <w:szCs w:val="24"/>
        </w:rPr>
        <w:t>tbilstoši līgumos par pētniecības pieteikumu īstenošanu noteiktajam</w:t>
      </w:r>
      <w:r w:rsidR="00956FA6">
        <w:rPr>
          <w:sz w:val="24"/>
          <w:szCs w:val="24"/>
        </w:rPr>
        <w:t>,</w:t>
      </w:r>
      <w:r w:rsidRPr="00591B07">
        <w:rPr>
          <w:sz w:val="24"/>
          <w:szCs w:val="24"/>
        </w:rPr>
        <w:t xml:space="preserve"> 2018. gada nogalē vidusposma rezultātu zinātniskās kvalitātes vērtēšana tiks uzsākta 12 Pēcdoktorantūras</w:t>
      </w:r>
      <w:r>
        <w:rPr>
          <w:sz w:val="24"/>
          <w:szCs w:val="24"/>
        </w:rPr>
        <w:t xml:space="preserve"> pētniecības programmas 1. atlases kārtas ietvaros īste</w:t>
      </w:r>
      <w:r w:rsidR="00410040">
        <w:rPr>
          <w:sz w:val="24"/>
          <w:szCs w:val="24"/>
        </w:rPr>
        <w:t>notiem pētniecības pieteikumiem.</w:t>
      </w:r>
      <w:r w:rsidR="00410040" w:rsidRPr="00410040">
        <w:rPr>
          <w:sz w:val="24"/>
          <w:szCs w:val="24"/>
        </w:rPr>
        <w:t xml:space="preserve"> </w:t>
      </w:r>
      <w:r w:rsidR="00410040">
        <w:rPr>
          <w:sz w:val="24"/>
          <w:szCs w:val="24"/>
        </w:rPr>
        <w:t xml:space="preserve">Cita starpā, 2018. gada decembrī tika saņemts jau pirmais </w:t>
      </w:r>
      <w:r w:rsidR="00410040">
        <w:rPr>
          <w:sz w:val="24"/>
          <w:szCs w:val="24"/>
        </w:rPr>
        <w:lastRenderedPageBreak/>
        <w:t>pēcdoktoranta pētījuma vidusposma zinātniskās kvalitātes vērtējums, kuru ārvalstu eksperti novērtējuši pozitīvi, vienlaikus sniedzot savas rekomendācijas</w:t>
      </w:r>
      <w:r w:rsidR="001D0AC6">
        <w:rPr>
          <w:sz w:val="24"/>
          <w:szCs w:val="24"/>
        </w:rPr>
        <w:t>,</w:t>
      </w:r>
      <w:r w:rsidR="00410040">
        <w:rPr>
          <w:sz w:val="24"/>
          <w:szCs w:val="24"/>
        </w:rPr>
        <w:t xml:space="preserve"> kā</w:t>
      </w:r>
      <w:r w:rsidR="001D0AC6">
        <w:rPr>
          <w:sz w:val="24"/>
          <w:szCs w:val="24"/>
        </w:rPr>
        <w:t>,</w:t>
      </w:r>
      <w:r w:rsidR="00410040">
        <w:rPr>
          <w:sz w:val="24"/>
          <w:szCs w:val="24"/>
        </w:rPr>
        <w:t xml:space="preserve"> viņuprāt</w:t>
      </w:r>
      <w:r w:rsidR="001D0AC6">
        <w:rPr>
          <w:sz w:val="24"/>
          <w:szCs w:val="24"/>
        </w:rPr>
        <w:t>,</w:t>
      </w:r>
      <w:r w:rsidR="00410040">
        <w:rPr>
          <w:sz w:val="24"/>
          <w:szCs w:val="24"/>
        </w:rPr>
        <w:t xml:space="preserve"> pēcdoktorants vēl var pilnveidot pētniecības pieteikuma ietvaros plānotās darbības un sasniedzamos rezultātus. Vidusposma zinātniskās kvalitātes vērtējums 2019. gada laikā tiks veikts</w:t>
      </w:r>
      <w:r>
        <w:rPr>
          <w:sz w:val="24"/>
          <w:szCs w:val="24"/>
        </w:rPr>
        <w:t xml:space="preserve"> 110 pētniecības pieteikumiem, savukārt 2020. g</w:t>
      </w:r>
      <w:r w:rsidR="008D1DD9">
        <w:rPr>
          <w:sz w:val="24"/>
          <w:szCs w:val="24"/>
        </w:rPr>
        <w:t>adā 8 pētniecības pieteikumiem.</w:t>
      </w:r>
    </w:p>
    <w:p w14:paraId="58AAEE4A" w14:textId="010B5110" w:rsidR="003C7D1E" w:rsidRDefault="009B55F8" w:rsidP="0024408B">
      <w:pPr>
        <w:spacing w:after="0" w:line="240" w:lineRule="auto"/>
        <w:jc w:val="both"/>
        <w:rPr>
          <w:sz w:val="24"/>
          <w:szCs w:val="24"/>
        </w:rPr>
      </w:pPr>
      <w:r>
        <w:rPr>
          <w:sz w:val="24"/>
          <w:szCs w:val="24"/>
        </w:rPr>
        <w:t>Veicot Pēcdoktorantūras pētniecības programmas 1. atlases kārtas rezultātu analīzi</w:t>
      </w:r>
      <w:r>
        <w:rPr>
          <w:rStyle w:val="FootnoteReference"/>
          <w:sz w:val="24"/>
          <w:szCs w:val="24"/>
        </w:rPr>
        <w:footnoteReference w:id="6"/>
      </w:r>
      <w:r>
        <w:rPr>
          <w:sz w:val="24"/>
          <w:szCs w:val="24"/>
        </w:rPr>
        <w:t>, tika konstatēts</w:t>
      </w:r>
      <w:r w:rsidR="00F94243">
        <w:rPr>
          <w:sz w:val="24"/>
          <w:szCs w:val="24"/>
        </w:rPr>
        <w:t xml:space="preserve">, ka </w:t>
      </w:r>
      <w:r w:rsidR="003D21A1">
        <w:rPr>
          <w:sz w:val="24"/>
          <w:szCs w:val="24"/>
        </w:rPr>
        <w:t>tās ietvaros</w:t>
      </w:r>
      <w:r w:rsidR="00DC57BA">
        <w:rPr>
          <w:sz w:val="24"/>
          <w:szCs w:val="24"/>
        </w:rPr>
        <w:t xml:space="preserve"> īstenotie</w:t>
      </w:r>
      <w:r w:rsidR="00F77523">
        <w:rPr>
          <w:sz w:val="24"/>
          <w:szCs w:val="24"/>
        </w:rPr>
        <w:t xml:space="preserve"> pētniecības pieteikum</w:t>
      </w:r>
      <w:r>
        <w:rPr>
          <w:sz w:val="24"/>
          <w:szCs w:val="24"/>
        </w:rPr>
        <w:t xml:space="preserve">i sniedz </w:t>
      </w:r>
      <w:r w:rsidR="00F94243">
        <w:rPr>
          <w:sz w:val="24"/>
          <w:szCs w:val="24"/>
        </w:rPr>
        <w:t>ne</w:t>
      </w:r>
      <w:r>
        <w:rPr>
          <w:sz w:val="24"/>
          <w:szCs w:val="24"/>
        </w:rPr>
        <w:t>pietiekamu</w:t>
      </w:r>
      <w:r w:rsidR="00F94243">
        <w:rPr>
          <w:sz w:val="24"/>
          <w:szCs w:val="24"/>
        </w:rPr>
        <w:t xml:space="preserve"> ieguldījum</w:t>
      </w:r>
      <w:r>
        <w:rPr>
          <w:sz w:val="24"/>
          <w:szCs w:val="24"/>
        </w:rPr>
        <w:t>u</w:t>
      </w:r>
      <w:r w:rsidR="00F94243">
        <w:rPr>
          <w:sz w:val="24"/>
          <w:szCs w:val="24"/>
        </w:rPr>
        <w:t xml:space="preserve"> </w:t>
      </w:r>
      <w:r w:rsidRPr="00F94243">
        <w:rPr>
          <w:sz w:val="24"/>
          <w:szCs w:val="24"/>
        </w:rPr>
        <w:t>1.1.1. SAM kopīgo iznākuma rādītāju un RIS3 mērķu sasniegšanā</w:t>
      </w:r>
      <w:r>
        <w:rPr>
          <w:sz w:val="24"/>
          <w:szCs w:val="24"/>
        </w:rPr>
        <w:t>. Tāpat</w:t>
      </w:r>
      <w:r w:rsidR="00DC57BA">
        <w:rPr>
          <w:sz w:val="24"/>
          <w:szCs w:val="24"/>
        </w:rPr>
        <w:t>, analīzes rezultātā</w:t>
      </w:r>
      <w:r>
        <w:rPr>
          <w:sz w:val="24"/>
          <w:szCs w:val="24"/>
        </w:rPr>
        <w:t xml:space="preserve"> tika konstatēt</w:t>
      </w:r>
      <w:r w:rsidR="002557BA">
        <w:rPr>
          <w:sz w:val="24"/>
          <w:szCs w:val="24"/>
        </w:rPr>
        <w:t xml:space="preserve">as </w:t>
      </w:r>
      <w:r w:rsidR="00A93FC8">
        <w:rPr>
          <w:sz w:val="24"/>
          <w:szCs w:val="24"/>
        </w:rPr>
        <w:t xml:space="preserve">arī </w:t>
      </w:r>
      <w:r w:rsidR="002557BA">
        <w:rPr>
          <w:sz w:val="24"/>
          <w:szCs w:val="24"/>
        </w:rPr>
        <w:t>citas</w:t>
      </w:r>
      <w:r>
        <w:rPr>
          <w:sz w:val="24"/>
          <w:szCs w:val="24"/>
        </w:rPr>
        <w:t xml:space="preserve"> nepiecieša</w:t>
      </w:r>
      <w:r w:rsidR="00DC57BA">
        <w:rPr>
          <w:sz w:val="24"/>
          <w:szCs w:val="24"/>
        </w:rPr>
        <w:t>mas izmaiņas programmas ieviešanas nosacījumos</w:t>
      </w:r>
      <w:r w:rsidR="002557BA">
        <w:rPr>
          <w:sz w:val="24"/>
          <w:szCs w:val="24"/>
        </w:rPr>
        <w:t>. Tādējādi</w:t>
      </w:r>
      <w:r w:rsidRPr="00806C42">
        <w:rPr>
          <w:b/>
          <w:sz w:val="24"/>
          <w:szCs w:val="24"/>
        </w:rPr>
        <w:t xml:space="preserve">, </w:t>
      </w:r>
      <w:r w:rsidR="003D0B83" w:rsidRPr="003B12FB">
        <w:rPr>
          <w:sz w:val="24"/>
          <w:szCs w:val="24"/>
        </w:rPr>
        <w:t>lai veicinātu pētniecības pieteikumu ieguldījumu 1.1.1. SAM kopīgo iznākuma rādītāju un RIS3 mērķu sasniegšanā,</w:t>
      </w:r>
      <w:r w:rsidR="003D0B83">
        <w:rPr>
          <w:sz w:val="24"/>
          <w:szCs w:val="24"/>
        </w:rPr>
        <w:t xml:space="preserve"> </w:t>
      </w:r>
      <w:r w:rsidR="00D72247">
        <w:rPr>
          <w:sz w:val="24"/>
          <w:szCs w:val="24"/>
        </w:rPr>
        <w:t>pir</w:t>
      </w:r>
      <w:r w:rsidR="008346B5">
        <w:rPr>
          <w:sz w:val="24"/>
          <w:szCs w:val="24"/>
        </w:rPr>
        <w:t>ms pētniecības pieteikumu 2.</w:t>
      </w:r>
      <w:r w:rsidR="00704F8A">
        <w:rPr>
          <w:sz w:val="24"/>
          <w:szCs w:val="24"/>
        </w:rPr>
        <w:t> </w:t>
      </w:r>
      <w:r w:rsidR="00D72247">
        <w:rPr>
          <w:sz w:val="24"/>
          <w:szCs w:val="24"/>
        </w:rPr>
        <w:t xml:space="preserve">atlases kārtas izsludināšanas, </w:t>
      </w:r>
      <w:r w:rsidR="00704F8A">
        <w:rPr>
          <w:sz w:val="24"/>
          <w:szCs w:val="24"/>
        </w:rPr>
        <w:t xml:space="preserve">tika </w:t>
      </w:r>
      <w:r w:rsidR="00D72247">
        <w:rPr>
          <w:sz w:val="24"/>
          <w:szCs w:val="24"/>
        </w:rPr>
        <w:t>veikt</w:t>
      </w:r>
      <w:r w:rsidR="003C7D1E">
        <w:rPr>
          <w:sz w:val="24"/>
          <w:szCs w:val="24"/>
        </w:rPr>
        <w:t>as</w:t>
      </w:r>
      <w:r w:rsidR="00D72247">
        <w:rPr>
          <w:sz w:val="24"/>
          <w:szCs w:val="24"/>
        </w:rPr>
        <w:t xml:space="preserve"> </w:t>
      </w:r>
      <w:r w:rsidR="003D21A1">
        <w:rPr>
          <w:sz w:val="24"/>
          <w:szCs w:val="24"/>
        </w:rPr>
        <w:t>šādas</w:t>
      </w:r>
      <w:r w:rsidR="003C7D1E">
        <w:rPr>
          <w:sz w:val="24"/>
          <w:szCs w:val="24"/>
        </w:rPr>
        <w:t xml:space="preserve"> izmaiņas programmas </w:t>
      </w:r>
      <w:r w:rsidR="00DC57BA">
        <w:rPr>
          <w:sz w:val="24"/>
          <w:szCs w:val="24"/>
        </w:rPr>
        <w:t xml:space="preserve">ieviešanas </w:t>
      </w:r>
      <w:r w:rsidR="003C7D1E">
        <w:rPr>
          <w:sz w:val="24"/>
          <w:szCs w:val="24"/>
        </w:rPr>
        <w:t>nosacījumos:</w:t>
      </w:r>
    </w:p>
    <w:p w14:paraId="30847915" w14:textId="77777777" w:rsidR="00DC57BA" w:rsidRDefault="002557BA" w:rsidP="00E62336">
      <w:pPr>
        <w:pStyle w:val="ListParagraph"/>
        <w:numPr>
          <w:ilvl w:val="0"/>
          <w:numId w:val="8"/>
        </w:numPr>
        <w:spacing w:after="0" w:line="240" w:lineRule="auto"/>
        <w:ind w:left="714" w:hanging="357"/>
        <w:jc w:val="both"/>
        <w:rPr>
          <w:sz w:val="24"/>
          <w:szCs w:val="24"/>
        </w:rPr>
      </w:pPr>
      <w:r w:rsidRPr="00DC57BA">
        <w:rPr>
          <w:sz w:val="24"/>
          <w:szCs w:val="24"/>
        </w:rPr>
        <w:t xml:space="preserve">noteikts, ka </w:t>
      </w:r>
      <w:r w:rsidR="006E1301">
        <w:rPr>
          <w:sz w:val="24"/>
          <w:szCs w:val="24"/>
        </w:rPr>
        <w:t xml:space="preserve">2. atlases kārtas ietvaros </w:t>
      </w:r>
      <w:r w:rsidRPr="00DC57BA">
        <w:rPr>
          <w:sz w:val="24"/>
          <w:szCs w:val="24"/>
        </w:rPr>
        <w:t xml:space="preserve">vērtēšanas procesā papildu punktus </w:t>
      </w:r>
      <w:r w:rsidR="00DC57BA">
        <w:rPr>
          <w:sz w:val="24"/>
          <w:szCs w:val="24"/>
        </w:rPr>
        <w:t>var</w:t>
      </w:r>
      <w:r w:rsidRPr="00DC57BA">
        <w:rPr>
          <w:sz w:val="24"/>
          <w:szCs w:val="24"/>
        </w:rPr>
        <w:t xml:space="preserve"> piešķirt tiem pētniecības pieteikumiem, kuru īstenošanas laikā plānots piesaistīt privāto līdzfinansējumu</w:t>
      </w:r>
      <w:r>
        <w:rPr>
          <w:rStyle w:val="FootnoteReference"/>
          <w:sz w:val="24"/>
          <w:szCs w:val="24"/>
        </w:rPr>
        <w:footnoteReference w:id="7"/>
      </w:r>
      <w:r w:rsidR="00DC57BA">
        <w:rPr>
          <w:sz w:val="24"/>
          <w:szCs w:val="24"/>
        </w:rPr>
        <w:t xml:space="preserve"> un </w:t>
      </w:r>
      <w:r w:rsidRPr="00DC57BA">
        <w:rPr>
          <w:sz w:val="24"/>
          <w:szCs w:val="24"/>
        </w:rPr>
        <w:t>izstrādāt jaunu produktu vai tehnoloģiju, kuru pētniecības pieteikuma dzīves cikla laikā plānots ieviest ražošanā vai pakalpojumu sniegšanā</w:t>
      </w:r>
      <w:r w:rsidR="007935E6">
        <w:rPr>
          <w:sz w:val="24"/>
          <w:szCs w:val="24"/>
        </w:rPr>
        <w:t>. Tādējādi veicinot</w:t>
      </w:r>
      <w:r w:rsidR="006E1301">
        <w:rPr>
          <w:sz w:val="24"/>
          <w:szCs w:val="24"/>
        </w:rPr>
        <w:t xml:space="preserve"> </w:t>
      </w:r>
      <w:r w:rsidR="006E1301" w:rsidRPr="00DC57BA">
        <w:rPr>
          <w:sz w:val="24"/>
          <w:szCs w:val="24"/>
        </w:rPr>
        <w:t>tādu pētniecības pieteikumu atlasi, kas jau pētniecības pieteikumu īstenošanas laikā sniedz lielāku atdevi un ieguldījumu 1.1.1. SAM kopīgo iznākuma rād</w:t>
      </w:r>
      <w:r w:rsidR="006E1301">
        <w:rPr>
          <w:sz w:val="24"/>
          <w:szCs w:val="24"/>
        </w:rPr>
        <w:t>ītāju un RIS3 mērķu sasniegšanā</w:t>
      </w:r>
      <w:r w:rsidR="00DC57BA">
        <w:rPr>
          <w:sz w:val="24"/>
          <w:szCs w:val="24"/>
        </w:rPr>
        <w:t>;</w:t>
      </w:r>
    </w:p>
    <w:p w14:paraId="6525D931" w14:textId="77777777" w:rsidR="006E1301" w:rsidRDefault="00DC57BA" w:rsidP="00E62336">
      <w:pPr>
        <w:pStyle w:val="ListParagraph"/>
        <w:numPr>
          <w:ilvl w:val="0"/>
          <w:numId w:val="8"/>
        </w:numPr>
        <w:spacing w:after="120" w:line="240" w:lineRule="auto"/>
        <w:jc w:val="both"/>
        <w:rPr>
          <w:sz w:val="24"/>
          <w:szCs w:val="24"/>
        </w:rPr>
      </w:pPr>
      <w:r w:rsidRPr="00DC57BA">
        <w:rPr>
          <w:sz w:val="24"/>
          <w:szCs w:val="24"/>
        </w:rPr>
        <w:t>svītrots</w:t>
      </w:r>
      <w:r w:rsidR="00D72247" w:rsidRPr="00DC57BA">
        <w:rPr>
          <w:sz w:val="24"/>
          <w:szCs w:val="24"/>
        </w:rPr>
        <w:t xml:space="preserve"> </w:t>
      </w:r>
      <w:r w:rsidRPr="00DC57BA">
        <w:rPr>
          <w:sz w:val="24"/>
          <w:szCs w:val="24"/>
        </w:rPr>
        <w:t>nosacījums</w:t>
      </w:r>
      <w:r w:rsidR="00FF71DE" w:rsidRPr="00DC57BA">
        <w:rPr>
          <w:sz w:val="24"/>
          <w:szCs w:val="24"/>
        </w:rPr>
        <w:t xml:space="preserve"> par </w:t>
      </w:r>
      <w:r w:rsidRPr="00DC57BA">
        <w:rPr>
          <w:sz w:val="24"/>
          <w:szCs w:val="24"/>
        </w:rPr>
        <w:t xml:space="preserve">obligātu </w:t>
      </w:r>
      <w:r w:rsidR="00704F8A" w:rsidRPr="00DC57BA">
        <w:rPr>
          <w:sz w:val="24"/>
          <w:szCs w:val="24"/>
        </w:rPr>
        <w:t>pētniecības pieteikumu priekšatlases veikšanu</w:t>
      </w:r>
      <w:r w:rsidR="00FF71DE" w:rsidRPr="00DC57BA">
        <w:rPr>
          <w:sz w:val="24"/>
          <w:szCs w:val="24"/>
        </w:rPr>
        <w:t xml:space="preserve"> </w:t>
      </w:r>
      <w:r w:rsidR="00704F8A" w:rsidRPr="00DC57BA">
        <w:rPr>
          <w:sz w:val="24"/>
          <w:szCs w:val="24"/>
        </w:rPr>
        <w:t>zinātniskajās institūcijās vai pie komersantiem</w:t>
      </w:r>
      <w:r w:rsidR="007935E6">
        <w:rPr>
          <w:sz w:val="24"/>
          <w:szCs w:val="24"/>
        </w:rPr>
        <w:t xml:space="preserve">. Tomēr </w:t>
      </w:r>
      <w:r w:rsidR="002777E7">
        <w:rPr>
          <w:sz w:val="24"/>
          <w:szCs w:val="24"/>
        </w:rPr>
        <w:t>minētās normas atcelšana</w:t>
      </w:r>
      <w:r w:rsidR="00D72247" w:rsidRPr="00DC57BA">
        <w:rPr>
          <w:sz w:val="24"/>
          <w:szCs w:val="24"/>
        </w:rPr>
        <w:t xml:space="preserve"> </w:t>
      </w:r>
      <w:r w:rsidR="007935E6">
        <w:rPr>
          <w:sz w:val="24"/>
          <w:szCs w:val="24"/>
        </w:rPr>
        <w:t>neliedz</w:t>
      </w:r>
      <w:r w:rsidR="00D72247" w:rsidRPr="00DC57BA">
        <w:rPr>
          <w:sz w:val="24"/>
          <w:szCs w:val="24"/>
        </w:rPr>
        <w:t xml:space="preserve"> </w:t>
      </w:r>
      <w:r w:rsidR="007935E6">
        <w:rPr>
          <w:sz w:val="24"/>
          <w:szCs w:val="24"/>
        </w:rPr>
        <w:t>z</w:t>
      </w:r>
      <w:r w:rsidR="00D72247" w:rsidRPr="00DC57BA">
        <w:rPr>
          <w:sz w:val="24"/>
          <w:szCs w:val="24"/>
        </w:rPr>
        <w:t>inātniskaj</w:t>
      </w:r>
      <w:r w:rsidR="007935E6">
        <w:rPr>
          <w:sz w:val="24"/>
          <w:szCs w:val="24"/>
        </w:rPr>
        <w:t>ām institūcijām un komersantiem</w:t>
      </w:r>
      <w:r w:rsidR="00D72247" w:rsidRPr="00DC57BA">
        <w:rPr>
          <w:sz w:val="24"/>
          <w:szCs w:val="24"/>
        </w:rPr>
        <w:t xml:space="preserve"> </w:t>
      </w:r>
      <w:r w:rsidRPr="00DC57BA">
        <w:rPr>
          <w:sz w:val="24"/>
          <w:szCs w:val="24"/>
        </w:rPr>
        <w:t xml:space="preserve">rīkot šādas priekšatlases, lai atlasītu konkurētspējīgākos pēcdoktorantus, sadarbībā ar kuriem </w:t>
      </w:r>
      <w:r w:rsidR="003D21A1">
        <w:rPr>
          <w:sz w:val="24"/>
          <w:szCs w:val="24"/>
        </w:rPr>
        <w:t xml:space="preserve">iesniegt </w:t>
      </w:r>
      <w:r w:rsidRPr="00DC57BA">
        <w:rPr>
          <w:sz w:val="24"/>
          <w:szCs w:val="24"/>
        </w:rPr>
        <w:t>pētniecības pieteikumus;</w:t>
      </w:r>
    </w:p>
    <w:p w14:paraId="780A2056" w14:textId="77777777" w:rsidR="006E1301" w:rsidRDefault="008346B5" w:rsidP="00E62336">
      <w:pPr>
        <w:pStyle w:val="ListParagraph"/>
        <w:numPr>
          <w:ilvl w:val="0"/>
          <w:numId w:val="8"/>
        </w:numPr>
        <w:spacing w:after="120" w:line="240" w:lineRule="auto"/>
        <w:jc w:val="both"/>
        <w:rPr>
          <w:sz w:val="24"/>
          <w:szCs w:val="24"/>
        </w:rPr>
      </w:pPr>
      <w:r w:rsidRPr="006E1301">
        <w:rPr>
          <w:sz w:val="24"/>
          <w:szCs w:val="24"/>
        </w:rPr>
        <w:t>atce</w:t>
      </w:r>
      <w:r w:rsidR="003D21A1">
        <w:rPr>
          <w:sz w:val="24"/>
          <w:szCs w:val="24"/>
        </w:rPr>
        <w:t>lts</w:t>
      </w:r>
      <w:r w:rsidRPr="006E1301">
        <w:rPr>
          <w:sz w:val="24"/>
          <w:szCs w:val="24"/>
        </w:rPr>
        <w:t xml:space="preserve"> </w:t>
      </w:r>
      <w:r w:rsidR="00D72247" w:rsidRPr="006E1301">
        <w:rPr>
          <w:sz w:val="24"/>
          <w:szCs w:val="24"/>
        </w:rPr>
        <w:t>ierobežojum</w:t>
      </w:r>
      <w:r w:rsidR="003D21A1">
        <w:rPr>
          <w:sz w:val="24"/>
          <w:szCs w:val="24"/>
        </w:rPr>
        <w:t>s</w:t>
      </w:r>
      <w:r w:rsidR="00D72247" w:rsidRPr="006E1301">
        <w:rPr>
          <w:sz w:val="24"/>
          <w:szCs w:val="24"/>
        </w:rPr>
        <w:t xml:space="preserve"> </w:t>
      </w:r>
      <w:r w:rsidR="00C77094" w:rsidRPr="006E1301">
        <w:rPr>
          <w:sz w:val="24"/>
          <w:szCs w:val="24"/>
        </w:rPr>
        <w:t xml:space="preserve">pēcdoktoranta </w:t>
      </w:r>
      <w:r w:rsidR="003C7D1E" w:rsidRPr="006E1301">
        <w:rPr>
          <w:sz w:val="24"/>
          <w:szCs w:val="24"/>
        </w:rPr>
        <w:t xml:space="preserve">nodarbinātībai </w:t>
      </w:r>
      <w:r w:rsidR="00C77094" w:rsidRPr="006E1301">
        <w:rPr>
          <w:sz w:val="24"/>
          <w:szCs w:val="24"/>
        </w:rPr>
        <w:t>ārpus pētniecības pieteikuma</w:t>
      </w:r>
      <w:r w:rsidR="00D72247" w:rsidRPr="006E1301">
        <w:rPr>
          <w:sz w:val="24"/>
          <w:szCs w:val="24"/>
        </w:rPr>
        <w:t>, paredzot, ka turpmāk</w:t>
      </w:r>
      <w:r w:rsidR="00DC57BA" w:rsidRPr="006E1301">
        <w:rPr>
          <w:sz w:val="24"/>
          <w:szCs w:val="24"/>
        </w:rPr>
        <w:t xml:space="preserve"> pēcdoktorants</w:t>
      </w:r>
      <w:r w:rsidR="00D72247" w:rsidRPr="006E1301">
        <w:rPr>
          <w:sz w:val="24"/>
          <w:szCs w:val="24"/>
        </w:rPr>
        <w:t xml:space="preserve"> ārpus pē</w:t>
      </w:r>
      <w:r w:rsidR="00C77094" w:rsidRPr="006E1301">
        <w:rPr>
          <w:sz w:val="24"/>
          <w:szCs w:val="24"/>
        </w:rPr>
        <w:t xml:space="preserve">tniecības pieteikuma var tikt nodarbināts jebkurā citā amatā vai darba vietā, lai pilnveidotu </w:t>
      </w:r>
      <w:r w:rsidR="00D72247" w:rsidRPr="006E1301">
        <w:rPr>
          <w:sz w:val="24"/>
          <w:szCs w:val="24"/>
        </w:rPr>
        <w:t>un nezaudētu līdz šim iegūto profesionālo</w:t>
      </w:r>
      <w:r w:rsidR="00C77094" w:rsidRPr="006E1301">
        <w:rPr>
          <w:sz w:val="24"/>
          <w:szCs w:val="24"/>
        </w:rPr>
        <w:t xml:space="preserve"> kvalifikāc</w:t>
      </w:r>
      <w:r w:rsidR="00704F8A" w:rsidRPr="006E1301">
        <w:rPr>
          <w:sz w:val="24"/>
          <w:szCs w:val="24"/>
        </w:rPr>
        <w:t>iju</w:t>
      </w:r>
      <w:r w:rsidR="00DC57BA" w:rsidRPr="006E1301">
        <w:rPr>
          <w:sz w:val="24"/>
          <w:szCs w:val="24"/>
        </w:rPr>
        <w:t>, nepārsniedzot 0,2 PLE;</w:t>
      </w:r>
    </w:p>
    <w:p w14:paraId="378786E4" w14:textId="77777777" w:rsidR="0088076D" w:rsidRPr="0088076D" w:rsidRDefault="006E1301" w:rsidP="00E62336">
      <w:pPr>
        <w:pStyle w:val="ListParagraph"/>
        <w:numPr>
          <w:ilvl w:val="0"/>
          <w:numId w:val="8"/>
        </w:numPr>
        <w:spacing w:after="120" w:line="240" w:lineRule="auto"/>
        <w:jc w:val="both"/>
        <w:rPr>
          <w:sz w:val="24"/>
          <w:szCs w:val="24"/>
        </w:rPr>
      </w:pPr>
      <w:r w:rsidRPr="006E1301">
        <w:rPr>
          <w:sz w:val="24"/>
          <w:szCs w:val="24"/>
        </w:rPr>
        <w:t>pilnveidoti</w:t>
      </w:r>
      <w:r w:rsidR="00704F8A" w:rsidRPr="006E1301">
        <w:rPr>
          <w:sz w:val="24"/>
          <w:szCs w:val="24"/>
        </w:rPr>
        <w:t xml:space="preserve"> pētniecības pi</w:t>
      </w:r>
      <w:r w:rsidRPr="006E1301">
        <w:rPr>
          <w:sz w:val="24"/>
          <w:szCs w:val="24"/>
        </w:rPr>
        <w:t>eteikumu īstenošanas nosacījumi</w:t>
      </w:r>
      <w:r w:rsidR="00704F8A" w:rsidRPr="006E1301">
        <w:rPr>
          <w:sz w:val="24"/>
          <w:szCs w:val="24"/>
        </w:rPr>
        <w:t>,</w:t>
      </w:r>
      <w:r w:rsidR="00125FF4" w:rsidRPr="006E1301">
        <w:rPr>
          <w:sz w:val="24"/>
          <w:szCs w:val="24"/>
        </w:rPr>
        <w:t xml:space="preserve"> </w:t>
      </w:r>
      <w:r w:rsidR="00704F8A" w:rsidRPr="006E1301">
        <w:rPr>
          <w:sz w:val="24"/>
          <w:szCs w:val="24"/>
        </w:rPr>
        <w:t>lai veicinātu komersantu iesaisti pētniecības īstenošanā un līdzfinansēšanā</w:t>
      </w:r>
      <w:r w:rsidRPr="006E1301">
        <w:rPr>
          <w:sz w:val="24"/>
          <w:szCs w:val="24"/>
        </w:rPr>
        <w:t>, t.i.</w:t>
      </w:r>
      <w:r w:rsidR="003C7D1E" w:rsidRPr="006E1301">
        <w:rPr>
          <w:sz w:val="24"/>
          <w:szCs w:val="24"/>
        </w:rPr>
        <w:t xml:space="preserve"> </w:t>
      </w:r>
      <w:r w:rsidR="008047FC">
        <w:rPr>
          <w:sz w:val="24"/>
          <w:szCs w:val="24"/>
        </w:rPr>
        <w:t>2. </w:t>
      </w:r>
      <w:r w:rsidR="00704F8A" w:rsidRPr="006E1301">
        <w:rPr>
          <w:sz w:val="24"/>
          <w:szCs w:val="24"/>
        </w:rPr>
        <w:t xml:space="preserve">atlases kārtas konkursa nolikumā </w:t>
      </w:r>
      <w:r w:rsidR="003D21A1">
        <w:rPr>
          <w:sz w:val="24"/>
          <w:szCs w:val="24"/>
        </w:rPr>
        <w:t>nosakot</w:t>
      </w:r>
      <w:r w:rsidR="00704F8A" w:rsidRPr="006E1301">
        <w:rPr>
          <w:sz w:val="24"/>
          <w:szCs w:val="24"/>
        </w:rPr>
        <w:t xml:space="preserve">, ka ar saimniecisko darbību saistītu </w:t>
      </w:r>
      <w:r w:rsidRPr="006E1301">
        <w:rPr>
          <w:sz w:val="24"/>
          <w:szCs w:val="24"/>
        </w:rPr>
        <w:t xml:space="preserve">pētniecības pieteikumu </w:t>
      </w:r>
      <w:r w:rsidR="00704F8A" w:rsidRPr="006E1301">
        <w:rPr>
          <w:sz w:val="24"/>
          <w:szCs w:val="24"/>
        </w:rPr>
        <w:t xml:space="preserve">īstenošanai pieejams finansējums 7,6 milj. </w:t>
      </w:r>
      <w:r w:rsidR="00704F8A" w:rsidRPr="006E1301">
        <w:rPr>
          <w:i/>
          <w:sz w:val="24"/>
          <w:szCs w:val="24"/>
        </w:rPr>
        <w:t>euro</w:t>
      </w:r>
      <w:r w:rsidR="00704F8A" w:rsidRPr="006E1301">
        <w:rPr>
          <w:sz w:val="24"/>
          <w:szCs w:val="24"/>
        </w:rPr>
        <w:t xml:space="preserve"> apmērā jeb 50 </w:t>
      </w:r>
      <w:r w:rsidRPr="006E1301">
        <w:rPr>
          <w:sz w:val="24"/>
          <w:szCs w:val="24"/>
        </w:rPr>
        <w:t>%</w:t>
      </w:r>
      <w:r w:rsidR="00704F8A" w:rsidRPr="006E1301">
        <w:rPr>
          <w:sz w:val="24"/>
          <w:szCs w:val="24"/>
        </w:rPr>
        <w:t xml:space="preserve"> no kopējā 2. atlases kārtas ietvaros pieejamā finansējuma. Savukārt</w:t>
      </w:r>
      <w:r w:rsidR="00D22C4E">
        <w:rPr>
          <w:sz w:val="24"/>
          <w:szCs w:val="24"/>
        </w:rPr>
        <w:t>,</w:t>
      </w:r>
      <w:r w:rsidR="00704F8A" w:rsidRPr="006E1301">
        <w:rPr>
          <w:sz w:val="24"/>
          <w:szCs w:val="24"/>
        </w:rPr>
        <w:t xml:space="preserve"> ar saimniecisko darbību nesaistītiem pētniecības pieteikumiem, kuru ietvaros plānots īstenoto rūpniecisko </w:t>
      </w:r>
      <w:r w:rsidR="003D527F">
        <w:rPr>
          <w:sz w:val="24"/>
          <w:szCs w:val="24"/>
        </w:rPr>
        <w:t xml:space="preserve">pētījumu, pieejams finansējums </w:t>
      </w:r>
      <w:r w:rsidR="00704F8A" w:rsidRPr="006E1301">
        <w:rPr>
          <w:sz w:val="24"/>
          <w:szCs w:val="24"/>
        </w:rPr>
        <w:t xml:space="preserve">6,1 milj. </w:t>
      </w:r>
      <w:r w:rsidR="00704F8A" w:rsidRPr="006E1301">
        <w:rPr>
          <w:i/>
          <w:sz w:val="24"/>
          <w:szCs w:val="24"/>
        </w:rPr>
        <w:t>euro</w:t>
      </w:r>
      <w:r w:rsidR="00704F8A" w:rsidRPr="006E1301">
        <w:rPr>
          <w:sz w:val="24"/>
          <w:szCs w:val="24"/>
        </w:rPr>
        <w:t xml:space="preserve"> apmērā jeb 40 </w:t>
      </w:r>
      <w:r w:rsidRPr="006E1301">
        <w:rPr>
          <w:sz w:val="24"/>
          <w:szCs w:val="24"/>
        </w:rPr>
        <w:t>%</w:t>
      </w:r>
      <w:r w:rsidR="00704F8A" w:rsidRPr="006E1301">
        <w:rPr>
          <w:sz w:val="24"/>
          <w:szCs w:val="24"/>
        </w:rPr>
        <w:t xml:space="preserve"> no atlases kārtai pieejamā </w:t>
      </w:r>
      <w:r w:rsidR="00704F8A" w:rsidRPr="006E1301">
        <w:rPr>
          <w:sz w:val="24"/>
          <w:szCs w:val="24"/>
        </w:rPr>
        <w:lastRenderedPageBreak/>
        <w:t>finansējuma</w:t>
      </w:r>
      <w:r w:rsidR="003D21A1">
        <w:rPr>
          <w:sz w:val="24"/>
          <w:szCs w:val="24"/>
        </w:rPr>
        <w:t xml:space="preserve">. </w:t>
      </w:r>
      <w:r w:rsidR="00D22C4E">
        <w:rPr>
          <w:sz w:val="24"/>
          <w:szCs w:val="24"/>
        </w:rPr>
        <w:t>A</w:t>
      </w:r>
      <w:r w:rsidR="00704F8A" w:rsidRPr="006E1301">
        <w:rPr>
          <w:sz w:val="24"/>
          <w:szCs w:val="24"/>
        </w:rPr>
        <w:t>r saimniecisko darbību nesaistītu fundamentālo pētniecības pieteikumu īstenošanai</w:t>
      </w:r>
      <w:r w:rsidR="00D22C4E">
        <w:rPr>
          <w:sz w:val="24"/>
          <w:szCs w:val="24"/>
        </w:rPr>
        <w:t>, savukārt,</w:t>
      </w:r>
      <w:r w:rsidR="00704F8A" w:rsidRPr="006E1301">
        <w:rPr>
          <w:sz w:val="24"/>
          <w:szCs w:val="24"/>
        </w:rPr>
        <w:t xml:space="preserve"> pieejams finansējums </w:t>
      </w:r>
      <w:r w:rsidR="003D21A1">
        <w:rPr>
          <w:sz w:val="24"/>
          <w:szCs w:val="24"/>
        </w:rPr>
        <w:t xml:space="preserve">10 % apmērā no visa 2. atlases kārtas ietvaros pieejamā finansējuma jeb </w:t>
      </w:r>
      <w:r w:rsidR="00704F8A" w:rsidRPr="006E1301">
        <w:rPr>
          <w:sz w:val="24"/>
          <w:szCs w:val="24"/>
        </w:rPr>
        <w:t xml:space="preserve">1,5 milj. </w:t>
      </w:r>
      <w:r w:rsidR="00704F8A" w:rsidRPr="006E1301">
        <w:rPr>
          <w:i/>
          <w:sz w:val="24"/>
          <w:szCs w:val="24"/>
        </w:rPr>
        <w:t>euro</w:t>
      </w:r>
      <w:r w:rsidR="008B6155">
        <w:rPr>
          <w:sz w:val="24"/>
          <w:szCs w:val="24"/>
        </w:rPr>
        <w:t>;</w:t>
      </w:r>
    </w:p>
    <w:p w14:paraId="654EB836" w14:textId="77777777" w:rsidR="00573329" w:rsidRPr="00573329" w:rsidRDefault="008B6155" w:rsidP="00E62336">
      <w:pPr>
        <w:pStyle w:val="ListParagraph"/>
        <w:numPr>
          <w:ilvl w:val="0"/>
          <w:numId w:val="8"/>
        </w:numPr>
        <w:spacing w:after="120" w:line="240" w:lineRule="auto"/>
        <w:jc w:val="both"/>
        <w:rPr>
          <w:sz w:val="24"/>
          <w:szCs w:val="24"/>
        </w:rPr>
      </w:pPr>
      <w:r w:rsidRPr="00F610D5">
        <w:rPr>
          <w:sz w:val="24"/>
          <w:szCs w:val="24"/>
        </w:rPr>
        <w:t>noteikts minimālais pēcdoktorantu ārvalstu mobilitātes ilgums</w:t>
      </w:r>
      <w:r w:rsidR="00F610D5" w:rsidRPr="00F610D5">
        <w:rPr>
          <w:sz w:val="24"/>
          <w:szCs w:val="24"/>
        </w:rPr>
        <w:t xml:space="preserve">, t.i. vismaz 6 mēneši pētniecības pieteikuma īstenošanas laikā. Pēcdoktorantu ārvalstu mobilitātes ilgums 1. atlases kārtas ietvaros netika </w:t>
      </w:r>
      <w:r w:rsidR="003D21A1">
        <w:rPr>
          <w:sz w:val="24"/>
          <w:szCs w:val="24"/>
        </w:rPr>
        <w:t xml:space="preserve">noteikts un 1. atlases kārtas </w:t>
      </w:r>
      <w:r w:rsidR="00F610D5">
        <w:rPr>
          <w:sz w:val="24"/>
          <w:szCs w:val="24"/>
        </w:rPr>
        <w:t>analīzes rezultātā tika konstatēts, ka</w:t>
      </w:r>
      <w:r w:rsidR="00573329">
        <w:rPr>
          <w:sz w:val="24"/>
          <w:szCs w:val="24"/>
        </w:rPr>
        <w:t xml:space="preserve">, lai arī iespēju </w:t>
      </w:r>
      <w:r w:rsidR="00573329" w:rsidRPr="00573329">
        <w:rPr>
          <w:sz w:val="24"/>
          <w:szCs w:val="24"/>
        </w:rPr>
        <w:t>doties ārvalstu mobilitātē pēcdoktoranti izmanto, tomēr</w:t>
      </w:r>
      <w:r w:rsidR="00573329">
        <w:rPr>
          <w:sz w:val="24"/>
          <w:szCs w:val="24"/>
        </w:rPr>
        <w:t xml:space="preserve"> ārvalstu mobilitāte</w:t>
      </w:r>
      <w:r w:rsidR="00573329" w:rsidRPr="00573329">
        <w:rPr>
          <w:sz w:val="24"/>
          <w:szCs w:val="24"/>
        </w:rPr>
        <w:t xml:space="preserve"> kā pieredzes, zinātniskās kvalitātes un kapacitātes celšanas, kā arī lab</w:t>
      </w:r>
      <w:r w:rsidR="00573329">
        <w:rPr>
          <w:sz w:val="24"/>
          <w:szCs w:val="24"/>
        </w:rPr>
        <w:t xml:space="preserve">ās prakses iegūšanas instruments netiek </w:t>
      </w:r>
      <w:r w:rsidR="00573329" w:rsidRPr="00573329">
        <w:rPr>
          <w:sz w:val="24"/>
          <w:szCs w:val="24"/>
        </w:rPr>
        <w:t>izm</w:t>
      </w:r>
      <w:r w:rsidR="00573329">
        <w:rPr>
          <w:sz w:val="24"/>
          <w:szCs w:val="24"/>
        </w:rPr>
        <w:t>antots</w:t>
      </w:r>
      <w:r w:rsidR="00573329" w:rsidRPr="00573329">
        <w:rPr>
          <w:sz w:val="24"/>
          <w:szCs w:val="24"/>
        </w:rPr>
        <w:t xml:space="preserve"> pietiekami efektīvi</w:t>
      </w:r>
      <w:r w:rsidR="00573329">
        <w:rPr>
          <w:sz w:val="24"/>
          <w:szCs w:val="24"/>
        </w:rPr>
        <w:t>.</w:t>
      </w:r>
    </w:p>
    <w:p w14:paraId="17FDD23A" w14:textId="77777777" w:rsidR="00C56926" w:rsidRDefault="00AF5D25" w:rsidP="0024408B">
      <w:pPr>
        <w:spacing w:before="240" w:after="0" w:line="240" w:lineRule="auto"/>
        <w:jc w:val="both"/>
        <w:rPr>
          <w:sz w:val="24"/>
          <w:szCs w:val="24"/>
        </w:rPr>
      </w:pPr>
      <w:r w:rsidRPr="008B6155">
        <w:rPr>
          <w:sz w:val="24"/>
          <w:szCs w:val="24"/>
        </w:rPr>
        <w:t xml:space="preserve">2018. gada 5. februārī </w:t>
      </w:r>
      <w:r w:rsidR="007E0702" w:rsidRPr="008B6155">
        <w:rPr>
          <w:sz w:val="24"/>
          <w:szCs w:val="24"/>
        </w:rPr>
        <w:t xml:space="preserve">VIAA </w:t>
      </w:r>
      <w:r w:rsidRPr="008B6155">
        <w:rPr>
          <w:sz w:val="24"/>
          <w:szCs w:val="24"/>
        </w:rPr>
        <w:t>izsludināja</w:t>
      </w:r>
      <w:r w:rsidRPr="008B6155">
        <w:rPr>
          <w:b/>
          <w:sz w:val="24"/>
          <w:szCs w:val="24"/>
        </w:rPr>
        <w:t xml:space="preserve"> Pēcdoktorantūras pētniecības programmas 2. atlases kārtu</w:t>
      </w:r>
      <w:r w:rsidRPr="008B6155">
        <w:rPr>
          <w:sz w:val="24"/>
          <w:szCs w:val="24"/>
        </w:rPr>
        <w:t xml:space="preserve">, kuras ietvaros tika saņemti 140 pētniecības pieteikumi no 23 zinātniskajām institūcijām un 5 komersantiem (t.i. </w:t>
      </w:r>
      <w:r w:rsidR="00C13B9E">
        <w:rPr>
          <w:sz w:val="24"/>
          <w:szCs w:val="24"/>
        </w:rPr>
        <w:t>18</w:t>
      </w:r>
      <w:r w:rsidRPr="008B6155">
        <w:rPr>
          <w:sz w:val="24"/>
          <w:szCs w:val="24"/>
        </w:rPr>
        <w:t> %</w:t>
      </w:r>
      <w:r w:rsidR="003D527F">
        <w:rPr>
          <w:sz w:val="24"/>
          <w:szCs w:val="24"/>
        </w:rPr>
        <w:t xml:space="preserve"> no kopējā iesniedzēju skaita).</w:t>
      </w:r>
    </w:p>
    <w:p w14:paraId="7F76B00B" w14:textId="77777777" w:rsidR="009A783C" w:rsidRDefault="00C56926" w:rsidP="0024408B">
      <w:pPr>
        <w:spacing w:before="240" w:after="0" w:line="240" w:lineRule="auto"/>
        <w:jc w:val="both"/>
        <w:rPr>
          <w:sz w:val="24"/>
          <w:szCs w:val="24"/>
        </w:rPr>
      </w:pPr>
      <w:r>
        <w:rPr>
          <w:noProof/>
          <w:lang w:val="en-US"/>
        </w:rPr>
        <w:drawing>
          <wp:anchor distT="0" distB="0" distL="114300" distR="114300" simplePos="0" relativeHeight="251660288" behindDoc="0" locked="0" layoutInCell="1" allowOverlap="1" wp14:anchorId="3094CF3D" wp14:editId="57DF2BC1">
            <wp:simplePos x="0" y="0"/>
            <wp:positionH relativeFrom="margin">
              <wp:align>left</wp:align>
            </wp:positionH>
            <wp:positionV relativeFrom="paragraph">
              <wp:posOffset>190212</wp:posOffset>
            </wp:positionV>
            <wp:extent cx="2600325" cy="1407160"/>
            <wp:effectExtent l="0" t="0" r="9525" b="254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534BF8">
        <w:rPr>
          <w:sz w:val="24"/>
          <w:szCs w:val="24"/>
        </w:rPr>
        <w:t>V</w:t>
      </w:r>
      <w:r w:rsidR="0068401F">
        <w:rPr>
          <w:sz w:val="24"/>
          <w:szCs w:val="24"/>
        </w:rPr>
        <w:t xml:space="preserve">ērtējot zinātnisko institūciju un komersantu 2. atlases kārtas ietvaros iesniegto pētniecības pieteikumu skaitu, konstatējams, </w:t>
      </w:r>
      <w:r w:rsidR="0068401F" w:rsidRPr="0007662F">
        <w:rPr>
          <w:sz w:val="24"/>
          <w:szCs w:val="24"/>
        </w:rPr>
        <w:t xml:space="preserve">ka 2. atlases kārtas ietvaros pētniecības pieteikumus </w:t>
      </w:r>
      <w:r w:rsidR="0068401F">
        <w:rPr>
          <w:sz w:val="24"/>
          <w:szCs w:val="24"/>
        </w:rPr>
        <w:t>iesniedzis</w:t>
      </w:r>
      <w:r w:rsidR="0068401F" w:rsidRPr="0007662F">
        <w:rPr>
          <w:sz w:val="24"/>
          <w:szCs w:val="24"/>
        </w:rPr>
        <w:t xml:space="preserve"> </w:t>
      </w:r>
      <w:r w:rsidR="0068401F">
        <w:rPr>
          <w:sz w:val="24"/>
          <w:szCs w:val="24"/>
        </w:rPr>
        <w:t>līdzvērtīgs</w:t>
      </w:r>
      <w:r w:rsidR="0068401F" w:rsidRPr="0007662F">
        <w:rPr>
          <w:sz w:val="24"/>
          <w:szCs w:val="24"/>
        </w:rPr>
        <w:t xml:space="preserve"> </w:t>
      </w:r>
      <w:r w:rsidR="00534BF8">
        <w:rPr>
          <w:sz w:val="24"/>
          <w:szCs w:val="24"/>
        </w:rPr>
        <w:t xml:space="preserve">zinātnisko institūciju un </w:t>
      </w:r>
      <w:r w:rsidR="0068401F" w:rsidRPr="0007662F">
        <w:rPr>
          <w:sz w:val="24"/>
          <w:szCs w:val="24"/>
        </w:rPr>
        <w:t>komersantu skaits kā 1.</w:t>
      </w:r>
      <w:r w:rsidR="0068401F">
        <w:rPr>
          <w:sz w:val="24"/>
          <w:szCs w:val="24"/>
        </w:rPr>
        <w:t> atlases kārtas</w:t>
      </w:r>
      <w:r w:rsidR="00890B5C">
        <w:rPr>
          <w:rStyle w:val="FootnoteReference"/>
          <w:sz w:val="24"/>
          <w:szCs w:val="24"/>
        </w:rPr>
        <w:footnoteReference w:id="8"/>
      </w:r>
      <w:r w:rsidR="0068401F">
        <w:rPr>
          <w:sz w:val="24"/>
          <w:szCs w:val="24"/>
        </w:rPr>
        <w:t xml:space="preserve"> ietvaros</w:t>
      </w:r>
      <w:r w:rsidR="001547F5">
        <w:rPr>
          <w:sz w:val="24"/>
          <w:szCs w:val="24"/>
        </w:rPr>
        <w:t xml:space="preserve"> (attēls Nr. 1)</w:t>
      </w:r>
      <w:r w:rsidR="00890B5C">
        <w:rPr>
          <w:sz w:val="24"/>
          <w:szCs w:val="24"/>
        </w:rPr>
        <w:t xml:space="preserve">, bet </w:t>
      </w:r>
      <w:r w:rsidR="00C13B9E">
        <w:rPr>
          <w:sz w:val="24"/>
          <w:szCs w:val="24"/>
        </w:rPr>
        <w:t xml:space="preserve">tās </w:t>
      </w:r>
      <w:r w:rsidR="0094794D">
        <w:rPr>
          <w:sz w:val="24"/>
          <w:szCs w:val="24"/>
        </w:rPr>
        <w:t xml:space="preserve">kopumā </w:t>
      </w:r>
      <w:r w:rsidR="00890B5C">
        <w:rPr>
          <w:sz w:val="24"/>
          <w:szCs w:val="24"/>
        </w:rPr>
        <w:t>ir</w:t>
      </w:r>
      <w:r w:rsidR="00C13B9E">
        <w:rPr>
          <w:sz w:val="24"/>
          <w:szCs w:val="24"/>
        </w:rPr>
        <w:t xml:space="preserve"> iesniegušas</w:t>
      </w:r>
      <w:r w:rsidR="00534BF8">
        <w:rPr>
          <w:sz w:val="24"/>
          <w:szCs w:val="24"/>
        </w:rPr>
        <w:t xml:space="preserve"> mazāku</w:t>
      </w:r>
      <w:r w:rsidR="00890B5C">
        <w:rPr>
          <w:sz w:val="24"/>
          <w:szCs w:val="24"/>
        </w:rPr>
        <w:t xml:space="preserve"> skaitu</w:t>
      </w:r>
      <w:r w:rsidR="00534BF8">
        <w:rPr>
          <w:sz w:val="24"/>
          <w:szCs w:val="24"/>
        </w:rPr>
        <w:t xml:space="preserve"> pētniec</w:t>
      </w:r>
      <w:r w:rsidR="00697183">
        <w:rPr>
          <w:sz w:val="24"/>
          <w:szCs w:val="24"/>
        </w:rPr>
        <w:t>ības</w:t>
      </w:r>
      <w:r w:rsidR="003D527F">
        <w:rPr>
          <w:sz w:val="24"/>
          <w:szCs w:val="24"/>
        </w:rPr>
        <w:t xml:space="preserve"> pieteikumu.</w:t>
      </w:r>
    </w:p>
    <w:p w14:paraId="074C7FF3" w14:textId="77777777" w:rsidR="00D83600" w:rsidRPr="005B6265" w:rsidRDefault="00AF5D25" w:rsidP="0024408B">
      <w:pPr>
        <w:spacing w:before="120" w:after="0" w:line="240" w:lineRule="auto"/>
        <w:jc w:val="both"/>
        <w:rPr>
          <w:sz w:val="24"/>
          <w:szCs w:val="24"/>
        </w:rPr>
      </w:pPr>
      <w:r w:rsidRPr="005B6265">
        <w:rPr>
          <w:sz w:val="24"/>
          <w:szCs w:val="24"/>
        </w:rPr>
        <w:t xml:space="preserve">No </w:t>
      </w:r>
      <w:r w:rsidR="009F204C" w:rsidRPr="005B6265">
        <w:rPr>
          <w:sz w:val="24"/>
          <w:szCs w:val="24"/>
        </w:rPr>
        <w:t>140</w:t>
      </w:r>
      <w:r w:rsidRPr="005B6265">
        <w:rPr>
          <w:sz w:val="24"/>
          <w:szCs w:val="24"/>
        </w:rPr>
        <w:t xml:space="preserve"> iesniegtajiem pētniecības pieteikumiem</w:t>
      </w:r>
      <w:r w:rsidR="00D83600" w:rsidRPr="005B6265">
        <w:rPr>
          <w:sz w:val="24"/>
          <w:szCs w:val="24"/>
        </w:rPr>
        <w:t>:</w:t>
      </w:r>
    </w:p>
    <w:p w14:paraId="1CD53AC3" w14:textId="77777777" w:rsidR="00D83600" w:rsidRPr="005B6265" w:rsidRDefault="00F62B9F" w:rsidP="00E62336">
      <w:pPr>
        <w:pStyle w:val="ListParagraph"/>
        <w:numPr>
          <w:ilvl w:val="0"/>
          <w:numId w:val="8"/>
        </w:numPr>
        <w:spacing w:after="0" w:line="240" w:lineRule="auto"/>
        <w:ind w:left="714" w:hanging="357"/>
        <w:jc w:val="both"/>
        <w:rPr>
          <w:sz w:val="24"/>
          <w:szCs w:val="24"/>
        </w:rPr>
      </w:pPr>
      <w:r w:rsidRPr="005B6265">
        <w:rPr>
          <w:sz w:val="24"/>
          <w:szCs w:val="24"/>
        </w:rPr>
        <w:t>11</w:t>
      </w:r>
      <w:r w:rsidR="00AF5D25" w:rsidRPr="005B6265">
        <w:rPr>
          <w:sz w:val="24"/>
          <w:szCs w:val="24"/>
        </w:rPr>
        <w:t xml:space="preserve"> </w:t>
      </w:r>
      <w:r w:rsidR="000B46F8" w:rsidRPr="005B6265">
        <w:rPr>
          <w:sz w:val="24"/>
          <w:szCs w:val="24"/>
        </w:rPr>
        <w:t>(</w:t>
      </w:r>
      <w:r w:rsidRPr="005B6265">
        <w:rPr>
          <w:sz w:val="24"/>
          <w:szCs w:val="24"/>
        </w:rPr>
        <w:t>8</w:t>
      </w:r>
      <w:r w:rsidR="000B46F8" w:rsidRPr="005B6265">
        <w:rPr>
          <w:sz w:val="24"/>
          <w:szCs w:val="24"/>
        </w:rPr>
        <w:t xml:space="preserve"> %) </w:t>
      </w:r>
      <w:r w:rsidR="00AF5D25" w:rsidRPr="005B6265">
        <w:rPr>
          <w:sz w:val="24"/>
          <w:szCs w:val="24"/>
        </w:rPr>
        <w:t>pētniecības pieteikumi noraidīti pēc administratīvajiem un atb</w:t>
      </w:r>
      <w:r w:rsidR="005B5A1D" w:rsidRPr="005B6265">
        <w:rPr>
          <w:sz w:val="24"/>
          <w:szCs w:val="24"/>
        </w:rPr>
        <w:t>il</w:t>
      </w:r>
      <w:r w:rsidR="007469FB" w:rsidRPr="005B6265">
        <w:rPr>
          <w:sz w:val="24"/>
          <w:szCs w:val="24"/>
        </w:rPr>
        <w:t>s</w:t>
      </w:r>
      <w:r w:rsidR="00BF56BC" w:rsidRPr="005B6265">
        <w:rPr>
          <w:sz w:val="24"/>
          <w:szCs w:val="24"/>
        </w:rPr>
        <w:t>tības vērtēšanas kritērijiem</w:t>
      </w:r>
      <w:r w:rsidR="00D83600" w:rsidRPr="005B6265">
        <w:rPr>
          <w:sz w:val="24"/>
          <w:szCs w:val="24"/>
        </w:rPr>
        <w:t>;</w:t>
      </w:r>
    </w:p>
    <w:p w14:paraId="3B3C0822" w14:textId="77777777" w:rsidR="00D83600" w:rsidRPr="005B6265" w:rsidRDefault="00AF5D25" w:rsidP="00E62336">
      <w:pPr>
        <w:pStyle w:val="ListParagraph"/>
        <w:numPr>
          <w:ilvl w:val="0"/>
          <w:numId w:val="8"/>
        </w:numPr>
        <w:spacing w:after="0" w:line="240" w:lineRule="auto"/>
        <w:jc w:val="both"/>
        <w:rPr>
          <w:sz w:val="24"/>
          <w:szCs w:val="24"/>
        </w:rPr>
      </w:pPr>
      <w:r w:rsidRPr="005B6265">
        <w:rPr>
          <w:sz w:val="24"/>
          <w:szCs w:val="24"/>
        </w:rPr>
        <w:t xml:space="preserve">40 </w:t>
      </w:r>
      <w:r w:rsidR="005B5A1D" w:rsidRPr="005B6265">
        <w:rPr>
          <w:sz w:val="24"/>
          <w:szCs w:val="24"/>
        </w:rPr>
        <w:t>(</w:t>
      </w:r>
      <w:r w:rsidR="00C44F57" w:rsidRPr="005B6265">
        <w:rPr>
          <w:sz w:val="24"/>
          <w:szCs w:val="24"/>
        </w:rPr>
        <w:t>29 %</w:t>
      </w:r>
      <w:r w:rsidR="005B5A1D" w:rsidRPr="005B6265">
        <w:rPr>
          <w:sz w:val="24"/>
          <w:szCs w:val="24"/>
        </w:rPr>
        <w:t>)</w:t>
      </w:r>
      <w:r w:rsidR="00C44F57" w:rsidRPr="005B6265">
        <w:rPr>
          <w:sz w:val="24"/>
          <w:szCs w:val="24"/>
        </w:rPr>
        <w:t xml:space="preserve"> </w:t>
      </w:r>
      <w:r w:rsidR="00F62B9F" w:rsidRPr="005B6265">
        <w:rPr>
          <w:sz w:val="24"/>
          <w:szCs w:val="24"/>
        </w:rPr>
        <w:t>pētniecības pieteikumi</w:t>
      </w:r>
      <w:r w:rsidR="00C44F57" w:rsidRPr="005B6265">
        <w:rPr>
          <w:sz w:val="24"/>
          <w:szCs w:val="24"/>
        </w:rPr>
        <w:t xml:space="preserve"> </w:t>
      </w:r>
      <w:r w:rsidRPr="005B6265">
        <w:rPr>
          <w:sz w:val="24"/>
          <w:szCs w:val="24"/>
        </w:rPr>
        <w:t>noraidī</w:t>
      </w:r>
      <w:r w:rsidR="000970CD" w:rsidRPr="005B6265">
        <w:rPr>
          <w:sz w:val="24"/>
          <w:szCs w:val="24"/>
        </w:rPr>
        <w:t>ti, jo zinātniskās kvalitātes vērtēšanā novērtēti zem kvalitātes sliekšņa</w:t>
      </w:r>
      <w:r w:rsidR="00D83600" w:rsidRPr="005B6265">
        <w:rPr>
          <w:sz w:val="24"/>
          <w:szCs w:val="24"/>
        </w:rPr>
        <w:t>;</w:t>
      </w:r>
    </w:p>
    <w:p w14:paraId="0910CA29" w14:textId="77777777" w:rsidR="00C56926" w:rsidRPr="00C56926" w:rsidRDefault="000306A1" w:rsidP="00E62336">
      <w:pPr>
        <w:pStyle w:val="ListParagraph"/>
        <w:numPr>
          <w:ilvl w:val="0"/>
          <w:numId w:val="8"/>
        </w:numPr>
        <w:spacing w:after="0" w:line="240" w:lineRule="auto"/>
        <w:jc w:val="both"/>
        <w:rPr>
          <w:sz w:val="24"/>
          <w:szCs w:val="24"/>
        </w:rPr>
      </w:pPr>
      <w:r w:rsidRPr="005B6265">
        <w:rPr>
          <w:sz w:val="24"/>
          <w:szCs w:val="24"/>
        </w:rPr>
        <w:t xml:space="preserve">89 </w:t>
      </w:r>
      <w:r w:rsidR="00D83600" w:rsidRPr="005B6265">
        <w:rPr>
          <w:sz w:val="24"/>
          <w:szCs w:val="24"/>
        </w:rPr>
        <w:t xml:space="preserve">(64 %) </w:t>
      </w:r>
      <w:r w:rsidR="00080652" w:rsidRPr="005B6265">
        <w:rPr>
          <w:sz w:val="24"/>
          <w:szCs w:val="24"/>
        </w:rPr>
        <w:t>pētniec</w:t>
      </w:r>
      <w:r w:rsidRPr="005B6265">
        <w:rPr>
          <w:sz w:val="24"/>
          <w:szCs w:val="24"/>
        </w:rPr>
        <w:t>ības pieteikumi</w:t>
      </w:r>
      <w:r w:rsidR="00080652" w:rsidRPr="005B6265">
        <w:rPr>
          <w:sz w:val="24"/>
          <w:szCs w:val="24"/>
        </w:rPr>
        <w:t xml:space="preserve"> </w:t>
      </w:r>
      <w:r w:rsidR="00BF56BC" w:rsidRPr="005B6265">
        <w:rPr>
          <w:sz w:val="24"/>
          <w:szCs w:val="24"/>
        </w:rPr>
        <w:t>novērtēti virs kvalitātes sliekš</w:t>
      </w:r>
      <w:r w:rsidR="002C5F40" w:rsidRPr="005B6265">
        <w:rPr>
          <w:sz w:val="24"/>
          <w:szCs w:val="24"/>
        </w:rPr>
        <w:t>ņa.</w:t>
      </w:r>
    </w:p>
    <w:p w14:paraId="64283725" w14:textId="77777777" w:rsidR="005A758D" w:rsidRDefault="00D83600" w:rsidP="000D2688">
      <w:pPr>
        <w:spacing w:after="0" w:line="240" w:lineRule="auto"/>
        <w:jc w:val="both"/>
        <w:rPr>
          <w:sz w:val="24"/>
          <w:szCs w:val="24"/>
        </w:rPr>
      </w:pPr>
      <w:r>
        <w:rPr>
          <w:sz w:val="24"/>
          <w:szCs w:val="24"/>
        </w:rPr>
        <w:t xml:space="preserve">Savukārt, no 89 virs kvalitātes sliekšņa novērtētajiem pētniecības pieteikumiem 20 pētniecības pieteikumi noraidīti </w:t>
      </w:r>
      <w:r w:rsidR="000306A1" w:rsidRPr="00D83600">
        <w:rPr>
          <w:sz w:val="24"/>
          <w:szCs w:val="24"/>
        </w:rPr>
        <w:t>nepietiekamā finansējuma dē</w:t>
      </w:r>
      <w:r>
        <w:rPr>
          <w:sz w:val="24"/>
          <w:szCs w:val="24"/>
        </w:rPr>
        <w:t xml:space="preserve">ļ, bet </w:t>
      </w:r>
      <w:r w:rsidRPr="00D83600">
        <w:rPr>
          <w:sz w:val="24"/>
          <w:szCs w:val="24"/>
        </w:rPr>
        <w:t xml:space="preserve">2 pētniecības pieteikumi noraidīti </w:t>
      </w:r>
      <w:r w:rsidR="000306A1" w:rsidRPr="00D83600">
        <w:rPr>
          <w:sz w:val="24"/>
          <w:szCs w:val="24"/>
        </w:rPr>
        <w:t xml:space="preserve">lēmumā par pētniecības pieteikumu apstiprināšanu ietverto nosacījumu neizpildes dēļ. </w:t>
      </w:r>
      <w:r w:rsidR="00AB1127">
        <w:rPr>
          <w:sz w:val="24"/>
          <w:szCs w:val="24"/>
        </w:rPr>
        <w:t>Č</w:t>
      </w:r>
      <w:r w:rsidR="00AF5D25" w:rsidRPr="00D83600">
        <w:rPr>
          <w:sz w:val="24"/>
          <w:szCs w:val="24"/>
        </w:rPr>
        <w:t xml:space="preserve">etri no 2. atlases kārtas ietvaros apstiprinātajiem pētniecības pieteikumu iesniedzējiem </w:t>
      </w:r>
      <w:r w:rsidR="00077D03" w:rsidRPr="00D83600">
        <w:rPr>
          <w:sz w:val="24"/>
          <w:szCs w:val="24"/>
        </w:rPr>
        <w:t>att</w:t>
      </w:r>
      <w:r w:rsidR="00B4350C">
        <w:rPr>
          <w:sz w:val="24"/>
          <w:szCs w:val="24"/>
        </w:rPr>
        <w:t>ei</w:t>
      </w:r>
      <w:r w:rsidR="00077D03" w:rsidRPr="00D83600">
        <w:rPr>
          <w:sz w:val="24"/>
          <w:szCs w:val="24"/>
        </w:rPr>
        <w:t xml:space="preserve">cās </w:t>
      </w:r>
      <w:r w:rsidR="00AF5D25" w:rsidRPr="00D83600">
        <w:rPr>
          <w:sz w:val="24"/>
          <w:szCs w:val="24"/>
        </w:rPr>
        <w:t xml:space="preserve">no līgumu slēgšanas, jo pētniecības pieteikuma ietvaros piesaistītie ārvalstu pēcdoktoranti pieņēmuši citu darba piedāvājumu. </w:t>
      </w:r>
      <w:r w:rsidR="00AB1127">
        <w:rPr>
          <w:sz w:val="24"/>
          <w:szCs w:val="24"/>
        </w:rPr>
        <w:t>Līdz ar to</w:t>
      </w:r>
      <w:r w:rsidR="00D9578D">
        <w:rPr>
          <w:sz w:val="24"/>
          <w:szCs w:val="24"/>
        </w:rPr>
        <w:t xml:space="preserve">, </w:t>
      </w:r>
      <w:r w:rsidR="00EC0372" w:rsidRPr="008B6155">
        <w:rPr>
          <w:sz w:val="24"/>
          <w:szCs w:val="24"/>
        </w:rPr>
        <w:t xml:space="preserve">2. atlases kārtas ietvaros </w:t>
      </w:r>
      <w:r w:rsidR="00D9578D">
        <w:rPr>
          <w:sz w:val="24"/>
          <w:szCs w:val="24"/>
        </w:rPr>
        <w:t>plānots</w:t>
      </w:r>
      <w:r w:rsidR="00EC0372">
        <w:rPr>
          <w:sz w:val="24"/>
          <w:szCs w:val="24"/>
        </w:rPr>
        <w:t xml:space="preserve"> </w:t>
      </w:r>
      <w:r w:rsidR="00EC0372" w:rsidRPr="008B6155">
        <w:rPr>
          <w:sz w:val="24"/>
          <w:szCs w:val="24"/>
        </w:rPr>
        <w:t>sl</w:t>
      </w:r>
      <w:r w:rsidR="00D9578D">
        <w:rPr>
          <w:sz w:val="24"/>
          <w:szCs w:val="24"/>
        </w:rPr>
        <w:t>ēgt</w:t>
      </w:r>
      <w:r w:rsidR="00EC0372">
        <w:rPr>
          <w:sz w:val="24"/>
          <w:szCs w:val="24"/>
        </w:rPr>
        <w:t xml:space="preserve"> līgum</w:t>
      </w:r>
      <w:r w:rsidR="00D9578D">
        <w:rPr>
          <w:sz w:val="24"/>
          <w:szCs w:val="24"/>
        </w:rPr>
        <w:t>us</w:t>
      </w:r>
      <w:r w:rsidR="00EC0372" w:rsidRPr="008B6155">
        <w:rPr>
          <w:sz w:val="24"/>
          <w:szCs w:val="24"/>
        </w:rPr>
        <w:t xml:space="preserve"> ar</w:t>
      </w:r>
      <w:r w:rsidR="00EC0372">
        <w:rPr>
          <w:sz w:val="24"/>
          <w:szCs w:val="24"/>
        </w:rPr>
        <w:t xml:space="preserve"> 18 zinātniskajām institūcijām un vienu komersantu par</w:t>
      </w:r>
      <w:r w:rsidR="00EC0372" w:rsidRPr="008B6155">
        <w:rPr>
          <w:sz w:val="24"/>
          <w:szCs w:val="24"/>
        </w:rPr>
        <w:t xml:space="preserve"> 63 pētniec</w:t>
      </w:r>
      <w:r w:rsidR="00EC0372">
        <w:rPr>
          <w:sz w:val="24"/>
          <w:szCs w:val="24"/>
        </w:rPr>
        <w:t>ības pieteikumu īsten</w:t>
      </w:r>
      <w:r>
        <w:rPr>
          <w:sz w:val="24"/>
          <w:szCs w:val="24"/>
        </w:rPr>
        <w:t>ošanu</w:t>
      </w:r>
      <w:r w:rsidR="00AB1127">
        <w:rPr>
          <w:sz w:val="24"/>
          <w:szCs w:val="24"/>
        </w:rPr>
        <w:t>. Pētniecības pieteikumu īstenošanai</w:t>
      </w:r>
      <w:r w:rsidR="004E68C4">
        <w:rPr>
          <w:sz w:val="24"/>
          <w:szCs w:val="24"/>
        </w:rPr>
        <w:t xml:space="preserve"> piesaistot </w:t>
      </w:r>
      <w:r w:rsidR="00D9578D">
        <w:rPr>
          <w:sz w:val="24"/>
          <w:szCs w:val="24"/>
        </w:rPr>
        <w:t>kopējo attiecināmo finansējum</w:t>
      </w:r>
      <w:r w:rsidR="004E68C4">
        <w:rPr>
          <w:sz w:val="24"/>
          <w:szCs w:val="24"/>
        </w:rPr>
        <w:t>u</w:t>
      </w:r>
      <w:r w:rsidR="00EC0372">
        <w:rPr>
          <w:sz w:val="24"/>
          <w:szCs w:val="24"/>
        </w:rPr>
        <w:t xml:space="preserve"> </w:t>
      </w:r>
      <w:r w:rsidR="00EC0372" w:rsidRPr="008B6155">
        <w:rPr>
          <w:sz w:val="24"/>
          <w:szCs w:val="24"/>
        </w:rPr>
        <w:t xml:space="preserve">8,4 milj. </w:t>
      </w:r>
      <w:r w:rsidR="00EC0372" w:rsidRPr="008B6155">
        <w:rPr>
          <w:i/>
          <w:sz w:val="24"/>
          <w:szCs w:val="24"/>
        </w:rPr>
        <w:t>euro</w:t>
      </w:r>
      <w:r w:rsidR="00D9578D">
        <w:rPr>
          <w:i/>
          <w:sz w:val="24"/>
          <w:szCs w:val="24"/>
        </w:rPr>
        <w:t xml:space="preserve"> </w:t>
      </w:r>
      <w:r w:rsidR="00D9578D" w:rsidRPr="00D9578D">
        <w:rPr>
          <w:sz w:val="24"/>
          <w:szCs w:val="24"/>
        </w:rPr>
        <w:t>apmērā</w:t>
      </w:r>
      <w:r w:rsidR="00EC0372" w:rsidRPr="00D9578D">
        <w:rPr>
          <w:sz w:val="24"/>
          <w:szCs w:val="24"/>
        </w:rPr>
        <w:t>,</w:t>
      </w:r>
      <w:r w:rsidR="004E68C4">
        <w:rPr>
          <w:sz w:val="24"/>
          <w:szCs w:val="24"/>
        </w:rPr>
        <w:t xml:space="preserve"> </w:t>
      </w:r>
      <w:r w:rsidR="00D347FD">
        <w:rPr>
          <w:sz w:val="24"/>
          <w:szCs w:val="24"/>
        </w:rPr>
        <w:t>ko veido</w:t>
      </w:r>
      <w:r w:rsidR="004E68C4">
        <w:rPr>
          <w:sz w:val="24"/>
          <w:szCs w:val="24"/>
        </w:rPr>
        <w:t xml:space="preserve"> ERAF finansējum</w:t>
      </w:r>
      <w:r w:rsidR="00D347FD">
        <w:rPr>
          <w:sz w:val="24"/>
          <w:szCs w:val="24"/>
        </w:rPr>
        <w:t>s</w:t>
      </w:r>
      <w:r w:rsidR="00EC0372" w:rsidRPr="008B6155">
        <w:rPr>
          <w:sz w:val="24"/>
          <w:szCs w:val="24"/>
        </w:rPr>
        <w:t xml:space="preserve"> 7,1 milj. </w:t>
      </w:r>
      <w:r w:rsidR="00EC0372" w:rsidRPr="008B6155">
        <w:rPr>
          <w:i/>
          <w:sz w:val="24"/>
          <w:szCs w:val="24"/>
        </w:rPr>
        <w:t>euro</w:t>
      </w:r>
      <w:r w:rsidR="00D347FD">
        <w:rPr>
          <w:sz w:val="24"/>
          <w:szCs w:val="24"/>
        </w:rPr>
        <w:t>, valsts budžeta finansējums</w:t>
      </w:r>
      <w:r w:rsidR="00EC0372" w:rsidRPr="008B6155">
        <w:rPr>
          <w:sz w:val="24"/>
          <w:szCs w:val="24"/>
        </w:rPr>
        <w:t xml:space="preserve"> 0,8 milj. </w:t>
      </w:r>
      <w:r w:rsidR="00EC0372" w:rsidRPr="008B6155">
        <w:rPr>
          <w:i/>
          <w:sz w:val="24"/>
          <w:szCs w:val="24"/>
        </w:rPr>
        <w:t>euro</w:t>
      </w:r>
      <w:r w:rsidR="00D347FD">
        <w:rPr>
          <w:sz w:val="24"/>
          <w:szCs w:val="24"/>
        </w:rPr>
        <w:t xml:space="preserve"> un pašu līdzfinansējums</w:t>
      </w:r>
      <w:r w:rsidR="00EC0372" w:rsidRPr="008B6155">
        <w:rPr>
          <w:sz w:val="24"/>
          <w:szCs w:val="24"/>
        </w:rPr>
        <w:t xml:space="preserve"> 0,5 milj. </w:t>
      </w:r>
      <w:r w:rsidR="00EC0372" w:rsidRPr="008B6155">
        <w:rPr>
          <w:i/>
          <w:sz w:val="24"/>
          <w:szCs w:val="24"/>
        </w:rPr>
        <w:t>euro</w:t>
      </w:r>
      <w:r w:rsidR="000D2688">
        <w:rPr>
          <w:i/>
          <w:sz w:val="24"/>
          <w:szCs w:val="24"/>
        </w:rPr>
        <w:t xml:space="preserve"> </w:t>
      </w:r>
      <w:r w:rsidR="000D2688">
        <w:rPr>
          <w:sz w:val="24"/>
          <w:szCs w:val="24"/>
        </w:rPr>
        <w:t>apmērā.</w:t>
      </w:r>
      <w:r w:rsidR="000D2688" w:rsidRPr="00CC54A7">
        <w:rPr>
          <w:rFonts w:ascii="Times New Roman" w:hAnsi="Times New Roman" w:cs="Times New Roman"/>
          <w:sz w:val="24"/>
          <w:szCs w:val="24"/>
        </w:rPr>
        <w:t xml:space="preserve"> </w:t>
      </w:r>
      <w:r w:rsidR="00B4350C" w:rsidRPr="002873B7">
        <w:rPr>
          <w:sz w:val="24"/>
          <w:szCs w:val="24"/>
        </w:rPr>
        <w:t>Saskaņā ar V</w:t>
      </w:r>
      <w:r w:rsidR="006E054C">
        <w:rPr>
          <w:sz w:val="24"/>
          <w:szCs w:val="24"/>
        </w:rPr>
        <w:t xml:space="preserve">IAA sniegto informāciju, </w:t>
      </w:r>
      <w:r w:rsidR="00B4350C" w:rsidRPr="002873B7">
        <w:rPr>
          <w:sz w:val="24"/>
          <w:szCs w:val="24"/>
        </w:rPr>
        <w:t xml:space="preserve">2. atlases kārtas ietvaros </w:t>
      </w:r>
      <w:r w:rsidR="00F35244">
        <w:rPr>
          <w:sz w:val="24"/>
          <w:szCs w:val="24"/>
        </w:rPr>
        <w:t>līdz 01.02</w:t>
      </w:r>
      <w:r w:rsidR="00F35244" w:rsidRPr="002873B7">
        <w:rPr>
          <w:sz w:val="24"/>
          <w:szCs w:val="24"/>
        </w:rPr>
        <w:t xml:space="preserve">.2019. </w:t>
      </w:r>
      <w:r w:rsidR="00B4350C" w:rsidRPr="002873B7">
        <w:rPr>
          <w:sz w:val="24"/>
          <w:szCs w:val="24"/>
        </w:rPr>
        <w:t xml:space="preserve">noslēgti </w:t>
      </w:r>
      <w:r w:rsidR="006E054C">
        <w:rPr>
          <w:sz w:val="24"/>
          <w:szCs w:val="24"/>
        </w:rPr>
        <w:t>50</w:t>
      </w:r>
      <w:r w:rsidR="00B4350C" w:rsidRPr="002873B7">
        <w:rPr>
          <w:sz w:val="24"/>
          <w:szCs w:val="24"/>
        </w:rPr>
        <w:t xml:space="preserve"> līgumi par pētniecības pieteikuma īstenošanu.</w:t>
      </w:r>
    </w:p>
    <w:p w14:paraId="75D885BE" w14:textId="77777777" w:rsidR="004E7738" w:rsidRDefault="00BE692A" w:rsidP="0024408B">
      <w:pPr>
        <w:pStyle w:val="ListParagraph"/>
        <w:spacing w:before="120" w:after="0" w:line="240" w:lineRule="auto"/>
        <w:ind w:left="0"/>
        <w:jc w:val="both"/>
        <w:rPr>
          <w:sz w:val="24"/>
          <w:szCs w:val="24"/>
        </w:rPr>
      </w:pPr>
      <w:r w:rsidRPr="00BE692A">
        <w:rPr>
          <w:b/>
          <w:sz w:val="24"/>
          <w:szCs w:val="24"/>
        </w:rPr>
        <w:t>Pētniecības pieteikumu sekmība.</w:t>
      </w:r>
      <w:r>
        <w:rPr>
          <w:sz w:val="24"/>
          <w:szCs w:val="24"/>
        </w:rPr>
        <w:t xml:space="preserve"> </w:t>
      </w:r>
      <w:r w:rsidR="00736C2C">
        <w:rPr>
          <w:sz w:val="24"/>
          <w:szCs w:val="24"/>
        </w:rPr>
        <w:t>A</w:t>
      </w:r>
      <w:r w:rsidR="009D31D0">
        <w:rPr>
          <w:sz w:val="24"/>
          <w:szCs w:val="24"/>
        </w:rPr>
        <w:t>nalizējot</w:t>
      </w:r>
      <w:r w:rsidR="00C13709" w:rsidRPr="00470668">
        <w:rPr>
          <w:sz w:val="24"/>
          <w:szCs w:val="24"/>
        </w:rPr>
        <w:t xml:space="preserve"> Pēcdoktorantūras pētniecības programmas abu atlases kārtu rezultātus</w:t>
      </w:r>
      <w:r w:rsidR="00736C2C">
        <w:rPr>
          <w:sz w:val="24"/>
          <w:szCs w:val="24"/>
        </w:rPr>
        <w:t>,</w:t>
      </w:r>
      <w:r w:rsidR="009A783C">
        <w:rPr>
          <w:sz w:val="24"/>
          <w:szCs w:val="24"/>
        </w:rPr>
        <w:t xml:space="preserve"> konstatēts</w:t>
      </w:r>
      <w:r w:rsidR="00C13709" w:rsidRPr="00470668">
        <w:rPr>
          <w:sz w:val="24"/>
          <w:szCs w:val="24"/>
        </w:rPr>
        <w:t xml:space="preserve">, ka iesniegtajiem pētniecības pieteikumiem </w:t>
      </w:r>
      <w:r w:rsidR="00C22414" w:rsidRPr="00470668">
        <w:rPr>
          <w:sz w:val="24"/>
          <w:szCs w:val="24"/>
        </w:rPr>
        <w:t>ir atšķir</w:t>
      </w:r>
      <w:r w:rsidR="00470668" w:rsidRPr="00470668">
        <w:rPr>
          <w:sz w:val="24"/>
          <w:szCs w:val="24"/>
        </w:rPr>
        <w:t xml:space="preserve">īga </w:t>
      </w:r>
      <w:r w:rsidR="00470668">
        <w:rPr>
          <w:sz w:val="24"/>
          <w:szCs w:val="24"/>
        </w:rPr>
        <w:t>ne tikai</w:t>
      </w:r>
      <w:r w:rsidR="00470668" w:rsidRPr="00470668">
        <w:rPr>
          <w:sz w:val="24"/>
          <w:szCs w:val="24"/>
        </w:rPr>
        <w:t xml:space="preserve"> </w:t>
      </w:r>
      <w:r w:rsidR="007935E6">
        <w:rPr>
          <w:sz w:val="24"/>
          <w:szCs w:val="24"/>
        </w:rPr>
        <w:t xml:space="preserve">iesniegtās dokumentācijas kvalitāte, bet arī </w:t>
      </w:r>
      <w:r w:rsidR="00470668" w:rsidRPr="00470668">
        <w:rPr>
          <w:sz w:val="24"/>
          <w:szCs w:val="24"/>
        </w:rPr>
        <w:t>zin</w:t>
      </w:r>
      <w:r w:rsidR="00470668">
        <w:rPr>
          <w:sz w:val="24"/>
          <w:szCs w:val="24"/>
        </w:rPr>
        <w:t xml:space="preserve">ātniskā kvalitāte, </w:t>
      </w:r>
      <w:r w:rsidR="007935E6">
        <w:rPr>
          <w:sz w:val="24"/>
          <w:szCs w:val="24"/>
        </w:rPr>
        <w:t>par ko liecina katra individuālā pētniecības pieteikuma vērtēšanā saņemtais vērtējums.</w:t>
      </w:r>
      <w:r w:rsidR="00551581">
        <w:rPr>
          <w:sz w:val="24"/>
          <w:szCs w:val="24"/>
        </w:rPr>
        <w:t xml:space="preserve"> </w:t>
      </w:r>
      <w:r w:rsidR="009443AB">
        <w:rPr>
          <w:sz w:val="24"/>
          <w:szCs w:val="24"/>
        </w:rPr>
        <w:t xml:space="preserve">Ieskatam, </w:t>
      </w:r>
      <w:r w:rsidR="00551581">
        <w:rPr>
          <w:sz w:val="24"/>
          <w:szCs w:val="24"/>
        </w:rPr>
        <w:t xml:space="preserve">2. atlases kārtas pētniecības pieteikumu vērtēšanā visaugstākais kopējais viena pētniecības pieteikuma </w:t>
      </w:r>
      <w:r w:rsidR="00551581">
        <w:rPr>
          <w:sz w:val="24"/>
          <w:szCs w:val="24"/>
        </w:rPr>
        <w:lastRenderedPageBreak/>
        <w:t>iegūtais punktu skaits bija 3,75 punkti, savukārt viszem</w:t>
      </w:r>
      <w:r w:rsidR="004E7738">
        <w:rPr>
          <w:sz w:val="24"/>
          <w:szCs w:val="24"/>
        </w:rPr>
        <w:t xml:space="preserve">ākais 2,36 punkti, savukārt </w:t>
      </w:r>
      <w:r w:rsidR="00254CF5">
        <w:rPr>
          <w:sz w:val="24"/>
          <w:szCs w:val="24"/>
        </w:rPr>
        <w:t xml:space="preserve">zinātniskās </w:t>
      </w:r>
      <w:r w:rsidR="004E7738">
        <w:rPr>
          <w:noProof/>
          <w:lang w:val="en-US"/>
        </w:rPr>
        <w:drawing>
          <wp:anchor distT="0" distB="0" distL="114300" distR="114300" simplePos="0" relativeHeight="251661312" behindDoc="0" locked="0" layoutInCell="1" allowOverlap="1" wp14:anchorId="279E67BA" wp14:editId="02FE1188">
            <wp:simplePos x="0" y="0"/>
            <wp:positionH relativeFrom="margin">
              <wp:align>right</wp:align>
            </wp:positionH>
            <wp:positionV relativeFrom="paragraph">
              <wp:posOffset>62230</wp:posOffset>
            </wp:positionV>
            <wp:extent cx="3105150" cy="1602740"/>
            <wp:effectExtent l="0" t="0" r="0" b="16510"/>
            <wp:wrapThrough wrapText="bothSides">
              <wp:wrapPolygon edited="0">
                <wp:start x="0" y="0"/>
                <wp:lineTo x="0" y="21566"/>
                <wp:lineTo x="21467" y="21566"/>
                <wp:lineTo x="21467"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254CF5">
        <w:rPr>
          <w:sz w:val="24"/>
          <w:szCs w:val="24"/>
        </w:rPr>
        <w:t>kvalitātes vērtēšanā augstākais iegūtais punktu skaits bija 3,5 punkti (maksimālais iespējamais punktu skaits), bet viszemākais 1,2 punkti.</w:t>
      </w:r>
      <w:r w:rsidR="009A783C">
        <w:rPr>
          <w:sz w:val="24"/>
          <w:szCs w:val="24"/>
        </w:rPr>
        <w:t xml:space="preserve"> </w:t>
      </w:r>
    </w:p>
    <w:p w14:paraId="0E8FBB2B" w14:textId="77777777" w:rsidR="00301413" w:rsidRDefault="004E7738" w:rsidP="0024408B">
      <w:pPr>
        <w:pStyle w:val="ListParagraph"/>
        <w:spacing w:before="120" w:after="0" w:line="240" w:lineRule="auto"/>
        <w:ind w:left="0"/>
        <w:jc w:val="both"/>
        <w:rPr>
          <w:sz w:val="24"/>
          <w:szCs w:val="24"/>
        </w:rPr>
      </w:pPr>
      <w:r>
        <w:rPr>
          <w:sz w:val="24"/>
          <w:szCs w:val="24"/>
        </w:rPr>
        <w:t>N</w:t>
      </w:r>
      <w:r w:rsidR="00470668">
        <w:rPr>
          <w:sz w:val="24"/>
          <w:szCs w:val="24"/>
        </w:rPr>
        <w:t xml:space="preserve">o abās Pēcdoktorantūras pētniecības programmas </w:t>
      </w:r>
      <w:r w:rsidR="00A31E5F">
        <w:rPr>
          <w:sz w:val="24"/>
          <w:szCs w:val="24"/>
        </w:rPr>
        <w:t xml:space="preserve">atlases kārtas </w:t>
      </w:r>
      <w:r w:rsidR="00470668">
        <w:rPr>
          <w:sz w:val="24"/>
          <w:szCs w:val="24"/>
        </w:rPr>
        <w:t>ietvaros kopumā 386 iesniegtajiem pētniecības pieteikumiem 16 (4 %) pētniecības pieteikumi nav nodrošinājuši atbilstību administratīvajiem un atbilstības vērtēšanas kritērijiem</w:t>
      </w:r>
      <w:r>
        <w:rPr>
          <w:sz w:val="24"/>
          <w:szCs w:val="24"/>
        </w:rPr>
        <w:t xml:space="preserve"> (attēls Nr.</w:t>
      </w:r>
      <w:r w:rsidR="001547F5">
        <w:rPr>
          <w:sz w:val="24"/>
          <w:szCs w:val="24"/>
        </w:rPr>
        <w:t> </w:t>
      </w:r>
      <w:r>
        <w:rPr>
          <w:sz w:val="24"/>
          <w:szCs w:val="24"/>
        </w:rPr>
        <w:t>2)</w:t>
      </w:r>
      <w:r w:rsidR="00470668">
        <w:rPr>
          <w:sz w:val="24"/>
          <w:szCs w:val="24"/>
        </w:rPr>
        <w:t xml:space="preserve">. Lielākoties tas saistīts ar to, ka nav iesniegti visi obligātie </w:t>
      </w:r>
      <w:r w:rsidR="007935E6">
        <w:rPr>
          <w:sz w:val="24"/>
          <w:szCs w:val="24"/>
        </w:rPr>
        <w:t>pētniecības pieteikumu pielikumi</w:t>
      </w:r>
      <w:r w:rsidR="00470668">
        <w:rPr>
          <w:sz w:val="24"/>
          <w:szCs w:val="24"/>
        </w:rPr>
        <w:t xml:space="preserve"> vai dokumentācija nav sagatavota atbilstoši attiecīgās atlases kārtas nolikumā noteiktajām prasīb</w:t>
      </w:r>
      <w:r w:rsidR="00F44D75">
        <w:rPr>
          <w:sz w:val="24"/>
          <w:szCs w:val="24"/>
        </w:rPr>
        <w:t xml:space="preserve">ām. </w:t>
      </w:r>
      <w:r w:rsidR="00301413">
        <w:rPr>
          <w:sz w:val="24"/>
          <w:szCs w:val="24"/>
        </w:rPr>
        <w:t>Savukārt 129 jeb 33 % no iesniegtajiem pētniecības pieteikumiem, zinātniskās kvalitātes vērtēšanas procesā nav ieguvuši pietiekamu vērtējumu, lai tiktu virzīti apstiprināšanai.</w:t>
      </w:r>
      <w:r w:rsidR="00254CF5" w:rsidRPr="00254CF5">
        <w:rPr>
          <w:sz w:val="24"/>
          <w:szCs w:val="24"/>
        </w:rPr>
        <w:t xml:space="preserve"> </w:t>
      </w:r>
      <w:r w:rsidR="00254CF5">
        <w:rPr>
          <w:sz w:val="24"/>
          <w:szCs w:val="24"/>
        </w:rPr>
        <w:t xml:space="preserve">Atsevišķi vērtējot komersantu sniegumu abu atlases kārtu ietvaros, redzams, ka 6 no 15 iesniegtajiem pētniecības pieteikumiem tika noraidīti </w:t>
      </w:r>
      <w:r w:rsidR="00254CF5" w:rsidRPr="005B6265">
        <w:rPr>
          <w:sz w:val="24"/>
          <w:szCs w:val="24"/>
        </w:rPr>
        <w:t>pēc administratīvajiem un atbilstības vērtēšanas kritērijiem</w:t>
      </w:r>
      <w:r w:rsidR="00254CF5">
        <w:rPr>
          <w:sz w:val="24"/>
          <w:szCs w:val="24"/>
        </w:rPr>
        <w:t xml:space="preserve">, savukārt 5 </w:t>
      </w:r>
      <w:r w:rsidR="00254CF5" w:rsidRPr="005B6265">
        <w:rPr>
          <w:sz w:val="24"/>
          <w:szCs w:val="24"/>
        </w:rPr>
        <w:t xml:space="preserve">noraidīti, jo zinātniskās kvalitātes vērtēšanā </w:t>
      </w:r>
      <w:r w:rsidR="00254CF5">
        <w:rPr>
          <w:sz w:val="24"/>
          <w:szCs w:val="24"/>
        </w:rPr>
        <w:t xml:space="preserve">nav ieguvuši minimāli nepieciešamo punktu skaitu. </w:t>
      </w:r>
    </w:p>
    <w:p w14:paraId="3B0C1EE3" w14:textId="77777777" w:rsidR="00C93161" w:rsidRDefault="004E7738" w:rsidP="0024408B">
      <w:pPr>
        <w:spacing w:before="120" w:after="120" w:line="240" w:lineRule="auto"/>
        <w:jc w:val="both"/>
        <w:rPr>
          <w:sz w:val="24"/>
          <w:szCs w:val="24"/>
        </w:rPr>
      </w:pPr>
      <w:r>
        <w:rPr>
          <w:sz w:val="24"/>
          <w:szCs w:val="24"/>
        </w:rPr>
        <w:t>V</w:t>
      </w:r>
      <w:r w:rsidR="00AE6185">
        <w:rPr>
          <w:sz w:val="24"/>
          <w:szCs w:val="24"/>
        </w:rPr>
        <w:t>isvairāk pētniecības pieteikumus</w:t>
      </w:r>
      <w:r>
        <w:rPr>
          <w:sz w:val="24"/>
          <w:szCs w:val="24"/>
        </w:rPr>
        <w:t xml:space="preserve"> abu atlases kārtu ietvaros īstenos Latvijas Universitāte (55 p</w:t>
      </w:r>
      <w:r w:rsidR="003D527F">
        <w:rPr>
          <w:sz w:val="24"/>
          <w:szCs w:val="24"/>
        </w:rPr>
        <w:t xml:space="preserve">ētniecības pieteikumi jeb 28 % no </w:t>
      </w:r>
      <w:r>
        <w:rPr>
          <w:sz w:val="24"/>
          <w:szCs w:val="24"/>
        </w:rPr>
        <w:t>visiem apstiprinātajiem pētniecības pieteikumiem), Rīgas Tehniskā universitāte (48 pētniecības pieteikumi</w:t>
      </w:r>
      <w:r w:rsidR="00E2685C">
        <w:rPr>
          <w:sz w:val="24"/>
          <w:szCs w:val="24"/>
        </w:rPr>
        <w:t xml:space="preserve"> jeb 25 %</w:t>
      </w:r>
      <w:r>
        <w:rPr>
          <w:sz w:val="24"/>
          <w:szCs w:val="24"/>
        </w:rPr>
        <w:t xml:space="preserve">), </w:t>
      </w:r>
      <w:r w:rsidR="00AE6185">
        <w:rPr>
          <w:sz w:val="24"/>
          <w:szCs w:val="24"/>
        </w:rPr>
        <w:t xml:space="preserve">Latvijas Organiskās sintēzes institūts </w:t>
      </w:r>
      <w:r>
        <w:rPr>
          <w:sz w:val="24"/>
          <w:szCs w:val="24"/>
        </w:rPr>
        <w:t>(18 pētniecības pieteikumi) un Latvijas Biomedicīnas pētījumu un studiju centrs</w:t>
      </w:r>
      <w:r w:rsidR="001547F5">
        <w:rPr>
          <w:sz w:val="24"/>
          <w:szCs w:val="24"/>
        </w:rPr>
        <w:t xml:space="preserve">, kas īstenos </w:t>
      </w:r>
      <w:r>
        <w:rPr>
          <w:sz w:val="24"/>
          <w:szCs w:val="24"/>
        </w:rPr>
        <w:t>8 pētniecības pieteikum</w:t>
      </w:r>
      <w:r w:rsidR="001547F5">
        <w:rPr>
          <w:sz w:val="24"/>
          <w:szCs w:val="24"/>
        </w:rPr>
        <w:t>us (attēls Nr. 3)</w:t>
      </w:r>
      <w:r>
        <w:rPr>
          <w:sz w:val="24"/>
          <w:szCs w:val="24"/>
        </w:rPr>
        <w:t>.</w:t>
      </w:r>
    </w:p>
    <w:p w14:paraId="5B09C221" w14:textId="77777777" w:rsidR="00C93161" w:rsidRDefault="00013867" w:rsidP="0024408B">
      <w:pPr>
        <w:spacing w:before="120" w:after="120" w:line="240" w:lineRule="auto"/>
        <w:jc w:val="center"/>
        <w:rPr>
          <w:sz w:val="24"/>
          <w:szCs w:val="24"/>
        </w:rPr>
      </w:pPr>
      <w:r>
        <w:rPr>
          <w:noProof/>
          <w:lang w:val="en-US"/>
        </w:rPr>
        <w:drawing>
          <wp:inline distT="0" distB="0" distL="0" distR="0" wp14:anchorId="67F34268" wp14:editId="7A476BDE">
            <wp:extent cx="4363720" cy="2000992"/>
            <wp:effectExtent l="0" t="0" r="17780"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6959C3" w14:textId="77777777" w:rsidR="00E62336" w:rsidRDefault="00D460E1" w:rsidP="00E62336">
      <w:pPr>
        <w:spacing w:before="120" w:after="0" w:line="240" w:lineRule="auto"/>
        <w:jc w:val="both"/>
        <w:rPr>
          <w:sz w:val="24"/>
          <w:szCs w:val="24"/>
        </w:rPr>
      </w:pPr>
      <w:r>
        <w:rPr>
          <w:sz w:val="24"/>
          <w:szCs w:val="24"/>
        </w:rPr>
        <w:t>V</w:t>
      </w:r>
      <w:r w:rsidR="000852C5">
        <w:rPr>
          <w:sz w:val="24"/>
          <w:szCs w:val="24"/>
        </w:rPr>
        <w:t>isaugstākais sekmības rādītājs</w:t>
      </w:r>
      <w:r w:rsidR="000852C5">
        <w:rPr>
          <w:rStyle w:val="FootnoteReference"/>
          <w:sz w:val="24"/>
          <w:szCs w:val="24"/>
        </w:rPr>
        <w:footnoteReference w:id="9"/>
      </w:r>
      <w:r w:rsidR="000852C5">
        <w:rPr>
          <w:sz w:val="24"/>
          <w:szCs w:val="24"/>
        </w:rPr>
        <w:t xml:space="preserve"> starp zinātniskajām institūcijām un komersantiem, kas iesnieguši vismaz </w:t>
      </w:r>
      <w:r w:rsidR="00B9294D">
        <w:rPr>
          <w:sz w:val="24"/>
          <w:szCs w:val="24"/>
        </w:rPr>
        <w:t>6</w:t>
      </w:r>
      <w:r w:rsidR="000852C5">
        <w:rPr>
          <w:sz w:val="24"/>
          <w:szCs w:val="24"/>
        </w:rPr>
        <w:t xml:space="preserve"> un va</w:t>
      </w:r>
      <w:r w:rsidR="00FC33B4">
        <w:rPr>
          <w:sz w:val="24"/>
          <w:szCs w:val="24"/>
        </w:rPr>
        <w:t>irāk pētniecības pieteikumus abās</w:t>
      </w:r>
      <w:r w:rsidR="000852C5">
        <w:rPr>
          <w:sz w:val="24"/>
          <w:szCs w:val="24"/>
        </w:rPr>
        <w:t xml:space="preserve"> atlases kārtās</w:t>
      </w:r>
      <w:r>
        <w:rPr>
          <w:sz w:val="24"/>
          <w:szCs w:val="24"/>
        </w:rPr>
        <w:t>,</w:t>
      </w:r>
      <w:r w:rsidR="000852C5">
        <w:rPr>
          <w:sz w:val="24"/>
          <w:szCs w:val="24"/>
        </w:rPr>
        <w:t xml:space="preserve"> ir</w:t>
      </w:r>
      <w:r w:rsidR="00E62336">
        <w:rPr>
          <w:sz w:val="24"/>
          <w:szCs w:val="24"/>
        </w:rPr>
        <w:t>:</w:t>
      </w:r>
    </w:p>
    <w:p w14:paraId="04A5454A" w14:textId="77777777" w:rsidR="00E62336" w:rsidRDefault="000852C5" w:rsidP="00E62336">
      <w:pPr>
        <w:pStyle w:val="ListParagraph"/>
        <w:numPr>
          <w:ilvl w:val="0"/>
          <w:numId w:val="10"/>
        </w:numPr>
        <w:spacing w:after="120" w:line="240" w:lineRule="auto"/>
        <w:ind w:left="765" w:hanging="357"/>
        <w:jc w:val="both"/>
        <w:rPr>
          <w:sz w:val="24"/>
          <w:szCs w:val="24"/>
        </w:rPr>
      </w:pPr>
      <w:r w:rsidRPr="00E62336">
        <w:rPr>
          <w:sz w:val="24"/>
          <w:szCs w:val="24"/>
        </w:rPr>
        <w:t xml:space="preserve">Latvijas Organiskās sintēzes institūtam </w:t>
      </w:r>
      <w:r w:rsidR="00E62336">
        <w:rPr>
          <w:sz w:val="24"/>
          <w:szCs w:val="24"/>
        </w:rPr>
        <w:t>- 92 % sekmība;</w:t>
      </w:r>
    </w:p>
    <w:p w14:paraId="535FEB3E" w14:textId="77777777" w:rsidR="00E62336" w:rsidRDefault="000852C5" w:rsidP="00E62336">
      <w:pPr>
        <w:pStyle w:val="ListParagraph"/>
        <w:numPr>
          <w:ilvl w:val="0"/>
          <w:numId w:val="10"/>
        </w:numPr>
        <w:spacing w:before="120" w:after="120" w:line="240" w:lineRule="auto"/>
        <w:jc w:val="both"/>
        <w:rPr>
          <w:sz w:val="24"/>
          <w:szCs w:val="24"/>
        </w:rPr>
      </w:pPr>
      <w:r w:rsidRPr="00E62336">
        <w:rPr>
          <w:sz w:val="24"/>
          <w:szCs w:val="24"/>
        </w:rPr>
        <w:t>Latvijas Universitātes aģentūrai „Latvijas Universitātes Matemāti</w:t>
      </w:r>
      <w:r w:rsidR="00E62336">
        <w:rPr>
          <w:sz w:val="24"/>
          <w:szCs w:val="24"/>
        </w:rPr>
        <w:t>kas un informātikas institūts” – 86 % sekmība;</w:t>
      </w:r>
    </w:p>
    <w:p w14:paraId="21D08EAE" w14:textId="77777777" w:rsidR="00E62336" w:rsidRDefault="000852C5" w:rsidP="00E62336">
      <w:pPr>
        <w:pStyle w:val="ListParagraph"/>
        <w:numPr>
          <w:ilvl w:val="0"/>
          <w:numId w:val="10"/>
        </w:numPr>
        <w:spacing w:before="120" w:after="120" w:line="240" w:lineRule="auto"/>
        <w:jc w:val="both"/>
        <w:rPr>
          <w:sz w:val="24"/>
          <w:szCs w:val="24"/>
        </w:rPr>
      </w:pPr>
      <w:r w:rsidRPr="00E62336">
        <w:rPr>
          <w:sz w:val="24"/>
          <w:szCs w:val="24"/>
        </w:rPr>
        <w:t>Latvijas Universitātes aģentūrai „Latvijas Universitātes Literatūras, folkloras un mākslas institūts”</w:t>
      </w:r>
      <w:r w:rsidR="009C561C" w:rsidRPr="00E62336">
        <w:rPr>
          <w:sz w:val="24"/>
          <w:szCs w:val="24"/>
        </w:rPr>
        <w:t xml:space="preserve"> </w:t>
      </w:r>
      <w:r w:rsidR="00E62336">
        <w:rPr>
          <w:sz w:val="24"/>
          <w:szCs w:val="24"/>
        </w:rPr>
        <w:t>- 83 % sekmība;</w:t>
      </w:r>
    </w:p>
    <w:p w14:paraId="58FE64ED" w14:textId="77777777" w:rsidR="00E62336" w:rsidRDefault="00B9294D" w:rsidP="00E62336">
      <w:pPr>
        <w:pStyle w:val="ListParagraph"/>
        <w:numPr>
          <w:ilvl w:val="0"/>
          <w:numId w:val="10"/>
        </w:numPr>
        <w:spacing w:before="120" w:after="120" w:line="240" w:lineRule="auto"/>
        <w:jc w:val="both"/>
        <w:rPr>
          <w:sz w:val="24"/>
          <w:szCs w:val="24"/>
        </w:rPr>
      </w:pPr>
      <w:r w:rsidRPr="00E62336">
        <w:rPr>
          <w:sz w:val="24"/>
          <w:szCs w:val="24"/>
        </w:rPr>
        <w:t xml:space="preserve">Latvijas Biomedicīnas pētījumu un studiju centram un Latvijas Valsts koksnes ķīmijas institūtam </w:t>
      </w:r>
      <w:r w:rsidR="00E62336">
        <w:rPr>
          <w:sz w:val="24"/>
          <w:szCs w:val="24"/>
        </w:rPr>
        <w:t>- 71 % sekmība;</w:t>
      </w:r>
    </w:p>
    <w:p w14:paraId="3272CF62" w14:textId="77777777" w:rsidR="00E62336" w:rsidRDefault="00B9294D" w:rsidP="00E62336">
      <w:pPr>
        <w:pStyle w:val="ListParagraph"/>
        <w:numPr>
          <w:ilvl w:val="0"/>
          <w:numId w:val="10"/>
        </w:numPr>
        <w:spacing w:before="120" w:after="120" w:line="240" w:lineRule="auto"/>
        <w:jc w:val="both"/>
        <w:rPr>
          <w:sz w:val="24"/>
          <w:szCs w:val="24"/>
        </w:rPr>
      </w:pPr>
      <w:r w:rsidRPr="00E62336">
        <w:rPr>
          <w:sz w:val="24"/>
          <w:szCs w:val="24"/>
        </w:rPr>
        <w:t xml:space="preserve">Rīgas Tehniskajai universitātei </w:t>
      </w:r>
      <w:r w:rsidR="00E62336">
        <w:rPr>
          <w:sz w:val="24"/>
          <w:szCs w:val="24"/>
        </w:rPr>
        <w:t xml:space="preserve">- </w:t>
      </w:r>
      <w:r w:rsidRPr="00E62336">
        <w:rPr>
          <w:sz w:val="24"/>
          <w:szCs w:val="24"/>
        </w:rPr>
        <w:t>68 % sekmība</w:t>
      </w:r>
      <w:r w:rsidR="00E62336">
        <w:rPr>
          <w:sz w:val="24"/>
          <w:szCs w:val="24"/>
        </w:rPr>
        <w:t>;</w:t>
      </w:r>
    </w:p>
    <w:p w14:paraId="798AC308" w14:textId="77777777" w:rsidR="00C93188" w:rsidRDefault="00B9294D" w:rsidP="00E62336">
      <w:pPr>
        <w:pStyle w:val="ListParagraph"/>
        <w:numPr>
          <w:ilvl w:val="0"/>
          <w:numId w:val="10"/>
        </w:numPr>
        <w:spacing w:before="120" w:after="120" w:line="240" w:lineRule="auto"/>
        <w:jc w:val="both"/>
        <w:rPr>
          <w:sz w:val="24"/>
          <w:szCs w:val="24"/>
        </w:rPr>
      </w:pPr>
      <w:r w:rsidRPr="00E62336">
        <w:rPr>
          <w:sz w:val="24"/>
          <w:szCs w:val="24"/>
        </w:rPr>
        <w:lastRenderedPageBreak/>
        <w:t xml:space="preserve">Ventspils augstskolai un Pārtikas drošības, dzīvnieku veselības un vides zinātniskajam institūtam „BIOR” </w:t>
      </w:r>
      <w:r w:rsidR="00C93188">
        <w:rPr>
          <w:sz w:val="24"/>
          <w:szCs w:val="24"/>
        </w:rPr>
        <w:t>- 67 % sekmība;</w:t>
      </w:r>
    </w:p>
    <w:p w14:paraId="5B690157" w14:textId="77777777" w:rsidR="00C93188" w:rsidRDefault="00B9294D" w:rsidP="00C93188">
      <w:pPr>
        <w:pStyle w:val="ListParagraph"/>
        <w:numPr>
          <w:ilvl w:val="0"/>
          <w:numId w:val="10"/>
        </w:numPr>
        <w:spacing w:before="120" w:after="120" w:line="240" w:lineRule="auto"/>
        <w:jc w:val="both"/>
        <w:rPr>
          <w:sz w:val="24"/>
          <w:szCs w:val="24"/>
        </w:rPr>
      </w:pPr>
      <w:r w:rsidRPr="00E62336">
        <w:rPr>
          <w:sz w:val="24"/>
          <w:szCs w:val="24"/>
        </w:rPr>
        <w:t>Latvijas Universitātei be</w:t>
      </w:r>
      <w:r w:rsidR="0040432D" w:rsidRPr="00E62336">
        <w:rPr>
          <w:sz w:val="24"/>
          <w:szCs w:val="24"/>
        </w:rPr>
        <w:t xml:space="preserve">z tās aģentūrām </w:t>
      </w:r>
      <w:r w:rsidR="00C93188">
        <w:rPr>
          <w:sz w:val="24"/>
          <w:szCs w:val="24"/>
        </w:rPr>
        <w:t>– 65 % sekmība;</w:t>
      </w:r>
    </w:p>
    <w:p w14:paraId="6665551F" w14:textId="77777777" w:rsidR="00C93188" w:rsidRDefault="0040432D" w:rsidP="00C93188">
      <w:pPr>
        <w:pStyle w:val="ListParagraph"/>
        <w:numPr>
          <w:ilvl w:val="0"/>
          <w:numId w:val="10"/>
        </w:numPr>
        <w:spacing w:before="120" w:after="120" w:line="240" w:lineRule="auto"/>
        <w:jc w:val="both"/>
        <w:rPr>
          <w:sz w:val="24"/>
          <w:szCs w:val="24"/>
        </w:rPr>
      </w:pPr>
      <w:r w:rsidRPr="00C93188">
        <w:rPr>
          <w:sz w:val="24"/>
          <w:szCs w:val="24"/>
        </w:rPr>
        <w:t>Latvijas Valsts mežzinātnes institūtam „Silava”</w:t>
      </w:r>
      <w:r w:rsidR="00C93188">
        <w:rPr>
          <w:sz w:val="24"/>
          <w:szCs w:val="24"/>
        </w:rPr>
        <w:t xml:space="preserve"> - 60 % sekmība</w:t>
      </w:r>
      <w:r w:rsidRPr="00C93188">
        <w:rPr>
          <w:sz w:val="24"/>
          <w:szCs w:val="24"/>
        </w:rPr>
        <w:t xml:space="preserve">. </w:t>
      </w:r>
    </w:p>
    <w:p w14:paraId="587F8364" w14:textId="77777777" w:rsidR="00447B7A" w:rsidRPr="00C93188" w:rsidRDefault="00C93188" w:rsidP="00C93188">
      <w:pPr>
        <w:spacing w:before="120" w:after="120" w:line="240" w:lineRule="auto"/>
        <w:jc w:val="both"/>
        <w:rPr>
          <w:sz w:val="24"/>
          <w:szCs w:val="24"/>
        </w:rPr>
      </w:pPr>
      <w:r>
        <w:rPr>
          <w:sz w:val="24"/>
          <w:szCs w:val="24"/>
        </w:rPr>
        <w:t>A</w:t>
      </w:r>
      <w:r w:rsidR="004E6586" w:rsidRPr="00C93188">
        <w:rPr>
          <w:sz w:val="24"/>
          <w:szCs w:val="24"/>
        </w:rPr>
        <w:t xml:space="preserve">bu atlases kārtu ietvaros </w:t>
      </w:r>
      <w:r w:rsidR="00EE2F93" w:rsidRPr="00C93188">
        <w:rPr>
          <w:sz w:val="24"/>
          <w:szCs w:val="24"/>
        </w:rPr>
        <w:t xml:space="preserve">bija tādas </w:t>
      </w:r>
      <w:r w:rsidR="006965B5" w:rsidRPr="00C93188">
        <w:rPr>
          <w:sz w:val="24"/>
          <w:szCs w:val="24"/>
        </w:rPr>
        <w:t>zinātniskās institūcijas</w:t>
      </w:r>
      <w:r w:rsidR="0040432D" w:rsidRPr="00C93188">
        <w:rPr>
          <w:sz w:val="24"/>
          <w:szCs w:val="24"/>
        </w:rPr>
        <w:t xml:space="preserve"> un </w:t>
      </w:r>
      <w:r w:rsidR="006965B5" w:rsidRPr="00C93188">
        <w:rPr>
          <w:sz w:val="24"/>
          <w:szCs w:val="24"/>
        </w:rPr>
        <w:t>komersanti, kas</w:t>
      </w:r>
      <w:r w:rsidR="00895C6B" w:rsidRPr="00C93188">
        <w:rPr>
          <w:sz w:val="24"/>
          <w:szCs w:val="24"/>
        </w:rPr>
        <w:t>,</w:t>
      </w:r>
      <w:r w:rsidR="00EE2F93" w:rsidRPr="00C93188">
        <w:rPr>
          <w:sz w:val="24"/>
          <w:szCs w:val="24"/>
        </w:rPr>
        <w:t xml:space="preserve"> izvērtējot to rīcībā esošos cilvēkresursus un kapacitāti,</w:t>
      </w:r>
      <w:r w:rsidR="0040432D" w:rsidRPr="00C93188">
        <w:rPr>
          <w:sz w:val="24"/>
          <w:szCs w:val="24"/>
        </w:rPr>
        <w:t xml:space="preserve"> iesnie</w:t>
      </w:r>
      <w:r w:rsidR="006965B5" w:rsidRPr="00C93188">
        <w:rPr>
          <w:sz w:val="24"/>
          <w:szCs w:val="24"/>
        </w:rPr>
        <w:t>dza</w:t>
      </w:r>
      <w:r w:rsidR="0040432D" w:rsidRPr="00C93188">
        <w:rPr>
          <w:sz w:val="24"/>
          <w:szCs w:val="24"/>
        </w:rPr>
        <w:t xml:space="preserve"> </w:t>
      </w:r>
      <w:r w:rsidR="004E6586" w:rsidRPr="00C93188">
        <w:rPr>
          <w:sz w:val="24"/>
          <w:szCs w:val="24"/>
        </w:rPr>
        <w:t xml:space="preserve">vienu </w:t>
      </w:r>
      <w:r w:rsidR="00EE2F93" w:rsidRPr="00C93188">
        <w:rPr>
          <w:sz w:val="24"/>
          <w:szCs w:val="24"/>
        </w:rPr>
        <w:t>līdz pieciem pētniecības pieteikumiem</w:t>
      </w:r>
      <w:r w:rsidR="00060148" w:rsidRPr="00C93188">
        <w:rPr>
          <w:sz w:val="24"/>
          <w:szCs w:val="24"/>
        </w:rPr>
        <w:t xml:space="preserve">. </w:t>
      </w:r>
      <w:r w:rsidR="004E6586" w:rsidRPr="00C93188">
        <w:rPr>
          <w:sz w:val="24"/>
          <w:szCs w:val="24"/>
        </w:rPr>
        <w:t xml:space="preserve">Vērtējot atsevišķi </w:t>
      </w:r>
      <w:r w:rsidR="00060148" w:rsidRPr="00C93188">
        <w:rPr>
          <w:sz w:val="24"/>
          <w:szCs w:val="24"/>
        </w:rPr>
        <w:t xml:space="preserve">šādu </w:t>
      </w:r>
      <w:r w:rsidR="004E6586" w:rsidRPr="00C93188">
        <w:rPr>
          <w:sz w:val="24"/>
          <w:szCs w:val="24"/>
        </w:rPr>
        <w:t xml:space="preserve">zinātnisko institūciju un komersantu sekmības rādītāju, </w:t>
      </w:r>
      <w:r w:rsidR="00060148" w:rsidRPr="00C93188">
        <w:rPr>
          <w:sz w:val="24"/>
          <w:szCs w:val="24"/>
        </w:rPr>
        <w:t>redzams, ka 100 % sekmība ir</w:t>
      </w:r>
      <w:r w:rsidR="004E6586" w:rsidRPr="00C93188">
        <w:rPr>
          <w:sz w:val="24"/>
          <w:szCs w:val="24"/>
        </w:rPr>
        <w:t xml:space="preserve"> Latvijas Lauksaimniecības universitātes zinātniskajam institūtam — atvasinātai publiskai p</w:t>
      </w:r>
      <w:r w:rsidR="00060148" w:rsidRPr="00C93188">
        <w:rPr>
          <w:sz w:val="24"/>
          <w:szCs w:val="24"/>
        </w:rPr>
        <w:t>ersonai "Dārzkopīb</w:t>
      </w:r>
      <w:r w:rsidR="006965B5" w:rsidRPr="00C93188">
        <w:rPr>
          <w:sz w:val="24"/>
          <w:szCs w:val="24"/>
        </w:rPr>
        <w:t>as institūts", Vides risinājumu instit</w:t>
      </w:r>
      <w:r w:rsidR="00E07DB0" w:rsidRPr="00C93188">
        <w:rPr>
          <w:sz w:val="24"/>
          <w:szCs w:val="24"/>
        </w:rPr>
        <w:t xml:space="preserve">ūtam, </w:t>
      </w:r>
      <w:r w:rsidR="006965B5" w:rsidRPr="00C93188">
        <w:rPr>
          <w:sz w:val="24"/>
          <w:szCs w:val="24"/>
        </w:rPr>
        <w:t>Fizikālās enerģētikas institūtam</w:t>
      </w:r>
      <w:r w:rsidR="006C137F" w:rsidRPr="00C93188">
        <w:rPr>
          <w:sz w:val="24"/>
          <w:szCs w:val="24"/>
        </w:rPr>
        <w:t>. Tostarp 100 % ir</w:t>
      </w:r>
      <w:r w:rsidR="00E07DB0" w:rsidRPr="00C93188">
        <w:rPr>
          <w:sz w:val="24"/>
          <w:szCs w:val="24"/>
        </w:rPr>
        <w:t xml:space="preserve"> SIA „SFT </w:t>
      </w:r>
      <w:proofErr w:type="spellStart"/>
      <w:r w:rsidR="00E07DB0" w:rsidRPr="00C93188">
        <w:rPr>
          <w:sz w:val="24"/>
          <w:szCs w:val="24"/>
        </w:rPr>
        <w:t>Seafood</w:t>
      </w:r>
      <w:proofErr w:type="spellEnd"/>
      <w:r w:rsidR="00E07DB0" w:rsidRPr="00C93188">
        <w:rPr>
          <w:sz w:val="24"/>
          <w:szCs w:val="24"/>
        </w:rPr>
        <w:t>”</w:t>
      </w:r>
      <w:r w:rsidR="006C137F" w:rsidRPr="00C93188">
        <w:rPr>
          <w:sz w:val="24"/>
          <w:szCs w:val="24"/>
        </w:rPr>
        <w:t xml:space="preserve">, </w:t>
      </w:r>
      <w:r w:rsidR="00E07DB0" w:rsidRPr="00C93188">
        <w:rPr>
          <w:sz w:val="24"/>
          <w:szCs w:val="24"/>
        </w:rPr>
        <w:t>nodibinājumam „</w:t>
      </w:r>
      <w:proofErr w:type="spellStart"/>
      <w:r w:rsidR="00E07DB0" w:rsidRPr="00C93188">
        <w:rPr>
          <w:sz w:val="24"/>
          <w:szCs w:val="24"/>
        </w:rPr>
        <w:t>Baltic</w:t>
      </w:r>
      <w:proofErr w:type="spellEnd"/>
      <w:r w:rsidR="00E07DB0" w:rsidRPr="00C93188">
        <w:rPr>
          <w:sz w:val="24"/>
          <w:szCs w:val="24"/>
        </w:rPr>
        <w:t xml:space="preserve"> </w:t>
      </w:r>
      <w:proofErr w:type="spellStart"/>
      <w:r w:rsidR="00E07DB0" w:rsidRPr="00C93188">
        <w:rPr>
          <w:sz w:val="24"/>
          <w:szCs w:val="24"/>
        </w:rPr>
        <w:t>Studies</w:t>
      </w:r>
      <w:proofErr w:type="spellEnd"/>
      <w:r w:rsidR="00E07DB0" w:rsidRPr="00C93188">
        <w:rPr>
          <w:sz w:val="24"/>
          <w:szCs w:val="24"/>
        </w:rPr>
        <w:t xml:space="preserve"> </w:t>
      </w:r>
      <w:proofErr w:type="spellStart"/>
      <w:r w:rsidR="00E07DB0" w:rsidRPr="00C93188">
        <w:rPr>
          <w:sz w:val="24"/>
          <w:szCs w:val="24"/>
        </w:rPr>
        <w:t>Centre</w:t>
      </w:r>
      <w:proofErr w:type="spellEnd"/>
      <w:r w:rsidR="00E07DB0" w:rsidRPr="00C93188">
        <w:rPr>
          <w:sz w:val="24"/>
          <w:szCs w:val="24"/>
        </w:rPr>
        <w:t>”</w:t>
      </w:r>
      <w:r w:rsidR="006C137F" w:rsidRPr="00C93188">
        <w:rPr>
          <w:sz w:val="24"/>
          <w:szCs w:val="24"/>
        </w:rPr>
        <w:t xml:space="preserve"> un Latvijas Mākslas akadēmijai, kas Pēcdoktorantūras pētniecības programmas ietvaros iesniedza vienu pētniecības pieteikumu</w:t>
      </w:r>
      <w:r w:rsidR="00E07DB0" w:rsidRPr="00C93188">
        <w:rPr>
          <w:sz w:val="24"/>
          <w:szCs w:val="24"/>
        </w:rPr>
        <w:t xml:space="preserve">. </w:t>
      </w:r>
      <w:r w:rsidR="006965B5" w:rsidRPr="00C93188">
        <w:rPr>
          <w:sz w:val="24"/>
          <w:szCs w:val="24"/>
        </w:rPr>
        <w:t>Transporta un sakaru institūtam apstiprināti 3 no 4 iesniegtajiem pētniecības pieteikumiem (75 % sekmība</w:t>
      </w:r>
      <w:r w:rsidR="00E07DB0" w:rsidRPr="00C93188">
        <w:rPr>
          <w:sz w:val="24"/>
          <w:szCs w:val="24"/>
        </w:rPr>
        <w:t>), savukārt SIA „</w:t>
      </w:r>
      <w:proofErr w:type="spellStart"/>
      <w:r w:rsidR="00E07DB0" w:rsidRPr="00C93188">
        <w:rPr>
          <w:sz w:val="24"/>
          <w:szCs w:val="24"/>
        </w:rPr>
        <w:t>Lafivents</w:t>
      </w:r>
      <w:proofErr w:type="spellEnd"/>
      <w:r w:rsidR="00E07DB0" w:rsidRPr="00C93188">
        <w:rPr>
          <w:sz w:val="24"/>
          <w:szCs w:val="24"/>
        </w:rPr>
        <w:t>” apstiprināts viens no 4 iesniegtajiem pētniecības pieteikumiem (25 % sekmība).</w:t>
      </w:r>
      <w:r w:rsidR="00257332" w:rsidRPr="00C93188">
        <w:rPr>
          <w:sz w:val="24"/>
          <w:szCs w:val="24"/>
        </w:rPr>
        <w:t xml:space="preserve"> Konstatēti atsevišķi gadījumi, kad pētniecības pieteikumu iesniedzēju sekmības rādītājs ir ļoti zems, piemēram, no iesniegtajiem 4 pētniecības pieteikumiem neviens nav saņēmis pietiekamu vērtējumu, lai to virzītu apstiprināšanai.</w:t>
      </w:r>
    </w:p>
    <w:p w14:paraId="2EE07A35" w14:textId="77777777" w:rsidR="00B80D1B" w:rsidRPr="008E3CAB" w:rsidRDefault="009E5635" w:rsidP="0024408B">
      <w:pPr>
        <w:spacing w:after="120" w:line="240" w:lineRule="auto"/>
        <w:jc w:val="both"/>
        <w:rPr>
          <w:sz w:val="24"/>
          <w:szCs w:val="24"/>
        </w:rPr>
      </w:pPr>
      <w:r>
        <w:rPr>
          <w:sz w:val="24"/>
          <w:szCs w:val="24"/>
        </w:rPr>
        <w:t>L</w:t>
      </w:r>
      <w:r w:rsidR="00EE2F93" w:rsidRPr="008E3CAB">
        <w:rPr>
          <w:sz w:val="24"/>
          <w:szCs w:val="24"/>
        </w:rPr>
        <w:t>ai veicinātu liel</w:t>
      </w:r>
      <w:r w:rsidR="000E6197" w:rsidRPr="008E3CAB">
        <w:rPr>
          <w:sz w:val="24"/>
          <w:szCs w:val="24"/>
        </w:rPr>
        <w:t xml:space="preserve">āku skaitu atbilstoši Pēcdoktorantūras pētniecības programmas atlases kārtas nolikuma nosacījumiem sagatavotu </w:t>
      </w:r>
      <w:r w:rsidR="00EE2F93" w:rsidRPr="008E3CAB">
        <w:rPr>
          <w:sz w:val="24"/>
          <w:szCs w:val="24"/>
        </w:rPr>
        <w:t>pētniecības pieteikumu iesniegšanu</w:t>
      </w:r>
      <w:r w:rsidR="00F852C8">
        <w:rPr>
          <w:sz w:val="24"/>
          <w:szCs w:val="24"/>
        </w:rPr>
        <w:t>, nākamaj</w:t>
      </w:r>
      <w:r w:rsidR="00EE2F93" w:rsidRPr="008E3CAB">
        <w:rPr>
          <w:sz w:val="24"/>
          <w:szCs w:val="24"/>
        </w:rPr>
        <w:t>ās atlases kārtās</w:t>
      </w:r>
      <w:r w:rsidR="00F852C8">
        <w:rPr>
          <w:sz w:val="24"/>
          <w:szCs w:val="24"/>
        </w:rPr>
        <w:t xml:space="preserve"> </w:t>
      </w:r>
      <w:r w:rsidR="000E6197" w:rsidRPr="008E3CAB">
        <w:rPr>
          <w:sz w:val="24"/>
          <w:szCs w:val="24"/>
        </w:rPr>
        <w:t xml:space="preserve">zinātniskajām institūcijām un komersantiem </w:t>
      </w:r>
      <w:r w:rsidR="00F852C8">
        <w:rPr>
          <w:sz w:val="24"/>
          <w:szCs w:val="24"/>
        </w:rPr>
        <w:t>būtu jāvērtē iespēja</w:t>
      </w:r>
      <w:r w:rsidR="00B80D1B" w:rsidRPr="008E3CAB">
        <w:rPr>
          <w:sz w:val="24"/>
          <w:szCs w:val="24"/>
        </w:rPr>
        <w:t xml:space="preserve"> </w:t>
      </w:r>
      <w:r w:rsidR="00F852C8">
        <w:rPr>
          <w:sz w:val="24"/>
          <w:szCs w:val="24"/>
        </w:rPr>
        <w:t>sniegt plašāka</w:t>
      </w:r>
      <w:r w:rsidR="000E6197" w:rsidRPr="008E3CAB">
        <w:rPr>
          <w:sz w:val="24"/>
          <w:szCs w:val="24"/>
        </w:rPr>
        <w:t xml:space="preserve"> spektra atbalstu </w:t>
      </w:r>
      <w:r w:rsidR="00B80D1B" w:rsidRPr="008E3CAB">
        <w:rPr>
          <w:sz w:val="24"/>
          <w:szCs w:val="24"/>
        </w:rPr>
        <w:t>pēcdoktorantam pētni</w:t>
      </w:r>
      <w:r w:rsidR="000E6197" w:rsidRPr="008E3CAB">
        <w:rPr>
          <w:sz w:val="24"/>
          <w:szCs w:val="24"/>
        </w:rPr>
        <w:t>ecības pieteikuma sagatavošanā</w:t>
      </w:r>
      <w:r w:rsidR="00B80D1B" w:rsidRPr="008E3CAB">
        <w:rPr>
          <w:sz w:val="24"/>
          <w:szCs w:val="24"/>
        </w:rPr>
        <w:t>, tostarp</w:t>
      </w:r>
      <w:r w:rsidR="000E6197" w:rsidRPr="008E3CAB">
        <w:rPr>
          <w:sz w:val="24"/>
          <w:szCs w:val="24"/>
        </w:rPr>
        <w:t xml:space="preserve"> sekmējot</w:t>
      </w:r>
      <w:r w:rsidR="00B80D1B" w:rsidRPr="008E3CAB">
        <w:rPr>
          <w:sz w:val="24"/>
          <w:szCs w:val="24"/>
        </w:rPr>
        <w:t xml:space="preserve"> </w:t>
      </w:r>
      <w:r w:rsidR="000E6197" w:rsidRPr="008E3CAB">
        <w:rPr>
          <w:sz w:val="24"/>
          <w:szCs w:val="24"/>
        </w:rPr>
        <w:t xml:space="preserve">pieredzes apmaiņas iespējas ar institūcijas darbiniekiem, kas ir piedalījušies citu ES fondu projektu iesniegumu sagatavošanā un īstenošanā. Savukārt VIAA, </w:t>
      </w:r>
      <w:r w:rsidR="008E3CAB" w:rsidRPr="008E3CAB">
        <w:rPr>
          <w:sz w:val="24"/>
          <w:szCs w:val="24"/>
        </w:rPr>
        <w:t>izvērtēt iespējas un nepieciešamību rīkot konkrēti komersantiem mērķ</w:t>
      </w:r>
      <w:r w:rsidR="0064223E">
        <w:rPr>
          <w:sz w:val="24"/>
          <w:szCs w:val="24"/>
        </w:rPr>
        <w:t xml:space="preserve">ētas konsultācijas un seminārus </w:t>
      </w:r>
      <w:r w:rsidR="008E3CAB" w:rsidRPr="008E3CAB">
        <w:rPr>
          <w:sz w:val="24"/>
          <w:szCs w:val="24"/>
        </w:rPr>
        <w:t xml:space="preserve">par pētniecības pieteikumu sagatavošanu un īstenošanu, </w:t>
      </w:r>
      <w:r w:rsidR="000E6197" w:rsidRPr="008E3CAB">
        <w:rPr>
          <w:sz w:val="24"/>
          <w:szCs w:val="24"/>
        </w:rPr>
        <w:t>ņemot vērā komersantu sekmības rādītājus</w:t>
      </w:r>
      <w:r w:rsidR="008E3CAB" w:rsidRPr="008E3CAB">
        <w:rPr>
          <w:sz w:val="24"/>
          <w:szCs w:val="24"/>
        </w:rPr>
        <w:t xml:space="preserve"> 1. un 2. atlases kārtā, kā arī to, ka pētniecības pieteikumus lielākoties iesniedz komersanti, kuriem nav līdzšinējā pieredze ES fondu projektu iesniegumu sagatavošanā.</w:t>
      </w:r>
    </w:p>
    <w:p w14:paraId="74BD05CA" w14:textId="77777777" w:rsidR="008047FC" w:rsidRPr="00E07EFD" w:rsidRDefault="0035210A" w:rsidP="0024408B">
      <w:pPr>
        <w:spacing w:after="0" w:line="240" w:lineRule="auto"/>
        <w:jc w:val="both"/>
        <w:rPr>
          <w:rFonts w:cstheme="minorHAnsi"/>
          <w:b/>
          <w:sz w:val="24"/>
          <w:szCs w:val="24"/>
        </w:rPr>
      </w:pPr>
      <w:r w:rsidRPr="0035210A">
        <w:rPr>
          <w:rFonts w:cstheme="minorHAnsi"/>
          <w:b/>
          <w:sz w:val="24"/>
          <w:szCs w:val="24"/>
        </w:rPr>
        <w:t>Kompeten</w:t>
      </w:r>
      <w:r w:rsidR="00E07EFD">
        <w:rPr>
          <w:rFonts w:cstheme="minorHAnsi"/>
          <w:b/>
          <w:sz w:val="24"/>
          <w:szCs w:val="24"/>
        </w:rPr>
        <w:t xml:space="preserve">ču pilnveide. </w:t>
      </w:r>
      <w:r w:rsidR="0037650C">
        <w:rPr>
          <w:rFonts w:cstheme="minorHAnsi"/>
          <w:sz w:val="24"/>
          <w:szCs w:val="24"/>
        </w:rPr>
        <w:t>Pēcdoktorantūras pētniecības programmas ietvaros p</w:t>
      </w:r>
      <w:r w:rsidR="008047FC" w:rsidRPr="008047FC">
        <w:rPr>
          <w:rFonts w:cstheme="minorHAnsi"/>
          <w:sz w:val="24"/>
          <w:szCs w:val="24"/>
        </w:rPr>
        <w:t>ēcdoktoranti</w:t>
      </w:r>
      <w:r w:rsidR="0037650C">
        <w:rPr>
          <w:rFonts w:cstheme="minorHAnsi"/>
          <w:sz w:val="24"/>
          <w:szCs w:val="24"/>
        </w:rPr>
        <w:t xml:space="preserve"> </w:t>
      </w:r>
      <w:r w:rsidR="008047FC" w:rsidRPr="008047FC">
        <w:rPr>
          <w:rFonts w:cstheme="minorHAnsi"/>
          <w:sz w:val="24"/>
          <w:szCs w:val="24"/>
        </w:rPr>
        <w:t>var ne tikai veikt fundamentālos vai rūpnieciskos pētījumus</w:t>
      </w:r>
      <w:r w:rsidR="0037650C">
        <w:rPr>
          <w:rFonts w:cstheme="minorHAnsi"/>
          <w:sz w:val="24"/>
          <w:szCs w:val="24"/>
        </w:rPr>
        <w:t xml:space="preserve"> un </w:t>
      </w:r>
      <w:r w:rsidR="009C561C">
        <w:rPr>
          <w:rFonts w:cstheme="minorHAnsi"/>
          <w:sz w:val="24"/>
          <w:szCs w:val="24"/>
        </w:rPr>
        <w:t xml:space="preserve">nodrošināt </w:t>
      </w:r>
      <w:r w:rsidR="0037650C" w:rsidRPr="0037650C">
        <w:rPr>
          <w:rFonts w:cstheme="minorHAnsi"/>
          <w:sz w:val="24"/>
          <w:szCs w:val="24"/>
        </w:rPr>
        <w:t>tehnoloģiju tiesību aizsardzību uz pētījuma izstrādes laikā radīto</w:t>
      </w:r>
      <w:r w:rsidR="009C561C">
        <w:rPr>
          <w:rFonts w:cstheme="minorHAnsi"/>
          <w:sz w:val="24"/>
          <w:szCs w:val="24"/>
        </w:rPr>
        <w:t xml:space="preserve"> intelektuālā</w:t>
      </w:r>
      <w:r w:rsidR="0037650C" w:rsidRPr="0037650C">
        <w:rPr>
          <w:rFonts w:cstheme="minorHAnsi"/>
          <w:sz w:val="24"/>
          <w:szCs w:val="24"/>
        </w:rPr>
        <w:t xml:space="preserve"> īpašuma objektu</w:t>
      </w:r>
      <w:r w:rsidR="008047FC" w:rsidRPr="008047FC">
        <w:rPr>
          <w:rFonts w:cstheme="minorHAnsi"/>
          <w:sz w:val="24"/>
          <w:szCs w:val="24"/>
        </w:rPr>
        <w:t xml:space="preserve">, bet arī </w:t>
      </w:r>
      <w:r w:rsidR="008047FC">
        <w:rPr>
          <w:rFonts w:cstheme="minorHAnsi"/>
          <w:sz w:val="24"/>
          <w:szCs w:val="24"/>
        </w:rPr>
        <w:t>paredzēt</w:t>
      </w:r>
      <w:r w:rsidR="008047FC" w:rsidRPr="008047FC">
        <w:rPr>
          <w:rFonts w:cstheme="minorHAnsi"/>
          <w:sz w:val="24"/>
          <w:szCs w:val="24"/>
        </w:rPr>
        <w:t xml:space="preserve"> </w:t>
      </w:r>
      <w:r w:rsidR="0037650C">
        <w:rPr>
          <w:rFonts w:cstheme="minorHAnsi"/>
          <w:sz w:val="24"/>
          <w:szCs w:val="24"/>
        </w:rPr>
        <w:t xml:space="preserve">aktivitātes </w:t>
      </w:r>
      <w:r w:rsidR="008047FC" w:rsidRPr="008047FC">
        <w:rPr>
          <w:rFonts w:cstheme="minorHAnsi"/>
          <w:sz w:val="24"/>
          <w:szCs w:val="24"/>
        </w:rPr>
        <w:t>savu</w:t>
      </w:r>
      <w:r w:rsidR="008047FC">
        <w:rPr>
          <w:rFonts w:cstheme="minorHAnsi"/>
          <w:sz w:val="24"/>
          <w:szCs w:val="24"/>
        </w:rPr>
        <w:t xml:space="preserve"> </w:t>
      </w:r>
      <w:r w:rsidR="0037650C">
        <w:rPr>
          <w:rFonts w:cstheme="minorHAnsi"/>
          <w:sz w:val="24"/>
          <w:szCs w:val="24"/>
        </w:rPr>
        <w:t>pētniecības kompetenču pilnveidei</w:t>
      </w:r>
      <w:r w:rsidR="008047FC" w:rsidRPr="008047FC">
        <w:rPr>
          <w:rFonts w:cstheme="minorHAnsi"/>
          <w:sz w:val="24"/>
          <w:szCs w:val="24"/>
        </w:rPr>
        <w:t>. No VIAA rīcībā esošās informācijas konstatējams, ka pēcdoktorantu mācību vajadzības ir iedalāmas divās daļās: vispārējas, ar konkrēto pētniecības pieteikumu tematiku nesaistītas mācības; specifiskas, ar pētniecības pieteikumu saistītas vai šo tematiku papildinošas mācības. Pēcdoktoranti visbiežāk ir izvēlējušies papildināt šādas vispārējās kompetences:</w:t>
      </w:r>
    </w:p>
    <w:p w14:paraId="1293FB9D" w14:textId="77777777" w:rsidR="008047FC" w:rsidRPr="008047FC" w:rsidRDefault="008047FC" w:rsidP="00E62336">
      <w:pPr>
        <w:pStyle w:val="ListParagraph"/>
        <w:numPr>
          <w:ilvl w:val="0"/>
          <w:numId w:val="9"/>
        </w:numPr>
        <w:tabs>
          <w:tab w:val="left" w:pos="993"/>
        </w:tabs>
        <w:spacing w:after="0" w:line="240" w:lineRule="auto"/>
        <w:ind w:hanging="11"/>
        <w:jc w:val="both"/>
        <w:rPr>
          <w:rFonts w:cstheme="minorHAnsi"/>
          <w:sz w:val="24"/>
          <w:szCs w:val="24"/>
        </w:rPr>
      </w:pPr>
      <w:r w:rsidRPr="008047FC">
        <w:rPr>
          <w:rFonts w:cstheme="minorHAnsi"/>
          <w:sz w:val="24"/>
          <w:szCs w:val="24"/>
        </w:rPr>
        <w:t>angļu valodas zināšanas;</w:t>
      </w:r>
    </w:p>
    <w:p w14:paraId="522878CC" w14:textId="77777777" w:rsidR="008047FC" w:rsidRPr="008047FC" w:rsidRDefault="008047FC" w:rsidP="00E62336">
      <w:pPr>
        <w:pStyle w:val="ListParagraph"/>
        <w:numPr>
          <w:ilvl w:val="0"/>
          <w:numId w:val="9"/>
        </w:numPr>
        <w:tabs>
          <w:tab w:val="left" w:pos="993"/>
        </w:tabs>
        <w:spacing w:after="0" w:line="240" w:lineRule="auto"/>
        <w:ind w:hanging="11"/>
        <w:jc w:val="both"/>
        <w:rPr>
          <w:rFonts w:cstheme="minorHAnsi"/>
          <w:sz w:val="24"/>
          <w:szCs w:val="24"/>
        </w:rPr>
      </w:pPr>
      <w:r w:rsidRPr="008047FC">
        <w:rPr>
          <w:rFonts w:cstheme="minorHAnsi"/>
          <w:sz w:val="24"/>
          <w:szCs w:val="24"/>
        </w:rPr>
        <w:t>prezentēšanas prasmes;</w:t>
      </w:r>
    </w:p>
    <w:p w14:paraId="75AEFDE0" w14:textId="77777777" w:rsidR="008047FC" w:rsidRPr="008047FC" w:rsidRDefault="008047FC" w:rsidP="00E62336">
      <w:pPr>
        <w:pStyle w:val="ListParagraph"/>
        <w:numPr>
          <w:ilvl w:val="0"/>
          <w:numId w:val="9"/>
        </w:numPr>
        <w:tabs>
          <w:tab w:val="left" w:pos="993"/>
        </w:tabs>
        <w:spacing w:after="0" w:line="240" w:lineRule="auto"/>
        <w:ind w:left="993" w:hanging="284"/>
        <w:jc w:val="both"/>
        <w:rPr>
          <w:rFonts w:cstheme="minorHAnsi"/>
          <w:sz w:val="24"/>
          <w:szCs w:val="24"/>
        </w:rPr>
      </w:pPr>
      <w:r w:rsidRPr="008047FC">
        <w:rPr>
          <w:rFonts w:cstheme="minorHAnsi"/>
          <w:sz w:val="24"/>
          <w:szCs w:val="24"/>
        </w:rPr>
        <w:t>komunikācijas prasmes;</w:t>
      </w:r>
    </w:p>
    <w:p w14:paraId="554E7D6C" w14:textId="77777777" w:rsidR="008047FC" w:rsidRPr="008047FC" w:rsidRDefault="008047FC" w:rsidP="00E62336">
      <w:pPr>
        <w:pStyle w:val="ListParagraph"/>
        <w:numPr>
          <w:ilvl w:val="0"/>
          <w:numId w:val="9"/>
        </w:numPr>
        <w:tabs>
          <w:tab w:val="left" w:pos="993"/>
        </w:tabs>
        <w:spacing w:after="0" w:line="240" w:lineRule="auto"/>
        <w:ind w:left="993" w:hanging="284"/>
        <w:jc w:val="both"/>
        <w:rPr>
          <w:rFonts w:cstheme="minorHAnsi"/>
          <w:sz w:val="24"/>
          <w:szCs w:val="24"/>
        </w:rPr>
      </w:pPr>
      <w:r w:rsidRPr="008047FC">
        <w:rPr>
          <w:rFonts w:cstheme="minorHAnsi"/>
          <w:sz w:val="24"/>
          <w:szCs w:val="24"/>
        </w:rPr>
        <w:t>IT prasmes (datu analīze, vizualizācija);</w:t>
      </w:r>
    </w:p>
    <w:p w14:paraId="3F2E8C99" w14:textId="77777777" w:rsidR="008047FC" w:rsidRPr="00983524" w:rsidRDefault="008047FC" w:rsidP="00E62336">
      <w:pPr>
        <w:pStyle w:val="ListParagraph"/>
        <w:numPr>
          <w:ilvl w:val="0"/>
          <w:numId w:val="9"/>
        </w:numPr>
        <w:tabs>
          <w:tab w:val="left" w:pos="993"/>
        </w:tabs>
        <w:spacing w:after="0" w:line="240" w:lineRule="auto"/>
        <w:ind w:left="993" w:hanging="284"/>
        <w:jc w:val="both"/>
        <w:rPr>
          <w:rFonts w:cstheme="minorHAnsi"/>
          <w:sz w:val="24"/>
          <w:szCs w:val="24"/>
        </w:rPr>
      </w:pPr>
      <w:r w:rsidRPr="00983524">
        <w:rPr>
          <w:rFonts w:cstheme="minorHAnsi"/>
          <w:sz w:val="24"/>
          <w:szCs w:val="24"/>
        </w:rPr>
        <w:t>ievads docētāja darbā.</w:t>
      </w:r>
    </w:p>
    <w:p w14:paraId="77D4A6CA" w14:textId="77777777" w:rsidR="004F115D" w:rsidRDefault="008047FC" w:rsidP="0024408B">
      <w:pPr>
        <w:pStyle w:val="ListParagraph"/>
        <w:spacing w:before="120" w:after="120" w:line="240" w:lineRule="auto"/>
        <w:ind w:left="0"/>
        <w:jc w:val="both"/>
        <w:rPr>
          <w:rFonts w:cstheme="minorHAnsi"/>
          <w:sz w:val="24"/>
          <w:szCs w:val="24"/>
        </w:rPr>
      </w:pPr>
      <w:r w:rsidRPr="008047FC">
        <w:rPr>
          <w:rFonts w:cstheme="minorHAnsi"/>
          <w:sz w:val="24"/>
          <w:szCs w:val="24"/>
        </w:rPr>
        <w:t>Vispārējo kompetenču papildināšanai pēcdoktoranti lielākoties ir izvēlējušies apmeklēt Latvijas institūciju, tai</w:t>
      </w:r>
      <w:r w:rsidR="004F115D">
        <w:rPr>
          <w:rFonts w:cstheme="minorHAnsi"/>
          <w:sz w:val="24"/>
          <w:szCs w:val="24"/>
        </w:rPr>
        <w:t xml:space="preserve"> skaitā augstskolu piedāvātus mācību kursus. </w:t>
      </w:r>
      <w:r w:rsidR="0061715B">
        <w:rPr>
          <w:rFonts w:cstheme="minorHAnsi"/>
          <w:sz w:val="24"/>
          <w:szCs w:val="24"/>
        </w:rPr>
        <w:t>S</w:t>
      </w:r>
      <w:r w:rsidRPr="00C123E7">
        <w:rPr>
          <w:rFonts w:cstheme="minorHAnsi"/>
          <w:sz w:val="24"/>
          <w:szCs w:val="24"/>
        </w:rPr>
        <w:t xml:space="preserve">pecifisko kompetenču papildināšanai pēcdoktoranti ir izvēlējušies apmeklēt dažādas ārvalstu augstskolu un zinātnisko institūciju organizētas vasaras skolas. Minētās vasaras skolas ir izvēlētas atbilstoši pētniecības pieteikuma tematikai vai ir papildinošas. Piemēram, vairāki pēcdoktoranti, kuri īsteno </w:t>
      </w:r>
      <w:r w:rsidR="004F115D">
        <w:rPr>
          <w:rFonts w:cstheme="minorHAnsi"/>
          <w:sz w:val="24"/>
          <w:szCs w:val="24"/>
        </w:rPr>
        <w:t>pētniecības pieteikumu</w:t>
      </w:r>
      <w:r w:rsidRPr="00C123E7">
        <w:rPr>
          <w:rFonts w:cstheme="minorHAnsi"/>
          <w:sz w:val="24"/>
          <w:szCs w:val="24"/>
        </w:rPr>
        <w:t xml:space="preserve"> sociālo zinātņu jomā, bet sava pētījuma ietvaros apkopo un analizē datus IT platformas vai rīka izstrādei, ir papildinājuši savas zināšanas par lielo datu (</w:t>
      </w:r>
      <w:proofErr w:type="spellStart"/>
      <w:r w:rsidRPr="003D5732">
        <w:rPr>
          <w:rFonts w:cstheme="minorHAnsi"/>
          <w:i/>
          <w:sz w:val="24"/>
          <w:szCs w:val="24"/>
        </w:rPr>
        <w:t>big</w:t>
      </w:r>
      <w:proofErr w:type="spellEnd"/>
      <w:r w:rsidRPr="003D5732">
        <w:rPr>
          <w:rFonts w:cstheme="minorHAnsi"/>
          <w:i/>
          <w:sz w:val="24"/>
          <w:szCs w:val="24"/>
        </w:rPr>
        <w:t xml:space="preserve"> </w:t>
      </w:r>
      <w:proofErr w:type="spellStart"/>
      <w:r w:rsidRPr="003D5732">
        <w:rPr>
          <w:rFonts w:cstheme="minorHAnsi"/>
          <w:i/>
          <w:sz w:val="24"/>
          <w:szCs w:val="24"/>
        </w:rPr>
        <w:t>data</w:t>
      </w:r>
      <w:proofErr w:type="spellEnd"/>
      <w:r w:rsidRPr="00C123E7">
        <w:rPr>
          <w:rFonts w:cstheme="minorHAnsi"/>
          <w:sz w:val="24"/>
          <w:szCs w:val="24"/>
        </w:rPr>
        <w:t xml:space="preserve">) sniegtajām iespējām, datu arhitektūru, analīzi u.c. </w:t>
      </w:r>
      <w:r w:rsidR="004308D5">
        <w:rPr>
          <w:sz w:val="24"/>
          <w:szCs w:val="24"/>
        </w:rPr>
        <w:t>K</w:t>
      </w:r>
      <w:r w:rsidRPr="00C123E7">
        <w:rPr>
          <w:rFonts w:cstheme="minorHAnsi"/>
          <w:sz w:val="24"/>
          <w:szCs w:val="24"/>
        </w:rPr>
        <w:t xml:space="preserve">ompetenču pilnveidi un karjeras </w:t>
      </w:r>
      <w:r w:rsidRPr="00C123E7">
        <w:rPr>
          <w:rFonts w:cstheme="minorHAnsi"/>
          <w:sz w:val="24"/>
          <w:szCs w:val="24"/>
        </w:rPr>
        <w:lastRenderedPageBreak/>
        <w:t xml:space="preserve">attīstības iespējas pēcdoktoranti var apgūt, dodoties </w:t>
      </w:r>
      <w:r w:rsidR="004308D5">
        <w:rPr>
          <w:rFonts w:cstheme="minorHAnsi"/>
          <w:sz w:val="24"/>
          <w:szCs w:val="24"/>
        </w:rPr>
        <w:t xml:space="preserve">arī </w:t>
      </w:r>
      <w:r w:rsidRPr="00C123E7">
        <w:rPr>
          <w:rFonts w:cstheme="minorHAnsi"/>
          <w:sz w:val="24"/>
          <w:szCs w:val="24"/>
        </w:rPr>
        <w:t xml:space="preserve">ārvalstu mobilitātē. </w:t>
      </w:r>
      <w:r w:rsidR="00693C52">
        <w:rPr>
          <w:rFonts w:cstheme="minorHAnsi"/>
          <w:sz w:val="24"/>
          <w:szCs w:val="24"/>
        </w:rPr>
        <w:t xml:space="preserve">Pēcdoktorantūras pētniecības programmas </w:t>
      </w:r>
      <w:r w:rsidR="002E1DF8">
        <w:rPr>
          <w:rFonts w:cstheme="minorHAnsi"/>
          <w:sz w:val="24"/>
          <w:szCs w:val="24"/>
        </w:rPr>
        <w:t>2. atlases kārtas ietvaros</w:t>
      </w:r>
      <w:r w:rsidR="00C123E7">
        <w:rPr>
          <w:rFonts w:cstheme="minorHAnsi"/>
          <w:sz w:val="24"/>
          <w:szCs w:val="24"/>
        </w:rPr>
        <w:t xml:space="preserve"> pēcdo</w:t>
      </w:r>
      <w:r w:rsidR="00693C52">
        <w:rPr>
          <w:rFonts w:cstheme="minorHAnsi"/>
          <w:sz w:val="24"/>
          <w:szCs w:val="24"/>
        </w:rPr>
        <w:t>ktorantu</w:t>
      </w:r>
      <w:r w:rsidR="00C123E7">
        <w:rPr>
          <w:rFonts w:cstheme="minorHAnsi"/>
          <w:sz w:val="24"/>
          <w:szCs w:val="24"/>
        </w:rPr>
        <w:t xml:space="preserve"> ārvalstu mobilitātes minimālais ilgums ir vismaz 6 mēneši visa pētniecības pieteikuma īstenošanas laikā. </w:t>
      </w:r>
      <w:r w:rsidR="00693C52">
        <w:rPr>
          <w:rFonts w:cstheme="minorHAnsi"/>
          <w:sz w:val="24"/>
          <w:szCs w:val="24"/>
        </w:rPr>
        <w:t>L</w:t>
      </w:r>
      <w:r w:rsidRPr="00C123E7">
        <w:rPr>
          <w:rFonts w:cstheme="minorHAnsi"/>
          <w:sz w:val="24"/>
          <w:szCs w:val="24"/>
        </w:rPr>
        <w:t xml:space="preserve">ielākoties </w:t>
      </w:r>
      <w:r w:rsidR="00C123E7">
        <w:rPr>
          <w:rFonts w:cstheme="minorHAnsi"/>
          <w:sz w:val="24"/>
          <w:szCs w:val="24"/>
        </w:rPr>
        <w:t xml:space="preserve">savas ārvalstu mobilitātes īstenošanai </w:t>
      </w:r>
      <w:r w:rsidR="00693C52">
        <w:rPr>
          <w:rFonts w:cstheme="minorHAnsi"/>
          <w:sz w:val="24"/>
          <w:szCs w:val="24"/>
        </w:rPr>
        <w:t xml:space="preserve">pēcdoktoranti </w:t>
      </w:r>
      <w:r w:rsidR="00C123E7">
        <w:rPr>
          <w:rFonts w:cstheme="minorHAnsi"/>
          <w:sz w:val="24"/>
          <w:szCs w:val="24"/>
        </w:rPr>
        <w:t>izvēl</w:t>
      </w:r>
      <w:r w:rsidRPr="00C123E7">
        <w:rPr>
          <w:rFonts w:cstheme="minorHAnsi"/>
          <w:sz w:val="24"/>
          <w:szCs w:val="24"/>
        </w:rPr>
        <w:t xml:space="preserve">as Eiropas valstis, tomēr vairāki pēcdoktoranti ir devušies </w:t>
      </w:r>
      <w:r w:rsidR="00C123E7">
        <w:rPr>
          <w:rFonts w:cstheme="minorHAnsi"/>
          <w:sz w:val="24"/>
          <w:szCs w:val="24"/>
        </w:rPr>
        <w:t xml:space="preserve">arī </w:t>
      </w:r>
      <w:r w:rsidRPr="00C123E7">
        <w:rPr>
          <w:rFonts w:cstheme="minorHAnsi"/>
          <w:sz w:val="24"/>
          <w:szCs w:val="24"/>
        </w:rPr>
        <w:t>mobilitātē uz tādām valstīm kā Amerikas Savienotās Valstis, Singapūra, Japāna, Ķīna</w:t>
      </w:r>
      <w:r w:rsidR="00D3224E">
        <w:rPr>
          <w:rFonts w:cstheme="minorHAnsi"/>
          <w:sz w:val="24"/>
          <w:szCs w:val="24"/>
        </w:rPr>
        <w:t xml:space="preserve"> un </w:t>
      </w:r>
      <w:r w:rsidRPr="00C123E7">
        <w:rPr>
          <w:rFonts w:cstheme="minorHAnsi"/>
          <w:sz w:val="24"/>
          <w:szCs w:val="24"/>
        </w:rPr>
        <w:t xml:space="preserve">Apvienotie Arābu </w:t>
      </w:r>
      <w:r w:rsidR="00D3224E">
        <w:rPr>
          <w:rFonts w:cstheme="minorHAnsi"/>
          <w:sz w:val="24"/>
          <w:szCs w:val="24"/>
        </w:rPr>
        <w:t>E</w:t>
      </w:r>
      <w:r w:rsidRPr="00C123E7">
        <w:rPr>
          <w:rFonts w:cstheme="minorHAnsi"/>
          <w:sz w:val="24"/>
          <w:szCs w:val="24"/>
        </w:rPr>
        <w:t>mirāti,</w:t>
      </w:r>
      <w:r w:rsidR="001120AC">
        <w:rPr>
          <w:rFonts w:cstheme="minorHAnsi"/>
          <w:sz w:val="24"/>
          <w:szCs w:val="24"/>
        </w:rPr>
        <w:t xml:space="preserve"> kā arī viens pēcdoktorants ir devies mobilitātē uz</w:t>
      </w:r>
      <w:r w:rsidR="00D3224E">
        <w:rPr>
          <w:rFonts w:cstheme="minorHAnsi"/>
          <w:sz w:val="24"/>
          <w:szCs w:val="24"/>
        </w:rPr>
        <w:t xml:space="preserve"> </w:t>
      </w:r>
      <w:r w:rsidRPr="00C123E7">
        <w:rPr>
          <w:rFonts w:cstheme="minorHAnsi"/>
          <w:sz w:val="24"/>
          <w:szCs w:val="24"/>
        </w:rPr>
        <w:t>Antarktik</w:t>
      </w:r>
      <w:r w:rsidR="00D3224E">
        <w:rPr>
          <w:rFonts w:cstheme="minorHAnsi"/>
          <w:sz w:val="24"/>
          <w:szCs w:val="24"/>
        </w:rPr>
        <w:t>u</w:t>
      </w:r>
      <w:r w:rsidRPr="00C123E7">
        <w:rPr>
          <w:rFonts w:cstheme="minorHAnsi"/>
          <w:sz w:val="24"/>
          <w:szCs w:val="24"/>
        </w:rPr>
        <w:t xml:space="preserve">. </w:t>
      </w:r>
    </w:p>
    <w:p w14:paraId="546435D3" w14:textId="781AAFE0" w:rsidR="001120AC" w:rsidRPr="00013709" w:rsidRDefault="0082321C" w:rsidP="00731EDA">
      <w:pPr>
        <w:spacing w:after="0" w:line="240" w:lineRule="auto"/>
        <w:jc w:val="both"/>
        <w:rPr>
          <w:sz w:val="24"/>
          <w:szCs w:val="24"/>
        </w:rPr>
      </w:pPr>
      <w:r w:rsidRPr="006D2FC8">
        <w:rPr>
          <w:sz w:val="24"/>
          <w:szCs w:val="24"/>
        </w:rPr>
        <w:t>Pēcdoktorantūras pētniecība</w:t>
      </w:r>
      <w:r w:rsidR="002E1DF8">
        <w:rPr>
          <w:sz w:val="24"/>
          <w:szCs w:val="24"/>
        </w:rPr>
        <w:t xml:space="preserve">s programmas 2. atlases kārtā </w:t>
      </w:r>
      <w:r w:rsidRPr="006D2FC8">
        <w:rPr>
          <w:sz w:val="24"/>
          <w:szCs w:val="24"/>
        </w:rPr>
        <w:t>līdzī</w:t>
      </w:r>
      <w:r w:rsidR="002E1DF8">
        <w:rPr>
          <w:sz w:val="24"/>
          <w:szCs w:val="24"/>
        </w:rPr>
        <w:t>gi kā 1. atlases kārtā</w:t>
      </w:r>
      <w:r w:rsidRPr="006D2FC8">
        <w:rPr>
          <w:sz w:val="24"/>
          <w:szCs w:val="24"/>
        </w:rPr>
        <w:t xml:space="preserve"> netika iesniegts </w:t>
      </w:r>
      <w:r w:rsidRPr="002522FC">
        <w:rPr>
          <w:sz w:val="24"/>
          <w:szCs w:val="24"/>
        </w:rPr>
        <w:t>neviens</w:t>
      </w:r>
      <w:r w:rsidR="001D3961" w:rsidRPr="002522FC">
        <w:rPr>
          <w:sz w:val="24"/>
          <w:szCs w:val="24"/>
        </w:rPr>
        <w:t xml:space="preserve"> Latvijas zinātnisko institūciju vai komersantu sadarbībā ar ārvalstu zinātnieku</w:t>
      </w:r>
      <w:r w:rsidRPr="002522FC">
        <w:rPr>
          <w:sz w:val="24"/>
          <w:szCs w:val="24"/>
        </w:rPr>
        <w:t xml:space="preserve"> </w:t>
      </w:r>
      <w:r w:rsidR="001D3961" w:rsidRPr="001120AC">
        <w:rPr>
          <w:sz w:val="24"/>
          <w:szCs w:val="24"/>
        </w:rPr>
        <w:t xml:space="preserve">izstrādāts </w:t>
      </w:r>
      <w:r w:rsidRPr="001120AC">
        <w:rPr>
          <w:sz w:val="24"/>
          <w:szCs w:val="24"/>
        </w:rPr>
        <w:t>pētniecības pieteikums, kurš ES pamatprogrammā “Apvārsnis 2020” Marijas Sklodovskas-Kirī programmā “Individuālās stipendijas” vērtēšanā ir novērtēts virs kvalitātes sliekšņa</w:t>
      </w:r>
      <w:r w:rsidR="00D667F2" w:rsidRPr="001120AC">
        <w:rPr>
          <w:sz w:val="24"/>
          <w:szCs w:val="24"/>
        </w:rPr>
        <w:t xml:space="preserve">. </w:t>
      </w:r>
      <w:r w:rsidR="001120AC" w:rsidRPr="001120AC">
        <w:rPr>
          <w:sz w:val="24"/>
          <w:szCs w:val="24"/>
        </w:rPr>
        <w:t xml:space="preserve">Saskaņā ar EK </w:t>
      </w:r>
      <w:r w:rsidR="001120AC" w:rsidRPr="001120AC">
        <w:rPr>
          <w:i/>
          <w:sz w:val="24"/>
          <w:szCs w:val="24"/>
        </w:rPr>
        <w:t>e-</w:t>
      </w:r>
      <w:proofErr w:type="spellStart"/>
      <w:r w:rsidR="001120AC" w:rsidRPr="001120AC">
        <w:rPr>
          <w:i/>
          <w:sz w:val="24"/>
          <w:szCs w:val="24"/>
        </w:rPr>
        <w:t>Cordis</w:t>
      </w:r>
      <w:proofErr w:type="spellEnd"/>
      <w:r w:rsidR="001120AC" w:rsidRPr="001120AC">
        <w:rPr>
          <w:sz w:val="24"/>
          <w:szCs w:val="24"/>
        </w:rPr>
        <w:t xml:space="preserve"> datubāzē pieejamo informāciju par dalībvalstu statistiku, laika posmā no 2014. gada līdz 2017. gadam Marijas Sklodovskas-Kirī programmā “Individuālās stipendijas”</w:t>
      </w:r>
      <w:r w:rsidR="001120AC" w:rsidRPr="001120AC">
        <w:rPr>
          <w:rStyle w:val="FootnoteReference"/>
          <w:sz w:val="24"/>
          <w:szCs w:val="24"/>
        </w:rPr>
        <w:footnoteReference w:id="10"/>
      </w:r>
      <w:r w:rsidR="001120AC" w:rsidRPr="001120AC">
        <w:rPr>
          <w:sz w:val="24"/>
          <w:szCs w:val="24"/>
        </w:rPr>
        <w:t xml:space="preserve"> virs kvalitātes sliekšņa novērtēti 9 Latvijas institūciju iesniegti projekta pieteikumi, no kuriem 3 projektiem piešķirts EK finansējums. Atbilstoši VIAA sniegtajai informācijai, Marijas Sklodovskas-Kirī programmā “Individuālās stipendijas” šobrīd tiek īstenoti 2 Latvijas institūciju pieteiktie un programmas “Apvārsnis 2020” finansējumu saņēmušie projekti. Savukārt, divi Marijas Sklodovskas-Kirī programmā “Individuālās stipendijas” virs kvalitātes sliekšņa novērtēti projekti, bet kuru īstenošanai programmas “Apvārsnis 2020” līdzekļi netika piešķirti, šobrīd tiek pārfinansēti ES fondu 1.1.1.5. pasākuma „Atbalsts starptautiskās sadarbības projektiem pētniecībā un inovācijās” trešās kārtas ietvaros.</w:t>
      </w:r>
    </w:p>
    <w:p w14:paraId="420C9771" w14:textId="77777777" w:rsidR="00731EDA" w:rsidRDefault="00731EDA" w:rsidP="00C42F16">
      <w:pPr>
        <w:spacing w:after="0" w:line="240" w:lineRule="auto"/>
        <w:jc w:val="both"/>
        <w:rPr>
          <w:sz w:val="24"/>
          <w:szCs w:val="24"/>
        </w:rPr>
      </w:pPr>
    </w:p>
    <w:p w14:paraId="2371C5B5" w14:textId="77777777" w:rsidR="00C42F16" w:rsidRPr="00724ABF" w:rsidRDefault="00C42F16" w:rsidP="00C42F16">
      <w:pPr>
        <w:spacing w:after="0" w:line="240" w:lineRule="auto"/>
        <w:jc w:val="both"/>
        <w:rPr>
          <w:sz w:val="24"/>
          <w:szCs w:val="24"/>
        </w:rPr>
      </w:pPr>
      <w:r>
        <w:rPr>
          <w:sz w:val="24"/>
          <w:szCs w:val="24"/>
        </w:rPr>
        <w:t>Pārskata periodā ir uzsākts viena 1. atlases kārtas ietvaros īstenota pētniecības pieteikuma līguma laušanas process, pamatojoties uz zinātniskās institūcijas iesniegumu par pēcdoktoranta darba tiesisko attiecību pārtraukšanu ar institūciju. Pēcdoktorantūras pētniecības programmas Uzraudzības padomes locekļi 19.03.2018. sēdē nolēma ļaut pētniecības pieteikuma īstenošanu uz laiku pārtraukt, lai zinātniskā institūcija piesaistītu līdzvērtīgu pēcdoktorantu</w:t>
      </w:r>
      <w:r>
        <w:rPr>
          <w:rStyle w:val="FootnoteReference"/>
          <w:sz w:val="24"/>
          <w:szCs w:val="24"/>
        </w:rPr>
        <w:footnoteReference w:id="11"/>
      </w:r>
      <w:r>
        <w:rPr>
          <w:sz w:val="24"/>
          <w:szCs w:val="24"/>
        </w:rPr>
        <w:t xml:space="preserve">. Noteiktajā laika posmā, zinātniskā institūcija ir informējusi, ka pētniecības pieteikuma specifikas dēļ nav iespējams nodrošināt līdzvērtīga pēcdoktoranta aizvietotāja piesaisti. Ievērojot minēto, VIAA, pirms zinātniskajai institūcijai izmaksātā finansējuma 7 062 </w:t>
      </w:r>
      <w:r w:rsidRPr="001A4D1C">
        <w:rPr>
          <w:i/>
          <w:sz w:val="24"/>
          <w:szCs w:val="24"/>
        </w:rPr>
        <w:t>euro</w:t>
      </w:r>
      <w:r>
        <w:rPr>
          <w:sz w:val="24"/>
          <w:szCs w:val="24"/>
        </w:rPr>
        <w:t xml:space="preserve"> iekļaušanas maksājuma pieprasījumā, jāgūst pārliecība par pētniecības pieteikuma rādītāju sasniegšanu un atbilstību pētniecības pieteikumam vai gadījumā, ja rezultāti nav sasniegti, jālemj par institūcijai izmaksātā finansējuma atgūšanu.</w:t>
      </w:r>
    </w:p>
    <w:p w14:paraId="5EBA735D" w14:textId="77777777" w:rsidR="009C561C" w:rsidRPr="00013709" w:rsidRDefault="009C561C" w:rsidP="001120AC">
      <w:pPr>
        <w:spacing w:after="0" w:line="240" w:lineRule="auto"/>
        <w:jc w:val="both"/>
        <w:rPr>
          <w:sz w:val="24"/>
          <w:szCs w:val="24"/>
        </w:rPr>
      </w:pPr>
    </w:p>
    <w:p w14:paraId="31E8A2FC" w14:textId="77777777" w:rsidR="00D60859" w:rsidRDefault="00D60859" w:rsidP="0024408B">
      <w:pPr>
        <w:spacing w:line="240" w:lineRule="auto"/>
        <w:rPr>
          <w:rFonts w:asciiTheme="majorHAnsi" w:eastAsiaTheme="majorEastAsia" w:hAnsiTheme="majorHAnsi" w:cstheme="majorBidi"/>
          <w:b/>
          <w:color w:val="323E4F" w:themeColor="text2" w:themeShade="BF"/>
          <w:sz w:val="28"/>
          <w:szCs w:val="28"/>
        </w:rPr>
      </w:pPr>
      <w:r>
        <w:rPr>
          <w:b/>
          <w:color w:val="323E4F" w:themeColor="text2" w:themeShade="BF"/>
          <w:sz w:val="28"/>
          <w:szCs w:val="28"/>
        </w:rPr>
        <w:br w:type="page"/>
      </w:r>
    </w:p>
    <w:p w14:paraId="44C15C1D" w14:textId="77777777" w:rsidR="003D783B" w:rsidRDefault="003D783B" w:rsidP="0024408B">
      <w:pPr>
        <w:pStyle w:val="Heading1"/>
        <w:numPr>
          <w:ilvl w:val="1"/>
          <w:numId w:val="3"/>
        </w:numPr>
        <w:spacing w:after="240" w:line="240" w:lineRule="auto"/>
        <w:ind w:left="1220" w:hanging="369"/>
        <w:jc w:val="both"/>
        <w:rPr>
          <w:b/>
          <w:color w:val="323E4F" w:themeColor="text2" w:themeShade="BF"/>
          <w:sz w:val="28"/>
          <w:szCs w:val="28"/>
        </w:rPr>
      </w:pPr>
      <w:bookmarkStart w:id="8" w:name="_Toc3218332"/>
      <w:r w:rsidRPr="00DC32D4">
        <w:rPr>
          <w:b/>
          <w:color w:val="323E4F" w:themeColor="text2" w:themeShade="BF"/>
          <w:sz w:val="28"/>
          <w:szCs w:val="28"/>
        </w:rPr>
        <w:lastRenderedPageBreak/>
        <w:t>Pēcdoktorantūras pētniec</w:t>
      </w:r>
      <w:r w:rsidR="007C2FF5">
        <w:rPr>
          <w:b/>
          <w:color w:val="323E4F" w:themeColor="text2" w:themeShade="BF"/>
          <w:sz w:val="28"/>
          <w:szCs w:val="28"/>
        </w:rPr>
        <w:t>ības programmas rezultāti</w:t>
      </w:r>
      <w:bookmarkEnd w:id="8"/>
      <w:r>
        <w:rPr>
          <w:b/>
          <w:color w:val="323E4F" w:themeColor="text2" w:themeShade="BF"/>
          <w:sz w:val="28"/>
          <w:szCs w:val="28"/>
        </w:rPr>
        <w:t xml:space="preserve"> </w:t>
      </w:r>
    </w:p>
    <w:p w14:paraId="48F791B6" w14:textId="77777777" w:rsidR="00FC261D" w:rsidRPr="00D51534" w:rsidRDefault="00FC261D" w:rsidP="0024408B">
      <w:pPr>
        <w:spacing w:line="240" w:lineRule="auto"/>
        <w:jc w:val="both"/>
        <w:rPr>
          <w:rFonts w:ascii="Times New Roman" w:hAnsi="Times New Roman" w:cs="Times New Roman"/>
        </w:rPr>
      </w:pPr>
      <w:r w:rsidRPr="00FC261D">
        <w:rPr>
          <w:sz w:val="24"/>
          <w:szCs w:val="24"/>
        </w:rPr>
        <w:t xml:space="preserve">Pēcdoktorantūras pētniecības programma vērsta ne tikai uz </w:t>
      </w:r>
      <w:r w:rsidR="000F6B84">
        <w:rPr>
          <w:sz w:val="24"/>
          <w:szCs w:val="24"/>
        </w:rPr>
        <w:t xml:space="preserve">jauno zinātnisko grupu līderu attīstību, </w:t>
      </w:r>
      <w:r w:rsidRPr="00FC261D">
        <w:rPr>
          <w:sz w:val="24"/>
          <w:szCs w:val="24"/>
        </w:rPr>
        <w:t>zināšanu bāzes, cilvēkkapitāla attīstību un zinātniskās kapacitātes stiprināšanu, bet vienlaikus sniedz ieguldījumu darbības programmas rezultātu un RIS3 mērķu sasniegšan</w:t>
      </w:r>
      <w:r w:rsidR="00D51534">
        <w:rPr>
          <w:sz w:val="24"/>
          <w:szCs w:val="24"/>
        </w:rPr>
        <w:t>ā, kā arī veicina zināšanu un tehnoloģiju pārnesi (attēls Nr. </w:t>
      </w:r>
      <w:r w:rsidR="00F47604">
        <w:rPr>
          <w:sz w:val="24"/>
          <w:szCs w:val="24"/>
        </w:rPr>
        <w:t>4</w:t>
      </w:r>
      <w:r w:rsidR="00D51534">
        <w:rPr>
          <w:sz w:val="24"/>
          <w:szCs w:val="24"/>
        </w:rPr>
        <w:t>).</w:t>
      </w:r>
    </w:p>
    <w:p w14:paraId="5C9DD067" w14:textId="77777777" w:rsidR="007904D6" w:rsidRPr="00D51534" w:rsidRDefault="007904D6" w:rsidP="003F4410">
      <w:pPr>
        <w:spacing w:after="0" w:line="240" w:lineRule="auto"/>
        <w:jc w:val="right"/>
      </w:pPr>
      <w:r w:rsidRPr="00D51534">
        <w:t>Attēls Nr. </w:t>
      </w:r>
      <w:r w:rsidR="00F47604">
        <w:t>4</w:t>
      </w:r>
    </w:p>
    <w:p w14:paraId="2D50DEBA" w14:textId="77777777" w:rsidR="00E30327" w:rsidRDefault="00F76C59" w:rsidP="0024408B">
      <w:pPr>
        <w:spacing w:after="0" w:line="240" w:lineRule="auto"/>
        <w:jc w:val="center"/>
        <w:rPr>
          <w:sz w:val="24"/>
          <w:szCs w:val="24"/>
        </w:rPr>
      </w:pPr>
      <w:r>
        <w:rPr>
          <w:noProof/>
          <w:lang w:val="en-US"/>
        </w:rPr>
        <w:drawing>
          <wp:inline distT="0" distB="0" distL="0" distR="0" wp14:anchorId="21021D8F" wp14:editId="6934BECE">
            <wp:extent cx="5760085" cy="3108960"/>
            <wp:effectExtent l="0" t="0" r="12065"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7D6136" w14:textId="77777777" w:rsidR="00503D47" w:rsidRPr="00D25EF4" w:rsidRDefault="00B7374F" w:rsidP="0024408B">
      <w:pPr>
        <w:spacing w:before="240" w:after="0" w:line="240" w:lineRule="auto"/>
        <w:jc w:val="both"/>
        <w:rPr>
          <w:sz w:val="24"/>
          <w:szCs w:val="24"/>
        </w:rPr>
      </w:pPr>
      <w:r>
        <w:rPr>
          <w:sz w:val="24"/>
          <w:szCs w:val="24"/>
        </w:rPr>
        <w:t>A</w:t>
      </w:r>
      <w:r w:rsidR="00503D47">
        <w:rPr>
          <w:sz w:val="24"/>
          <w:szCs w:val="24"/>
        </w:rPr>
        <w:t xml:space="preserve">tbilstoši </w:t>
      </w:r>
      <w:r w:rsidR="00503D47" w:rsidRPr="00AE4447">
        <w:rPr>
          <w:sz w:val="24"/>
          <w:szCs w:val="24"/>
        </w:rPr>
        <w:t>Pēcdoktorantūras pētniecības programmas 1. un 2. atla</w:t>
      </w:r>
      <w:r w:rsidR="00503D47">
        <w:rPr>
          <w:sz w:val="24"/>
          <w:szCs w:val="24"/>
        </w:rPr>
        <w:t xml:space="preserve">ses kārtas ietvaros </w:t>
      </w:r>
      <w:r w:rsidR="00577F2C">
        <w:rPr>
          <w:sz w:val="24"/>
          <w:szCs w:val="24"/>
        </w:rPr>
        <w:t>īstenotajiem pētniecības pieteikumie</w:t>
      </w:r>
      <w:r w:rsidR="00503D47" w:rsidRPr="00D25EF4">
        <w:rPr>
          <w:sz w:val="24"/>
          <w:szCs w:val="24"/>
        </w:rPr>
        <w:t>m, līdz 31.12.2023.</w:t>
      </w:r>
      <w:r>
        <w:rPr>
          <w:sz w:val="24"/>
          <w:szCs w:val="24"/>
        </w:rPr>
        <w:t xml:space="preserve"> plānots sasniegt šādus rādītājus</w:t>
      </w:r>
      <w:r w:rsidR="00503D47" w:rsidRPr="00D25EF4">
        <w:rPr>
          <w:sz w:val="24"/>
          <w:szCs w:val="24"/>
        </w:rPr>
        <w:t>:</w:t>
      </w:r>
    </w:p>
    <w:p w14:paraId="6F070DB6" w14:textId="77777777" w:rsidR="00503D47" w:rsidRPr="002155FA" w:rsidRDefault="00586E53" w:rsidP="00E62336">
      <w:pPr>
        <w:pStyle w:val="ListParagraph"/>
        <w:numPr>
          <w:ilvl w:val="0"/>
          <w:numId w:val="4"/>
        </w:numPr>
        <w:spacing w:after="0" w:line="240" w:lineRule="auto"/>
        <w:jc w:val="both"/>
        <w:rPr>
          <w:sz w:val="24"/>
          <w:szCs w:val="24"/>
        </w:rPr>
      </w:pPr>
      <w:r w:rsidRPr="00AE0B41">
        <w:rPr>
          <w:b/>
          <w:sz w:val="24"/>
          <w:szCs w:val="24"/>
        </w:rPr>
        <w:t>194</w:t>
      </w:r>
      <w:r>
        <w:rPr>
          <w:sz w:val="24"/>
          <w:szCs w:val="24"/>
        </w:rPr>
        <w:t xml:space="preserve"> izveidotas</w:t>
      </w:r>
      <w:r w:rsidR="00503D47" w:rsidRPr="00D25EF4">
        <w:rPr>
          <w:sz w:val="24"/>
          <w:szCs w:val="24"/>
        </w:rPr>
        <w:t xml:space="preserve"> jaunu pētnieku amata vietas</w:t>
      </w:r>
      <w:r w:rsidR="0064355C" w:rsidRPr="00D25EF4">
        <w:rPr>
          <w:sz w:val="24"/>
          <w:szCs w:val="24"/>
        </w:rPr>
        <w:t xml:space="preserve"> (1</w:t>
      </w:r>
      <w:r w:rsidR="007D490B" w:rsidRPr="00D25EF4">
        <w:rPr>
          <w:sz w:val="24"/>
          <w:szCs w:val="24"/>
        </w:rPr>
        <w:t>64</w:t>
      </w:r>
      <w:r w:rsidR="0017449E" w:rsidRPr="00D25EF4">
        <w:rPr>
          <w:sz w:val="24"/>
          <w:szCs w:val="24"/>
        </w:rPr>
        <w:t> </w:t>
      </w:r>
      <w:r w:rsidR="0064355C" w:rsidRPr="00D25EF4">
        <w:rPr>
          <w:sz w:val="24"/>
          <w:szCs w:val="24"/>
        </w:rPr>
        <w:t xml:space="preserve">% no </w:t>
      </w:r>
      <w:r w:rsidR="00951AD1">
        <w:rPr>
          <w:sz w:val="24"/>
          <w:szCs w:val="24"/>
        </w:rPr>
        <w:t xml:space="preserve">plānotās </w:t>
      </w:r>
      <w:r w:rsidR="0017449E" w:rsidRPr="00D25EF4">
        <w:rPr>
          <w:sz w:val="24"/>
          <w:szCs w:val="24"/>
        </w:rPr>
        <w:t>sasniedzamās vērtības</w:t>
      </w:r>
      <w:r w:rsidR="007E4417">
        <w:rPr>
          <w:sz w:val="24"/>
          <w:szCs w:val="24"/>
        </w:rPr>
        <w:t>, ņemot vērā ar Eiropas Komisiju saskaņotos grozījumos darbības programmā</w:t>
      </w:r>
      <w:r w:rsidR="0064355C" w:rsidRPr="00D25EF4">
        <w:rPr>
          <w:sz w:val="24"/>
          <w:szCs w:val="24"/>
        </w:rPr>
        <w:t>)</w:t>
      </w:r>
      <w:r w:rsidR="002155FA">
        <w:rPr>
          <w:sz w:val="24"/>
          <w:szCs w:val="24"/>
        </w:rPr>
        <w:t>. Tādējādi plānots, ka iznākuma rādītājs „</w:t>
      </w:r>
      <w:r w:rsidR="002155FA" w:rsidRPr="00A6642B">
        <w:rPr>
          <w:b/>
          <w:sz w:val="24"/>
          <w:szCs w:val="24"/>
        </w:rPr>
        <w:t>jaunu pētnieku amata vietu skaits atbalstītajās vienības (PLE)” tiks sasniegts</w:t>
      </w:r>
      <w:r w:rsidR="002155FA">
        <w:rPr>
          <w:sz w:val="24"/>
          <w:szCs w:val="24"/>
        </w:rPr>
        <w:t>. Atbilstoši noslēgtajiem līgumiem starp VIAA un pētniecības pieteikumu īstenotājiem 1. atlases kārtas ietvaros tiks izveidotas jaunas amata vietas 131 pēcdoktorantam, savukārt 2. atlases kārtas apstiprināto pētniecības pieteikumu ietvaros plānots izveidot 63 jaunas amata vietas;</w:t>
      </w:r>
    </w:p>
    <w:p w14:paraId="7CA5E8B0" w14:textId="77777777" w:rsidR="002155FA" w:rsidRPr="002155FA" w:rsidRDefault="00586E53" w:rsidP="00E62336">
      <w:pPr>
        <w:pStyle w:val="ListParagraph"/>
        <w:numPr>
          <w:ilvl w:val="0"/>
          <w:numId w:val="4"/>
        </w:numPr>
        <w:spacing w:after="0" w:line="240" w:lineRule="auto"/>
        <w:jc w:val="both"/>
        <w:rPr>
          <w:sz w:val="24"/>
          <w:szCs w:val="24"/>
        </w:rPr>
      </w:pPr>
      <w:r w:rsidRPr="00AE0B41">
        <w:rPr>
          <w:b/>
          <w:sz w:val="24"/>
          <w:szCs w:val="24"/>
        </w:rPr>
        <w:t>727</w:t>
      </w:r>
      <w:r>
        <w:rPr>
          <w:sz w:val="24"/>
          <w:szCs w:val="24"/>
        </w:rPr>
        <w:t xml:space="preserve"> </w:t>
      </w:r>
      <w:r w:rsidR="00503D47" w:rsidRPr="00D25EF4">
        <w:rPr>
          <w:sz w:val="24"/>
          <w:szCs w:val="24"/>
        </w:rPr>
        <w:t xml:space="preserve">sagatavoti un publicēti zinātniskie raksti, tostarp tādi zinātniskie raksti, kurus plānots publicēt </w:t>
      </w:r>
      <w:r w:rsidR="00503D47" w:rsidRPr="00D25EF4">
        <w:rPr>
          <w:i/>
          <w:sz w:val="24"/>
          <w:szCs w:val="24"/>
        </w:rPr>
        <w:t xml:space="preserve">Web </w:t>
      </w:r>
      <w:proofErr w:type="spellStart"/>
      <w:r w:rsidR="00503D47" w:rsidRPr="00D25EF4">
        <w:rPr>
          <w:i/>
          <w:sz w:val="24"/>
          <w:szCs w:val="24"/>
        </w:rPr>
        <w:t>of</w:t>
      </w:r>
      <w:proofErr w:type="spellEnd"/>
      <w:r w:rsidR="00503D47" w:rsidRPr="00D25EF4">
        <w:rPr>
          <w:i/>
          <w:sz w:val="24"/>
          <w:szCs w:val="24"/>
        </w:rPr>
        <w:t xml:space="preserve"> </w:t>
      </w:r>
      <w:proofErr w:type="spellStart"/>
      <w:r w:rsidR="00503D47" w:rsidRPr="00D25EF4">
        <w:rPr>
          <w:i/>
          <w:sz w:val="24"/>
          <w:szCs w:val="24"/>
        </w:rPr>
        <w:t>Science</w:t>
      </w:r>
      <w:proofErr w:type="spellEnd"/>
      <w:r w:rsidR="00503D47" w:rsidRPr="00D25EF4">
        <w:rPr>
          <w:sz w:val="24"/>
          <w:szCs w:val="24"/>
        </w:rPr>
        <w:t xml:space="preserve"> vai </w:t>
      </w:r>
      <w:proofErr w:type="spellStart"/>
      <w:r w:rsidR="00503D47" w:rsidRPr="00D25EF4">
        <w:rPr>
          <w:i/>
          <w:sz w:val="24"/>
          <w:szCs w:val="24"/>
        </w:rPr>
        <w:t>Scopus</w:t>
      </w:r>
      <w:proofErr w:type="spellEnd"/>
      <w:r w:rsidR="00503D47" w:rsidRPr="00D25EF4">
        <w:rPr>
          <w:sz w:val="24"/>
          <w:szCs w:val="24"/>
        </w:rPr>
        <w:t xml:space="preserve"> datubāzē</w:t>
      </w:r>
      <w:r w:rsidR="00503D47" w:rsidRPr="00503D47">
        <w:rPr>
          <w:sz w:val="24"/>
          <w:szCs w:val="24"/>
        </w:rPr>
        <w:t xml:space="preserve"> iekļautos žurnālos vai konferenču rakstu krājumos</w:t>
      </w:r>
      <w:r w:rsidR="007C2FF5">
        <w:rPr>
          <w:sz w:val="24"/>
          <w:szCs w:val="24"/>
        </w:rPr>
        <w:t xml:space="preserve"> vai</w:t>
      </w:r>
      <w:r w:rsidR="00503D47" w:rsidRPr="00503D47">
        <w:rPr>
          <w:sz w:val="24"/>
          <w:szCs w:val="24"/>
        </w:rPr>
        <w:t xml:space="preserve"> kuru citēšanas indekss sasniedz vismaz 50 procentus no nozares vidējā citēšanas indeksa</w:t>
      </w:r>
      <w:r w:rsidR="00951AD1">
        <w:rPr>
          <w:sz w:val="24"/>
          <w:szCs w:val="24"/>
        </w:rPr>
        <w:t xml:space="preserve"> (57</w:t>
      </w:r>
      <w:r w:rsidR="0017449E">
        <w:rPr>
          <w:sz w:val="24"/>
          <w:szCs w:val="24"/>
        </w:rPr>
        <w:t> </w:t>
      </w:r>
      <w:r w:rsidR="0064355C">
        <w:rPr>
          <w:sz w:val="24"/>
          <w:szCs w:val="24"/>
        </w:rPr>
        <w:t>%</w:t>
      </w:r>
      <w:r w:rsidR="00951AD1">
        <w:rPr>
          <w:sz w:val="24"/>
          <w:szCs w:val="24"/>
        </w:rPr>
        <w:t xml:space="preserve"> no </w:t>
      </w:r>
      <w:r w:rsidR="007C2FF5">
        <w:rPr>
          <w:sz w:val="24"/>
          <w:szCs w:val="24"/>
        </w:rPr>
        <w:t xml:space="preserve">rādītāja </w:t>
      </w:r>
      <w:r w:rsidR="00951AD1">
        <w:rPr>
          <w:sz w:val="24"/>
          <w:szCs w:val="24"/>
        </w:rPr>
        <w:t>plānotās</w:t>
      </w:r>
      <w:r w:rsidR="0064355C">
        <w:rPr>
          <w:sz w:val="24"/>
          <w:szCs w:val="24"/>
        </w:rPr>
        <w:t xml:space="preserve"> sasniedzamās vērtības)</w:t>
      </w:r>
      <w:r w:rsidR="002155FA">
        <w:rPr>
          <w:sz w:val="24"/>
          <w:szCs w:val="24"/>
        </w:rPr>
        <w:t>. Pieņemot, ka nākamajās Pēcdoktorantūras pētnie</w:t>
      </w:r>
      <w:r w:rsidR="003227B2">
        <w:rPr>
          <w:sz w:val="24"/>
          <w:szCs w:val="24"/>
        </w:rPr>
        <w:t>cības programmas atlases kārtās</w:t>
      </w:r>
      <w:r w:rsidR="002155FA">
        <w:rPr>
          <w:sz w:val="24"/>
          <w:szCs w:val="24"/>
        </w:rPr>
        <w:t xml:space="preserve"> saglabājas līdzīga tendence attiecībā uz pētniecības pieteikumu ietvaros izstrādāto un publicēšanai iesniegto zinātnisko rakstu skaitu, iznākuma rādītājs </w:t>
      </w:r>
      <w:r w:rsidR="002155FA" w:rsidRPr="00F34E7A">
        <w:rPr>
          <w:b/>
          <w:sz w:val="24"/>
          <w:szCs w:val="24"/>
        </w:rPr>
        <w:t>„zinātnisko rakstu skaits, kuru izstrādei un publicēšanai sniegts atbalsts pētniecības pieteikuma ietvaros” varētu tikt sasniegts</w:t>
      </w:r>
      <w:r w:rsidR="002155FA">
        <w:rPr>
          <w:sz w:val="24"/>
          <w:szCs w:val="24"/>
        </w:rPr>
        <w:t>;</w:t>
      </w:r>
    </w:p>
    <w:p w14:paraId="03DCA599" w14:textId="77777777" w:rsidR="00503D47" w:rsidRPr="002155FA" w:rsidRDefault="00586E53" w:rsidP="00E62336">
      <w:pPr>
        <w:pStyle w:val="ListParagraph"/>
        <w:numPr>
          <w:ilvl w:val="0"/>
          <w:numId w:val="4"/>
        </w:numPr>
        <w:spacing w:after="0" w:line="240" w:lineRule="auto"/>
        <w:jc w:val="both"/>
        <w:rPr>
          <w:sz w:val="24"/>
          <w:szCs w:val="24"/>
        </w:rPr>
      </w:pPr>
      <w:r w:rsidRPr="00AE0B41">
        <w:rPr>
          <w:b/>
          <w:sz w:val="24"/>
          <w:szCs w:val="24"/>
        </w:rPr>
        <w:t>117</w:t>
      </w:r>
      <w:r>
        <w:rPr>
          <w:sz w:val="24"/>
          <w:szCs w:val="24"/>
        </w:rPr>
        <w:t xml:space="preserve"> </w:t>
      </w:r>
      <w:r w:rsidR="00503D47" w:rsidRPr="00DE68BA">
        <w:rPr>
          <w:sz w:val="24"/>
          <w:szCs w:val="24"/>
        </w:rPr>
        <w:t>izstrādāti jaunu produktu vai jaunu tehnoloģiju prototipi</w:t>
      </w:r>
      <w:r w:rsidR="0064355C">
        <w:rPr>
          <w:sz w:val="24"/>
          <w:szCs w:val="24"/>
        </w:rPr>
        <w:t xml:space="preserve"> (28</w:t>
      </w:r>
      <w:r w:rsidR="0017449E">
        <w:rPr>
          <w:sz w:val="24"/>
          <w:szCs w:val="24"/>
        </w:rPr>
        <w:t> </w:t>
      </w:r>
      <w:r w:rsidR="0064355C">
        <w:rPr>
          <w:sz w:val="24"/>
          <w:szCs w:val="24"/>
        </w:rPr>
        <w:t xml:space="preserve">% </w:t>
      </w:r>
      <w:r w:rsidR="0017449E">
        <w:rPr>
          <w:sz w:val="24"/>
          <w:szCs w:val="24"/>
        </w:rPr>
        <w:t xml:space="preserve">no </w:t>
      </w:r>
      <w:r w:rsidR="00951AD1">
        <w:rPr>
          <w:sz w:val="24"/>
          <w:szCs w:val="24"/>
        </w:rPr>
        <w:t xml:space="preserve">plānotās </w:t>
      </w:r>
      <w:r w:rsidR="0017449E">
        <w:rPr>
          <w:sz w:val="24"/>
          <w:szCs w:val="24"/>
        </w:rPr>
        <w:t>sasniedzamās vērtības</w:t>
      </w:r>
      <w:r w:rsidR="0064355C">
        <w:rPr>
          <w:sz w:val="24"/>
          <w:szCs w:val="24"/>
        </w:rPr>
        <w:t>)</w:t>
      </w:r>
      <w:r w:rsidR="00502D22">
        <w:rPr>
          <w:sz w:val="24"/>
          <w:szCs w:val="24"/>
        </w:rPr>
        <w:t>. Iznākuma rādītāja</w:t>
      </w:r>
      <w:r w:rsidR="002155FA">
        <w:rPr>
          <w:sz w:val="24"/>
          <w:szCs w:val="24"/>
        </w:rPr>
        <w:t xml:space="preserve"> „</w:t>
      </w:r>
      <w:r w:rsidR="002155FA" w:rsidRPr="00AD7FF8">
        <w:rPr>
          <w:b/>
          <w:sz w:val="24"/>
          <w:szCs w:val="24"/>
        </w:rPr>
        <w:t>jauno produktu un tehnoloģiju</w:t>
      </w:r>
      <w:r w:rsidR="001B428D">
        <w:rPr>
          <w:b/>
          <w:sz w:val="24"/>
          <w:szCs w:val="24"/>
        </w:rPr>
        <w:t xml:space="preserve"> skaits, kas ir komercializējams</w:t>
      </w:r>
      <w:r w:rsidR="002155FA" w:rsidRPr="00AD7FF8">
        <w:rPr>
          <w:b/>
          <w:sz w:val="24"/>
          <w:szCs w:val="24"/>
        </w:rPr>
        <w:t xml:space="preserve"> un kuru izstrādei sniegts atbalsts pētniecības pieteikuma ietvaros</w:t>
      </w:r>
      <w:r w:rsidR="002155FA">
        <w:rPr>
          <w:sz w:val="24"/>
          <w:szCs w:val="24"/>
        </w:rPr>
        <w:t xml:space="preserve">” </w:t>
      </w:r>
      <w:r w:rsidR="00502D22">
        <w:rPr>
          <w:sz w:val="24"/>
          <w:szCs w:val="24"/>
        </w:rPr>
        <w:t>izpilde netiks nodrošināta nepieciešamajā apjomā, a</w:t>
      </w:r>
      <w:r w:rsidR="00855042">
        <w:rPr>
          <w:sz w:val="24"/>
          <w:szCs w:val="24"/>
        </w:rPr>
        <w:t xml:space="preserve">ttiecīgi </w:t>
      </w:r>
      <w:r w:rsidR="00855042" w:rsidRPr="00AE4234">
        <w:rPr>
          <w:sz w:val="24"/>
          <w:szCs w:val="24"/>
          <w:u w:val="single"/>
        </w:rPr>
        <w:t xml:space="preserve">vērtējama iznākuma rādītāja sasniedzamās vērtības pārskatīšana starp Pēcdoktorantūras </w:t>
      </w:r>
      <w:r w:rsidR="00855042" w:rsidRPr="00AE4234">
        <w:rPr>
          <w:sz w:val="24"/>
          <w:szCs w:val="24"/>
          <w:u w:val="single"/>
        </w:rPr>
        <w:lastRenderedPageBreak/>
        <w:t>pētniecības programm</w:t>
      </w:r>
      <w:r w:rsidR="001B428D" w:rsidRPr="00AE4234">
        <w:rPr>
          <w:sz w:val="24"/>
          <w:szCs w:val="24"/>
          <w:u w:val="single"/>
        </w:rPr>
        <w:t>as</w:t>
      </w:r>
      <w:r w:rsidR="00855042" w:rsidRPr="00AE4234">
        <w:rPr>
          <w:sz w:val="24"/>
          <w:szCs w:val="24"/>
          <w:u w:val="single"/>
        </w:rPr>
        <w:t xml:space="preserve"> un Praktiskās pētniecības programm</w:t>
      </w:r>
      <w:r w:rsidR="001B428D" w:rsidRPr="00AE4234">
        <w:rPr>
          <w:sz w:val="24"/>
          <w:szCs w:val="24"/>
          <w:u w:val="single"/>
        </w:rPr>
        <w:t>as ietvaros sasniedzamo minētā rādītāja vērtību</w:t>
      </w:r>
      <w:r w:rsidR="00855042">
        <w:rPr>
          <w:sz w:val="24"/>
          <w:szCs w:val="24"/>
        </w:rPr>
        <w:t>;</w:t>
      </w:r>
    </w:p>
    <w:p w14:paraId="42C98339" w14:textId="77777777" w:rsidR="00503D47" w:rsidRPr="00303C36" w:rsidRDefault="00586E53" w:rsidP="00E62336">
      <w:pPr>
        <w:pStyle w:val="ListParagraph"/>
        <w:numPr>
          <w:ilvl w:val="0"/>
          <w:numId w:val="4"/>
        </w:numPr>
        <w:spacing w:after="0" w:line="240" w:lineRule="auto"/>
        <w:jc w:val="both"/>
        <w:rPr>
          <w:sz w:val="24"/>
          <w:szCs w:val="24"/>
        </w:rPr>
      </w:pPr>
      <w:r w:rsidRPr="00303C36">
        <w:rPr>
          <w:b/>
          <w:sz w:val="24"/>
          <w:szCs w:val="24"/>
        </w:rPr>
        <w:t>27</w:t>
      </w:r>
      <w:r w:rsidRPr="00303C36">
        <w:rPr>
          <w:sz w:val="24"/>
          <w:szCs w:val="24"/>
        </w:rPr>
        <w:t xml:space="preserve"> komersanti kā pētniecības pieteikumu sadarbības partneri iesaistīti pēcdoktoranta</w:t>
      </w:r>
      <w:r w:rsidR="00503D47" w:rsidRPr="00303C36">
        <w:rPr>
          <w:sz w:val="24"/>
          <w:szCs w:val="24"/>
        </w:rPr>
        <w:t xml:space="preserve"> </w:t>
      </w:r>
      <w:r w:rsidRPr="00303C36">
        <w:rPr>
          <w:sz w:val="24"/>
          <w:szCs w:val="24"/>
        </w:rPr>
        <w:t>pētījuma īstenošanā</w:t>
      </w:r>
      <w:r w:rsidR="0064355C" w:rsidRPr="00303C36">
        <w:rPr>
          <w:sz w:val="24"/>
          <w:szCs w:val="24"/>
        </w:rPr>
        <w:t xml:space="preserve"> (27</w:t>
      </w:r>
      <w:r w:rsidR="008064AF" w:rsidRPr="00303C36">
        <w:rPr>
          <w:sz w:val="24"/>
          <w:szCs w:val="24"/>
        </w:rPr>
        <w:t> </w:t>
      </w:r>
      <w:r w:rsidR="0064355C" w:rsidRPr="00303C36">
        <w:rPr>
          <w:sz w:val="24"/>
          <w:szCs w:val="24"/>
        </w:rPr>
        <w:t xml:space="preserve">% </w:t>
      </w:r>
      <w:r w:rsidR="0017449E" w:rsidRPr="00303C36">
        <w:rPr>
          <w:sz w:val="24"/>
          <w:szCs w:val="24"/>
        </w:rPr>
        <w:t>no plānotās sasniedzamās vērtības</w:t>
      </w:r>
      <w:r w:rsidR="0064355C" w:rsidRPr="00303C36">
        <w:rPr>
          <w:sz w:val="24"/>
          <w:szCs w:val="24"/>
        </w:rPr>
        <w:t>)</w:t>
      </w:r>
      <w:r w:rsidR="002155FA" w:rsidRPr="00303C36">
        <w:rPr>
          <w:sz w:val="24"/>
          <w:szCs w:val="24"/>
        </w:rPr>
        <w:t xml:space="preserve">. Iznākuma rādītāja </w:t>
      </w:r>
      <w:r w:rsidR="002155FA" w:rsidRPr="00303C36">
        <w:rPr>
          <w:b/>
          <w:sz w:val="24"/>
          <w:szCs w:val="24"/>
        </w:rPr>
        <w:t>„komersantu skaits, kuri sadarbojas ar pētniecības institūcijām” vērtības sasniegšana vērtējama kritiski</w:t>
      </w:r>
      <w:r w:rsidR="002155FA" w:rsidRPr="00303C36">
        <w:rPr>
          <w:sz w:val="24"/>
          <w:szCs w:val="24"/>
        </w:rPr>
        <w:t>. Abu atlases kārtu ietvaros minētais rādītājs tiek uzskatīts par sasniegtu, ja starp zinātnisko institūciju un komersantu pētniecības pieteikuma ietvaros ir noslēgts sadarbības līgums. Ievērojot to, ka šāda pieeja ir striktāka nekā to paredz EK vadlīnijas par struktūrfondu investīciju monitoringu un novērtēšanu</w:t>
      </w:r>
      <w:r w:rsidR="002155FA" w:rsidRPr="00303C36">
        <w:rPr>
          <w:vertAlign w:val="superscript"/>
        </w:rPr>
        <w:footnoteReference w:id="12"/>
      </w:r>
      <w:r w:rsidR="002155FA" w:rsidRPr="00303C36">
        <w:rPr>
          <w:sz w:val="24"/>
          <w:szCs w:val="24"/>
        </w:rPr>
        <w:t>, attiecībā uz nākamajām Pēcdoktorantūras pētniecības programmas atlases kārtām</w:t>
      </w:r>
      <w:r w:rsidR="00C83FA9" w:rsidRPr="00303C36">
        <w:rPr>
          <w:sz w:val="24"/>
          <w:szCs w:val="24"/>
        </w:rPr>
        <w:t>, VIAA</w:t>
      </w:r>
      <w:r w:rsidR="002155FA" w:rsidRPr="00303C36">
        <w:rPr>
          <w:sz w:val="24"/>
          <w:szCs w:val="24"/>
        </w:rPr>
        <w:t xml:space="preserve"> būtu pārskatāma iznākuma rādītāja vērtības uzskaites metodoloģija atbilstoši EK vadlīnijām. Vienlaikus RIS3 diskusijās, kas norisinājās laika posmā no 19.10.2018. līdz 20.11.2018. tika pausts viedoklis, ka komers</w:t>
      </w:r>
      <w:r w:rsidR="00526FA8">
        <w:rPr>
          <w:sz w:val="24"/>
          <w:szCs w:val="24"/>
        </w:rPr>
        <w:t>anti nav īpaši ieinteresēti sadarbībā</w:t>
      </w:r>
      <w:r w:rsidR="002155FA" w:rsidRPr="00303C36">
        <w:rPr>
          <w:sz w:val="24"/>
          <w:szCs w:val="24"/>
        </w:rPr>
        <w:t>, tostarp pēcdoktorantu pētniecības pieteikumu īstenošanā, ES fondu līdzfinansēto projektu ietvaros, ņemot vērā administratīvo un birokrātisko slogu</w:t>
      </w:r>
      <w:r w:rsidR="00526FA8">
        <w:rPr>
          <w:sz w:val="24"/>
          <w:szCs w:val="24"/>
        </w:rPr>
        <w:t>, ar ko jāsaskaras projektu iesniegumu atlasē un</w:t>
      </w:r>
      <w:r w:rsidR="002155FA" w:rsidRPr="00303C36">
        <w:rPr>
          <w:sz w:val="24"/>
          <w:szCs w:val="24"/>
        </w:rPr>
        <w:t xml:space="preserve"> īstenošanā.</w:t>
      </w:r>
      <w:r w:rsidR="00695F20" w:rsidRPr="00303C36">
        <w:rPr>
          <w:sz w:val="24"/>
          <w:szCs w:val="24"/>
        </w:rPr>
        <w:t xml:space="preserve"> </w:t>
      </w:r>
      <w:r w:rsidR="00AA0AEE" w:rsidRPr="00303C36">
        <w:rPr>
          <w:sz w:val="24"/>
          <w:szCs w:val="24"/>
        </w:rPr>
        <w:t>Tomēr, tajā pašā laikā, atsevišķas zinātniskās institūcijas norādīja, ka</w:t>
      </w:r>
      <w:r w:rsidR="00303C36" w:rsidRPr="00303C36">
        <w:rPr>
          <w:sz w:val="24"/>
          <w:szCs w:val="24"/>
        </w:rPr>
        <w:t xml:space="preserve"> tās atsevišķu pētījumu un projektu īstenošanai nepieciešamo darbību ietvaros nodrošina</w:t>
      </w:r>
      <w:r w:rsidR="00AA0AEE" w:rsidRPr="00303C36">
        <w:rPr>
          <w:sz w:val="24"/>
          <w:szCs w:val="24"/>
        </w:rPr>
        <w:t xml:space="preserve"> sadarb</w:t>
      </w:r>
      <w:r w:rsidR="00172281">
        <w:rPr>
          <w:sz w:val="24"/>
          <w:szCs w:val="24"/>
        </w:rPr>
        <w:t xml:space="preserve">ību ar komersantiem, un </w:t>
      </w:r>
      <w:r w:rsidR="00303C36" w:rsidRPr="00303C36">
        <w:rPr>
          <w:sz w:val="24"/>
          <w:szCs w:val="24"/>
        </w:rPr>
        <w:t>šai sadarbībai ir mazāks administratīvais slogs kā sadarbības</w:t>
      </w:r>
      <w:r w:rsidR="00172281">
        <w:rPr>
          <w:sz w:val="24"/>
          <w:szCs w:val="24"/>
        </w:rPr>
        <w:t xml:space="preserve"> partnera statusā</w:t>
      </w:r>
      <w:r w:rsidR="00303C36">
        <w:rPr>
          <w:sz w:val="24"/>
          <w:szCs w:val="24"/>
        </w:rPr>
        <w:t xml:space="preserve"> </w:t>
      </w:r>
      <w:r w:rsidR="00172281">
        <w:rPr>
          <w:sz w:val="24"/>
          <w:szCs w:val="24"/>
        </w:rPr>
        <w:t xml:space="preserve">atbilstoši </w:t>
      </w:r>
      <w:r w:rsidR="00303C36">
        <w:rPr>
          <w:sz w:val="24"/>
          <w:szCs w:val="24"/>
        </w:rPr>
        <w:t>ES fondu īstenošanu reglamentējošajos normatīvajos aktos</w:t>
      </w:r>
      <w:r w:rsidR="00172281">
        <w:rPr>
          <w:sz w:val="24"/>
          <w:szCs w:val="24"/>
        </w:rPr>
        <w:t xml:space="preserve"> noteiktajam</w:t>
      </w:r>
      <w:r w:rsidR="00303C36">
        <w:rPr>
          <w:sz w:val="24"/>
          <w:szCs w:val="24"/>
        </w:rPr>
        <w:t xml:space="preserve">. </w:t>
      </w:r>
      <w:r w:rsidR="00695F20" w:rsidRPr="00303C36">
        <w:rPr>
          <w:sz w:val="24"/>
          <w:szCs w:val="24"/>
        </w:rPr>
        <w:t>K</w:t>
      </w:r>
      <w:r w:rsidR="002155FA" w:rsidRPr="00303C36">
        <w:rPr>
          <w:sz w:val="24"/>
          <w:szCs w:val="24"/>
        </w:rPr>
        <w:t xml:space="preserve">omersanti </w:t>
      </w:r>
      <w:r w:rsidR="00695F20" w:rsidRPr="00303C36">
        <w:rPr>
          <w:sz w:val="24"/>
          <w:szCs w:val="24"/>
        </w:rPr>
        <w:t xml:space="preserve">cita starpā </w:t>
      </w:r>
      <w:r w:rsidR="002155FA" w:rsidRPr="00303C36">
        <w:rPr>
          <w:sz w:val="24"/>
          <w:szCs w:val="24"/>
        </w:rPr>
        <w:t>pauda, ka tiem trūkst vienkārša, viegli uztverama informācija par programmas sniegtajām iespējām un to pienesumu komersanta darbības attīstībai</w:t>
      </w:r>
      <w:r w:rsidR="00503D47" w:rsidRPr="00303C36">
        <w:rPr>
          <w:sz w:val="24"/>
          <w:szCs w:val="24"/>
        </w:rPr>
        <w:t>;</w:t>
      </w:r>
    </w:p>
    <w:p w14:paraId="47BBF4BA" w14:textId="77777777" w:rsidR="0085501E" w:rsidRDefault="00DA6E12" w:rsidP="00E62336">
      <w:pPr>
        <w:pStyle w:val="ListParagraph"/>
        <w:numPr>
          <w:ilvl w:val="0"/>
          <w:numId w:val="4"/>
        </w:numPr>
        <w:spacing w:before="240" w:after="120" w:line="240" w:lineRule="auto"/>
        <w:ind w:left="714" w:hanging="357"/>
        <w:jc w:val="both"/>
        <w:rPr>
          <w:sz w:val="24"/>
          <w:szCs w:val="24"/>
        </w:rPr>
      </w:pPr>
      <w:r w:rsidRPr="00AE0B41">
        <w:rPr>
          <w:b/>
          <w:sz w:val="24"/>
          <w:szCs w:val="24"/>
        </w:rPr>
        <w:t>469 317</w:t>
      </w:r>
      <w:r w:rsidRPr="00DE68BA">
        <w:rPr>
          <w:sz w:val="24"/>
          <w:szCs w:val="24"/>
        </w:rPr>
        <w:t xml:space="preserve"> </w:t>
      </w:r>
      <w:r w:rsidRPr="00DE68BA">
        <w:rPr>
          <w:i/>
          <w:sz w:val="24"/>
          <w:szCs w:val="24"/>
        </w:rPr>
        <w:t>euro</w:t>
      </w:r>
      <w:r w:rsidRPr="00DE68BA">
        <w:rPr>
          <w:sz w:val="24"/>
          <w:szCs w:val="24"/>
        </w:rPr>
        <w:t xml:space="preserve"> apmēra</w:t>
      </w:r>
      <w:r>
        <w:rPr>
          <w:sz w:val="24"/>
          <w:szCs w:val="24"/>
        </w:rPr>
        <w:t xml:space="preserve"> </w:t>
      </w:r>
      <w:r w:rsidR="00503D47" w:rsidRPr="00DE68BA">
        <w:rPr>
          <w:sz w:val="24"/>
          <w:szCs w:val="24"/>
        </w:rPr>
        <w:t xml:space="preserve">piesaistītas privātās investīcijas </w:t>
      </w:r>
      <w:r w:rsidR="00951AD1">
        <w:rPr>
          <w:sz w:val="24"/>
          <w:szCs w:val="24"/>
        </w:rPr>
        <w:t>(15</w:t>
      </w:r>
      <w:r w:rsidR="008064AF">
        <w:rPr>
          <w:sz w:val="24"/>
          <w:szCs w:val="24"/>
        </w:rPr>
        <w:t> </w:t>
      </w:r>
      <w:r w:rsidR="0064355C">
        <w:rPr>
          <w:sz w:val="24"/>
          <w:szCs w:val="24"/>
        </w:rPr>
        <w:t xml:space="preserve">% </w:t>
      </w:r>
      <w:r w:rsidR="0017449E">
        <w:rPr>
          <w:sz w:val="24"/>
          <w:szCs w:val="24"/>
        </w:rPr>
        <w:t xml:space="preserve">no </w:t>
      </w:r>
      <w:r w:rsidR="00951AD1">
        <w:rPr>
          <w:sz w:val="24"/>
          <w:szCs w:val="24"/>
        </w:rPr>
        <w:t xml:space="preserve">plānotās </w:t>
      </w:r>
      <w:r w:rsidR="0017449E">
        <w:rPr>
          <w:sz w:val="24"/>
          <w:szCs w:val="24"/>
        </w:rPr>
        <w:t>sasniedzamās vērtības</w:t>
      </w:r>
      <w:r w:rsidR="0064355C">
        <w:rPr>
          <w:sz w:val="24"/>
          <w:szCs w:val="24"/>
        </w:rPr>
        <w:t>)</w:t>
      </w:r>
      <w:r w:rsidR="002155FA">
        <w:rPr>
          <w:sz w:val="24"/>
          <w:szCs w:val="24"/>
        </w:rPr>
        <w:t>. Iznākuma rādītāja „</w:t>
      </w:r>
      <w:r w:rsidR="002155FA" w:rsidRPr="00CB39D5">
        <w:rPr>
          <w:b/>
          <w:sz w:val="24"/>
          <w:szCs w:val="24"/>
        </w:rPr>
        <w:t>piesaistītas privātās investīcijas pētniecības pieteikumu īstenošanai” sasniegšana vērtējama kritiski</w:t>
      </w:r>
      <w:r w:rsidR="002155FA">
        <w:rPr>
          <w:sz w:val="24"/>
          <w:szCs w:val="24"/>
        </w:rPr>
        <w:t>. Lai arī pamatojoties uz Pēcdoktorantūras pētniecības programmas 1. atlases kārtas ietvaros gūtiem secinājumiem, 2. atlases kārtas pētniecības pieteikumu vērtēšanas procesā tika noteikts, ka pētniecības pieteikumiem, kas plāno piesaistīt</w:t>
      </w:r>
      <w:r w:rsidR="002155FA" w:rsidRPr="00F90C29">
        <w:rPr>
          <w:sz w:val="24"/>
          <w:szCs w:val="24"/>
        </w:rPr>
        <w:t xml:space="preserve"> privāto finansējumu</w:t>
      </w:r>
      <w:r w:rsidR="002155FA">
        <w:rPr>
          <w:sz w:val="24"/>
          <w:szCs w:val="24"/>
        </w:rPr>
        <w:t xml:space="preserve">, piešķirami papildu punkti un attiecībā uz vienu 2. atlases kārtas ietvaros apstiprināto pētniecības pieteikumu piesaistītā privātā finansējuma apmērs ir vidēji pieaudzis par 869 </w:t>
      </w:r>
      <w:r w:rsidR="002155FA" w:rsidRPr="00F90C29">
        <w:rPr>
          <w:i/>
          <w:sz w:val="24"/>
          <w:szCs w:val="24"/>
        </w:rPr>
        <w:t>euro</w:t>
      </w:r>
      <w:r w:rsidR="002155FA">
        <w:rPr>
          <w:rStyle w:val="FootnoteReference"/>
          <w:i/>
          <w:sz w:val="24"/>
          <w:szCs w:val="24"/>
        </w:rPr>
        <w:footnoteReference w:id="13"/>
      </w:r>
      <w:r w:rsidR="002155FA">
        <w:rPr>
          <w:sz w:val="24"/>
          <w:szCs w:val="24"/>
        </w:rPr>
        <w:t xml:space="preserve"> salīdzinot ar 1. atlases kārtas ietvaros īstenotajiem pētniecības pieteikumiem, tomēr ieguldījums iznākuma rādītāja vērtības sasniegšanā ir salīdzinoši nebūtisks. Tostarp, minētā rādītāja vērtības sasniegšanu ietekmē tas, ka</w:t>
      </w:r>
      <w:r w:rsidR="00F442A4">
        <w:rPr>
          <w:sz w:val="24"/>
          <w:szCs w:val="24"/>
        </w:rPr>
        <w:t>,</w:t>
      </w:r>
      <w:r w:rsidR="002155FA">
        <w:rPr>
          <w:sz w:val="24"/>
          <w:szCs w:val="24"/>
        </w:rPr>
        <w:t xml:space="preserve"> ņemot vērā esošos sociālekonomiskos apstākļus, Latvijas komersantiem, it sevišķi MV</w:t>
      </w:r>
      <w:r w:rsidR="00C02B1E">
        <w:rPr>
          <w:sz w:val="24"/>
          <w:szCs w:val="24"/>
        </w:rPr>
        <w:t>K</w:t>
      </w:r>
      <w:r w:rsidR="00F442A4">
        <w:rPr>
          <w:sz w:val="24"/>
          <w:szCs w:val="24"/>
        </w:rPr>
        <w:t>,</w:t>
      </w:r>
      <w:r w:rsidR="002155FA">
        <w:rPr>
          <w:sz w:val="24"/>
          <w:szCs w:val="24"/>
        </w:rPr>
        <w:t xml:space="preserve"> ir ierobežoti brīvie finanšu resursi, kas varētu tikt novirzīti pētniecībai un attīstībai</w:t>
      </w:r>
      <w:r w:rsidR="0064355C">
        <w:rPr>
          <w:sz w:val="24"/>
          <w:szCs w:val="24"/>
        </w:rPr>
        <w:t>.</w:t>
      </w:r>
      <w:r w:rsidR="00D26900">
        <w:rPr>
          <w:sz w:val="24"/>
          <w:szCs w:val="24"/>
        </w:rPr>
        <w:t xml:space="preserve"> Ievērojot minēto, </w:t>
      </w:r>
      <w:r w:rsidR="001B428D" w:rsidRPr="00AE4234">
        <w:rPr>
          <w:sz w:val="24"/>
          <w:szCs w:val="24"/>
          <w:u w:val="single"/>
        </w:rPr>
        <w:t>vērtējama iznākuma rādītāja sasniedzamās vērtības pārskatīšana starp Pēcdoktorantūras pētniecības programmas un Praktiskās pētniecības programmas ietvaros sasniedzamo minētā rādītāja vērtību</w:t>
      </w:r>
      <w:r w:rsidR="00D26900">
        <w:rPr>
          <w:sz w:val="24"/>
          <w:szCs w:val="24"/>
        </w:rPr>
        <w:t>;</w:t>
      </w:r>
    </w:p>
    <w:p w14:paraId="10A8674E" w14:textId="77777777" w:rsidR="00C13B9E" w:rsidRPr="00A00CD4" w:rsidRDefault="000A37EB" w:rsidP="00E62336">
      <w:pPr>
        <w:pStyle w:val="ListParagraph"/>
        <w:numPr>
          <w:ilvl w:val="0"/>
          <w:numId w:val="4"/>
        </w:numPr>
        <w:spacing w:after="0" w:line="240" w:lineRule="auto"/>
        <w:jc w:val="both"/>
        <w:rPr>
          <w:sz w:val="24"/>
          <w:szCs w:val="24"/>
        </w:rPr>
      </w:pPr>
      <w:r w:rsidRPr="000A37EB">
        <w:rPr>
          <w:b/>
          <w:sz w:val="24"/>
          <w:szCs w:val="24"/>
        </w:rPr>
        <w:t>260</w:t>
      </w:r>
      <w:r>
        <w:rPr>
          <w:sz w:val="24"/>
          <w:szCs w:val="24"/>
        </w:rPr>
        <w:t xml:space="preserve"> </w:t>
      </w:r>
      <w:r w:rsidRPr="000A37EB">
        <w:rPr>
          <w:sz w:val="24"/>
          <w:szCs w:val="24"/>
        </w:rPr>
        <w:t>pēcdoktorantiem pilnveidota kompetence, ieskaitot karjeras izaugsmes un personāla atjaunotnes procesus.</w:t>
      </w:r>
      <w:r>
        <w:rPr>
          <w:sz w:val="24"/>
          <w:szCs w:val="24"/>
        </w:rPr>
        <w:t xml:space="preserve"> I</w:t>
      </w:r>
      <w:r w:rsidR="004C1879" w:rsidRPr="000A37EB">
        <w:rPr>
          <w:sz w:val="24"/>
          <w:szCs w:val="24"/>
        </w:rPr>
        <w:t xml:space="preserve">znākuma rādītājs </w:t>
      </w:r>
      <w:r w:rsidR="004C1879" w:rsidRPr="000A37EB">
        <w:rPr>
          <w:b/>
          <w:sz w:val="24"/>
          <w:szCs w:val="24"/>
        </w:rPr>
        <w:t>„jauno zinātnieku skaits (</w:t>
      </w:r>
      <w:r w:rsidR="002978BD" w:rsidRPr="000A37EB">
        <w:rPr>
          <w:b/>
          <w:sz w:val="24"/>
          <w:szCs w:val="24"/>
        </w:rPr>
        <w:t>PLE</w:t>
      </w:r>
      <w:r w:rsidR="004C1879" w:rsidRPr="000A37EB">
        <w:rPr>
          <w:b/>
          <w:sz w:val="24"/>
          <w:szCs w:val="24"/>
        </w:rPr>
        <w:t xml:space="preserve">), </w:t>
      </w:r>
      <w:r w:rsidR="004C1879" w:rsidRPr="000A37EB">
        <w:rPr>
          <w:b/>
          <w:sz w:val="24"/>
          <w:szCs w:val="24"/>
        </w:rPr>
        <w:lastRenderedPageBreak/>
        <w:t xml:space="preserve">kuriem </w:t>
      </w:r>
      <w:r w:rsidR="002978BD" w:rsidRPr="000A37EB">
        <w:rPr>
          <w:b/>
          <w:sz w:val="24"/>
          <w:szCs w:val="24"/>
        </w:rPr>
        <w:t>pētniecības pieteikuma</w:t>
      </w:r>
      <w:r w:rsidR="004C1879" w:rsidRPr="000A37EB">
        <w:rPr>
          <w:b/>
          <w:sz w:val="24"/>
          <w:szCs w:val="24"/>
        </w:rPr>
        <w:t xml:space="preserve"> īstenošanas ietvaros pilnveidota kompetence, ieskaitot karjeras izaugsmes un personāla atjaunotnes procesus”</w:t>
      </w:r>
      <w:r w:rsidR="002978BD" w:rsidRPr="000A37EB">
        <w:rPr>
          <w:b/>
          <w:sz w:val="24"/>
          <w:szCs w:val="24"/>
        </w:rPr>
        <w:t xml:space="preserve"> varētu tiks sasniegts</w:t>
      </w:r>
      <w:r w:rsidR="002978BD" w:rsidRPr="000A37EB">
        <w:rPr>
          <w:sz w:val="24"/>
          <w:szCs w:val="24"/>
        </w:rPr>
        <w:t>, jo Pēcdoktorantūras pētniecības programmas nākamo atlases kārtu ietvaros uz atbalstu atbilstoši pieejamajam finansējumam vēl var pretendēt vismaz 260 pēcdoktoranti.</w:t>
      </w:r>
    </w:p>
    <w:p w14:paraId="278FC5BF" w14:textId="02BBBFE1" w:rsidR="008A1B30" w:rsidRDefault="00C13B9E" w:rsidP="00AD3BA1">
      <w:pPr>
        <w:spacing w:after="0" w:line="240" w:lineRule="auto"/>
        <w:jc w:val="both"/>
        <w:rPr>
          <w:sz w:val="24"/>
          <w:szCs w:val="24"/>
        </w:rPr>
      </w:pPr>
      <w:r w:rsidRPr="00D51534">
        <w:rPr>
          <w:sz w:val="24"/>
          <w:szCs w:val="24"/>
        </w:rPr>
        <w:t xml:space="preserve">Ievērojot to, ka 1. atlases kārtas ietvaros īstenotie pētniecības pieteikumi šobrīd jau lielākoties ir </w:t>
      </w:r>
      <w:r w:rsidRPr="009E1523">
        <w:rPr>
          <w:sz w:val="24"/>
          <w:szCs w:val="24"/>
        </w:rPr>
        <w:t xml:space="preserve">īstenošanas vidusposmā, pētniecības pieteikumu ietvaros tiek sasniegti jau pirmie plānotie pētniecības rezultāti. </w:t>
      </w:r>
      <w:r w:rsidR="00D51534" w:rsidRPr="009E1523">
        <w:rPr>
          <w:sz w:val="24"/>
          <w:szCs w:val="24"/>
        </w:rPr>
        <w:t>Pēcdoktorantūras pētniecības programmas ietvaros līdz 31.12.2018. izveidotas</w:t>
      </w:r>
      <w:r w:rsidR="00AD3BA1" w:rsidRPr="009E1523">
        <w:rPr>
          <w:sz w:val="24"/>
          <w:szCs w:val="24"/>
        </w:rPr>
        <w:t xml:space="preserve"> </w:t>
      </w:r>
      <w:r w:rsidR="00A17476">
        <w:rPr>
          <w:sz w:val="24"/>
          <w:szCs w:val="24"/>
        </w:rPr>
        <w:t>72</w:t>
      </w:r>
      <w:r w:rsidR="00A17476" w:rsidRPr="009E1523">
        <w:rPr>
          <w:sz w:val="24"/>
          <w:szCs w:val="24"/>
        </w:rPr>
        <w:t xml:space="preserve"> </w:t>
      </w:r>
      <w:r w:rsidR="00D51534" w:rsidRPr="009E1523">
        <w:rPr>
          <w:sz w:val="24"/>
          <w:szCs w:val="24"/>
        </w:rPr>
        <w:t xml:space="preserve">jaunas amata vietas pēcdoktorantiem, izstrādāti un publicēšanai iesniegti </w:t>
      </w:r>
      <w:r w:rsidR="00A17476">
        <w:rPr>
          <w:sz w:val="24"/>
          <w:szCs w:val="24"/>
        </w:rPr>
        <w:t>97</w:t>
      </w:r>
      <w:r w:rsidR="00A17476" w:rsidRPr="009E1523">
        <w:rPr>
          <w:sz w:val="24"/>
          <w:szCs w:val="24"/>
        </w:rPr>
        <w:t xml:space="preserve"> </w:t>
      </w:r>
      <w:r w:rsidR="00D51534" w:rsidRPr="009E1523">
        <w:rPr>
          <w:sz w:val="24"/>
          <w:szCs w:val="24"/>
        </w:rPr>
        <w:t xml:space="preserve">zinātniskie raksti, kā arī piesaistīts privātais finansējums pētniecības pieteikumu īstenošanai </w:t>
      </w:r>
      <w:r w:rsidR="00DF34F7" w:rsidRPr="00DF34F7">
        <w:rPr>
          <w:sz w:val="24"/>
          <w:szCs w:val="24"/>
        </w:rPr>
        <w:t xml:space="preserve">89 557 </w:t>
      </w:r>
      <w:r w:rsidR="00D51534" w:rsidRPr="00DF34F7">
        <w:rPr>
          <w:i/>
          <w:sz w:val="24"/>
          <w:szCs w:val="24"/>
        </w:rPr>
        <w:t>euro</w:t>
      </w:r>
      <w:r w:rsidR="00D51534" w:rsidRPr="009E1523">
        <w:rPr>
          <w:sz w:val="24"/>
          <w:szCs w:val="24"/>
        </w:rPr>
        <w:t xml:space="preserve"> jeb </w:t>
      </w:r>
      <w:r w:rsidR="00A17476">
        <w:rPr>
          <w:sz w:val="24"/>
          <w:szCs w:val="24"/>
        </w:rPr>
        <w:t>1</w:t>
      </w:r>
      <w:r w:rsidR="00DF34F7">
        <w:rPr>
          <w:sz w:val="24"/>
          <w:szCs w:val="24"/>
        </w:rPr>
        <w:t>4</w:t>
      </w:r>
      <w:r w:rsidR="00D51534" w:rsidRPr="009E1523">
        <w:rPr>
          <w:sz w:val="24"/>
          <w:szCs w:val="24"/>
        </w:rPr>
        <w:t> % apmērā no līdz 31.12.2018. plānotās sasniedzamās vērtības (tabula Nr. 1).</w:t>
      </w:r>
    </w:p>
    <w:p w14:paraId="51A202E2" w14:textId="77777777" w:rsidR="008047FC" w:rsidRPr="00690F67" w:rsidRDefault="008047FC" w:rsidP="0024408B">
      <w:pPr>
        <w:spacing w:after="0" w:line="240" w:lineRule="auto"/>
        <w:jc w:val="right"/>
        <w:rPr>
          <w:b/>
          <w:sz w:val="20"/>
          <w:szCs w:val="20"/>
        </w:rPr>
      </w:pPr>
      <w:r w:rsidRPr="00690F67">
        <w:rPr>
          <w:b/>
          <w:sz w:val="20"/>
          <w:szCs w:val="20"/>
        </w:rPr>
        <w:t>Tabula Nr. 1</w:t>
      </w:r>
    </w:p>
    <w:p w14:paraId="4F55716A" w14:textId="77777777" w:rsidR="008047FC" w:rsidRPr="00690F67" w:rsidRDefault="008047FC" w:rsidP="0024408B">
      <w:pPr>
        <w:spacing w:after="0" w:line="240" w:lineRule="auto"/>
        <w:jc w:val="right"/>
        <w:rPr>
          <w:b/>
          <w:sz w:val="20"/>
          <w:szCs w:val="20"/>
        </w:rPr>
      </w:pPr>
      <w:r w:rsidRPr="00690F67">
        <w:rPr>
          <w:b/>
          <w:sz w:val="20"/>
          <w:szCs w:val="20"/>
        </w:rPr>
        <w:t xml:space="preserve"> „Iznākuma rādītāju vērtības sasniegšanas progress uz 31.1</w:t>
      </w:r>
      <w:r w:rsidR="00A17476">
        <w:rPr>
          <w:b/>
          <w:sz w:val="20"/>
          <w:szCs w:val="20"/>
        </w:rPr>
        <w:t>2</w:t>
      </w:r>
      <w:r w:rsidRPr="00690F67">
        <w:rPr>
          <w:b/>
          <w:sz w:val="20"/>
          <w:szCs w:val="20"/>
        </w:rPr>
        <w:t>.2018.”</w:t>
      </w:r>
    </w:p>
    <w:tbl>
      <w:tblPr>
        <w:tblStyle w:val="TableGrid"/>
        <w:tblW w:w="9067" w:type="dxa"/>
        <w:tblInd w:w="108" w:type="dxa"/>
        <w:tblLayout w:type="fixed"/>
        <w:tblLook w:val="04A0" w:firstRow="1" w:lastRow="0" w:firstColumn="1" w:lastColumn="0" w:noHBand="0" w:noVBand="1"/>
      </w:tblPr>
      <w:tblGrid>
        <w:gridCol w:w="2689"/>
        <w:gridCol w:w="1417"/>
        <w:gridCol w:w="879"/>
        <w:gridCol w:w="989"/>
        <w:gridCol w:w="1251"/>
        <w:gridCol w:w="1275"/>
        <w:gridCol w:w="567"/>
      </w:tblGrid>
      <w:tr w:rsidR="008047FC" w:rsidRPr="00690F67" w14:paraId="3862B7B3" w14:textId="77777777" w:rsidTr="004C1879">
        <w:trPr>
          <w:trHeight w:val="477"/>
        </w:trPr>
        <w:tc>
          <w:tcPr>
            <w:tcW w:w="2689" w:type="dxa"/>
            <w:vMerge w:val="restart"/>
            <w:shd w:val="clear" w:color="auto" w:fill="D9D9D9" w:themeFill="background1" w:themeFillShade="D9"/>
            <w:vAlign w:val="center"/>
          </w:tcPr>
          <w:p w14:paraId="1BECDD21" w14:textId="77777777" w:rsidR="008047FC" w:rsidRPr="00FF051E" w:rsidRDefault="008047FC" w:rsidP="0024408B">
            <w:pPr>
              <w:jc w:val="center"/>
              <w:rPr>
                <w:b/>
                <w:sz w:val="20"/>
                <w:szCs w:val="20"/>
              </w:rPr>
            </w:pPr>
            <w:r w:rsidRPr="00FF051E">
              <w:rPr>
                <w:b/>
                <w:sz w:val="20"/>
                <w:szCs w:val="20"/>
              </w:rPr>
              <w:t>Iznākuma rādītājs</w:t>
            </w:r>
          </w:p>
        </w:tc>
        <w:tc>
          <w:tcPr>
            <w:tcW w:w="1417" w:type="dxa"/>
            <w:vMerge w:val="restart"/>
            <w:shd w:val="clear" w:color="auto" w:fill="D9D9D9" w:themeFill="background1" w:themeFillShade="D9"/>
            <w:vAlign w:val="center"/>
          </w:tcPr>
          <w:p w14:paraId="68EC0ADC" w14:textId="77777777" w:rsidR="008047FC" w:rsidRPr="00FF051E" w:rsidRDefault="008047FC" w:rsidP="0024408B">
            <w:pPr>
              <w:jc w:val="center"/>
              <w:rPr>
                <w:b/>
                <w:sz w:val="20"/>
                <w:szCs w:val="20"/>
              </w:rPr>
            </w:pPr>
            <w:r w:rsidRPr="00FF051E">
              <w:rPr>
                <w:b/>
                <w:sz w:val="20"/>
                <w:szCs w:val="20"/>
              </w:rPr>
              <w:t>MKN Nr. 50 plānotā vērtība uz 31.12.2018.</w:t>
            </w:r>
          </w:p>
        </w:tc>
        <w:tc>
          <w:tcPr>
            <w:tcW w:w="4394" w:type="dxa"/>
            <w:gridSpan w:val="4"/>
            <w:tcBorders>
              <w:right w:val="single" w:sz="4" w:space="0" w:color="auto"/>
            </w:tcBorders>
            <w:shd w:val="clear" w:color="auto" w:fill="D9D9D9" w:themeFill="background1" w:themeFillShade="D9"/>
          </w:tcPr>
          <w:p w14:paraId="42698BE3" w14:textId="77777777" w:rsidR="00F73F0E" w:rsidRDefault="008047FC" w:rsidP="00F73F0E">
            <w:pPr>
              <w:jc w:val="center"/>
              <w:rPr>
                <w:b/>
                <w:sz w:val="20"/>
                <w:szCs w:val="20"/>
              </w:rPr>
            </w:pPr>
            <w:r w:rsidRPr="00FF051E">
              <w:rPr>
                <w:b/>
                <w:sz w:val="20"/>
                <w:szCs w:val="20"/>
              </w:rPr>
              <w:t>Sasniegtā iznākuma rādītāj</w:t>
            </w:r>
            <w:r w:rsidR="00F73F0E">
              <w:rPr>
                <w:b/>
                <w:sz w:val="20"/>
                <w:szCs w:val="20"/>
              </w:rPr>
              <w:t>a</w:t>
            </w:r>
          </w:p>
          <w:p w14:paraId="662867DE" w14:textId="0EDFDC6A" w:rsidR="008047FC" w:rsidRPr="00FF051E" w:rsidRDefault="008047FC" w:rsidP="00F73F0E">
            <w:pPr>
              <w:jc w:val="center"/>
              <w:rPr>
                <w:b/>
                <w:sz w:val="20"/>
                <w:szCs w:val="20"/>
              </w:rPr>
            </w:pPr>
            <w:r w:rsidRPr="00FF051E">
              <w:rPr>
                <w:b/>
                <w:sz w:val="20"/>
                <w:szCs w:val="20"/>
              </w:rPr>
              <w:t>vērtība uz 31.1</w:t>
            </w:r>
            <w:r w:rsidR="00A17476">
              <w:rPr>
                <w:b/>
                <w:sz w:val="20"/>
                <w:szCs w:val="20"/>
              </w:rPr>
              <w:t>2</w:t>
            </w:r>
            <w:r w:rsidRPr="00FF051E">
              <w:rPr>
                <w:b/>
                <w:sz w:val="20"/>
                <w:szCs w:val="20"/>
              </w:rPr>
              <w:t>.</w:t>
            </w:r>
            <w:r w:rsidR="00F73F0E">
              <w:rPr>
                <w:b/>
                <w:sz w:val="20"/>
                <w:szCs w:val="20"/>
              </w:rPr>
              <w:t>2018.</w:t>
            </w:r>
          </w:p>
        </w:tc>
        <w:tc>
          <w:tcPr>
            <w:tcW w:w="567" w:type="dxa"/>
            <w:vMerge w:val="restart"/>
            <w:tcBorders>
              <w:top w:val="nil"/>
              <w:left w:val="single" w:sz="4" w:space="0" w:color="auto"/>
              <w:bottom w:val="nil"/>
              <w:right w:val="nil"/>
            </w:tcBorders>
            <w:shd w:val="clear" w:color="auto" w:fill="auto"/>
          </w:tcPr>
          <w:p w14:paraId="372598C6" w14:textId="77777777" w:rsidR="008047FC" w:rsidRPr="00690F67" w:rsidRDefault="008047FC" w:rsidP="0024408B">
            <w:pPr>
              <w:jc w:val="center"/>
              <w:rPr>
                <w:b/>
              </w:rPr>
            </w:pPr>
          </w:p>
        </w:tc>
      </w:tr>
      <w:tr w:rsidR="008047FC" w:rsidRPr="00690F67" w14:paraId="535A9FB2" w14:textId="77777777" w:rsidTr="004C1879">
        <w:tc>
          <w:tcPr>
            <w:tcW w:w="2689" w:type="dxa"/>
            <w:vMerge/>
            <w:shd w:val="clear" w:color="auto" w:fill="D9D9D9" w:themeFill="background1" w:themeFillShade="D9"/>
            <w:vAlign w:val="center"/>
          </w:tcPr>
          <w:p w14:paraId="3E2E2AB7" w14:textId="77777777" w:rsidR="008047FC" w:rsidRPr="00FF051E" w:rsidRDefault="008047FC" w:rsidP="0024408B">
            <w:pPr>
              <w:jc w:val="center"/>
              <w:rPr>
                <w:b/>
                <w:sz w:val="20"/>
                <w:szCs w:val="20"/>
              </w:rPr>
            </w:pPr>
          </w:p>
        </w:tc>
        <w:tc>
          <w:tcPr>
            <w:tcW w:w="1417" w:type="dxa"/>
            <w:vMerge/>
            <w:shd w:val="clear" w:color="auto" w:fill="D9D9D9" w:themeFill="background1" w:themeFillShade="D9"/>
            <w:vAlign w:val="center"/>
          </w:tcPr>
          <w:p w14:paraId="0C297C69" w14:textId="77777777" w:rsidR="008047FC" w:rsidRPr="00FF051E" w:rsidRDefault="008047FC" w:rsidP="0024408B">
            <w:pPr>
              <w:jc w:val="center"/>
              <w:rPr>
                <w:b/>
                <w:sz w:val="20"/>
                <w:szCs w:val="20"/>
              </w:rPr>
            </w:pPr>
          </w:p>
        </w:tc>
        <w:tc>
          <w:tcPr>
            <w:tcW w:w="879" w:type="dxa"/>
            <w:shd w:val="clear" w:color="auto" w:fill="D9D9D9" w:themeFill="background1" w:themeFillShade="D9"/>
            <w:vAlign w:val="center"/>
          </w:tcPr>
          <w:p w14:paraId="2E967806" w14:textId="77777777" w:rsidR="008047FC" w:rsidRPr="00FF051E" w:rsidRDefault="008047FC" w:rsidP="0024408B">
            <w:pPr>
              <w:jc w:val="center"/>
              <w:rPr>
                <w:b/>
                <w:sz w:val="20"/>
                <w:szCs w:val="20"/>
              </w:rPr>
            </w:pPr>
            <w:r w:rsidRPr="00FF051E">
              <w:rPr>
                <w:b/>
                <w:sz w:val="20"/>
                <w:szCs w:val="20"/>
              </w:rPr>
              <w:t>KPVIS dati</w:t>
            </w:r>
          </w:p>
        </w:tc>
        <w:tc>
          <w:tcPr>
            <w:tcW w:w="989" w:type="dxa"/>
            <w:shd w:val="clear" w:color="auto" w:fill="D9D9D9" w:themeFill="background1" w:themeFillShade="D9"/>
            <w:vAlign w:val="center"/>
          </w:tcPr>
          <w:p w14:paraId="5D875AA4" w14:textId="77777777" w:rsidR="008047FC" w:rsidRPr="00FF051E" w:rsidRDefault="008047FC" w:rsidP="0024408B">
            <w:pPr>
              <w:jc w:val="center"/>
              <w:rPr>
                <w:b/>
                <w:sz w:val="20"/>
                <w:szCs w:val="20"/>
              </w:rPr>
            </w:pPr>
            <w:r w:rsidRPr="00FF051E">
              <w:rPr>
                <w:b/>
                <w:sz w:val="20"/>
                <w:szCs w:val="20"/>
              </w:rPr>
              <w:t>%</w:t>
            </w:r>
          </w:p>
        </w:tc>
        <w:tc>
          <w:tcPr>
            <w:tcW w:w="1251" w:type="dxa"/>
            <w:shd w:val="clear" w:color="auto" w:fill="D9D9D9" w:themeFill="background1" w:themeFillShade="D9"/>
            <w:vAlign w:val="center"/>
          </w:tcPr>
          <w:p w14:paraId="2CAD24F7" w14:textId="77777777" w:rsidR="008047FC" w:rsidRPr="00FF051E" w:rsidRDefault="00FF051E" w:rsidP="0024408B">
            <w:pPr>
              <w:jc w:val="center"/>
              <w:rPr>
                <w:b/>
                <w:sz w:val="20"/>
                <w:szCs w:val="20"/>
              </w:rPr>
            </w:pPr>
            <w:r w:rsidRPr="00FF051E">
              <w:rPr>
                <w:b/>
                <w:sz w:val="20"/>
                <w:szCs w:val="20"/>
              </w:rPr>
              <w:t>VIAA p</w:t>
            </w:r>
            <w:r w:rsidR="008047FC" w:rsidRPr="00FF051E">
              <w:rPr>
                <w:b/>
                <w:sz w:val="20"/>
                <w:szCs w:val="20"/>
              </w:rPr>
              <w:t>rojekta operatīvie dati</w:t>
            </w:r>
          </w:p>
        </w:tc>
        <w:tc>
          <w:tcPr>
            <w:tcW w:w="1275" w:type="dxa"/>
            <w:tcBorders>
              <w:right w:val="single" w:sz="4" w:space="0" w:color="auto"/>
            </w:tcBorders>
            <w:shd w:val="clear" w:color="auto" w:fill="D9D9D9" w:themeFill="background1" w:themeFillShade="D9"/>
            <w:vAlign w:val="center"/>
          </w:tcPr>
          <w:p w14:paraId="096FD3FA" w14:textId="77777777" w:rsidR="008047FC" w:rsidRPr="00FF051E" w:rsidRDefault="008047FC" w:rsidP="0024408B">
            <w:pPr>
              <w:jc w:val="center"/>
              <w:rPr>
                <w:b/>
                <w:sz w:val="20"/>
                <w:szCs w:val="20"/>
              </w:rPr>
            </w:pPr>
            <w:r w:rsidRPr="00FF051E">
              <w:rPr>
                <w:b/>
                <w:sz w:val="20"/>
                <w:szCs w:val="20"/>
              </w:rPr>
              <w:t>%</w:t>
            </w:r>
          </w:p>
        </w:tc>
        <w:tc>
          <w:tcPr>
            <w:tcW w:w="567" w:type="dxa"/>
            <w:vMerge/>
            <w:tcBorders>
              <w:top w:val="nil"/>
              <w:left w:val="single" w:sz="4" w:space="0" w:color="auto"/>
              <w:bottom w:val="nil"/>
              <w:right w:val="nil"/>
            </w:tcBorders>
            <w:shd w:val="clear" w:color="auto" w:fill="auto"/>
          </w:tcPr>
          <w:p w14:paraId="2223D2CC" w14:textId="77777777" w:rsidR="008047FC" w:rsidRPr="00690F67" w:rsidRDefault="008047FC" w:rsidP="0024408B">
            <w:pPr>
              <w:jc w:val="center"/>
              <w:rPr>
                <w:b/>
              </w:rPr>
            </w:pPr>
          </w:p>
        </w:tc>
      </w:tr>
      <w:tr w:rsidR="008047FC" w:rsidRPr="00FF76DB" w14:paraId="5CD89520" w14:textId="77777777" w:rsidTr="004C1879">
        <w:tc>
          <w:tcPr>
            <w:tcW w:w="8500" w:type="dxa"/>
            <w:gridSpan w:val="6"/>
            <w:tcBorders>
              <w:right w:val="single" w:sz="4" w:space="0" w:color="auto"/>
            </w:tcBorders>
            <w:shd w:val="clear" w:color="auto" w:fill="D9D9D9" w:themeFill="background1" w:themeFillShade="D9"/>
            <w:vAlign w:val="center"/>
          </w:tcPr>
          <w:p w14:paraId="56AD435C" w14:textId="77777777" w:rsidR="008047FC" w:rsidRPr="00FF051E" w:rsidRDefault="008047FC" w:rsidP="0024408B">
            <w:pPr>
              <w:jc w:val="center"/>
              <w:rPr>
                <w:b/>
                <w:sz w:val="20"/>
                <w:szCs w:val="20"/>
              </w:rPr>
            </w:pPr>
            <w:r w:rsidRPr="00FF051E">
              <w:rPr>
                <w:b/>
                <w:sz w:val="20"/>
                <w:szCs w:val="20"/>
              </w:rPr>
              <w:t>Rādītāji, kas sasniedzami pētniecības pieteikumu ietvaros</w:t>
            </w:r>
          </w:p>
        </w:tc>
        <w:tc>
          <w:tcPr>
            <w:tcW w:w="567" w:type="dxa"/>
            <w:tcBorders>
              <w:top w:val="nil"/>
              <w:left w:val="single" w:sz="4" w:space="0" w:color="auto"/>
              <w:bottom w:val="nil"/>
              <w:right w:val="nil"/>
            </w:tcBorders>
            <w:shd w:val="clear" w:color="auto" w:fill="auto"/>
          </w:tcPr>
          <w:p w14:paraId="4FFDF624" w14:textId="77777777" w:rsidR="008047FC" w:rsidRPr="00FF76DB" w:rsidRDefault="008047FC" w:rsidP="0024408B">
            <w:pPr>
              <w:jc w:val="center"/>
              <w:rPr>
                <w:b/>
              </w:rPr>
            </w:pPr>
          </w:p>
        </w:tc>
      </w:tr>
      <w:tr w:rsidR="008047FC" w:rsidRPr="00FF76DB" w14:paraId="6A4E0E0A" w14:textId="77777777" w:rsidTr="004C1879">
        <w:tc>
          <w:tcPr>
            <w:tcW w:w="2689" w:type="dxa"/>
            <w:vAlign w:val="center"/>
          </w:tcPr>
          <w:p w14:paraId="7BDDC27D" w14:textId="77777777" w:rsidR="008047FC" w:rsidRPr="00F46731" w:rsidRDefault="008047FC" w:rsidP="0024408B">
            <w:pPr>
              <w:jc w:val="both"/>
              <w:rPr>
                <w:sz w:val="20"/>
                <w:szCs w:val="20"/>
              </w:rPr>
            </w:pPr>
            <w:r w:rsidRPr="00F46731">
              <w:rPr>
                <w:sz w:val="20"/>
                <w:szCs w:val="20"/>
              </w:rPr>
              <w:t>Jauno pētnieku skaits atbalstītajās vienībās (PLE)</w:t>
            </w:r>
          </w:p>
        </w:tc>
        <w:tc>
          <w:tcPr>
            <w:tcW w:w="1417" w:type="dxa"/>
            <w:vAlign w:val="center"/>
          </w:tcPr>
          <w:p w14:paraId="057B3BC3" w14:textId="77777777" w:rsidR="008047FC" w:rsidRPr="00F46731" w:rsidRDefault="00CC1F56" w:rsidP="004C3FC1">
            <w:pPr>
              <w:jc w:val="center"/>
              <w:rPr>
                <w:sz w:val="20"/>
                <w:szCs w:val="20"/>
              </w:rPr>
            </w:pPr>
            <w:r w:rsidRPr="00F46731">
              <w:rPr>
                <w:sz w:val="20"/>
                <w:szCs w:val="20"/>
              </w:rPr>
              <w:t>66</w:t>
            </w:r>
          </w:p>
        </w:tc>
        <w:tc>
          <w:tcPr>
            <w:tcW w:w="879" w:type="dxa"/>
            <w:vAlign w:val="center"/>
          </w:tcPr>
          <w:p w14:paraId="63B04F2D" w14:textId="77777777" w:rsidR="008047FC" w:rsidRPr="008E7967" w:rsidRDefault="000C2568" w:rsidP="0024408B">
            <w:pPr>
              <w:jc w:val="center"/>
              <w:rPr>
                <w:sz w:val="20"/>
                <w:szCs w:val="20"/>
              </w:rPr>
            </w:pPr>
            <w:r w:rsidRPr="008E7967">
              <w:rPr>
                <w:sz w:val="20"/>
                <w:szCs w:val="20"/>
              </w:rPr>
              <w:t>45</w:t>
            </w:r>
          </w:p>
        </w:tc>
        <w:tc>
          <w:tcPr>
            <w:tcW w:w="989" w:type="dxa"/>
            <w:vAlign w:val="center"/>
          </w:tcPr>
          <w:p w14:paraId="7DDA590C" w14:textId="77777777" w:rsidR="008047FC" w:rsidRPr="008E7967" w:rsidRDefault="000C2568" w:rsidP="0024408B">
            <w:pPr>
              <w:jc w:val="center"/>
              <w:rPr>
                <w:sz w:val="20"/>
                <w:szCs w:val="20"/>
              </w:rPr>
            </w:pPr>
            <w:r w:rsidRPr="008E7967">
              <w:rPr>
                <w:sz w:val="20"/>
                <w:szCs w:val="20"/>
              </w:rPr>
              <w:t>68,</w:t>
            </w:r>
            <w:r w:rsidR="00D02D7D" w:rsidRPr="008E7967">
              <w:rPr>
                <w:sz w:val="20"/>
                <w:szCs w:val="20"/>
              </w:rPr>
              <w:t>2</w:t>
            </w:r>
            <w:r w:rsidR="008047FC" w:rsidRPr="008E7967">
              <w:rPr>
                <w:sz w:val="20"/>
                <w:szCs w:val="20"/>
              </w:rPr>
              <w:t> %</w:t>
            </w:r>
          </w:p>
        </w:tc>
        <w:tc>
          <w:tcPr>
            <w:tcW w:w="1251" w:type="dxa"/>
            <w:vAlign w:val="center"/>
          </w:tcPr>
          <w:p w14:paraId="3C970A2F" w14:textId="77777777" w:rsidR="008047FC" w:rsidRPr="009E1523" w:rsidRDefault="004C3FC1" w:rsidP="00F46731">
            <w:pPr>
              <w:jc w:val="center"/>
              <w:rPr>
                <w:sz w:val="20"/>
                <w:szCs w:val="20"/>
              </w:rPr>
            </w:pPr>
            <w:r w:rsidRPr="009E1523">
              <w:rPr>
                <w:sz w:val="20"/>
                <w:szCs w:val="20"/>
              </w:rPr>
              <w:t>72</w:t>
            </w:r>
          </w:p>
        </w:tc>
        <w:tc>
          <w:tcPr>
            <w:tcW w:w="1275" w:type="dxa"/>
            <w:tcBorders>
              <w:right w:val="single" w:sz="4" w:space="0" w:color="auto"/>
            </w:tcBorders>
            <w:vAlign w:val="center"/>
          </w:tcPr>
          <w:p w14:paraId="096E8B6A" w14:textId="77777777" w:rsidR="008047FC" w:rsidRPr="009E1523" w:rsidRDefault="00CC1F56" w:rsidP="00F46731">
            <w:pPr>
              <w:jc w:val="center"/>
              <w:rPr>
                <w:sz w:val="20"/>
                <w:szCs w:val="20"/>
              </w:rPr>
            </w:pPr>
            <w:r w:rsidRPr="009E1523">
              <w:rPr>
                <w:sz w:val="20"/>
                <w:szCs w:val="20"/>
              </w:rPr>
              <w:t>10</w:t>
            </w:r>
            <w:r w:rsidR="004C3FC1" w:rsidRPr="009E1523">
              <w:rPr>
                <w:sz w:val="20"/>
                <w:szCs w:val="20"/>
              </w:rPr>
              <w:t>9,1 </w:t>
            </w:r>
            <w:r w:rsidRPr="009E1523">
              <w:rPr>
                <w:sz w:val="20"/>
                <w:szCs w:val="20"/>
              </w:rPr>
              <w:t>%</w:t>
            </w:r>
          </w:p>
        </w:tc>
        <w:tc>
          <w:tcPr>
            <w:tcW w:w="567" w:type="dxa"/>
            <w:tcBorders>
              <w:top w:val="nil"/>
              <w:left w:val="single" w:sz="4" w:space="0" w:color="auto"/>
              <w:bottom w:val="nil"/>
              <w:right w:val="nil"/>
            </w:tcBorders>
            <w:vAlign w:val="center"/>
          </w:tcPr>
          <w:p w14:paraId="70E708EB" w14:textId="77777777" w:rsidR="008047FC" w:rsidRPr="00FF76DB" w:rsidRDefault="008047FC" w:rsidP="0024408B">
            <w:pPr>
              <w:jc w:val="center"/>
            </w:pPr>
            <w:r w:rsidRPr="00FF76DB">
              <w:rPr>
                <w:noProof/>
                <w:lang w:val="en-US"/>
              </w:rPr>
              <w:drawing>
                <wp:inline distT="0" distB="0" distL="0" distR="0" wp14:anchorId="2788C618" wp14:editId="452457B7">
                  <wp:extent cx="170825" cy="171371"/>
                  <wp:effectExtent l="0" t="0" r="635" b="635"/>
                  <wp:docPr id="1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7"/>
                          <pic:cNvPicPr>
                            <a:picLocks noChangeAspect="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0825" cy="17137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tc>
      </w:tr>
      <w:tr w:rsidR="008047FC" w:rsidRPr="00FF76DB" w14:paraId="0111481C" w14:textId="77777777" w:rsidTr="004C1879">
        <w:tc>
          <w:tcPr>
            <w:tcW w:w="2689" w:type="dxa"/>
            <w:vAlign w:val="center"/>
          </w:tcPr>
          <w:p w14:paraId="4F7D7A69" w14:textId="77777777" w:rsidR="008047FC" w:rsidRPr="00FF051E" w:rsidRDefault="008047FC" w:rsidP="0024408B">
            <w:pPr>
              <w:jc w:val="both"/>
              <w:rPr>
                <w:sz w:val="20"/>
                <w:szCs w:val="20"/>
              </w:rPr>
            </w:pPr>
            <w:r w:rsidRPr="00FF051E">
              <w:rPr>
                <w:sz w:val="20"/>
                <w:szCs w:val="20"/>
              </w:rPr>
              <w:t>Zinātnisko rakstu skaits, kuru izstrādei un publicēšanai ir sniegts atbalsts (skaits)</w:t>
            </w:r>
          </w:p>
        </w:tc>
        <w:tc>
          <w:tcPr>
            <w:tcW w:w="1417" w:type="dxa"/>
            <w:vAlign w:val="center"/>
          </w:tcPr>
          <w:p w14:paraId="1BCDF3C0" w14:textId="77777777" w:rsidR="008047FC" w:rsidRPr="00FF051E" w:rsidRDefault="008047FC" w:rsidP="0024408B">
            <w:pPr>
              <w:jc w:val="center"/>
              <w:rPr>
                <w:sz w:val="20"/>
                <w:szCs w:val="20"/>
              </w:rPr>
            </w:pPr>
            <w:r w:rsidRPr="00FF051E">
              <w:rPr>
                <w:sz w:val="20"/>
                <w:szCs w:val="20"/>
              </w:rPr>
              <w:t>192</w:t>
            </w:r>
          </w:p>
        </w:tc>
        <w:tc>
          <w:tcPr>
            <w:tcW w:w="879" w:type="dxa"/>
            <w:vAlign w:val="center"/>
          </w:tcPr>
          <w:p w14:paraId="470CCBEA" w14:textId="77777777" w:rsidR="008047FC" w:rsidRPr="008E7967" w:rsidRDefault="000C2568" w:rsidP="0024408B">
            <w:pPr>
              <w:jc w:val="center"/>
              <w:rPr>
                <w:sz w:val="20"/>
                <w:szCs w:val="20"/>
              </w:rPr>
            </w:pPr>
            <w:r w:rsidRPr="008E7967">
              <w:rPr>
                <w:sz w:val="20"/>
                <w:szCs w:val="20"/>
              </w:rPr>
              <w:t>20</w:t>
            </w:r>
          </w:p>
        </w:tc>
        <w:tc>
          <w:tcPr>
            <w:tcW w:w="989" w:type="dxa"/>
            <w:vAlign w:val="center"/>
          </w:tcPr>
          <w:p w14:paraId="50F7AE91" w14:textId="77777777" w:rsidR="008047FC" w:rsidRPr="008E7967" w:rsidRDefault="000C2568" w:rsidP="0024408B">
            <w:pPr>
              <w:jc w:val="center"/>
              <w:rPr>
                <w:sz w:val="20"/>
                <w:szCs w:val="20"/>
              </w:rPr>
            </w:pPr>
            <w:r w:rsidRPr="008E7967">
              <w:rPr>
                <w:sz w:val="20"/>
                <w:szCs w:val="20"/>
              </w:rPr>
              <w:t>10,4</w:t>
            </w:r>
            <w:r w:rsidR="008047FC" w:rsidRPr="008E7967">
              <w:rPr>
                <w:sz w:val="20"/>
                <w:szCs w:val="20"/>
              </w:rPr>
              <w:t> %</w:t>
            </w:r>
          </w:p>
        </w:tc>
        <w:tc>
          <w:tcPr>
            <w:tcW w:w="1251" w:type="dxa"/>
            <w:vAlign w:val="center"/>
          </w:tcPr>
          <w:p w14:paraId="48F0D35B" w14:textId="77777777" w:rsidR="008047FC" w:rsidRPr="009E1523" w:rsidRDefault="004C3FC1" w:rsidP="0024408B">
            <w:pPr>
              <w:jc w:val="center"/>
              <w:rPr>
                <w:sz w:val="20"/>
                <w:szCs w:val="20"/>
              </w:rPr>
            </w:pPr>
            <w:r w:rsidRPr="009E1523">
              <w:rPr>
                <w:sz w:val="20"/>
                <w:szCs w:val="20"/>
              </w:rPr>
              <w:t>97</w:t>
            </w:r>
            <w:r w:rsidR="008047FC" w:rsidRPr="009E1523">
              <w:rPr>
                <w:rStyle w:val="FootnoteReference"/>
                <w:sz w:val="20"/>
                <w:szCs w:val="20"/>
              </w:rPr>
              <w:footnoteReference w:id="14"/>
            </w:r>
          </w:p>
        </w:tc>
        <w:tc>
          <w:tcPr>
            <w:tcW w:w="1275" w:type="dxa"/>
            <w:tcBorders>
              <w:right w:val="single" w:sz="4" w:space="0" w:color="auto"/>
            </w:tcBorders>
            <w:vAlign w:val="center"/>
          </w:tcPr>
          <w:p w14:paraId="59E92C5D" w14:textId="77777777" w:rsidR="008047FC" w:rsidRPr="009E1523" w:rsidRDefault="004C3FC1" w:rsidP="0024408B">
            <w:pPr>
              <w:jc w:val="center"/>
              <w:rPr>
                <w:sz w:val="20"/>
                <w:szCs w:val="20"/>
              </w:rPr>
            </w:pPr>
            <w:r w:rsidRPr="009E1523">
              <w:rPr>
                <w:sz w:val="20"/>
                <w:szCs w:val="20"/>
              </w:rPr>
              <w:t>50,5</w:t>
            </w:r>
            <w:r w:rsidR="008047FC" w:rsidRPr="009E1523">
              <w:rPr>
                <w:sz w:val="20"/>
                <w:szCs w:val="20"/>
              </w:rPr>
              <w:t> %</w:t>
            </w:r>
          </w:p>
        </w:tc>
        <w:tc>
          <w:tcPr>
            <w:tcW w:w="567" w:type="dxa"/>
            <w:tcBorders>
              <w:top w:val="nil"/>
              <w:left w:val="single" w:sz="4" w:space="0" w:color="auto"/>
              <w:bottom w:val="nil"/>
              <w:right w:val="nil"/>
            </w:tcBorders>
            <w:vAlign w:val="center"/>
          </w:tcPr>
          <w:p w14:paraId="6157D19C" w14:textId="77777777" w:rsidR="008047FC" w:rsidRPr="00FF76DB" w:rsidRDefault="008047FC" w:rsidP="0024408B">
            <w:pPr>
              <w:jc w:val="center"/>
            </w:pPr>
            <w:r w:rsidRPr="00FF76DB">
              <w:rPr>
                <w:noProof/>
                <w:lang w:val="en-US"/>
              </w:rPr>
              <w:drawing>
                <wp:inline distT="0" distB="0" distL="0" distR="0" wp14:anchorId="1E45EEE2" wp14:editId="7BEA210D">
                  <wp:extent cx="170825" cy="171371"/>
                  <wp:effectExtent l="0" t="0" r="635" b="635"/>
                  <wp:docPr id="2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7"/>
                          <pic:cNvPicPr>
                            <a:picLocks noChangeAspect="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0825" cy="17137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tc>
      </w:tr>
      <w:tr w:rsidR="008047FC" w:rsidRPr="00FF76DB" w14:paraId="7F3229B0" w14:textId="77777777" w:rsidTr="004C1879">
        <w:tc>
          <w:tcPr>
            <w:tcW w:w="2689" w:type="dxa"/>
            <w:vAlign w:val="center"/>
          </w:tcPr>
          <w:p w14:paraId="0F080602" w14:textId="77777777" w:rsidR="008047FC" w:rsidRPr="00FF051E" w:rsidRDefault="008047FC" w:rsidP="0024408B">
            <w:pPr>
              <w:jc w:val="both"/>
              <w:rPr>
                <w:sz w:val="20"/>
                <w:szCs w:val="20"/>
              </w:rPr>
            </w:pPr>
            <w:r w:rsidRPr="00FF051E">
              <w:rPr>
                <w:sz w:val="20"/>
                <w:szCs w:val="20"/>
              </w:rPr>
              <w:t>Jaunu produktu un tehnoloģiju skaits, kas ir komercializējamas un kuru izstrādei sniegts atbalsts projekta ietvaros (skaits)</w:t>
            </w:r>
          </w:p>
        </w:tc>
        <w:tc>
          <w:tcPr>
            <w:tcW w:w="1417" w:type="dxa"/>
            <w:vAlign w:val="center"/>
          </w:tcPr>
          <w:p w14:paraId="41DB382B" w14:textId="77777777" w:rsidR="008047FC" w:rsidRPr="00FF051E" w:rsidRDefault="008047FC" w:rsidP="0024408B">
            <w:pPr>
              <w:jc w:val="center"/>
              <w:rPr>
                <w:sz w:val="20"/>
                <w:szCs w:val="20"/>
              </w:rPr>
            </w:pPr>
            <w:r w:rsidRPr="00FF051E">
              <w:rPr>
                <w:sz w:val="20"/>
                <w:szCs w:val="20"/>
              </w:rPr>
              <w:t>41</w:t>
            </w:r>
          </w:p>
        </w:tc>
        <w:tc>
          <w:tcPr>
            <w:tcW w:w="879" w:type="dxa"/>
            <w:vAlign w:val="center"/>
          </w:tcPr>
          <w:p w14:paraId="1206ACDE" w14:textId="77777777" w:rsidR="008047FC" w:rsidRPr="008E7967" w:rsidRDefault="000C2568" w:rsidP="0024408B">
            <w:pPr>
              <w:jc w:val="center"/>
              <w:rPr>
                <w:sz w:val="20"/>
                <w:szCs w:val="20"/>
              </w:rPr>
            </w:pPr>
            <w:r w:rsidRPr="008E7967">
              <w:rPr>
                <w:sz w:val="20"/>
                <w:szCs w:val="20"/>
              </w:rPr>
              <w:t>1</w:t>
            </w:r>
          </w:p>
        </w:tc>
        <w:tc>
          <w:tcPr>
            <w:tcW w:w="989" w:type="dxa"/>
            <w:vAlign w:val="center"/>
          </w:tcPr>
          <w:p w14:paraId="25227759" w14:textId="77777777" w:rsidR="008047FC" w:rsidRPr="008E7967" w:rsidRDefault="000C2568" w:rsidP="0024408B">
            <w:pPr>
              <w:jc w:val="center"/>
              <w:rPr>
                <w:sz w:val="20"/>
                <w:szCs w:val="20"/>
              </w:rPr>
            </w:pPr>
            <w:r w:rsidRPr="008E7967">
              <w:rPr>
                <w:sz w:val="20"/>
                <w:szCs w:val="20"/>
              </w:rPr>
              <w:t>2,4</w:t>
            </w:r>
            <w:r w:rsidR="008047FC" w:rsidRPr="008E7967">
              <w:rPr>
                <w:sz w:val="20"/>
                <w:szCs w:val="20"/>
              </w:rPr>
              <w:t> %</w:t>
            </w:r>
          </w:p>
        </w:tc>
        <w:tc>
          <w:tcPr>
            <w:tcW w:w="1251" w:type="dxa"/>
            <w:vAlign w:val="center"/>
          </w:tcPr>
          <w:p w14:paraId="36495BBD" w14:textId="77777777" w:rsidR="008047FC" w:rsidRPr="009E1523" w:rsidRDefault="004C3FC1" w:rsidP="0024408B">
            <w:pPr>
              <w:jc w:val="center"/>
              <w:rPr>
                <w:sz w:val="20"/>
                <w:szCs w:val="20"/>
              </w:rPr>
            </w:pPr>
            <w:r w:rsidRPr="009E1523">
              <w:rPr>
                <w:sz w:val="20"/>
                <w:szCs w:val="20"/>
              </w:rPr>
              <w:t>3</w:t>
            </w:r>
          </w:p>
        </w:tc>
        <w:tc>
          <w:tcPr>
            <w:tcW w:w="1275" w:type="dxa"/>
            <w:tcBorders>
              <w:right w:val="single" w:sz="4" w:space="0" w:color="auto"/>
            </w:tcBorders>
            <w:vAlign w:val="center"/>
          </w:tcPr>
          <w:p w14:paraId="3751234C" w14:textId="77777777" w:rsidR="008047FC" w:rsidRPr="009E1523" w:rsidRDefault="004C3FC1" w:rsidP="0024408B">
            <w:pPr>
              <w:jc w:val="center"/>
              <w:rPr>
                <w:sz w:val="20"/>
                <w:szCs w:val="20"/>
              </w:rPr>
            </w:pPr>
            <w:r w:rsidRPr="009E1523">
              <w:rPr>
                <w:sz w:val="20"/>
                <w:szCs w:val="20"/>
              </w:rPr>
              <w:t>7,3</w:t>
            </w:r>
            <w:r w:rsidR="008047FC" w:rsidRPr="009E1523">
              <w:rPr>
                <w:sz w:val="20"/>
                <w:szCs w:val="20"/>
              </w:rPr>
              <w:t> %</w:t>
            </w:r>
          </w:p>
        </w:tc>
        <w:tc>
          <w:tcPr>
            <w:tcW w:w="567" w:type="dxa"/>
            <w:tcBorders>
              <w:top w:val="nil"/>
              <w:left w:val="single" w:sz="4" w:space="0" w:color="auto"/>
              <w:bottom w:val="nil"/>
              <w:right w:val="nil"/>
            </w:tcBorders>
            <w:vAlign w:val="center"/>
          </w:tcPr>
          <w:p w14:paraId="3EC3F8F2" w14:textId="77777777" w:rsidR="008047FC" w:rsidRPr="00FF76DB" w:rsidRDefault="008047FC" w:rsidP="0024408B">
            <w:pPr>
              <w:jc w:val="center"/>
            </w:pPr>
            <w:r w:rsidRPr="00FF76DB">
              <w:rPr>
                <w:noProof/>
                <w:lang w:val="en-US"/>
              </w:rPr>
              <w:drawing>
                <wp:inline distT="0" distB="0" distL="0" distR="0" wp14:anchorId="6002DE77" wp14:editId="691D670D">
                  <wp:extent cx="222885" cy="194945"/>
                  <wp:effectExtent l="0" t="0" r="5715" b="0"/>
                  <wp:docPr id="2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9"/>
                          <pic:cNvPicPr>
                            <a:picLocks noChangeAspect="1"/>
                          </pic:cNvPicPr>
                        </pic:nvPicPr>
                        <pic:blipFill>
                          <a:blip r:embed="rId14"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2885" cy="194945"/>
                          </a:xfrm>
                          <a:prstGeom prst="rect">
                            <a:avLst/>
                          </a:prstGeom>
                          <a:noFill/>
                          <a:ln>
                            <a:noFill/>
                          </a:ln>
                          <a:extLst/>
                        </pic:spPr>
                      </pic:pic>
                    </a:graphicData>
                  </a:graphic>
                </wp:inline>
              </w:drawing>
            </w:r>
          </w:p>
        </w:tc>
      </w:tr>
      <w:tr w:rsidR="008047FC" w:rsidRPr="00FF76DB" w14:paraId="01BAA583" w14:textId="77777777" w:rsidTr="004C1879">
        <w:tc>
          <w:tcPr>
            <w:tcW w:w="2689" w:type="dxa"/>
            <w:vAlign w:val="center"/>
          </w:tcPr>
          <w:p w14:paraId="4276339B" w14:textId="77777777" w:rsidR="008047FC" w:rsidRPr="00FF051E" w:rsidRDefault="008047FC" w:rsidP="0024408B">
            <w:pPr>
              <w:jc w:val="both"/>
              <w:rPr>
                <w:sz w:val="20"/>
                <w:szCs w:val="20"/>
              </w:rPr>
            </w:pPr>
            <w:r w:rsidRPr="00FF051E">
              <w:rPr>
                <w:sz w:val="20"/>
                <w:szCs w:val="20"/>
              </w:rPr>
              <w:t>Privātās investīcijas, kas papildina valsts atbalstu inovācijām vai pētniecības un izstrādes projektiem (EUR)</w:t>
            </w:r>
          </w:p>
        </w:tc>
        <w:tc>
          <w:tcPr>
            <w:tcW w:w="1417" w:type="dxa"/>
            <w:vAlign w:val="center"/>
          </w:tcPr>
          <w:p w14:paraId="4BA6A616" w14:textId="77777777" w:rsidR="008047FC" w:rsidRPr="00FF051E" w:rsidRDefault="008047FC" w:rsidP="0024408B">
            <w:pPr>
              <w:jc w:val="center"/>
              <w:rPr>
                <w:sz w:val="20"/>
                <w:szCs w:val="20"/>
              </w:rPr>
            </w:pPr>
            <w:r w:rsidRPr="00FF051E">
              <w:rPr>
                <w:sz w:val="20"/>
                <w:szCs w:val="20"/>
              </w:rPr>
              <w:t>640 000</w:t>
            </w:r>
          </w:p>
        </w:tc>
        <w:tc>
          <w:tcPr>
            <w:tcW w:w="879" w:type="dxa"/>
            <w:vAlign w:val="center"/>
          </w:tcPr>
          <w:p w14:paraId="533E7F98" w14:textId="77777777" w:rsidR="008047FC" w:rsidRPr="008E7967" w:rsidRDefault="000C2568" w:rsidP="000C2568">
            <w:pPr>
              <w:jc w:val="center"/>
              <w:rPr>
                <w:sz w:val="20"/>
                <w:szCs w:val="20"/>
              </w:rPr>
            </w:pPr>
            <w:r w:rsidRPr="008E7967">
              <w:rPr>
                <w:sz w:val="20"/>
                <w:szCs w:val="20"/>
              </w:rPr>
              <w:t>52 534</w:t>
            </w:r>
          </w:p>
        </w:tc>
        <w:tc>
          <w:tcPr>
            <w:tcW w:w="989" w:type="dxa"/>
            <w:vAlign w:val="center"/>
          </w:tcPr>
          <w:p w14:paraId="1FB1CFC0" w14:textId="77777777" w:rsidR="008047FC" w:rsidRPr="008E7967" w:rsidRDefault="000C2568" w:rsidP="0024408B">
            <w:pPr>
              <w:jc w:val="center"/>
              <w:rPr>
                <w:sz w:val="20"/>
                <w:szCs w:val="20"/>
              </w:rPr>
            </w:pPr>
            <w:r w:rsidRPr="008E7967">
              <w:rPr>
                <w:sz w:val="20"/>
                <w:szCs w:val="20"/>
              </w:rPr>
              <w:t>8,2</w:t>
            </w:r>
            <w:r w:rsidR="00D02D7D" w:rsidRPr="008E7967">
              <w:rPr>
                <w:sz w:val="20"/>
                <w:szCs w:val="20"/>
              </w:rPr>
              <w:t> </w:t>
            </w:r>
            <w:r w:rsidR="008047FC" w:rsidRPr="008E7967">
              <w:rPr>
                <w:sz w:val="20"/>
                <w:szCs w:val="20"/>
              </w:rPr>
              <w:t>%</w:t>
            </w:r>
          </w:p>
        </w:tc>
        <w:tc>
          <w:tcPr>
            <w:tcW w:w="1251" w:type="dxa"/>
            <w:vAlign w:val="center"/>
          </w:tcPr>
          <w:p w14:paraId="037BB0F3" w14:textId="77777777" w:rsidR="008047FC" w:rsidRPr="009E1523" w:rsidRDefault="008478D9" w:rsidP="0024408B">
            <w:pPr>
              <w:jc w:val="center"/>
              <w:rPr>
                <w:sz w:val="20"/>
                <w:szCs w:val="20"/>
              </w:rPr>
            </w:pPr>
            <w:r w:rsidRPr="009E1523">
              <w:rPr>
                <w:sz w:val="20"/>
                <w:szCs w:val="20"/>
              </w:rPr>
              <w:t>89 557</w:t>
            </w:r>
          </w:p>
        </w:tc>
        <w:tc>
          <w:tcPr>
            <w:tcW w:w="1275" w:type="dxa"/>
            <w:tcBorders>
              <w:right w:val="single" w:sz="4" w:space="0" w:color="auto"/>
            </w:tcBorders>
            <w:vAlign w:val="center"/>
          </w:tcPr>
          <w:p w14:paraId="3B401698" w14:textId="77777777" w:rsidR="008047FC" w:rsidRPr="009E1523" w:rsidRDefault="008047FC" w:rsidP="0024408B">
            <w:pPr>
              <w:jc w:val="center"/>
              <w:rPr>
                <w:sz w:val="20"/>
                <w:szCs w:val="20"/>
              </w:rPr>
            </w:pPr>
            <w:r w:rsidRPr="009E1523">
              <w:rPr>
                <w:sz w:val="20"/>
                <w:szCs w:val="20"/>
              </w:rPr>
              <w:t>1</w:t>
            </w:r>
            <w:r w:rsidR="008478D9" w:rsidRPr="009E1523">
              <w:rPr>
                <w:sz w:val="20"/>
                <w:szCs w:val="20"/>
              </w:rPr>
              <w:t>4</w:t>
            </w:r>
            <w:r w:rsidRPr="009E1523">
              <w:rPr>
                <w:sz w:val="20"/>
                <w:szCs w:val="20"/>
              </w:rPr>
              <w:t> %</w:t>
            </w:r>
          </w:p>
        </w:tc>
        <w:tc>
          <w:tcPr>
            <w:tcW w:w="567" w:type="dxa"/>
            <w:tcBorders>
              <w:top w:val="nil"/>
              <w:left w:val="single" w:sz="4" w:space="0" w:color="auto"/>
              <w:bottom w:val="nil"/>
              <w:right w:val="nil"/>
            </w:tcBorders>
            <w:vAlign w:val="center"/>
          </w:tcPr>
          <w:p w14:paraId="24AFA787" w14:textId="77777777" w:rsidR="008047FC" w:rsidRPr="00FF76DB" w:rsidRDefault="008047FC" w:rsidP="0024408B">
            <w:pPr>
              <w:jc w:val="center"/>
            </w:pPr>
            <w:r w:rsidRPr="00FF76DB">
              <w:rPr>
                <w:noProof/>
                <w:lang w:val="en-US"/>
              </w:rPr>
              <w:drawing>
                <wp:inline distT="0" distB="0" distL="0" distR="0" wp14:anchorId="2807462D" wp14:editId="3A1BE7C4">
                  <wp:extent cx="222885" cy="194945"/>
                  <wp:effectExtent l="0" t="0" r="5715" b="0"/>
                  <wp:docPr id="2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9"/>
                          <pic:cNvPicPr>
                            <a:picLocks noChangeAspect="1"/>
                          </pic:cNvPicPr>
                        </pic:nvPicPr>
                        <pic:blipFill>
                          <a:blip r:embed="rId14"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2885" cy="194945"/>
                          </a:xfrm>
                          <a:prstGeom prst="rect">
                            <a:avLst/>
                          </a:prstGeom>
                          <a:noFill/>
                          <a:ln>
                            <a:noFill/>
                          </a:ln>
                          <a:extLst/>
                        </pic:spPr>
                      </pic:pic>
                    </a:graphicData>
                  </a:graphic>
                </wp:inline>
              </w:drawing>
            </w:r>
          </w:p>
        </w:tc>
      </w:tr>
      <w:tr w:rsidR="008047FC" w:rsidRPr="00FF76DB" w14:paraId="03750569" w14:textId="77777777" w:rsidTr="004C1879">
        <w:tc>
          <w:tcPr>
            <w:tcW w:w="2689" w:type="dxa"/>
            <w:vAlign w:val="center"/>
          </w:tcPr>
          <w:p w14:paraId="706C404B" w14:textId="77777777" w:rsidR="008047FC" w:rsidRPr="00FF051E" w:rsidRDefault="008047FC" w:rsidP="0024408B">
            <w:pPr>
              <w:jc w:val="both"/>
              <w:rPr>
                <w:sz w:val="20"/>
                <w:szCs w:val="20"/>
              </w:rPr>
            </w:pPr>
            <w:r w:rsidRPr="00FF051E">
              <w:rPr>
                <w:sz w:val="20"/>
                <w:szCs w:val="20"/>
              </w:rPr>
              <w:t>Komersantu skaits, kuri sadarbojas ar pētniecības organizāciju (skaits)</w:t>
            </w:r>
          </w:p>
        </w:tc>
        <w:tc>
          <w:tcPr>
            <w:tcW w:w="1417" w:type="dxa"/>
            <w:vAlign w:val="center"/>
          </w:tcPr>
          <w:p w14:paraId="03EB75D0" w14:textId="77777777" w:rsidR="008047FC" w:rsidRPr="00FF051E" w:rsidRDefault="008047FC" w:rsidP="0024408B">
            <w:pPr>
              <w:jc w:val="center"/>
              <w:rPr>
                <w:sz w:val="20"/>
                <w:szCs w:val="20"/>
              </w:rPr>
            </w:pPr>
            <w:r w:rsidRPr="00FF051E">
              <w:rPr>
                <w:sz w:val="20"/>
                <w:szCs w:val="20"/>
              </w:rPr>
              <w:t>25</w:t>
            </w:r>
          </w:p>
        </w:tc>
        <w:tc>
          <w:tcPr>
            <w:tcW w:w="879" w:type="dxa"/>
            <w:vAlign w:val="center"/>
          </w:tcPr>
          <w:p w14:paraId="7B135AA4" w14:textId="77777777" w:rsidR="008047FC" w:rsidRPr="008E7967" w:rsidRDefault="000C2568" w:rsidP="0024408B">
            <w:pPr>
              <w:jc w:val="center"/>
              <w:rPr>
                <w:sz w:val="20"/>
                <w:szCs w:val="20"/>
              </w:rPr>
            </w:pPr>
            <w:r w:rsidRPr="008E7967">
              <w:rPr>
                <w:sz w:val="20"/>
                <w:szCs w:val="20"/>
              </w:rPr>
              <w:t>12</w:t>
            </w:r>
          </w:p>
        </w:tc>
        <w:tc>
          <w:tcPr>
            <w:tcW w:w="989" w:type="dxa"/>
            <w:vAlign w:val="center"/>
          </w:tcPr>
          <w:p w14:paraId="30893A9E" w14:textId="77777777" w:rsidR="008047FC" w:rsidRPr="008E7967" w:rsidRDefault="000C2568" w:rsidP="0024408B">
            <w:pPr>
              <w:jc w:val="center"/>
              <w:rPr>
                <w:sz w:val="20"/>
                <w:szCs w:val="20"/>
              </w:rPr>
            </w:pPr>
            <w:r w:rsidRPr="008E7967">
              <w:rPr>
                <w:sz w:val="20"/>
                <w:szCs w:val="20"/>
              </w:rPr>
              <w:t>48</w:t>
            </w:r>
            <w:r w:rsidR="008047FC" w:rsidRPr="008E7967">
              <w:rPr>
                <w:sz w:val="20"/>
                <w:szCs w:val="20"/>
              </w:rPr>
              <w:t> %</w:t>
            </w:r>
          </w:p>
        </w:tc>
        <w:tc>
          <w:tcPr>
            <w:tcW w:w="1251" w:type="dxa"/>
            <w:vAlign w:val="center"/>
          </w:tcPr>
          <w:p w14:paraId="1B9A8EC0" w14:textId="77777777" w:rsidR="008047FC" w:rsidRPr="00FF051E" w:rsidRDefault="008047FC" w:rsidP="0024408B">
            <w:pPr>
              <w:jc w:val="center"/>
              <w:rPr>
                <w:sz w:val="20"/>
                <w:szCs w:val="20"/>
              </w:rPr>
            </w:pPr>
            <w:r w:rsidRPr="00FF051E">
              <w:rPr>
                <w:sz w:val="20"/>
                <w:szCs w:val="20"/>
              </w:rPr>
              <w:t>12</w:t>
            </w:r>
          </w:p>
        </w:tc>
        <w:tc>
          <w:tcPr>
            <w:tcW w:w="1275" w:type="dxa"/>
            <w:tcBorders>
              <w:right w:val="single" w:sz="4" w:space="0" w:color="auto"/>
            </w:tcBorders>
            <w:vAlign w:val="center"/>
          </w:tcPr>
          <w:p w14:paraId="13631CF1" w14:textId="77777777" w:rsidR="008047FC" w:rsidRPr="00FF051E" w:rsidRDefault="008047FC" w:rsidP="00E62336">
            <w:pPr>
              <w:pStyle w:val="ListParagraph"/>
              <w:numPr>
                <w:ilvl w:val="0"/>
                <w:numId w:val="5"/>
              </w:numPr>
              <w:jc w:val="center"/>
              <w:rPr>
                <w:sz w:val="20"/>
                <w:szCs w:val="20"/>
              </w:rPr>
            </w:pPr>
            <w:r w:rsidRPr="00FF051E">
              <w:rPr>
                <w:sz w:val="20"/>
                <w:szCs w:val="20"/>
              </w:rPr>
              <w:t>%</w:t>
            </w:r>
          </w:p>
        </w:tc>
        <w:tc>
          <w:tcPr>
            <w:tcW w:w="567" w:type="dxa"/>
            <w:tcBorders>
              <w:top w:val="nil"/>
              <w:left w:val="single" w:sz="4" w:space="0" w:color="auto"/>
              <w:bottom w:val="nil"/>
              <w:right w:val="nil"/>
            </w:tcBorders>
            <w:vAlign w:val="center"/>
          </w:tcPr>
          <w:p w14:paraId="5C59FE13" w14:textId="77777777" w:rsidR="008047FC" w:rsidRPr="00FF76DB" w:rsidRDefault="008B0663" w:rsidP="0024408B">
            <w:pPr>
              <w:jc w:val="center"/>
              <w:rPr>
                <w:lang w:val="en-US"/>
              </w:rPr>
            </w:pPr>
            <w:r w:rsidRPr="00FF76DB">
              <w:rPr>
                <w:noProof/>
                <w:lang w:val="en-US"/>
              </w:rPr>
              <w:drawing>
                <wp:inline distT="0" distB="0" distL="0" distR="0" wp14:anchorId="5B97259D" wp14:editId="508AE8F4">
                  <wp:extent cx="170825" cy="171371"/>
                  <wp:effectExtent l="0" t="0" r="635" b="635"/>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7"/>
                          <pic:cNvPicPr>
                            <a:picLocks noChangeAspect="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0825" cy="17137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tc>
      </w:tr>
      <w:tr w:rsidR="008047FC" w:rsidRPr="00FF76DB" w14:paraId="63C57994" w14:textId="77777777" w:rsidTr="004C1879">
        <w:tc>
          <w:tcPr>
            <w:tcW w:w="8500" w:type="dxa"/>
            <w:gridSpan w:val="6"/>
            <w:tcBorders>
              <w:right w:val="single" w:sz="4" w:space="0" w:color="auto"/>
            </w:tcBorders>
            <w:shd w:val="clear" w:color="auto" w:fill="D9D9D9" w:themeFill="background1" w:themeFillShade="D9"/>
            <w:vAlign w:val="center"/>
          </w:tcPr>
          <w:p w14:paraId="3B5D2CD7" w14:textId="77777777" w:rsidR="008047FC" w:rsidRPr="00FF051E" w:rsidRDefault="008047FC" w:rsidP="0024408B">
            <w:pPr>
              <w:jc w:val="center"/>
              <w:rPr>
                <w:sz w:val="20"/>
                <w:szCs w:val="20"/>
              </w:rPr>
            </w:pPr>
            <w:r w:rsidRPr="00FF051E">
              <w:rPr>
                <w:b/>
                <w:sz w:val="20"/>
                <w:szCs w:val="20"/>
              </w:rPr>
              <w:t>Rādītāji, kas sasniedzami VIAA projektā līdz 31.12.2018.</w:t>
            </w:r>
          </w:p>
        </w:tc>
        <w:tc>
          <w:tcPr>
            <w:tcW w:w="567" w:type="dxa"/>
            <w:tcBorders>
              <w:top w:val="nil"/>
              <w:left w:val="single" w:sz="4" w:space="0" w:color="auto"/>
              <w:bottom w:val="nil"/>
              <w:right w:val="nil"/>
            </w:tcBorders>
            <w:vAlign w:val="center"/>
          </w:tcPr>
          <w:p w14:paraId="008E0794" w14:textId="77777777" w:rsidR="008047FC" w:rsidRPr="008466CB" w:rsidRDefault="008047FC" w:rsidP="0024408B">
            <w:pPr>
              <w:jc w:val="center"/>
              <w:rPr>
                <w:noProof/>
              </w:rPr>
            </w:pPr>
          </w:p>
        </w:tc>
      </w:tr>
      <w:tr w:rsidR="008047FC" w:rsidRPr="00FF76DB" w14:paraId="2F89EDD3" w14:textId="77777777" w:rsidTr="004C1879">
        <w:tc>
          <w:tcPr>
            <w:tcW w:w="2689" w:type="dxa"/>
            <w:vAlign w:val="center"/>
          </w:tcPr>
          <w:p w14:paraId="29D6012E" w14:textId="77777777" w:rsidR="008047FC" w:rsidRPr="00FF051E" w:rsidRDefault="008047FC" w:rsidP="0024408B">
            <w:pPr>
              <w:jc w:val="both"/>
              <w:rPr>
                <w:sz w:val="20"/>
                <w:szCs w:val="20"/>
              </w:rPr>
            </w:pPr>
            <w:r w:rsidRPr="00FF051E">
              <w:rPr>
                <w:sz w:val="20"/>
                <w:szCs w:val="20"/>
              </w:rPr>
              <w:t>Līdz 31.12.2018. izstrādāts un iesniegts projekta iesniegums COFUND, un tas novērtēts virs kvalitātes sliekšņa (skaits)</w:t>
            </w:r>
          </w:p>
        </w:tc>
        <w:tc>
          <w:tcPr>
            <w:tcW w:w="1417" w:type="dxa"/>
            <w:vAlign w:val="center"/>
          </w:tcPr>
          <w:p w14:paraId="11F7FB8F" w14:textId="77777777" w:rsidR="008047FC" w:rsidRPr="00FF051E" w:rsidRDefault="008047FC" w:rsidP="0024408B">
            <w:pPr>
              <w:jc w:val="center"/>
              <w:rPr>
                <w:sz w:val="20"/>
                <w:szCs w:val="20"/>
              </w:rPr>
            </w:pPr>
            <w:r w:rsidRPr="00FF051E">
              <w:rPr>
                <w:sz w:val="20"/>
                <w:szCs w:val="20"/>
              </w:rPr>
              <w:t xml:space="preserve">1 </w:t>
            </w:r>
          </w:p>
        </w:tc>
        <w:tc>
          <w:tcPr>
            <w:tcW w:w="879" w:type="dxa"/>
            <w:vAlign w:val="center"/>
          </w:tcPr>
          <w:p w14:paraId="717A591D" w14:textId="77777777" w:rsidR="008047FC" w:rsidRPr="00FF051E" w:rsidRDefault="00F154BF" w:rsidP="00F154BF">
            <w:pPr>
              <w:jc w:val="center"/>
              <w:rPr>
                <w:sz w:val="20"/>
                <w:szCs w:val="20"/>
              </w:rPr>
            </w:pPr>
            <w:r>
              <w:rPr>
                <w:sz w:val="20"/>
                <w:szCs w:val="20"/>
              </w:rPr>
              <w:t>1</w:t>
            </w:r>
          </w:p>
        </w:tc>
        <w:tc>
          <w:tcPr>
            <w:tcW w:w="989" w:type="dxa"/>
            <w:vAlign w:val="center"/>
          </w:tcPr>
          <w:p w14:paraId="7DB9A844" w14:textId="77777777" w:rsidR="008047FC" w:rsidRPr="00FF051E" w:rsidRDefault="008047FC" w:rsidP="0024408B">
            <w:pPr>
              <w:jc w:val="center"/>
              <w:rPr>
                <w:sz w:val="20"/>
                <w:szCs w:val="20"/>
              </w:rPr>
            </w:pPr>
            <w:r w:rsidRPr="00FF051E">
              <w:rPr>
                <w:sz w:val="20"/>
                <w:szCs w:val="20"/>
              </w:rPr>
              <w:t>100 %</w:t>
            </w:r>
          </w:p>
        </w:tc>
        <w:tc>
          <w:tcPr>
            <w:tcW w:w="1251" w:type="dxa"/>
            <w:vAlign w:val="center"/>
          </w:tcPr>
          <w:p w14:paraId="567926EC" w14:textId="77777777" w:rsidR="008047FC" w:rsidRPr="00FF051E" w:rsidRDefault="008047FC" w:rsidP="0024408B">
            <w:pPr>
              <w:jc w:val="center"/>
              <w:rPr>
                <w:sz w:val="20"/>
                <w:szCs w:val="20"/>
              </w:rPr>
            </w:pPr>
            <w:r w:rsidRPr="00FF051E">
              <w:rPr>
                <w:sz w:val="20"/>
                <w:szCs w:val="20"/>
              </w:rPr>
              <w:t>1</w:t>
            </w:r>
          </w:p>
        </w:tc>
        <w:tc>
          <w:tcPr>
            <w:tcW w:w="1275" w:type="dxa"/>
            <w:tcBorders>
              <w:right w:val="single" w:sz="4" w:space="0" w:color="auto"/>
            </w:tcBorders>
            <w:vAlign w:val="center"/>
          </w:tcPr>
          <w:p w14:paraId="00D70D12" w14:textId="77777777" w:rsidR="008047FC" w:rsidRPr="00FF051E" w:rsidRDefault="008047FC" w:rsidP="0024408B">
            <w:pPr>
              <w:jc w:val="center"/>
              <w:rPr>
                <w:sz w:val="20"/>
                <w:szCs w:val="20"/>
              </w:rPr>
            </w:pPr>
            <w:r w:rsidRPr="00FF051E">
              <w:rPr>
                <w:sz w:val="20"/>
                <w:szCs w:val="20"/>
              </w:rPr>
              <w:t>100 %</w:t>
            </w:r>
          </w:p>
        </w:tc>
        <w:tc>
          <w:tcPr>
            <w:tcW w:w="567" w:type="dxa"/>
            <w:tcBorders>
              <w:top w:val="nil"/>
              <w:left w:val="single" w:sz="4" w:space="0" w:color="auto"/>
              <w:bottom w:val="nil"/>
              <w:right w:val="nil"/>
            </w:tcBorders>
            <w:vAlign w:val="center"/>
          </w:tcPr>
          <w:p w14:paraId="551D1D24" w14:textId="77777777" w:rsidR="008047FC" w:rsidRPr="00FF76DB" w:rsidRDefault="008047FC" w:rsidP="0024408B">
            <w:pPr>
              <w:jc w:val="center"/>
              <w:rPr>
                <w:noProof/>
                <w:lang w:val="en-US"/>
              </w:rPr>
            </w:pPr>
          </w:p>
          <w:p w14:paraId="58F3D15C" w14:textId="77777777" w:rsidR="008047FC" w:rsidRPr="00FF76DB" w:rsidRDefault="008047FC" w:rsidP="0024408B">
            <w:pPr>
              <w:jc w:val="center"/>
              <w:rPr>
                <w:noProof/>
                <w:lang w:val="en-US"/>
              </w:rPr>
            </w:pPr>
            <w:r w:rsidRPr="00FF76DB">
              <w:rPr>
                <w:noProof/>
                <w:lang w:val="en-US"/>
              </w:rPr>
              <w:drawing>
                <wp:inline distT="0" distB="0" distL="0" distR="0" wp14:anchorId="7C17A836" wp14:editId="329D1C13">
                  <wp:extent cx="170825" cy="171371"/>
                  <wp:effectExtent l="0" t="0" r="635" b="635"/>
                  <wp:docPr id="2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7"/>
                          <pic:cNvPicPr>
                            <a:picLocks noChangeAspect="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0825" cy="17137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p w14:paraId="1CB38F37" w14:textId="77777777" w:rsidR="008047FC" w:rsidRPr="00FF76DB" w:rsidRDefault="008047FC" w:rsidP="0024408B">
            <w:pPr>
              <w:jc w:val="center"/>
              <w:rPr>
                <w:noProof/>
                <w:lang w:val="en-US"/>
              </w:rPr>
            </w:pPr>
          </w:p>
        </w:tc>
      </w:tr>
    </w:tbl>
    <w:p w14:paraId="59757E02" w14:textId="77777777" w:rsidR="008A1B30" w:rsidRDefault="008A1B30" w:rsidP="008A1B30">
      <w:pPr>
        <w:spacing w:line="240" w:lineRule="auto"/>
        <w:jc w:val="both"/>
        <w:rPr>
          <w:sz w:val="24"/>
          <w:szCs w:val="24"/>
        </w:rPr>
      </w:pPr>
    </w:p>
    <w:p w14:paraId="0B700213" w14:textId="77777777" w:rsidR="006575C5" w:rsidRDefault="008A1B30" w:rsidP="007968C0">
      <w:pPr>
        <w:spacing w:line="240" w:lineRule="auto"/>
        <w:jc w:val="both"/>
        <w:rPr>
          <w:sz w:val="24"/>
          <w:szCs w:val="24"/>
        </w:rPr>
      </w:pPr>
      <w:r>
        <w:rPr>
          <w:sz w:val="24"/>
          <w:szCs w:val="24"/>
        </w:rPr>
        <w:t>Lai stimulētu pēcdoktorantu kļūšanu par jaunajiem zinātnisko grupu vadītājiem, vērtējama nepieciešamība arī pārskatīt pēcdoktoranta statusa atbilstības kritēriju, kas paredz, ka pēcdoktorants ir zinātnieks, kas doktora grādu ieguvis ne agrāk kā 5 gadus pirms pētniecības pieteikuma iesniegšanas</w:t>
      </w:r>
      <w:r w:rsidRPr="00D47BC9">
        <w:rPr>
          <w:sz w:val="24"/>
          <w:szCs w:val="24"/>
          <w:u w:val="single"/>
        </w:rPr>
        <w:t xml:space="preserve">, šo termiņu </w:t>
      </w:r>
      <w:r w:rsidRPr="00742D6C">
        <w:rPr>
          <w:sz w:val="24"/>
          <w:szCs w:val="24"/>
          <w:u w:val="single"/>
        </w:rPr>
        <w:t xml:space="preserve">pagarinot līdz </w:t>
      </w:r>
      <w:r w:rsidR="00A17476" w:rsidRPr="00742D6C">
        <w:rPr>
          <w:sz w:val="24"/>
          <w:szCs w:val="24"/>
          <w:u w:val="single"/>
        </w:rPr>
        <w:t xml:space="preserve">10 </w:t>
      </w:r>
      <w:r w:rsidRPr="00742D6C">
        <w:rPr>
          <w:sz w:val="24"/>
          <w:szCs w:val="24"/>
          <w:u w:val="single"/>
        </w:rPr>
        <w:t>gadiem</w:t>
      </w:r>
      <w:r w:rsidRPr="00742D6C">
        <w:rPr>
          <w:sz w:val="24"/>
          <w:szCs w:val="24"/>
        </w:rPr>
        <w:t xml:space="preserve">. </w:t>
      </w:r>
      <w:r w:rsidR="008961A9" w:rsidRPr="00742D6C">
        <w:rPr>
          <w:sz w:val="24"/>
          <w:szCs w:val="24"/>
        </w:rPr>
        <w:t>Tas</w:t>
      </w:r>
      <w:r w:rsidR="008961A9">
        <w:rPr>
          <w:sz w:val="24"/>
          <w:szCs w:val="24"/>
        </w:rPr>
        <w:t xml:space="preserve"> ļautu efekt</w:t>
      </w:r>
      <w:r w:rsidR="00EF35ED">
        <w:rPr>
          <w:sz w:val="24"/>
          <w:szCs w:val="24"/>
        </w:rPr>
        <w:t>īv</w:t>
      </w:r>
      <w:r w:rsidR="008961A9">
        <w:rPr>
          <w:sz w:val="24"/>
          <w:szCs w:val="24"/>
        </w:rPr>
        <w:t xml:space="preserve">āk izmantot </w:t>
      </w:r>
      <w:r w:rsidR="00D47BC9">
        <w:rPr>
          <w:sz w:val="24"/>
          <w:szCs w:val="24"/>
        </w:rPr>
        <w:t xml:space="preserve">izcilo </w:t>
      </w:r>
      <w:r w:rsidR="008961A9">
        <w:rPr>
          <w:sz w:val="24"/>
          <w:szCs w:val="24"/>
        </w:rPr>
        <w:t xml:space="preserve">jauno zinātnieku potenciālu un atbalsta iespējas, vienlaikus stimulējot vadības un </w:t>
      </w:r>
      <w:r w:rsidR="008961A9">
        <w:rPr>
          <w:sz w:val="24"/>
          <w:szCs w:val="24"/>
        </w:rPr>
        <w:lastRenderedPageBreak/>
        <w:t>līderības kompetences un savas pētniecības tēmas komandas veidošanu, tostarp cieši sadarbojoties ar doktorantiem un maģistrantiem.</w:t>
      </w:r>
    </w:p>
    <w:p w14:paraId="630C433B" w14:textId="77777777" w:rsidR="00D32051" w:rsidRDefault="00D32051">
      <w:pPr>
        <w:rPr>
          <w:rFonts w:asciiTheme="majorHAnsi" w:eastAsiaTheme="majorEastAsia" w:hAnsiTheme="majorHAnsi" w:cstheme="majorBidi"/>
          <w:b/>
          <w:color w:val="323E4F" w:themeColor="text2" w:themeShade="BF"/>
          <w:sz w:val="28"/>
          <w:szCs w:val="28"/>
        </w:rPr>
      </w:pPr>
      <w:r>
        <w:rPr>
          <w:b/>
          <w:color w:val="323E4F" w:themeColor="text2" w:themeShade="BF"/>
          <w:sz w:val="28"/>
          <w:szCs w:val="28"/>
        </w:rPr>
        <w:br w:type="page"/>
      </w:r>
    </w:p>
    <w:p w14:paraId="687C0E57" w14:textId="77777777" w:rsidR="00DC32D4" w:rsidRPr="00DC32D4" w:rsidRDefault="00DC32D4" w:rsidP="0024408B">
      <w:pPr>
        <w:pStyle w:val="Heading1"/>
        <w:numPr>
          <w:ilvl w:val="1"/>
          <w:numId w:val="3"/>
        </w:numPr>
        <w:spacing w:after="240" w:line="240" w:lineRule="auto"/>
        <w:ind w:left="1220" w:hanging="369"/>
        <w:jc w:val="both"/>
        <w:rPr>
          <w:b/>
          <w:color w:val="323E4F" w:themeColor="text2" w:themeShade="BF"/>
          <w:sz w:val="28"/>
          <w:szCs w:val="28"/>
        </w:rPr>
      </w:pPr>
      <w:bookmarkStart w:id="9" w:name="_Toc3218333"/>
      <w:r w:rsidRPr="00DC32D4">
        <w:rPr>
          <w:b/>
          <w:color w:val="323E4F" w:themeColor="text2" w:themeShade="BF"/>
          <w:sz w:val="28"/>
          <w:szCs w:val="28"/>
        </w:rPr>
        <w:lastRenderedPageBreak/>
        <w:t>Pēcdoktorantūras pētniec</w:t>
      </w:r>
      <w:r w:rsidR="002E7486">
        <w:rPr>
          <w:b/>
          <w:color w:val="323E4F" w:themeColor="text2" w:themeShade="BF"/>
          <w:sz w:val="28"/>
          <w:szCs w:val="28"/>
        </w:rPr>
        <w:t>ības programmas finan</w:t>
      </w:r>
      <w:r w:rsidR="009B55F8">
        <w:rPr>
          <w:b/>
          <w:color w:val="323E4F" w:themeColor="text2" w:themeShade="BF"/>
          <w:sz w:val="28"/>
          <w:szCs w:val="28"/>
        </w:rPr>
        <w:t>šu</w:t>
      </w:r>
      <w:r w:rsidRPr="00DC32D4">
        <w:rPr>
          <w:b/>
          <w:color w:val="323E4F" w:themeColor="text2" w:themeShade="BF"/>
          <w:sz w:val="28"/>
          <w:szCs w:val="28"/>
        </w:rPr>
        <w:t xml:space="preserve"> progress</w:t>
      </w:r>
      <w:bookmarkEnd w:id="9"/>
    </w:p>
    <w:p w14:paraId="7A3F0C9F" w14:textId="2EF49333" w:rsidR="00DC32D4" w:rsidRPr="009E1523" w:rsidRDefault="00B55F85" w:rsidP="003C23D7">
      <w:pPr>
        <w:spacing w:after="0" w:line="240" w:lineRule="auto"/>
        <w:jc w:val="both"/>
        <w:rPr>
          <w:sz w:val="24"/>
          <w:szCs w:val="24"/>
        </w:rPr>
      </w:pPr>
      <w:r w:rsidRPr="009E1523">
        <w:rPr>
          <w:sz w:val="24"/>
          <w:szCs w:val="24"/>
        </w:rPr>
        <w:t>P</w:t>
      </w:r>
      <w:r w:rsidR="00BD373F" w:rsidRPr="009E1523">
        <w:rPr>
          <w:sz w:val="24"/>
          <w:szCs w:val="24"/>
        </w:rPr>
        <w:t xml:space="preserve">rojektā kopumā </w:t>
      </w:r>
      <w:r w:rsidR="00DC32D4" w:rsidRPr="009E1523">
        <w:rPr>
          <w:sz w:val="24"/>
          <w:szCs w:val="24"/>
        </w:rPr>
        <w:t xml:space="preserve">līdz </w:t>
      </w:r>
      <w:r w:rsidR="00821043">
        <w:rPr>
          <w:sz w:val="24"/>
          <w:szCs w:val="24"/>
        </w:rPr>
        <w:t>15.01.2019.</w:t>
      </w:r>
      <w:r w:rsidR="00DC32D4" w:rsidRPr="009E1523">
        <w:rPr>
          <w:sz w:val="24"/>
          <w:szCs w:val="24"/>
        </w:rPr>
        <w:t xml:space="preserve"> </w:t>
      </w:r>
      <w:r w:rsidR="00BD373F" w:rsidRPr="009E1523">
        <w:rPr>
          <w:sz w:val="24"/>
          <w:szCs w:val="24"/>
        </w:rPr>
        <w:t xml:space="preserve">VIAA </w:t>
      </w:r>
      <w:r w:rsidR="00DC32D4" w:rsidRPr="009E1523">
        <w:rPr>
          <w:sz w:val="24"/>
          <w:szCs w:val="24"/>
        </w:rPr>
        <w:t xml:space="preserve">ir iesniegusi </w:t>
      </w:r>
      <w:r w:rsidR="00CB7F41" w:rsidRPr="009E1523">
        <w:rPr>
          <w:sz w:val="24"/>
          <w:szCs w:val="24"/>
        </w:rPr>
        <w:t xml:space="preserve">10 </w:t>
      </w:r>
      <w:r w:rsidR="000C2568" w:rsidRPr="009E1523">
        <w:rPr>
          <w:sz w:val="24"/>
          <w:szCs w:val="24"/>
        </w:rPr>
        <w:t xml:space="preserve"> </w:t>
      </w:r>
      <w:r w:rsidR="00DC32D4" w:rsidRPr="009E1523">
        <w:rPr>
          <w:sz w:val="24"/>
          <w:szCs w:val="24"/>
        </w:rPr>
        <w:t xml:space="preserve">maksājumu pieprasījumus par kopējo finansējumu </w:t>
      </w:r>
      <w:r w:rsidR="00821043" w:rsidRPr="00EA20BA">
        <w:rPr>
          <w:sz w:val="24"/>
          <w:szCs w:val="24"/>
        </w:rPr>
        <w:t>5 363 743,17</w:t>
      </w:r>
      <w:r w:rsidR="00DC32D4" w:rsidRPr="00EA20BA">
        <w:rPr>
          <w:sz w:val="24"/>
          <w:szCs w:val="24"/>
        </w:rPr>
        <w:t xml:space="preserve"> </w:t>
      </w:r>
      <w:r w:rsidR="00DC32D4" w:rsidRPr="00EA20BA">
        <w:rPr>
          <w:i/>
          <w:sz w:val="24"/>
          <w:szCs w:val="24"/>
        </w:rPr>
        <w:t>euro</w:t>
      </w:r>
      <w:r w:rsidR="00DC32D4" w:rsidRPr="00EA20BA">
        <w:rPr>
          <w:sz w:val="24"/>
          <w:szCs w:val="24"/>
        </w:rPr>
        <w:t>. Līdz 31.</w:t>
      </w:r>
      <w:r w:rsidR="00F95877" w:rsidRPr="00EA20BA">
        <w:rPr>
          <w:sz w:val="24"/>
          <w:szCs w:val="24"/>
        </w:rPr>
        <w:t>12</w:t>
      </w:r>
      <w:r w:rsidR="00DC32D4" w:rsidRPr="00EA20BA">
        <w:rPr>
          <w:sz w:val="24"/>
          <w:szCs w:val="24"/>
        </w:rPr>
        <w:t>.</w:t>
      </w:r>
      <w:r w:rsidR="000C2568" w:rsidRPr="00EA20BA">
        <w:rPr>
          <w:sz w:val="24"/>
          <w:szCs w:val="24"/>
        </w:rPr>
        <w:t>2018.</w:t>
      </w:r>
      <w:r w:rsidR="00497AFB" w:rsidRPr="00EA20BA">
        <w:rPr>
          <w:sz w:val="24"/>
          <w:szCs w:val="24"/>
        </w:rPr>
        <w:t xml:space="preserve"> CFLA </w:t>
      </w:r>
      <w:r w:rsidR="009572A4" w:rsidRPr="00EA20BA">
        <w:t xml:space="preserve">ir apstiprinājusi VIAA projekta maksājumu pieprasījumus </w:t>
      </w:r>
      <w:r w:rsidR="003F4410" w:rsidRPr="00EA20BA">
        <w:rPr>
          <w:sz w:val="24"/>
          <w:szCs w:val="24"/>
        </w:rPr>
        <w:t>3 330 366,82</w:t>
      </w:r>
      <w:r w:rsidR="00DC32D4" w:rsidRPr="00EA20BA">
        <w:rPr>
          <w:sz w:val="24"/>
          <w:szCs w:val="24"/>
        </w:rPr>
        <w:t xml:space="preserve"> </w:t>
      </w:r>
      <w:r w:rsidR="00DC32D4" w:rsidRPr="00EA20BA">
        <w:rPr>
          <w:i/>
          <w:sz w:val="24"/>
          <w:szCs w:val="24"/>
        </w:rPr>
        <w:t>euro</w:t>
      </w:r>
      <w:r w:rsidR="00DC32D4" w:rsidRPr="00EA20BA">
        <w:rPr>
          <w:sz w:val="24"/>
          <w:szCs w:val="24"/>
        </w:rPr>
        <w:t xml:space="preserve"> </w:t>
      </w:r>
      <w:r w:rsidR="003F4410" w:rsidRPr="00EA20BA">
        <w:rPr>
          <w:sz w:val="24"/>
          <w:szCs w:val="24"/>
        </w:rPr>
        <w:t>apmērā</w:t>
      </w:r>
      <w:r w:rsidR="00F95877" w:rsidRPr="00EA20BA">
        <w:rPr>
          <w:sz w:val="24"/>
          <w:szCs w:val="24"/>
        </w:rPr>
        <w:t xml:space="preserve">. </w:t>
      </w:r>
      <w:r w:rsidR="00781A56" w:rsidRPr="00EA20BA">
        <w:rPr>
          <w:sz w:val="24"/>
          <w:szCs w:val="24"/>
        </w:rPr>
        <w:t xml:space="preserve">Analizējot </w:t>
      </w:r>
      <w:r w:rsidR="00DC32D4" w:rsidRPr="00EA20BA">
        <w:rPr>
          <w:sz w:val="24"/>
          <w:szCs w:val="24"/>
        </w:rPr>
        <w:t>finan</w:t>
      </w:r>
      <w:r w:rsidR="00BD373F" w:rsidRPr="00EA20BA">
        <w:rPr>
          <w:sz w:val="24"/>
          <w:szCs w:val="24"/>
        </w:rPr>
        <w:t>šu</w:t>
      </w:r>
      <w:r w:rsidR="00DC32D4" w:rsidRPr="00EA20BA">
        <w:rPr>
          <w:sz w:val="24"/>
          <w:szCs w:val="24"/>
        </w:rPr>
        <w:t xml:space="preserve"> progresu, secināms, ka līdz 31.12.2018. apgūts finansējums </w:t>
      </w:r>
      <w:r w:rsidR="002B17CB" w:rsidRPr="00EA20BA">
        <w:rPr>
          <w:sz w:val="24"/>
          <w:szCs w:val="24"/>
        </w:rPr>
        <w:t>55,2</w:t>
      </w:r>
      <w:r w:rsidR="00AB599A" w:rsidRPr="00EA20BA">
        <w:rPr>
          <w:sz w:val="24"/>
          <w:szCs w:val="24"/>
        </w:rPr>
        <w:t> </w:t>
      </w:r>
      <w:r w:rsidR="00DC32D4" w:rsidRPr="00EA20BA">
        <w:rPr>
          <w:sz w:val="24"/>
          <w:szCs w:val="24"/>
        </w:rPr>
        <w:t>% apmērā no Pēcdoktorantūras pētniecības programmas noteiktā finanšu rādītāja vērtības</w:t>
      </w:r>
      <w:r w:rsidR="00DC32D4" w:rsidRPr="00EA20BA">
        <w:rPr>
          <w:rStyle w:val="FootnoteReference"/>
          <w:sz w:val="24"/>
          <w:szCs w:val="24"/>
        </w:rPr>
        <w:footnoteReference w:id="15"/>
      </w:r>
      <w:r w:rsidR="00DC32D4" w:rsidRPr="00EA20BA">
        <w:rPr>
          <w:sz w:val="24"/>
          <w:szCs w:val="24"/>
        </w:rPr>
        <w:t xml:space="preserve"> jeb </w:t>
      </w:r>
      <w:r w:rsidR="002B17CB" w:rsidRPr="00EA20BA">
        <w:rPr>
          <w:sz w:val="24"/>
          <w:szCs w:val="24"/>
        </w:rPr>
        <w:t>5,4</w:t>
      </w:r>
      <w:r w:rsidR="00DC32D4" w:rsidRPr="00EA20BA">
        <w:rPr>
          <w:sz w:val="24"/>
          <w:szCs w:val="24"/>
        </w:rPr>
        <w:t xml:space="preserve"> milj. </w:t>
      </w:r>
      <w:r w:rsidR="00DC32D4" w:rsidRPr="00EA20BA">
        <w:rPr>
          <w:i/>
          <w:sz w:val="24"/>
          <w:szCs w:val="24"/>
        </w:rPr>
        <w:t>euro</w:t>
      </w:r>
      <w:r w:rsidR="00DC32D4" w:rsidRPr="00EA20BA">
        <w:rPr>
          <w:sz w:val="24"/>
          <w:szCs w:val="24"/>
        </w:rPr>
        <w:t xml:space="preserve">, </w:t>
      </w:r>
      <w:r w:rsidR="00422133" w:rsidRPr="00EA20BA">
        <w:rPr>
          <w:sz w:val="24"/>
          <w:szCs w:val="24"/>
        </w:rPr>
        <w:t>ko veido</w:t>
      </w:r>
      <w:r w:rsidR="00DC32D4" w:rsidRPr="00EA20BA">
        <w:rPr>
          <w:sz w:val="24"/>
          <w:szCs w:val="24"/>
        </w:rPr>
        <w:t xml:space="preserve"> ERAF finansējums </w:t>
      </w:r>
      <w:r w:rsidR="002B17CB" w:rsidRPr="00EA20BA">
        <w:rPr>
          <w:sz w:val="24"/>
          <w:szCs w:val="24"/>
        </w:rPr>
        <w:t xml:space="preserve">4,6 </w:t>
      </w:r>
      <w:r w:rsidR="00DC32D4" w:rsidRPr="00EA20BA">
        <w:rPr>
          <w:sz w:val="24"/>
          <w:szCs w:val="24"/>
        </w:rPr>
        <w:t xml:space="preserve">milj. </w:t>
      </w:r>
      <w:r w:rsidR="00DC32D4" w:rsidRPr="00EA20BA">
        <w:rPr>
          <w:i/>
          <w:sz w:val="24"/>
          <w:szCs w:val="24"/>
        </w:rPr>
        <w:t>euro</w:t>
      </w:r>
      <w:r w:rsidR="00DC32D4" w:rsidRPr="00EA20BA">
        <w:rPr>
          <w:sz w:val="24"/>
          <w:szCs w:val="24"/>
        </w:rPr>
        <w:t>, valsts budžeta</w:t>
      </w:r>
      <w:r w:rsidR="00DC32D4" w:rsidRPr="009E1523">
        <w:rPr>
          <w:sz w:val="24"/>
          <w:szCs w:val="24"/>
        </w:rPr>
        <w:t xml:space="preserve"> līdzfinansējums </w:t>
      </w:r>
      <w:r w:rsidR="002B17CB">
        <w:rPr>
          <w:sz w:val="24"/>
          <w:szCs w:val="24"/>
        </w:rPr>
        <w:t>0,6</w:t>
      </w:r>
      <w:r w:rsidR="00DC32D4" w:rsidRPr="009E1523">
        <w:rPr>
          <w:sz w:val="24"/>
          <w:szCs w:val="24"/>
        </w:rPr>
        <w:t xml:space="preserve"> milj. </w:t>
      </w:r>
      <w:r w:rsidR="00DC32D4" w:rsidRPr="009E1523">
        <w:rPr>
          <w:i/>
          <w:sz w:val="24"/>
          <w:szCs w:val="24"/>
        </w:rPr>
        <w:t>euro</w:t>
      </w:r>
      <w:r w:rsidR="00DC32D4" w:rsidRPr="009E1523">
        <w:rPr>
          <w:sz w:val="24"/>
          <w:szCs w:val="24"/>
        </w:rPr>
        <w:t xml:space="preserve"> un cits publiskais vai privātais līdzfinansējums - 0,2 milj. </w:t>
      </w:r>
      <w:r w:rsidR="00DC32D4" w:rsidRPr="009E1523">
        <w:rPr>
          <w:i/>
          <w:sz w:val="24"/>
          <w:szCs w:val="24"/>
        </w:rPr>
        <w:t>euro</w:t>
      </w:r>
      <w:r w:rsidR="00DC32D4" w:rsidRPr="009E1523">
        <w:rPr>
          <w:sz w:val="24"/>
          <w:szCs w:val="24"/>
        </w:rPr>
        <w:t xml:space="preserve"> apmērā.</w:t>
      </w:r>
    </w:p>
    <w:p w14:paraId="5FD43AFA" w14:textId="77777777" w:rsidR="00006C1C" w:rsidRDefault="00DC32D4" w:rsidP="003C23D7">
      <w:pPr>
        <w:spacing w:before="120" w:after="0" w:line="240" w:lineRule="auto"/>
        <w:jc w:val="both"/>
        <w:rPr>
          <w:sz w:val="24"/>
          <w:szCs w:val="24"/>
        </w:rPr>
      </w:pPr>
      <w:r w:rsidRPr="009E1523">
        <w:rPr>
          <w:sz w:val="24"/>
          <w:szCs w:val="24"/>
        </w:rPr>
        <w:t>Nobīde plānoto finanšu resursu apguvē skaidrojama ar to, ka līgumu slēgšanas process ar 1. atlases kārtas ietvaros atbalstītajiem pētniecības pieteikumu īstenotājiem tika uzsākts par 3</w:t>
      </w:r>
      <w:r w:rsidR="009C561C" w:rsidRPr="009E1523">
        <w:rPr>
          <w:sz w:val="24"/>
          <w:szCs w:val="24"/>
        </w:rPr>
        <w:t> </w:t>
      </w:r>
      <w:r w:rsidRPr="009E1523">
        <w:rPr>
          <w:sz w:val="24"/>
          <w:szCs w:val="24"/>
        </w:rPr>
        <w:t>-</w:t>
      </w:r>
      <w:r w:rsidR="009C561C" w:rsidRPr="009E1523">
        <w:rPr>
          <w:sz w:val="24"/>
          <w:szCs w:val="24"/>
        </w:rPr>
        <w:t> </w:t>
      </w:r>
      <w:r w:rsidRPr="009E1523">
        <w:rPr>
          <w:sz w:val="24"/>
          <w:szCs w:val="24"/>
        </w:rPr>
        <w:t>4 mēnešiem vēlāk nekā sākotnēji bija</w:t>
      </w:r>
      <w:r w:rsidRPr="0019416E">
        <w:rPr>
          <w:sz w:val="24"/>
          <w:szCs w:val="24"/>
        </w:rPr>
        <w:t xml:space="preserve"> plānots, jo starp iesaistītajām pusēm nebija vienota izpratne par iznākuma rādītāj</w:t>
      </w:r>
      <w:r w:rsidR="00BD373F">
        <w:rPr>
          <w:sz w:val="24"/>
          <w:szCs w:val="24"/>
        </w:rPr>
        <w:t>a</w:t>
      </w:r>
      <w:r w:rsidRPr="0019416E">
        <w:rPr>
          <w:sz w:val="24"/>
          <w:szCs w:val="24"/>
        </w:rPr>
        <w:t xml:space="preserve"> „jaunu pētnieku skaits atbalstītajās vienības PLE izteiksmē”</w:t>
      </w:r>
      <w:r w:rsidR="00BD373F">
        <w:rPr>
          <w:sz w:val="24"/>
          <w:szCs w:val="24"/>
        </w:rPr>
        <w:t xml:space="preserve"> uzskaiti</w:t>
      </w:r>
      <w:r w:rsidRPr="0019416E">
        <w:rPr>
          <w:sz w:val="24"/>
          <w:szCs w:val="24"/>
        </w:rPr>
        <w:t xml:space="preserve">. </w:t>
      </w:r>
      <w:r>
        <w:rPr>
          <w:sz w:val="24"/>
          <w:szCs w:val="24"/>
        </w:rPr>
        <w:t xml:space="preserve">Tostarp, </w:t>
      </w:r>
      <w:r w:rsidR="00E30327">
        <w:rPr>
          <w:sz w:val="24"/>
          <w:szCs w:val="24"/>
        </w:rPr>
        <w:t xml:space="preserve">gan 1. atlases kārtas, gan arī </w:t>
      </w:r>
      <w:r w:rsidRPr="0019416E">
        <w:rPr>
          <w:sz w:val="24"/>
          <w:szCs w:val="24"/>
        </w:rPr>
        <w:t>2. atlases kārtas ietvaros zinātniskās institūcijas nesteidzas noslēgt līgums par pētniecības pieteikumu īstenošanas uzsākšanu, lai arī VIAA daudzkārt ir aicinājusi pētniecības pieteikumu iesniedzējus būt aktīviem un savlaicīgi slēgt līgumus. VIAA konstatējusi, ka ir vairāki faktori, kāpēc no pētniecības pieteikumu īstenotāju puses līgumi netiek steidzami slēgti</w:t>
      </w:r>
      <w:r w:rsidR="00006C1C">
        <w:rPr>
          <w:sz w:val="24"/>
          <w:szCs w:val="24"/>
        </w:rPr>
        <w:t>, jo vispirms:</w:t>
      </w:r>
    </w:p>
    <w:p w14:paraId="6BE7758A" w14:textId="77777777" w:rsidR="00006C1C" w:rsidRPr="0019416E" w:rsidRDefault="00006C1C" w:rsidP="00E62336">
      <w:pPr>
        <w:pStyle w:val="ListParagraph"/>
        <w:numPr>
          <w:ilvl w:val="0"/>
          <w:numId w:val="7"/>
        </w:numPr>
        <w:spacing w:after="0" w:line="240" w:lineRule="auto"/>
        <w:jc w:val="both"/>
        <w:rPr>
          <w:sz w:val="24"/>
          <w:szCs w:val="24"/>
        </w:rPr>
      </w:pPr>
      <w:r>
        <w:rPr>
          <w:sz w:val="24"/>
          <w:szCs w:val="24"/>
        </w:rPr>
        <w:t>veic nepieciešamās darbības</w:t>
      </w:r>
      <w:r w:rsidRPr="0019416E">
        <w:rPr>
          <w:sz w:val="24"/>
          <w:szCs w:val="24"/>
        </w:rPr>
        <w:t xml:space="preserve"> </w:t>
      </w:r>
      <w:r>
        <w:rPr>
          <w:sz w:val="24"/>
          <w:szCs w:val="24"/>
        </w:rPr>
        <w:t xml:space="preserve">pēcdoktoranta </w:t>
      </w:r>
      <w:r w:rsidRPr="0019416E">
        <w:rPr>
          <w:sz w:val="24"/>
          <w:szCs w:val="24"/>
        </w:rPr>
        <w:t>jaunas amata vietas izveid</w:t>
      </w:r>
      <w:r>
        <w:rPr>
          <w:sz w:val="24"/>
          <w:szCs w:val="24"/>
        </w:rPr>
        <w:t>e</w:t>
      </w:r>
      <w:r w:rsidRPr="0019416E">
        <w:rPr>
          <w:sz w:val="24"/>
          <w:szCs w:val="24"/>
        </w:rPr>
        <w:t>i;</w:t>
      </w:r>
    </w:p>
    <w:p w14:paraId="29951E7A" w14:textId="77777777" w:rsidR="00006C1C" w:rsidRPr="00A96345" w:rsidRDefault="00006C1C" w:rsidP="00E62336">
      <w:pPr>
        <w:pStyle w:val="ListParagraph"/>
        <w:numPr>
          <w:ilvl w:val="0"/>
          <w:numId w:val="6"/>
        </w:numPr>
        <w:spacing w:after="0" w:line="240" w:lineRule="auto"/>
        <w:jc w:val="both"/>
        <w:rPr>
          <w:sz w:val="24"/>
          <w:szCs w:val="24"/>
        </w:rPr>
      </w:pPr>
      <w:r w:rsidRPr="00A96345">
        <w:rPr>
          <w:sz w:val="24"/>
          <w:szCs w:val="24"/>
        </w:rPr>
        <w:t xml:space="preserve">veic </w:t>
      </w:r>
      <w:r>
        <w:rPr>
          <w:sz w:val="24"/>
          <w:szCs w:val="24"/>
        </w:rPr>
        <w:t xml:space="preserve">visas </w:t>
      </w:r>
      <w:r w:rsidRPr="00A96345">
        <w:rPr>
          <w:sz w:val="24"/>
          <w:szCs w:val="24"/>
        </w:rPr>
        <w:t xml:space="preserve">nepieciešamās darbības, lai nodrošinātu nepārtrauktu citu projektu </w:t>
      </w:r>
      <w:r>
        <w:rPr>
          <w:sz w:val="24"/>
          <w:szCs w:val="24"/>
        </w:rPr>
        <w:t>īstenošanu</w:t>
      </w:r>
      <w:r w:rsidRPr="00A96345">
        <w:rPr>
          <w:sz w:val="24"/>
          <w:szCs w:val="24"/>
        </w:rPr>
        <w:t xml:space="preserve"> </w:t>
      </w:r>
      <w:r>
        <w:rPr>
          <w:sz w:val="24"/>
          <w:szCs w:val="24"/>
        </w:rPr>
        <w:t xml:space="preserve">vai </w:t>
      </w:r>
      <w:r w:rsidRPr="00A96345">
        <w:rPr>
          <w:sz w:val="24"/>
          <w:szCs w:val="24"/>
        </w:rPr>
        <w:t>darba pienākumu</w:t>
      </w:r>
      <w:r>
        <w:rPr>
          <w:sz w:val="24"/>
          <w:szCs w:val="24"/>
        </w:rPr>
        <w:t xml:space="preserve"> nodrošināšanu, gadījumā, ja</w:t>
      </w:r>
      <w:r w:rsidRPr="00A96345">
        <w:rPr>
          <w:sz w:val="24"/>
          <w:szCs w:val="24"/>
        </w:rPr>
        <w:t xml:space="preserve"> pēcdoktorants pirms pētniecības pieteikuma apstiprināšanas ir strādājis</w:t>
      </w:r>
      <w:r>
        <w:rPr>
          <w:sz w:val="24"/>
          <w:szCs w:val="24"/>
        </w:rPr>
        <w:t>, piemēram,</w:t>
      </w:r>
      <w:r w:rsidRPr="00A96345">
        <w:rPr>
          <w:sz w:val="24"/>
          <w:szCs w:val="24"/>
        </w:rPr>
        <w:t xml:space="preserve"> 1.1.1.1. pasāk</w:t>
      </w:r>
      <w:r>
        <w:rPr>
          <w:sz w:val="24"/>
          <w:szCs w:val="24"/>
        </w:rPr>
        <w:t>uma Praktisko pētījumu programmas projektā</w:t>
      </w:r>
      <w:r w:rsidRPr="00A96345">
        <w:rPr>
          <w:sz w:val="24"/>
          <w:szCs w:val="24"/>
        </w:rPr>
        <w:t xml:space="preserve"> vai </w:t>
      </w:r>
      <w:r>
        <w:rPr>
          <w:sz w:val="24"/>
          <w:szCs w:val="24"/>
        </w:rPr>
        <w:t>augstākās izglītības institūcijā kā akadēmiskais personāls, kas piedalījies lekciju pasniegšanā</w:t>
      </w:r>
      <w:r w:rsidR="001778BE">
        <w:rPr>
          <w:sz w:val="24"/>
          <w:szCs w:val="24"/>
        </w:rPr>
        <w:t>;</w:t>
      </w:r>
    </w:p>
    <w:p w14:paraId="58BF0529" w14:textId="77777777" w:rsidR="00006C1C" w:rsidRPr="00A96345" w:rsidRDefault="00006C1C" w:rsidP="00E62336">
      <w:pPr>
        <w:pStyle w:val="ListParagraph"/>
        <w:numPr>
          <w:ilvl w:val="0"/>
          <w:numId w:val="6"/>
        </w:numPr>
        <w:spacing w:after="0" w:line="240" w:lineRule="auto"/>
        <w:jc w:val="both"/>
        <w:rPr>
          <w:sz w:val="24"/>
          <w:szCs w:val="24"/>
        </w:rPr>
      </w:pPr>
      <w:r w:rsidRPr="00A96345">
        <w:rPr>
          <w:sz w:val="24"/>
          <w:szCs w:val="24"/>
        </w:rPr>
        <w:t>aicina pēcdoktorantu izņemt neizmantoto ikgadējo atvaļinājumu</w:t>
      </w:r>
      <w:r>
        <w:rPr>
          <w:sz w:val="24"/>
          <w:szCs w:val="24"/>
        </w:rPr>
        <w:t xml:space="preserve"> līdz pētniecības pieteikuma īstenošanas uzsākšanai.</w:t>
      </w:r>
    </w:p>
    <w:p w14:paraId="3335E3BE" w14:textId="77777777" w:rsidR="00006C1C" w:rsidRPr="00006C1C" w:rsidRDefault="00006C1C" w:rsidP="0024408B">
      <w:pPr>
        <w:spacing w:after="0" w:line="240" w:lineRule="auto"/>
        <w:jc w:val="both"/>
        <w:rPr>
          <w:sz w:val="24"/>
          <w:szCs w:val="24"/>
        </w:rPr>
      </w:pPr>
      <w:r>
        <w:rPr>
          <w:sz w:val="24"/>
          <w:szCs w:val="24"/>
        </w:rPr>
        <w:t>Tostarp ir atsevišķi gadījumi, kad zinātniskās institūcijas atsakās no pētniecības pieteikumu līgumu slēgšanas</w:t>
      </w:r>
      <w:r w:rsidRPr="00A96345">
        <w:rPr>
          <w:sz w:val="24"/>
          <w:szCs w:val="24"/>
        </w:rPr>
        <w:t xml:space="preserve"> vai </w:t>
      </w:r>
      <w:r>
        <w:rPr>
          <w:sz w:val="24"/>
          <w:szCs w:val="24"/>
        </w:rPr>
        <w:t xml:space="preserve">noslēgtie līgumi </w:t>
      </w:r>
      <w:r w:rsidRPr="00A96345">
        <w:rPr>
          <w:sz w:val="24"/>
          <w:szCs w:val="24"/>
        </w:rPr>
        <w:t>tiek pārtraukti, jo pēcdoktorants</w:t>
      </w:r>
      <w:r>
        <w:rPr>
          <w:sz w:val="24"/>
          <w:szCs w:val="24"/>
        </w:rPr>
        <w:t xml:space="preserve"> ir vai nu pieņēmis citu darba piedāvājumu vai </w:t>
      </w:r>
      <w:r w:rsidRPr="00A96345">
        <w:rPr>
          <w:sz w:val="24"/>
          <w:szCs w:val="24"/>
        </w:rPr>
        <w:t>dodas bērnu kopšanas atvaļinājumā</w:t>
      </w:r>
      <w:r w:rsidR="00A519CC">
        <w:rPr>
          <w:sz w:val="24"/>
          <w:szCs w:val="24"/>
        </w:rPr>
        <w:t>.</w:t>
      </w:r>
    </w:p>
    <w:p w14:paraId="356EAE71" w14:textId="77777777" w:rsidR="00FE66D1" w:rsidRDefault="002E7486" w:rsidP="00184848">
      <w:pPr>
        <w:spacing w:before="120" w:after="0" w:line="240" w:lineRule="auto"/>
        <w:jc w:val="both"/>
        <w:rPr>
          <w:rFonts w:asciiTheme="majorHAnsi" w:eastAsiaTheme="majorEastAsia" w:hAnsiTheme="majorHAnsi" w:cstheme="majorBidi"/>
          <w:b/>
          <w:color w:val="323E4F" w:themeColor="text2" w:themeShade="BF"/>
          <w:sz w:val="28"/>
          <w:szCs w:val="28"/>
        </w:rPr>
      </w:pPr>
      <w:r>
        <w:rPr>
          <w:sz w:val="24"/>
          <w:szCs w:val="24"/>
        </w:rPr>
        <w:t xml:space="preserve">Lai </w:t>
      </w:r>
      <w:r w:rsidRPr="002E7486">
        <w:rPr>
          <w:sz w:val="24"/>
          <w:szCs w:val="24"/>
        </w:rPr>
        <w:t xml:space="preserve">sekmētu </w:t>
      </w:r>
      <w:r w:rsidR="00B4705A">
        <w:rPr>
          <w:sz w:val="24"/>
          <w:szCs w:val="24"/>
        </w:rPr>
        <w:t>Pēcdoktorantūras pētniecības prog</w:t>
      </w:r>
      <w:r w:rsidR="000B2756">
        <w:rPr>
          <w:sz w:val="24"/>
          <w:szCs w:val="24"/>
        </w:rPr>
        <w:t>rammas finanšu progresu un</w:t>
      </w:r>
      <w:r w:rsidR="00B4705A">
        <w:rPr>
          <w:sz w:val="24"/>
          <w:szCs w:val="24"/>
        </w:rPr>
        <w:t xml:space="preserve"> </w:t>
      </w:r>
      <w:r w:rsidRPr="002E7486">
        <w:rPr>
          <w:sz w:val="24"/>
          <w:szCs w:val="24"/>
        </w:rPr>
        <w:t xml:space="preserve">iznākuma rādītāju izpildi, vienlaikus </w:t>
      </w:r>
      <w:r w:rsidR="00AC5444">
        <w:rPr>
          <w:sz w:val="24"/>
          <w:szCs w:val="24"/>
        </w:rPr>
        <w:t xml:space="preserve">respektējot </w:t>
      </w:r>
      <w:r w:rsidRPr="002E7486">
        <w:rPr>
          <w:sz w:val="24"/>
          <w:szCs w:val="24"/>
        </w:rPr>
        <w:t>pēcdoktorant</w:t>
      </w:r>
      <w:r w:rsidR="00AC5444">
        <w:rPr>
          <w:sz w:val="24"/>
          <w:szCs w:val="24"/>
        </w:rPr>
        <w:t>u,</w:t>
      </w:r>
      <w:r w:rsidR="004D7E49">
        <w:rPr>
          <w:sz w:val="24"/>
          <w:szCs w:val="24"/>
        </w:rPr>
        <w:t xml:space="preserve"> zinātnisk</w:t>
      </w:r>
      <w:r w:rsidR="00AC5444">
        <w:rPr>
          <w:sz w:val="24"/>
          <w:szCs w:val="24"/>
        </w:rPr>
        <w:t>o</w:t>
      </w:r>
      <w:r w:rsidR="004D7E49">
        <w:rPr>
          <w:sz w:val="24"/>
          <w:szCs w:val="24"/>
        </w:rPr>
        <w:t xml:space="preserve"> institūcij</w:t>
      </w:r>
      <w:r w:rsidR="00AC5444">
        <w:rPr>
          <w:sz w:val="24"/>
          <w:szCs w:val="24"/>
        </w:rPr>
        <w:t xml:space="preserve">u un </w:t>
      </w:r>
      <w:r w:rsidR="004D7E49">
        <w:rPr>
          <w:sz w:val="24"/>
          <w:szCs w:val="24"/>
        </w:rPr>
        <w:t xml:space="preserve"> komersant</w:t>
      </w:r>
      <w:r w:rsidR="00AC5444">
        <w:rPr>
          <w:sz w:val="24"/>
          <w:szCs w:val="24"/>
        </w:rPr>
        <w:t>u</w:t>
      </w:r>
      <w:r>
        <w:rPr>
          <w:sz w:val="24"/>
          <w:szCs w:val="24"/>
        </w:rPr>
        <w:t xml:space="preserve"> </w:t>
      </w:r>
      <w:r w:rsidR="00AC5444">
        <w:rPr>
          <w:sz w:val="24"/>
          <w:szCs w:val="24"/>
        </w:rPr>
        <w:t xml:space="preserve">uzņemtās līgumsaistības </w:t>
      </w:r>
      <w:r>
        <w:rPr>
          <w:sz w:val="24"/>
          <w:szCs w:val="24"/>
        </w:rPr>
        <w:t>pirms pētniecības pieteikumu apstiprināšanas</w:t>
      </w:r>
      <w:r w:rsidRPr="002E7486">
        <w:rPr>
          <w:sz w:val="24"/>
          <w:szCs w:val="24"/>
        </w:rPr>
        <w:t xml:space="preserve">, </w:t>
      </w:r>
      <w:r w:rsidRPr="000B2756">
        <w:rPr>
          <w:sz w:val="24"/>
          <w:szCs w:val="24"/>
          <w:u w:val="single"/>
        </w:rPr>
        <w:t xml:space="preserve">plānots </w:t>
      </w:r>
      <w:r w:rsidR="004D7E49" w:rsidRPr="000B2756">
        <w:rPr>
          <w:sz w:val="24"/>
          <w:szCs w:val="24"/>
          <w:u w:val="single"/>
        </w:rPr>
        <w:t xml:space="preserve">noteikt, ka </w:t>
      </w:r>
      <w:r w:rsidR="000B2756">
        <w:rPr>
          <w:sz w:val="24"/>
          <w:szCs w:val="24"/>
          <w:u w:val="single"/>
        </w:rPr>
        <w:t>trešajā</w:t>
      </w:r>
      <w:r w:rsidR="00FB4496" w:rsidRPr="000B2756">
        <w:rPr>
          <w:sz w:val="24"/>
          <w:szCs w:val="24"/>
          <w:u w:val="single"/>
        </w:rPr>
        <w:t xml:space="preserve"> un </w:t>
      </w:r>
      <w:r w:rsidR="000B2756">
        <w:rPr>
          <w:sz w:val="24"/>
          <w:szCs w:val="24"/>
          <w:u w:val="single"/>
        </w:rPr>
        <w:t>turpmākajās</w:t>
      </w:r>
      <w:r w:rsidR="00FB4496" w:rsidRPr="000B2756">
        <w:rPr>
          <w:sz w:val="24"/>
          <w:szCs w:val="24"/>
          <w:u w:val="single"/>
        </w:rPr>
        <w:t xml:space="preserve"> atlases kārtās </w:t>
      </w:r>
      <w:r w:rsidR="004D7E49" w:rsidRPr="000B2756">
        <w:rPr>
          <w:sz w:val="24"/>
          <w:szCs w:val="24"/>
          <w:u w:val="single"/>
        </w:rPr>
        <w:t xml:space="preserve">sešu mēnešu laikā </w:t>
      </w:r>
      <w:r w:rsidRPr="000B2756">
        <w:rPr>
          <w:sz w:val="24"/>
          <w:szCs w:val="24"/>
          <w:u w:val="single"/>
        </w:rPr>
        <w:t xml:space="preserve">no pētniecības pieteikuma apstiprināšanas brīža </w:t>
      </w:r>
      <w:r w:rsidR="00796C8E" w:rsidRPr="000B2756">
        <w:rPr>
          <w:sz w:val="24"/>
          <w:szCs w:val="24"/>
          <w:u w:val="single"/>
        </w:rPr>
        <w:t>tiek uzsākta</w:t>
      </w:r>
      <w:r w:rsidRPr="000B2756">
        <w:rPr>
          <w:sz w:val="24"/>
          <w:szCs w:val="24"/>
          <w:u w:val="single"/>
        </w:rPr>
        <w:t xml:space="preserve"> p</w:t>
      </w:r>
      <w:r w:rsidR="007978A0" w:rsidRPr="000B2756">
        <w:rPr>
          <w:sz w:val="24"/>
          <w:szCs w:val="24"/>
          <w:u w:val="single"/>
        </w:rPr>
        <w:t>ētniecības pieteikuma ietvaros plānotā pētījuma</w:t>
      </w:r>
      <w:r w:rsidR="00796C8E" w:rsidRPr="000B2756">
        <w:rPr>
          <w:sz w:val="24"/>
          <w:szCs w:val="24"/>
          <w:u w:val="single"/>
        </w:rPr>
        <w:t xml:space="preserve"> īstenošan</w:t>
      </w:r>
      <w:r w:rsidRPr="000B2756">
        <w:rPr>
          <w:sz w:val="24"/>
          <w:szCs w:val="24"/>
          <w:u w:val="single"/>
        </w:rPr>
        <w:t>a</w:t>
      </w:r>
      <w:r w:rsidRPr="002E7486">
        <w:rPr>
          <w:sz w:val="24"/>
          <w:szCs w:val="24"/>
        </w:rPr>
        <w:t>.</w:t>
      </w:r>
    </w:p>
    <w:p w14:paraId="7226E44A" w14:textId="77777777" w:rsidR="00FF42FB" w:rsidRDefault="00FF42FB">
      <w:pPr>
        <w:rPr>
          <w:rFonts w:asciiTheme="majorHAnsi" w:eastAsiaTheme="majorEastAsia" w:hAnsiTheme="majorHAnsi" w:cstheme="majorBidi"/>
          <w:b/>
          <w:color w:val="323E4F" w:themeColor="text2" w:themeShade="BF"/>
          <w:sz w:val="28"/>
          <w:szCs w:val="28"/>
        </w:rPr>
      </w:pPr>
      <w:r>
        <w:rPr>
          <w:b/>
          <w:color w:val="323E4F" w:themeColor="text2" w:themeShade="BF"/>
          <w:sz w:val="28"/>
          <w:szCs w:val="28"/>
        </w:rPr>
        <w:br w:type="page"/>
      </w:r>
    </w:p>
    <w:p w14:paraId="5910D069" w14:textId="77777777" w:rsidR="006D2FC8" w:rsidRPr="006D2FC8" w:rsidRDefault="006D2FC8" w:rsidP="0024408B">
      <w:pPr>
        <w:pStyle w:val="Heading1"/>
        <w:numPr>
          <w:ilvl w:val="1"/>
          <w:numId w:val="3"/>
        </w:numPr>
        <w:spacing w:after="240" w:line="240" w:lineRule="auto"/>
        <w:ind w:left="1276" w:hanging="652"/>
        <w:jc w:val="both"/>
        <w:rPr>
          <w:b/>
          <w:color w:val="323E4F" w:themeColor="text2" w:themeShade="BF"/>
          <w:sz w:val="28"/>
          <w:szCs w:val="28"/>
        </w:rPr>
      </w:pPr>
      <w:bookmarkStart w:id="10" w:name="_Toc3218334"/>
      <w:r w:rsidRPr="006D2FC8">
        <w:rPr>
          <w:b/>
          <w:color w:val="323E4F" w:themeColor="text2" w:themeShade="BF"/>
          <w:sz w:val="28"/>
          <w:szCs w:val="28"/>
        </w:rPr>
        <w:lastRenderedPageBreak/>
        <w:t>Pētniecības pieteikumu ieguldījums RIS3 specializācijas jomu attīstībā</w:t>
      </w:r>
      <w:bookmarkEnd w:id="10"/>
    </w:p>
    <w:p w14:paraId="75182AC7" w14:textId="77777777" w:rsidR="00DE4136" w:rsidRDefault="00A11D7D" w:rsidP="0024408B">
      <w:pPr>
        <w:spacing w:before="120" w:after="120" w:line="240" w:lineRule="auto"/>
        <w:jc w:val="both"/>
        <w:rPr>
          <w:sz w:val="24"/>
          <w:szCs w:val="24"/>
        </w:rPr>
      </w:pPr>
      <w:r>
        <w:rPr>
          <w:sz w:val="24"/>
          <w:szCs w:val="24"/>
        </w:rPr>
        <w:t>Viens no Pēcdoktorantūras pētniecības programmas ieviešanas nosacījumiem paredz, ka programmas ietvaros īstenotajiem pētniecības pieteikumiem jāsniedz ieguldījums RIS3 mērķu sasniegšanā, izaugsmes prioritāšu īstenošanā vai viedās specializācijas jomu attīs</w:t>
      </w:r>
      <w:r w:rsidR="00D56AE4">
        <w:rPr>
          <w:sz w:val="24"/>
          <w:szCs w:val="24"/>
        </w:rPr>
        <w:t xml:space="preserve">tībā, tādējādi </w:t>
      </w:r>
      <w:r w:rsidR="00D56AE4" w:rsidRPr="00D56AE4">
        <w:rPr>
          <w:sz w:val="24"/>
          <w:szCs w:val="24"/>
        </w:rPr>
        <w:t>veicinot Latvijas tautsaimniecības inovācijas kapacitātes stiprināšanu</w:t>
      </w:r>
      <w:r w:rsidR="00D56AE4">
        <w:rPr>
          <w:sz w:val="24"/>
          <w:szCs w:val="24"/>
        </w:rPr>
        <w:t>.</w:t>
      </w:r>
      <w:r w:rsidR="00D56AE4" w:rsidRPr="008D3B9D">
        <w:rPr>
          <w:rFonts w:ascii="Candara" w:eastAsia="SimSun" w:hAnsi="Candara" w:cs="Times New Roman"/>
          <w:szCs w:val="24"/>
          <w:lang w:eastAsia="zh-CN" w:bidi="lo-LA"/>
        </w:rPr>
        <w:t xml:space="preserve"> </w:t>
      </w:r>
    </w:p>
    <w:p w14:paraId="3B2DFDF1" w14:textId="77777777" w:rsidR="002B0F1B" w:rsidRDefault="007904D6" w:rsidP="0024408B">
      <w:pPr>
        <w:spacing w:before="120" w:after="120" w:line="240" w:lineRule="auto"/>
        <w:jc w:val="both"/>
        <w:rPr>
          <w:sz w:val="24"/>
          <w:szCs w:val="24"/>
        </w:rPr>
      </w:pPr>
      <w:r>
        <w:rPr>
          <w:sz w:val="24"/>
          <w:szCs w:val="24"/>
        </w:rPr>
        <w:t>Kopumā Pēcdoktorantūras pētniecības programmas ietvaros tika saņemti 386 pētniecības pieteikumi, no kuriem visaktīvākās ir bijušas zinātniskās institūcijas, kuras darbojas tādās RIS3 specializācijas jomās kā „</w:t>
      </w:r>
      <w:r w:rsidRPr="00D65CC0">
        <w:rPr>
          <w:sz w:val="24"/>
          <w:szCs w:val="24"/>
        </w:rPr>
        <w:t xml:space="preserve">Viedie materiāli, tehnoloģijas un </w:t>
      </w:r>
      <w:r>
        <w:rPr>
          <w:sz w:val="24"/>
          <w:szCs w:val="24"/>
        </w:rPr>
        <w:t>inženiersistēmas”</w:t>
      </w:r>
      <w:r w:rsidR="00194266">
        <w:rPr>
          <w:sz w:val="24"/>
          <w:szCs w:val="24"/>
        </w:rPr>
        <w:t xml:space="preserve"> un</w:t>
      </w:r>
      <w:r>
        <w:rPr>
          <w:sz w:val="24"/>
          <w:szCs w:val="24"/>
        </w:rPr>
        <w:t xml:space="preserve"> „</w:t>
      </w:r>
      <w:r w:rsidRPr="00D65CC0">
        <w:rPr>
          <w:sz w:val="24"/>
          <w:szCs w:val="24"/>
        </w:rPr>
        <w:t>Biomedicīna, medicīnas tehnoloģijas, biofarmācija un biotehnoloģijas</w:t>
      </w:r>
      <w:r>
        <w:rPr>
          <w:sz w:val="24"/>
          <w:szCs w:val="24"/>
        </w:rPr>
        <w:t>”, kā arī salīdzinoš</w:t>
      </w:r>
      <w:r w:rsidR="00A468CC">
        <w:rPr>
          <w:sz w:val="24"/>
          <w:szCs w:val="24"/>
        </w:rPr>
        <w:t>i</w:t>
      </w:r>
      <w:r>
        <w:rPr>
          <w:sz w:val="24"/>
          <w:szCs w:val="24"/>
        </w:rPr>
        <w:t xml:space="preserve"> </w:t>
      </w:r>
      <w:r w:rsidR="00A468CC">
        <w:rPr>
          <w:sz w:val="24"/>
          <w:szCs w:val="24"/>
        </w:rPr>
        <w:t>lielu skaitu pētniecības pieteikumu iesniedza</w:t>
      </w:r>
      <w:r>
        <w:rPr>
          <w:sz w:val="24"/>
          <w:szCs w:val="24"/>
        </w:rPr>
        <w:t xml:space="preserve"> zinātniskās institūcijas, kas sadarbībā ar p</w:t>
      </w:r>
      <w:r w:rsidR="00A468CC">
        <w:rPr>
          <w:sz w:val="24"/>
          <w:szCs w:val="24"/>
        </w:rPr>
        <w:t>ēcdoktorantu,</w:t>
      </w:r>
      <w:r>
        <w:rPr>
          <w:sz w:val="24"/>
          <w:szCs w:val="24"/>
        </w:rPr>
        <w:t xml:space="preserve"> paredzēja </w:t>
      </w:r>
      <w:r w:rsidR="00A468CC">
        <w:rPr>
          <w:sz w:val="24"/>
          <w:szCs w:val="24"/>
        </w:rPr>
        <w:t xml:space="preserve">veikt </w:t>
      </w:r>
      <w:r>
        <w:rPr>
          <w:sz w:val="24"/>
          <w:szCs w:val="24"/>
        </w:rPr>
        <w:t xml:space="preserve">pētījumus sociālo un humanitāro zinātņu jomās. </w:t>
      </w:r>
      <w:r w:rsidR="002B0F1B">
        <w:rPr>
          <w:sz w:val="24"/>
          <w:szCs w:val="24"/>
        </w:rPr>
        <w:t xml:space="preserve">Attiecīgi, pētniecības pieteikumu vērtēšanas procesam noslēdzoties, tas </w:t>
      </w:r>
      <w:r w:rsidR="00593813">
        <w:rPr>
          <w:sz w:val="24"/>
          <w:szCs w:val="24"/>
        </w:rPr>
        <w:t xml:space="preserve">tostarp </w:t>
      </w:r>
      <w:r w:rsidR="002B0F1B">
        <w:rPr>
          <w:sz w:val="24"/>
          <w:szCs w:val="24"/>
        </w:rPr>
        <w:t>rezultējas ar to, ka šajās RIS3 specializācijas jomās tiek apstiprināts un īstenošanai virzīts lielāks skaits pētniecības pieteikumu</w:t>
      </w:r>
      <w:r w:rsidR="00593813">
        <w:rPr>
          <w:sz w:val="24"/>
          <w:szCs w:val="24"/>
        </w:rPr>
        <w:t xml:space="preserve"> kā piemēram, tajās RIS3 specializācijas jomās, kas iesniegušas ievērojami mazāku skaitu pētniecības pieteikumu (attēls Nr. </w:t>
      </w:r>
      <w:r w:rsidR="00F47604">
        <w:rPr>
          <w:sz w:val="24"/>
          <w:szCs w:val="24"/>
        </w:rPr>
        <w:t>5</w:t>
      </w:r>
      <w:r w:rsidR="00593813">
        <w:rPr>
          <w:sz w:val="24"/>
          <w:szCs w:val="24"/>
        </w:rPr>
        <w:t>).</w:t>
      </w:r>
    </w:p>
    <w:p w14:paraId="6E73E4E2" w14:textId="77777777" w:rsidR="007904D6" w:rsidRPr="00593813" w:rsidRDefault="007904D6" w:rsidP="0024408B">
      <w:pPr>
        <w:spacing w:after="0" w:line="240" w:lineRule="auto"/>
        <w:jc w:val="right"/>
        <w:rPr>
          <w:b/>
          <w:sz w:val="18"/>
          <w:szCs w:val="18"/>
        </w:rPr>
      </w:pPr>
      <w:r w:rsidRPr="00593813">
        <w:rPr>
          <w:b/>
          <w:sz w:val="18"/>
          <w:szCs w:val="18"/>
        </w:rPr>
        <w:t xml:space="preserve">Attēls Nr. </w:t>
      </w:r>
      <w:r w:rsidR="00F47604">
        <w:rPr>
          <w:b/>
          <w:sz w:val="18"/>
          <w:szCs w:val="18"/>
        </w:rPr>
        <w:t>5</w:t>
      </w:r>
    </w:p>
    <w:p w14:paraId="5B73C30C" w14:textId="3CBFC905" w:rsidR="00494964" w:rsidRDefault="00A468CC" w:rsidP="00494964">
      <w:pPr>
        <w:spacing w:after="0" w:line="240" w:lineRule="auto"/>
        <w:jc w:val="right"/>
        <w:rPr>
          <w:b/>
          <w:sz w:val="18"/>
          <w:szCs w:val="18"/>
        </w:rPr>
      </w:pPr>
      <w:r w:rsidRPr="00593813">
        <w:rPr>
          <w:b/>
          <w:sz w:val="18"/>
          <w:szCs w:val="18"/>
        </w:rPr>
        <w:t>„</w:t>
      </w:r>
      <w:r w:rsidR="00494964">
        <w:rPr>
          <w:b/>
          <w:sz w:val="18"/>
          <w:szCs w:val="18"/>
        </w:rPr>
        <w:t>Pēcdoktorantūras pētniecības programmas 1. un 2. atlases kārtas ietvaros i</w:t>
      </w:r>
      <w:r w:rsidRPr="00593813">
        <w:rPr>
          <w:b/>
          <w:sz w:val="18"/>
          <w:szCs w:val="18"/>
        </w:rPr>
        <w:t xml:space="preserve">esniegto un </w:t>
      </w:r>
    </w:p>
    <w:p w14:paraId="529660FA" w14:textId="248FA181" w:rsidR="00A468CC" w:rsidRPr="00593813" w:rsidRDefault="00A468CC" w:rsidP="00494964">
      <w:pPr>
        <w:spacing w:after="0" w:line="240" w:lineRule="auto"/>
        <w:jc w:val="right"/>
        <w:rPr>
          <w:b/>
          <w:sz w:val="18"/>
          <w:szCs w:val="18"/>
        </w:rPr>
      </w:pPr>
      <w:r w:rsidRPr="00593813">
        <w:rPr>
          <w:b/>
          <w:sz w:val="18"/>
          <w:szCs w:val="18"/>
        </w:rPr>
        <w:t>apstiprināto pētniecības pieteikumu dalījums pa RIS3 specializācijas jomām”</w:t>
      </w:r>
    </w:p>
    <w:p w14:paraId="6E134988" w14:textId="77777777" w:rsidR="002B0F1B" w:rsidRDefault="007904D6" w:rsidP="0024408B">
      <w:pPr>
        <w:spacing w:before="120" w:after="120" w:line="240" w:lineRule="auto"/>
        <w:jc w:val="center"/>
        <w:rPr>
          <w:sz w:val="24"/>
          <w:szCs w:val="24"/>
        </w:rPr>
      </w:pPr>
      <w:r>
        <w:rPr>
          <w:noProof/>
          <w:lang w:val="en-US"/>
        </w:rPr>
        <w:drawing>
          <wp:inline distT="0" distB="0" distL="0" distR="0" wp14:anchorId="504AD380" wp14:editId="61A0C418">
            <wp:extent cx="5676405" cy="2026285"/>
            <wp:effectExtent l="0" t="0" r="635"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F8EA21" w14:textId="77777777" w:rsidR="00194266" w:rsidRDefault="00D74FDA" w:rsidP="0024408B">
      <w:pPr>
        <w:spacing w:before="120" w:after="120" w:line="240" w:lineRule="auto"/>
        <w:jc w:val="both"/>
        <w:rPr>
          <w:sz w:val="24"/>
          <w:szCs w:val="24"/>
        </w:rPr>
      </w:pPr>
      <w:r>
        <w:rPr>
          <w:sz w:val="24"/>
          <w:szCs w:val="24"/>
        </w:rPr>
        <w:t>A</w:t>
      </w:r>
      <w:r w:rsidR="00593813">
        <w:rPr>
          <w:sz w:val="24"/>
          <w:szCs w:val="24"/>
        </w:rPr>
        <w:t>nalizējot</w:t>
      </w:r>
      <w:r w:rsidR="00194266">
        <w:rPr>
          <w:sz w:val="24"/>
          <w:szCs w:val="24"/>
        </w:rPr>
        <w:t xml:space="preserve"> Pēcdoktorantūras pētniecības programmas ietvaros apstiprinātos pētniec</w:t>
      </w:r>
      <w:r w:rsidR="00510BAB">
        <w:rPr>
          <w:sz w:val="24"/>
          <w:szCs w:val="24"/>
        </w:rPr>
        <w:t xml:space="preserve">ības pieteikumus attiecībā pret iesniegtajiem, konstatējams, ka vislielākais sekmības rādītājs tiek demonstrēts </w:t>
      </w:r>
      <w:r w:rsidR="002B0F1B">
        <w:rPr>
          <w:sz w:val="24"/>
          <w:szCs w:val="24"/>
        </w:rPr>
        <w:t>pētniecības pieteikumiem, kuru ietvaros īstenotais pētījums sniedz ieguldījumu „Informācijas un komunikāciju tehnoloģijas” (63 % sekmība), „</w:t>
      </w:r>
      <w:r w:rsidR="002B0F1B" w:rsidRPr="00D65CC0">
        <w:rPr>
          <w:sz w:val="24"/>
          <w:szCs w:val="24"/>
        </w:rPr>
        <w:t xml:space="preserve">Viedie materiāli, tehnoloģijas un </w:t>
      </w:r>
      <w:r w:rsidR="002B0F1B">
        <w:rPr>
          <w:sz w:val="24"/>
          <w:szCs w:val="24"/>
        </w:rPr>
        <w:t>inženiersistēmas” (54 % sekmība) un „</w:t>
      </w:r>
      <w:r w:rsidR="002B0F1B" w:rsidRPr="00D65CC0">
        <w:rPr>
          <w:sz w:val="24"/>
          <w:szCs w:val="24"/>
        </w:rPr>
        <w:t>Biomedicīna, medicīnas tehnoloģijas, biofarmācija un biotehnoloģijas</w:t>
      </w:r>
      <w:r w:rsidR="002B0F1B">
        <w:rPr>
          <w:sz w:val="24"/>
          <w:szCs w:val="24"/>
        </w:rPr>
        <w:t>” (53 % sekmība).</w:t>
      </w:r>
    </w:p>
    <w:p w14:paraId="0C3ADA6B" w14:textId="77777777" w:rsidR="00592552" w:rsidRDefault="00F53107" w:rsidP="0024408B">
      <w:pPr>
        <w:spacing w:before="120" w:after="120" w:line="240" w:lineRule="auto"/>
        <w:jc w:val="both"/>
        <w:rPr>
          <w:sz w:val="24"/>
          <w:szCs w:val="24"/>
        </w:rPr>
      </w:pPr>
      <w:r>
        <w:rPr>
          <w:sz w:val="24"/>
          <w:szCs w:val="24"/>
        </w:rPr>
        <w:t xml:space="preserve">Pēcdoktorantūras pētniecības programmas 1. un 2. atlases kārtas ietvaros visapjomīgākās investīcijas 7,16 milj. </w:t>
      </w:r>
      <w:r w:rsidRPr="00004D12">
        <w:rPr>
          <w:i/>
          <w:sz w:val="24"/>
          <w:szCs w:val="24"/>
        </w:rPr>
        <w:t>euro</w:t>
      </w:r>
      <w:r>
        <w:rPr>
          <w:sz w:val="24"/>
          <w:szCs w:val="24"/>
        </w:rPr>
        <w:t xml:space="preserve"> apmērā tiks novirzītas 54 pēcdoktorantu pētījumu īstenošanai RIS3 specializācijas jomā „</w:t>
      </w:r>
      <w:r w:rsidRPr="00D65CC0">
        <w:rPr>
          <w:sz w:val="24"/>
          <w:szCs w:val="24"/>
        </w:rPr>
        <w:t xml:space="preserve">Viedie materiāli, tehnoloģijas un </w:t>
      </w:r>
      <w:r>
        <w:rPr>
          <w:sz w:val="24"/>
          <w:szCs w:val="24"/>
        </w:rPr>
        <w:t xml:space="preserve">inženiersistēmas” un 6,13 milj. </w:t>
      </w:r>
      <w:r w:rsidRPr="00927C9A">
        <w:rPr>
          <w:i/>
          <w:sz w:val="24"/>
          <w:szCs w:val="24"/>
        </w:rPr>
        <w:t>euro</w:t>
      </w:r>
      <w:r>
        <w:rPr>
          <w:sz w:val="24"/>
          <w:szCs w:val="24"/>
        </w:rPr>
        <w:t xml:space="preserve"> tiks piešķirti 46 pēcdoktorantu īstenotiem pētījumiem, kas sniegs ieguldījumu RIS3 specializācijas jomas „</w:t>
      </w:r>
      <w:r w:rsidRPr="00D65CC0">
        <w:rPr>
          <w:sz w:val="24"/>
          <w:szCs w:val="24"/>
        </w:rPr>
        <w:t>Biomedicīna, medicīnas tehnoloģijas, biofarmācija un biotehnoloģijas</w:t>
      </w:r>
      <w:r>
        <w:rPr>
          <w:sz w:val="24"/>
          <w:szCs w:val="24"/>
        </w:rPr>
        <w:t xml:space="preserve">” attīstībā. Ievērojami mazākas investīcijas plānotas tādu pētniecības pieteikumu īstenošanai, kas sniedz ieguldījumu RIS3 specializācijas jomas  „Viedā enerģētika” attīstībā, novirzot vien 7 % jeb 1,87 milj. </w:t>
      </w:r>
      <w:r w:rsidRPr="00927C9A">
        <w:rPr>
          <w:i/>
          <w:sz w:val="24"/>
          <w:szCs w:val="24"/>
        </w:rPr>
        <w:t>euro</w:t>
      </w:r>
      <w:r w:rsidR="00481597">
        <w:rPr>
          <w:i/>
          <w:sz w:val="24"/>
          <w:szCs w:val="24"/>
        </w:rPr>
        <w:t xml:space="preserve"> </w:t>
      </w:r>
      <w:r w:rsidR="00481597">
        <w:rPr>
          <w:sz w:val="24"/>
          <w:szCs w:val="24"/>
        </w:rPr>
        <w:t>(attēls Nr. 6)</w:t>
      </w:r>
      <w:r>
        <w:rPr>
          <w:sz w:val="24"/>
          <w:szCs w:val="24"/>
        </w:rPr>
        <w:t xml:space="preserve">. </w:t>
      </w:r>
    </w:p>
    <w:p w14:paraId="48D9FA09" w14:textId="77777777" w:rsidR="00A00CD4" w:rsidRDefault="00A00CD4" w:rsidP="0024408B">
      <w:pPr>
        <w:spacing w:before="120" w:after="0" w:line="240" w:lineRule="auto"/>
        <w:jc w:val="right"/>
        <w:rPr>
          <w:b/>
          <w:sz w:val="18"/>
          <w:szCs w:val="18"/>
        </w:rPr>
      </w:pPr>
    </w:p>
    <w:p w14:paraId="26804B0C" w14:textId="77777777" w:rsidR="00A00CD4" w:rsidRDefault="00A00CD4" w:rsidP="00905188">
      <w:pPr>
        <w:spacing w:before="120" w:after="0" w:line="240" w:lineRule="auto"/>
        <w:rPr>
          <w:b/>
          <w:sz w:val="18"/>
          <w:szCs w:val="18"/>
        </w:rPr>
      </w:pPr>
    </w:p>
    <w:p w14:paraId="79DCB210" w14:textId="77777777" w:rsidR="00A92984" w:rsidRDefault="00A92984" w:rsidP="00905188">
      <w:pPr>
        <w:spacing w:before="120" w:after="0" w:line="240" w:lineRule="auto"/>
        <w:rPr>
          <w:b/>
          <w:sz w:val="18"/>
          <w:szCs w:val="18"/>
        </w:rPr>
      </w:pPr>
    </w:p>
    <w:p w14:paraId="22CBD1CB" w14:textId="77777777" w:rsidR="001778BE" w:rsidRPr="00593813" w:rsidRDefault="007904D6" w:rsidP="0024408B">
      <w:pPr>
        <w:spacing w:before="120" w:after="0" w:line="240" w:lineRule="auto"/>
        <w:jc w:val="right"/>
        <w:rPr>
          <w:b/>
          <w:sz w:val="18"/>
          <w:szCs w:val="18"/>
        </w:rPr>
      </w:pPr>
      <w:r w:rsidRPr="00593813">
        <w:rPr>
          <w:b/>
          <w:sz w:val="18"/>
          <w:szCs w:val="18"/>
        </w:rPr>
        <w:lastRenderedPageBreak/>
        <w:t>Attēls Nr. </w:t>
      </w:r>
      <w:r w:rsidR="00F47604">
        <w:rPr>
          <w:b/>
          <w:sz w:val="18"/>
          <w:szCs w:val="18"/>
        </w:rPr>
        <w:t>6</w:t>
      </w:r>
    </w:p>
    <w:p w14:paraId="003C28B3" w14:textId="5DD6E849" w:rsidR="001778BE" w:rsidRDefault="00A92984" w:rsidP="0024408B">
      <w:pPr>
        <w:spacing w:after="0" w:line="240" w:lineRule="auto"/>
        <w:jc w:val="right"/>
        <w:rPr>
          <w:b/>
          <w:sz w:val="18"/>
          <w:szCs w:val="18"/>
        </w:rPr>
      </w:pPr>
      <w:r>
        <w:rPr>
          <w:b/>
          <w:sz w:val="18"/>
          <w:szCs w:val="18"/>
        </w:rPr>
        <w:t>„</w:t>
      </w:r>
      <w:r w:rsidR="001778BE" w:rsidRPr="00593813">
        <w:rPr>
          <w:b/>
          <w:sz w:val="18"/>
          <w:szCs w:val="18"/>
        </w:rPr>
        <w:t>Pēcdoktorantūras pētniecības programmas 1. atlases kārtas ietvaros īstenoto un</w:t>
      </w:r>
      <w:r w:rsidR="001778BE">
        <w:rPr>
          <w:b/>
          <w:sz w:val="18"/>
          <w:szCs w:val="18"/>
        </w:rPr>
        <w:t xml:space="preserve"> </w:t>
      </w:r>
    </w:p>
    <w:p w14:paraId="1EF2073D" w14:textId="00EE20E5" w:rsidR="001778BE" w:rsidRPr="00C36B64" w:rsidRDefault="001778BE" w:rsidP="0024408B">
      <w:pPr>
        <w:spacing w:after="0" w:line="240" w:lineRule="auto"/>
        <w:jc w:val="right"/>
        <w:rPr>
          <w:b/>
          <w:sz w:val="18"/>
          <w:szCs w:val="18"/>
        </w:rPr>
      </w:pPr>
      <w:r>
        <w:rPr>
          <w:b/>
          <w:sz w:val="18"/>
          <w:szCs w:val="18"/>
        </w:rPr>
        <w:t>2. atlases kārtas ietvaros apstiprināto pētniecības pieteikumu investīcijas RIS3 jomu attīstībai</w:t>
      </w:r>
      <w:r w:rsidR="00A92984">
        <w:rPr>
          <w:b/>
          <w:sz w:val="18"/>
          <w:szCs w:val="18"/>
        </w:rPr>
        <w:t>”</w:t>
      </w:r>
      <w:r w:rsidRPr="00C36B64">
        <w:rPr>
          <w:b/>
          <w:sz w:val="18"/>
          <w:szCs w:val="18"/>
        </w:rPr>
        <w:t xml:space="preserve"> </w:t>
      </w:r>
    </w:p>
    <w:p w14:paraId="460C6915" w14:textId="77777777" w:rsidR="00DE4136" w:rsidRDefault="001778BE" w:rsidP="0024408B">
      <w:pPr>
        <w:spacing w:before="240" w:after="0" w:line="240" w:lineRule="auto"/>
        <w:jc w:val="center"/>
        <w:rPr>
          <w:sz w:val="24"/>
          <w:szCs w:val="24"/>
        </w:rPr>
      </w:pPr>
      <w:r>
        <w:rPr>
          <w:noProof/>
          <w:lang w:val="en-US"/>
        </w:rPr>
        <w:drawing>
          <wp:inline distT="0" distB="0" distL="0" distR="0" wp14:anchorId="6F8FAA74" wp14:editId="758B06E5">
            <wp:extent cx="4315460" cy="1894637"/>
            <wp:effectExtent l="0" t="0" r="889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5281C26" w14:textId="77777777" w:rsidR="00972D4A" w:rsidRDefault="00E55C3B" w:rsidP="0024408B">
      <w:pPr>
        <w:tabs>
          <w:tab w:val="left" w:pos="851"/>
          <w:tab w:val="left" w:pos="8080"/>
          <w:tab w:val="left" w:pos="8222"/>
        </w:tabs>
        <w:spacing w:before="120" w:after="0" w:line="240" w:lineRule="auto"/>
        <w:jc w:val="both"/>
        <w:rPr>
          <w:sz w:val="24"/>
          <w:szCs w:val="24"/>
        </w:rPr>
      </w:pPr>
      <w:r>
        <w:rPr>
          <w:sz w:val="24"/>
          <w:szCs w:val="24"/>
        </w:rPr>
        <w:t>Aplūkojot</w:t>
      </w:r>
      <w:r w:rsidR="00545F89">
        <w:rPr>
          <w:sz w:val="24"/>
          <w:szCs w:val="24"/>
        </w:rPr>
        <w:t xml:space="preserve"> </w:t>
      </w:r>
      <w:r w:rsidR="00972D4A">
        <w:rPr>
          <w:sz w:val="24"/>
          <w:szCs w:val="24"/>
        </w:rPr>
        <w:t>Pēcdoktorantūras pētniecības programmas</w:t>
      </w:r>
      <w:r w:rsidR="00F53107">
        <w:rPr>
          <w:sz w:val="24"/>
          <w:szCs w:val="24"/>
        </w:rPr>
        <w:t xml:space="preserve"> 1. un 2. atlases kārtas </w:t>
      </w:r>
      <w:r w:rsidR="00972D4A" w:rsidRPr="00044D3A">
        <w:rPr>
          <w:sz w:val="24"/>
          <w:szCs w:val="24"/>
        </w:rPr>
        <w:t>ietvaros</w:t>
      </w:r>
      <w:r w:rsidR="00972D4A">
        <w:rPr>
          <w:sz w:val="24"/>
          <w:szCs w:val="24"/>
        </w:rPr>
        <w:t xml:space="preserve"> apstiprināto pētniecības pieteikumu dalījumu pa RIS3 specializācijas jomām atbilstoši plānotajam pētniecības pieteikuma veidam, konstatējams, ka 77,5 % no pieejamā finansējuma tiks novirzīti ar saimniecisko darbību nesaistītu rūpniecisko pētījumu īstenošanai, savukārt tikai  0,8 % jeb 0,2 milj. </w:t>
      </w:r>
      <w:r w:rsidR="00972D4A" w:rsidRPr="009F1706">
        <w:rPr>
          <w:i/>
          <w:sz w:val="24"/>
          <w:szCs w:val="24"/>
        </w:rPr>
        <w:t>euro</w:t>
      </w:r>
      <w:r w:rsidR="00972D4A">
        <w:rPr>
          <w:sz w:val="24"/>
          <w:szCs w:val="24"/>
        </w:rPr>
        <w:t xml:space="preserve"> tiks piešķirti diviem ar saimniecisko darbību saistītiem pētniecības pieteikumiem, kas attiecīgi sniegts ieguldījumu tādu RIS3 specializācijas jomu attīstībā kā „</w:t>
      </w:r>
      <w:r w:rsidR="00972D4A" w:rsidRPr="009F1706">
        <w:rPr>
          <w:sz w:val="24"/>
          <w:szCs w:val="24"/>
        </w:rPr>
        <w:t>Informācijas un komunikāciju tehnoloģijas</w:t>
      </w:r>
      <w:r w:rsidR="00972D4A">
        <w:rPr>
          <w:sz w:val="24"/>
          <w:szCs w:val="24"/>
        </w:rPr>
        <w:t>” un „</w:t>
      </w:r>
      <w:r w:rsidR="00972D4A" w:rsidRPr="009F1706">
        <w:rPr>
          <w:sz w:val="24"/>
          <w:szCs w:val="24"/>
        </w:rPr>
        <w:t>Zināšanu ietilpīga bioekonomika</w:t>
      </w:r>
      <w:r w:rsidR="00972D4A">
        <w:rPr>
          <w:sz w:val="24"/>
          <w:szCs w:val="24"/>
        </w:rPr>
        <w:t>” (tabula Nr.</w:t>
      </w:r>
      <w:r w:rsidR="00BD6217">
        <w:rPr>
          <w:sz w:val="24"/>
          <w:szCs w:val="24"/>
        </w:rPr>
        <w:t> </w:t>
      </w:r>
      <w:r w:rsidR="00D56AE4">
        <w:rPr>
          <w:sz w:val="24"/>
          <w:szCs w:val="24"/>
        </w:rPr>
        <w:t>2</w:t>
      </w:r>
      <w:r w:rsidR="00972D4A">
        <w:rPr>
          <w:sz w:val="24"/>
          <w:szCs w:val="24"/>
        </w:rPr>
        <w:t>).</w:t>
      </w:r>
    </w:p>
    <w:p w14:paraId="4ECCCF9F" w14:textId="77777777" w:rsidR="00972D4A" w:rsidRPr="00690F67" w:rsidRDefault="00972D4A" w:rsidP="0024408B">
      <w:pPr>
        <w:spacing w:after="0" w:line="240" w:lineRule="auto"/>
        <w:jc w:val="right"/>
        <w:rPr>
          <w:b/>
          <w:sz w:val="20"/>
          <w:szCs w:val="20"/>
        </w:rPr>
      </w:pPr>
      <w:r w:rsidRPr="00690F67">
        <w:rPr>
          <w:b/>
          <w:sz w:val="20"/>
          <w:szCs w:val="20"/>
        </w:rPr>
        <w:t>Tabula Nr.</w:t>
      </w:r>
      <w:r w:rsidR="00D56AE4">
        <w:rPr>
          <w:b/>
          <w:sz w:val="20"/>
          <w:szCs w:val="20"/>
        </w:rPr>
        <w:t>2</w:t>
      </w:r>
    </w:p>
    <w:p w14:paraId="2245DD3B" w14:textId="77777777" w:rsidR="00972D4A" w:rsidRPr="003653F2" w:rsidRDefault="00972D4A" w:rsidP="0024408B">
      <w:pPr>
        <w:spacing w:after="0" w:line="240" w:lineRule="auto"/>
        <w:jc w:val="right"/>
        <w:rPr>
          <w:b/>
          <w:sz w:val="20"/>
          <w:szCs w:val="20"/>
        </w:rPr>
      </w:pPr>
      <w:r w:rsidRPr="00690F67">
        <w:rPr>
          <w:b/>
          <w:sz w:val="20"/>
          <w:szCs w:val="20"/>
        </w:rPr>
        <w:t xml:space="preserve"> „</w:t>
      </w:r>
      <w:r>
        <w:rPr>
          <w:b/>
          <w:sz w:val="20"/>
          <w:szCs w:val="20"/>
        </w:rPr>
        <w:t>Pētniecības pieteikumu veids un ieguldījums RIS3”</w:t>
      </w:r>
    </w:p>
    <w:tbl>
      <w:tblPr>
        <w:tblStyle w:val="TableGrid"/>
        <w:tblW w:w="0" w:type="auto"/>
        <w:jc w:val="center"/>
        <w:tblLayout w:type="fixed"/>
        <w:tblLook w:val="04A0" w:firstRow="1" w:lastRow="0" w:firstColumn="1" w:lastColumn="0" w:noHBand="0" w:noVBand="1"/>
      </w:tblPr>
      <w:tblGrid>
        <w:gridCol w:w="2689"/>
        <w:gridCol w:w="1701"/>
        <w:gridCol w:w="1559"/>
        <w:gridCol w:w="1559"/>
      </w:tblGrid>
      <w:tr w:rsidR="00972D4A" w14:paraId="5EB8C6D1" w14:textId="77777777" w:rsidTr="00013709">
        <w:trPr>
          <w:trHeight w:val="342"/>
          <w:jc w:val="center"/>
        </w:trPr>
        <w:tc>
          <w:tcPr>
            <w:tcW w:w="2689" w:type="dxa"/>
            <w:vMerge w:val="restart"/>
            <w:shd w:val="clear" w:color="auto" w:fill="D9D9D9" w:themeFill="background1" w:themeFillShade="D9"/>
            <w:vAlign w:val="center"/>
          </w:tcPr>
          <w:p w14:paraId="6D44EB6F" w14:textId="77777777" w:rsidR="00972D4A" w:rsidRPr="004109E1" w:rsidRDefault="00972D4A" w:rsidP="0024408B">
            <w:pPr>
              <w:tabs>
                <w:tab w:val="left" w:pos="851"/>
                <w:tab w:val="left" w:pos="8080"/>
                <w:tab w:val="left" w:pos="8222"/>
              </w:tabs>
              <w:jc w:val="center"/>
              <w:rPr>
                <w:b/>
                <w:sz w:val="20"/>
                <w:szCs w:val="20"/>
              </w:rPr>
            </w:pPr>
            <w:r w:rsidRPr="004109E1">
              <w:rPr>
                <w:b/>
                <w:sz w:val="20"/>
                <w:szCs w:val="20"/>
              </w:rPr>
              <w:t>RIS3 specializācijas joma</w:t>
            </w:r>
          </w:p>
        </w:tc>
        <w:tc>
          <w:tcPr>
            <w:tcW w:w="3260" w:type="dxa"/>
            <w:gridSpan w:val="2"/>
            <w:shd w:val="clear" w:color="auto" w:fill="D9D9D9" w:themeFill="background1" w:themeFillShade="D9"/>
            <w:vAlign w:val="center"/>
          </w:tcPr>
          <w:p w14:paraId="0808FAB6" w14:textId="77777777" w:rsidR="00972D4A" w:rsidRPr="004109E1" w:rsidRDefault="00972D4A" w:rsidP="0024408B">
            <w:pPr>
              <w:tabs>
                <w:tab w:val="left" w:pos="851"/>
                <w:tab w:val="left" w:pos="8080"/>
                <w:tab w:val="left" w:pos="8222"/>
              </w:tabs>
              <w:jc w:val="center"/>
              <w:rPr>
                <w:b/>
                <w:sz w:val="20"/>
                <w:szCs w:val="20"/>
              </w:rPr>
            </w:pPr>
            <w:r w:rsidRPr="004109E1">
              <w:rPr>
                <w:b/>
                <w:sz w:val="20"/>
                <w:szCs w:val="20"/>
              </w:rPr>
              <w:t>Ar saimniecisko darbību nesaistīts</w:t>
            </w:r>
          </w:p>
        </w:tc>
        <w:tc>
          <w:tcPr>
            <w:tcW w:w="1559" w:type="dxa"/>
            <w:vMerge w:val="restart"/>
            <w:shd w:val="clear" w:color="auto" w:fill="D9D9D9" w:themeFill="background1" w:themeFillShade="D9"/>
            <w:vAlign w:val="center"/>
          </w:tcPr>
          <w:p w14:paraId="5B86D57B" w14:textId="77777777" w:rsidR="00972D4A" w:rsidRPr="004109E1" w:rsidRDefault="00972D4A" w:rsidP="0024408B">
            <w:pPr>
              <w:tabs>
                <w:tab w:val="left" w:pos="851"/>
                <w:tab w:val="left" w:pos="8080"/>
                <w:tab w:val="left" w:pos="8222"/>
              </w:tabs>
              <w:jc w:val="center"/>
              <w:rPr>
                <w:b/>
                <w:sz w:val="20"/>
                <w:szCs w:val="20"/>
              </w:rPr>
            </w:pPr>
            <w:r>
              <w:rPr>
                <w:b/>
                <w:sz w:val="20"/>
                <w:szCs w:val="20"/>
              </w:rPr>
              <w:t>Ar saimniecisko darbību saistītu</w:t>
            </w:r>
            <w:r w:rsidRPr="004109E1">
              <w:rPr>
                <w:b/>
                <w:sz w:val="20"/>
                <w:szCs w:val="20"/>
              </w:rPr>
              <w:t xml:space="preserve"> </w:t>
            </w:r>
            <w:r>
              <w:rPr>
                <w:b/>
                <w:sz w:val="20"/>
                <w:szCs w:val="20"/>
              </w:rPr>
              <w:t xml:space="preserve">pieteikumu skaits </w:t>
            </w:r>
          </w:p>
        </w:tc>
      </w:tr>
      <w:tr w:rsidR="00972D4A" w14:paraId="7E137EA0" w14:textId="77777777" w:rsidTr="00013709">
        <w:trPr>
          <w:jc w:val="center"/>
        </w:trPr>
        <w:tc>
          <w:tcPr>
            <w:tcW w:w="2689" w:type="dxa"/>
            <w:vMerge/>
            <w:vAlign w:val="center"/>
          </w:tcPr>
          <w:p w14:paraId="71B038C8" w14:textId="77777777" w:rsidR="00972D4A" w:rsidRPr="004109E1" w:rsidRDefault="00972D4A" w:rsidP="0024408B">
            <w:pPr>
              <w:tabs>
                <w:tab w:val="left" w:pos="851"/>
                <w:tab w:val="left" w:pos="8080"/>
                <w:tab w:val="left" w:pos="8222"/>
              </w:tabs>
              <w:jc w:val="both"/>
              <w:rPr>
                <w:sz w:val="20"/>
                <w:szCs w:val="20"/>
              </w:rPr>
            </w:pPr>
          </w:p>
        </w:tc>
        <w:tc>
          <w:tcPr>
            <w:tcW w:w="1701" w:type="dxa"/>
            <w:shd w:val="clear" w:color="auto" w:fill="D9D9D9" w:themeFill="background1" w:themeFillShade="D9"/>
            <w:vAlign w:val="center"/>
          </w:tcPr>
          <w:p w14:paraId="107F5056" w14:textId="77777777" w:rsidR="00972D4A" w:rsidRPr="004109E1" w:rsidRDefault="00972D4A" w:rsidP="0024408B">
            <w:pPr>
              <w:tabs>
                <w:tab w:val="left" w:pos="851"/>
                <w:tab w:val="left" w:pos="8080"/>
                <w:tab w:val="left" w:pos="8222"/>
              </w:tabs>
              <w:jc w:val="center"/>
              <w:rPr>
                <w:b/>
                <w:sz w:val="20"/>
                <w:szCs w:val="20"/>
              </w:rPr>
            </w:pPr>
            <w:r w:rsidRPr="004109E1">
              <w:rPr>
                <w:b/>
                <w:sz w:val="20"/>
                <w:szCs w:val="20"/>
              </w:rPr>
              <w:t>Fundamen</w:t>
            </w:r>
            <w:r>
              <w:rPr>
                <w:b/>
                <w:sz w:val="20"/>
                <w:szCs w:val="20"/>
              </w:rPr>
              <w:t xml:space="preserve">tālo pieteikumu skaits </w:t>
            </w:r>
          </w:p>
        </w:tc>
        <w:tc>
          <w:tcPr>
            <w:tcW w:w="1559" w:type="dxa"/>
            <w:shd w:val="clear" w:color="auto" w:fill="D9D9D9" w:themeFill="background1" w:themeFillShade="D9"/>
            <w:vAlign w:val="center"/>
          </w:tcPr>
          <w:p w14:paraId="7F39BA7F" w14:textId="77777777" w:rsidR="00972D4A" w:rsidRPr="004109E1" w:rsidRDefault="00972D4A" w:rsidP="0024408B">
            <w:pPr>
              <w:tabs>
                <w:tab w:val="left" w:pos="851"/>
                <w:tab w:val="left" w:pos="8080"/>
                <w:tab w:val="left" w:pos="8222"/>
              </w:tabs>
              <w:jc w:val="center"/>
              <w:rPr>
                <w:b/>
                <w:sz w:val="20"/>
                <w:szCs w:val="20"/>
              </w:rPr>
            </w:pPr>
            <w:r>
              <w:rPr>
                <w:b/>
                <w:sz w:val="20"/>
                <w:szCs w:val="20"/>
              </w:rPr>
              <w:t xml:space="preserve">Rūpniecisko pieteikumu skaits </w:t>
            </w:r>
          </w:p>
        </w:tc>
        <w:tc>
          <w:tcPr>
            <w:tcW w:w="1559" w:type="dxa"/>
            <w:vMerge/>
            <w:vAlign w:val="center"/>
          </w:tcPr>
          <w:p w14:paraId="64B4905F" w14:textId="77777777" w:rsidR="00972D4A" w:rsidRPr="004109E1" w:rsidRDefault="00972D4A" w:rsidP="0024408B">
            <w:pPr>
              <w:tabs>
                <w:tab w:val="left" w:pos="851"/>
                <w:tab w:val="left" w:pos="8080"/>
                <w:tab w:val="left" w:pos="8222"/>
              </w:tabs>
              <w:jc w:val="both"/>
              <w:rPr>
                <w:sz w:val="20"/>
                <w:szCs w:val="20"/>
              </w:rPr>
            </w:pPr>
          </w:p>
        </w:tc>
      </w:tr>
      <w:tr w:rsidR="00972D4A" w14:paraId="55C0B9B0" w14:textId="77777777" w:rsidTr="00013709">
        <w:trPr>
          <w:trHeight w:val="373"/>
          <w:jc w:val="center"/>
        </w:trPr>
        <w:tc>
          <w:tcPr>
            <w:tcW w:w="2689" w:type="dxa"/>
            <w:vAlign w:val="center"/>
          </w:tcPr>
          <w:p w14:paraId="4CEDB277" w14:textId="77777777" w:rsidR="00972D4A" w:rsidRPr="00D06991" w:rsidRDefault="00972D4A" w:rsidP="0024408B">
            <w:pPr>
              <w:tabs>
                <w:tab w:val="left" w:pos="851"/>
                <w:tab w:val="left" w:pos="8080"/>
                <w:tab w:val="left" w:pos="8222"/>
              </w:tabs>
              <w:rPr>
                <w:b/>
                <w:sz w:val="20"/>
                <w:szCs w:val="20"/>
              </w:rPr>
            </w:pPr>
            <w:r w:rsidRPr="00D06991">
              <w:rPr>
                <w:b/>
                <w:sz w:val="20"/>
                <w:szCs w:val="20"/>
              </w:rPr>
              <w:t>Viedie materiāli, tehnoloģijas un inženiersistēmas</w:t>
            </w:r>
          </w:p>
        </w:tc>
        <w:tc>
          <w:tcPr>
            <w:tcW w:w="1701" w:type="dxa"/>
            <w:vAlign w:val="center"/>
          </w:tcPr>
          <w:p w14:paraId="55E46043"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11</w:t>
            </w:r>
          </w:p>
          <w:p w14:paraId="354DCCCC"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 xml:space="preserve">(1,4 milj. </w:t>
            </w:r>
            <w:r w:rsidRPr="00B049AD">
              <w:rPr>
                <w:i/>
                <w:sz w:val="20"/>
                <w:szCs w:val="20"/>
              </w:rPr>
              <w:t>euro</w:t>
            </w:r>
            <w:r w:rsidRPr="00B049AD">
              <w:rPr>
                <w:sz w:val="20"/>
                <w:szCs w:val="20"/>
              </w:rPr>
              <w:t>)</w:t>
            </w:r>
          </w:p>
        </w:tc>
        <w:tc>
          <w:tcPr>
            <w:tcW w:w="1559" w:type="dxa"/>
            <w:vAlign w:val="center"/>
          </w:tcPr>
          <w:p w14:paraId="04B67B84"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43</w:t>
            </w:r>
          </w:p>
          <w:p w14:paraId="67AD1C6A"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 xml:space="preserve">(5,8 milj. </w:t>
            </w:r>
            <w:r w:rsidRPr="00B049AD">
              <w:rPr>
                <w:i/>
                <w:sz w:val="20"/>
                <w:szCs w:val="20"/>
              </w:rPr>
              <w:t>euro)</w:t>
            </w:r>
          </w:p>
        </w:tc>
        <w:tc>
          <w:tcPr>
            <w:tcW w:w="1559" w:type="dxa"/>
            <w:vAlign w:val="center"/>
          </w:tcPr>
          <w:p w14:paraId="772807D0"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0</w:t>
            </w:r>
          </w:p>
        </w:tc>
      </w:tr>
      <w:tr w:rsidR="00972D4A" w14:paraId="09FED000" w14:textId="77777777" w:rsidTr="00013709">
        <w:trPr>
          <w:trHeight w:val="308"/>
          <w:jc w:val="center"/>
        </w:trPr>
        <w:tc>
          <w:tcPr>
            <w:tcW w:w="2689" w:type="dxa"/>
            <w:vAlign w:val="center"/>
          </w:tcPr>
          <w:p w14:paraId="5DA069FB" w14:textId="77777777" w:rsidR="00972D4A" w:rsidRPr="00D06991" w:rsidRDefault="00972D4A" w:rsidP="0024408B">
            <w:pPr>
              <w:tabs>
                <w:tab w:val="left" w:pos="851"/>
                <w:tab w:val="left" w:pos="8080"/>
                <w:tab w:val="left" w:pos="8222"/>
              </w:tabs>
              <w:rPr>
                <w:b/>
                <w:sz w:val="20"/>
                <w:szCs w:val="20"/>
              </w:rPr>
            </w:pPr>
            <w:r w:rsidRPr="00D06991">
              <w:rPr>
                <w:b/>
                <w:sz w:val="20"/>
                <w:szCs w:val="20"/>
              </w:rPr>
              <w:t>Viedā enerģētika</w:t>
            </w:r>
          </w:p>
        </w:tc>
        <w:tc>
          <w:tcPr>
            <w:tcW w:w="1701" w:type="dxa"/>
            <w:vAlign w:val="center"/>
          </w:tcPr>
          <w:p w14:paraId="6E0EA23D"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2</w:t>
            </w:r>
          </w:p>
          <w:p w14:paraId="4272F91E"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 xml:space="preserve">(0,3 milj. </w:t>
            </w:r>
            <w:r w:rsidRPr="00B049AD">
              <w:rPr>
                <w:i/>
                <w:sz w:val="20"/>
                <w:szCs w:val="20"/>
              </w:rPr>
              <w:t>euro</w:t>
            </w:r>
            <w:r w:rsidRPr="00B049AD">
              <w:rPr>
                <w:sz w:val="20"/>
                <w:szCs w:val="20"/>
              </w:rPr>
              <w:t>)</w:t>
            </w:r>
          </w:p>
        </w:tc>
        <w:tc>
          <w:tcPr>
            <w:tcW w:w="1559" w:type="dxa"/>
            <w:vAlign w:val="center"/>
          </w:tcPr>
          <w:p w14:paraId="4FCBD096"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12</w:t>
            </w:r>
          </w:p>
          <w:p w14:paraId="590DD86B"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 xml:space="preserve">(1,6 milj. </w:t>
            </w:r>
            <w:r w:rsidRPr="00B049AD">
              <w:rPr>
                <w:i/>
                <w:sz w:val="20"/>
                <w:szCs w:val="20"/>
              </w:rPr>
              <w:t>euro</w:t>
            </w:r>
            <w:r w:rsidRPr="00B049AD">
              <w:rPr>
                <w:sz w:val="20"/>
                <w:szCs w:val="20"/>
              </w:rPr>
              <w:t>)</w:t>
            </w:r>
          </w:p>
        </w:tc>
        <w:tc>
          <w:tcPr>
            <w:tcW w:w="1559" w:type="dxa"/>
            <w:vAlign w:val="center"/>
          </w:tcPr>
          <w:p w14:paraId="0334571E"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0</w:t>
            </w:r>
          </w:p>
        </w:tc>
      </w:tr>
      <w:tr w:rsidR="00972D4A" w14:paraId="6FB851BA" w14:textId="77777777" w:rsidTr="00013709">
        <w:trPr>
          <w:trHeight w:val="514"/>
          <w:jc w:val="center"/>
        </w:trPr>
        <w:tc>
          <w:tcPr>
            <w:tcW w:w="2689" w:type="dxa"/>
            <w:vAlign w:val="center"/>
          </w:tcPr>
          <w:p w14:paraId="0F7E4907" w14:textId="77777777" w:rsidR="00972D4A" w:rsidRPr="00D06991" w:rsidRDefault="00972D4A" w:rsidP="0024408B">
            <w:pPr>
              <w:tabs>
                <w:tab w:val="left" w:pos="851"/>
                <w:tab w:val="left" w:pos="8080"/>
                <w:tab w:val="left" w:pos="8222"/>
              </w:tabs>
              <w:rPr>
                <w:b/>
                <w:sz w:val="20"/>
                <w:szCs w:val="20"/>
              </w:rPr>
            </w:pPr>
            <w:r w:rsidRPr="00D06991">
              <w:rPr>
                <w:b/>
                <w:sz w:val="20"/>
                <w:szCs w:val="20"/>
              </w:rPr>
              <w:t>Biomedicīna, medicīnas tehnoloģijas, biofarmācija un biotehnoloģijas</w:t>
            </w:r>
          </w:p>
        </w:tc>
        <w:tc>
          <w:tcPr>
            <w:tcW w:w="1701" w:type="dxa"/>
            <w:vAlign w:val="center"/>
          </w:tcPr>
          <w:p w14:paraId="7AC43E6A"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6</w:t>
            </w:r>
          </w:p>
          <w:p w14:paraId="559B51E5"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 xml:space="preserve">(0,8 milj. </w:t>
            </w:r>
            <w:r w:rsidRPr="00B049AD">
              <w:rPr>
                <w:i/>
                <w:sz w:val="20"/>
                <w:szCs w:val="20"/>
              </w:rPr>
              <w:t>euro)</w:t>
            </w:r>
          </w:p>
        </w:tc>
        <w:tc>
          <w:tcPr>
            <w:tcW w:w="1559" w:type="dxa"/>
            <w:vAlign w:val="center"/>
          </w:tcPr>
          <w:p w14:paraId="42A19748"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40</w:t>
            </w:r>
          </w:p>
          <w:p w14:paraId="4C357DDF"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 xml:space="preserve">(5,4 milj. </w:t>
            </w:r>
            <w:r w:rsidRPr="00B049AD">
              <w:rPr>
                <w:i/>
                <w:sz w:val="20"/>
                <w:szCs w:val="20"/>
              </w:rPr>
              <w:t>euro</w:t>
            </w:r>
            <w:r w:rsidRPr="00B049AD">
              <w:rPr>
                <w:sz w:val="20"/>
                <w:szCs w:val="20"/>
              </w:rPr>
              <w:t>)</w:t>
            </w:r>
          </w:p>
        </w:tc>
        <w:tc>
          <w:tcPr>
            <w:tcW w:w="1559" w:type="dxa"/>
            <w:vAlign w:val="center"/>
          </w:tcPr>
          <w:p w14:paraId="3B2AB040"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0</w:t>
            </w:r>
          </w:p>
        </w:tc>
      </w:tr>
      <w:tr w:rsidR="00972D4A" w14:paraId="2227CB46" w14:textId="77777777" w:rsidTr="00013709">
        <w:trPr>
          <w:trHeight w:val="549"/>
          <w:jc w:val="center"/>
        </w:trPr>
        <w:tc>
          <w:tcPr>
            <w:tcW w:w="2689" w:type="dxa"/>
            <w:vAlign w:val="center"/>
          </w:tcPr>
          <w:p w14:paraId="0D243B8B" w14:textId="77777777" w:rsidR="00972D4A" w:rsidRPr="00D06991" w:rsidRDefault="00972D4A" w:rsidP="0024408B">
            <w:pPr>
              <w:tabs>
                <w:tab w:val="left" w:pos="851"/>
                <w:tab w:val="left" w:pos="8080"/>
                <w:tab w:val="left" w:pos="8222"/>
              </w:tabs>
              <w:rPr>
                <w:b/>
                <w:sz w:val="20"/>
                <w:szCs w:val="20"/>
              </w:rPr>
            </w:pPr>
            <w:r w:rsidRPr="00D06991">
              <w:rPr>
                <w:b/>
                <w:sz w:val="20"/>
                <w:szCs w:val="20"/>
              </w:rPr>
              <w:t>Informācijas un komunikāciju tehnoloģijas</w:t>
            </w:r>
          </w:p>
        </w:tc>
        <w:tc>
          <w:tcPr>
            <w:tcW w:w="1701" w:type="dxa"/>
            <w:vAlign w:val="center"/>
          </w:tcPr>
          <w:p w14:paraId="420CF76C"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3</w:t>
            </w:r>
          </w:p>
          <w:p w14:paraId="067CBF5B"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 xml:space="preserve">(0,4 milj. </w:t>
            </w:r>
            <w:r w:rsidRPr="00B049AD">
              <w:rPr>
                <w:i/>
                <w:sz w:val="20"/>
                <w:szCs w:val="20"/>
              </w:rPr>
              <w:t>euro</w:t>
            </w:r>
            <w:r w:rsidRPr="00B049AD">
              <w:rPr>
                <w:sz w:val="20"/>
                <w:szCs w:val="20"/>
              </w:rPr>
              <w:t>)</w:t>
            </w:r>
          </w:p>
        </w:tc>
        <w:tc>
          <w:tcPr>
            <w:tcW w:w="1559" w:type="dxa"/>
            <w:vAlign w:val="center"/>
          </w:tcPr>
          <w:p w14:paraId="7AC5C6B8"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22</w:t>
            </w:r>
          </w:p>
          <w:p w14:paraId="106577AF"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 xml:space="preserve">(2,9 milj. </w:t>
            </w:r>
            <w:r w:rsidRPr="00B049AD">
              <w:rPr>
                <w:i/>
                <w:sz w:val="20"/>
                <w:szCs w:val="20"/>
              </w:rPr>
              <w:t>euro</w:t>
            </w:r>
            <w:r w:rsidRPr="00B049AD">
              <w:rPr>
                <w:sz w:val="20"/>
                <w:szCs w:val="20"/>
              </w:rPr>
              <w:t>)</w:t>
            </w:r>
          </w:p>
        </w:tc>
        <w:tc>
          <w:tcPr>
            <w:tcW w:w="1559" w:type="dxa"/>
            <w:vAlign w:val="center"/>
          </w:tcPr>
          <w:p w14:paraId="1FAD2B59"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1</w:t>
            </w:r>
          </w:p>
          <w:p w14:paraId="5164C6B4"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 xml:space="preserve">(0,1 milj. </w:t>
            </w:r>
            <w:r w:rsidRPr="00B049AD">
              <w:rPr>
                <w:i/>
                <w:sz w:val="20"/>
                <w:szCs w:val="20"/>
              </w:rPr>
              <w:t>euro</w:t>
            </w:r>
            <w:r w:rsidRPr="00B049AD">
              <w:rPr>
                <w:sz w:val="20"/>
                <w:szCs w:val="20"/>
              </w:rPr>
              <w:t>)</w:t>
            </w:r>
          </w:p>
        </w:tc>
      </w:tr>
      <w:tr w:rsidR="00972D4A" w14:paraId="4F9E9E58" w14:textId="77777777" w:rsidTr="00013709">
        <w:trPr>
          <w:trHeight w:val="571"/>
          <w:jc w:val="center"/>
        </w:trPr>
        <w:tc>
          <w:tcPr>
            <w:tcW w:w="2689" w:type="dxa"/>
            <w:vAlign w:val="center"/>
          </w:tcPr>
          <w:p w14:paraId="6BADF4C6" w14:textId="77777777" w:rsidR="00972D4A" w:rsidRPr="00D06991" w:rsidRDefault="00972D4A" w:rsidP="0024408B">
            <w:pPr>
              <w:tabs>
                <w:tab w:val="left" w:pos="851"/>
                <w:tab w:val="left" w:pos="8080"/>
                <w:tab w:val="left" w:pos="8222"/>
              </w:tabs>
              <w:rPr>
                <w:b/>
                <w:sz w:val="20"/>
                <w:szCs w:val="20"/>
              </w:rPr>
            </w:pPr>
            <w:r w:rsidRPr="00D06991">
              <w:rPr>
                <w:b/>
                <w:sz w:val="20"/>
                <w:szCs w:val="20"/>
              </w:rPr>
              <w:t>Zināšanu ietilpīga bioekonomika</w:t>
            </w:r>
          </w:p>
        </w:tc>
        <w:tc>
          <w:tcPr>
            <w:tcW w:w="1701" w:type="dxa"/>
            <w:vAlign w:val="center"/>
          </w:tcPr>
          <w:p w14:paraId="0B94408D"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6</w:t>
            </w:r>
          </w:p>
          <w:p w14:paraId="517D14FF"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 xml:space="preserve">(0,8 milj. </w:t>
            </w:r>
            <w:r w:rsidRPr="00B049AD">
              <w:rPr>
                <w:i/>
                <w:sz w:val="20"/>
                <w:szCs w:val="20"/>
              </w:rPr>
              <w:t>euro</w:t>
            </w:r>
            <w:r w:rsidRPr="00B049AD">
              <w:rPr>
                <w:sz w:val="20"/>
                <w:szCs w:val="20"/>
              </w:rPr>
              <w:t>)</w:t>
            </w:r>
          </w:p>
        </w:tc>
        <w:tc>
          <w:tcPr>
            <w:tcW w:w="1559" w:type="dxa"/>
            <w:vAlign w:val="center"/>
          </w:tcPr>
          <w:p w14:paraId="469B682F"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17</w:t>
            </w:r>
          </w:p>
          <w:p w14:paraId="52F89BFB"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 xml:space="preserve">(2,3 milj. </w:t>
            </w:r>
            <w:r w:rsidRPr="00B049AD">
              <w:rPr>
                <w:i/>
                <w:sz w:val="20"/>
                <w:szCs w:val="20"/>
              </w:rPr>
              <w:t>euro</w:t>
            </w:r>
            <w:r w:rsidRPr="00B049AD">
              <w:rPr>
                <w:sz w:val="20"/>
                <w:szCs w:val="20"/>
              </w:rPr>
              <w:t>)</w:t>
            </w:r>
          </w:p>
        </w:tc>
        <w:tc>
          <w:tcPr>
            <w:tcW w:w="1559" w:type="dxa"/>
            <w:vAlign w:val="center"/>
          </w:tcPr>
          <w:p w14:paraId="2684BBE9"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1</w:t>
            </w:r>
          </w:p>
          <w:p w14:paraId="4D29974F"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 xml:space="preserve">(0,1 milj. </w:t>
            </w:r>
            <w:r w:rsidRPr="00B049AD">
              <w:rPr>
                <w:i/>
                <w:sz w:val="20"/>
                <w:szCs w:val="20"/>
              </w:rPr>
              <w:t>euro</w:t>
            </w:r>
            <w:r w:rsidRPr="00B049AD">
              <w:rPr>
                <w:sz w:val="20"/>
                <w:szCs w:val="20"/>
              </w:rPr>
              <w:t>)</w:t>
            </w:r>
          </w:p>
        </w:tc>
      </w:tr>
      <w:tr w:rsidR="00972D4A" w14:paraId="22EC9535" w14:textId="77777777" w:rsidTr="00013709">
        <w:trPr>
          <w:trHeight w:val="551"/>
          <w:jc w:val="center"/>
        </w:trPr>
        <w:tc>
          <w:tcPr>
            <w:tcW w:w="2689" w:type="dxa"/>
            <w:vAlign w:val="center"/>
          </w:tcPr>
          <w:p w14:paraId="132D7E59" w14:textId="77777777" w:rsidR="00972D4A" w:rsidRPr="00D06991" w:rsidRDefault="00972D4A" w:rsidP="0024408B">
            <w:pPr>
              <w:tabs>
                <w:tab w:val="left" w:pos="851"/>
                <w:tab w:val="left" w:pos="8080"/>
                <w:tab w:val="left" w:pos="8222"/>
              </w:tabs>
              <w:jc w:val="both"/>
              <w:rPr>
                <w:b/>
                <w:sz w:val="20"/>
                <w:szCs w:val="20"/>
              </w:rPr>
            </w:pPr>
            <w:r w:rsidRPr="00D06991">
              <w:rPr>
                <w:b/>
                <w:sz w:val="20"/>
                <w:szCs w:val="20"/>
              </w:rPr>
              <w:t>Sociālās un humanitārās zinātnes</w:t>
            </w:r>
          </w:p>
        </w:tc>
        <w:tc>
          <w:tcPr>
            <w:tcW w:w="1701" w:type="dxa"/>
            <w:vAlign w:val="center"/>
          </w:tcPr>
          <w:p w14:paraId="5354D0C8"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15</w:t>
            </w:r>
          </w:p>
          <w:p w14:paraId="77DA6830"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 xml:space="preserve">(1,9 milj. </w:t>
            </w:r>
            <w:r w:rsidRPr="00B049AD">
              <w:rPr>
                <w:i/>
                <w:sz w:val="20"/>
                <w:szCs w:val="20"/>
              </w:rPr>
              <w:t>euro</w:t>
            </w:r>
            <w:r w:rsidRPr="00B049AD">
              <w:rPr>
                <w:sz w:val="20"/>
                <w:szCs w:val="20"/>
              </w:rPr>
              <w:t>)</w:t>
            </w:r>
          </w:p>
        </w:tc>
        <w:tc>
          <w:tcPr>
            <w:tcW w:w="1559" w:type="dxa"/>
            <w:vAlign w:val="center"/>
          </w:tcPr>
          <w:p w14:paraId="10DBE9FC"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15</w:t>
            </w:r>
          </w:p>
          <w:p w14:paraId="5FAC156D"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 xml:space="preserve">(2 milj. </w:t>
            </w:r>
            <w:r w:rsidRPr="00B049AD">
              <w:rPr>
                <w:i/>
                <w:sz w:val="20"/>
                <w:szCs w:val="20"/>
              </w:rPr>
              <w:t>euro</w:t>
            </w:r>
            <w:r w:rsidRPr="00B049AD">
              <w:rPr>
                <w:sz w:val="20"/>
                <w:szCs w:val="20"/>
              </w:rPr>
              <w:t>)</w:t>
            </w:r>
          </w:p>
        </w:tc>
        <w:tc>
          <w:tcPr>
            <w:tcW w:w="1559" w:type="dxa"/>
            <w:vAlign w:val="center"/>
          </w:tcPr>
          <w:p w14:paraId="67BEEF3B" w14:textId="77777777" w:rsidR="00972D4A" w:rsidRPr="00B049AD" w:rsidRDefault="00972D4A" w:rsidP="0024408B">
            <w:pPr>
              <w:tabs>
                <w:tab w:val="left" w:pos="851"/>
                <w:tab w:val="left" w:pos="8080"/>
                <w:tab w:val="left" w:pos="8222"/>
              </w:tabs>
              <w:jc w:val="center"/>
              <w:rPr>
                <w:sz w:val="20"/>
                <w:szCs w:val="20"/>
              </w:rPr>
            </w:pPr>
            <w:r w:rsidRPr="00B049AD">
              <w:rPr>
                <w:sz w:val="20"/>
                <w:szCs w:val="20"/>
              </w:rPr>
              <w:t>0</w:t>
            </w:r>
          </w:p>
        </w:tc>
      </w:tr>
      <w:tr w:rsidR="00972D4A" w14:paraId="2B349EEF" w14:textId="77777777" w:rsidTr="00013709">
        <w:trPr>
          <w:trHeight w:val="559"/>
          <w:jc w:val="center"/>
        </w:trPr>
        <w:tc>
          <w:tcPr>
            <w:tcW w:w="2689" w:type="dxa"/>
            <w:vAlign w:val="center"/>
          </w:tcPr>
          <w:p w14:paraId="6924E5DF" w14:textId="77777777" w:rsidR="00972D4A" w:rsidRPr="00D06991" w:rsidRDefault="00972D4A" w:rsidP="0024408B">
            <w:pPr>
              <w:tabs>
                <w:tab w:val="left" w:pos="851"/>
                <w:tab w:val="left" w:pos="8080"/>
                <w:tab w:val="left" w:pos="8222"/>
              </w:tabs>
              <w:jc w:val="right"/>
              <w:rPr>
                <w:b/>
                <w:sz w:val="20"/>
                <w:szCs w:val="20"/>
              </w:rPr>
            </w:pPr>
            <w:r w:rsidRPr="00D06991">
              <w:rPr>
                <w:b/>
                <w:sz w:val="20"/>
                <w:szCs w:val="20"/>
              </w:rPr>
              <w:t>KOPĀ:</w:t>
            </w:r>
          </w:p>
        </w:tc>
        <w:tc>
          <w:tcPr>
            <w:tcW w:w="1701" w:type="dxa"/>
            <w:vAlign w:val="center"/>
          </w:tcPr>
          <w:p w14:paraId="47939120" w14:textId="77777777" w:rsidR="00972D4A" w:rsidRPr="00B049AD" w:rsidRDefault="00972D4A" w:rsidP="0024408B">
            <w:pPr>
              <w:tabs>
                <w:tab w:val="left" w:pos="851"/>
                <w:tab w:val="left" w:pos="8080"/>
                <w:tab w:val="left" w:pos="8222"/>
              </w:tabs>
              <w:jc w:val="center"/>
              <w:rPr>
                <w:b/>
                <w:sz w:val="20"/>
                <w:szCs w:val="20"/>
              </w:rPr>
            </w:pPr>
            <w:r w:rsidRPr="00B049AD">
              <w:rPr>
                <w:b/>
                <w:sz w:val="20"/>
                <w:szCs w:val="20"/>
              </w:rPr>
              <w:t>43</w:t>
            </w:r>
          </w:p>
          <w:p w14:paraId="03334ECC" w14:textId="77777777" w:rsidR="00972D4A" w:rsidRPr="00B049AD" w:rsidRDefault="00972D4A" w:rsidP="0024408B">
            <w:pPr>
              <w:tabs>
                <w:tab w:val="left" w:pos="851"/>
                <w:tab w:val="left" w:pos="8080"/>
                <w:tab w:val="left" w:pos="8222"/>
              </w:tabs>
              <w:jc w:val="center"/>
              <w:rPr>
                <w:b/>
                <w:sz w:val="20"/>
                <w:szCs w:val="20"/>
              </w:rPr>
            </w:pPr>
            <w:r w:rsidRPr="00B049AD">
              <w:rPr>
                <w:b/>
                <w:sz w:val="20"/>
                <w:szCs w:val="20"/>
              </w:rPr>
              <w:t xml:space="preserve">( 5,6 milj. </w:t>
            </w:r>
            <w:r w:rsidRPr="009C561C">
              <w:rPr>
                <w:b/>
                <w:i/>
                <w:sz w:val="20"/>
                <w:szCs w:val="20"/>
              </w:rPr>
              <w:t>euro</w:t>
            </w:r>
            <w:r w:rsidRPr="00B049AD">
              <w:rPr>
                <w:b/>
                <w:sz w:val="20"/>
                <w:szCs w:val="20"/>
              </w:rPr>
              <w:t>)</w:t>
            </w:r>
          </w:p>
        </w:tc>
        <w:tc>
          <w:tcPr>
            <w:tcW w:w="1559" w:type="dxa"/>
            <w:vAlign w:val="center"/>
          </w:tcPr>
          <w:p w14:paraId="6262973D" w14:textId="77777777" w:rsidR="00972D4A" w:rsidRPr="00B049AD" w:rsidRDefault="00972D4A" w:rsidP="0024408B">
            <w:pPr>
              <w:tabs>
                <w:tab w:val="left" w:pos="851"/>
                <w:tab w:val="left" w:pos="8080"/>
                <w:tab w:val="left" w:pos="8222"/>
              </w:tabs>
              <w:jc w:val="center"/>
              <w:rPr>
                <w:b/>
                <w:sz w:val="20"/>
                <w:szCs w:val="20"/>
              </w:rPr>
            </w:pPr>
            <w:r w:rsidRPr="00B049AD">
              <w:rPr>
                <w:b/>
                <w:sz w:val="20"/>
                <w:szCs w:val="20"/>
              </w:rPr>
              <w:t>149</w:t>
            </w:r>
          </w:p>
          <w:p w14:paraId="7B50E2AA" w14:textId="77777777" w:rsidR="00972D4A" w:rsidRPr="00B049AD" w:rsidRDefault="00972D4A" w:rsidP="0024408B">
            <w:pPr>
              <w:tabs>
                <w:tab w:val="left" w:pos="851"/>
                <w:tab w:val="left" w:pos="8080"/>
                <w:tab w:val="left" w:pos="8222"/>
              </w:tabs>
              <w:jc w:val="center"/>
              <w:rPr>
                <w:b/>
                <w:sz w:val="20"/>
                <w:szCs w:val="20"/>
              </w:rPr>
            </w:pPr>
            <w:r w:rsidRPr="00B049AD">
              <w:rPr>
                <w:b/>
                <w:sz w:val="20"/>
                <w:szCs w:val="20"/>
              </w:rPr>
              <w:t xml:space="preserve">(20 milj. </w:t>
            </w:r>
            <w:r w:rsidRPr="009C561C">
              <w:rPr>
                <w:b/>
                <w:i/>
                <w:sz w:val="20"/>
                <w:szCs w:val="20"/>
              </w:rPr>
              <w:t>euro</w:t>
            </w:r>
            <w:r w:rsidRPr="00B049AD">
              <w:rPr>
                <w:b/>
                <w:sz w:val="20"/>
                <w:szCs w:val="20"/>
              </w:rPr>
              <w:t>)</w:t>
            </w:r>
          </w:p>
        </w:tc>
        <w:tc>
          <w:tcPr>
            <w:tcW w:w="1559" w:type="dxa"/>
            <w:vAlign w:val="center"/>
          </w:tcPr>
          <w:p w14:paraId="69148CFD" w14:textId="77777777" w:rsidR="00972D4A" w:rsidRPr="00B049AD" w:rsidRDefault="00972D4A" w:rsidP="0024408B">
            <w:pPr>
              <w:tabs>
                <w:tab w:val="left" w:pos="851"/>
                <w:tab w:val="left" w:pos="8080"/>
                <w:tab w:val="left" w:pos="8222"/>
              </w:tabs>
              <w:jc w:val="center"/>
              <w:rPr>
                <w:b/>
                <w:sz w:val="20"/>
                <w:szCs w:val="20"/>
              </w:rPr>
            </w:pPr>
            <w:r w:rsidRPr="00B049AD">
              <w:rPr>
                <w:b/>
                <w:sz w:val="20"/>
                <w:szCs w:val="20"/>
              </w:rPr>
              <w:t>2</w:t>
            </w:r>
          </w:p>
          <w:p w14:paraId="5471C237" w14:textId="77777777" w:rsidR="00972D4A" w:rsidRPr="00B049AD" w:rsidRDefault="00972D4A" w:rsidP="0024408B">
            <w:pPr>
              <w:tabs>
                <w:tab w:val="left" w:pos="851"/>
                <w:tab w:val="left" w:pos="8080"/>
                <w:tab w:val="left" w:pos="8222"/>
              </w:tabs>
              <w:jc w:val="center"/>
              <w:rPr>
                <w:b/>
                <w:sz w:val="20"/>
                <w:szCs w:val="20"/>
              </w:rPr>
            </w:pPr>
            <w:r w:rsidRPr="00B049AD">
              <w:rPr>
                <w:b/>
                <w:sz w:val="20"/>
                <w:szCs w:val="20"/>
              </w:rPr>
              <w:t xml:space="preserve">(0,2 milj. </w:t>
            </w:r>
            <w:r w:rsidRPr="009C561C">
              <w:rPr>
                <w:b/>
                <w:i/>
                <w:sz w:val="20"/>
                <w:szCs w:val="20"/>
              </w:rPr>
              <w:t>euro</w:t>
            </w:r>
            <w:r w:rsidRPr="00B049AD">
              <w:rPr>
                <w:b/>
                <w:sz w:val="20"/>
                <w:szCs w:val="20"/>
              </w:rPr>
              <w:t>)</w:t>
            </w:r>
          </w:p>
        </w:tc>
      </w:tr>
    </w:tbl>
    <w:p w14:paraId="1CC20055" w14:textId="77777777" w:rsidR="002D306C" w:rsidRPr="00141962" w:rsidRDefault="009F4C44" w:rsidP="008F7900">
      <w:pPr>
        <w:spacing w:before="120" w:after="0" w:line="240" w:lineRule="auto"/>
        <w:jc w:val="both"/>
        <w:rPr>
          <w:sz w:val="24"/>
          <w:szCs w:val="24"/>
        </w:rPr>
      </w:pPr>
      <w:r w:rsidRPr="00141962">
        <w:rPr>
          <w:sz w:val="24"/>
          <w:szCs w:val="24"/>
        </w:rPr>
        <w:t xml:space="preserve">Detalizētāk analizējot </w:t>
      </w:r>
      <w:r w:rsidR="00C76C42" w:rsidRPr="009E1523">
        <w:rPr>
          <w:sz w:val="24"/>
          <w:szCs w:val="24"/>
        </w:rPr>
        <w:t xml:space="preserve">Pēcdoktorantūras pētniecības programmas </w:t>
      </w:r>
      <w:r w:rsidR="00490DC4">
        <w:rPr>
          <w:sz w:val="24"/>
          <w:szCs w:val="24"/>
        </w:rPr>
        <w:t>1. un 2. atlases kārtas pētniecības pieteikumu</w:t>
      </w:r>
      <w:r w:rsidRPr="00141962">
        <w:rPr>
          <w:sz w:val="24"/>
          <w:szCs w:val="24"/>
        </w:rPr>
        <w:t xml:space="preserve"> ieguldījumu RIS3 specializācijas jomu attīstībā institūciju griezumā</w:t>
      </w:r>
      <w:r w:rsidR="002D306C" w:rsidRPr="00141962">
        <w:rPr>
          <w:sz w:val="24"/>
          <w:szCs w:val="24"/>
        </w:rPr>
        <w:t>, r</w:t>
      </w:r>
      <w:r w:rsidR="007669A4" w:rsidRPr="00141962">
        <w:rPr>
          <w:sz w:val="24"/>
          <w:szCs w:val="24"/>
        </w:rPr>
        <w:t xml:space="preserve">edzams, ka </w:t>
      </w:r>
      <w:r w:rsidR="002D306C" w:rsidRPr="00141962">
        <w:rPr>
          <w:sz w:val="24"/>
          <w:szCs w:val="24"/>
        </w:rPr>
        <w:t xml:space="preserve">11 zinātniskās institūcijas un 2 komersanti jeb 45 procenti no visiem </w:t>
      </w:r>
      <w:r w:rsidR="007669A4" w:rsidRPr="00141962">
        <w:rPr>
          <w:sz w:val="24"/>
          <w:szCs w:val="24"/>
        </w:rPr>
        <w:t>pētniecības pieteikumu īstenotājiem, pētniecības pieteikumus</w:t>
      </w:r>
      <w:r w:rsidR="00490DC4">
        <w:rPr>
          <w:sz w:val="24"/>
          <w:szCs w:val="24"/>
        </w:rPr>
        <w:t xml:space="preserve"> sadarbībā ar pēcdoktorantiem,</w:t>
      </w:r>
      <w:r w:rsidR="002D306C" w:rsidRPr="00141962">
        <w:rPr>
          <w:sz w:val="24"/>
          <w:szCs w:val="24"/>
        </w:rPr>
        <w:t xml:space="preserve"> īstenos vienā RIS3 specializācijas jomā atkarīb</w:t>
      </w:r>
      <w:r w:rsidR="00490DC4">
        <w:rPr>
          <w:sz w:val="24"/>
          <w:szCs w:val="24"/>
        </w:rPr>
        <w:t>ā no institūcijas</w:t>
      </w:r>
      <w:r w:rsidR="002D306C" w:rsidRPr="00141962">
        <w:rPr>
          <w:sz w:val="24"/>
          <w:szCs w:val="24"/>
        </w:rPr>
        <w:t xml:space="preserve"> </w:t>
      </w:r>
      <w:r w:rsidR="00BC64A4" w:rsidRPr="00141962">
        <w:rPr>
          <w:sz w:val="24"/>
          <w:szCs w:val="24"/>
        </w:rPr>
        <w:t>pārstāvētā zinātnes virziena</w:t>
      </w:r>
      <w:r w:rsidR="002D306C" w:rsidRPr="00141962">
        <w:rPr>
          <w:sz w:val="24"/>
          <w:szCs w:val="24"/>
        </w:rPr>
        <w:t xml:space="preserve">, 10 zinātniskās institūcijas jeb 34 procenti pētniecības pieteikumus īstenos divās RIS3 specializācijas jomās un 4 zinātnisko institūciju pēcdoktorantu pētījumi </w:t>
      </w:r>
      <w:r w:rsidRPr="00141962">
        <w:rPr>
          <w:sz w:val="24"/>
          <w:szCs w:val="24"/>
        </w:rPr>
        <w:t>sniegs ieguldījumu trīs RIS3 specializāciju jomu attīstībā (attēls Nr. 7 – Nr. 12).</w:t>
      </w:r>
      <w:r w:rsidR="00BC64A4" w:rsidRPr="00141962">
        <w:rPr>
          <w:sz w:val="24"/>
          <w:szCs w:val="24"/>
        </w:rPr>
        <w:t xml:space="preserve"> Savukārt </w:t>
      </w:r>
      <w:r w:rsidR="00610416">
        <w:rPr>
          <w:sz w:val="24"/>
          <w:szCs w:val="24"/>
        </w:rPr>
        <w:t xml:space="preserve">divas zinātniskās institūcijas, </w:t>
      </w:r>
      <w:r w:rsidR="00610416">
        <w:rPr>
          <w:sz w:val="24"/>
          <w:szCs w:val="24"/>
        </w:rPr>
        <w:lastRenderedPageBreak/>
        <w:t xml:space="preserve">t.i. </w:t>
      </w:r>
      <w:r w:rsidR="00BC64A4" w:rsidRPr="00141962">
        <w:rPr>
          <w:sz w:val="24"/>
          <w:szCs w:val="24"/>
        </w:rPr>
        <w:t>Latvijas Universitāte un Rīgas Tehniskā universitāte kā plaša profila augst</w:t>
      </w:r>
      <w:r w:rsidR="00BC64A4" w:rsidRPr="00C76C42">
        <w:rPr>
          <w:sz w:val="24"/>
          <w:szCs w:val="24"/>
        </w:rPr>
        <w:t>ākās izglītības un zinātnes institūcija</w:t>
      </w:r>
      <w:r w:rsidR="00490DC4">
        <w:rPr>
          <w:sz w:val="24"/>
          <w:szCs w:val="24"/>
        </w:rPr>
        <w:t>s</w:t>
      </w:r>
      <w:r w:rsidR="00BC64A4" w:rsidRPr="00C76C42">
        <w:rPr>
          <w:sz w:val="24"/>
          <w:szCs w:val="24"/>
        </w:rPr>
        <w:t>, sadarbībā ar pēcdoktorantiem īstenos pētniecības pieteikumus visās RIS3 jomās</w:t>
      </w:r>
      <w:r w:rsidR="00BC64A4" w:rsidRPr="00490DC4">
        <w:rPr>
          <w:sz w:val="24"/>
          <w:szCs w:val="24"/>
        </w:rPr>
        <w:t>.</w:t>
      </w:r>
    </w:p>
    <w:p w14:paraId="5993779F" w14:textId="77777777" w:rsidR="00060FC8" w:rsidRDefault="00060FC8" w:rsidP="00060FC8">
      <w:pPr>
        <w:spacing w:before="240" w:after="120" w:line="240" w:lineRule="auto"/>
        <w:jc w:val="both"/>
        <w:rPr>
          <w:sz w:val="24"/>
          <w:szCs w:val="24"/>
        </w:rPr>
      </w:pPr>
      <w:r>
        <w:rPr>
          <w:noProof/>
          <w:lang w:val="en-US"/>
        </w:rPr>
        <w:drawing>
          <wp:inline distT="0" distB="0" distL="0" distR="0" wp14:anchorId="7194689D" wp14:editId="7273286D">
            <wp:extent cx="2800350" cy="1277321"/>
            <wp:effectExtent l="0" t="0" r="19050" b="1841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E35BE" w:rsidRPr="00CC54A7">
        <w:rPr>
          <w:noProof/>
        </w:rPr>
        <w:t xml:space="preserve"> </w:t>
      </w:r>
      <w:r w:rsidR="00BE35BE">
        <w:rPr>
          <w:noProof/>
          <w:lang w:val="en-US"/>
        </w:rPr>
        <w:drawing>
          <wp:inline distT="0" distB="0" distL="0" distR="0" wp14:anchorId="373A455C" wp14:editId="747D710C">
            <wp:extent cx="2856230" cy="1276686"/>
            <wp:effectExtent l="0" t="0" r="1397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E9BDD96" w14:textId="77777777" w:rsidR="0092502B" w:rsidRDefault="007669A4" w:rsidP="0024408B">
      <w:pPr>
        <w:spacing w:before="120" w:after="120" w:line="240" w:lineRule="auto"/>
        <w:jc w:val="both"/>
        <w:rPr>
          <w:sz w:val="24"/>
          <w:szCs w:val="24"/>
        </w:rPr>
      </w:pPr>
      <w:r>
        <w:rPr>
          <w:sz w:val="24"/>
          <w:szCs w:val="24"/>
        </w:rPr>
        <w:t>Piecās no sešām RIS3 specializācijas jomām vislielākais pētniecības pieteikumu skaits ir abām iepriekš minētajām universitātēm. Savukārt, biomedicīna, medicīnas tehnoloģijas, biofarmācija un biotehnoloģijas jomā, vislielākais īstenoto pētniecības pieteikumu skaits ir Latvijas Organiskās sintēzes institūtam, kas ir viena no minētās jomas vadošajām</w:t>
      </w:r>
      <w:r w:rsidR="00905188">
        <w:rPr>
          <w:sz w:val="24"/>
          <w:szCs w:val="24"/>
        </w:rPr>
        <w:t xml:space="preserve"> </w:t>
      </w:r>
      <w:r>
        <w:rPr>
          <w:sz w:val="24"/>
          <w:szCs w:val="24"/>
        </w:rPr>
        <w:t>zinātniskajām institūcijām.</w:t>
      </w:r>
    </w:p>
    <w:p w14:paraId="681E12B7" w14:textId="1A4163E8" w:rsidR="003E3351" w:rsidRDefault="003208A5" w:rsidP="0024408B">
      <w:pPr>
        <w:spacing w:before="120" w:after="120" w:line="240" w:lineRule="auto"/>
        <w:jc w:val="both"/>
        <w:rPr>
          <w:sz w:val="24"/>
          <w:szCs w:val="24"/>
        </w:rPr>
      </w:pPr>
      <w:r>
        <w:rPr>
          <w:noProof/>
          <w:lang w:val="en-US"/>
        </w:rPr>
        <w:drawing>
          <wp:inline distT="0" distB="0" distL="0" distR="0" wp14:anchorId="4384ED13" wp14:editId="622F003F">
            <wp:extent cx="2731324" cy="1659890"/>
            <wp:effectExtent l="0" t="0" r="12065" b="1651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lang w:val="en-US"/>
        </w:rPr>
        <w:drawing>
          <wp:inline distT="0" distB="0" distL="0" distR="0" wp14:anchorId="3CB1746E" wp14:editId="20F5F686">
            <wp:extent cx="2981325" cy="1666115"/>
            <wp:effectExtent l="0" t="0" r="9525" b="1079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9A27F77" w14:textId="77777777" w:rsidR="00603AEB" w:rsidRDefault="00490DC4" w:rsidP="00A92984">
      <w:pPr>
        <w:spacing w:before="160" w:line="240" w:lineRule="auto"/>
        <w:jc w:val="both"/>
        <w:rPr>
          <w:sz w:val="24"/>
          <w:szCs w:val="24"/>
        </w:rPr>
      </w:pPr>
      <w:r>
        <w:rPr>
          <w:sz w:val="24"/>
          <w:szCs w:val="24"/>
        </w:rPr>
        <w:t xml:space="preserve">No </w:t>
      </w:r>
      <w:r w:rsidR="00141962">
        <w:rPr>
          <w:sz w:val="24"/>
          <w:szCs w:val="24"/>
        </w:rPr>
        <w:t xml:space="preserve">Rīgas Tehniskās universitātes Pēcdoktorantūras pētniecības programmas 1. un 2. atlases kārtas ietvaros īstenotajiem 46 pētniecības pieteikumiem </w:t>
      </w:r>
      <w:r w:rsidR="00141962" w:rsidRPr="003208A5">
        <w:rPr>
          <w:sz w:val="24"/>
          <w:szCs w:val="24"/>
        </w:rPr>
        <w:t>20</w:t>
      </w:r>
      <w:r w:rsidR="00141962">
        <w:rPr>
          <w:sz w:val="24"/>
          <w:szCs w:val="24"/>
        </w:rPr>
        <w:t xml:space="preserve"> (43 %) </w:t>
      </w:r>
      <w:r w:rsidR="00141962" w:rsidRPr="003208A5">
        <w:rPr>
          <w:sz w:val="24"/>
          <w:szCs w:val="24"/>
        </w:rPr>
        <w:t>tiks īstenoti viedo materiālu, tehnoloģiju un inženiersistēmu jomā (attēls Nr. 12) un pa deviņiem pētniecības pieteikumiem tādās jomās kā informācijas un komunikāciju tehnoloģijas un viedā enerģētika (attēls Nr. 10 un Nr. 11)</w:t>
      </w:r>
      <w:r w:rsidR="00141962">
        <w:rPr>
          <w:sz w:val="24"/>
          <w:szCs w:val="24"/>
        </w:rPr>
        <w:t>. Latvijas Universitātei savukārt vislielākais pētniecības pieteikumu skaits tiks īstenots tādās RIS3 specializācijas jomās kā sociālās un humanitārās zinātnes un viedo materiālu, tehnoloģiju un inženiersistēmu joma, katrā veicot 17 pēcdoktorantu pētījumus (attēls Nr. 7 un Nr. 12) un 9 pētniecības pieteikumi tiks īstenoti biomedicīnas, medicīnas tehnoloģiju, biofarmācijas un biotehnoloģiju jomā (attēls Nr. 8).</w:t>
      </w:r>
    </w:p>
    <w:p w14:paraId="1E36FAD0" w14:textId="77777777" w:rsidR="00603AEB" w:rsidRDefault="000078B1" w:rsidP="0024408B">
      <w:pPr>
        <w:spacing w:before="120" w:after="120" w:line="240" w:lineRule="auto"/>
        <w:jc w:val="both"/>
        <w:rPr>
          <w:sz w:val="24"/>
          <w:szCs w:val="24"/>
        </w:rPr>
      </w:pPr>
      <w:r>
        <w:rPr>
          <w:noProof/>
          <w:lang w:val="en-US"/>
        </w:rPr>
        <w:drawing>
          <wp:inline distT="0" distB="0" distL="0" distR="0" wp14:anchorId="04DCA57C" wp14:editId="1FC54344">
            <wp:extent cx="2771775" cy="1329527"/>
            <wp:effectExtent l="0" t="0" r="9525" b="444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lang w:val="en-US"/>
        </w:rPr>
        <w:drawing>
          <wp:inline distT="0" distB="0" distL="0" distR="0" wp14:anchorId="6DB24A89" wp14:editId="6BE26ADE">
            <wp:extent cx="2924175" cy="1323660"/>
            <wp:effectExtent l="0" t="0" r="9525" b="1016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8F7272C" w14:textId="3E40D29B" w:rsidR="00733C06" w:rsidRDefault="003653F2" w:rsidP="00A92984">
      <w:pPr>
        <w:spacing w:before="160" w:line="240" w:lineRule="auto"/>
        <w:jc w:val="both"/>
        <w:rPr>
          <w:sz w:val="24"/>
          <w:szCs w:val="24"/>
        </w:rPr>
      </w:pPr>
      <w:r w:rsidRPr="00765F19">
        <w:rPr>
          <w:sz w:val="24"/>
          <w:szCs w:val="24"/>
        </w:rPr>
        <w:t xml:space="preserve">ES fondu investīcijas ne tikai veicinās Latvijas zinātnes un tehnoloģiju cilvēkkapitāla attīstību un zināšanu radīšanu tautsaimniecības konkurētspējas palielināšanai, bet arī </w:t>
      </w:r>
      <w:r>
        <w:rPr>
          <w:sz w:val="24"/>
          <w:szCs w:val="24"/>
        </w:rPr>
        <w:t>sniegts</w:t>
      </w:r>
      <w:r w:rsidRPr="00765F19">
        <w:rPr>
          <w:sz w:val="24"/>
          <w:szCs w:val="24"/>
        </w:rPr>
        <w:t xml:space="preserve"> </w:t>
      </w:r>
      <w:r>
        <w:rPr>
          <w:sz w:val="24"/>
          <w:szCs w:val="24"/>
        </w:rPr>
        <w:t xml:space="preserve">tiešu </w:t>
      </w:r>
      <w:r w:rsidRPr="009E1523">
        <w:rPr>
          <w:sz w:val="24"/>
          <w:szCs w:val="24"/>
        </w:rPr>
        <w:t>ieguldījumu 1.1.1. SAM iznākuma rādītāju un RIS3 mērķu sasniegšanā.</w:t>
      </w:r>
      <w:r w:rsidR="00F562F3" w:rsidRPr="009E1523">
        <w:rPr>
          <w:sz w:val="24"/>
          <w:szCs w:val="24"/>
        </w:rPr>
        <w:t xml:space="preserve"> Vērtējot </w:t>
      </w:r>
      <w:r w:rsidR="00987C1A" w:rsidRPr="009E1523">
        <w:rPr>
          <w:sz w:val="24"/>
          <w:szCs w:val="24"/>
        </w:rPr>
        <w:t xml:space="preserve">Pēcdoktorantūras pētniecības programmas 1. un 2. atlases kārtas ietvaros apstiprinātajos </w:t>
      </w:r>
      <w:r w:rsidR="00F562F3" w:rsidRPr="009E1523">
        <w:rPr>
          <w:sz w:val="24"/>
          <w:szCs w:val="24"/>
        </w:rPr>
        <w:t>pētniecības pieteikum</w:t>
      </w:r>
      <w:r w:rsidR="002A164B" w:rsidRPr="009E1523">
        <w:rPr>
          <w:sz w:val="24"/>
          <w:szCs w:val="24"/>
        </w:rPr>
        <w:t>o</w:t>
      </w:r>
      <w:r w:rsidR="00F562F3" w:rsidRPr="009E1523">
        <w:rPr>
          <w:sz w:val="24"/>
          <w:szCs w:val="24"/>
        </w:rPr>
        <w:t>s plānotos rezultātus, redzams, ka p</w:t>
      </w:r>
      <w:r w:rsidRPr="009E1523">
        <w:rPr>
          <w:sz w:val="24"/>
          <w:szCs w:val="24"/>
        </w:rPr>
        <w:t xml:space="preserve">ētniecības pieteikumi, kas tiks īstenoti tādās RIS3 jomās kā „Viedie materiāli, tehnoloģijas un inženiersistēmas” un „Sociālās </w:t>
      </w:r>
      <w:r w:rsidRPr="009E1523">
        <w:rPr>
          <w:sz w:val="24"/>
          <w:szCs w:val="24"/>
        </w:rPr>
        <w:lastRenderedPageBreak/>
        <w:t>un humanitārās zinātnes” sniegs lielāku ieguldījumu zinātnisko rakstu sagatavošanā un publicēšanā</w:t>
      </w:r>
      <w:r w:rsidR="00BD6217" w:rsidRPr="009E1523">
        <w:rPr>
          <w:sz w:val="24"/>
          <w:szCs w:val="24"/>
        </w:rPr>
        <w:t xml:space="preserve"> (attēls Nr. </w:t>
      </w:r>
      <w:r w:rsidR="000078B1" w:rsidRPr="009E1523">
        <w:rPr>
          <w:sz w:val="24"/>
          <w:szCs w:val="24"/>
        </w:rPr>
        <w:t>13</w:t>
      </w:r>
      <w:r w:rsidR="00BD6217" w:rsidRPr="009E1523">
        <w:rPr>
          <w:sz w:val="24"/>
          <w:szCs w:val="24"/>
        </w:rPr>
        <w:t>)</w:t>
      </w:r>
      <w:r w:rsidR="00733C06" w:rsidRPr="009E1523">
        <w:rPr>
          <w:sz w:val="24"/>
          <w:szCs w:val="24"/>
        </w:rPr>
        <w:t>. S</w:t>
      </w:r>
      <w:r w:rsidRPr="009E1523">
        <w:rPr>
          <w:sz w:val="24"/>
          <w:szCs w:val="24"/>
        </w:rPr>
        <w:t>avukārt</w:t>
      </w:r>
      <w:r w:rsidR="00733C06" w:rsidRPr="009E1523">
        <w:rPr>
          <w:sz w:val="24"/>
          <w:szCs w:val="24"/>
        </w:rPr>
        <w:t xml:space="preserve"> pēcdoktoranti, kas veiks pētījumus tādās RIS3 specializācijas jomās</w:t>
      </w:r>
      <w:r w:rsidR="00733C06">
        <w:rPr>
          <w:sz w:val="24"/>
          <w:szCs w:val="24"/>
        </w:rPr>
        <w:t xml:space="preserve"> kā „</w:t>
      </w:r>
      <w:r w:rsidR="00733C06" w:rsidRPr="00F562F3">
        <w:rPr>
          <w:sz w:val="24"/>
          <w:szCs w:val="24"/>
        </w:rPr>
        <w:t>Informācijas un komunikāciju tehnoloģijas</w:t>
      </w:r>
      <w:r w:rsidR="00733C06">
        <w:rPr>
          <w:sz w:val="24"/>
          <w:szCs w:val="24"/>
        </w:rPr>
        <w:t>”, „B</w:t>
      </w:r>
      <w:r w:rsidR="00733C06" w:rsidRPr="00964302">
        <w:rPr>
          <w:sz w:val="24"/>
          <w:szCs w:val="24"/>
        </w:rPr>
        <w:t>iomedicīna, medicīnas tehnoloģijas, biofarmācija un biotehnoloģijas</w:t>
      </w:r>
      <w:r w:rsidR="00733C06">
        <w:rPr>
          <w:sz w:val="24"/>
          <w:szCs w:val="24"/>
        </w:rPr>
        <w:t xml:space="preserve">” un </w:t>
      </w:r>
      <w:r w:rsidR="00733C06" w:rsidRPr="00964302">
        <w:rPr>
          <w:sz w:val="24"/>
          <w:szCs w:val="24"/>
        </w:rPr>
        <w:t>„Sociālās un humanitārās zinātnes”</w:t>
      </w:r>
      <w:r w:rsidR="00733C06">
        <w:rPr>
          <w:sz w:val="24"/>
          <w:szCs w:val="24"/>
        </w:rPr>
        <w:t xml:space="preserve"> sniegt ieguldījumu 1.1.1. SAM iznākuma rādītāja „</w:t>
      </w:r>
      <w:r w:rsidR="00733C06" w:rsidRPr="00433950">
        <w:rPr>
          <w:sz w:val="24"/>
          <w:szCs w:val="24"/>
        </w:rPr>
        <w:t>Jauno produktu un tehnoloģiju skaits, kas ir komercializējami un kuru izstrādei sniegts atbalsts, (skaits)</w:t>
      </w:r>
      <w:r w:rsidR="00733C06">
        <w:rPr>
          <w:sz w:val="24"/>
          <w:szCs w:val="24"/>
        </w:rPr>
        <w:t>” vērtības sasniegšanā, jo plānots, ka kopā minēto RIS3 jomu pētījumu rezultātā tiks izstrādāti  indikatīvi 70 jauni produkti un jaunas tehnoloģijas</w:t>
      </w:r>
      <w:r w:rsidR="00BD6217">
        <w:rPr>
          <w:sz w:val="24"/>
          <w:szCs w:val="24"/>
        </w:rPr>
        <w:t xml:space="preserve"> (attēls Nr. </w:t>
      </w:r>
      <w:r w:rsidR="000078B1">
        <w:rPr>
          <w:sz w:val="24"/>
          <w:szCs w:val="24"/>
        </w:rPr>
        <w:t>14</w:t>
      </w:r>
      <w:r w:rsidR="00BD6217">
        <w:rPr>
          <w:sz w:val="24"/>
          <w:szCs w:val="24"/>
        </w:rPr>
        <w:t>)</w:t>
      </w:r>
      <w:r w:rsidR="00733C06">
        <w:rPr>
          <w:sz w:val="24"/>
          <w:szCs w:val="24"/>
        </w:rPr>
        <w:t>.</w:t>
      </w:r>
    </w:p>
    <w:p w14:paraId="3CA6C01D" w14:textId="77777777" w:rsidR="00004D12" w:rsidRDefault="00F53107" w:rsidP="0024408B">
      <w:pPr>
        <w:spacing w:before="120" w:after="0" w:line="240" w:lineRule="auto"/>
        <w:jc w:val="both"/>
        <w:rPr>
          <w:sz w:val="24"/>
          <w:szCs w:val="24"/>
        </w:rPr>
      </w:pPr>
      <w:r>
        <w:rPr>
          <w:noProof/>
          <w:lang w:val="en-US"/>
        </w:rPr>
        <w:drawing>
          <wp:inline distT="0" distB="0" distL="0" distR="0" wp14:anchorId="682AC5A6" wp14:editId="4BED6D03">
            <wp:extent cx="2808605" cy="1953159"/>
            <wp:effectExtent l="0" t="0" r="1079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073F09">
        <w:rPr>
          <w:noProof/>
          <w:lang w:val="en-US"/>
        </w:rPr>
        <w:drawing>
          <wp:inline distT="0" distB="0" distL="0" distR="0" wp14:anchorId="6E7BE1A8" wp14:editId="218CD482">
            <wp:extent cx="2830830" cy="1945843"/>
            <wp:effectExtent l="0" t="0" r="7620" b="165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8466CB">
        <w:rPr>
          <w:noProof/>
        </w:rPr>
        <w:t xml:space="preserve"> </w:t>
      </w:r>
    </w:p>
    <w:p w14:paraId="6424FF8F" w14:textId="77777777" w:rsidR="00733C06" w:rsidRDefault="00545F89" w:rsidP="00A92984">
      <w:pPr>
        <w:spacing w:before="160" w:line="240" w:lineRule="auto"/>
        <w:jc w:val="both"/>
        <w:rPr>
          <w:sz w:val="24"/>
          <w:szCs w:val="24"/>
        </w:rPr>
      </w:pPr>
      <w:r>
        <w:rPr>
          <w:sz w:val="24"/>
          <w:szCs w:val="24"/>
        </w:rPr>
        <w:t>Izvērtējot</w:t>
      </w:r>
      <w:r w:rsidR="00D65E1C">
        <w:rPr>
          <w:sz w:val="24"/>
          <w:szCs w:val="24"/>
        </w:rPr>
        <w:t xml:space="preserve"> apstiprināto pētniecības pieteikumu plānoto starpnozaru partnerību, konstatējams, ka vien 21 pētniecības pieteikumā (11 % no kopējā apstiprinātā pētniecības pieteikumu skaita) plānota sadarbība ar 27 komersantiem. A</w:t>
      </w:r>
      <w:r w:rsidR="00DE4136">
        <w:rPr>
          <w:sz w:val="24"/>
          <w:szCs w:val="24"/>
        </w:rPr>
        <w:t>ktīvāka</w:t>
      </w:r>
      <w:r w:rsidR="00733C06">
        <w:rPr>
          <w:sz w:val="24"/>
          <w:szCs w:val="24"/>
        </w:rPr>
        <w:t xml:space="preserve"> </w:t>
      </w:r>
      <w:r w:rsidR="00DE4136">
        <w:rPr>
          <w:sz w:val="24"/>
          <w:szCs w:val="24"/>
        </w:rPr>
        <w:t xml:space="preserve">zinātnisko institūciju un </w:t>
      </w:r>
      <w:r w:rsidR="00733C06">
        <w:rPr>
          <w:sz w:val="24"/>
          <w:szCs w:val="24"/>
        </w:rPr>
        <w:t xml:space="preserve">komersantu </w:t>
      </w:r>
      <w:r w:rsidR="00DE4136">
        <w:rPr>
          <w:sz w:val="24"/>
          <w:szCs w:val="24"/>
        </w:rPr>
        <w:t>sadarbība</w:t>
      </w:r>
      <w:r w:rsidR="00733C06">
        <w:rPr>
          <w:sz w:val="24"/>
          <w:szCs w:val="24"/>
        </w:rPr>
        <w:t xml:space="preserve"> pētniecības pieteikumu īstenošanas </w:t>
      </w:r>
      <w:r w:rsidR="00D65E1C">
        <w:rPr>
          <w:sz w:val="24"/>
          <w:szCs w:val="24"/>
        </w:rPr>
        <w:t>vērojama</w:t>
      </w:r>
      <w:r w:rsidR="00733C06">
        <w:rPr>
          <w:sz w:val="24"/>
          <w:szCs w:val="24"/>
        </w:rPr>
        <w:t xml:space="preserve"> tādās RIS3 specializācijas jomās kā  „V</w:t>
      </w:r>
      <w:r w:rsidR="00733C06" w:rsidRPr="00964302">
        <w:rPr>
          <w:sz w:val="24"/>
          <w:szCs w:val="24"/>
        </w:rPr>
        <w:t>iedie materiāli, tehnoloģijas un inženiersistēmas</w:t>
      </w:r>
      <w:r w:rsidR="00733C06">
        <w:rPr>
          <w:sz w:val="24"/>
          <w:szCs w:val="24"/>
        </w:rPr>
        <w:t xml:space="preserve">” </w:t>
      </w:r>
      <w:r w:rsidR="001674B5">
        <w:rPr>
          <w:sz w:val="24"/>
          <w:szCs w:val="24"/>
        </w:rPr>
        <w:t xml:space="preserve">(3 pētniecības pieteikumu ietvaros tiks īstenota sadarbība ar 6 komersantiem) </w:t>
      </w:r>
      <w:r w:rsidR="00733C06">
        <w:rPr>
          <w:sz w:val="24"/>
          <w:szCs w:val="24"/>
        </w:rPr>
        <w:t xml:space="preserve">un </w:t>
      </w:r>
      <w:r w:rsidR="00733C06" w:rsidRPr="00964302">
        <w:rPr>
          <w:sz w:val="24"/>
          <w:szCs w:val="24"/>
        </w:rPr>
        <w:t>„Sociālās un humanitārās zinātnes”</w:t>
      </w:r>
      <w:r w:rsidR="00DE4136">
        <w:rPr>
          <w:sz w:val="24"/>
          <w:szCs w:val="24"/>
        </w:rPr>
        <w:t>,</w:t>
      </w:r>
      <w:r w:rsidR="00F36C60">
        <w:rPr>
          <w:sz w:val="24"/>
          <w:szCs w:val="24"/>
        </w:rPr>
        <w:t xml:space="preserve"> kur </w:t>
      </w:r>
      <w:r w:rsidR="001674B5">
        <w:rPr>
          <w:sz w:val="24"/>
          <w:szCs w:val="24"/>
        </w:rPr>
        <w:t>6 pētniecības pieteikumos</w:t>
      </w:r>
      <w:r w:rsidR="00F36C60">
        <w:rPr>
          <w:sz w:val="24"/>
          <w:szCs w:val="24"/>
        </w:rPr>
        <w:t xml:space="preserve"> plānots sadarboties ar 6 komersantiem,</w:t>
      </w:r>
      <w:r w:rsidR="00DE4136">
        <w:rPr>
          <w:sz w:val="24"/>
          <w:szCs w:val="24"/>
        </w:rPr>
        <w:t xml:space="preserve"> kā arī „</w:t>
      </w:r>
      <w:r w:rsidR="00DE4136" w:rsidRPr="00F562F3">
        <w:rPr>
          <w:sz w:val="24"/>
          <w:szCs w:val="24"/>
        </w:rPr>
        <w:t>Informācijas un komunikāciju tehnoloģijas</w:t>
      </w:r>
      <w:r w:rsidR="00DE4136">
        <w:rPr>
          <w:sz w:val="24"/>
          <w:szCs w:val="24"/>
        </w:rPr>
        <w:t>”</w:t>
      </w:r>
      <w:r w:rsidR="00F36C60">
        <w:rPr>
          <w:sz w:val="24"/>
          <w:szCs w:val="24"/>
        </w:rPr>
        <w:t>, kur četru pētniecības pieteikumu ietvaros plānota sadarbība kopumā ar 5 komersantiem</w:t>
      </w:r>
      <w:r w:rsidR="00531496">
        <w:rPr>
          <w:sz w:val="24"/>
          <w:szCs w:val="24"/>
        </w:rPr>
        <w:t xml:space="preserve"> (attēls Nr. </w:t>
      </w:r>
      <w:r w:rsidR="000078B1">
        <w:rPr>
          <w:sz w:val="24"/>
          <w:szCs w:val="24"/>
        </w:rPr>
        <w:t>15</w:t>
      </w:r>
      <w:r w:rsidR="00531496">
        <w:rPr>
          <w:sz w:val="24"/>
          <w:szCs w:val="24"/>
        </w:rPr>
        <w:t>)</w:t>
      </w:r>
      <w:r w:rsidR="00DE4136">
        <w:rPr>
          <w:sz w:val="24"/>
          <w:szCs w:val="24"/>
        </w:rPr>
        <w:t xml:space="preserve">. </w:t>
      </w:r>
      <w:r w:rsidR="00733C06">
        <w:rPr>
          <w:sz w:val="24"/>
          <w:szCs w:val="24"/>
        </w:rPr>
        <w:t xml:space="preserve">Savukārt, </w:t>
      </w:r>
      <w:r w:rsidR="00733C06" w:rsidRPr="00964302">
        <w:rPr>
          <w:sz w:val="24"/>
          <w:szCs w:val="24"/>
        </w:rPr>
        <w:t xml:space="preserve">lielāku privāto finansējumu </w:t>
      </w:r>
      <w:r w:rsidR="00733C06">
        <w:rPr>
          <w:sz w:val="24"/>
          <w:szCs w:val="24"/>
        </w:rPr>
        <w:t>plānots piesaistīt pētījumu īstenošanai</w:t>
      </w:r>
      <w:r w:rsidR="00733C06" w:rsidRPr="00964302">
        <w:rPr>
          <w:sz w:val="24"/>
          <w:szCs w:val="24"/>
        </w:rPr>
        <w:t xml:space="preserve"> </w:t>
      </w:r>
      <w:r w:rsidR="00733C06">
        <w:rPr>
          <w:sz w:val="24"/>
          <w:szCs w:val="24"/>
        </w:rPr>
        <w:t>RIS3 specializācijas jomā „B</w:t>
      </w:r>
      <w:r w:rsidR="00733C06" w:rsidRPr="00964302">
        <w:rPr>
          <w:sz w:val="24"/>
          <w:szCs w:val="24"/>
        </w:rPr>
        <w:t>iomedicīna, medicīnas tehnoloģijas, biofarmācija un biotehnoloģijas</w:t>
      </w:r>
      <w:r w:rsidR="00733C06">
        <w:rPr>
          <w:sz w:val="24"/>
          <w:szCs w:val="24"/>
        </w:rPr>
        <w:t xml:space="preserve">”, piesaistot </w:t>
      </w:r>
      <w:r w:rsidR="00733C06" w:rsidRPr="00964302">
        <w:rPr>
          <w:sz w:val="24"/>
          <w:szCs w:val="24"/>
        </w:rPr>
        <w:t>194</w:t>
      </w:r>
      <w:r w:rsidR="00733C06">
        <w:rPr>
          <w:sz w:val="24"/>
          <w:szCs w:val="24"/>
        </w:rPr>
        <w:t xml:space="preserve"> </w:t>
      </w:r>
      <w:r w:rsidR="00733C06" w:rsidRPr="00964302">
        <w:rPr>
          <w:sz w:val="24"/>
          <w:szCs w:val="24"/>
        </w:rPr>
        <w:t>527</w:t>
      </w:r>
      <w:r w:rsidR="00733C06">
        <w:rPr>
          <w:sz w:val="24"/>
          <w:szCs w:val="24"/>
        </w:rPr>
        <w:t xml:space="preserve"> </w:t>
      </w:r>
      <w:r w:rsidR="00733C06" w:rsidRPr="00964302">
        <w:rPr>
          <w:i/>
          <w:sz w:val="24"/>
          <w:szCs w:val="24"/>
        </w:rPr>
        <w:t>euro</w:t>
      </w:r>
      <w:r w:rsidR="00733C06">
        <w:rPr>
          <w:sz w:val="24"/>
          <w:szCs w:val="24"/>
        </w:rPr>
        <w:t xml:space="preserve"> jeb 41 % no kopējā 1. un 2. atlases kārtas ietvaros plānotā piesaistītā privātā finansējuma</w:t>
      </w:r>
      <w:r w:rsidR="00531496">
        <w:rPr>
          <w:sz w:val="24"/>
          <w:szCs w:val="24"/>
        </w:rPr>
        <w:t xml:space="preserve"> (attēls Nr. 1</w:t>
      </w:r>
      <w:r w:rsidR="000078B1">
        <w:rPr>
          <w:sz w:val="24"/>
          <w:szCs w:val="24"/>
        </w:rPr>
        <w:t>6</w:t>
      </w:r>
      <w:r w:rsidR="00531496">
        <w:rPr>
          <w:sz w:val="24"/>
          <w:szCs w:val="24"/>
        </w:rPr>
        <w:t>)</w:t>
      </w:r>
      <w:r w:rsidR="00733C06">
        <w:rPr>
          <w:sz w:val="24"/>
          <w:szCs w:val="24"/>
        </w:rPr>
        <w:t xml:space="preserve">. </w:t>
      </w:r>
    </w:p>
    <w:p w14:paraId="7A6D07C8" w14:textId="77777777" w:rsidR="00167DC4" w:rsidRDefault="000879EB" w:rsidP="006F3687">
      <w:pPr>
        <w:spacing w:before="240" w:after="120" w:line="240" w:lineRule="auto"/>
        <w:jc w:val="both"/>
        <w:rPr>
          <w:sz w:val="24"/>
          <w:szCs w:val="24"/>
        </w:rPr>
      </w:pPr>
      <w:r>
        <w:rPr>
          <w:noProof/>
          <w:lang w:val="en-US"/>
        </w:rPr>
        <w:drawing>
          <wp:inline distT="0" distB="0" distL="0" distR="0" wp14:anchorId="32C1370D" wp14:editId="3969AD90">
            <wp:extent cx="2808605" cy="2077085"/>
            <wp:effectExtent l="0" t="0" r="10795" b="184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F562F3">
        <w:rPr>
          <w:noProof/>
          <w:sz w:val="14"/>
          <w:szCs w:val="14"/>
          <w:lang w:val="en-US"/>
        </w:rPr>
        <w:drawing>
          <wp:inline distT="0" distB="0" distL="0" distR="0" wp14:anchorId="26343DDD" wp14:editId="3D3604E0">
            <wp:extent cx="2838297" cy="2077237"/>
            <wp:effectExtent l="0" t="0" r="635" b="184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3D08701" w14:textId="77777777" w:rsidR="00A50AD9" w:rsidRDefault="005E36FF" w:rsidP="006F3687">
      <w:pPr>
        <w:spacing w:before="240" w:after="120" w:line="240" w:lineRule="auto"/>
        <w:jc w:val="both"/>
        <w:rPr>
          <w:sz w:val="24"/>
          <w:szCs w:val="24"/>
        </w:rPr>
      </w:pPr>
      <w:r w:rsidRPr="00DF19D5">
        <w:rPr>
          <w:sz w:val="24"/>
          <w:szCs w:val="24"/>
        </w:rPr>
        <w:t xml:space="preserve">Izvērtējot augstāk minēto, kā arī ņemot vērā IZM laika periodā no 19.10.2018. līdz 20.11.2018.  organizēto RIS3 publisko diskusiju ietvaros sniegtos ieteikumus, nepieciešams </w:t>
      </w:r>
      <w:r w:rsidR="00DD183D">
        <w:rPr>
          <w:sz w:val="24"/>
          <w:szCs w:val="24"/>
        </w:rPr>
        <w:t xml:space="preserve">izstrādāt </w:t>
      </w:r>
      <w:r w:rsidRPr="00DF19D5">
        <w:rPr>
          <w:sz w:val="24"/>
          <w:szCs w:val="24"/>
        </w:rPr>
        <w:t>mehānismu, kā pilnveidot un attīstīt sadarbību starp zinātniskajām institūcijām un komersantiem, piemēram,</w:t>
      </w:r>
      <w:r w:rsidR="007D499D">
        <w:rPr>
          <w:sz w:val="24"/>
          <w:szCs w:val="24"/>
        </w:rPr>
        <w:t xml:space="preserve"> izvērtējot iespējas organizēt </w:t>
      </w:r>
      <w:r w:rsidRPr="00DF19D5">
        <w:rPr>
          <w:sz w:val="24"/>
          <w:szCs w:val="24"/>
        </w:rPr>
        <w:t>sadarbības platformas pirms</w:t>
      </w:r>
      <w:r w:rsidR="00DF19D5" w:rsidRPr="00DF19D5">
        <w:rPr>
          <w:sz w:val="24"/>
          <w:szCs w:val="24"/>
        </w:rPr>
        <w:t xml:space="preserve"> </w:t>
      </w:r>
      <w:r w:rsidR="007D499D">
        <w:rPr>
          <w:sz w:val="24"/>
          <w:szCs w:val="24"/>
        </w:rPr>
        <w:t>ES fondu</w:t>
      </w:r>
      <w:r w:rsidR="00DF19D5" w:rsidRPr="00DF19D5">
        <w:rPr>
          <w:sz w:val="24"/>
          <w:szCs w:val="24"/>
        </w:rPr>
        <w:t xml:space="preserve"> konkursu atlasēm vai konferences</w:t>
      </w:r>
      <w:r w:rsidR="00DF19D5">
        <w:rPr>
          <w:sz w:val="24"/>
          <w:szCs w:val="24"/>
        </w:rPr>
        <w:t xml:space="preserve"> konkrētās </w:t>
      </w:r>
      <w:r w:rsidR="007D499D">
        <w:rPr>
          <w:sz w:val="24"/>
          <w:szCs w:val="24"/>
        </w:rPr>
        <w:t xml:space="preserve">RIS3 specializācijas </w:t>
      </w:r>
      <w:r w:rsidR="00DF19D5">
        <w:rPr>
          <w:sz w:val="24"/>
          <w:szCs w:val="24"/>
        </w:rPr>
        <w:t xml:space="preserve">jomās, </w:t>
      </w:r>
      <w:r w:rsidR="007D499D">
        <w:rPr>
          <w:sz w:val="24"/>
          <w:szCs w:val="24"/>
        </w:rPr>
        <w:t xml:space="preserve">kurās tiktos iesaistītas </w:t>
      </w:r>
      <w:r w:rsidR="007D499D">
        <w:rPr>
          <w:sz w:val="24"/>
          <w:szCs w:val="24"/>
        </w:rPr>
        <w:lastRenderedPageBreak/>
        <w:t>puses,</w:t>
      </w:r>
      <w:r>
        <w:rPr>
          <w:sz w:val="24"/>
          <w:szCs w:val="24"/>
        </w:rPr>
        <w:t xml:space="preserve"> lai </w:t>
      </w:r>
      <w:r w:rsidRPr="005E36FF">
        <w:rPr>
          <w:sz w:val="24"/>
          <w:szCs w:val="24"/>
        </w:rPr>
        <w:t xml:space="preserve">pārrunāt </w:t>
      </w:r>
      <w:r w:rsidR="00DF19D5">
        <w:rPr>
          <w:sz w:val="24"/>
          <w:szCs w:val="24"/>
        </w:rPr>
        <w:t>potenciālās sadarbības iespējas</w:t>
      </w:r>
      <w:r w:rsidR="007D499D">
        <w:rPr>
          <w:sz w:val="24"/>
          <w:szCs w:val="24"/>
        </w:rPr>
        <w:t xml:space="preserve"> un attiecīgās jomas un nozares aktualitātes un nepieciešamās darbības un virzienus turpmākajai attīstībai. </w:t>
      </w:r>
      <w:r w:rsidR="00DF19D5">
        <w:rPr>
          <w:sz w:val="24"/>
          <w:szCs w:val="24"/>
        </w:rPr>
        <w:t>Šobrīd gan zinātniskās institūcijas, gan komersanti norāda uz to, ka trūkst savstarpēja komunikācija.</w:t>
      </w:r>
      <w:r w:rsidR="00CD2775">
        <w:rPr>
          <w:sz w:val="24"/>
          <w:szCs w:val="24"/>
        </w:rPr>
        <w:t xml:space="preserve"> </w:t>
      </w:r>
    </w:p>
    <w:p w14:paraId="31D81B3D" w14:textId="77777777" w:rsidR="00FE66D1" w:rsidRPr="00DF19D5" w:rsidRDefault="00B032BB" w:rsidP="001317ED">
      <w:pPr>
        <w:spacing w:after="120" w:line="240" w:lineRule="auto"/>
        <w:jc w:val="both"/>
        <w:rPr>
          <w:sz w:val="24"/>
          <w:szCs w:val="24"/>
        </w:rPr>
      </w:pPr>
      <w:r w:rsidRPr="00224A9E">
        <w:rPr>
          <w:sz w:val="24"/>
          <w:szCs w:val="24"/>
        </w:rPr>
        <w:t>Ņemot vērā</w:t>
      </w:r>
      <w:r w:rsidR="004F115D" w:rsidRPr="00224A9E">
        <w:rPr>
          <w:sz w:val="24"/>
          <w:szCs w:val="24"/>
        </w:rPr>
        <w:t xml:space="preserve"> salīdzinoši nelielo komersantu aktivitāti arī 2. atlases kārtas ietvaros, nepieciešams izvērtēt un veikt izmaiņas Pēcdoktorantūras pētniecības programmas </w:t>
      </w:r>
      <w:r w:rsidR="005437DC" w:rsidRPr="00224A9E">
        <w:rPr>
          <w:sz w:val="24"/>
          <w:szCs w:val="24"/>
        </w:rPr>
        <w:t>nākam</w:t>
      </w:r>
      <w:r w:rsidR="003672D5" w:rsidRPr="00224A9E">
        <w:rPr>
          <w:sz w:val="24"/>
          <w:szCs w:val="24"/>
        </w:rPr>
        <w:t xml:space="preserve">o atlases kārtu ieviešanas </w:t>
      </w:r>
      <w:r w:rsidR="004F115D" w:rsidRPr="00224A9E">
        <w:rPr>
          <w:sz w:val="24"/>
          <w:szCs w:val="24"/>
        </w:rPr>
        <w:t>nosacījumos, lai motivētu komersantus aktīvāk iesaistīties programmas īstenošanā</w:t>
      </w:r>
      <w:r w:rsidR="004F115D" w:rsidRPr="003672D5">
        <w:rPr>
          <w:sz w:val="24"/>
          <w:szCs w:val="24"/>
        </w:rPr>
        <w:t>, gan iesniedzot individuālus pētniecības pieteikumus, gan kā s</w:t>
      </w:r>
      <w:r w:rsidR="003672D5">
        <w:rPr>
          <w:sz w:val="24"/>
          <w:szCs w:val="24"/>
        </w:rPr>
        <w:t xml:space="preserve">adarbības partnerim piedaloties </w:t>
      </w:r>
      <w:r w:rsidR="004F115D" w:rsidRPr="003672D5">
        <w:rPr>
          <w:sz w:val="24"/>
          <w:szCs w:val="24"/>
        </w:rPr>
        <w:t>zinātniskās institūcijas iesniegta pētniecības pieteikuma īstenošanā</w:t>
      </w:r>
      <w:r w:rsidR="003672D5" w:rsidRPr="003672D5">
        <w:rPr>
          <w:sz w:val="24"/>
          <w:szCs w:val="24"/>
        </w:rPr>
        <w:t>.</w:t>
      </w:r>
      <w:r w:rsidR="00A50AD9">
        <w:rPr>
          <w:sz w:val="24"/>
          <w:szCs w:val="24"/>
        </w:rPr>
        <w:t xml:space="preserve"> Viens no būtiskiem aspektiem, kas motivētu komersantus aktīvāk izmantot šīs programmas iespējas, ir </w:t>
      </w:r>
      <w:r w:rsidR="00A50AD9" w:rsidRPr="00A50AD9">
        <w:rPr>
          <w:sz w:val="24"/>
          <w:szCs w:val="24"/>
          <w:u w:val="single"/>
        </w:rPr>
        <w:t xml:space="preserve">prasības par obligātu izveidotās </w:t>
      </w:r>
      <w:r w:rsidR="00A50AD9">
        <w:rPr>
          <w:sz w:val="24"/>
          <w:szCs w:val="24"/>
          <w:u w:val="single"/>
        </w:rPr>
        <w:t xml:space="preserve">pēcdoktoranta </w:t>
      </w:r>
      <w:r w:rsidR="00A50AD9" w:rsidRPr="00A50AD9">
        <w:rPr>
          <w:sz w:val="24"/>
          <w:szCs w:val="24"/>
          <w:u w:val="single"/>
        </w:rPr>
        <w:t>darba vietas ilgtspējas nodrošināšanu, mīkstināšana</w:t>
      </w:r>
      <w:r w:rsidR="00A50AD9">
        <w:rPr>
          <w:sz w:val="24"/>
          <w:szCs w:val="24"/>
        </w:rPr>
        <w:t>. Papildus</w:t>
      </w:r>
      <w:r w:rsidR="00A85883">
        <w:rPr>
          <w:sz w:val="24"/>
          <w:szCs w:val="24"/>
        </w:rPr>
        <w:t>,</w:t>
      </w:r>
      <w:r w:rsidR="004F115D" w:rsidRPr="003672D5">
        <w:rPr>
          <w:sz w:val="24"/>
          <w:szCs w:val="24"/>
        </w:rPr>
        <w:t xml:space="preserve"> </w:t>
      </w:r>
      <w:r w:rsidR="003672D5" w:rsidRPr="003672D5">
        <w:rPr>
          <w:sz w:val="24"/>
          <w:szCs w:val="24"/>
        </w:rPr>
        <w:t xml:space="preserve">visām </w:t>
      </w:r>
      <w:r w:rsidR="004F115D" w:rsidRPr="003672D5">
        <w:rPr>
          <w:sz w:val="24"/>
          <w:szCs w:val="24"/>
        </w:rPr>
        <w:t>iesaistītajām pusēm</w:t>
      </w:r>
      <w:r w:rsidR="003672D5">
        <w:rPr>
          <w:sz w:val="24"/>
          <w:szCs w:val="24"/>
        </w:rPr>
        <w:t xml:space="preserve"> (IZM, VIAA un zinātniskajām institūcijām)</w:t>
      </w:r>
      <w:r w:rsidR="003672D5" w:rsidRPr="003672D5">
        <w:rPr>
          <w:sz w:val="24"/>
          <w:szCs w:val="24"/>
        </w:rPr>
        <w:t xml:space="preserve"> nepieciešams</w:t>
      </w:r>
      <w:r w:rsidR="004F115D" w:rsidRPr="003672D5">
        <w:rPr>
          <w:sz w:val="24"/>
          <w:szCs w:val="24"/>
        </w:rPr>
        <w:t xml:space="preserve"> īstenot aktivitāšu</w:t>
      </w:r>
      <w:r w:rsidR="003672D5" w:rsidRPr="003672D5">
        <w:rPr>
          <w:sz w:val="24"/>
          <w:szCs w:val="24"/>
        </w:rPr>
        <w:t xml:space="preserve"> un darbību</w:t>
      </w:r>
      <w:r w:rsidR="004F115D" w:rsidRPr="003672D5">
        <w:rPr>
          <w:sz w:val="24"/>
          <w:szCs w:val="24"/>
        </w:rPr>
        <w:t xml:space="preserve"> kopumu, lai </w:t>
      </w:r>
      <w:r w:rsidR="003672D5" w:rsidRPr="005437DC">
        <w:rPr>
          <w:sz w:val="24"/>
          <w:szCs w:val="24"/>
          <w:u w:val="single"/>
        </w:rPr>
        <w:t xml:space="preserve">savlaicīgi un vieglāk uztveramā veidā </w:t>
      </w:r>
      <w:r w:rsidR="004F115D" w:rsidRPr="005437DC">
        <w:rPr>
          <w:sz w:val="24"/>
          <w:szCs w:val="24"/>
          <w:u w:val="single"/>
        </w:rPr>
        <w:t>informētu komersantus par programmas īstenošanas nosacījumiem</w:t>
      </w:r>
      <w:r w:rsidR="00A50AD9">
        <w:rPr>
          <w:sz w:val="24"/>
          <w:szCs w:val="24"/>
        </w:rPr>
        <w:t xml:space="preserve"> un </w:t>
      </w:r>
      <w:r w:rsidR="004F115D" w:rsidRPr="003672D5">
        <w:rPr>
          <w:sz w:val="24"/>
          <w:szCs w:val="24"/>
        </w:rPr>
        <w:t>sniegtajām iespējām komersanta darb</w:t>
      </w:r>
      <w:r w:rsidR="009C2413">
        <w:rPr>
          <w:sz w:val="24"/>
          <w:szCs w:val="24"/>
        </w:rPr>
        <w:t>ības attīstīšan</w:t>
      </w:r>
      <w:r w:rsidR="003672D5">
        <w:rPr>
          <w:sz w:val="24"/>
          <w:szCs w:val="24"/>
        </w:rPr>
        <w:t>ai.</w:t>
      </w:r>
      <w:r w:rsidR="003672D5" w:rsidRPr="003672D5">
        <w:rPr>
          <w:sz w:val="24"/>
          <w:szCs w:val="24"/>
        </w:rPr>
        <w:t xml:space="preserve"> </w:t>
      </w:r>
      <w:r w:rsidR="00FE66D1">
        <w:rPr>
          <w:b/>
          <w:color w:val="323E4F" w:themeColor="text2" w:themeShade="BF"/>
          <w:sz w:val="28"/>
          <w:szCs w:val="28"/>
        </w:rPr>
        <w:br w:type="page"/>
      </w:r>
    </w:p>
    <w:p w14:paraId="4A99BFE3" w14:textId="6983C76D" w:rsidR="009851BE" w:rsidRPr="00A52632" w:rsidRDefault="009851BE" w:rsidP="0024408B">
      <w:pPr>
        <w:pStyle w:val="Heading1"/>
        <w:numPr>
          <w:ilvl w:val="0"/>
          <w:numId w:val="3"/>
        </w:numPr>
        <w:spacing w:before="360" w:after="240" w:line="240" w:lineRule="auto"/>
        <w:ind w:left="788" w:hanging="357"/>
        <w:jc w:val="both"/>
        <w:rPr>
          <w:b/>
          <w:color w:val="323E4F" w:themeColor="text2" w:themeShade="BF"/>
          <w:sz w:val="28"/>
          <w:szCs w:val="28"/>
        </w:rPr>
      </w:pPr>
      <w:bookmarkStart w:id="11" w:name="_Toc3218335"/>
      <w:r w:rsidRPr="00A52632">
        <w:rPr>
          <w:b/>
          <w:color w:val="323E4F" w:themeColor="text2" w:themeShade="BF"/>
          <w:sz w:val="28"/>
          <w:szCs w:val="28"/>
        </w:rPr>
        <w:lastRenderedPageBreak/>
        <w:t>VIAA kā Pēcdoktorantūras pētniecības programmas finansējuma saņēmēja veikto darbīb</w:t>
      </w:r>
      <w:r w:rsidR="00DA5A7F">
        <w:rPr>
          <w:b/>
          <w:color w:val="323E4F" w:themeColor="text2" w:themeShade="BF"/>
          <w:sz w:val="28"/>
          <w:szCs w:val="28"/>
        </w:rPr>
        <w:t>u</w:t>
      </w:r>
      <w:r w:rsidRPr="00A52632">
        <w:rPr>
          <w:b/>
          <w:color w:val="323E4F" w:themeColor="text2" w:themeShade="BF"/>
          <w:sz w:val="28"/>
          <w:szCs w:val="28"/>
        </w:rPr>
        <w:t xml:space="preserve"> analīze</w:t>
      </w:r>
      <w:bookmarkEnd w:id="11"/>
    </w:p>
    <w:p w14:paraId="0763414F" w14:textId="77777777" w:rsidR="00E47246" w:rsidRPr="000C6B52" w:rsidRDefault="00E47246" w:rsidP="0024408B">
      <w:pPr>
        <w:spacing w:line="240" w:lineRule="auto"/>
        <w:jc w:val="both"/>
        <w:rPr>
          <w:sz w:val="24"/>
          <w:szCs w:val="24"/>
        </w:rPr>
      </w:pPr>
      <w:r w:rsidRPr="00E47246">
        <w:rPr>
          <w:sz w:val="24"/>
          <w:szCs w:val="24"/>
        </w:rPr>
        <w:t>Saskaņā ar Pēcdoktorantūras pētniecības pro</w:t>
      </w:r>
      <w:r w:rsidR="001813C9">
        <w:rPr>
          <w:sz w:val="24"/>
          <w:szCs w:val="24"/>
        </w:rPr>
        <w:t>grammas ieviešanas nosacījumiem</w:t>
      </w:r>
      <w:r w:rsidRPr="00E47246">
        <w:rPr>
          <w:sz w:val="24"/>
          <w:szCs w:val="24"/>
        </w:rPr>
        <w:t xml:space="preserve"> VIAA ir atbildīga ne tikai par pētniecības pieteikumu atlasi, vērtēšanu un līgumsaistību izpildes uzra</w:t>
      </w:r>
      <w:r w:rsidR="00F03D56">
        <w:rPr>
          <w:sz w:val="24"/>
          <w:szCs w:val="24"/>
        </w:rPr>
        <w:t xml:space="preserve">udzību, bet arī par programmas </w:t>
      </w:r>
      <w:r w:rsidRPr="00E47246">
        <w:rPr>
          <w:sz w:val="24"/>
          <w:szCs w:val="24"/>
        </w:rPr>
        <w:t>mērķa sasniegšanai nepieciešamo saturisko dar</w:t>
      </w:r>
      <w:r w:rsidR="00F03D56">
        <w:rPr>
          <w:sz w:val="24"/>
          <w:szCs w:val="24"/>
        </w:rPr>
        <w:t xml:space="preserve">bību un aktivitāšu īstenošanu. </w:t>
      </w:r>
      <w:r w:rsidRPr="00E47246">
        <w:rPr>
          <w:sz w:val="24"/>
          <w:szCs w:val="24"/>
        </w:rPr>
        <w:t xml:space="preserve">Attiecīgi, VIAA projekta ietvaros veic </w:t>
      </w:r>
      <w:r w:rsidR="002E7658">
        <w:rPr>
          <w:sz w:val="24"/>
          <w:szCs w:val="24"/>
        </w:rPr>
        <w:t xml:space="preserve">arī </w:t>
      </w:r>
      <w:r w:rsidRPr="00E47246">
        <w:rPr>
          <w:sz w:val="24"/>
          <w:szCs w:val="24"/>
        </w:rPr>
        <w:t xml:space="preserve">ārvalstu pēcdoktorantu, tostarp ar latviešu izcelsmi, apzināšanu un piesaisti darbam Latvijas zinātniskajās institūcijās un pie komersantiem, sniedz padziļinātāku konsultatīvo un metodisko atbalstu potenciālajiem pētniecības pieteikumu </w:t>
      </w:r>
      <w:r w:rsidRPr="000C6B52">
        <w:rPr>
          <w:sz w:val="24"/>
          <w:szCs w:val="24"/>
        </w:rPr>
        <w:t>iesniedzējiem pieteikuma sagatavošanas posmā, kā arī pētniecības pieteikumu īstenotājiem pēcdoktoranta pētījuma īstenošanas laikā, organizē dažāda veida un formāta informatīvos un komunikācijas pasākumus prog</w:t>
      </w:r>
      <w:r w:rsidR="002E7658" w:rsidRPr="000C6B52">
        <w:rPr>
          <w:sz w:val="24"/>
          <w:szCs w:val="24"/>
        </w:rPr>
        <w:t>rammas īstenošanā iesaistītajām institūcijām un pēcdoktorantiem, kā arī</w:t>
      </w:r>
      <w:r w:rsidRPr="000C6B52">
        <w:rPr>
          <w:sz w:val="24"/>
          <w:szCs w:val="24"/>
        </w:rPr>
        <w:t xml:space="preserve"> plašākai sabiedrībai.</w:t>
      </w:r>
    </w:p>
    <w:p w14:paraId="05CD1F03" w14:textId="77777777" w:rsidR="00FF5BFF" w:rsidRDefault="00662D10" w:rsidP="00FF5BFF">
      <w:pPr>
        <w:spacing w:before="120" w:after="0" w:line="240" w:lineRule="auto"/>
        <w:jc w:val="both"/>
        <w:rPr>
          <w:sz w:val="24"/>
          <w:szCs w:val="24"/>
        </w:rPr>
      </w:pPr>
      <w:r w:rsidRPr="000C6B52">
        <w:rPr>
          <w:b/>
          <w:sz w:val="24"/>
          <w:szCs w:val="24"/>
        </w:rPr>
        <w:t>Pētniecības pieteikumu vērtēšanas process.</w:t>
      </w:r>
      <w:r w:rsidRPr="000C6B52">
        <w:rPr>
          <w:sz w:val="24"/>
          <w:szCs w:val="24"/>
        </w:rPr>
        <w:t xml:space="preserve"> </w:t>
      </w:r>
      <w:r w:rsidR="000C565B" w:rsidRPr="000C6B52">
        <w:rPr>
          <w:sz w:val="24"/>
          <w:szCs w:val="24"/>
        </w:rPr>
        <w:t xml:space="preserve">Kā minēts, 1.1. sadaļā, </w:t>
      </w:r>
      <w:r w:rsidR="00E47246" w:rsidRPr="000C6B52">
        <w:rPr>
          <w:sz w:val="24"/>
          <w:szCs w:val="24"/>
        </w:rPr>
        <w:t xml:space="preserve">laika posmā no 01.09.2016. līdz </w:t>
      </w:r>
      <w:r w:rsidR="000C565B" w:rsidRPr="000C6B52">
        <w:rPr>
          <w:sz w:val="24"/>
          <w:szCs w:val="24"/>
        </w:rPr>
        <w:t>31.10.2018. VIAA</w:t>
      </w:r>
      <w:r w:rsidR="00E47246" w:rsidRPr="000C6B52">
        <w:rPr>
          <w:sz w:val="24"/>
          <w:szCs w:val="24"/>
        </w:rPr>
        <w:t xml:space="preserve"> ir nodrošinājusi 2 pētniecības pieteikumu atlases kārtu konkursu organizēšanu, 386 iesniegto pētniecības pieteikumu vērtēšanu, tostarp zinātniskās kvalitātes novērtēšanai piesaistot EK ekspertu datu bāzē iekļautos</w:t>
      </w:r>
      <w:r w:rsidR="00E47246" w:rsidRPr="00E47246">
        <w:rPr>
          <w:sz w:val="24"/>
          <w:szCs w:val="24"/>
        </w:rPr>
        <w:t xml:space="preserve"> ekspertus, kā arī noslēgusi 149 līgumus</w:t>
      </w:r>
      <w:r w:rsidR="00E47246">
        <w:rPr>
          <w:rStyle w:val="FootnoteReference"/>
          <w:sz w:val="24"/>
          <w:szCs w:val="24"/>
        </w:rPr>
        <w:footnoteReference w:id="16"/>
      </w:r>
      <w:r w:rsidR="00E47246" w:rsidRPr="00E47246">
        <w:rPr>
          <w:sz w:val="24"/>
          <w:szCs w:val="24"/>
        </w:rPr>
        <w:t xml:space="preserve"> ar pētniecības pieteikumu iesniedzējiem par pēcdoktorant</w:t>
      </w:r>
      <w:r w:rsidR="002E7658">
        <w:rPr>
          <w:sz w:val="24"/>
          <w:szCs w:val="24"/>
        </w:rPr>
        <w:t>u</w:t>
      </w:r>
      <w:r w:rsidR="00E47246" w:rsidRPr="00E47246">
        <w:rPr>
          <w:sz w:val="24"/>
          <w:szCs w:val="24"/>
        </w:rPr>
        <w:t xml:space="preserve"> pētījum</w:t>
      </w:r>
      <w:r w:rsidR="002E7658">
        <w:rPr>
          <w:sz w:val="24"/>
          <w:szCs w:val="24"/>
        </w:rPr>
        <w:t>u</w:t>
      </w:r>
      <w:r w:rsidR="00E47246" w:rsidRPr="00E47246">
        <w:rPr>
          <w:sz w:val="24"/>
          <w:szCs w:val="24"/>
        </w:rPr>
        <w:t xml:space="preserve"> īstenošanu.</w:t>
      </w:r>
    </w:p>
    <w:p w14:paraId="292B691E" w14:textId="331611F3" w:rsidR="00E47246" w:rsidRPr="00BC525F" w:rsidRDefault="00E47246" w:rsidP="00FF5BFF">
      <w:pPr>
        <w:spacing w:after="0" w:line="240" w:lineRule="auto"/>
        <w:jc w:val="both"/>
        <w:rPr>
          <w:sz w:val="24"/>
          <w:szCs w:val="24"/>
        </w:rPr>
      </w:pPr>
      <w:r w:rsidRPr="00E47246">
        <w:rPr>
          <w:sz w:val="24"/>
          <w:szCs w:val="24"/>
        </w:rPr>
        <w:t xml:space="preserve">Analizējot Pēcdoktorantūras pētniecības programmas atlases kārtas vērtēšanas procesu un tā rezultātus, konstatēts, ka no pētniecības pieteikuma iesniegšanas līdz līgumu slēgšanai paiet vidēji 6 - 7 mēneši. </w:t>
      </w:r>
      <w:r w:rsidR="002E7658">
        <w:rPr>
          <w:sz w:val="24"/>
          <w:szCs w:val="24"/>
        </w:rPr>
        <w:t>Lai arī IZM ieskatā m</w:t>
      </w:r>
      <w:r w:rsidRPr="00E47246">
        <w:rPr>
          <w:sz w:val="24"/>
          <w:szCs w:val="24"/>
        </w:rPr>
        <w:t>inētais vērtēšanas periods ir salīdzinoši ilgs</w:t>
      </w:r>
      <w:r w:rsidR="002E7658">
        <w:rPr>
          <w:sz w:val="24"/>
          <w:szCs w:val="24"/>
        </w:rPr>
        <w:t>,</w:t>
      </w:r>
      <w:r w:rsidRPr="00E47246">
        <w:rPr>
          <w:sz w:val="24"/>
          <w:szCs w:val="24"/>
        </w:rPr>
        <w:t xml:space="preserve"> </w:t>
      </w:r>
      <w:r w:rsidR="002E7658">
        <w:rPr>
          <w:sz w:val="24"/>
          <w:szCs w:val="24"/>
        </w:rPr>
        <w:t xml:space="preserve">tomēr tas ir </w:t>
      </w:r>
      <w:r w:rsidRPr="00E47246">
        <w:rPr>
          <w:sz w:val="24"/>
          <w:szCs w:val="24"/>
        </w:rPr>
        <w:t xml:space="preserve">cieši saistīts gan ar to, ka uzsākot EK ekspertu atlasi 2. atlases kārtas ietvaros, VIAA konstatēja ilgstošus EK ekspertu datubāzes pieejamības traucējumus, gan ar VIAA projekta ietvaros plānoto darbību īstenošanai pieejamo kapacitāti, gan arī ar to, ka pēcdoktoranti precizējumus </w:t>
      </w:r>
      <w:r w:rsidR="002E7658">
        <w:rPr>
          <w:sz w:val="24"/>
          <w:szCs w:val="24"/>
        </w:rPr>
        <w:t>pētniecības pieteikumā</w:t>
      </w:r>
      <w:r w:rsidRPr="00E47246">
        <w:rPr>
          <w:sz w:val="24"/>
          <w:szCs w:val="24"/>
        </w:rPr>
        <w:t xml:space="preserve"> atbilstoši VIAA lēmumā par pētniecības pieteikuma apstiprināšanu ar nosacījumu noteiktajam, var veikt divas </w:t>
      </w:r>
      <w:r w:rsidRPr="001813C9">
        <w:rPr>
          <w:sz w:val="24"/>
          <w:szCs w:val="24"/>
        </w:rPr>
        <w:t xml:space="preserve">reizes. Ņemot vērā minēto un, lai veicinātu pētniecības pieteikumu </w:t>
      </w:r>
      <w:r w:rsidR="002E7658" w:rsidRPr="001813C9">
        <w:rPr>
          <w:sz w:val="24"/>
          <w:szCs w:val="24"/>
        </w:rPr>
        <w:t>izvērtēšanu</w:t>
      </w:r>
      <w:r w:rsidRPr="001813C9">
        <w:rPr>
          <w:sz w:val="24"/>
          <w:szCs w:val="24"/>
        </w:rPr>
        <w:t xml:space="preserve"> īsākā termiņā, </w:t>
      </w:r>
      <w:r w:rsidR="002E7658" w:rsidRPr="001813C9">
        <w:rPr>
          <w:sz w:val="24"/>
          <w:szCs w:val="24"/>
        </w:rPr>
        <w:t>plānots</w:t>
      </w:r>
      <w:r w:rsidRPr="001813C9">
        <w:rPr>
          <w:sz w:val="24"/>
          <w:szCs w:val="24"/>
        </w:rPr>
        <w:t xml:space="preserve"> veikt izmaiņas Pēcdoktorantūras pētniecības programmas ieviešanas nosacījumos, paredzot, ka turpmāk pētniecības </w:t>
      </w:r>
      <w:r w:rsidRPr="00BC525F">
        <w:rPr>
          <w:sz w:val="24"/>
          <w:szCs w:val="24"/>
        </w:rPr>
        <w:t xml:space="preserve">pieteikumu zinātniskās kvalitātes </w:t>
      </w:r>
      <w:r w:rsidRPr="00EA20BA">
        <w:rPr>
          <w:sz w:val="24"/>
          <w:szCs w:val="24"/>
        </w:rPr>
        <w:t xml:space="preserve">izvērtēšanai var piesaistīt ārvalstu ekspertus ne tikai no EK ekspertu datu bāzes, bet arī no citām starptautiskajām </w:t>
      </w:r>
      <w:r w:rsidR="0003661D" w:rsidRPr="00EA20BA">
        <w:rPr>
          <w:sz w:val="24"/>
          <w:szCs w:val="24"/>
        </w:rPr>
        <w:t xml:space="preserve">zinātnisko </w:t>
      </w:r>
      <w:r w:rsidRPr="00EA20BA">
        <w:rPr>
          <w:sz w:val="24"/>
          <w:szCs w:val="24"/>
        </w:rPr>
        <w:t xml:space="preserve">ekspertu datubāzēm, </w:t>
      </w:r>
      <w:r w:rsidR="002E7658" w:rsidRPr="00EA20BA">
        <w:rPr>
          <w:sz w:val="24"/>
          <w:szCs w:val="24"/>
        </w:rPr>
        <w:t xml:space="preserve">vienlaikus </w:t>
      </w:r>
      <w:r w:rsidRPr="00EA20BA">
        <w:rPr>
          <w:sz w:val="24"/>
          <w:szCs w:val="24"/>
        </w:rPr>
        <w:t xml:space="preserve">nodrošinot </w:t>
      </w:r>
      <w:r w:rsidR="002E7658" w:rsidRPr="00EA20BA">
        <w:rPr>
          <w:sz w:val="24"/>
          <w:szCs w:val="24"/>
        </w:rPr>
        <w:t xml:space="preserve">ārvalstu ekspertu </w:t>
      </w:r>
      <w:r w:rsidRPr="00EA20BA">
        <w:rPr>
          <w:sz w:val="24"/>
          <w:szCs w:val="24"/>
        </w:rPr>
        <w:t xml:space="preserve">atbilstību </w:t>
      </w:r>
      <w:r w:rsidR="002E7658" w:rsidRPr="00EA20BA">
        <w:rPr>
          <w:sz w:val="24"/>
          <w:szCs w:val="24"/>
        </w:rPr>
        <w:t xml:space="preserve">ekspertu atlases </w:t>
      </w:r>
      <w:r w:rsidRPr="00EA20BA">
        <w:rPr>
          <w:sz w:val="24"/>
          <w:szCs w:val="24"/>
        </w:rPr>
        <w:t>kritērijiem</w:t>
      </w:r>
      <w:r w:rsidR="0003661D" w:rsidRPr="00EA20BA">
        <w:rPr>
          <w:sz w:val="24"/>
          <w:szCs w:val="24"/>
        </w:rPr>
        <w:t xml:space="preserve"> un Publisko iepirkumu likuma 5. panta 12. punkta prasībām</w:t>
      </w:r>
      <w:r w:rsidRPr="00EA20BA">
        <w:rPr>
          <w:sz w:val="24"/>
          <w:szCs w:val="24"/>
        </w:rPr>
        <w:t>.</w:t>
      </w:r>
    </w:p>
    <w:p w14:paraId="016C7221" w14:textId="77777777" w:rsidR="00EE38D7" w:rsidRDefault="00E47246" w:rsidP="007B0454">
      <w:pPr>
        <w:spacing w:after="0" w:line="240" w:lineRule="auto"/>
        <w:jc w:val="both"/>
        <w:rPr>
          <w:sz w:val="24"/>
          <w:szCs w:val="24"/>
        </w:rPr>
      </w:pPr>
      <w:r w:rsidRPr="00BC525F">
        <w:rPr>
          <w:sz w:val="24"/>
          <w:szCs w:val="24"/>
        </w:rPr>
        <w:t>CFLA</w:t>
      </w:r>
      <w:r w:rsidR="000C565B" w:rsidRPr="00BC525F">
        <w:rPr>
          <w:sz w:val="24"/>
          <w:szCs w:val="24"/>
        </w:rPr>
        <w:t xml:space="preserve"> </w:t>
      </w:r>
      <w:r w:rsidR="00FF5BFF" w:rsidRPr="00BC525F">
        <w:rPr>
          <w:sz w:val="24"/>
          <w:szCs w:val="24"/>
        </w:rPr>
        <w:t xml:space="preserve">2017. gadā un </w:t>
      </w:r>
      <w:r w:rsidR="006C00C6" w:rsidRPr="00BC525F">
        <w:rPr>
          <w:sz w:val="24"/>
          <w:szCs w:val="24"/>
        </w:rPr>
        <w:t>2018. gadā</w:t>
      </w:r>
      <w:r w:rsidR="006C00C6">
        <w:rPr>
          <w:sz w:val="24"/>
          <w:szCs w:val="24"/>
        </w:rPr>
        <w:t xml:space="preserve"> ir veikusi </w:t>
      </w:r>
      <w:r w:rsidR="00FF5BFF">
        <w:rPr>
          <w:sz w:val="24"/>
          <w:szCs w:val="24"/>
        </w:rPr>
        <w:t>3</w:t>
      </w:r>
      <w:r w:rsidR="006C00C6">
        <w:rPr>
          <w:sz w:val="24"/>
          <w:szCs w:val="24"/>
        </w:rPr>
        <w:t xml:space="preserve"> p</w:t>
      </w:r>
      <w:r w:rsidR="00FF5BFF">
        <w:rPr>
          <w:sz w:val="24"/>
          <w:szCs w:val="24"/>
        </w:rPr>
        <w:t>ārbaudes</w:t>
      </w:r>
      <w:r w:rsidR="006C00C6">
        <w:rPr>
          <w:sz w:val="24"/>
          <w:szCs w:val="24"/>
        </w:rPr>
        <w:t xml:space="preserve"> VIAA projekta īstenošanas vietā</w:t>
      </w:r>
      <w:r w:rsidR="00AB029D">
        <w:rPr>
          <w:sz w:val="24"/>
          <w:szCs w:val="24"/>
        </w:rPr>
        <w:t>, izvērtējot</w:t>
      </w:r>
      <w:r w:rsidR="002E7658">
        <w:rPr>
          <w:sz w:val="24"/>
          <w:szCs w:val="24"/>
        </w:rPr>
        <w:t xml:space="preserve"> </w:t>
      </w:r>
      <w:r w:rsidR="00FF5BFF">
        <w:rPr>
          <w:sz w:val="24"/>
          <w:szCs w:val="24"/>
        </w:rPr>
        <w:t>1. atlases kārtas ietvaros iesniegto pētniecības pieteikumu vērtēšanas procesu un</w:t>
      </w:r>
      <w:r w:rsidR="00AB029D">
        <w:rPr>
          <w:sz w:val="24"/>
          <w:szCs w:val="24"/>
        </w:rPr>
        <w:t xml:space="preserve"> pētniecības pieteikumu </w:t>
      </w:r>
      <w:r w:rsidR="00FF5BFF">
        <w:rPr>
          <w:sz w:val="24"/>
          <w:szCs w:val="24"/>
        </w:rPr>
        <w:t>īstenošanas uzraudzības procesus</w:t>
      </w:r>
      <w:r w:rsidR="00AB029D">
        <w:rPr>
          <w:sz w:val="24"/>
          <w:szCs w:val="24"/>
        </w:rPr>
        <w:t>. Veikt</w:t>
      </w:r>
      <w:r w:rsidR="00FF5BFF">
        <w:rPr>
          <w:sz w:val="24"/>
          <w:szCs w:val="24"/>
        </w:rPr>
        <w:t>o</w:t>
      </w:r>
      <w:r w:rsidR="000C565B">
        <w:rPr>
          <w:sz w:val="24"/>
          <w:szCs w:val="24"/>
        </w:rPr>
        <w:t xml:space="preserve"> </w:t>
      </w:r>
      <w:r w:rsidR="006C00C6">
        <w:rPr>
          <w:sz w:val="24"/>
          <w:szCs w:val="24"/>
        </w:rPr>
        <w:t>pārbau</w:t>
      </w:r>
      <w:r w:rsidR="00FF5BFF">
        <w:rPr>
          <w:sz w:val="24"/>
          <w:szCs w:val="24"/>
        </w:rPr>
        <w:t>žu</w:t>
      </w:r>
      <w:r w:rsidR="006C00C6">
        <w:rPr>
          <w:sz w:val="24"/>
          <w:szCs w:val="24"/>
        </w:rPr>
        <w:t xml:space="preserve"> rezultātā</w:t>
      </w:r>
      <w:r w:rsidR="00AB029D">
        <w:rPr>
          <w:sz w:val="24"/>
          <w:szCs w:val="24"/>
        </w:rPr>
        <w:t xml:space="preserve"> CFLA</w:t>
      </w:r>
      <w:r w:rsidR="006C00C6">
        <w:rPr>
          <w:sz w:val="24"/>
          <w:szCs w:val="24"/>
        </w:rPr>
        <w:t xml:space="preserve"> </w:t>
      </w:r>
      <w:r w:rsidR="00D32051">
        <w:rPr>
          <w:sz w:val="24"/>
          <w:szCs w:val="24"/>
        </w:rPr>
        <w:t>konstatēja atsevišķas nepilnības VIAA projekta iekšējās kontroles sistēmā</w:t>
      </w:r>
      <w:r w:rsidR="00AB599A">
        <w:rPr>
          <w:sz w:val="24"/>
          <w:szCs w:val="24"/>
        </w:rPr>
        <w:t>,</w:t>
      </w:r>
      <w:r w:rsidR="002873B7">
        <w:rPr>
          <w:sz w:val="24"/>
          <w:szCs w:val="24"/>
        </w:rPr>
        <w:t xml:space="preserve"> kas saistītas</w:t>
      </w:r>
      <w:r w:rsidR="00D32051">
        <w:rPr>
          <w:sz w:val="24"/>
          <w:szCs w:val="24"/>
        </w:rPr>
        <w:t xml:space="preserve"> ar </w:t>
      </w:r>
      <w:r w:rsidR="00AB599A">
        <w:rPr>
          <w:sz w:val="24"/>
          <w:szCs w:val="24"/>
        </w:rPr>
        <w:t xml:space="preserve">viennozīmīgu </w:t>
      </w:r>
      <w:r w:rsidR="00DE1FE9">
        <w:rPr>
          <w:sz w:val="24"/>
          <w:szCs w:val="24"/>
        </w:rPr>
        <w:t xml:space="preserve">uzraudzības </w:t>
      </w:r>
      <w:r w:rsidR="00D32051">
        <w:rPr>
          <w:sz w:val="24"/>
          <w:szCs w:val="24"/>
        </w:rPr>
        <w:t>procesa</w:t>
      </w:r>
      <w:r w:rsidR="00DE1FE9">
        <w:rPr>
          <w:sz w:val="24"/>
          <w:szCs w:val="24"/>
        </w:rPr>
        <w:t xml:space="preserve"> izsekojam</w:t>
      </w:r>
      <w:r w:rsidR="00D32051">
        <w:rPr>
          <w:sz w:val="24"/>
          <w:szCs w:val="24"/>
        </w:rPr>
        <w:t>īb</w:t>
      </w:r>
      <w:r w:rsidR="00AB599A">
        <w:rPr>
          <w:sz w:val="24"/>
          <w:szCs w:val="24"/>
        </w:rPr>
        <w:t>u</w:t>
      </w:r>
      <w:r w:rsidR="00DE1FE9">
        <w:rPr>
          <w:sz w:val="24"/>
          <w:szCs w:val="24"/>
        </w:rPr>
        <w:t xml:space="preserve"> un vienotas pieejas piemēro</w:t>
      </w:r>
      <w:r w:rsidR="00D32051">
        <w:rPr>
          <w:sz w:val="24"/>
          <w:szCs w:val="24"/>
        </w:rPr>
        <w:t>šanu</w:t>
      </w:r>
      <w:r w:rsidR="00DE1FE9">
        <w:rPr>
          <w:sz w:val="24"/>
          <w:szCs w:val="24"/>
        </w:rPr>
        <w:t xml:space="preserve"> </w:t>
      </w:r>
      <w:r w:rsidR="003C32BB">
        <w:rPr>
          <w:sz w:val="24"/>
          <w:szCs w:val="24"/>
        </w:rPr>
        <w:t xml:space="preserve">pētniecības pieteikumu īstenošanas dokumentācijas izskatīšanas, precizēšanas un apstiprināšanas </w:t>
      </w:r>
      <w:r w:rsidR="00DE1FE9">
        <w:rPr>
          <w:sz w:val="24"/>
          <w:szCs w:val="24"/>
        </w:rPr>
        <w:t xml:space="preserve">problēmjautājumu </w:t>
      </w:r>
      <w:r w:rsidR="003C32BB">
        <w:rPr>
          <w:sz w:val="24"/>
          <w:szCs w:val="24"/>
        </w:rPr>
        <w:t>gadījumos</w:t>
      </w:r>
      <w:r w:rsidR="00D20A73">
        <w:rPr>
          <w:sz w:val="24"/>
          <w:szCs w:val="24"/>
        </w:rPr>
        <w:t>, kas saistīti</w:t>
      </w:r>
      <w:r w:rsidR="002873B7">
        <w:rPr>
          <w:sz w:val="24"/>
          <w:szCs w:val="24"/>
        </w:rPr>
        <w:t xml:space="preserve"> </w:t>
      </w:r>
      <w:r w:rsidR="00D32051">
        <w:rPr>
          <w:sz w:val="24"/>
          <w:szCs w:val="24"/>
        </w:rPr>
        <w:t xml:space="preserve">ar </w:t>
      </w:r>
      <w:r w:rsidR="00DE1FE9">
        <w:rPr>
          <w:sz w:val="24"/>
          <w:szCs w:val="24"/>
        </w:rPr>
        <w:t>pē</w:t>
      </w:r>
      <w:r w:rsidR="00D32051">
        <w:rPr>
          <w:sz w:val="24"/>
          <w:szCs w:val="24"/>
        </w:rPr>
        <w:t>cdoktoranta pilna laika noslodzi, darba laika uzskaites veidlapas</w:t>
      </w:r>
      <w:r w:rsidR="00DE1FE9">
        <w:rPr>
          <w:sz w:val="24"/>
          <w:szCs w:val="24"/>
        </w:rPr>
        <w:t xml:space="preserve"> </w:t>
      </w:r>
      <w:r w:rsidR="003C32BB">
        <w:rPr>
          <w:sz w:val="24"/>
          <w:szCs w:val="24"/>
        </w:rPr>
        <w:t xml:space="preserve">un saturiskās paveikto darbu uzskaites veidlapas </w:t>
      </w:r>
      <w:r w:rsidR="00D32051">
        <w:rPr>
          <w:sz w:val="24"/>
          <w:szCs w:val="24"/>
        </w:rPr>
        <w:t>savstarpējo salāgotību</w:t>
      </w:r>
      <w:r w:rsidR="003C32BB">
        <w:rPr>
          <w:sz w:val="24"/>
          <w:szCs w:val="24"/>
        </w:rPr>
        <w:t>; vienas vienības saturisko dokumentu p</w:t>
      </w:r>
      <w:r w:rsidR="00D32051">
        <w:rPr>
          <w:sz w:val="24"/>
          <w:szCs w:val="24"/>
        </w:rPr>
        <w:t>ārbaudi</w:t>
      </w:r>
      <w:r w:rsidR="003C32BB">
        <w:rPr>
          <w:sz w:val="24"/>
          <w:szCs w:val="24"/>
        </w:rPr>
        <w:t xml:space="preserve"> un vienas vienības izmaksu apstiprin</w:t>
      </w:r>
      <w:r w:rsidR="00D32051">
        <w:rPr>
          <w:sz w:val="24"/>
          <w:szCs w:val="24"/>
        </w:rPr>
        <w:t>āšanu</w:t>
      </w:r>
      <w:r w:rsidR="003C32BB">
        <w:rPr>
          <w:sz w:val="24"/>
          <w:szCs w:val="24"/>
        </w:rPr>
        <w:t>; pētniecības pieteiku</w:t>
      </w:r>
      <w:r w:rsidR="00D32051">
        <w:rPr>
          <w:sz w:val="24"/>
          <w:szCs w:val="24"/>
        </w:rPr>
        <w:t>mu rezultatīvo rādītāju pārbaudi</w:t>
      </w:r>
      <w:r w:rsidR="00DE1FE9">
        <w:rPr>
          <w:sz w:val="24"/>
          <w:szCs w:val="24"/>
        </w:rPr>
        <w:t xml:space="preserve">, </w:t>
      </w:r>
      <w:r w:rsidR="003C32BB">
        <w:rPr>
          <w:sz w:val="24"/>
          <w:szCs w:val="24"/>
        </w:rPr>
        <w:t>apstiprin</w:t>
      </w:r>
      <w:r w:rsidR="00D32051">
        <w:rPr>
          <w:sz w:val="24"/>
          <w:szCs w:val="24"/>
        </w:rPr>
        <w:t>āšanu un iekļaušanu</w:t>
      </w:r>
      <w:r w:rsidR="003C32BB">
        <w:rPr>
          <w:sz w:val="24"/>
          <w:szCs w:val="24"/>
        </w:rPr>
        <w:t xml:space="preserve"> </w:t>
      </w:r>
      <w:r w:rsidR="00DE1FE9">
        <w:rPr>
          <w:sz w:val="24"/>
          <w:szCs w:val="24"/>
        </w:rPr>
        <w:t>V</w:t>
      </w:r>
      <w:r w:rsidR="003C32BB">
        <w:rPr>
          <w:sz w:val="24"/>
          <w:szCs w:val="24"/>
        </w:rPr>
        <w:t>IAA projekta maksājuma piepras</w:t>
      </w:r>
      <w:r w:rsidR="00DE1FE9">
        <w:rPr>
          <w:sz w:val="24"/>
          <w:szCs w:val="24"/>
        </w:rPr>
        <w:t xml:space="preserve">ījumā; </w:t>
      </w:r>
      <w:r w:rsidR="00CC05B2">
        <w:rPr>
          <w:sz w:val="24"/>
          <w:szCs w:val="24"/>
        </w:rPr>
        <w:t>kā arī maksājuma pieprasījuma pārbaudes lap</w:t>
      </w:r>
      <w:r w:rsidR="00D32051">
        <w:rPr>
          <w:sz w:val="24"/>
          <w:szCs w:val="24"/>
        </w:rPr>
        <w:t xml:space="preserve">u </w:t>
      </w:r>
      <w:r w:rsidR="007E5844">
        <w:rPr>
          <w:sz w:val="24"/>
          <w:szCs w:val="24"/>
        </w:rPr>
        <w:t>aizpildīšanu</w:t>
      </w:r>
      <w:r w:rsidR="00CC05B2">
        <w:rPr>
          <w:sz w:val="24"/>
          <w:szCs w:val="24"/>
        </w:rPr>
        <w:t xml:space="preserve">. </w:t>
      </w:r>
    </w:p>
    <w:p w14:paraId="38630161" w14:textId="46EE843A" w:rsidR="00F542E3" w:rsidRDefault="003C32BB" w:rsidP="003E3BBB">
      <w:pPr>
        <w:spacing w:after="0" w:line="240" w:lineRule="auto"/>
        <w:jc w:val="both"/>
        <w:rPr>
          <w:sz w:val="24"/>
          <w:szCs w:val="24"/>
        </w:rPr>
      </w:pPr>
      <w:r>
        <w:rPr>
          <w:sz w:val="24"/>
          <w:szCs w:val="24"/>
        </w:rPr>
        <w:lastRenderedPageBreak/>
        <w:t xml:space="preserve">Ievērojot iepriekš minēto, CFLA </w:t>
      </w:r>
      <w:r w:rsidR="0024408B" w:rsidRPr="00AE06A7">
        <w:rPr>
          <w:sz w:val="24"/>
          <w:szCs w:val="24"/>
        </w:rPr>
        <w:t xml:space="preserve">sniedza </w:t>
      </w:r>
      <w:r w:rsidR="00FF5BFF">
        <w:rPr>
          <w:sz w:val="24"/>
          <w:szCs w:val="24"/>
        </w:rPr>
        <w:t>virkni ieteikumu</w:t>
      </w:r>
      <w:r w:rsidR="0024408B" w:rsidRPr="00AE06A7">
        <w:rPr>
          <w:sz w:val="24"/>
          <w:szCs w:val="24"/>
        </w:rPr>
        <w:t xml:space="preserve"> VIAA </w:t>
      </w:r>
      <w:r w:rsidR="006C00C6">
        <w:rPr>
          <w:sz w:val="24"/>
          <w:szCs w:val="24"/>
        </w:rPr>
        <w:t xml:space="preserve">projekta </w:t>
      </w:r>
      <w:r w:rsidR="0024408B" w:rsidRPr="00AE06A7">
        <w:rPr>
          <w:sz w:val="24"/>
          <w:szCs w:val="24"/>
        </w:rPr>
        <w:t xml:space="preserve">iekšējās kontroles sistēmas pilnveidei, lai </w:t>
      </w:r>
      <w:r w:rsidR="0024408B">
        <w:rPr>
          <w:sz w:val="24"/>
          <w:szCs w:val="24"/>
        </w:rPr>
        <w:t>sekmētu</w:t>
      </w:r>
      <w:r w:rsidR="0024408B" w:rsidRPr="00AE06A7">
        <w:rPr>
          <w:sz w:val="24"/>
          <w:szCs w:val="24"/>
        </w:rPr>
        <w:t xml:space="preserve"> vienotu projekta</w:t>
      </w:r>
      <w:r w:rsidR="006C00C6">
        <w:rPr>
          <w:sz w:val="24"/>
          <w:szCs w:val="24"/>
        </w:rPr>
        <w:t xml:space="preserve"> vadībā un </w:t>
      </w:r>
      <w:r w:rsidR="0024408B" w:rsidRPr="00AE06A7">
        <w:rPr>
          <w:sz w:val="24"/>
          <w:szCs w:val="24"/>
        </w:rPr>
        <w:t>īstenošanā iesaistītā personāla izpratni par projekta iekšējās kontroles sistēmu, nodrošinātu</w:t>
      </w:r>
      <w:r w:rsidR="006C00C6">
        <w:rPr>
          <w:sz w:val="24"/>
          <w:szCs w:val="24"/>
        </w:rPr>
        <w:t xml:space="preserve"> </w:t>
      </w:r>
      <w:r w:rsidR="0024408B" w:rsidRPr="00AE06A7">
        <w:rPr>
          <w:sz w:val="24"/>
          <w:szCs w:val="24"/>
        </w:rPr>
        <w:t xml:space="preserve">pilnu pētniecības pieteikumu īstenošanas un </w:t>
      </w:r>
      <w:r w:rsidR="006C00C6">
        <w:rPr>
          <w:sz w:val="24"/>
          <w:szCs w:val="24"/>
        </w:rPr>
        <w:t>uzraudzības procesa izsekojamību</w:t>
      </w:r>
      <w:r w:rsidR="00563653">
        <w:rPr>
          <w:sz w:val="24"/>
          <w:szCs w:val="24"/>
        </w:rPr>
        <w:t>, kā arī piemērotu vienotu pieeju visos pētniecības pieteikumu uzraudzības aspektos.</w:t>
      </w:r>
      <w:r w:rsidR="006C00C6">
        <w:rPr>
          <w:sz w:val="24"/>
          <w:szCs w:val="24"/>
        </w:rPr>
        <w:t xml:space="preserve"> </w:t>
      </w:r>
      <w:r w:rsidR="00BC525F">
        <w:rPr>
          <w:sz w:val="24"/>
          <w:szCs w:val="24"/>
        </w:rPr>
        <w:t>P</w:t>
      </w:r>
      <w:r w:rsidR="00563653">
        <w:rPr>
          <w:sz w:val="24"/>
          <w:szCs w:val="24"/>
        </w:rPr>
        <w:t xml:space="preserve">amatojoties uz šiem ieteikumiem, VIAA ir izstrādājusi pārbaudes procedūras katrai pētniecības pieteikumu īstenošanas aktivitātei, t.sk. </w:t>
      </w:r>
      <w:r w:rsidR="00AC3E2C">
        <w:rPr>
          <w:sz w:val="24"/>
          <w:szCs w:val="24"/>
        </w:rPr>
        <w:t xml:space="preserve">izstrādājusi </w:t>
      </w:r>
      <w:r w:rsidR="00563653">
        <w:rPr>
          <w:sz w:val="24"/>
          <w:szCs w:val="24"/>
        </w:rPr>
        <w:t>p</w:t>
      </w:r>
      <w:r w:rsidR="00AC3E2C">
        <w:rPr>
          <w:sz w:val="24"/>
          <w:szCs w:val="24"/>
        </w:rPr>
        <w:t>ārbaudes lapu</w:t>
      </w:r>
      <w:r w:rsidR="00563653">
        <w:rPr>
          <w:sz w:val="24"/>
          <w:szCs w:val="24"/>
        </w:rPr>
        <w:t xml:space="preserve"> un </w:t>
      </w:r>
      <w:r w:rsidR="00AC3E2C">
        <w:rPr>
          <w:sz w:val="24"/>
          <w:szCs w:val="24"/>
        </w:rPr>
        <w:t xml:space="preserve">tās </w:t>
      </w:r>
      <w:r w:rsidR="00563653">
        <w:rPr>
          <w:sz w:val="24"/>
          <w:szCs w:val="24"/>
        </w:rPr>
        <w:t>aizpildīšanas metodik</w:t>
      </w:r>
      <w:r w:rsidR="00AC3E2C">
        <w:rPr>
          <w:sz w:val="24"/>
          <w:szCs w:val="24"/>
        </w:rPr>
        <w:t xml:space="preserve">u </w:t>
      </w:r>
      <w:r w:rsidR="00563653">
        <w:rPr>
          <w:sz w:val="24"/>
          <w:szCs w:val="24"/>
        </w:rPr>
        <w:t>līgumu slēgšanai, pārbaudes lap</w:t>
      </w:r>
      <w:r w:rsidR="00AC3E2C">
        <w:rPr>
          <w:sz w:val="24"/>
          <w:szCs w:val="24"/>
        </w:rPr>
        <w:t>u</w:t>
      </w:r>
      <w:r w:rsidR="00563653">
        <w:rPr>
          <w:sz w:val="24"/>
          <w:szCs w:val="24"/>
        </w:rPr>
        <w:t xml:space="preserve"> un </w:t>
      </w:r>
      <w:r w:rsidR="00AC3E2C">
        <w:rPr>
          <w:sz w:val="24"/>
          <w:szCs w:val="24"/>
        </w:rPr>
        <w:t xml:space="preserve">tās </w:t>
      </w:r>
      <w:r w:rsidR="00563653">
        <w:rPr>
          <w:sz w:val="24"/>
          <w:szCs w:val="24"/>
        </w:rPr>
        <w:t>aizpildīšanas metodik</w:t>
      </w:r>
      <w:r w:rsidR="00AC3E2C">
        <w:rPr>
          <w:sz w:val="24"/>
          <w:szCs w:val="24"/>
        </w:rPr>
        <w:t>u</w:t>
      </w:r>
      <w:r w:rsidR="00563653">
        <w:rPr>
          <w:sz w:val="24"/>
          <w:szCs w:val="24"/>
        </w:rPr>
        <w:t xml:space="preserve"> avansa pieprasījuma izskatīšanai, pārbaudes lap</w:t>
      </w:r>
      <w:r w:rsidR="00AC3E2C">
        <w:rPr>
          <w:sz w:val="24"/>
          <w:szCs w:val="24"/>
        </w:rPr>
        <w:t>u</w:t>
      </w:r>
      <w:r w:rsidR="00563653">
        <w:rPr>
          <w:sz w:val="24"/>
          <w:szCs w:val="24"/>
        </w:rPr>
        <w:t xml:space="preserve"> un </w:t>
      </w:r>
      <w:r w:rsidR="00AC3E2C">
        <w:rPr>
          <w:sz w:val="24"/>
          <w:szCs w:val="24"/>
        </w:rPr>
        <w:t xml:space="preserve">tās aizpildīšanas </w:t>
      </w:r>
      <w:r w:rsidR="00563653">
        <w:rPr>
          <w:sz w:val="24"/>
          <w:szCs w:val="24"/>
        </w:rPr>
        <w:t>metodik</w:t>
      </w:r>
      <w:r w:rsidR="00AC3E2C">
        <w:rPr>
          <w:sz w:val="24"/>
          <w:szCs w:val="24"/>
        </w:rPr>
        <w:t>u</w:t>
      </w:r>
      <w:r w:rsidR="00563653">
        <w:rPr>
          <w:sz w:val="24"/>
          <w:szCs w:val="24"/>
        </w:rPr>
        <w:t xml:space="preserve"> līgumu grozījumu izskatīšanai, kā arī pārbaudes lap</w:t>
      </w:r>
      <w:r w:rsidR="00AC3E2C">
        <w:rPr>
          <w:sz w:val="24"/>
          <w:szCs w:val="24"/>
        </w:rPr>
        <w:t xml:space="preserve">u </w:t>
      </w:r>
      <w:r w:rsidR="00563653">
        <w:rPr>
          <w:sz w:val="24"/>
          <w:szCs w:val="24"/>
        </w:rPr>
        <w:t>un aizpildīšanas metodik</w:t>
      </w:r>
      <w:r w:rsidR="00AC3E2C">
        <w:rPr>
          <w:sz w:val="24"/>
          <w:szCs w:val="24"/>
        </w:rPr>
        <w:t>u</w:t>
      </w:r>
      <w:r w:rsidR="00563653">
        <w:rPr>
          <w:sz w:val="24"/>
          <w:szCs w:val="24"/>
        </w:rPr>
        <w:t xml:space="preserve"> datu ievadīšanas kvalitātes pārbaudei</w:t>
      </w:r>
      <w:r w:rsidR="006C00C6">
        <w:rPr>
          <w:sz w:val="24"/>
          <w:szCs w:val="24"/>
        </w:rPr>
        <w:t>.</w:t>
      </w:r>
      <w:r w:rsidR="007B0454">
        <w:rPr>
          <w:sz w:val="24"/>
          <w:szCs w:val="24"/>
        </w:rPr>
        <w:t xml:space="preserve"> </w:t>
      </w:r>
      <w:r w:rsidR="00651D51">
        <w:rPr>
          <w:sz w:val="24"/>
          <w:szCs w:val="24"/>
        </w:rPr>
        <w:t xml:space="preserve">Ņemot vērā iekšējo kontroles procedūru precizēšanu, papildināšanu un ieviešanu, pētniecības pieteikumu īstenošanas pārbaudes procedūru veikšana VIAA vērtējumā ir kļuvusi laikietilpīga un vairāk orientēta uz detalizētu procesu aprakstīšanu un iesniegtās dokumentācijas pareizības pārbaudes atspoguļojumu, nevis uz pētniecības pieteikuma īstenošanas progresa, tostarp plānoto saturisko rezultātu sasniegšanas pārbaudi. </w:t>
      </w:r>
      <w:r w:rsidR="007B0454">
        <w:rPr>
          <w:sz w:val="24"/>
          <w:szCs w:val="24"/>
        </w:rPr>
        <w:t>Tā rezultātā VIAA ir darījusi zināmu, ka, palielinoties uzraudzības procesu kontroles pārbaužu ietvaros aizpildāmās dokumentācijas apjomam, plāno pārstrukturizēt VIAA projekta vadībā un īstenošanā iesaistīto 8 darbinieku veicamo darbu</w:t>
      </w:r>
      <w:r w:rsidR="001E2069">
        <w:rPr>
          <w:rStyle w:val="FootnoteReference"/>
          <w:sz w:val="24"/>
          <w:szCs w:val="24"/>
        </w:rPr>
        <w:footnoteReference w:id="17"/>
      </w:r>
      <w:r w:rsidR="007B0454">
        <w:rPr>
          <w:sz w:val="24"/>
          <w:szCs w:val="24"/>
        </w:rPr>
        <w:t>, akcentu no satura jautājumiem pārvirzot uz procesu kontroles jautājumiem.</w:t>
      </w:r>
    </w:p>
    <w:p w14:paraId="4938B237" w14:textId="7EEBBCD6" w:rsidR="00F542E3" w:rsidRPr="00F83504" w:rsidRDefault="00F542E3" w:rsidP="007B0454">
      <w:pPr>
        <w:spacing w:after="0" w:line="240" w:lineRule="auto"/>
        <w:jc w:val="both"/>
        <w:rPr>
          <w:sz w:val="24"/>
          <w:szCs w:val="24"/>
        </w:rPr>
      </w:pPr>
      <w:r>
        <w:rPr>
          <w:sz w:val="24"/>
          <w:szCs w:val="24"/>
        </w:rPr>
        <w:t xml:space="preserve">Projektā iesaistīto 8 darbinieku pienākumos ietilpst 131 pirmās kārtas pētniecības pieteikumu uzraudzība un paralēli – otrās atlases kārtas dokumentācijas sagatavošana un 140 pētniecības pieteikumu vērtēšanas procesa organizēšana. </w:t>
      </w:r>
      <w:r w:rsidRPr="00F542E3">
        <w:rPr>
          <w:sz w:val="24"/>
          <w:szCs w:val="24"/>
        </w:rPr>
        <w:t xml:space="preserve">Viena pētniecības pieteikuma maksājuma pieprasījuma </w:t>
      </w:r>
      <w:r>
        <w:rPr>
          <w:sz w:val="24"/>
          <w:szCs w:val="24"/>
        </w:rPr>
        <w:t>pārbaude aizņem</w:t>
      </w:r>
      <w:r w:rsidRPr="00F542E3">
        <w:rPr>
          <w:sz w:val="24"/>
          <w:szCs w:val="24"/>
        </w:rPr>
        <w:t xml:space="preserve"> vien</w:t>
      </w:r>
      <w:r>
        <w:rPr>
          <w:sz w:val="24"/>
          <w:szCs w:val="24"/>
        </w:rPr>
        <w:t xml:space="preserve">u līdz trīs </w:t>
      </w:r>
      <w:r w:rsidRPr="00F83504">
        <w:rPr>
          <w:sz w:val="24"/>
          <w:szCs w:val="24"/>
        </w:rPr>
        <w:t xml:space="preserve">pilnas darba dienas, taču vidēji no maksājuma pieprasījuma iesniegšanas līdz lēmuma pieņemšanai paiet </w:t>
      </w:r>
      <w:r w:rsidR="00F83504" w:rsidRPr="00F83504">
        <w:rPr>
          <w:sz w:val="24"/>
          <w:szCs w:val="24"/>
        </w:rPr>
        <w:t>34</w:t>
      </w:r>
      <w:r w:rsidRPr="00F83504">
        <w:rPr>
          <w:sz w:val="24"/>
          <w:szCs w:val="24"/>
        </w:rPr>
        <w:t xml:space="preserve"> darba dienas.</w:t>
      </w:r>
    </w:p>
    <w:p w14:paraId="1F19D454" w14:textId="0A13E1B6" w:rsidR="004564CE" w:rsidRDefault="00F542E3" w:rsidP="007B0454">
      <w:pPr>
        <w:spacing w:after="0" w:line="240" w:lineRule="auto"/>
        <w:jc w:val="both"/>
        <w:rPr>
          <w:sz w:val="24"/>
          <w:szCs w:val="24"/>
        </w:rPr>
      </w:pPr>
      <w:r w:rsidRPr="00F83504">
        <w:rPr>
          <w:sz w:val="24"/>
          <w:szCs w:val="24"/>
        </w:rPr>
        <w:t>VIAA vērtējumā esošā cilvēkresursu kapacitāte ir pietiekama VIAA projektā</w:t>
      </w:r>
      <w:r w:rsidRPr="00F542E3">
        <w:rPr>
          <w:sz w:val="24"/>
          <w:szCs w:val="24"/>
        </w:rPr>
        <w:t xml:space="preserve"> noteikto uzdevumu īstenošanai pētniecības pieteikumu 1. atlases kārtas apjomā, bet nepietiekama nākamajām pētniecības pieteikumu atlases kārtām.</w:t>
      </w:r>
      <w:r w:rsidR="00D17D29">
        <w:rPr>
          <w:sz w:val="24"/>
          <w:szCs w:val="24"/>
        </w:rPr>
        <w:t xml:space="preserve"> </w:t>
      </w:r>
      <w:r w:rsidR="004564CE">
        <w:rPr>
          <w:sz w:val="24"/>
          <w:szCs w:val="24"/>
        </w:rPr>
        <w:t>Attiecīgi, lai veiktu VIAA projektā īstenojamās darbības, vienlaikus nodrošinot samērīgu slodzi darbiniekiem</w:t>
      </w:r>
      <w:r w:rsidR="000449ED">
        <w:rPr>
          <w:sz w:val="24"/>
          <w:szCs w:val="24"/>
        </w:rPr>
        <w:t>, VIAA rosina izskatīt iespējas</w:t>
      </w:r>
      <w:r w:rsidR="00D20A73">
        <w:rPr>
          <w:sz w:val="24"/>
          <w:szCs w:val="24"/>
        </w:rPr>
        <w:t>, esošā VIAA projekta finansējuma apmēra ietvaros</w:t>
      </w:r>
      <w:r w:rsidR="004564CE">
        <w:rPr>
          <w:sz w:val="24"/>
          <w:szCs w:val="24"/>
        </w:rPr>
        <w:t xml:space="preserve"> piesaistīt papildu divus darbiniekus</w:t>
      </w:r>
      <w:r>
        <w:rPr>
          <w:sz w:val="24"/>
          <w:szCs w:val="24"/>
        </w:rPr>
        <w:t xml:space="preserve">. Tas nodrošinātu operatīvu pētniecības pieteikumu administratīvo un saturisko uzraudzību un </w:t>
      </w:r>
      <w:r w:rsidR="007248DA">
        <w:rPr>
          <w:sz w:val="24"/>
          <w:szCs w:val="24"/>
        </w:rPr>
        <w:t>vienmērīgu finanšu plūsmu</w:t>
      </w:r>
      <w:r w:rsidR="000449ED">
        <w:rPr>
          <w:sz w:val="24"/>
          <w:szCs w:val="24"/>
        </w:rPr>
        <w:t>.</w:t>
      </w:r>
      <w:r w:rsidR="004564CE">
        <w:rPr>
          <w:sz w:val="24"/>
          <w:szCs w:val="24"/>
        </w:rPr>
        <w:t xml:space="preserve"> </w:t>
      </w:r>
    </w:p>
    <w:p w14:paraId="3CF36705" w14:textId="7CFDB92D" w:rsidR="00F03D56" w:rsidRDefault="007B0454" w:rsidP="007B0454">
      <w:pPr>
        <w:spacing w:after="0" w:line="240" w:lineRule="auto"/>
        <w:jc w:val="both"/>
        <w:rPr>
          <w:sz w:val="24"/>
          <w:szCs w:val="24"/>
        </w:rPr>
      </w:pPr>
      <w:r>
        <w:rPr>
          <w:sz w:val="24"/>
          <w:szCs w:val="24"/>
        </w:rPr>
        <w:t xml:space="preserve">IZM ieskatā VIAA primārā funkcija kā Pēcdoktorantūras pētniecības programmas finansējuma saņēmējai ir programmas saturisko darbību īstenošana un mērķu sasniegšanas nodrošināšana pēc būtības. Līdz ar to VIAA ir jānodrošina samērīgs un sabalansēts projekta ietvaros esošo cilvēkresursu un finanšu resursu izlietojums programmas saturiskajai uzraudzībai, tostarp jānodrošina projekta ietvaros veikto darbību saistītās dokumentācijas atbilstība ES fondu nosacījumiem. Ievērojot minēto, iesaistītajām pusēm </w:t>
      </w:r>
      <w:r w:rsidRPr="00C7773F">
        <w:rPr>
          <w:sz w:val="24"/>
          <w:szCs w:val="24"/>
        </w:rPr>
        <w:t xml:space="preserve">- </w:t>
      </w:r>
      <w:r>
        <w:rPr>
          <w:sz w:val="24"/>
          <w:szCs w:val="24"/>
          <w:u w:val="single"/>
        </w:rPr>
        <w:t>CFLA, VIAA un IZM - nepieciešams rast risinājumu, lai nodrošinātu administratīvo un saturisko darbību un resursu samērīgumu un atbilstību</w:t>
      </w:r>
      <w:r w:rsidR="00076611">
        <w:rPr>
          <w:sz w:val="24"/>
          <w:szCs w:val="24"/>
          <w:u w:val="single"/>
        </w:rPr>
        <w:t>.</w:t>
      </w:r>
    </w:p>
    <w:p w14:paraId="60C3EFC0" w14:textId="77777777" w:rsidR="00BA14FF" w:rsidRDefault="001561FB" w:rsidP="0024408B">
      <w:pPr>
        <w:spacing w:before="120" w:after="0" w:line="240" w:lineRule="auto"/>
        <w:jc w:val="both"/>
        <w:rPr>
          <w:sz w:val="24"/>
          <w:szCs w:val="24"/>
        </w:rPr>
      </w:pPr>
      <w:r w:rsidRPr="001561FB">
        <w:rPr>
          <w:b/>
          <w:sz w:val="24"/>
          <w:szCs w:val="24"/>
        </w:rPr>
        <w:lastRenderedPageBreak/>
        <w:t>Komunikācija ar komersantiem.</w:t>
      </w:r>
      <w:r>
        <w:rPr>
          <w:sz w:val="24"/>
          <w:szCs w:val="24"/>
        </w:rPr>
        <w:t xml:space="preserve"> </w:t>
      </w:r>
      <w:r w:rsidR="00795FB1">
        <w:rPr>
          <w:sz w:val="24"/>
          <w:szCs w:val="24"/>
        </w:rPr>
        <w:t>Papildus augstāk minētajām</w:t>
      </w:r>
      <w:r w:rsidR="00D55AA8">
        <w:rPr>
          <w:sz w:val="24"/>
          <w:szCs w:val="24"/>
        </w:rPr>
        <w:t xml:space="preserve"> darbībām </w:t>
      </w:r>
      <w:r w:rsidR="00795FB1" w:rsidRPr="00E47246">
        <w:rPr>
          <w:sz w:val="24"/>
          <w:szCs w:val="24"/>
        </w:rPr>
        <w:t xml:space="preserve">pētniecības pieteikumu atlases kārtu </w:t>
      </w:r>
      <w:r w:rsidR="00D55AA8">
        <w:rPr>
          <w:sz w:val="24"/>
          <w:szCs w:val="24"/>
        </w:rPr>
        <w:t xml:space="preserve">īstenošanai un uzraudzībai, </w:t>
      </w:r>
      <w:r w:rsidR="00AA2BBB">
        <w:rPr>
          <w:sz w:val="24"/>
          <w:szCs w:val="24"/>
        </w:rPr>
        <w:t xml:space="preserve">VIAA ir </w:t>
      </w:r>
      <w:r w:rsidR="00F03D56">
        <w:rPr>
          <w:sz w:val="24"/>
          <w:szCs w:val="24"/>
        </w:rPr>
        <w:t xml:space="preserve">piedalījusies citu institūciju rīkotajos semināros un izstādēs, lai informētu pēc iespējas plašāku mērķauditoriju, jo īpaši komersantus, par Pēcdoktorantūras pētniecības programmas sniegtajām iespējām un ieviešanas nosacījumiem. </w:t>
      </w:r>
      <w:r w:rsidR="00D55AA8">
        <w:rPr>
          <w:sz w:val="24"/>
          <w:szCs w:val="24"/>
        </w:rPr>
        <w:t>Tomēr, k</w:t>
      </w:r>
      <w:r w:rsidR="006D4CCF">
        <w:rPr>
          <w:sz w:val="24"/>
          <w:szCs w:val="24"/>
        </w:rPr>
        <w:t>ā šī ziņojuma 1.1. sadaļā tika konstatēts, Pēcdoktorantūras pētniecības programmas abu atlases kārtu ietvaros</w:t>
      </w:r>
      <w:r w:rsidR="00D55AA8">
        <w:rPr>
          <w:sz w:val="24"/>
          <w:szCs w:val="24"/>
        </w:rPr>
        <w:t xml:space="preserve"> pētniecības pieteikumus iesniedza tikai</w:t>
      </w:r>
      <w:r w:rsidR="006D4CCF">
        <w:rPr>
          <w:sz w:val="24"/>
          <w:szCs w:val="24"/>
        </w:rPr>
        <w:t xml:space="preserve"> 8 komersanti. </w:t>
      </w:r>
      <w:r w:rsidR="00BA14FF">
        <w:rPr>
          <w:sz w:val="24"/>
          <w:szCs w:val="24"/>
        </w:rPr>
        <w:t xml:space="preserve">Minētais ļauj </w:t>
      </w:r>
      <w:r w:rsidR="00D55AA8">
        <w:rPr>
          <w:sz w:val="24"/>
          <w:szCs w:val="24"/>
        </w:rPr>
        <w:t xml:space="preserve">secināt, ka, </w:t>
      </w:r>
      <w:r w:rsidR="000828A3">
        <w:rPr>
          <w:sz w:val="24"/>
          <w:szCs w:val="24"/>
        </w:rPr>
        <w:t>lai arī VIAA</w:t>
      </w:r>
      <w:r w:rsidR="00EC30A4">
        <w:rPr>
          <w:sz w:val="24"/>
          <w:szCs w:val="24"/>
        </w:rPr>
        <w:t xml:space="preserve"> </w:t>
      </w:r>
      <w:r w:rsidR="008E5B10">
        <w:rPr>
          <w:sz w:val="24"/>
          <w:szCs w:val="24"/>
        </w:rPr>
        <w:t>pirms 2</w:t>
      </w:r>
      <w:r w:rsidR="000871D8">
        <w:rPr>
          <w:sz w:val="24"/>
          <w:szCs w:val="24"/>
        </w:rPr>
        <w:t>. atlases kārtas izsludināšanas</w:t>
      </w:r>
      <w:r w:rsidR="008E5B10">
        <w:rPr>
          <w:sz w:val="24"/>
          <w:szCs w:val="24"/>
        </w:rPr>
        <w:t xml:space="preserve"> ir veikusi virkni pasākumu komersantu informēšanai un iesaistei Pēcdoktorantūras pētniecības programmas īstenošanā</w:t>
      </w:r>
      <w:r w:rsidR="008E5B10">
        <w:rPr>
          <w:rStyle w:val="FootnoteReference"/>
          <w:sz w:val="24"/>
          <w:szCs w:val="24"/>
        </w:rPr>
        <w:footnoteReference w:id="18"/>
      </w:r>
      <w:r w:rsidR="008E5B10">
        <w:rPr>
          <w:sz w:val="24"/>
          <w:szCs w:val="24"/>
        </w:rPr>
        <w:t xml:space="preserve">, </w:t>
      </w:r>
      <w:r w:rsidR="00EC30A4">
        <w:rPr>
          <w:sz w:val="24"/>
          <w:szCs w:val="24"/>
        </w:rPr>
        <w:t>tomēr,</w:t>
      </w:r>
      <w:r w:rsidR="00403136" w:rsidRPr="00403136">
        <w:rPr>
          <w:sz w:val="24"/>
          <w:szCs w:val="24"/>
        </w:rPr>
        <w:t xml:space="preserve"> </w:t>
      </w:r>
      <w:r w:rsidR="008E5B10">
        <w:rPr>
          <w:sz w:val="24"/>
          <w:szCs w:val="24"/>
        </w:rPr>
        <w:t xml:space="preserve">izvēlētais formāts un </w:t>
      </w:r>
      <w:r w:rsidR="00274EC1">
        <w:rPr>
          <w:sz w:val="24"/>
          <w:szCs w:val="24"/>
        </w:rPr>
        <w:t>līdzšinējie</w:t>
      </w:r>
      <w:r w:rsidR="00EC30A4">
        <w:rPr>
          <w:sz w:val="24"/>
          <w:szCs w:val="24"/>
        </w:rPr>
        <w:t xml:space="preserve"> komunikācijas veidi</w:t>
      </w:r>
      <w:r w:rsidR="00274EC1">
        <w:rPr>
          <w:sz w:val="24"/>
          <w:szCs w:val="24"/>
        </w:rPr>
        <w:t xml:space="preserve"> </w:t>
      </w:r>
      <w:r w:rsidR="00EC30A4">
        <w:rPr>
          <w:sz w:val="24"/>
          <w:szCs w:val="24"/>
        </w:rPr>
        <w:t>nav bijuši pietiekami efekt</w:t>
      </w:r>
      <w:r w:rsidR="008E5B10">
        <w:rPr>
          <w:sz w:val="24"/>
          <w:szCs w:val="24"/>
        </w:rPr>
        <w:t>īvi.</w:t>
      </w:r>
    </w:p>
    <w:p w14:paraId="57D176C9" w14:textId="77777777" w:rsidR="00D4299E" w:rsidRPr="00076611" w:rsidRDefault="006D4CCF" w:rsidP="0024408B">
      <w:pPr>
        <w:spacing w:after="120" w:line="240" w:lineRule="auto"/>
        <w:jc w:val="both"/>
        <w:rPr>
          <w:sz w:val="24"/>
          <w:szCs w:val="24"/>
        </w:rPr>
      </w:pPr>
      <w:r>
        <w:rPr>
          <w:sz w:val="24"/>
          <w:szCs w:val="24"/>
        </w:rPr>
        <w:t xml:space="preserve">Ievērojot minēto, </w:t>
      </w:r>
      <w:r w:rsidR="00EC30A4">
        <w:rPr>
          <w:sz w:val="24"/>
          <w:szCs w:val="24"/>
        </w:rPr>
        <w:t xml:space="preserve">intensīvākai </w:t>
      </w:r>
      <w:r w:rsidR="00EC30A4" w:rsidRPr="00B63553">
        <w:rPr>
          <w:sz w:val="24"/>
          <w:szCs w:val="24"/>
        </w:rPr>
        <w:t>komersantu piesaistei nākamajās Pēcdoktorantūras pētniecības programmas atlases kārt</w:t>
      </w:r>
      <w:r w:rsidR="008E5B10">
        <w:rPr>
          <w:sz w:val="24"/>
          <w:szCs w:val="24"/>
        </w:rPr>
        <w:t xml:space="preserve">ās </w:t>
      </w:r>
      <w:r w:rsidR="000828A3" w:rsidRPr="00A62050">
        <w:rPr>
          <w:sz w:val="24"/>
          <w:szCs w:val="24"/>
          <w:u w:val="single"/>
        </w:rPr>
        <w:t>nepieciešams</w:t>
      </w:r>
      <w:r w:rsidR="00B35080" w:rsidRPr="00A62050">
        <w:rPr>
          <w:sz w:val="24"/>
          <w:szCs w:val="24"/>
          <w:u w:val="single"/>
        </w:rPr>
        <w:t xml:space="preserve"> </w:t>
      </w:r>
      <w:r w:rsidR="00F154B2" w:rsidRPr="00A62050">
        <w:rPr>
          <w:sz w:val="24"/>
          <w:szCs w:val="24"/>
          <w:u w:val="single"/>
        </w:rPr>
        <w:t>attīstīt</w:t>
      </w:r>
      <w:r w:rsidR="00BA14FF" w:rsidRPr="00A62050">
        <w:rPr>
          <w:sz w:val="24"/>
          <w:szCs w:val="24"/>
          <w:u w:val="single"/>
        </w:rPr>
        <w:t xml:space="preserve"> </w:t>
      </w:r>
      <w:r w:rsidR="008E5B10" w:rsidRPr="00A62050">
        <w:rPr>
          <w:sz w:val="24"/>
          <w:szCs w:val="24"/>
          <w:u w:val="single"/>
        </w:rPr>
        <w:t xml:space="preserve">ciešāku </w:t>
      </w:r>
      <w:r w:rsidR="001561FB" w:rsidRPr="00A62050">
        <w:rPr>
          <w:sz w:val="24"/>
          <w:szCs w:val="24"/>
          <w:u w:val="single"/>
        </w:rPr>
        <w:t xml:space="preserve">un individualizētāku </w:t>
      </w:r>
      <w:r w:rsidR="00B35080" w:rsidRPr="00A62050">
        <w:rPr>
          <w:sz w:val="24"/>
          <w:szCs w:val="24"/>
          <w:u w:val="single"/>
        </w:rPr>
        <w:t xml:space="preserve">sadarbību ar komersantu nozaru </w:t>
      </w:r>
      <w:r w:rsidR="008E5B10" w:rsidRPr="00A62050">
        <w:rPr>
          <w:sz w:val="24"/>
          <w:szCs w:val="24"/>
          <w:u w:val="single"/>
        </w:rPr>
        <w:t xml:space="preserve">organizācijām, </w:t>
      </w:r>
      <w:r w:rsidR="00B35080" w:rsidRPr="00A62050">
        <w:rPr>
          <w:sz w:val="24"/>
          <w:szCs w:val="24"/>
          <w:u w:val="single"/>
        </w:rPr>
        <w:t>asociācijām, klas</w:t>
      </w:r>
      <w:r w:rsidR="00BA14FF" w:rsidRPr="00A62050">
        <w:rPr>
          <w:sz w:val="24"/>
          <w:szCs w:val="24"/>
          <w:u w:val="single"/>
        </w:rPr>
        <w:t>teriem</w:t>
      </w:r>
      <w:r w:rsidR="00BA14FF">
        <w:rPr>
          <w:sz w:val="24"/>
          <w:szCs w:val="24"/>
        </w:rPr>
        <w:t xml:space="preserve"> un biznesa inkub</w:t>
      </w:r>
      <w:r w:rsidR="00F154B2">
        <w:rPr>
          <w:sz w:val="24"/>
          <w:szCs w:val="24"/>
        </w:rPr>
        <w:t>atoriem, jo šīs organizācijas veido komersantu, pētniecības, izglītības un citu saistīto institūciju tīklu.</w:t>
      </w:r>
      <w:r w:rsidR="00BA14FF">
        <w:rPr>
          <w:sz w:val="24"/>
          <w:szCs w:val="24"/>
        </w:rPr>
        <w:t xml:space="preserve"> </w:t>
      </w:r>
      <w:r w:rsidR="00F154B2">
        <w:rPr>
          <w:sz w:val="24"/>
          <w:szCs w:val="24"/>
        </w:rPr>
        <w:t>Tādējādi,</w:t>
      </w:r>
      <w:r w:rsidR="00D23CEC">
        <w:rPr>
          <w:sz w:val="24"/>
          <w:szCs w:val="24"/>
        </w:rPr>
        <w:t xml:space="preserve"> pirms nākamajām Pēcdoktorantūras pētniecības programmas atlases kārtām </w:t>
      </w:r>
      <w:r w:rsidR="00F154B2">
        <w:rPr>
          <w:sz w:val="24"/>
          <w:szCs w:val="24"/>
        </w:rPr>
        <w:t>būtu</w:t>
      </w:r>
      <w:r w:rsidR="00D23CEC">
        <w:rPr>
          <w:sz w:val="24"/>
          <w:szCs w:val="24"/>
        </w:rPr>
        <w:t xml:space="preserve"> iesp</w:t>
      </w:r>
      <w:r w:rsidR="00F154B2">
        <w:rPr>
          <w:sz w:val="24"/>
          <w:szCs w:val="24"/>
        </w:rPr>
        <w:t>ējams informēt</w:t>
      </w:r>
      <w:r w:rsidR="00D23CEC">
        <w:rPr>
          <w:sz w:val="24"/>
          <w:szCs w:val="24"/>
        </w:rPr>
        <w:t xml:space="preserve"> plaš</w:t>
      </w:r>
      <w:r w:rsidR="00F154B2">
        <w:rPr>
          <w:sz w:val="24"/>
          <w:szCs w:val="24"/>
        </w:rPr>
        <w:t>āku komersantu loku</w:t>
      </w:r>
      <w:r w:rsidR="00D23CEC">
        <w:rPr>
          <w:sz w:val="24"/>
          <w:szCs w:val="24"/>
        </w:rPr>
        <w:t xml:space="preserve"> </w:t>
      </w:r>
      <w:r w:rsidR="00F02908">
        <w:rPr>
          <w:sz w:val="24"/>
          <w:szCs w:val="24"/>
        </w:rPr>
        <w:t xml:space="preserve">par Pēcdoktorantūras pētniecības programmas sniegtajām iespējām komersantu </w:t>
      </w:r>
      <w:r w:rsidR="00D23CEC">
        <w:rPr>
          <w:sz w:val="24"/>
          <w:szCs w:val="24"/>
        </w:rPr>
        <w:t>darbības attīstības veicināšanai</w:t>
      </w:r>
      <w:r w:rsidR="00D4299E">
        <w:rPr>
          <w:sz w:val="24"/>
          <w:szCs w:val="24"/>
        </w:rPr>
        <w:t xml:space="preserve">, programmas īstenošanas nosacījumiem </w:t>
      </w:r>
      <w:r w:rsidR="00F02908">
        <w:rPr>
          <w:sz w:val="24"/>
          <w:szCs w:val="24"/>
        </w:rPr>
        <w:t>un labajiem piemēriem.</w:t>
      </w:r>
      <w:r w:rsidR="00F154B2">
        <w:rPr>
          <w:sz w:val="24"/>
          <w:szCs w:val="24"/>
        </w:rPr>
        <w:t xml:space="preserve"> </w:t>
      </w:r>
      <w:r w:rsidR="000871D8">
        <w:rPr>
          <w:sz w:val="24"/>
          <w:szCs w:val="24"/>
        </w:rPr>
        <w:t>T</w:t>
      </w:r>
      <w:r w:rsidR="00F154B2">
        <w:rPr>
          <w:sz w:val="24"/>
          <w:szCs w:val="24"/>
        </w:rPr>
        <w:t>urpmākai i</w:t>
      </w:r>
      <w:r w:rsidR="00D4299E">
        <w:rPr>
          <w:sz w:val="24"/>
          <w:szCs w:val="24"/>
        </w:rPr>
        <w:t xml:space="preserve">nformācijas par programmu izplatīšanai </w:t>
      </w:r>
      <w:r w:rsidR="00F154B2">
        <w:rPr>
          <w:sz w:val="24"/>
          <w:szCs w:val="24"/>
        </w:rPr>
        <w:t>jāizmanto</w:t>
      </w:r>
      <w:r w:rsidR="00D4299E">
        <w:rPr>
          <w:sz w:val="24"/>
          <w:szCs w:val="24"/>
        </w:rPr>
        <w:t xml:space="preserve"> ne tikai līdzšin</w:t>
      </w:r>
      <w:r w:rsidR="00F154B2">
        <w:rPr>
          <w:sz w:val="24"/>
          <w:szCs w:val="24"/>
        </w:rPr>
        <w:t>ējie</w:t>
      </w:r>
      <w:r w:rsidR="00D4299E">
        <w:rPr>
          <w:sz w:val="24"/>
          <w:szCs w:val="24"/>
        </w:rPr>
        <w:t xml:space="preserve"> komunik</w:t>
      </w:r>
      <w:r w:rsidR="00F154B2">
        <w:rPr>
          <w:sz w:val="24"/>
          <w:szCs w:val="24"/>
        </w:rPr>
        <w:t>ācijas veidi</w:t>
      </w:r>
      <w:r w:rsidR="00D4299E">
        <w:rPr>
          <w:sz w:val="24"/>
          <w:szCs w:val="24"/>
        </w:rPr>
        <w:t xml:space="preserve"> un kan</w:t>
      </w:r>
      <w:r w:rsidR="00F154B2">
        <w:rPr>
          <w:sz w:val="24"/>
          <w:szCs w:val="24"/>
        </w:rPr>
        <w:t>āli</w:t>
      </w:r>
      <w:r w:rsidR="00D4299E">
        <w:rPr>
          <w:sz w:val="24"/>
          <w:szCs w:val="24"/>
        </w:rPr>
        <w:t xml:space="preserve">, bet </w:t>
      </w:r>
      <w:r w:rsidR="00F154B2">
        <w:rPr>
          <w:sz w:val="24"/>
          <w:szCs w:val="24"/>
        </w:rPr>
        <w:t xml:space="preserve">arī </w:t>
      </w:r>
      <w:r w:rsidR="001561FB">
        <w:rPr>
          <w:sz w:val="24"/>
          <w:szCs w:val="24"/>
        </w:rPr>
        <w:t>jāpiedalās</w:t>
      </w:r>
      <w:r w:rsidR="00D4299E">
        <w:rPr>
          <w:sz w:val="24"/>
          <w:szCs w:val="24"/>
        </w:rPr>
        <w:t xml:space="preserve"> </w:t>
      </w:r>
      <w:r w:rsidR="00D23CEC">
        <w:rPr>
          <w:sz w:val="24"/>
          <w:szCs w:val="24"/>
        </w:rPr>
        <w:t>nozaru asociāciju</w:t>
      </w:r>
      <w:r w:rsidR="00D23CEC" w:rsidRPr="00B63553">
        <w:rPr>
          <w:sz w:val="24"/>
          <w:szCs w:val="24"/>
        </w:rPr>
        <w:t xml:space="preserve">, klasteru un biznesa </w:t>
      </w:r>
      <w:r w:rsidR="00D23CEC">
        <w:rPr>
          <w:sz w:val="24"/>
          <w:szCs w:val="24"/>
        </w:rPr>
        <w:t>inkubatoru rīkotajos pasākumos</w:t>
      </w:r>
      <w:r w:rsidR="00D4299E">
        <w:rPr>
          <w:sz w:val="24"/>
          <w:szCs w:val="24"/>
        </w:rPr>
        <w:t xml:space="preserve">, </w:t>
      </w:r>
      <w:r w:rsidR="001561FB">
        <w:rPr>
          <w:sz w:val="24"/>
          <w:szCs w:val="24"/>
        </w:rPr>
        <w:t>jāpublicē</w:t>
      </w:r>
      <w:r w:rsidR="00F02908">
        <w:rPr>
          <w:sz w:val="24"/>
          <w:szCs w:val="24"/>
        </w:rPr>
        <w:t xml:space="preserve"> </w:t>
      </w:r>
      <w:r w:rsidR="00F154B2">
        <w:rPr>
          <w:sz w:val="24"/>
          <w:szCs w:val="24"/>
        </w:rPr>
        <w:t>informācij</w:t>
      </w:r>
      <w:r w:rsidR="000871D8">
        <w:rPr>
          <w:sz w:val="24"/>
          <w:szCs w:val="24"/>
        </w:rPr>
        <w:t>a</w:t>
      </w:r>
      <w:r w:rsidR="00F154B2">
        <w:rPr>
          <w:sz w:val="24"/>
          <w:szCs w:val="24"/>
        </w:rPr>
        <w:t xml:space="preserve"> par programmu </w:t>
      </w:r>
      <w:r w:rsidR="00F02908">
        <w:rPr>
          <w:sz w:val="24"/>
          <w:szCs w:val="24"/>
        </w:rPr>
        <w:t xml:space="preserve">iepriekš minēto komersantu </w:t>
      </w:r>
      <w:r w:rsidR="00B35080" w:rsidRPr="00B63553">
        <w:rPr>
          <w:sz w:val="24"/>
          <w:szCs w:val="24"/>
        </w:rPr>
        <w:t>organizāciju mājasla</w:t>
      </w:r>
      <w:r w:rsidR="00B63553">
        <w:rPr>
          <w:sz w:val="24"/>
          <w:szCs w:val="24"/>
        </w:rPr>
        <w:t xml:space="preserve">pās un </w:t>
      </w:r>
      <w:r>
        <w:rPr>
          <w:sz w:val="24"/>
          <w:szCs w:val="24"/>
        </w:rPr>
        <w:t>b</w:t>
      </w:r>
      <w:r w:rsidR="000828A3">
        <w:rPr>
          <w:sz w:val="24"/>
          <w:szCs w:val="24"/>
        </w:rPr>
        <w:t>iznesa nozaru portālos</w:t>
      </w:r>
      <w:r>
        <w:rPr>
          <w:sz w:val="24"/>
          <w:szCs w:val="24"/>
        </w:rPr>
        <w:t>,</w:t>
      </w:r>
      <w:r w:rsidR="00B63553">
        <w:rPr>
          <w:sz w:val="24"/>
          <w:szCs w:val="24"/>
        </w:rPr>
        <w:t xml:space="preserve"> </w:t>
      </w:r>
      <w:r w:rsidR="00D4299E">
        <w:rPr>
          <w:sz w:val="24"/>
          <w:szCs w:val="24"/>
        </w:rPr>
        <w:t xml:space="preserve">kā arī </w:t>
      </w:r>
      <w:r w:rsidR="001561FB" w:rsidRPr="00934503">
        <w:rPr>
          <w:sz w:val="24"/>
          <w:szCs w:val="24"/>
        </w:rPr>
        <w:t>jāaicina</w:t>
      </w:r>
      <w:r w:rsidRPr="00934503">
        <w:rPr>
          <w:sz w:val="24"/>
          <w:szCs w:val="24"/>
        </w:rPr>
        <w:t xml:space="preserve"> </w:t>
      </w:r>
      <w:r w:rsidR="00B42FBC" w:rsidRPr="00934503">
        <w:rPr>
          <w:sz w:val="24"/>
          <w:szCs w:val="24"/>
        </w:rPr>
        <w:t xml:space="preserve">nozaru asociāciju, klasteru un biznesa inkubatoru </w:t>
      </w:r>
      <w:r w:rsidRPr="00934503">
        <w:rPr>
          <w:sz w:val="24"/>
          <w:szCs w:val="24"/>
        </w:rPr>
        <w:t xml:space="preserve">biedrus uz VIAA rīkotiem </w:t>
      </w:r>
      <w:r w:rsidR="000871D8" w:rsidRPr="00076611">
        <w:rPr>
          <w:sz w:val="24"/>
          <w:szCs w:val="24"/>
        </w:rPr>
        <w:t>informatīviem semināriem,</w:t>
      </w:r>
      <w:r w:rsidR="0032214D" w:rsidRPr="00076611">
        <w:rPr>
          <w:sz w:val="24"/>
          <w:szCs w:val="24"/>
        </w:rPr>
        <w:t xml:space="preserve"> tostarp jāpiedalās LIAA organizētajos pasākumos sadarbībā ar tehnoloģiju skautiem</w:t>
      </w:r>
      <w:r w:rsidR="000871D8" w:rsidRPr="00076611">
        <w:rPr>
          <w:sz w:val="24"/>
          <w:szCs w:val="24"/>
        </w:rPr>
        <w:t>.</w:t>
      </w:r>
    </w:p>
    <w:p w14:paraId="19C6D54A" w14:textId="77777777" w:rsidR="00C62263" w:rsidRDefault="001561FB" w:rsidP="0024408B">
      <w:pPr>
        <w:spacing w:after="0" w:line="240" w:lineRule="auto"/>
        <w:jc w:val="both"/>
        <w:rPr>
          <w:sz w:val="24"/>
          <w:szCs w:val="24"/>
        </w:rPr>
      </w:pPr>
      <w:r w:rsidRPr="00076611">
        <w:rPr>
          <w:b/>
          <w:sz w:val="24"/>
          <w:szCs w:val="24"/>
        </w:rPr>
        <w:t>Ārvalstu pēcdoktorantu piesaiste.</w:t>
      </w:r>
      <w:r w:rsidRPr="00076611">
        <w:rPr>
          <w:sz w:val="24"/>
          <w:szCs w:val="24"/>
        </w:rPr>
        <w:t xml:space="preserve"> </w:t>
      </w:r>
      <w:r w:rsidR="0008497E" w:rsidRPr="00076611">
        <w:rPr>
          <w:sz w:val="24"/>
          <w:szCs w:val="24"/>
        </w:rPr>
        <w:t>A</w:t>
      </w:r>
      <w:r w:rsidR="00BA74A4" w:rsidRPr="00076611">
        <w:rPr>
          <w:sz w:val="24"/>
          <w:szCs w:val="24"/>
        </w:rPr>
        <w:t xml:space="preserve">nalizējot VIAA veiktos pasākumus ārvalstu </w:t>
      </w:r>
      <w:r w:rsidR="000828A3" w:rsidRPr="00076611">
        <w:rPr>
          <w:sz w:val="24"/>
          <w:szCs w:val="24"/>
        </w:rPr>
        <w:t xml:space="preserve">pēcdoktorantu apzināšanai un piesaistei, konstatēts, ka ārvalstu pēcdoktorantu interese par Pēcdoktorantūras pētniecības programmu </w:t>
      </w:r>
      <w:r w:rsidR="000828A3" w:rsidRPr="009D00E1">
        <w:rPr>
          <w:sz w:val="24"/>
          <w:szCs w:val="24"/>
        </w:rPr>
        <w:t>pakāpeniski pieaug</w:t>
      </w:r>
      <w:r w:rsidR="003D527F">
        <w:rPr>
          <w:sz w:val="24"/>
          <w:szCs w:val="24"/>
        </w:rPr>
        <w:t xml:space="preserve">. </w:t>
      </w:r>
      <w:r w:rsidR="000828A3" w:rsidRPr="009D00E1">
        <w:rPr>
          <w:sz w:val="24"/>
          <w:szCs w:val="24"/>
        </w:rPr>
        <w:t xml:space="preserve">Par </w:t>
      </w:r>
      <w:r w:rsidR="007D7C17" w:rsidRPr="009D00E1">
        <w:rPr>
          <w:sz w:val="24"/>
          <w:szCs w:val="24"/>
        </w:rPr>
        <w:t>pieaug</w:t>
      </w:r>
      <w:r w:rsidR="007D7C17">
        <w:rPr>
          <w:sz w:val="24"/>
          <w:szCs w:val="24"/>
        </w:rPr>
        <w:t>o</w:t>
      </w:r>
      <w:r w:rsidR="007D7C17" w:rsidRPr="009D00E1">
        <w:rPr>
          <w:sz w:val="24"/>
          <w:szCs w:val="24"/>
        </w:rPr>
        <w:t xml:space="preserve">šo </w:t>
      </w:r>
      <w:r w:rsidR="000828A3" w:rsidRPr="009D00E1">
        <w:rPr>
          <w:sz w:val="24"/>
          <w:szCs w:val="24"/>
        </w:rPr>
        <w:t xml:space="preserve">ārvalstu pēcdoktorantu interesi liecina fakts, ka 1. atlases kārtā no 246 </w:t>
      </w:r>
      <w:r w:rsidR="000828A3">
        <w:rPr>
          <w:sz w:val="24"/>
          <w:szCs w:val="24"/>
        </w:rPr>
        <w:t xml:space="preserve">pētniecības pieteikumiem </w:t>
      </w:r>
      <w:r w:rsidR="000828A3" w:rsidRPr="009D00E1">
        <w:rPr>
          <w:sz w:val="24"/>
          <w:szCs w:val="24"/>
        </w:rPr>
        <w:t>tikai 11 pētniec</w:t>
      </w:r>
      <w:r w:rsidR="000828A3">
        <w:rPr>
          <w:sz w:val="24"/>
          <w:szCs w:val="24"/>
        </w:rPr>
        <w:t xml:space="preserve">ības pieteikumu īstenošanā </w:t>
      </w:r>
      <w:r w:rsidR="000828A3" w:rsidRPr="009D00E1">
        <w:rPr>
          <w:sz w:val="24"/>
          <w:szCs w:val="24"/>
        </w:rPr>
        <w:t xml:space="preserve">pieteicās zinātniskās institūcijas un komersanti, kas </w:t>
      </w:r>
      <w:r w:rsidR="000828A3">
        <w:rPr>
          <w:sz w:val="24"/>
          <w:szCs w:val="24"/>
        </w:rPr>
        <w:t>plānoja piesaistīt</w:t>
      </w:r>
      <w:r w:rsidR="000828A3" w:rsidRPr="009D00E1">
        <w:rPr>
          <w:sz w:val="24"/>
          <w:szCs w:val="24"/>
        </w:rPr>
        <w:t xml:space="preserve"> ārvalstu pēcdoktorantu, bet 2.</w:t>
      </w:r>
      <w:r w:rsidR="000828A3">
        <w:rPr>
          <w:sz w:val="24"/>
          <w:szCs w:val="24"/>
        </w:rPr>
        <w:t> </w:t>
      </w:r>
      <w:r w:rsidR="000828A3" w:rsidRPr="009D00E1">
        <w:rPr>
          <w:sz w:val="24"/>
          <w:szCs w:val="24"/>
        </w:rPr>
        <w:t xml:space="preserve">atlases kārtā jau 31 (no 140 pieteikumiem) pētniecības pieteikumā tika plānots </w:t>
      </w:r>
      <w:r w:rsidR="000828A3">
        <w:rPr>
          <w:sz w:val="24"/>
          <w:szCs w:val="24"/>
        </w:rPr>
        <w:t>sadarbībā ar</w:t>
      </w:r>
      <w:r w:rsidR="000828A3" w:rsidRPr="009D00E1">
        <w:rPr>
          <w:sz w:val="24"/>
          <w:szCs w:val="24"/>
        </w:rPr>
        <w:t xml:space="preserve"> ārvalstu pēcdoktorantu</w:t>
      </w:r>
      <w:r w:rsidR="000828A3">
        <w:rPr>
          <w:sz w:val="24"/>
          <w:szCs w:val="24"/>
        </w:rPr>
        <w:t xml:space="preserve">. </w:t>
      </w:r>
      <w:r w:rsidR="003D527F">
        <w:rPr>
          <w:sz w:val="24"/>
          <w:szCs w:val="24"/>
        </w:rPr>
        <w:t>Attiecīgi, pēcdoktorantūras pētniecības programmas abu atlases kārtu ietvaros savus pētījumus sadarbībā ar Latvijas zinātnisko institūciju vai komersantu īstenos 19 ār</w:t>
      </w:r>
      <w:r w:rsidR="00126368">
        <w:rPr>
          <w:sz w:val="24"/>
          <w:szCs w:val="24"/>
        </w:rPr>
        <w:t xml:space="preserve">valstu izcelsmes pēcdoktoranti. </w:t>
      </w:r>
    </w:p>
    <w:p w14:paraId="7BF12A4E" w14:textId="77777777" w:rsidR="00084755" w:rsidRPr="009E1523" w:rsidRDefault="000828A3" w:rsidP="0024408B">
      <w:pPr>
        <w:spacing w:after="0" w:line="240" w:lineRule="auto"/>
        <w:jc w:val="both"/>
        <w:rPr>
          <w:sz w:val="24"/>
          <w:szCs w:val="24"/>
        </w:rPr>
      </w:pPr>
      <w:r>
        <w:rPr>
          <w:sz w:val="24"/>
          <w:szCs w:val="24"/>
        </w:rPr>
        <w:t>2018. gadā rudenī VIAA uzsāka sadarbību</w:t>
      </w:r>
      <w:r w:rsidR="001C7DFF">
        <w:rPr>
          <w:sz w:val="24"/>
          <w:szCs w:val="24"/>
        </w:rPr>
        <w:t xml:space="preserve"> ar</w:t>
      </w:r>
      <w:r>
        <w:rPr>
          <w:sz w:val="24"/>
          <w:szCs w:val="24"/>
        </w:rPr>
        <w:t xml:space="preserve"> IZM ES fondu 1.1.1.5. pasākuma “</w:t>
      </w:r>
      <w:r w:rsidRPr="001F15FB">
        <w:rPr>
          <w:sz w:val="24"/>
          <w:szCs w:val="24"/>
        </w:rPr>
        <w:t>Atbalsts starptautiskās sadarbības projektiem pētniecībā un inovācijās</w:t>
      </w:r>
      <w:r>
        <w:rPr>
          <w:sz w:val="24"/>
          <w:szCs w:val="24"/>
        </w:rPr>
        <w:t xml:space="preserve">” ietvaros īstenoto projektu </w:t>
      </w:r>
      <w:r w:rsidRPr="001F15FB">
        <w:rPr>
          <w:sz w:val="24"/>
          <w:szCs w:val="24"/>
        </w:rPr>
        <w:t>Nr.</w:t>
      </w:r>
      <w:r>
        <w:rPr>
          <w:sz w:val="24"/>
          <w:szCs w:val="24"/>
        </w:rPr>
        <w:t> </w:t>
      </w:r>
      <w:r w:rsidR="00FD4B97">
        <w:rPr>
          <w:sz w:val="24"/>
          <w:szCs w:val="24"/>
        </w:rPr>
        <w:t>1.1.1.5/17/I/002</w:t>
      </w:r>
      <w:r w:rsidRPr="001F15FB">
        <w:rPr>
          <w:sz w:val="24"/>
          <w:szCs w:val="24"/>
        </w:rPr>
        <w:t xml:space="preserve"> </w:t>
      </w:r>
      <w:r>
        <w:rPr>
          <w:sz w:val="24"/>
          <w:szCs w:val="24"/>
        </w:rPr>
        <w:t>„</w:t>
      </w:r>
      <w:r w:rsidRPr="001F15FB">
        <w:rPr>
          <w:sz w:val="24"/>
          <w:szCs w:val="24"/>
        </w:rPr>
        <w:t>Integrētie nacionālā līmeņa pasākumi Latvijas pētniecības un attīstības interešu pārstāvības stiprināšanai Eiropas pētniecības telpā”</w:t>
      </w:r>
      <w:r w:rsidR="003D527F">
        <w:rPr>
          <w:sz w:val="24"/>
          <w:szCs w:val="24"/>
        </w:rPr>
        <w:t xml:space="preserve"> par </w:t>
      </w:r>
      <w:r w:rsidRPr="001F15FB">
        <w:rPr>
          <w:sz w:val="24"/>
          <w:szCs w:val="24"/>
        </w:rPr>
        <w:t>Latvijas zinātniek</w:t>
      </w:r>
      <w:r>
        <w:rPr>
          <w:sz w:val="24"/>
          <w:szCs w:val="24"/>
        </w:rPr>
        <w:t>u diasporas kopienas ārvalstīs apzināšanu</w:t>
      </w:r>
      <w:r w:rsidRPr="001F15FB">
        <w:rPr>
          <w:sz w:val="24"/>
          <w:szCs w:val="24"/>
        </w:rPr>
        <w:t xml:space="preserve"> un informē</w:t>
      </w:r>
      <w:r>
        <w:rPr>
          <w:sz w:val="24"/>
          <w:szCs w:val="24"/>
        </w:rPr>
        <w:t>šanu</w:t>
      </w:r>
      <w:r w:rsidR="001C7DFF">
        <w:rPr>
          <w:sz w:val="24"/>
          <w:szCs w:val="24"/>
        </w:rPr>
        <w:t>, tostarp</w:t>
      </w:r>
      <w:r w:rsidRPr="001F15FB">
        <w:rPr>
          <w:sz w:val="24"/>
          <w:szCs w:val="24"/>
        </w:rPr>
        <w:t xml:space="preserve"> par Pēcdoktor</w:t>
      </w:r>
      <w:r w:rsidR="001C7DFF">
        <w:rPr>
          <w:sz w:val="24"/>
          <w:szCs w:val="24"/>
        </w:rPr>
        <w:t>antūras pētniecības programmas sniegtajām iespējām</w:t>
      </w:r>
      <w:r w:rsidR="008C4F77">
        <w:rPr>
          <w:sz w:val="24"/>
          <w:szCs w:val="24"/>
        </w:rPr>
        <w:t>.</w:t>
      </w:r>
      <w:r w:rsidR="001C7DFF">
        <w:rPr>
          <w:sz w:val="24"/>
          <w:szCs w:val="24"/>
        </w:rPr>
        <w:t xml:space="preserve"> Plānots, ka minētās sadarbības rezultātā tiks veicināta</w:t>
      </w:r>
      <w:r w:rsidRPr="001F15FB">
        <w:rPr>
          <w:sz w:val="24"/>
          <w:szCs w:val="24"/>
        </w:rPr>
        <w:t xml:space="preserve"> latviešu izcelsmes pēcdoktorantu</w:t>
      </w:r>
      <w:r w:rsidR="00084755">
        <w:rPr>
          <w:sz w:val="24"/>
          <w:szCs w:val="24"/>
        </w:rPr>
        <w:t xml:space="preserve"> (</w:t>
      </w:r>
      <w:r w:rsidRPr="001F15FB">
        <w:rPr>
          <w:sz w:val="24"/>
          <w:szCs w:val="24"/>
        </w:rPr>
        <w:t>kas šobrīd strādā ār</w:t>
      </w:r>
      <w:r w:rsidR="001C7DFF">
        <w:rPr>
          <w:sz w:val="24"/>
          <w:szCs w:val="24"/>
        </w:rPr>
        <w:t>valstu institūcijās</w:t>
      </w:r>
      <w:r w:rsidR="00084755">
        <w:rPr>
          <w:sz w:val="24"/>
          <w:szCs w:val="24"/>
        </w:rPr>
        <w:t>)</w:t>
      </w:r>
      <w:r w:rsidR="001C7DFF">
        <w:rPr>
          <w:sz w:val="24"/>
          <w:szCs w:val="24"/>
        </w:rPr>
        <w:t xml:space="preserve"> </w:t>
      </w:r>
      <w:r w:rsidR="00084755">
        <w:rPr>
          <w:sz w:val="24"/>
          <w:szCs w:val="24"/>
        </w:rPr>
        <w:t xml:space="preserve">sadarbība ar Latvijas </w:t>
      </w:r>
      <w:r w:rsidR="00084755" w:rsidRPr="009E1523">
        <w:rPr>
          <w:sz w:val="24"/>
          <w:szCs w:val="24"/>
        </w:rPr>
        <w:t xml:space="preserve">zinātniskajām institūcijām un komersantiem vai arī potenciāla </w:t>
      </w:r>
      <w:r w:rsidR="001C7DFF" w:rsidRPr="009E1523">
        <w:rPr>
          <w:sz w:val="24"/>
          <w:szCs w:val="24"/>
        </w:rPr>
        <w:t>atgriešanās</w:t>
      </w:r>
      <w:r w:rsidRPr="009E1523">
        <w:rPr>
          <w:sz w:val="24"/>
          <w:szCs w:val="24"/>
        </w:rPr>
        <w:t xml:space="preserve"> Latvijā. </w:t>
      </w:r>
    </w:p>
    <w:p w14:paraId="6DF0FBE7" w14:textId="336074D2" w:rsidR="00370E32" w:rsidRDefault="00FD4B97" w:rsidP="00CA56D9">
      <w:pPr>
        <w:spacing w:before="120" w:after="120" w:line="240" w:lineRule="auto"/>
        <w:jc w:val="both"/>
        <w:rPr>
          <w:sz w:val="24"/>
          <w:szCs w:val="24"/>
        </w:rPr>
      </w:pPr>
      <w:r w:rsidRPr="009E1523">
        <w:rPr>
          <w:sz w:val="24"/>
          <w:szCs w:val="24"/>
        </w:rPr>
        <w:lastRenderedPageBreak/>
        <w:t>L</w:t>
      </w:r>
      <w:r w:rsidR="002E7658" w:rsidRPr="009E1523">
        <w:rPr>
          <w:sz w:val="24"/>
          <w:szCs w:val="24"/>
        </w:rPr>
        <w:t xml:space="preserve">ai </w:t>
      </w:r>
      <w:r w:rsidRPr="009E1523">
        <w:rPr>
          <w:sz w:val="24"/>
          <w:szCs w:val="24"/>
        </w:rPr>
        <w:t xml:space="preserve">nodrošinātu </w:t>
      </w:r>
      <w:r w:rsidR="000828A3" w:rsidRPr="009E1523">
        <w:rPr>
          <w:sz w:val="24"/>
          <w:szCs w:val="24"/>
        </w:rPr>
        <w:t>ārvalstu, tostarp latviešu izcelsmes</w:t>
      </w:r>
      <w:r w:rsidRPr="009E1523">
        <w:rPr>
          <w:sz w:val="24"/>
          <w:szCs w:val="24"/>
        </w:rPr>
        <w:t>,</w:t>
      </w:r>
      <w:r w:rsidR="000828A3" w:rsidRPr="009E1523">
        <w:rPr>
          <w:sz w:val="24"/>
          <w:szCs w:val="24"/>
        </w:rPr>
        <w:t xml:space="preserve"> </w:t>
      </w:r>
      <w:r w:rsidR="001D09C5" w:rsidRPr="009E1523">
        <w:rPr>
          <w:sz w:val="24"/>
          <w:szCs w:val="24"/>
        </w:rPr>
        <w:t>pēcdoktorantu</w:t>
      </w:r>
      <w:r w:rsidR="000828A3" w:rsidRPr="009E1523">
        <w:rPr>
          <w:sz w:val="24"/>
          <w:szCs w:val="24"/>
        </w:rPr>
        <w:t xml:space="preserve"> </w:t>
      </w:r>
      <w:r w:rsidRPr="009E1523">
        <w:rPr>
          <w:sz w:val="24"/>
          <w:szCs w:val="24"/>
        </w:rPr>
        <w:t xml:space="preserve">pieaugošu piesaisti </w:t>
      </w:r>
      <w:r w:rsidR="000828A3" w:rsidRPr="009E1523">
        <w:rPr>
          <w:sz w:val="24"/>
          <w:szCs w:val="24"/>
        </w:rPr>
        <w:t xml:space="preserve">nākamajās atlases kārtās, </w:t>
      </w:r>
      <w:r w:rsidR="000828A3" w:rsidRPr="009E1523">
        <w:rPr>
          <w:sz w:val="24"/>
          <w:szCs w:val="24"/>
          <w:u w:val="single"/>
        </w:rPr>
        <w:t xml:space="preserve">nepieciešams </w:t>
      </w:r>
      <w:r w:rsidR="0032214D" w:rsidRPr="009E1523">
        <w:rPr>
          <w:sz w:val="24"/>
          <w:szCs w:val="24"/>
          <w:u w:val="single"/>
        </w:rPr>
        <w:t xml:space="preserve">būtiski stiprināt un </w:t>
      </w:r>
      <w:r w:rsidR="000828A3" w:rsidRPr="009E1523">
        <w:rPr>
          <w:sz w:val="24"/>
          <w:szCs w:val="24"/>
          <w:u w:val="single"/>
        </w:rPr>
        <w:t>izvērst</w:t>
      </w:r>
      <w:r w:rsidR="0028702A" w:rsidRPr="009E1523">
        <w:rPr>
          <w:sz w:val="24"/>
          <w:szCs w:val="24"/>
          <w:u w:val="single"/>
        </w:rPr>
        <w:t xml:space="preserve"> </w:t>
      </w:r>
      <w:r w:rsidR="0032214D" w:rsidRPr="009E1523">
        <w:rPr>
          <w:sz w:val="24"/>
          <w:szCs w:val="24"/>
          <w:u w:val="single"/>
        </w:rPr>
        <w:t>līdzšinējo</w:t>
      </w:r>
      <w:r w:rsidR="0032214D" w:rsidRPr="009E1523" w:rsidDel="0032214D">
        <w:rPr>
          <w:sz w:val="24"/>
          <w:szCs w:val="24"/>
          <w:u w:val="single"/>
        </w:rPr>
        <w:t xml:space="preserve"> </w:t>
      </w:r>
      <w:r w:rsidR="000828A3" w:rsidRPr="009E1523">
        <w:rPr>
          <w:sz w:val="24"/>
          <w:szCs w:val="24"/>
          <w:u w:val="single"/>
        </w:rPr>
        <w:t>VIAA un IZM</w:t>
      </w:r>
      <w:r w:rsidR="00B03311" w:rsidRPr="009E1523">
        <w:rPr>
          <w:sz w:val="24"/>
          <w:szCs w:val="24"/>
          <w:u w:val="single"/>
        </w:rPr>
        <w:t xml:space="preserve"> savstarpējo</w:t>
      </w:r>
      <w:r w:rsidR="000828A3" w:rsidRPr="009E1523">
        <w:rPr>
          <w:sz w:val="24"/>
          <w:szCs w:val="24"/>
          <w:u w:val="single"/>
        </w:rPr>
        <w:t xml:space="preserve"> sadarbību</w:t>
      </w:r>
      <w:r w:rsidR="007D4321" w:rsidRPr="009E1523">
        <w:rPr>
          <w:sz w:val="24"/>
          <w:szCs w:val="24"/>
          <w:u w:val="single"/>
        </w:rPr>
        <w:t>,</w:t>
      </w:r>
      <w:r w:rsidR="00A559BD" w:rsidRPr="009E1523">
        <w:rPr>
          <w:sz w:val="24"/>
          <w:szCs w:val="24"/>
          <w:u w:val="single"/>
        </w:rPr>
        <w:t xml:space="preserve"> lai </w:t>
      </w:r>
      <w:r w:rsidR="0032214D" w:rsidRPr="009E1523">
        <w:rPr>
          <w:sz w:val="24"/>
          <w:szCs w:val="24"/>
          <w:u w:val="single"/>
        </w:rPr>
        <w:t>mērķtiecīgi</w:t>
      </w:r>
      <w:r w:rsidR="0032214D" w:rsidRPr="009E1523" w:rsidDel="0032214D">
        <w:rPr>
          <w:sz w:val="24"/>
          <w:szCs w:val="24"/>
          <w:u w:val="single"/>
        </w:rPr>
        <w:t xml:space="preserve"> </w:t>
      </w:r>
      <w:r w:rsidR="00A559BD" w:rsidRPr="009E1523">
        <w:rPr>
          <w:sz w:val="24"/>
          <w:szCs w:val="24"/>
          <w:u w:val="single"/>
        </w:rPr>
        <w:t>uzrunātu</w:t>
      </w:r>
      <w:r w:rsidR="000828A3" w:rsidRPr="009E1523">
        <w:rPr>
          <w:sz w:val="24"/>
          <w:szCs w:val="24"/>
          <w:u w:val="single"/>
        </w:rPr>
        <w:t xml:space="preserve"> Latvijas </w:t>
      </w:r>
      <w:r w:rsidR="00084755" w:rsidRPr="009E1523">
        <w:rPr>
          <w:sz w:val="24"/>
          <w:szCs w:val="24"/>
          <w:u w:val="single"/>
        </w:rPr>
        <w:t xml:space="preserve">zinātnes </w:t>
      </w:r>
      <w:r w:rsidR="000828A3" w:rsidRPr="009E1523">
        <w:rPr>
          <w:sz w:val="24"/>
          <w:szCs w:val="24"/>
          <w:u w:val="single"/>
        </w:rPr>
        <w:t>diasporu</w:t>
      </w:r>
      <w:r w:rsidR="000828A3" w:rsidRPr="009E1523">
        <w:rPr>
          <w:sz w:val="24"/>
          <w:szCs w:val="24"/>
        </w:rPr>
        <w:t>,</w:t>
      </w:r>
      <w:r w:rsidR="008C4F77" w:rsidRPr="009E1523">
        <w:rPr>
          <w:sz w:val="24"/>
          <w:szCs w:val="24"/>
        </w:rPr>
        <w:t xml:space="preserve"> </w:t>
      </w:r>
      <w:r w:rsidR="0032214D" w:rsidRPr="009E1523">
        <w:rPr>
          <w:sz w:val="24"/>
          <w:szCs w:val="24"/>
        </w:rPr>
        <w:t xml:space="preserve">aktīvi izmantojot daudzveidīgus komunikācijas veidus un platformas (sociālie tīkli, interneta resursi, mediji u.c.). Tostarp, </w:t>
      </w:r>
      <w:r w:rsidR="000828A3" w:rsidRPr="009E1523">
        <w:rPr>
          <w:sz w:val="24"/>
          <w:szCs w:val="24"/>
        </w:rPr>
        <w:t xml:space="preserve">aicināt zinātniskās institūcijas un komersantus izplatīt informāciju par </w:t>
      </w:r>
      <w:r w:rsidR="001C7DFF" w:rsidRPr="009E1523">
        <w:rPr>
          <w:sz w:val="24"/>
          <w:szCs w:val="24"/>
        </w:rPr>
        <w:t>izsludinātajiem</w:t>
      </w:r>
      <w:r w:rsidR="000828A3" w:rsidRPr="009E1523">
        <w:rPr>
          <w:sz w:val="24"/>
          <w:szCs w:val="24"/>
        </w:rPr>
        <w:t xml:space="preserve"> konkursiem saviem ārvalstu sadarbības partneriem, kā arī sadarbībā ar Latvijas Jauno zinātnieku apvienību uzrunāt ārvalstu jauno zinātnieku apvienības.</w:t>
      </w:r>
      <w:r w:rsidR="003D527F" w:rsidRPr="009E1523">
        <w:rPr>
          <w:sz w:val="24"/>
          <w:szCs w:val="24"/>
        </w:rPr>
        <w:t xml:space="preserve"> </w:t>
      </w:r>
      <w:r w:rsidR="001D09C5" w:rsidRPr="009E1523">
        <w:rPr>
          <w:sz w:val="24"/>
          <w:szCs w:val="24"/>
        </w:rPr>
        <w:t>Vienlaikus</w:t>
      </w:r>
      <w:r w:rsidR="003D527F" w:rsidRPr="009E1523">
        <w:rPr>
          <w:sz w:val="24"/>
          <w:szCs w:val="24"/>
        </w:rPr>
        <w:t xml:space="preserve"> jāņem vērā, ka ir vajadzīgs laiks, lai ārvalstīs izplatītos informācija un ārvalstu zinātniskās institūcijas un zinātnieki uzzinātu un pierastu, ka arī Latvijā ir šādas pēcdoktorantūras pētniecības iespējas.</w:t>
      </w:r>
      <w:r w:rsidR="00DC4935" w:rsidRPr="009E1523">
        <w:rPr>
          <w:sz w:val="24"/>
          <w:szCs w:val="24"/>
        </w:rPr>
        <w:t xml:space="preserve"> </w:t>
      </w:r>
      <w:r w:rsidR="005E0DA8" w:rsidRPr="005E0DA8">
        <w:rPr>
          <w:sz w:val="24"/>
          <w:szCs w:val="24"/>
          <w:u w:val="single"/>
        </w:rPr>
        <w:t xml:space="preserve">Tāpat jānodrošina iespējami plaša informācija par pēcdoktorantu vietām </w:t>
      </w:r>
      <w:r w:rsidR="005E0DA8" w:rsidRPr="00184848">
        <w:rPr>
          <w:i/>
          <w:sz w:val="24"/>
          <w:szCs w:val="24"/>
          <w:u w:val="single"/>
        </w:rPr>
        <w:t>Euraxess</w:t>
      </w:r>
      <w:r w:rsidR="005E0DA8" w:rsidRPr="005E0DA8">
        <w:rPr>
          <w:sz w:val="24"/>
          <w:szCs w:val="24"/>
          <w:u w:val="single"/>
        </w:rPr>
        <w:t xml:space="preserve"> portālā</w:t>
      </w:r>
      <w:r w:rsidR="005E0DA8">
        <w:rPr>
          <w:sz w:val="24"/>
          <w:szCs w:val="24"/>
        </w:rPr>
        <w:t xml:space="preserve">. </w:t>
      </w:r>
    </w:p>
    <w:p w14:paraId="50FCB9A3" w14:textId="77777777" w:rsidR="00A311B0" w:rsidRDefault="00126368" w:rsidP="0024408B">
      <w:pPr>
        <w:spacing w:after="0" w:line="240" w:lineRule="auto"/>
        <w:jc w:val="both"/>
        <w:rPr>
          <w:sz w:val="24"/>
          <w:szCs w:val="24"/>
        </w:rPr>
      </w:pPr>
      <w:r w:rsidRPr="00126368">
        <w:rPr>
          <w:b/>
          <w:sz w:val="24"/>
          <w:szCs w:val="24"/>
        </w:rPr>
        <w:t>Komunikācija ar sabiedrību.</w:t>
      </w:r>
      <w:r>
        <w:rPr>
          <w:sz w:val="24"/>
          <w:szCs w:val="24"/>
        </w:rPr>
        <w:t xml:space="preserve"> </w:t>
      </w:r>
      <w:r w:rsidR="00A559BD" w:rsidRPr="00A616B7">
        <w:rPr>
          <w:sz w:val="24"/>
          <w:szCs w:val="24"/>
        </w:rPr>
        <w:t xml:space="preserve">VIAA </w:t>
      </w:r>
      <w:r w:rsidR="00370E32">
        <w:rPr>
          <w:sz w:val="24"/>
          <w:szCs w:val="24"/>
        </w:rPr>
        <w:t xml:space="preserve">ir </w:t>
      </w:r>
      <w:r w:rsidR="00A559BD">
        <w:rPr>
          <w:sz w:val="24"/>
          <w:szCs w:val="24"/>
        </w:rPr>
        <w:t>organizē</w:t>
      </w:r>
      <w:r w:rsidR="00370E32">
        <w:rPr>
          <w:sz w:val="24"/>
          <w:szCs w:val="24"/>
        </w:rPr>
        <w:t xml:space="preserve">jusi </w:t>
      </w:r>
      <w:r w:rsidR="000B4C37">
        <w:rPr>
          <w:sz w:val="24"/>
          <w:szCs w:val="24"/>
        </w:rPr>
        <w:t>virkni</w:t>
      </w:r>
      <w:r w:rsidR="00D01F8F">
        <w:rPr>
          <w:sz w:val="24"/>
          <w:szCs w:val="24"/>
        </w:rPr>
        <w:t xml:space="preserve"> </w:t>
      </w:r>
      <w:r w:rsidR="000B4C37">
        <w:rPr>
          <w:sz w:val="24"/>
          <w:szCs w:val="24"/>
        </w:rPr>
        <w:t>pasākumu</w:t>
      </w:r>
      <w:r w:rsidR="00D01F8F">
        <w:rPr>
          <w:sz w:val="24"/>
          <w:szCs w:val="24"/>
        </w:rPr>
        <w:t xml:space="preserve"> </w:t>
      </w:r>
      <w:r w:rsidR="0010516D">
        <w:rPr>
          <w:sz w:val="24"/>
          <w:szCs w:val="24"/>
        </w:rPr>
        <w:t>ārval</w:t>
      </w:r>
      <w:r w:rsidR="00D01F8F">
        <w:rPr>
          <w:sz w:val="24"/>
          <w:szCs w:val="24"/>
        </w:rPr>
        <w:t xml:space="preserve">stu pēcdoktorantu apzināšanai, kā </w:t>
      </w:r>
      <w:r w:rsidR="0010516D">
        <w:rPr>
          <w:sz w:val="24"/>
          <w:szCs w:val="24"/>
        </w:rPr>
        <w:t xml:space="preserve">arī </w:t>
      </w:r>
      <w:r w:rsidR="00D53E77">
        <w:rPr>
          <w:sz w:val="24"/>
          <w:szCs w:val="24"/>
        </w:rPr>
        <w:t>k</w:t>
      </w:r>
      <w:r w:rsidR="0010516D">
        <w:rPr>
          <w:sz w:val="24"/>
          <w:szCs w:val="24"/>
        </w:rPr>
        <w:t xml:space="preserve">omunikācijas pasākumus plašākam sabiedrības lokam, lai informētu </w:t>
      </w:r>
      <w:r w:rsidR="0010516D" w:rsidRPr="00A616B7">
        <w:rPr>
          <w:sz w:val="24"/>
          <w:szCs w:val="24"/>
        </w:rPr>
        <w:t xml:space="preserve">par </w:t>
      </w:r>
      <w:r w:rsidR="0010516D">
        <w:rPr>
          <w:sz w:val="24"/>
          <w:szCs w:val="24"/>
        </w:rPr>
        <w:t>pēcdoktorantu veiktajiem</w:t>
      </w:r>
      <w:r w:rsidR="0010516D" w:rsidRPr="00A616B7">
        <w:rPr>
          <w:sz w:val="24"/>
          <w:szCs w:val="24"/>
        </w:rPr>
        <w:t xml:space="preserve"> pētījumiem un </w:t>
      </w:r>
      <w:r w:rsidR="0010516D">
        <w:rPr>
          <w:sz w:val="24"/>
          <w:szCs w:val="24"/>
        </w:rPr>
        <w:t xml:space="preserve">plānotajiem </w:t>
      </w:r>
      <w:r w:rsidR="0010516D" w:rsidRPr="00A616B7">
        <w:rPr>
          <w:sz w:val="24"/>
          <w:szCs w:val="24"/>
        </w:rPr>
        <w:t>sasniedzamajiem</w:t>
      </w:r>
      <w:r w:rsidR="0010516D">
        <w:rPr>
          <w:sz w:val="24"/>
          <w:szCs w:val="24"/>
        </w:rPr>
        <w:t xml:space="preserve"> rezultātiem, tostarp </w:t>
      </w:r>
      <w:r w:rsidR="00A311B0">
        <w:rPr>
          <w:sz w:val="24"/>
          <w:szCs w:val="24"/>
        </w:rPr>
        <w:t>popularizējot</w:t>
      </w:r>
      <w:r w:rsidR="0010516D">
        <w:rPr>
          <w:sz w:val="24"/>
          <w:szCs w:val="24"/>
        </w:rPr>
        <w:t xml:space="preserve"> zinātnieka tēlu un karjeras </w:t>
      </w:r>
      <w:r w:rsidR="00A311B0">
        <w:rPr>
          <w:sz w:val="24"/>
          <w:szCs w:val="24"/>
        </w:rPr>
        <w:t xml:space="preserve">attīstības </w:t>
      </w:r>
      <w:r w:rsidR="0010516D">
        <w:rPr>
          <w:sz w:val="24"/>
          <w:szCs w:val="24"/>
        </w:rPr>
        <w:t xml:space="preserve">iespējas. </w:t>
      </w:r>
      <w:r w:rsidR="00A311B0">
        <w:rPr>
          <w:sz w:val="24"/>
          <w:szCs w:val="24"/>
        </w:rPr>
        <w:t>Līdz 31.1</w:t>
      </w:r>
      <w:r w:rsidR="00184848">
        <w:rPr>
          <w:sz w:val="24"/>
          <w:szCs w:val="24"/>
        </w:rPr>
        <w:t>2</w:t>
      </w:r>
      <w:r w:rsidR="00A311B0">
        <w:rPr>
          <w:sz w:val="24"/>
          <w:szCs w:val="24"/>
        </w:rPr>
        <w:t xml:space="preserve">.2018. </w:t>
      </w:r>
      <w:r w:rsidR="0010516D">
        <w:rPr>
          <w:sz w:val="24"/>
          <w:szCs w:val="24"/>
        </w:rPr>
        <w:t xml:space="preserve">VIAA organizētajos komunikācijas pasākumos </w:t>
      </w:r>
      <w:r w:rsidR="00370E32">
        <w:rPr>
          <w:sz w:val="24"/>
          <w:szCs w:val="24"/>
        </w:rPr>
        <w:t xml:space="preserve">iesaistīti </w:t>
      </w:r>
      <w:r w:rsidR="007D4A3A">
        <w:rPr>
          <w:sz w:val="24"/>
          <w:szCs w:val="24"/>
        </w:rPr>
        <w:t>gandrīz</w:t>
      </w:r>
      <w:r w:rsidR="00A559BD" w:rsidRPr="00A616B7">
        <w:rPr>
          <w:sz w:val="24"/>
          <w:szCs w:val="24"/>
        </w:rPr>
        <w:t xml:space="preserve"> </w:t>
      </w:r>
      <w:r w:rsidR="00184848">
        <w:rPr>
          <w:sz w:val="24"/>
          <w:szCs w:val="24"/>
        </w:rPr>
        <w:t>54 </w:t>
      </w:r>
      <w:r w:rsidR="00370E32">
        <w:rPr>
          <w:sz w:val="24"/>
          <w:szCs w:val="24"/>
        </w:rPr>
        <w:t>% no</w:t>
      </w:r>
      <w:r w:rsidR="00A559BD" w:rsidRPr="00A616B7">
        <w:rPr>
          <w:sz w:val="24"/>
          <w:szCs w:val="24"/>
        </w:rPr>
        <w:t xml:space="preserve"> </w:t>
      </w:r>
      <w:r w:rsidR="00A559BD">
        <w:rPr>
          <w:sz w:val="24"/>
          <w:szCs w:val="24"/>
        </w:rPr>
        <w:t>Pēcdoktorantūras pētniecības programmas</w:t>
      </w:r>
      <w:r w:rsidR="00A559BD" w:rsidRPr="00A616B7">
        <w:rPr>
          <w:sz w:val="24"/>
          <w:szCs w:val="24"/>
        </w:rPr>
        <w:t xml:space="preserve"> 1. atlases kārtas </w:t>
      </w:r>
      <w:r w:rsidR="0010516D">
        <w:rPr>
          <w:sz w:val="24"/>
          <w:szCs w:val="24"/>
        </w:rPr>
        <w:t>pēcdoktorantiem</w:t>
      </w:r>
      <w:r w:rsidR="007D4A3A">
        <w:rPr>
          <w:sz w:val="24"/>
          <w:szCs w:val="24"/>
        </w:rPr>
        <w:t xml:space="preserve">. Piemēram, </w:t>
      </w:r>
      <w:r w:rsidR="00A311B0">
        <w:rPr>
          <w:sz w:val="24"/>
          <w:szCs w:val="24"/>
        </w:rPr>
        <w:t>11 pēcdoktoranti 28.09.2018. piedalījušies VIAA Eiropas Zinātnieku nakts ietvaros rīkotajā pasākumā "Jauno zinātnieku stacija</w:t>
      </w:r>
      <w:r w:rsidR="00A311B0" w:rsidRPr="00A311B0">
        <w:rPr>
          <w:sz w:val="24"/>
          <w:szCs w:val="24"/>
        </w:rPr>
        <w:t>" Rīgas Centrālajā dzelzceļa stacijā</w:t>
      </w:r>
      <w:r w:rsidR="00A311B0">
        <w:rPr>
          <w:sz w:val="24"/>
          <w:szCs w:val="24"/>
        </w:rPr>
        <w:t xml:space="preserve">, kura ietvaros iepazīstināja plašāku publiku ar saviem pētījumiem. </w:t>
      </w:r>
      <w:r w:rsidR="007D4A3A">
        <w:rPr>
          <w:sz w:val="24"/>
          <w:szCs w:val="24"/>
        </w:rPr>
        <w:t xml:space="preserve">16 pēcdoktoranti piedalījušies VIAA </w:t>
      </w:r>
      <w:r w:rsidR="00A559BD" w:rsidRPr="00A616B7">
        <w:rPr>
          <w:sz w:val="24"/>
          <w:szCs w:val="24"/>
        </w:rPr>
        <w:t xml:space="preserve">06.12.2017. </w:t>
      </w:r>
      <w:r w:rsidR="007D4A3A">
        <w:rPr>
          <w:sz w:val="24"/>
          <w:szCs w:val="24"/>
        </w:rPr>
        <w:t xml:space="preserve">rīkotajā </w:t>
      </w:r>
      <w:r w:rsidR="0010516D">
        <w:rPr>
          <w:sz w:val="24"/>
          <w:szCs w:val="24"/>
        </w:rPr>
        <w:t>topošo zinātnieku forumā</w:t>
      </w:r>
      <w:r w:rsidR="00A559BD">
        <w:rPr>
          <w:sz w:val="24"/>
          <w:szCs w:val="24"/>
        </w:rPr>
        <w:t xml:space="preserve"> </w:t>
      </w:r>
      <w:r w:rsidR="0010516D">
        <w:rPr>
          <w:sz w:val="24"/>
          <w:szCs w:val="24"/>
        </w:rPr>
        <w:t>„Ko nozīmē būt zinātniekam?”</w:t>
      </w:r>
      <w:r w:rsidR="007D4A3A">
        <w:rPr>
          <w:sz w:val="24"/>
          <w:szCs w:val="24"/>
        </w:rPr>
        <w:t>, sniedzot informāciju par sevi, savu karjeru un pētījumu.</w:t>
      </w:r>
      <w:r w:rsidR="0010516D">
        <w:rPr>
          <w:sz w:val="24"/>
          <w:szCs w:val="24"/>
        </w:rPr>
        <w:t xml:space="preserve"> Topošo zinātnieku forumā piedalījās </w:t>
      </w:r>
      <w:r w:rsidR="00A559BD" w:rsidRPr="00A616B7">
        <w:rPr>
          <w:sz w:val="24"/>
          <w:szCs w:val="24"/>
        </w:rPr>
        <w:t>365 vidusskolu jaunieši no visas La</w:t>
      </w:r>
      <w:r w:rsidR="00A311B0">
        <w:rPr>
          <w:sz w:val="24"/>
          <w:szCs w:val="24"/>
        </w:rPr>
        <w:t>tvijas un skolu pedagogi.</w:t>
      </w:r>
    </w:p>
    <w:p w14:paraId="0A6A91A3" w14:textId="77777777" w:rsidR="00A559BD" w:rsidRDefault="00A311B0" w:rsidP="0024408B">
      <w:pPr>
        <w:spacing w:after="120" w:line="240" w:lineRule="auto"/>
        <w:jc w:val="both"/>
        <w:rPr>
          <w:sz w:val="24"/>
          <w:szCs w:val="24"/>
        </w:rPr>
      </w:pPr>
      <w:r>
        <w:rPr>
          <w:sz w:val="24"/>
          <w:szCs w:val="24"/>
        </w:rPr>
        <w:t xml:space="preserve">Ņemot vērā saņemtās pozitīvās atsauksmes, kā arī pieaugošo sabiedrības interesi par zinātni, pētījumiem un pētniekiem, </w:t>
      </w:r>
      <w:r w:rsidR="00987302" w:rsidRPr="00111D78">
        <w:rPr>
          <w:sz w:val="24"/>
          <w:szCs w:val="24"/>
          <w:u w:val="single"/>
        </w:rPr>
        <w:t>turpināma</w:t>
      </w:r>
      <w:r w:rsidR="00A559BD" w:rsidRPr="00111D78">
        <w:rPr>
          <w:sz w:val="24"/>
          <w:szCs w:val="24"/>
          <w:u w:val="single"/>
        </w:rPr>
        <w:t xml:space="preserve"> līdzīgu pasākumu organizēšana sabiedrības informēšanai par zinātnieka karjeras attīstības iespē</w:t>
      </w:r>
      <w:r w:rsidR="00195725" w:rsidRPr="00111D78">
        <w:rPr>
          <w:sz w:val="24"/>
          <w:szCs w:val="24"/>
          <w:u w:val="single"/>
        </w:rPr>
        <w:t xml:space="preserve">jām, </w:t>
      </w:r>
      <w:r w:rsidR="007D4A3A" w:rsidRPr="00111D78">
        <w:rPr>
          <w:sz w:val="24"/>
          <w:szCs w:val="24"/>
          <w:u w:val="single"/>
        </w:rPr>
        <w:t>veikto pētījumu nozīmību un pienesumu</w:t>
      </w:r>
      <w:r w:rsidR="00195725" w:rsidRPr="00111D78">
        <w:rPr>
          <w:sz w:val="24"/>
          <w:szCs w:val="24"/>
          <w:u w:val="single"/>
        </w:rPr>
        <w:t xml:space="preserve"> Latvijas tautsaimniecības attīstīb</w:t>
      </w:r>
      <w:r w:rsidR="002C1130" w:rsidRPr="00111D78">
        <w:rPr>
          <w:sz w:val="24"/>
          <w:szCs w:val="24"/>
          <w:u w:val="single"/>
        </w:rPr>
        <w:t>as veicināšanā</w:t>
      </w:r>
      <w:r w:rsidR="00987302" w:rsidRPr="00111D78">
        <w:rPr>
          <w:sz w:val="24"/>
          <w:szCs w:val="24"/>
          <w:u w:val="single"/>
        </w:rPr>
        <w:t xml:space="preserve"> stratēģiskā partnerībā ar IZM īstenoto 1.1.1.5. pasākuma projektu</w:t>
      </w:r>
      <w:r w:rsidR="00987302">
        <w:rPr>
          <w:sz w:val="24"/>
          <w:szCs w:val="24"/>
        </w:rPr>
        <w:t xml:space="preserve"> </w:t>
      </w:r>
      <w:r w:rsidR="00987302" w:rsidRPr="001F15FB">
        <w:rPr>
          <w:sz w:val="24"/>
          <w:szCs w:val="24"/>
        </w:rPr>
        <w:t>Nr.</w:t>
      </w:r>
      <w:r w:rsidR="00987302">
        <w:rPr>
          <w:sz w:val="24"/>
          <w:szCs w:val="24"/>
        </w:rPr>
        <w:t> 1.1.1.5/17/I/002</w:t>
      </w:r>
      <w:r w:rsidR="00987302" w:rsidRPr="001F15FB">
        <w:rPr>
          <w:sz w:val="24"/>
          <w:szCs w:val="24"/>
        </w:rPr>
        <w:t xml:space="preserve"> </w:t>
      </w:r>
      <w:r w:rsidR="00987302">
        <w:rPr>
          <w:sz w:val="24"/>
          <w:szCs w:val="24"/>
        </w:rPr>
        <w:t>„</w:t>
      </w:r>
      <w:r w:rsidR="00987302" w:rsidRPr="001F15FB">
        <w:rPr>
          <w:sz w:val="24"/>
          <w:szCs w:val="24"/>
        </w:rPr>
        <w:t>Integrētie nacionālā līmeņa pasākumi Latvijas pētniecības un attīstības interešu pārstāvības stiprināšanai Eiropas pētniecības telpā”</w:t>
      </w:r>
      <w:r w:rsidR="00987302">
        <w:rPr>
          <w:sz w:val="24"/>
          <w:szCs w:val="24"/>
        </w:rPr>
        <w:t>.</w:t>
      </w:r>
    </w:p>
    <w:p w14:paraId="3561D183" w14:textId="77777777" w:rsidR="009851BE" w:rsidRDefault="00126368" w:rsidP="0024408B">
      <w:pPr>
        <w:spacing w:after="0" w:line="240" w:lineRule="auto"/>
        <w:jc w:val="both"/>
        <w:rPr>
          <w:sz w:val="24"/>
          <w:szCs w:val="24"/>
        </w:rPr>
      </w:pPr>
      <w:r w:rsidRPr="00126368">
        <w:rPr>
          <w:b/>
          <w:sz w:val="24"/>
          <w:szCs w:val="24"/>
        </w:rPr>
        <w:t xml:space="preserve">Papildu finansējuma piesaiste. </w:t>
      </w:r>
      <w:r w:rsidR="00DA24F1">
        <w:rPr>
          <w:sz w:val="24"/>
          <w:szCs w:val="24"/>
        </w:rPr>
        <w:t>V</w:t>
      </w:r>
      <w:r w:rsidR="009851BE">
        <w:rPr>
          <w:sz w:val="24"/>
          <w:szCs w:val="24"/>
        </w:rPr>
        <w:t>iens no nosacījumiem VIAA kā Pēcdoktorantūras pētniecības programmas finansējuma saņēmēja noteikšanai bija papildu finansējuma piesaistes veicināšana</w:t>
      </w:r>
      <w:r w:rsidR="009851BE" w:rsidRPr="00E34F77">
        <w:rPr>
          <w:sz w:val="24"/>
          <w:szCs w:val="24"/>
        </w:rPr>
        <w:t xml:space="preserve"> pēcdoktorantu pētniecībai, mob</w:t>
      </w:r>
      <w:r w:rsidR="00DA24F1">
        <w:rPr>
          <w:sz w:val="24"/>
          <w:szCs w:val="24"/>
        </w:rPr>
        <w:t>ilitātei un karjeras attīstībai. Pamatojoties uz to</w:t>
      </w:r>
      <w:r w:rsidR="009851BE" w:rsidRPr="00E34F77">
        <w:rPr>
          <w:sz w:val="24"/>
          <w:szCs w:val="24"/>
        </w:rPr>
        <w:t xml:space="preserve"> VIAA paralēli darbam pie Pēcdoktorantūras pētniecības programmas 1. atlases kārtas konkursa organizēšanas un pētniecības pieteikumu vērtēšanas</w:t>
      </w:r>
      <w:r w:rsidR="009851BE">
        <w:rPr>
          <w:sz w:val="24"/>
          <w:szCs w:val="24"/>
        </w:rPr>
        <w:t xml:space="preserve"> izstrādāja</w:t>
      </w:r>
      <w:r w:rsidR="009851BE" w:rsidRPr="00E34F77">
        <w:rPr>
          <w:sz w:val="24"/>
          <w:szCs w:val="24"/>
        </w:rPr>
        <w:t xml:space="preserve"> projekta iesniegumu „</w:t>
      </w:r>
      <w:proofErr w:type="spellStart"/>
      <w:r w:rsidR="009851BE" w:rsidRPr="00E34F77">
        <w:rPr>
          <w:i/>
          <w:sz w:val="24"/>
          <w:szCs w:val="24"/>
        </w:rPr>
        <w:t>Fellowship</w:t>
      </w:r>
      <w:proofErr w:type="spellEnd"/>
      <w:r w:rsidR="009851BE" w:rsidRPr="00E34F77">
        <w:rPr>
          <w:i/>
          <w:sz w:val="24"/>
          <w:szCs w:val="24"/>
        </w:rPr>
        <w:t xml:space="preserve"> </w:t>
      </w:r>
      <w:proofErr w:type="spellStart"/>
      <w:r w:rsidR="009851BE" w:rsidRPr="00E34F77">
        <w:rPr>
          <w:i/>
          <w:sz w:val="24"/>
          <w:szCs w:val="24"/>
        </w:rPr>
        <w:t>Programme</w:t>
      </w:r>
      <w:proofErr w:type="spellEnd"/>
      <w:r w:rsidR="009851BE" w:rsidRPr="00E34F77">
        <w:rPr>
          <w:i/>
          <w:sz w:val="24"/>
          <w:szCs w:val="24"/>
        </w:rPr>
        <w:t xml:space="preserve"> </w:t>
      </w:r>
      <w:proofErr w:type="spellStart"/>
      <w:r w:rsidR="009851BE" w:rsidRPr="00E34F77">
        <w:rPr>
          <w:i/>
          <w:sz w:val="24"/>
          <w:szCs w:val="24"/>
        </w:rPr>
        <w:t>Postdoc</w:t>
      </w:r>
      <w:proofErr w:type="spellEnd"/>
      <w:r w:rsidR="009851BE" w:rsidRPr="00E34F77">
        <w:rPr>
          <w:i/>
          <w:sz w:val="24"/>
          <w:szCs w:val="24"/>
        </w:rPr>
        <w:t xml:space="preserve"> </w:t>
      </w:r>
      <w:proofErr w:type="spellStart"/>
      <w:r w:rsidR="009851BE" w:rsidRPr="00E34F77">
        <w:rPr>
          <w:i/>
          <w:sz w:val="24"/>
          <w:szCs w:val="24"/>
        </w:rPr>
        <w:t>Latvia</w:t>
      </w:r>
      <w:proofErr w:type="spellEnd"/>
      <w:r w:rsidR="009851BE" w:rsidRPr="00E34F77">
        <w:rPr>
          <w:i/>
          <w:sz w:val="24"/>
          <w:szCs w:val="24"/>
        </w:rPr>
        <w:t>+</w:t>
      </w:r>
      <w:r w:rsidR="009851BE" w:rsidRPr="00E34F77">
        <w:rPr>
          <w:sz w:val="24"/>
          <w:szCs w:val="24"/>
        </w:rPr>
        <w:t>” ES pētniecības un inovāciju apakšprogrammas </w:t>
      </w:r>
      <w:hyperlink r:id="rId27" w:tgtFrame="_blank" w:history="1">
        <w:r w:rsidR="009851BE" w:rsidRPr="00E34F77">
          <w:rPr>
            <w:sz w:val="24"/>
            <w:szCs w:val="24"/>
          </w:rPr>
          <w:t>“Apvārsnis 2020”</w:t>
        </w:r>
      </w:hyperlink>
      <w:r w:rsidR="009851BE" w:rsidRPr="00E34F77">
        <w:rPr>
          <w:sz w:val="24"/>
          <w:szCs w:val="24"/>
        </w:rPr>
        <w:t xml:space="preserve">  Sklodovskas-Kirī aktivitātē "Līdzfinansējums reģionālajām, nacionālajām un starptautiskajām programmām (COFUND)". </w:t>
      </w:r>
      <w:r w:rsidR="009851BE">
        <w:rPr>
          <w:sz w:val="24"/>
          <w:szCs w:val="24"/>
        </w:rPr>
        <w:t xml:space="preserve">VIAA COFUND projekta iesniegumu Eiropas Komisijā iesniedza 27.09.2017. </w:t>
      </w:r>
    </w:p>
    <w:p w14:paraId="04AF6A62" w14:textId="77777777" w:rsidR="004E44C7" w:rsidRPr="00E34F77" w:rsidRDefault="00573D4C" w:rsidP="0024408B">
      <w:pPr>
        <w:spacing w:after="0" w:line="240" w:lineRule="auto"/>
        <w:jc w:val="both"/>
        <w:rPr>
          <w:sz w:val="24"/>
          <w:szCs w:val="24"/>
        </w:rPr>
      </w:pPr>
      <w:r>
        <w:rPr>
          <w:sz w:val="24"/>
          <w:szCs w:val="24"/>
        </w:rPr>
        <w:t>Konkursa rezultātā</w:t>
      </w:r>
      <w:r w:rsidR="009851BE" w:rsidRPr="00E34F77">
        <w:rPr>
          <w:sz w:val="24"/>
          <w:szCs w:val="24"/>
        </w:rPr>
        <w:t xml:space="preserve"> VIAA COFUND projekta iesniegums tika novērtēts virs kvalitātes sliekšņa (vērtējums 90,4 punkti), bet diemžēl neieguva finansējumu projekta īstenošanai</w:t>
      </w:r>
      <w:r w:rsidR="009851BE" w:rsidRPr="00385447">
        <w:rPr>
          <w:vertAlign w:val="superscript"/>
        </w:rPr>
        <w:footnoteReference w:id="19"/>
      </w:r>
      <w:r>
        <w:rPr>
          <w:sz w:val="24"/>
          <w:szCs w:val="24"/>
        </w:rPr>
        <w:t>. Tajā pat laikā</w:t>
      </w:r>
      <w:r w:rsidR="009851BE" w:rsidRPr="00E34F77">
        <w:rPr>
          <w:sz w:val="24"/>
          <w:szCs w:val="24"/>
        </w:rPr>
        <w:t xml:space="preserve"> VIAA COFUND projekta iesnieguma iegūtais vērtējums ir </w:t>
      </w:r>
      <w:r>
        <w:rPr>
          <w:sz w:val="24"/>
          <w:szCs w:val="24"/>
        </w:rPr>
        <w:t>ļoti labs sasniegums</w:t>
      </w:r>
      <w:r w:rsidR="009851BE" w:rsidRPr="00E34F77">
        <w:rPr>
          <w:sz w:val="24"/>
          <w:szCs w:val="24"/>
        </w:rPr>
        <w:t>, jo tas tika novērtēts ar līdzīgu punktu skaitu</w:t>
      </w:r>
      <w:r>
        <w:rPr>
          <w:sz w:val="24"/>
          <w:szCs w:val="24"/>
        </w:rPr>
        <w:t>,</w:t>
      </w:r>
      <w:r w:rsidR="009851BE" w:rsidRPr="00E34F77">
        <w:rPr>
          <w:sz w:val="24"/>
          <w:szCs w:val="24"/>
        </w:rPr>
        <w:t xml:space="preserve"> kādu ieguva tādas starptautiski atpazīstamas un konkurētspējīgas, zinātniskajām tradīcijām bagātas augstskolas un zinātniskie centri kā Vīnes </w:t>
      </w:r>
      <w:r w:rsidR="009851BE" w:rsidRPr="00E34F77">
        <w:rPr>
          <w:sz w:val="24"/>
          <w:szCs w:val="24"/>
        </w:rPr>
        <w:lastRenderedPageBreak/>
        <w:t>Universitāte (</w:t>
      </w:r>
      <w:proofErr w:type="spellStart"/>
      <w:r w:rsidR="009851BE" w:rsidRPr="00E34F77">
        <w:rPr>
          <w:i/>
          <w:sz w:val="24"/>
          <w:szCs w:val="24"/>
        </w:rPr>
        <w:t>Universitat</w:t>
      </w:r>
      <w:proofErr w:type="spellEnd"/>
      <w:r w:rsidR="009851BE" w:rsidRPr="00E34F77">
        <w:rPr>
          <w:i/>
          <w:sz w:val="24"/>
          <w:szCs w:val="24"/>
        </w:rPr>
        <w:t xml:space="preserve"> </w:t>
      </w:r>
      <w:proofErr w:type="spellStart"/>
      <w:r w:rsidR="009851BE" w:rsidRPr="00E34F77">
        <w:rPr>
          <w:i/>
          <w:sz w:val="24"/>
          <w:szCs w:val="24"/>
        </w:rPr>
        <w:t>Wien</w:t>
      </w:r>
      <w:proofErr w:type="spellEnd"/>
      <w:r w:rsidR="009851BE" w:rsidRPr="00E34F77">
        <w:rPr>
          <w:sz w:val="24"/>
          <w:szCs w:val="24"/>
        </w:rPr>
        <w:t>) vai Berlīnes Tehniskās universitāte (</w:t>
      </w:r>
      <w:proofErr w:type="spellStart"/>
      <w:r w:rsidR="009851BE" w:rsidRPr="00E34F77">
        <w:rPr>
          <w:i/>
          <w:sz w:val="24"/>
          <w:szCs w:val="24"/>
        </w:rPr>
        <w:t>Technische</w:t>
      </w:r>
      <w:proofErr w:type="spellEnd"/>
      <w:r w:rsidR="009851BE" w:rsidRPr="00E34F77">
        <w:rPr>
          <w:i/>
          <w:sz w:val="24"/>
          <w:szCs w:val="24"/>
        </w:rPr>
        <w:t xml:space="preserve"> </w:t>
      </w:r>
      <w:proofErr w:type="spellStart"/>
      <w:r w:rsidR="009851BE" w:rsidRPr="00E34F77">
        <w:rPr>
          <w:i/>
          <w:sz w:val="24"/>
          <w:szCs w:val="24"/>
        </w:rPr>
        <w:t>Universitaet</w:t>
      </w:r>
      <w:proofErr w:type="spellEnd"/>
      <w:r w:rsidR="009851BE" w:rsidRPr="00E34F77">
        <w:rPr>
          <w:i/>
          <w:sz w:val="24"/>
          <w:szCs w:val="24"/>
        </w:rPr>
        <w:t xml:space="preserve"> </w:t>
      </w:r>
      <w:proofErr w:type="spellStart"/>
      <w:r w:rsidR="009851BE" w:rsidRPr="00E34F77">
        <w:rPr>
          <w:i/>
          <w:sz w:val="24"/>
          <w:szCs w:val="24"/>
        </w:rPr>
        <w:t>Berlin</w:t>
      </w:r>
      <w:proofErr w:type="spellEnd"/>
      <w:r w:rsidR="009851BE" w:rsidRPr="00E34F77">
        <w:rPr>
          <w:sz w:val="24"/>
          <w:szCs w:val="24"/>
        </w:rPr>
        <w:t>). Ieskatam, Vīnes Universitātes absolventu vi</w:t>
      </w:r>
      <w:r>
        <w:rPr>
          <w:sz w:val="24"/>
          <w:szCs w:val="24"/>
        </w:rPr>
        <w:t xml:space="preserve">dū ir Nobela prēmijas laureāti, </w:t>
      </w:r>
      <w:r w:rsidR="009851BE" w:rsidRPr="00E34F77">
        <w:rPr>
          <w:sz w:val="24"/>
          <w:szCs w:val="24"/>
        </w:rPr>
        <w:t>un augstskola ieņem 154. vietu pasaules labāko universitāšu 2018. gada sarakstā</w:t>
      </w:r>
      <w:r w:rsidR="009851BE" w:rsidRPr="00C82E28">
        <w:rPr>
          <w:vertAlign w:val="superscript"/>
        </w:rPr>
        <w:footnoteReference w:id="20"/>
      </w:r>
      <w:r w:rsidR="009851BE" w:rsidRPr="00E34F77">
        <w:rPr>
          <w:sz w:val="24"/>
          <w:szCs w:val="24"/>
        </w:rPr>
        <w:t xml:space="preserve">,  savukārt Berlīnes Tehniskā universitāte ir 144. vietā pasaulē. </w:t>
      </w:r>
    </w:p>
    <w:p w14:paraId="5890D245" w14:textId="77777777" w:rsidR="009851BE" w:rsidRPr="00A00233" w:rsidRDefault="009851BE" w:rsidP="0024408B">
      <w:pPr>
        <w:spacing w:after="0" w:line="240" w:lineRule="auto"/>
        <w:jc w:val="both"/>
        <w:rPr>
          <w:sz w:val="24"/>
          <w:szCs w:val="24"/>
        </w:rPr>
      </w:pPr>
      <w:r>
        <w:rPr>
          <w:sz w:val="24"/>
          <w:szCs w:val="24"/>
        </w:rPr>
        <w:t xml:space="preserve">Ņemot vērā salīdzinoši augsto COFUND projekta iesnieguma novērtējumu, VIAA veica precizējumus COFUND projekta iesniegumā atbilstoši EK ekspertu vērtējumā norādītajām stiprajām un vājajām pusēm, un 28.09.2018. </w:t>
      </w:r>
      <w:r w:rsidRPr="00C82E28">
        <w:rPr>
          <w:sz w:val="24"/>
          <w:szCs w:val="24"/>
        </w:rPr>
        <w:t xml:space="preserve">atkārtoti </w:t>
      </w:r>
      <w:r>
        <w:rPr>
          <w:sz w:val="24"/>
          <w:szCs w:val="24"/>
        </w:rPr>
        <w:t xml:space="preserve">iesniedza EK </w:t>
      </w:r>
      <w:r w:rsidRPr="00C82E28">
        <w:rPr>
          <w:sz w:val="24"/>
          <w:szCs w:val="24"/>
        </w:rPr>
        <w:t xml:space="preserve">COFUND </w:t>
      </w:r>
      <w:r>
        <w:rPr>
          <w:sz w:val="24"/>
          <w:szCs w:val="24"/>
        </w:rPr>
        <w:t xml:space="preserve">projekta iesniegumu. Aktualizētajā COFUND projekta iesniegumā tika </w:t>
      </w:r>
      <w:r w:rsidRPr="00C82E28">
        <w:rPr>
          <w:sz w:val="24"/>
          <w:szCs w:val="24"/>
        </w:rPr>
        <w:t xml:space="preserve">papildināta informācija par ārvalstu pēcdoktorantus uzņemošo zinātnisko institūciju starptautiskās pētniecības iespējām un vidi, tai skaitā par ievērojamākiem šo institūciju ārvalstu sadarbības partneriem, par izejošās plūsmas apmācību iespējām, detalizētāka informācija par vērtēšanas procesā plānotajām tiešsaistes intervijām u.c. papildinājumi, ievērojot vērtējumā norādītās vājās puses. Lai COFUND </w:t>
      </w:r>
      <w:r>
        <w:rPr>
          <w:sz w:val="24"/>
          <w:szCs w:val="24"/>
        </w:rPr>
        <w:t>projekta iesniegumu</w:t>
      </w:r>
      <w:r w:rsidRPr="00C82E28">
        <w:rPr>
          <w:sz w:val="24"/>
          <w:szCs w:val="24"/>
        </w:rPr>
        <w:t xml:space="preserve"> samērotu ar </w:t>
      </w:r>
      <w:r>
        <w:rPr>
          <w:sz w:val="24"/>
          <w:szCs w:val="24"/>
        </w:rPr>
        <w:t>ES fondu</w:t>
      </w:r>
      <w:r w:rsidRPr="00C82E28">
        <w:rPr>
          <w:sz w:val="24"/>
          <w:szCs w:val="24"/>
        </w:rPr>
        <w:t xml:space="preserve"> 2014.</w:t>
      </w:r>
      <w:r>
        <w:rPr>
          <w:sz w:val="24"/>
          <w:szCs w:val="24"/>
        </w:rPr>
        <w:t> </w:t>
      </w:r>
      <w:r w:rsidRPr="00C82E28">
        <w:rPr>
          <w:sz w:val="24"/>
          <w:szCs w:val="24"/>
        </w:rPr>
        <w:t>-</w:t>
      </w:r>
      <w:r>
        <w:rPr>
          <w:sz w:val="24"/>
          <w:szCs w:val="24"/>
        </w:rPr>
        <w:t> </w:t>
      </w:r>
      <w:r w:rsidRPr="00C82E28">
        <w:rPr>
          <w:sz w:val="24"/>
          <w:szCs w:val="24"/>
        </w:rPr>
        <w:t>2020.</w:t>
      </w:r>
      <w:r>
        <w:rPr>
          <w:sz w:val="24"/>
          <w:szCs w:val="24"/>
        </w:rPr>
        <w:t> </w:t>
      </w:r>
      <w:r w:rsidRPr="00C82E28">
        <w:rPr>
          <w:sz w:val="24"/>
          <w:szCs w:val="24"/>
        </w:rPr>
        <w:t xml:space="preserve">gadu plānošanas periodu, </w:t>
      </w:r>
      <w:r>
        <w:rPr>
          <w:sz w:val="24"/>
          <w:szCs w:val="24"/>
        </w:rPr>
        <w:t>projekta iesniegumā plānotās darbības pārstrukturizētas</w:t>
      </w:r>
      <w:r w:rsidRPr="00C82E28">
        <w:rPr>
          <w:sz w:val="24"/>
          <w:szCs w:val="24"/>
        </w:rPr>
        <w:t xml:space="preserve"> uz četriem gadiem, attiecīgi nedaudz samazinot plānoto </w:t>
      </w:r>
      <w:r>
        <w:rPr>
          <w:sz w:val="24"/>
          <w:szCs w:val="24"/>
        </w:rPr>
        <w:t xml:space="preserve">iesnieguma </w:t>
      </w:r>
      <w:r w:rsidRPr="00C82E28">
        <w:rPr>
          <w:sz w:val="24"/>
          <w:szCs w:val="24"/>
        </w:rPr>
        <w:t xml:space="preserve">finansējumu. Precizētā COFUND </w:t>
      </w:r>
      <w:r w:rsidRPr="00D460E5">
        <w:rPr>
          <w:sz w:val="24"/>
          <w:szCs w:val="24"/>
        </w:rPr>
        <w:t>projekta iesnieguma vērtēšanas rezultātu plānotais saņemšanas laiks ir 2019. gada februāris.</w:t>
      </w:r>
    </w:p>
    <w:p w14:paraId="46DF8266" w14:textId="77777777" w:rsidR="00CA6947" w:rsidRDefault="00625CC5" w:rsidP="00CA6947">
      <w:pPr>
        <w:spacing w:before="120" w:after="0" w:line="240" w:lineRule="auto"/>
        <w:jc w:val="both"/>
        <w:rPr>
          <w:sz w:val="24"/>
          <w:szCs w:val="24"/>
        </w:rPr>
      </w:pPr>
      <w:r w:rsidRPr="00625CC5">
        <w:rPr>
          <w:b/>
          <w:sz w:val="24"/>
          <w:szCs w:val="24"/>
        </w:rPr>
        <w:t>POSTDOC IT sistēma</w:t>
      </w:r>
      <w:r>
        <w:rPr>
          <w:sz w:val="24"/>
          <w:szCs w:val="24"/>
        </w:rPr>
        <w:t xml:space="preserve">. </w:t>
      </w:r>
      <w:r w:rsidR="00105C31" w:rsidRPr="00105C31">
        <w:rPr>
          <w:sz w:val="24"/>
          <w:szCs w:val="24"/>
        </w:rPr>
        <w:t xml:space="preserve">Lai nodrošinātu ērtāku un ātrāku pēcdoktorantūras pētniecības pieteikumu iesniegumu un atskaišu iesniegšanu, </w:t>
      </w:r>
      <w:r w:rsidR="00BF3F86">
        <w:rPr>
          <w:sz w:val="24"/>
          <w:szCs w:val="24"/>
        </w:rPr>
        <w:t xml:space="preserve">VIAA projektā pieejamā </w:t>
      </w:r>
      <w:r w:rsidR="00105C31" w:rsidRPr="00105C31">
        <w:rPr>
          <w:sz w:val="24"/>
          <w:szCs w:val="24"/>
        </w:rPr>
        <w:t>finansējuma ietvaros ir nodrošinājusi elektroniskās platformas izveidi (turpmāk – PO</w:t>
      </w:r>
      <w:r w:rsidR="00BF3F86">
        <w:rPr>
          <w:sz w:val="24"/>
          <w:szCs w:val="24"/>
        </w:rPr>
        <w:t xml:space="preserve">STDOC IT sistēma). </w:t>
      </w:r>
      <w:r w:rsidR="00BF3F86" w:rsidRPr="00105C31">
        <w:rPr>
          <w:sz w:val="24"/>
          <w:szCs w:val="24"/>
        </w:rPr>
        <w:t>PO</w:t>
      </w:r>
      <w:r w:rsidR="00BF3F86">
        <w:rPr>
          <w:sz w:val="24"/>
          <w:szCs w:val="24"/>
        </w:rPr>
        <w:t>STDOC IT sistēmas</w:t>
      </w:r>
      <w:r w:rsidR="00105C31">
        <w:rPr>
          <w:sz w:val="24"/>
          <w:szCs w:val="24"/>
        </w:rPr>
        <w:t xml:space="preserve"> ietvaros tiek </w:t>
      </w:r>
      <w:r w:rsidR="00BF3F86">
        <w:rPr>
          <w:sz w:val="24"/>
          <w:szCs w:val="24"/>
        </w:rPr>
        <w:t>nodrošināta iespēja zinātniskajām institūcijām un komersantiem izstrādāt un iesniegt pētniecības pieteikumus</w:t>
      </w:r>
      <w:r w:rsidR="00105C31" w:rsidRPr="00407744">
        <w:rPr>
          <w:sz w:val="24"/>
          <w:szCs w:val="24"/>
        </w:rPr>
        <w:t xml:space="preserve">, nodrošināts </w:t>
      </w:r>
      <w:r w:rsidR="00BF3F86">
        <w:rPr>
          <w:sz w:val="24"/>
          <w:szCs w:val="24"/>
        </w:rPr>
        <w:t xml:space="preserve">to </w:t>
      </w:r>
      <w:r w:rsidR="00CA6947">
        <w:rPr>
          <w:sz w:val="24"/>
          <w:szCs w:val="24"/>
        </w:rPr>
        <w:t xml:space="preserve">vērtēšanas process (tostarp </w:t>
      </w:r>
      <w:r w:rsidR="00407744">
        <w:rPr>
          <w:sz w:val="24"/>
          <w:szCs w:val="24"/>
        </w:rPr>
        <w:t xml:space="preserve">vidusposma un gala rezultātu zinātniskās kvalitātes </w:t>
      </w:r>
      <w:r w:rsidR="00BF3F86">
        <w:rPr>
          <w:sz w:val="24"/>
          <w:szCs w:val="24"/>
        </w:rPr>
        <w:t>vērtēšana</w:t>
      </w:r>
      <w:r w:rsidR="00CA6947">
        <w:rPr>
          <w:sz w:val="24"/>
          <w:szCs w:val="24"/>
        </w:rPr>
        <w:t xml:space="preserve">), līguma un tā izpildes </w:t>
      </w:r>
      <w:r w:rsidR="00105C31" w:rsidRPr="00407744">
        <w:rPr>
          <w:sz w:val="24"/>
          <w:szCs w:val="24"/>
        </w:rPr>
        <w:t xml:space="preserve">pamatojošās dokumentācijas </w:t>
      </w:r>
      <w:r w:rsidR="00CA6947">
        <w:rPr>
          <w:sz w:val="24"/>
          <w:szCs w:val="24"/>
        </w:rPr>
        <w:t>aprite</w:t>
      </w:r>
      <w:r w:rsidR="00105C31" w:rsidRPr="00407744">
        <w:rPr>
          <w:sz w:val="24"/>
          <w:szCs w:val="24"/>
        </w:rPr>
        <w:t>.</w:t>
      </w:r>
      <w:r w:rsidR="009114D6">
        <w:rPr>
          <w:sz w:val="24"/>
          <w:szCs w:val="24"/>
        </w:rPr>
        <w:t xml:space="preserve"> Tomēr šobrīd POSTDOC IT sistēmā</w:t>
      </w:r>
      <w:r w:rsidR="00407744" w:rsidRPr="00407744">
        <w:rPr>
          <w:sz w:val="24"/>
          <w:szCs w:val="24"/>
        </w:rPr>
        <w:t xml:space="preserve"> ir ierobežotas ies</w:t>
      </w:r>
      <w:r w:rsidR="000F5A08">
        <w:rPr>
          <w:sz w:val="24"/>
          <w:szCs w:val="24"/>
        </w:rPr>
        <w:t>p</w:t>
      </w:r>
      <w:r w:rsidR="00407744" w:rsidRPr="00407744">
        <w:rPr>
          <w:sz w:val="24"/>
          <w:szCs w:val="24"/>
        </w:rPr>
        <w:t xml:space="preserve">ējas </w:t>
      </w:r>
      <w:r w:rsidR="00CA6947">
        <w:rPr>
          <w:sz w:val="24"/>
          <w:szCs w:val="24"/>
        </w:rPr>
        <w:t xml:space="preserve">iegūt </w:t>
      </w:r>
      <w:r w:rsidR="00105C31" w:rsidRPr="00407744">
        <w:rPr>
          <w:sz w:val="24"/>
          <w:szCs w:val="24"/>
        </w:rPr>
        <w:t>akt</w:t>
      </w:r>
      <w:r w:rsidR="00BF3F86">
        <w:rPr>
          <w:sz w:val="24"/>
          <w:szCs w:val="24"/>
        </w:rPr>
        <w:t>uālāko informāciju par P</w:t>
      </w:r>
      <w:r w:rsidR="00105C31" w:rsidRPr="00407744">
        <w:rPr>
          <w:sz w:val="24"/>
          <w:szCs w:val="24"/>
        </w:rPr>
        <w:t>ēcdoktorantūras pētniecības programmas ietvaros īstenotajiem pētniecības pieteikumiem</w:t>
      </w:r>
      <w:r w:rsidR="00CA6947">
        <w:rPr>
          <w:sz w:val="24"/>
          <w:szCs w:val="24"/>
        </w:rPr>
        <w:t xml:space="preserve">, kā </w:t>
      </w:r>
      <w:r w:rsidR="00CA6947" w:rsidRPr="0032214D">
        <w:rPr>
          <w:sz w:val="24"/>
          <w:szCs w:val="24"/>
        </w:rPr>
        <w:t>arī nav pieejams datu analīzes rīks</w:t>
      </w:r>
      <w:r w:rsidR="0032214D" w:rsidRPr="0032214D">
        <w:rPr>
          <w:sz w:val="24"/>
          <w:szCs w:val="24"/>
        </w:rPr>
        <w:t xml:space="preserve"> pētniecības pieteikumu īstenošanas progresa uzraudzībai</w:t>
      </w:r>
      <w:r w:rsidR="00BF3F86" w:rsidRPr="0032214D">
        <w:rPr>
          <w:sz w:val="24"/>
          <w:szCs w:val="24"/>
        </w:rPr>
        <w:t>.</w:t>
      </w:r>
      <w:r w:rsidR="00BF3F86">
        <w:rPr>
          <w:sz w:val="24"/>
          <w:szCs w:val="24"/>
        </w:rPr>
        <w:t xml:space="preserve"> </w:t>
      </w:r>
    </w:p>
    <w:p w14:paraId="47A2B219" w14:textId="2735F4FD" w:rsidR="00A44D40" w:rsidRPr="00A44D40" w:rsidRDefault="00BF3F86" w:rsidP="00F93D6F">
      <w:pPr>
        <w:spacing w:after="0" w:line="240" w:lineRule="auto"/>
        <w:jc w:val="both"/>
        <w:rPr>
          <w:rFonts w:ascii="Arial" w:hAnsi="Arial" w:cs="Arial"/>
          <w:color w:val="414142"/>
          <w:sz w:val="20"/>
          <w:szCs w:val="20"/>
          <w:shd w:val="clear" w:color="auto" w:fill="FFFFFF"/>
        </w:rPr>
      </w:pPr>
      <w:r>
        <w:rPr>
          <w:sz w:val="24"/>
          <w:szCs w:val="24"/>
        </w:rPr>
        <w:t>Ievērojot minēto,</w:t>
      </w:r>
      <w:r w:rsidR="00105C31" w:rsidRPr="00407744">
        <w:rPr>
          <w:sz w:val="24"/>
          <w:szCs w:val="24"/>
        </w:rPr>
        <w:t xml:space="preserve"> </w:t>
      </w:r>
      <w:r w:rsidR="00105C31" w:rsidRPr="009114D6">
        <w:rPr>
          <w:sz w:val="24"/>
          <w:szCs w:val="24"/>
          <w:u w:val="single"/>
        </w:rPr>
        <w:t>nepieciešams</w:t>
      </w:r>
      <w:r w:rsidR="00407744" w:rsidRPr="009114D6">
        <w:rPr>
          <w:sz w:val="24"/>
          <w:szCs w:val="24"/>
          <w:u w:val="single"/>
        </w:rPr>
        <w:t xml:space="preserve"> izskatīt iespējas</w:t>
      </w:r>
      <w:r w:rsidR="00105C31" w:rsidRPr="009114D6">
        <w:rPr>
          <w:sz w:val="24"/>
          <w:szCs w:val="24"/>
          <w:u w:val="single"/>
        </w:rPr>
        <w:t xml:space="preserve"> papildināt POSTDOC IT sistēmu ar vairākiem </w:t>
      </w:r>
      <w:r w:rsidR="00105C31" w:rsidRPr="0032214D">
        <w:rPr>
          <w:sz w:val="24"/>
          <w:szCs w:val="24"/>
          <w:u w:val="single"/>
        </w:rPr>
        <w:t>jauniem datu lauk</w:t>
      </w:r>
      <w:r w:rsidRPr="0032214D">
        <w:rPr>
          <w:sz w:val="24"/>
          <w:szCs w:val="24"/>
          <w:u w:val="single"/>
        </w:rPr>
        <w:t>iem un jaunu funkcionālo bloku, lai</w:t>
      </w:r>
      <w:r w:rsidR="00ED6A82" w:rsidRPr="0032214D">
        <w:rPr>
          <w:sz w:val="24"/>
          <w:szCs w:val="24"/>
          <w:u w:val="single"/>
        </w:rPr>
        <w:t xml:space="preserve"> </w:t>
      </w:r>
      <w:r w:rsidR="0032214D" w:rsidRPr="0032214D">
        <w:rPr>
          <w:sz w:val="24"/>
          <w:szCs w:val="24"/>
          <w:u w:val="single"/>
        </w:rPr>
        <w:t>automatizētu pētniecības pieteikumu īstenotājiem maksājumu pieprasījumu sagatavošanu un iesniegšanu</w:t>
      </w:r>
      <w:r w:rsidR="006F736B">
        <w:rPr>
          <w:rStyle w:val="FootnoteReference"/>
          <w:sz w:val="24"/>
          <w:szCs w:val="24"/>
          <w:u w:val="single"/>
        </w:rPr>
        <w:footnoteReference w:id="21"/>
      </w:r>
      <w:r w:rsidR="0032214D" w:rsidRPr="0032214D">
        <w:rPr>
          <w:sz w:val="24"/>
          <w:szCs w:val="24"/>
          <w:u w:val="single"/>
        </w:rPr>
        <w:t xml:space="preserve">, kā arī </w:t>
      </w:r>
      <w:r w:rsidRPr="0032214D">
        <w:rPr>
          <w:sz w:val="24"/>
          <w:szCs w:val="24"/>
          <w:u w:val="single"/>
        </w:rPr>
        <w:t xml:space="preserve">nodrošinātu </w:t>
      </w:r>
      <w:r w:rsidR="00ED6A82" w:rsidRPr="0032214D">
        <w:rPr>
          <w:sz w:val="24"/>
          <w:szCs w:val="24"/>
          <w:u w:val="single"/>
        </w:rPr>
        <w:t xml:space="preserve">ar </w:t>
      </w:r>
      <w:r w:rsidR="0032214D" w:rsidRPr="0032214D">
        <w:rPr>
          <w:sz w:val="24"/>
          <w:szCs w:val="24"/>
          <w:u w:val="single"/>
        </w:rPr>
        <w:t xml:space="preserve">pētniecības pieteikumu īstenošanas progresa uzraudzību saistītu </w:t>
      </w:r>
      <w:r w:rsidRPr="0032214D">
        <w:rPr>
          <w:sz w:val="24"/>
          <w:szCs w:val="24"/>
          <w:u w:val="single"/>
        </w:rPr>
        <w:t xml:space="preserve">analītisku datu uzkrāšanu un </w:t>
      </w:r>
      <w:r w:rsidRPr="00EA20BA">
        <w:rPr>
          <w:sz w:val="24"/>
          <w:szCs w:val="24"/>
          <w:u w:val="single"/>
        </w:rPr>
        <w:t>iegūšanu</w:t>
      </w:r>
      <w:r w:rsidR="00FF4E81" w:rsidRPr="00EA20BA">
        <w:rPr>
          <w:sz w:val="24"/>
          <w:szCs w:val="24"/>
        </w:rPr>
        <w:t>.</w:t>
      </w:r>
      <w:r w:rsidR="00406728" w:rsidRPr="00EA20BA">
        <w:rPr>
          <w:sz w:val="24"/>
          <w:szCs w:val="24"/>
        </w:rPr>
        <w:t xml:space="preserve"> </w:t>
      </w:r>
      <w:r w:rsidR="0032214D" w:rsidRPr="00EA20BA">
        <w:rPr>
          <w:sz w:val="24"/>
          <w:szCs w:val="24"/>
        </w:rPr>
        <w:t>Savukārt, lai nodrošinātu POSTDOC IT sistēmas ilgtspēju pēc Pēcdoktorantūras pētniecības programmas īstenošanas, IZM kā NZDIS pārzini</w:t>
      </w:r>
      <w:r w:rsidR="00076611" w:rsidRPr="00EA20BA">
        <w:rPr>
          <w:sz w:val="24"/>
          <w:szCs w:val="24"/>
        </w:rPr>
        <w:t>m</w:t>
      </w:r>
      <w:r w:rsidR="0032214D" w:rsidRPr="00EA20BA">
        <w:rPr>
          <w:sz w:val="24"/>
          <w:szCs w:val="24"/>
        </w:rPr>
        <w:t xml:space="preserve">, </w:t>
      </w:r>
      <w:r w:rsidR="00076611" w:rsidRPr="00EA20BA">
        <w:rPr>
          <w:sz w:val="24"/>
          <w:szCs w:val="24"/>
        </w:rPr>
        <w:t xml:space="preserve">jānodefinē nepieciešamās prasības informācijas datu laukiem un informācijas apjomam, </w:t>
      </w:r>
      <w:r w:rsidR="0032214D" w:rsidRPr="00EA20BA">
        <w:rPr>
          <w:sz w:val="24"/>
          <w:szCs w:val="24"/>
        </w:rPr>
        <w:t>jānodrošina POSTDOC IT un NZDIS savstarpējā savienojamība</w:t>
      </w:r>
      <w:r w:rsidR="00076611" w:rsidRPr="00EA20BA">
        <w:rPr>
          <w:sz w:val="24"/>
          <w:szCs w:val="24"/>
        </w:rPr>
        <w:t xml:space="preserve"> un</w:t>
      </w:r>
      <w:r w:rsidR="0032214D" w:rsidRPr="00EA20BA">
        <w:rPr>
          <w:sz w:val="24"/>
          <w:szCs w:val="24"/>
        </w:rPr>
        <w:t xml:space="preserve"> datu </w:t>
      </w:r>
      <w:r w:rsidR="00076611" w:rsidRPr="00EA20BA">
        <w:rPr>
          <w:sz w:val="24"/>
          <w:szCs w:val="24"/>
        </w:rPr>
        <w:t>pieņemšana</w:t>
      </w:r>
      <w:r w:rsidR="0032214D" w:rsidRPr="00EA20BA">
        <w:rPr>
          <w:sz w:val="24"/>
          <w:szCs w:val="24"/>
        </w:rPr>
        <w:t>, kā arī informācijas un tehnisko resursu uzturēšanas iespējas.</w:t>
      </w:r>
      <w:r w:rsidR="00076611" w:rsidRPr="00EA20BA">
        <w:rPr>
          <w:sz w:val="24"/>
          <w:szCs w:val="24"/>
        </w:rPr>
        <w:t xml:space="preserve"> Savukārt, VIAA kā POSTDOC IT sistēmas pārzinim, jānodrošina POSTDOC IT sistēmas funkcionalitātes pielāgošana datu ekspertam uz NZDIS atbilstoši IZM definētajām prasībām, kā arī regulāra datu uzkrāšana un pārraide.</w:t>
      </w:r>
    </w:p>
    <w:p w14:paraId="47973668" w14:textId="77777777" w:rsidR="00800FBA" w:rsidRDefault="00ED3BC2" w:rsidP="00800FBA">
      <w:pPr>
        <w:spacing w:before="120" w:after="0" w:line="240" w:lineRule="auto"/>
        <w:jc w:val="both"/>
        <w:rPr>
          <w:sz w:val="24"/>
          <w:szCs w:val="24"/>
        </w:rPr>
      </w:pPr>
      <w:r>
        <w:rPr>
          <w:sz w:val="24"/>
          <w:szCs w:val="24"/>
        </w:rPr>
        <w:t xml:space="preserve">Ievērojot augstāk minēto, </w:t>
      </w:r>
      <w:r w:rsidRPr="00ED3BC2">
        <w:rPr>
          <w:sz w:val="24"/>
          <w:szCs w:val="24"/>
        </w:rPr>
        <w:t xml:space="preserve">secināms, ka VIAA </w:t>
      </w:r>
      <w:r w:rsidR="00353FD0">
        <w:rPr>
          <w:sz w:val="24"/>
          <w:szCs w:val="24"/>
        </w:rPr>
        <w:t xml:space="preserve"> </w:t>
      </w:r>
      <w:r w:rsidRPr="00ED3BC2">
        <w:rPr>
          <w:sz w:val="24"/>
          <w:szCs w:val="24"/>
        </w:rPr>
        <w:t>kā Pēcdoktorantūras pētniecības programmas finansējuma saņēm</w:t>
      </w:r>
      <w:r>
        <w:rPr>
          <w:sz w:val="24"/>
          <w:szCs w:val="24"/>
        </w:rPr>
        <w:t xml:space="preserve">ēja </w:t>
      </w:r>
      <w:r w:rsidR="006764EC">
        <w:rPr>
          <w:sz w:val="24"/>
          <w:szCs w:val="24"/>
        </w:rPr>
        <w:t>būtiskākā priekšrocība</w:t>
      </w:r>
      <w:r w:rsidR="00784D36">
        <w:rPr>
          <w:sz w:val="24"/>
          <w:szCs w:val="24"/>
        </w:rPr>
        <w:t xml:space="preserve"> </w:t>
      </w:r>
      <w:r>
        <w:rPr>
          <w:sz w:val="24"/>
          <w:szCs w:val="24"/>
        </w:rPr>
        <w:t xml:space="preserve">ir </w:t>
      </w:r>
      <w:r w:rsidR="006764EC">
        <w:rPr>
          <w:sz w:val="24"/>
          <w:szCs w:val="24"/>
        </w:rPr>
        <w:t xml:space="preserve">vispusīgas </w:t>
      </w:r>
      <w:r>
        <w:rPr>
          <w:sz w:val="24"/>
          <w:szCs w:val="24"/>
        </w:rPr>
        <w:t>un saturiskas komunikācijas un individualizētās pieejas nodrošināšana pēcdoktorant</w:t>
      </w:r>
      <w:r w:rsidR="00784D36">
        <w:rPr>
          <w:sz w:val="24"/>
          <w:szCs w:val="24"/>
        </w:rPr>
        <w:t>ie</w:t>
      </w:r>
      <w:r>
        <w:rPr>
          <w:sz w:val="24"/>
          <w:szCs w:val="24"/>
        </w:rPr>
        <w:t>m, zinātniskaj</w:t>
      </w:r>
      <w:r w:rsidR="00784D36">
        <w:rPr>
          <w:sz w:val="24"/>
          <w:szCs w:val="24"/>
        </w:rPr>
        <w:t>ām</w:t>
      </w:r>
      <w:r>
        <w:rPr>
          <w:sz w:val="24"/>
          <w:szCs w:val="24"/>
        </w:rPr>
        <w:t xml:space="preserve"> institūcij</w:t>
      </w:r>
      <w:r w:rsidR="00784D36">
        <w:rPr>
          <w:sz w:val="24"/>
          <w:szCs w:val="24"/>
        </w:rPr>
        <w:t>ām</w:t>
      </w:r>
      <w:r>
        <w:rPr>
          <w:sz w:val="24"/>
          <w:szCs w:val="24"/>
        </w:rPr>
        <w:t xml:space="preserve"> un komersant</w:t>
      </w:r>
      <w:r w:rsidR="00784D36">
        <w:rPr>
          <w:sz w:val="24"/>
          <w:szCs w:val="24"/>
        </w:rPr>
        <w:t>ie</w:t>
      </w:r>
      <w:r>
        <w:rPr>
          <w:sz w:val="24"/>
          <w:szCs w:val="24"/>
        </w:rPr>
        <w:t>m</w:t>
      </w:r>
      <w:r w:rsidRPr="00ED3BC2">
        <w:rPr>
          <w:sz w:val="24"/>
          <w:szCs w:val="24"/>
        </w:rPr>
        <w:t xml:space="preserve"> </w:t>
      </w:r>
      <w:r>
        <w:rPr>
          <w:sz w:val="24"/>
          <w:szCs w:val="24"/>
        </w:rPr>
        <w:t>visos pētniecības pieteikuma īstenošanas posmos</w:t>
      </w:r>
      <w:r w:rsidR="008F73DB">
        <w:rPr>
          <w:sz w:val="24"/>
          <w:szCs w:val="24"/>
        </w:rPr>
        <w:t>.</w:t>
      </w:r>
      <w:r w:rsidR="00885021">
        <w:rPr>
          <w:sz w:val="24"/>
          <w:szCs w:val="24"/>
        </w:rPr>
        <w:t xml:space="preserve"> </w:t>
      </w:r>
      <w:r w:rsidR="008F73DB">
        <w:rPr>
          <w:sz w:val="24"/>
          <w:szCs w:val="24"/>
        </w:rPr>
        <w:t>Tostarp, ņemto vērā to,</w:t>
      </w:r>
      <w:r w:rsidR="00885021">
        <w:rPr>
          <w:sz w:val="24"/>
          <w:szCs w:val="24"/>
        </w:rPr>
        <w:t xml:space="preserve"> ka </w:t>
      </w:r>
      <w:r w:rsidR="00885021" w:rsidRPr="008F73DB">
        <w:rPr>
          <w:sz w:val="24"/>
          <w:szCs w:val="24"/>
        </w:rPr>
        <w:t xml:space="preserve">VIAA </w:t>
      </w:r>
      <w:r w:rsidR="008F73DB">
        <w:rPr>
          <w:sz w:val="24"/>
          <w:szCs w:val="24"/>
        </w:rPr>
        <w:t>veic arī</w:t>
      </w:r>
      <w:r w:rsidR="00885021" w:rsidRPr="008F73DB">
        <w:rPr>
          <w:sz w:val="24"/>
          <w:szCs w:val="24"/>
        </w:rPr>
        <w:t xml:space="preserve"> ES pētniecības un inovācijas atbalsta programmas “Apvārsnis 2020” Nacionālā </w:t>
      </w:r>
      <w:r w:rsidR="00885021" w:rsidRPr="008F73DB">
        <w:rPr>
          <w:sz w:val="24"/>
          <w:szCs w:val="24"/>
        </w:rPr>
        <w:lastRenderedPageBreak/>
        <w:t>kontaktpunkta funkcijas</w:t>
      </w:r>
      <w:r w:rsidR="008F73DB">
        <w:rPr>
          <w:sz w:val="24"/>
          <w:szCs w:val="24"/>
        </w:rPr>
        <w:t xml:space="preserve">, šī komunikācija ir mērķēta ne tikai uz pētniecības pieteikuma īstenošanas nodrošināšanu, bet arī </w:t>
      </w:r>
      <w:r w:rsidR="006764EC">
        <w:rPr>
          <w:sz w:val="24"/>
          <w:szCs w:val="24"/>
        </w:rPr>
        <w:t xml:space="preserve">nodrošināta sasaiste ar </w:t>
      </w:r>
      <w:r w:rsidR="008F73DB">
        <w:rPr>
          <w:sz w:val="24"/>
          <w:szCs w:val="24"/>
        </w:rPr>
        <w:t>turpm</w:t>
      </w:r>
      <w:r w:rsidR="006E20E0">
        <w:rPr>
          <w:sz w:val="24"/>
          <w:szCs w:val="24"/>
        </w:rPr>
        <w:t>ākajām</w:t>
      </w:r>
      <w:r w:rsidR="008F73DB">
        <w:rPr>
          <w:sz w:val="24"/>
          <w:szCs w:val="24"/>
        </w:rPr>
        <w:t xml:space="preserve"> </w:t>
      </w:r>
      <w:r w:rsidR="006E20E0">
        <w:rPr>
          <w:sz w:val="24"/>
          <w:szCs w:val="24"/>
        </w:rPr>
        <w:t xml:space="preserve">pēcdoktorantu pētniecības iespējām Eiropas Komisijas </w:t>
      </w:r>
      <w:r w:rsidR="006E20E0" w:rsidRPr="008F73DB">
        <w:rPr>
          <w:sz w:val="24"/>
          <w:szCs w:val="24"/>
        </w:rPr>
        <w:t>pētniecības u</w:t>
      </w:r>
      <w:r w:rsidR="006E20E0">
        <w:rPr>
          <w:sz w:val="24"/>
          <w:szCs w:val="24"/>
        </w:rPr>
        <w:t xml:space="preserve">n inovācijas atbalsta </w:t>
      </w:r>
      <w:r w:rsidR="00800FBA">
        <w:rPr>
          <w:sz w:val="24"/>
          <w:szCs w:val="24"/>
        </w:rPr>
        <w:t xml:space="preserve">programmās. </w:t>
      </w:r>
    </w:p>
    <w:p w14:paraId="0F0F1F02" w14:textId="77777777" w:rsidR="006F3687" w:rsidRDefault="006F3687" w:rsidP="00800FBA">
      <w:pPr>
        <w:spacing w:before="120" w:after="0" w:line="240" w:lineRule="auto"/>
        <w:jc w:val="both"/>
        <w:rPr>
          <w:rFonts w:asciiTheme="majorHAnsi" w:eastAsiaTheme="majorEastAsia" w:hAnsiTheme="majorHAnsi" w:cstheme="majorBidi"/>
          <w:b/>
          <w:color w:val="323E4F" w:themeColor="text2" w:themeShade="BF"/>
          <w:sz w:val="28"/>
          <w:szCs w:val="28"/>
        </w:rPr>
      </w:pPr>
      <w:r>
        <w:rPr>
          <w:b/>
          <w:color w:val="323E4F" w:themeColor="text2" w:themeShade="BF"/>
          <w:sz w:val="28"/>
          <w:szCs w:val="28"/>
        </w:rPr>
        <w:br w:type="page"/>
      </w:r>
    </w:p>
    <w:p w14:paraId="5225406E" w14:textId="77777777" w:rsidR="0090281E" w:rsidRPr="00800FBA" w:rsidRDefault="00B31A73" w:rsidP="00800FBA">
      <w:pPr>
        <w:pStyle w:val="Heading1"/>
        <w:numPr>
          <w:ilvl w:val="0"/>
          <w:numId w:val="3"/>
        </w:numPr>
        <w:spacing w:before="360" w:after="240" w:line="240" w:lineRule="auto"/>
        <w:ind w:left="788" w:hanging="357"/>
        <w:jc w:val="both"/>
        <w:rPr>
          <w:b/>
          <w:color w:val="323E4F" w:themeColor="text2" w:themeShade="BF"/>
          <w:sz w:val="28"/>
          <w:szCs w:val="28"/>
        </w:rPr>
      </w:pPr>
      <w:bookmarkStart w:id="12" w:name="_Toc3218336"/>
      <w:r w:rsidRPr="00D93E7C">
        <w:rPr>
          <w:b/>
          <w:color w:val="323E4F" w:themeColor="text2" w:themeShade="BF"/>
          <w:sz w:val="28"/>
          <w:szCs w:val="28"/>
        </w:rPr>
        <w:lastRenderedPageBreak/>
        <w:t>Priekšlikum</w:t>
      </w:r>
      <w:r>
        <w:rPr>
          <w:b/>
          <w:color w:val="323E4F" w:themeColor="text2" w:themeShade="BF"/>
          <w:sz w:val="28"/>
          <w:szCs w:val="28"/>
        </w:rPr>
        <w:t>i</w:t>
      </w:r>
      <w:r w:rsidRPr="00D93E7C">
        <w:rPr>
          <w:b/>
          <w:color w:val="323E4F" w:themeColor="text2" w:themeShade="BF"/>
          <w:sz w:val="28"/>
          <w:szCs w:val="28"/>
        </w:rPr>
        <w:t xml:space="preserve"> </w:t>
      </w:r>
      <w:r w:rsidR="0090281E" w:rsidRPr="00D93E7C">
        <w:rPr>
          <w:b/>
          <w:color w:val="323E4F" w:themeColor="text2" w:themeShade="BF"/>
          <w:sz w:val="28"/>
          <w:szCs w:val="28"/>
        </w:rPr>
        <w:t xml:space="preserve">pēcdoktorantūras pētniecības programmas ieviešanas nosacījumu </w:t>
      </w:r>
      <w:r w:rsidR="00800FBA" w:rsidRPr="00800FBA">
        <w:rPr>
          <w:b/>
          <w:color w:val="323E4F" w:themeColor="text2" w:themeShade="BF"/>
          <w:sz w:val="28"/>
          <w:szCs w:val="28"/>
        </w:rPr>
        <w:t>pilnveidei</w:t>
      </w:r>
      <w:bookmarkEnd w:id="12"/>
    </w:p>
    <w:p w14:paraId="7A259858" w14:textId="694B6320" w:rsidR="00B537FF" w:rsidRDefault="001A4A61" w:rsidP="0082274F">
      <w:pPr>
        <w:spacing w:before="240" w:after="0" w:line="240" w:lineRule="auto"/>
        <w:jc w:val="both"/>
        <w:rPr>
          <w:sz w:val="24"/>
          <w:szCs w:val="24"/>
        </w:rPr>
      </w:pPr>
      <w:r>
        <w:rPr>
          <w:sz w:val="24"/>
          <w:szCs w:val="24"/>
        </w:rPr>
        <w:t xml:space="preserve">Ņemot vērā šajā ziņojumā izklāstīto, kā arī VIAA un </w:t>
      </w:r>
      <w:r w:rsidR="006D66A8">
        <w:rPr>
          <w:sz w:val="24"/>
          <w:szCs w:val="24"/>
        </w:rPr>
        <w:t>Latvijas Jauno zinātnieku apvienības</w:t>
      </w:r>
      <w:r>
        <w:rPr>
          <w:sz w:val="24"/>
          <w:szCs w:val="24"/>
        </w:rPr>
        <w:t xml:space="preserve"> sniegtos ierosinājumus, </w:t>
      </w:r>
      <w:r w:rsidR="002017D2">
        <w:rPr>
          <w:sz w:val="24"/>
          <w:szCs w:val="24"/>
        </w:rPr>
        <w:t>Izglītības un zinātnes ministrija rosina 2019. gada otrajā ceturksnī izsludināt Pēcdoktorantūras pētniecības programmas 3. atlases k</w:t>
      </w:r>
      <w:r w:rsidR="00295DBB">
        <w:rPr>
          <w:sz w:val="24"/>
          <w:szCs w:val="24"/>
        </w:rPr>
        <w:t>ārtu, pirms tam veicot</w:t>
      </w:r>
      <w:r w:rsidR="00B537FF">
        <w:rPr>
          <w:sz w:val="24"/>
          <w:szCs w:val="24"/>
        </w:rPr>
        <w:t xml:space="preserve"> </w:t>
      </w:r>
      <w:r w:rsidR="00885B78">
        <w:rPr>
          <w:sz w:val="24"/>
          <w:szCs w:val="24"/>
        </w:rPr>
        <w:t>šādus</w:t>
      </w:r>
      <w:r w:rsidR="00B537FF">
        <w:rPr>
          <w:sz w:val="24"/>
          <w:szCs w:val="24"/>
        </w:rPr>
        <w:t xml:space="preserve"> grozījumus MK noteikumos Nr. 50:</w:t>
      </w:r>
    </w:p>
    <w:p w14:paraId="0F5266C0" w14:textId="77777777" w:rsidR="00B537FF" w:rsidRPr="00830EB7" w:rsidRDefault="00B537FF" w:rsidP="00B537FF">
      <w:pPr>
        <w:pStyle w:val="ListParagraph"/>
        <w:numPr>
          <w:ilvl w:val="0"/>
          <w:numId w:val="15"/>
        </w:numPr>
        <w:spacing w:before="120" w:after="0" w:line="240" w:lineRule="auto"/>
        <w:ind w:left="709" w:hanging="357"/>
        <w:jc w:val="both"/>
        <w:rPr>
          <w:rFonts w:cstheme="minorHAnsi"/>
          <w:sz w:val="24"/>
          <w:szCs w:val="24"/>
        </w:rPr>
      </w:pPr>
      <w:r>
        <w:rPr>
          <w:rFonts w:cstheme="minorHAnsi"/>
          <w:sz w:val="24"/>
          <w:szCs w:val="24"/>
        </w:rPr>
        <w:t>l</w:t>
      </w:r>
      <w:r w:rsidRPr="00830EB7">
        <w:rPr>
          <w:rFonts w:cstheme="minorHAnsi"/>
          <w:sz w:val="24"/>
          <w:szCs w:val="24"/>
        </w:rPr>
        <w:t xml:space="preserve">ai stimulētu pēcdoktorantu kļūšanu par jaunajiem zinātnisko grupu vadītājiem, tiek rosināts pārskatīt pēcdoktoranta statusa atbilstības kritēriju, kas paredz, ka pēcdoktorants ir zinātnieks, kas doktora grādu ieguvis ne agrāk kā 5 gadus pirms pētniecības pieteikuma iesniegšanas, šo </w:t>
      </w:r>
      <w:r w:rsidRPr="00830EB7">
        <w:rPr>
          <w:rFonts w:cstheme="minorHAnsi"/>
          <w:b/>
          <w:sz w:val="24"/>
          <w:szCs w:val="24"/>
        </w:rPr>
        <w:t>termiņu pagarinot līdz 10 gadiem</w:t>
      </w:r>
      <w:r w:rsidRPr="00830EB7">
        <w:rPr>
          <w:rFonts w:cstheme="minorHAnsi"/>
          <w:sz w:val="24"/>
          <w:szCs w:val="24"/>
        </w:rPr>
        <w:t>. Tas ļautu efektīvāk izmantot izcilo jauno zinātnieku potenciālu un atbalsta iespējas, vienlaikus stimulējot vadības un līderības kompetences un</w:t>
      </w:r>
      <w:r w:rsidRPr="00830EB7">
        <w:rPr>
          <w:rFonts w:cstheme="minorHAnsi"/>
          <w:b/>
          <w:sz w:val="24"/>
          <w:szCs w:val="24"/>
        </w:rPr>
        <w:t xml:space="preserve"> savas pētniecības komandas veidošanu, </w:t>
      </w:r>
      <w:r w:rsidRPr="00830EB7">
        <w:rPr>
          <w:rFonts w:cstheme="minorHAnsi"/>
          <w:sz w:val="24"/>
          <w:szCs w:val="24"/>
        </w:rPr>
        <w:t>tostarp cieši sadarbojoties ar doktorantiem un maģistrantiem, iesaistoties bakalaura, maģistra un doktora darbu vadīšanā, recenzēšanā un noslēguma darbu komisijās;</w:t>
      </w:r>
    </w:p>
    <w:p w14:paraId="1A0AF780" w14:textId="58E6BE0B" w:rsidR="000868F9" w:rsidRDefault="00854AD3" w:rsidP="000868F9">
      <w:pPr>
        <w:pStyle w:val="ListParagraph"/>
        <w:numPr>
          <w:ilvl w:val="0"/>
          <w:numId w:val="15"/>
        </w:numPr>
        <w:spacing w:before="240" w:after="0" w:line="240" w:lineRule="auto"/>
        <w:ind w:left="709"/>
        <w:jc w:val="both"/>
        <w:rPr>
          <w:rFonts w:cstheme="minorHAnsi"/>
          <w:sz w:val="24"/>
          <w:szCs w:val="24"/>
        </w:rPr>
      </w:pPr>
      <w:r>
        <w:rPr>
          <w:rFonts w:cstheme="minorHAnsi"/>
          <w:sz w:val="24"/>
          <w:szCs w:val="24"/>
        </w:rPr>
        <w:t xml:space="preserve">lai veicinātu </w:t>
      </w:r>
      <w:r w:rsidR="000868F9">
        <w:rPr>
          <w:rFonts w:cstheme="minorHAnsi"/>
          <w:sz w:val="24"/>
          <w:szCs w:val="24"/>
        </w:rPr>
        <w:t xml:space="preserve">konkurētspējīgu un kvalitatīvu projektu iesniegumu apstiprināšanu un papildus finansējuma piesaisti zinātniskajai darbībai, nepieciešams </w:t>
      </w:r>
      <w:r w:rsidR="00032B3A">
        <w:rPr>
          <w:rFonts w:cstheme="minorHAnsi"/>
          <w:sz w:val="24"/>
          <w:szCs w:val="24"/>
        </w:rPr>
        <w:t>skaidri noteikt</w:t>
      </w:r>
      <w:r w:rsidR="000868F9">
        <w:rPr>
          <w:rFonts w:cstheme="minorHAnsi"/>
          <w:sz w:val="24"/>
          <w:szCs w:val="24"/>
        </w:rPr>
        <w:t>, ka pēcdoktorants pētniecības pieteikuma īstenošanas laikā var izstrādāt pētniecības vai inovācijas  projektu iesniegumus Latvijas un starptautisko projektu iesniegumu konkursos, tādējādi sekmējot projektu iesniegumu sagatavošanas kompetences;</w:t>
      </w:r>
    </w:p>
    <w:p w14:paraId="31C5B09C" w14:textId="77777777" w:rsidR="000868F9" w:rsidRPr="000868F9" w:rsidRDefault="000868F9" w:rsidP="000868F9">
      <w:pPr>
        <w:pStyle w:val="ListParagraph"/>
        <w:numPr>
          <w:ilvl w:val="0"/>
          <w:numId w:val="15"/>
        </w:numPr>
        <w:spacing w:before="240" w:after="0" w:line="240" w:lineRule="auto"/>
        <w:ind w:left="709"/>
        <w:jc w:val="both"/>
        <w:rPr>
          <w:rFonts w:cstheme="minorHAnsi"/>
          <w:sz w:val="24"/>
          <w:szCs w:val="24"/>
        </w:rPr>
      </w:pPr>
      <w:r w:rsidRPr="000868F9">
        <w:rPr>
          <w:sz w:val="24"/>
          <w:szCs w:val="24"/>
        </w:rPr>
        <w:t xml:space="preserve">lai stimulētu iespējami plašāku zinātnes komunikāciju, tiek rosināts </w:t>
      </w:r>
      <w:r w:rsidRPr="000868F9">
        <w:rPr>
          <w:rFonts w:cstheme="minorHAnsi"/>
          <w:sz w:val="24"/>
          <w:szCs w:val="24"/>
        </w:rPr>
        <w:t xml:space="preserve">precizēt pēcdoktoranta pētniecības pieteikuma īstenošanas nosacījumus, </w:t>
      </w:r>
      <w:r w:rsidRPr="000868F9">
        <w:rPr>
          <w:rFonts w:cstheme="minorHAnsi"/>
          <w:b/>
          <w:sz w:val="24"/>
          <w:szCs w:val="24"/>
        </w:rPr>
        <w:t>stimulējot visu pēcdoktorantu aktīvu iesaisti zinātnes komunikācijas aktivitātēs</w:t>
      </w:r>
      <w:r w:rsidRPr="000868F9">
        <w:rPr>
          <w:rFonts w:cstheme="minorHAnsi"/>
          <w:sz w:val="24"/>
          <w:szCs w:val="24"/>
        </w:rPr>
        <w:t>;</w:t>
      </w:r>
    </w:p>
    <w:p w14:paraId="0815129D" w14:textId="77777777" w:rsidR="00B537FF" w:rsidRDefault="00B537FF" w:rsidP="00B537FF">
      <w:pPr>
        <w:pStyle w:val="ListParagraph"/>
        <w:numPr>
          <w:ilvl w:val="0"/>
          <w:numId w:val="15"/>
        </w:numPr>
        <w:spacing w:line="240" w:lineRule="auto"/>
        <w:ind w:left="709"/>
        <w:jc w:val="both"/>
        <w:rPr>
          <w:rFonts w:cstheme="minorHAnsi"/>
          <w:sz w:val="24"/>
          <w:szCs w:val="24"/>
        </w:rPr>
      </w:pPr>
      <w:r>
        <w:rPr>
          <w:rFonts w:cstheme="minorHAnsi"/>
          <w:sz w:val="24"/>
          <w:szCs w:val="24"/>
        </w:rPr>
        <w:t xml:space="preserve">svītrot </w:t>
      </w:r>
      <w:r w:rsidRPr="003831D9">
        <w:rPr>
          <w:rFonts w:cstheme="minorHAnsi"/>
          <w:sz w:val="24"/>
          <w:szCs w:val="24"/>
        </w:rPr>
        <w:t>Pēcdoktorantūras pētniecība programmas obligāt</w:t>
      </w:r>
      <w:r>
        <w:rPr>
          <w:rFonts w:cstheme="minorHAnsi"/>
          <w:sz w:val="24"/>
          <w:szCs w:val="24"/>
        </w:rPr>
        <w:t>o</w:t>
      </w:r>
      <w:r w:rsidRPr="003831D9">
        <w:rPr>
          <w:rFonts w:cstheme="minorHAnsi"/>
          <w:sz w:val="24"/>
          <w:szCs w:val="24"/>
        </w:rPr>
        <w:t xml:space="preserve"> nosacījum</w:t>
      </w:r>
      <w:r>
        <w:rPr>
          <w:rFonts w:cstheme="minorHAnsi"/>
          <w:sz w:val="24"/>
          <w:szCs w:val="24"/>
        </w:rPr>
        <w:t>u</w:t>
      </w:r>
      <w:r w:rsidRPr="003831D9">
        <w:rPr>
          <w:rFonts w:cstheme="minorHAnsi"/>
          <w:sz w:val="24"/>
          <w:szCs w:val="24"/>
        </w:rPr>
        <w:t xml:space="preserve"> par </w:t>
      </w:r>
      <w:r w:rsidRPr="007D2061">
        <w:rPr>
          <w:rFonts w:cstheme="minorHAnsi"/>
          <w:b/>
          <w:sz w:val="24"/>
          <w:szCs w:val="24"/>
        </w:rPr>
        <w:t>komersanta vai komersantu koleģiālas institūcijas atzinuma iesniegšanu</w:t>
      </w:r>
      <w:r w:rsidRPr="003831D9">
        <w:rPr>
          <w:rFonts w:cstheme="minorHAnsi"/>
          <w:sz w:val="24"/>
          <w:szCs w:val="24"/>
        </w:rPr>
        <w:t>, kam šobrīd vairāk ir formāls raksturs, izvērtējot citu pazīmju un nosacījumu noteikšanu, kas liecinātu par pētniecības pieteikuma tēmas aktualitāti un nepieciešamību tautsaimniecības attīstības un sabiedrības vajadzību risinājumu nodrošināšanai;</w:t>
      </w:r>
    </w:p>
    <w:p w14:paraId="1351AC29" w14:textId="3F465AD1" w:rsidR="00D23F25" w:rsidRDefault="00B537FF" w:rsidP="00D23F25">
      <w:pPr>
        <w:pStyle w:val="ListParagraph"/>
        <w:numPr>
          <w:ilvl w:val="0"/>
          <w:numId w:val="15"/>
        </w:numPr>
        <w:spacing w:line="240" w:lineRule="auto"/>
        <w:ind w:left="709"/>
        <w:jc w:val="both"/>
        <w:rPr>
          <w:rFonts w:cstheme="minorHAnsi"/>
          <w:sz w:val="24"/>
          <w:szCs w:val="24"/>
        </w:rPr>
      </w:pPr>
      <w:r w:rsidRPr="00D23F25">
        <w:rPr>
          <w:sz w:val="24"/>
          <w:szCs w:val="24"/>
        </w:rPr>
        <w:t>noteikt, ka turpmākajās Pēcdoktorantūras pētniecības programmas atlases kārtās pētniecības pieteikuma ietvaros plānotā pētījuma īstenošana</w:t>
      </w:r>
      <w:r w:rsidRPr="00D23F25">
        <w:rPr>
          <w:b/>
          <w:sz w:val="24"/>
          <w:szCs w:val="24"/>
        </w:rPr>
        <w:t xml:space="preserve"> tiek uzsākta ne vēlāk kā sešu mēnešu laikā no pētniecības pieteikuma apstiprināšanas brīža;</w:t>
      </w:r>
    </w:p>
    <w:p w14:paraId="2B05C996" w14:textId="0916C711" w:rsidR="00D23F25" w:rsidRPr="00D23F25" w:rsidRDefault="008D7717" w:rsidP="00D23F25">
      <w:pPr>
        <w:pStyle w:val="ListParagraph"/>
        <w:numPr>
          <w:ilvl w:val="0"/>
          <w:numId w:val="15"/>
        </w:numPr>
        <w:spacing w:line="240" w:lineRule="auto"/>
        <w:ind w:left="709"/>
        <w:jc w:val="both"/>
        <w:rPr>
          <w:rFonts w:cstheme="minorHAnsi"/>
          <w:sz w:val="24"/>
          <w:szCs w:val="24"/>
        </w:rPr>
      </w:pPr>
      <w:r w:rsidRPr="00D23F25">
        <w:rPr>
          <w:rFonts w:cstheme="minorHAnsi"/>
          <w:sz w:val="24"/>
          <w:szCs w:val="24"/>
        </w:rPr>
        <w:t xml:space="preserve">paredzēt </w:t>
      </w:r>
      <w:r w:rsidR="00B537FF" w:rsidRPr="00D23F25">
        <w:rPr>
          <w:rFonts w:cstheme="minorHAnsi"/>
          <w:sz w:val="24"/>
          <w:szCs w:val="24"/>
        </w:rPr>
        <w:t>iespēju VIAA piesaistīt ārvalstu ekspertus ne tikai no EK</w:t>
      </w:r>
      <w:r w:rsidR="00B537FF" w:rsidRPr="00D23F25">
        <w:rPr>
          <w:sz w:val="24"/>
          <w:szCs w:val="24"/>
        </w:rPr>
        <w:t xml:space="preserve"> ekspertu datubāzē iekļautajiem ekspertiem, bet arī</w:t>
      </w:r>
      <w:r w:rsidR="00D23F25" w:rsidRPr="00D23F25">
        <w:rPr>
          <w:sz w:val="24"/>
          <w:szCs w:val="24"/>
        </w:rPr>
        <w:t xml:space="preserve"> no</w:t>
      </w:r>
      <w:r w:rsidR="00B537FF" w:rsidRPr="00D23F25">
        <w:rPr>
          <w:sz w:val="24"/>
          <w:szCs w:val="24"/>
        </w:rPr>
        <w:t xml:space="preserve"> </w:t>
      </w:r>
      <w:r w:rsidR="003B6865" w:rsidRPr="00D23F25">
        <w:rPr>
          <w:sz w:val="24"/>
          <w:szCs w:val="24"/>
        </w:rPr>
        <w:t xml:space="preserve">līdzvērtīgām ārvalstu </w:t>
      </w:r>
      <w:r w:rsidRPr="00D23F25">
        <w:rPr>
          <w:sz w:val="24"/>
          <w:szCs w:val="24"/>
        </w:rPr>
        <w:t>zinātnisko</w:t>
      </w:r>
      <w:r w:rsidR="00B537FF" w:rsidRPr="00D23F25">
        <w:rPr>
          <w:sz w:val="24"/>
          <w:szCs w:val="24"/>
        </w:rPr>
        <w:t xml:space="preserve"> ekspertu datubāzēm</w:t>
      </w:r>
      <w:r w:rsidR="00B537FF" w:rsidRPr="00D23F25">
        <w:rPr>
          <w:rFonts w:cstheme="minorHAnsi"/>
          <w:sz w:val="24"/>
          <w:szCs w:val="24"/>
        </w:rPr>
        <w:t xml:space="preserve">, </w:t>
      </w:r>
      <w:r w:rsidRPr="00D23F25">
        <w:rPr>
          <w:rFonts w:cstheme="minorHAnsi"/>
          <w:sz w:val="24"/>
          <w:szCs w:val="24"/>
        </w:rPr>
        <w:t xml:space="preserve">vienlaikus nodrošinot ārvalstu ekspertu atbilstību ekspertu atlases kritērijiem un Publisko iepirkumu likuma 5. panta 12. punkta prasībām. </w:t>
      </w:r>
      <w:r w:rsidR="003B6865" w:rsidRPr="00D23F25" w:rsidDel="008D7717">
        <w:rPr>
          <w:rFonts w:cstheme="minorHAnsi"/>
          <w:sz w:val="24"/>
          <w:szCs w:val="24"/>
        </w:rPr>
        <w:t xml:space="preserve"> </w:t>
      </w:r>
    </w:p>
    <w:p w14:paraId="19AE777B" w14:textId="181344F4" w:rsidR="00EF6455" w:rsidRPr="003B6865" w:rsidRDefault="00EF6455" w:rsidP="003B6865">
      <w:pPr>
        <w:spacing w:line="240" w:lineRule="auto"/>
        <w:jc w:val="both"/>
        <w:rPr>
          <w:sz w:val="24"/>
          <w:szCs w:val="24"/>
        </w:rPr>
      </w:pPr>
      <w:r w:rsidRPr="003B6865">
        <w:rPr>
          <w:sz w:val="24"/>
          <w:szCs w:val="24"/>
        </w:rPr>
        <w:t>Lai motivētu komersantus aktīvāk izmantot šīs programmas iespējas, tiek rosināts mīkstināt / atcelt prasību par obligātu izveidotās pēcdoktoranta darba vietas ilgtspējas nodrošināšanu. Tāpat vērtējama zinātniskās kvalitātes vērtēšanas kritēriju „Izcilība” un „Ietekm</w:t>
      </w:r>
      <w:r w:rsidR="002160AB" w:rsidRPr="003B6865">
        <w:rPr>
          <w:sz w:val="24"/>
          <w:szCs w:val="24"/>
        </w:rPr>
        <w:t>e</w:t>
      </w:r>
      <w:r w:rsidRPr="003B6865">
        <w:rPr>
          <w:sz w:val="24"/>
          <w:szCs w:val="24"/>
        </w:rPr>
        <w:t>” ietekmes svaru noteikšana ar saimniecisko darbību nesaistītu pētniecības pieteikumu vērtēšanai un ar saimniecisko darbību saistītu pētniecības pieteikumu vērtēšanai.</w:t>
      </w:r>
      <w:r w:rsidR="002160AB" w:rsidRPr="003B6865">
        <w:rPr>
          <w:sz w:val="24"/>
          <w:szCs w:val="24"/>
        </w:rPr>
        <w:t xml:space="preserve"> VIAA</w:t>
      </w:r>
      <w:r w:rsidRPr="003B6865">
        <w:rPr>
          <w:sz w:val="24"/>
          <w:szCs w:val="24"/>
        </w:rPr>
        <w:t xml:space="preserve"> pirms Pēcdoktorantūras pētniecības pieteikumu 3</w:t>
      </w:r>
      <w:r w:rsidR="002160AB" w:rsidRPr="003B6865">
        <w:rPr>
          <w:sz w:val="24"/>
          <w:szCs w:val="24"/>
        </w:rPr>
        <w:t>. atlases kārtas izsludināšanas</w:t>
      </w:r>
      <w:r w:rsidRPr="003B6865">
        <w:rPr>
          <w:sz w:val="24"/>
          <w:szCs w:val="24"/>
        </w:rPr>
        <w:t xml:space="preserve"> i</w:t>
      </w:r>
      <w:r w:rsidRPr="003B6865">
        <w:rPr>
          <w:rFonts w:cstheme="minorHAnsi"/>
          <w:sz w:val="24"/>
          <w:szCs w:val="24"/>
        </w:rPr>
        <w:t>zstrādāt stratēģisku plānu komunikācijas nodrošināšanai ar komersantiem</w:t>
      </w:r>
      <w:r w:rsidRPr="003B6865">
        <w:rPr>
          <w:sz w:val="24"/>
          <w:szCs w:val="24"/>
        </w:rPr>
        <w:t xml:space="preserve">, </w:t>
      </w:r>
      <w:r w:rsidRPr="003B6865">
        <w:rPr>
          <w:rFonts w:cstheme="minorHAnsi"/>
          <w:sz w:val="24"/>
          <w:szCs w:val="24"/>
        </w:rPr>
        <w:t>lai intensīvāk un mērķtiecīgāk uzrunātu un informētu komersantus par Pēcdoktorantūras pētniecības programmas sniegtajām iespējām, atbalstu un ieviešanas nosacījumiem.</w:t>
      </w:r>
    </w:p>
    <w:p w14:paraId="552A59F0" w14:textId="411328C5" w:rsidR="00EF4ADE" w:rsidRDefault="00151D17" w:rsidP="00ED6024">
      <w:pPr>
        <w:spacing w:before="120" w:after="0" w:line="240" w:lineRule="auto"/>
        <w:jc w:val="both"/>
        <w:rPr>
          <w:rFonts w:cstheme="minorHAnsi"/>
          <w:sz w:val="24"/>
          <w:szCs w:val="24"/>
        </w:rPr>
      </w:pPr>
      <w:r>
        <w:rPr>
          <w:sz w:val="24"/>
          <w:szCs w:val="24"/>
        </w:rPr>
        <w:t xml:space="preserve">Lai </w:t>
      </w:r>
      <w:r w:rsidR="006F0142">
        <w:rPr>
          <w:sz w:val="24"/>
          <w:szCs w:val="24"/>
        </w:rPr>
        <w:t xml:space="preserve">veicinātu </w:t>
      </w:r>
      <w:r>
        <w:rPr>
          <w:sz w:val="24"/>
          <w:szCs w:val="24"/>
        </w:rPr>
        <w:t xml:space="preserve">pēcdoktorantu veikto pētījumu </w:t>
      </w:r>
      <w:r w:rsidR="006F0142">
        <w:rPr>
          <w:sz w:val="24"/>
          <w:szCs w:val="24"/>
        </w:rPr>
        <w:t xml:space="preserve">ciešāku </w:t>
      </w:r>
      <w:r>
        <w:rPr>
          <w:sz w:val="24"/>
          <w:szCs w:val="24"/>
        </w:rPr>
        <w:t xml:space="preserve">sasaisti ar pārējo </w:t>
      </w:r>
      <w:r w:rsidR="006F0142">
        <w:rPr>
          <w:sz w:val="24"/>
          <w:szCs w:val="24"/>
        </w:rPr>
        <w:t xml:space="preserve">attiecīgās </w:t>
      </w:r>
      <w:r>
        <w:rPr>
          <w:sz w:val="24"/>
          <w:szCs w:val="24"/>
        </w:rPr>
        <w:t xml:space="preserve">institūcijas </w:t>
      </w:r>
      <w:r>
        <w:rPr>
          <w:rFonts w:cstheme="minorHAnsi"/>
          <w:sz w:val="24"/>
          <w:szCs w:val="24"/>
        </w:rPr>
        <w:t xml:space="preserve">zinātnieku un pētnieku grupu veiktiem pētījumiem, </w:t>
      </w:r>
      <w:r w:rsidR="008D12D6">
        <w:rPr>
          <w:rFonts w:cstheme="minorHAnsi"/>
          <w:sz w:val="24"/>
          <w:szCs w:val="24"/>
        </w:rPr>
        <w:t xml:space="preserve">kā arī nodrošinātu elastīgāku ārvalstu </w:t>
      </w:r>
      <w:r w:rsidR="008D12D6">
        <w:rPr>
          <w:rFonts w:cstheme="minorHAnsi"/>
          <w:sz w:val="24"/>
          <w:szCs w:val="24"/>
        </w:rPr>
        <w:lastRenderedPageBreak/>
        <w:t xml:space="preserve">pēcdoktorantu piesaisti, </w:t>
      </w:r>
      <w:r w:rsidR="006F0142">
        <w:rPr>
          <w:sz w:val="24"/>
          <w:szCs w:val="24"/>
        </w:rPr>
        <w:t xml:space="preserve">Izglītības un zinātnes ministrija </w:t>
      </w:r>
      <w:r w:rsidR="008D12D6">
        <w:rPr>
          <w:sz w:val="24"/>
          <w:szCs w:val="24"/>
        </w:rPr>
        <w:t xml:space="preserve">uz 4.atlases kārtu rosina izvērtēt iespēju atļaut iesniegt arī tādus pēcdoktorantu pētniecības pieteikumus, uz kuru iesniegšanas brīdi vēl nav noteikts konkrēts pēcdoktorants, kas šo vietu ieņems. Zinātniskās institūcijas </w:t>
      </w:r>
      <w:r w:rsidR="00EF4ADE" w:rsidRPr="00262C78">
        <w:rPr>
          <w:rFonts w:cstheme="minorHAnsi"/>
          <w:sz w:val="24"/>
          <w:szCs w:val="24"/>
        </w:rPr>
        <w:t>vai komersanti</w:t>
      </w:r>
      <w:r w:rsidR="008D12D6">
        <w:rPr>
          <w:rFonts w:cstheme="minorHAnsi"/>
          <w:sz w:val="24"/>
          <w:szCs w:val="24"/>
        </w:rPr>
        <w:t xml:space="preserve"> varētu </w:t>
      </w:r>
      <w:r w:rsidR="00D571E1">
        <w:rPr>
          <w:rFonts w:cstheme="minorHAnsi"/>
          <w:sz w:val="24"/>
          <w:szCs w:val="24"/>
        </w:rPr>
        <w:t>iesniegt pētniecības pieteikumu</w:t>
      </w:r>
      <w:r w:rsidR="00EF4ADE" w:rsidRPr="00262C78">
        <w:rPr>
          <w:rFonts w:cstheme="minorHAnsi"/>
          <w:sz w:val="24"/>
          <w:szCs w:val="24"/>
        </w:rPr>
        <w:t>, definē</w:t>
      </w:r>
      <w:r w:rsidR="006F0142">
        <w:rPr>
          <w:rFonts w:cstheme="minorHAnsi"/>
          <w:sz w:val="24"/>
          <w:szCs w:val="24"/>
        </w:rPr>
        <w:t>jot</w:t>
      </w:r>
      <w:r w:rsidR="00EF4ADE" w:rsidRPr="00262C78">
        <w:rPr>
          <w:rFonts w:cstheme="minorHAnsi"/>
          <w:sz w:val="24"/>
          <w:szCs w:val="24"/>
        </w:rPr>
        <w:t xml:space="preserve"> </w:t>
      </w:r>
      <w:r w:rsidR="008D12D6">
        <w:rPr>
          <w:rFonts w:cstheme="minorHAnsi"/>
          <w:sz w:val="24"/>
          <w:szCs w:val="24"/>
        </w:rPr>
        <w:t>pētniecības pieteikuma tēmu</w:t>
      </w:r>
      <w:r w:rsidR="006F0142">
        <w:rPr>
          <w:rFonts w:cstheme="minorHAnsi"/>
          <w:sz w:val="24"/>
          <w:szCs w:val="24"/>
        </w:rPr>
        <w:t xml:space="preserve"> un sasnie</w:t>
      </w:r>
      <w:r w:rsidR="00D571E1">
        <w:rPr>
          <w:rFonts w:cstheme="minorHAnsi"/>
          <w:sz w:val="24"/>
          <w:szCs w:val="24"/>
        </w:rPr>
        <w:t>dzamos rezultātus, bet konkrētu pēcdoktorantu</w:t>
      </w:r>
      <w:r w:rsidR="006F0142">
        <w:rPr>
          <w:rFonts w:cstheme="minorHAnsi"/>
          <w:sz w:val="24"/>
          <w:szCs w:val="24"/>
        </w:rPr>
        <w:t xml:space="preserve"> piesaistītu pēc pētniecības pieteikumu apstipr</w:t>
      </w:r>
      <w:r w:rsidR="00D571E1">
        <w:rPr>
          <w:rFonts w:cstheme="minorHAnsi"/>
          <w:sz w:val="24"/>
          <w:szCs w:val="24"/>
        </w:rPr>
        <w:t xml:space="preserve">ināšanas. </w:t>
      </w:r>
      <w:r w:rsidR="001712B3">
        <w:rPr>
          <w:rFonts w:cstheme="minorHAnsi"/>
          <w:sz w:val="24"/>
          <w:szCs w:val="24"/>
        </w:rPr>
        <w:t xml:space="preserve">Tādējādi tiktu veicināta konkurence starp iesniegtajiem pētniecības pieteikumiem, </w:t>
      </w:r>
      <w:r w:rsidR="00582F62">
        <w:rPr>
          <w:rFonts w:cstheme="minorHAnsi"/>
          <w:sz w:val="24"/>
          <w:szCs w:val="24"/>
        </w:rPr>
        <w:t>atbalstot konkurētspējīgākos zinātnisko institūciju vai komersantu pētniecības tēmu piedāvājumus</w:t>
      </w:r>
      <w:r w:rsidR="001712B3">
        <w:rPr>
          <w:rFonts w:cstheme="minorHAnsi"/>
          <w:sz w:val="24"/>
          <w:szCs w:val="24"/>
        </w:rPr>
        <w:t xml:space="preserve">, kas sniedz lielāku ieguldījumu zinātniskās institūcijas vai komersanta darbības attīstības stratēģiju sasniegšanā, tautsaimniecības attīstībā un </w:t>
      </w:r>
      <w:r w:rsidR="001712B3" w:rsidRPr="003831D9">
        <w:rPr>
          <w:rFonts w:cstheme="minorHAnsi"/>
          <w:sz w:val="24"/>
          <w:szCs w:val="24"/>
        </w:rPr>
        <w:t>sabiedrības vaj</w:t>
      </w:r>
      <w:r w:rsidR="001712B3">
        <w:rPr>
          <w:rFonts w:cstheme="minorHAnsi"/>
          <w:sz w:val="24"/>
          <w:szCs w:val="24"/>
        </w:rPr>
        <w:t xml:space="preserve">adzību risinājumu nodrošināšanā. Savukārt, pēc pētniecības pieteikumu apstiprināšanas, </w:t>
      </w:r>
      <w:r w:rsidR="00A034B9">
        <w:rPr>
          <w:rFonts w:cstheme="minorHAnsi"/>
          <w:sz w:val="24"/>
          <w:szCs w:val="24"/>
        </w:rPr>
        <w:t xml:space="preserve">tiks veicināta konkurence starp pēcdoktorantiem, par iespēju īstenot pētījumu zinātniskajai institūcijai vai komersantam nozīmīgā pētniecības tēmā vai virzienā. </w:t>
      </w:r>
      <w:r w:rsidR="00D571E1">
        <w:rPr>
          <w:rFonts w:cstheme="minorHAnsi"/>
          <w:sz w:val="24"/>
          <w:szCs w:val="24"/>
        </w:rPr>
        <w:t>Šāda pētniecības pieteikuma alternatīva samazinātu arī pēcdoktorantu</w:t>
      </w:r>
      <w:r w:rsidR="00582F62">
        <w:rPr>
          <w:rFonts w:cstheme="minorHAnsi"/>
          <w:sz w:val="24"/>
          <w:szCs w:val="24"/>
        </w:rPr>
        <w:t xml:space="preserve"> </w:t>
      </w:r>
      <w:r w:rsidR="00A034B9">
        <w:rPr>
          <w:rFonts w:cstheme="minorHAnsi"/>
          <w:sz w:val="24"/>
          <w:szCs w:val="24"/>
        </w:rPr>
        <w:t>gaidī</w:t>
      </w:r>
      <w:r w:rsidR="00D571E1">
        <w:rPr>
          <w:rFonts w:cstheme="minorHAnsi"/>
          <w:sz w:val="24"/>
          <w:szCs w:val="24"/>
        </w:rPr>
        <w:t>šanas laiku uz pēcdoktoranta vietu</w:t>
      </w:r>
      <w:r w:rsidR="00A034B9">
        <w:rPr>
          <w:rStyle w:val="FootnoteReference"/>
          <w:rFonts w:cstheme="minorHAnsi"/>
          <w:sz w:val="24"/>
          <w:szCs w:val="24"/>
        </w:rPr>
        <w:footnoteReference w:id="22"/>
      </w:r>
      <w:r w:rsidR="00582F62">
        <w:rPr>
          <w:rFonts w:cstheme="minorHAnsi"/>
          <w:sz w:val="24"/>
          <w:szCs w:val="24"/>
        </w:rPr>
        <w:t xml:space="preserve">, jo zinātniskās institūcijas un komersanti </w:t>
      </w:r>
      <w:r w:rsidR="00D571E1">
        <w:rPr>
          <w:rFonts w:cstheme="minorHAnsi"/>
          <w:sz w:val="24"/>
          <w:szCs w:val="24"/>
        </w:rPr>
        <w:t xml:space="preserve">jauno zinātnieku varēs piesaistīt uz vietu, par kuru jau saņemts pētniecības pieteikuma apstiprinājums un atbilstošs kandidāts to uzreiz varētu ieņemt. </w:t>
      </w:r>
      <w:r w:rsidR="00ED6024">
        <w:rPr>
          <w:rFonts w:cstheme="minorHAnsi"/>
          <w:sz w:val="24"/>
          <w:szCs w:val="24"/>
        </w:rPr>
        <w:t xml:space="preserve">Šādas pētniecības pieteikuma alternatīvas ieviešanai nepieciešamas izmaiņas </w:t>
      </w:r>
      <w:r w:rsidR="00EF4ADE" w:rsidRPr="00262C78">
        <w:rPr>
          <w:rFonts w:cstheme="minorHAnsi"/>
          <w:sz w:val="24"/>
          <w:szCs w:val="24"/>
        </w:rPr>
        <w:t>pētniecības pieteikumu atlases nosacījumos un vērtēšanas kritērijos, Pēcdoktorantūras pētniecības programmas MK noteikumos Nr. 50, tostarp izvērtējot, kā minētās izmaiņas ietekmētu VIAA COFUND projekta īstenošanas iespējas.</w:t>
      </w:r>
      <w:r w:rsidR="00ED6024">
        <w:rPr>
          <w:rFonts w:cstheme="minorHAnsi"/>
          <w:sz w:val="24"/>
          <w:szCs w:val="24"/>
        </w:rPr>
        <w:t xml:space="preserve"> </w:t>
      </w:r>
    </w:p>
    <w:p w14:paraId="54C92520" w14:textId="77777777" w:rsidR="006F0142" w:rsidRDefault="006F0142" w:rsidP="00262C78">
      <w:pPr>
        <w:spacing w:before="120" w:line="240" w:lineRule="auto"/>
        <w:jc w:val="both"/>
        <w:rPr>
          <w:rFonts w:cstheme="minorHAnsi"/>
          <w:sz w:val="24"/>
          <w:szCs w:val="24"/>
        </w:rPr>
      </w:pPr>
      <w:r>
        <w:rPr>
          <w:rFonts w:cstheme="minorHAnsi"/>
          <w:sz w:val="24"/>
          <w:szCs w:val="24"/>
        </w:rPr>
        <w:t xml:space="preserve">Indikatīvais laika grafiks Pēcdoktorantūras pētniecības programmas </w:t>
      </w:r>
      <w:r w:rsidR="0042173B">
        <w:rPr>
          <w:rFonts w:cstheme="minorHAnsi"/>
          <w:sz w:val="24"/>
          <w:szCs w:val="24"/>
        </w:rPr>
        <w:t>3. un 4. </w:t>
      </w:r>
      <w:r>
        <w:rPr>
          <w:rFonts w:cstheme="minorHAnsi"/>
          <w:sz w:val="24"/>
          <w:szCs w:val="24"/>
        </w:rPr>
        <w:t>atlases kārt</w:t>
      </w:r>
      <w:r w:rsidR="0042173B">
        <w:rPr>
          <w:rFonts w:cstheme="minorHAnsi"/>
          <w:sz w:val="24"/>
          <w:szCs w:val="24"/>
        </w:rPr>
        <w:t>ai</w:t>
      </w:r>
      <w:r>
        <w:rPr>
          <w:rFonts w:cstheme="minorHAnsi"/>
          <w:sz w:val="24"/>
          <w:szCs w:val="24"/>
        </w:rPr>
        <w:t>:</w:t>
      </w:r>
    </w:p>
    <w:tbl>
      <w:tblPr>
        <w:tblStyle w:val="TableGrid"/>
        <w:tblW w:w="8930" w:type="dxa"/>
        <w:tblInd w:w="137" w:type="dxa"/>
        <w:tblLayout w:type="fixed"/>
        <w:tblLook w:val="04A0" w:firstRow="1" w:lastRow="0" w:firstColumn="1" w:lastColumn="0" w:noHBand="0" w:noVBand="1"/>
      </w:tblPr>
      <w:tblGrid>
        <w:gridCol w:w="709"/>
        <w:gridCol w:w="6095"/>
        <w:gridCol w:w="2126"/>
      </w:tblGrid>
      <w:tr w:rsidR="004247AA" w14:paraId="4E782A9B" w14:textId="77777777" w:rsidTr="00262C78">
        <w:tc>
          <w:tcPr>
            <w:tcW w:w="709" w:type="dxa"/>
            <w:shd w:val="clear" w:color="auto" w:fill="D9D9D9" w:themeFill="background1" w:themeFillShade="D9"/>
            <w:vAlign w:val="center"/>
          </w:tcPr>
          <w:p w14:paraId="43A22DC4" w14:textId="77777777" w:rsidR="005279BE" w:rsidRDefault="006F0142" w:rsidP="006F0142">
            <w:pPr>
              <w:jc w:val="center"/>
              <w:rPr>
                <w:b/>
              </w:rPr>
            </w:pPr>
            <w:proofErr w:type="spellStart"/>
            <w:r w:rsidRPr="00312902">
              <w:rPr>
                <w:b/>
              </w:rPr>
              <w:t>N.p</w:t>
            </w:r>
            <w:proofErr w:type="spellEnd"/>
            <w:r w:rsidRPr="00312902">
              <w:rPr>
                <w:b/>
              </w:rPr>
              <w:t>.</w:t>
            </w:r>
            <w:r w:rsidR="005279BE">
              <w:rPr>
                <w:b/>
              </w:rPr>
              <w:t> </w:t>
            </w:r>
          </w:p>
          <w:p w14:paraId="3FC29CAF" w14:textId="77777777" w:rsidR="006F0142" w:rsidRPr="00312902" w:rsidRDefault="006F0142" w:rsidP="006F0142">
            <w:pPr>
              <w:jc w:val="center"/>
              <w:rPr>
                <w:b/>
              </w:rPr>
            </w:pPr>
            <w:r w:rsidRPr="00312902">
              <w:rPr>
                <w:b/>
              </w:rPr>
              <w:t>k.</w:t>
            </w:r>
          </w:p>
        </w:tc>
        <w:tc>
          <w:tcPr>
            <w:tcW w:w="6095" w:type="dxa"/>
            <w:shd w:val="clear" w:color="auto" w:fill="D9D9D9" w:themeFill="background1" w:themeFillShade="D9"/>
            <w:vAlign w:val="center"/>
          </w:tcPr>
          <w:p w14:paraId="2801AF4E" w14:textId="77777777" w:rsidR="006F0142" w:rsidRPr="00312902" w:rsidRDefault="006F0142" w:rsidP="006F0142">
            <w:pPr>
              <w:jc w:val="center"/>
              <w:rPr>
                <w:b/>
              </w:rPr>
            </w:pPr>
            <w:r w:rsidRPr="00312902">
              <w:rPr>
                <w:b/>
              </w:rPr>
              <w:t>Darbība</w:t>
            </w:r>
          </w:p>
        </w:tc>
        <w:tc>
          <w:tcPr>
            <w:tcW w:w="2126" w:type="dxa"/>
            <w:shd w:val="clear" w:color="auto" w:fill="D9D9D9" w:themeFill="background1" w:themeFillShade="D9"/>
            <w:vAlign w:val="center"/>
          </w:tcPr>
          <w:p w14:paraId="63AF12FC" w14:textId="77777777" w:rsidR="006F0142" w:rsidRPr="00312902" w:rsidRDefault="006F0142" w:rsidP="006F0142">
            <w:pPr>
              <w:jc w:val="center"/>
              <w:rPr>
                <w:b/>
              </w:rPr>
            </w:pPr>
            <w:r w:rsidRPr="00312902">
              <w:rPr>
                <w:b/>
              </w:rPr>
              <w:t>Prognozētais termiņš</w:t>
            </w:r>
          </w:p>
        </w:tc>
      </w:tr>
      <w:tr w:rsidR="00B66F0F" w14:paraId="7EF059E6" w14:textId="77777777" w:rsidTr="00262C78">
        <w:trPr>
          <w:trHeight w:val="368"/>
        </w:trPr>
        <w:tc>
          <w:tcPr>
            <w:tcW w:w="8930" w:type="dxa"/>
            <w:gridSpan w:val="3"/>
            <w:shd w:val="clear" w:color="auto" w:fill="D9D9D9" w:themeFill="background1" w:themeFillShade="D9"/>
            <w:vAlign w:val="center"/>
          </w:tcPr>
          <w:p w14:paraId="73076D13" w14:textId="77777777" w:rsidR="00B66F0F" w:rsidRPr="00312902" w:rsidRDefault="00B66F0F" w:rsidP="006F0142">
            <w:pPr>
              <w:jc w:val="center"/>
              <w:rPr>
                <w:b/>
              </w:rPr>
            </w:pPr>
            <w:r w:rsidRPr="00262C78">
              <w:rPr>
                <w:b/>
              </w:rPr>
              <w:t xml:space="preserve">Pēcdoktorantūras pētniecības programmas </w:t>
            </w:r>
            <w:r>
              <w:rPr>
                <w:b/>
              </w:rPr>
              <w:t>3.atlases kārta</w:t>
            </w:r>
          </w:p>
        </w:tc>
      </w:tr>
      <w:tr w:rsidR="005279BE" w14:paraId="6AC10172" w14:textId="77777777" w:rsidTr="00262C78">
        <w:tc>
          <w:tcPr>
            <w:tcW w:w="709" w:type="dxa"/>
            <w:vAlign w:val="center"/>
          </w:tcPr>
          <w:p w14:paraId="65B5D140" w14:textId="77777777" w:rsidR="006F0142" w:rsidRDefault="006F0142" w:rsidP="006F0142">
            <w:pPr>
              <w:jc w:val="center"/>
            </w:pPr>
            <w:r>
              <w:t>1.</w:t>
            </w:r>
          </w:p>
        </w:tc>
        <w:tc>
          <w:tcPr>
            <w:tcW w:w="6095" w:type="dxa"/>
            <w:vAlign w:val="center"/>
          </w:tcPr>
          <w:p w14:paraId="0B297878" w14:textId="797873F4" w:rsidR="006F0142" w:rsidRDefault="006F0142" w:rsidP="00874F20">
            <w:r>
              <w:t>MK noteikumu Nr. 50 grozījum</w:t>
            </w:r>
            <w:r w:rsidR="00874F20">
              <w:t>u</w:t>
            </w:r>
            <w:r w:rsidR="00B66F0F">
              <w:t xml:space="preserve"> apstiprināšana</w:t>
            </w:r>
          </w:p>
        </w:tc>
        <w:tc>
          <w:tcPr>
            <w:tcW w:w="2126" w:type="dxa"/>
            <w:vAlign w:val="center"/>
          </w:tcPr>
          <w:p w14:paraId="50FF3C81" w14:textId="77777777" w:rsidR="006F0142" w:rsidRDefault="005279BE" w:rsidP="00262C78">
            <w:pPr>
              <w:jc w:val="center"/>
            </w:pPr>
            <w:r>
              <w:t xml:space="preserve">Februāris, 2019 / </w:t>
            </w:r>
            <w:r w:rsidR="00B66F0F">
              <w:t>Marts, 2019</w:t>
            </w:r>
          </w:p>
        </w:tc>
      </w:tr>
      <w:tr w:rsidR="005279BE" w14:paraId="7871830A" w14:textId="77777777" w:rsidTr="00262C78">
        <w:tc>
          <w:tcPr>
            <w:tcW w:w="709" w:type="dxa"/>
            <w:vAlign w:val="center"/>
          </w:tcPr>
          <w:p w14:paraId="0961516D" w14:textId="77777777" w:rsidR="006F0142" w:rsidRDefault="00B66F0F" w:rsidP="006F0142">
            <w:pPr>
              <w:jc w:val="center"/>
            </w:pPr>
            <w:r>
              <w:t>2.</w:t>
            </w:r>
          </w:p>
        </w:tc>
        <w:tc>
          <w:tcPr>
            <w:tcW w:w="6095" w:type="dxa"/>
            <w:vAlign w:val="center"/>
          </w:tcPr>
          <w:p w14:paraId="757D825C" w14:textId="77777777" w:rsidR="006F0142" w:rsidRDefault="00B66F0F" w:rsidP="00262C78">
            <w:r>
              <w:t xml:space="preserve">Pēcdoktorantūras pētniecības programmas </w:t>
            </w:r>
            <w:r w:rsidR="006F0142">
              <w:t>3.</w:t>
            </w:r>
            <w:r>
              <w:t> </w:t>
            </w:r>
            <w:r w:rsidR="006F0142">
              <w:t xml:space="preserve">atlases kārtas izsludināšana </w:t>
            </w:r>
          </w:p>
        </w:tc>
        <w:tc>
          <w:tcPr>
            <w:tcW w:w="2126" w:type="dxa"/>
            <w:vAlign w:val="center"/>
          </w:tcPr>
          <w:p w14:paraId="51CB1F02" w14:textId="77777777" w:rsidR="006F0142" w:rsidRDefault="00B66F0F" w:rsidP="00262C78">
            <w:pPr>
              <w:jc w:val="center"/>
            </w:pPr>
            <w:r>
              <w:t>Aprīlis, 2019</w:t>
            </w:r>
          </w:p>
        </w:tc>
      </w:tr>
      <w:tr w:rsidR="00B66F0F" w14:paraId="532FB251" w14:textId="77777777" w:rsidTr="00262C78">
        <w:tc>
          <w:tcPr>
            <w:tcW w:w="709" w:type="dxa"/>
            <w:vAlign w:val="center"/>
          </w:tcPr>
          <w:p w14:paraId="35BD0561" w14:textId="77777777" w:rsidR="00B66F0F" w:rsidRDefault="00B66F0F" w:rsidP="006F0142">
            <w:pPr>
              <w:jc w:val="center"/>
            </w:pPr>
            <w:r>
              <w:t>3.</w:t>
            </w:r>
          </w:p>
        </w:tc>
        <w:tc>
          <w:tcPr>
            <w:tcW w:w="6095" w:type="dxa"/>
            <w:vAlign w:val="center"/>
          </w:tcPr>
          <w:p w14:paraId="2F841FB3" w14:textId="77777777" w:rsidR="00B66F0F" w:rsidRDefault="00B66F0F" w:rsidP="006F0142">
            <w:r>
              <w:t>Pētniecības pieteikumu iesniegšanas termiņš</w:t>
            </w:r>
          </w:p>
        </w:tc>
        <w:tc>
          <w:tcPr>
            <w:tcW w:w="2126" w:type="dxa"/>
            <w:vAlign w:val="center"/>
          </w:tcPr>
          <w:p w14:paraId="7AC0D81C" w14:textId="77777777" w:rsidR="00B66F0F" w:rsidRDefault="00B66F0F" w:rsidP="00B66F0F">
            <w:pPr>
              <w:jc w:val="center"/>
            </w:pPr>
            <w:r>
              <w:t>J</w:t>
            </w:r>
            <w:r w:rsidR="005279BE">
              <w:t>ūn</w:t>
            </w:r>
            <w:r>
              <w:t>ijs, 2019</w:t>
            </w:r>
          </w:p>
        </w:tc>
      </w:tr>
      <w:tr w:rsidR="005279BE" w14:paraId="75B08476" w14:textId="77777777" w:rsidTr="00262C78">
        <w:trPr>
          <w:trHeight w:val="621"/>
        </w:trPr>
        <w:tc>
          <w:tcPr>
            <w:tcW w:w="709" w:type="dxa"/>
            <w:vAlign w:val="center"/>
          </w:tcPr>
          <w:p w14:paraId="67D8A8E9" w14:textId="77777777" w:rsidR="006F0142" w:rsidRDefault="00B66F0F" w:rsidP="006F0142">
            <w:pPr>
              <w:jc w:val="center"/>
            </w:pPr>
            <w:r>
              <w:t>4.</w:t>
            </w:r>
          </w:p>
        </w:tc>
        <w:tc>
          <w:tcPr>
            <w:tcW w:w="6095" w:type="dxa"/>
            <w:vAlign w:val="center"/>
          </w:tcPr>
          <w:p w14:paraId="7DD4EA87" w14:textId="77777777" w:rsidR="006F0142" w:rsidRDefault="006F0142" w:rsidP="00262C78">
            <w:r>
              <w:t xml:space="preserve">Pētniecības pieteikumu </w:t>
            </w:r>
            <w:r w:rsidR="00B66F0F">
              <w:t>vērtēšana</w:t>
            </w:r>
          </w:p>
        </w:tc>
        <w:tc>
          <w:tcPr>
            <w:tcW w:w="2126" w:type="dxa"/>
            <w:vAlign w:val="center"/>
          </w:tcPr>
          <w:p w14:paraId="6C362EDB" w14:textId="77777777" w:rsidR="006F0142" w:rsidRDefault="00B66F0F" w:rsidP="00262C78">
            <w:pPr>
              <w:jc w:val="center"/>
            </w:pPr>
            <w:r>
              <w:t>J</w:t>
            </w:r>
            <w:r w:rsidR="005279BE">
              <w:t>ūn</w:t>
            </w:r>
            <w:r>
              <w:t>ijs</w:t>
            </w:r>
            <w:r w:rsidR="00F710AF">
              <w:t xml:space="preserve">, 2019 - </w:t>
            </w:r>
            <w:r w:rsidR="005279BE">
              <w:t>Novembris</w:t>
            </w:r>
            <w:r>
              <w:t>, 2019</w:t>
            </w:r>
          </w:p>
        </w:tc>
      </w:tr>
      <w:tr w:rsidR="00B66F0F" w14:paraId="2BE04FC2" w14:textId="77777777" w:rsidTr="00262C78">
        <w:tc>
          <w:tcPr>
            <w:tcW w:w="709" w:type="dxa"/>
            <w:vAlign w:val="center"/>
          </w:tcPr>
          <w:p w14:paraId="0FD69B48" w14:textId="77777777" w:rsidR="00B66F0F" w:rsidRDefault="005279BE" w:rsidP="006F0142">
            <w:pPr>
              <w:jc w:val="center"/>
            </w:pPr>
            <w:r>
              <w:t>6</w:t>
            </w:r>
            <w:r w:rsidR="00B66F0F">
              <w:t>.</w:t>
            </w:r>
          </w:p>
        </w:tc>
        <w:tc>
          <w:tcPr>
            <w:tcW w:w="6095" w:type="dxa"/>
            <w:vAlign w:val="center"/>
          </w:tcPr>
          <w:p w14:paraId="370FC8BD" w14:textId="77777777" w:rsidR="00B66F0F" w:rsidRDefault="00B66F0F" w:rsidP="006F0142">
            <w:r>
              <w:t>Pētniecības pieteikumu īstenošana</w:t>
            </w:r>
          </w:p>
        </w:tc>
        <w:tc>
          <w:tcPr>
            <w:tcW w:w="2126" w:type="dxa"/>
            <w:vAlign w:val="center"/>
          </w:tcPr>
          <w:p w14:paraId="7394BB3F" w14:textId="77777777" w:rsidR="00B66F0F" w:rsidRDefault="00F710AF" w:rsidP="006F0142">
            <w:pPr>
              <w:jc w:val="center"/>
            </w:pPr>
            <w:r>
              <w:t xml:space="preserve">Decembris, 2019 - </w:t>
            </w:r>
            <w:r w:rsidR="005279BE">
              <w:t>Decembris, 2022</w:t>
            </w:r>
          </w:p>
        </w:tc>
      </w:tr>
      <w:tr w:rsidR="004247AA" w14:paraId="2C26ADA4" w14:textId="77777777" w:rsidTr="00262C78">
        <w:trPr>
          <w:trHeight w:val="439"/>
        </w:trPr>
        <w:tc>
          <w:tcPr>
            <w:tcW w:w="8930" w:type="dxa"/>
            <w:gridSpan w:val="3"/>
            <w:shd w:val="clear" w:color="auto" w:fill="D9D9D9" w:themeFill="background1" w:themeFillShade="D9"/>
            <w:vAlign w:val="center"/>
          </w:tcPr>
          <w:p w14:paraId="5760804B" w14:textId="77777777" w:rsidR="004247AA" w:rsidRDefault="004247AA" w:rsidP="006F0142">
            <w:pPr>
              <w:jc w:val="center"/>
            </w:pPr>
            <w:r w:rsidRPr="006B2B76">
              <w:rPr>
                <w:b/>
              </w:rPr>
              <w:t xml:space="preserve">Pēcdoktorantūras pētniecības programmas </w:t>
            </w:r>
            <w:r>
              <w:rPr>
                <w:b/>
              </w:rPr>
              <w:t>4.</w:t>
            </w:r>
            <w:r w:rsidR="00726804">
              <w:rPr>
                <w:b/>
              </w:rPr>
              <w:t> </w:t>
            </w:r>
            <w:r>
              <w:rPr>
                <w:b/>
              </w:rPr>
              <w:t>atlases kārta</w:t>
            </w:r>
          </w:p>
        </w:tc>
      </w:tr>
      <w:tr w:rsidR="004247AA" w14:paraId="7B7CBBB9" w14:textId="77777777" w:rsidTr="00262C78">
        <w:tc>
          <w:tcPr>
            <w:tcW w:w="709" w:type="dxa"/>
            <w:vAlign w:val="center"/>
          </w:tcPr>
          <w:p w14:paraId="62E031BC" w14:textId="77777777" w:rsidR="004247AA" w:rsidRDefault="004247AA" w:rsidP="004247AA">
            <w:pPr>
              <w:jc w:val="center"/>
            </w:pPr>
            <w:r>
              <w:t>8.</w:t>
            </w:r>
          </w:p>
        </w:tc>
        <w:tc>
          <w:tcPr>
            <w:tcW w:w="6095" w:type="dxa"/>
            <w:vAlign w:val="center"/>
          </w:tcPr>
          <w:p w14:paraId="4DE0EC3D" w14:textId="77777777" w:rsidR="004247AA" w:rsidRDefault="00F710AF" w:rsidP="004247AA">
            <w:r>
              <w:t>Ieviešanas modeļa izstrāde</w:t>
            </w:r>
            <w:r w:rsidR="00874F20">
              <w:t>, tai skaitā diskusijas ar partneriem</w:t>
            </w:r>
            <w:r>
              <w:t xml:space="preserve"> un </w:t>
            </w:r>
            <w:r w:rsidR="0042173B">
              <w:t>MK noteikumu Nr. 50 grozījumi apstiprināšana</w:t>
            </w:r>
          </w:p>
        </w:tc>
        <w:tc>
          <w:tcPr>
            <w:tcW w:w="2126" w:type="dxa"/>
            <w:vAlign w:val="center"/>
          </w:tcPr>
          <w:p w14:paraId="48D3AC10" w14:textId="77777777" w:rsidR="004247AA" w:rsidRDefault="00874F20" w:rsidP="004247AA">
            <w:pPr>
              <w:jc w:val="center"/>
            </w:pPr>
            <w:r>
              <w:t>III.-</w:t>
            </w:r>
            <w:r w:rsidR="00F710AF">
              <w:t>IV. ceturksnis, 2019</w:t>
            </w:r>
          </w:p>
        </w:tc>
      </w:tr>
      <w:tr w:rsidR="0042173B" w14:paraId="05F3D42C" w14:textId="77777777" w:rsidTr="00262C78">
        <w:tc>
          <w:tcPr>
            <w:tcW w:w="709" w:type="dxa"/>
            <w:vAlign w:val="center"/>
          </w:tcPr>
          <w:p w14:paraId="7B3AA735" w14:textId="77777777" w:rsidR="0042173B" w:rsidRDefault="0042173B" w:rsidP="004247AA">
            <w:pPr>
              <w:jc w:val="center"/>
            </w:pPr>
            <w:r>
              <w:t>9.</w:t>
            </w:r>
          </w:p>
        </w:tc>
        <w:tc>
          <w:tcPr>
            <w:tcW w:w="6095" w:type="dxa"/>
            <w:vAlign w:val="center"/>
          </w:tcPr>
          <w:p w14:paraId="142D97F7" w14:textId="77777777" w:rsidR="0042173B" w:rsidRDefault="0042173B" w:rsidP="00262C78">
            <w:r>
              <w:t>Pēcdoktorantūras pētniecības programmas 4. atlases kārtas izsludināšana</w:t>
            </w:r>
          </w:p>
        </w:tc>
        <w:tc>
          <w:tcPr>
            <w:tcW w:w="2126" w:type="dxa"/>
            <w:vAlign w:val="center"/>
          </w:tcPr>
          <w:p w14:paraId="342B8E03" w14:textId="77777777" w:rsidR="0042173B" w:rsidRDefault="00F710AF" w:rsidP="004247AA">
            <w:pPr>
              <w:jc w:val="center"/>
            </w:pPr>
            <w:r>
              <w:t>I. ceturksnis</w:t>
            </w:r>
            <w:r w:rsidR="0042173B">
              <w:t>, 2020</w:t>
            </w:r>
          </w:p>
        </w:tc>
      </w:tr>
      <w:tr w:rsidR="004247AA" w14:paraId="27B89950" w14:textId="77777777" w:rsidTr="00262C78">
        <w:tc>
          <w:tcPr>
            <w:tcW w:w="709" w:type="dxa"/>
            <w:vAlign w:val="center"/>
          </w:tcPr>
          <w:p w14:paraId="761F4F9B" w14:textId="77777777" w:rsidR="004247AA" w:rsidRDefault="0042173B" w:rsidP="004247AA">
            <w:pPr>
              <w:jc w:val="center"/>
            </w:pPr>
            <w:r>
              <w:t>10</w:t>
            </w:r>
            <w:r w:rsidR="004247AA">
              <w:t>.</w:t>
            </w:r>
          </w:p>
        </w:tc>
        <w:tc>
          <w:tcPr>
            <w:tcW w:w="6095" w:type="dxa"/>
            <w:vAlign w:val="center"/>
          </w:tcPr>
          <w:p w14:paraId="2A3DF348" w14:textId="77777777" w:rsidR="004247AA" w:rsidRDefault="004247AA" w:rsidP="004247AA">
            <w:r>
              <w:t>Pētniecības pieteikumu iesniegšanas termiņš</w:t>
            </w:r>
          </w:p>
        </w:tc>
        <w:tc>
          <w:tcPr>
            <w:tcW w:w="2126" w:type="dxa"/>
            <w:vAlign w:val="center"/>
          </w:tcPr>
          <w:p w14:paraId="25AAE24E" w14:textId="77777777" w:rsidR="004247AA" w:rsidRDefault="0042173B" w:rsidP="004247AA">
            <w:pPr>
              <w:jc w:val="center"/>
            </w:pPr>
            <w:r>
              <w:t>II. </w:t>
            </w:r>
            <w:r w:rsidR="00F710AF">
              <w:t>ceturksnis</w:t>
            </w:r>
            <w:r>
              <w:t>, 2020</w:t>
            </w:r>
          </w:p>
        </w:tc>
      </w:tr>
      <w:tr w:rsidR="004247AA" w14:paraId="6B2675EE" w14:textId="77777777" w:rsidTr="00262C78">
        <w:tc>
          <w:tcPr>
            <w:tcW w:w="709" w:type="dxa"/>
            <w:vAlign w:val="center"/>
          </w:tcPr>
          <w:p w14:paraId="6FDE56C5" w14:textId="77777777" w:rsidR="004247AA" w:rsidRDefault="0042173B" w:rsidP="004247AA">
            <w:pPr>
              <w:jc w:val="center"/>
            </w:pPr>
            <w:r>
              <w:t>11</w:t>
            </w:r>
            <w:r w:rsidR="004247AA">
              <w:t>.</w:t>
            </w:r>
          </w:p>
        </w:tc>
        <w:tc>
          <w:tcPr>
            <w:tcW w:w="6095" w:type="dxa"/>
            <w:vAlign w:val="center"/>
          </w:tcPr>
          <w:p w14:paraId="3FB3B30F" w14:textId="77777777" w:rsidR="004247AA" w:rsidRDefault="004247AA" w:rsidP="004247AA">
            <w:r>
              <w:t>Pētniecības pieteikumu vērtēšana</w:t>
            </w:r>
          </w:p>
        </w:tc>
        <w:tc>
          <w:tcPr>
            <w:tcW w:w="2126" w:type="dxa"/>
            <w:vAlign w:val="center"/>
          </w:tcPr>
          <w:p w14:paraId="6BE92B13" w14:textId="77777777" w:rsidR="004247AA" w:rsidRDefault="00F710AF" w:rsidP="004247AA">
            <w:pPr>
              <w:jc w:val="center"/>
            </w:pPr>
            <w:r>
              <w:t xml:space="preserve">II. ceturksnis, 2020 – IV. </w:t>
            </w:r>
            <w:r w:rsidR="007F6AC7">
              <w:t>c</w:t>
            </w:r>
            <w:r>
              <w:t>eturksnis, 2020</w:t>
            </w:r>
          </w:p>
        </w:tc>
      </w:tr>
      <w:tr w:rsidR="004247AA" w14:paraId="6295DE56" w14:textId="77777777" w:rsidTr="00262C78">
        <w:tc>
          <w:tcPr>
            <w:tcW w:w="709" w:type="dxa"/>
            <w:vAlign w:val="center"/>
          </w:tcPr>
          <w:p w14:paraId="3D871962" w14:textId="77777777" w:rsidR="004247AA" w:rsidRDefault="0042173B" w:rsidP="004247AA">
            <w:pPr>
              <w:jc w:val="center"/>
            </w:pPr>
            <w:r>
              <w:t>12</w:t>
            </w:r>
            <w:r w:rsidR="004247AA">
              <w:t>.</w:t>
            </w:r>
          </w:p>
        </w:tc>
        <w:tc>
          <w:tcPr>
            <w:tcW w:w="6095" w:type="dxa"/>
            <w:vAlign w:val="center"/>
          </w:tcPr>
          <w:p w14:paraId="02E58A10" w14:textId="77777777" w:rsidR="004247AA" w:rsidRDefault="004247AA" w:rsidP="004247AA">
            <w:r>
              <w:t>Pētniecības pieteikumu īstenošana</w:t>
            </w:r>
          </w:p>
        </w:tc>
        <w:tc>
          <w:tcPr>
            <w:tcW w:w="2126" w:type="dxa"/>
            <w:vAlign w:val="center"/>
          </w:tcPr>
          <w:p w14:paraId="3AEE49E6" w14:textId="77777777" w:rsidR="004247AA" w:rsidRDefault="00F710AF" w:rsidP="00262C78">
            <w:r>
              <w:t>I. ceturksnis, 2021 – I. ceturksnis, 2023</w:t>
            </w:r>
          </w:p>
        </w:tc>
      </w:tr>
    </w:tbl>
    <w:p w14:paraId="40300F25" w14:textId="2FB60B37" w:rsidR="002515FB" w:rsidRDefault="00E553F1" w:rsidP="00A93A8F">
      <w:pPr>
        <w:spacing w:before="160" w:after="0" w:line="240" w:lineRule="auto"/>
        <w:jc w:val="both"/>
        <w:rPr>
          <w:rFonts w:cstheme="minorHAnsi"/>
          <w:sz w:val="24"/>
          <w:szCs w:val="24"/>
        </w:rPr>
      </w:pPr>
      <w:r w:rsidRPr="00307B1B">
        <w:rPr>
          <w:rFonts w:cstheme="minorHAnsi"/>
          <w:sz w:val="24"/>
          <w:szCs w:val="24"/>
        </w:rPr>
        <w:t>Šajā ziņojumā min</w:t>
      </w:r>
      <w:r w:rsidR="00C96DC5" w:rsidRPr="00307B1B">
        <w:rPr>
          <w:rFonts w:cstheme="minorHAnsi"/>
          <w:sz w:val="24"/>
          <w:szCs w:val="24"/>
        </w:rPr>
        <w:t>ētās</w:t>
      </w:r>
      <w:r w:rsidRPr="00307B1B">
        <w:rPr>
          <w:rFonts w:cstheme="minorHAnsi"/>
          <w:sz w:val="24"/>
          <w:szCs w:val="24"/>
        </w:rPr>
        <w:t xml:space="preserve"> </w:t>
      </w:r>
      <w:r w:rsidR="00C96DC5" w:rsidRPr="00307B1B">
        <w:rPr>
          <w:rFonts w:cstheme="minorHAnsi"/>
          <w:sz w:val="24"/>
          <w:szCs w:val="24"/>
        </w:rPr>
        <w:t>saturiskās</w:t>
      </w:r>
      <w:r w:rsidRPr="00307B1B">
        <w:rPr>
          <w:rFonts w:cstheme="minorHAnsi"/>
          <w:sz w:val="24"/>
          <w:szCs w:val="24"/>
        </w:rPr>
        <w:t xml:space="preserve"> un ieviešanas nosacījumu izmaiņ</w:t>
      </w:r>
      <w:r w:rsidR="00C96DC5" w:rsidRPr="00307B1B">
        <w:rPr>
          <w:rFonts w:cstheme="minorHAnsi"/>
          <w:sz w:val="24"/>
          <w:szCs w:val="24"/>
        </w:rPr>
        <w:t>as tiks apspriestas un gala redakcija saskaņota Pēcdoktorantūras pētniecības programmas MK noteikumu Nr. 50 grozījumu saskaņošanas procesā.</w:t>
      </w:r>
    </w:p>
    <w:p w14:paraId="0EC1E71F" w14:textId="77777777" w:rsidR="00604821" w:rsidRDefault="00604821" w:rsidP="00D93E7C">
      <w:pPr>
        <w:rPr>
          <w:rFonts w:cstheme="minorHAnsi"/>
          <w:sz w:val="24"/>
          <w:szCs w:val="24"/>
        </w:rPr>
      </w:pPr>
    </w:p>
    <w:p w14:paraId="75D90F66" w14:textId="77777777" w:rsidR="00A93A8F" w:rsidRPr="00D93E7C" w:rsidRDefault="00A93A8F" w:rsidP="00D93E7C">
      <w:pPr>
        <w:rPr>
          <w:rFonts w:cstheme="minorHAnsi"/>
          <w:sz w:val="24"/>
          <w:szCs w:val="24"/>
        </w:rPr>
      </w:pPr>
    </w:p>
    <w:p w14:paraId="3FCC3A39" w14:textId="77777777" w:rsidR="00645277" w:rsidRPr="00FF789A" w:rsidRDefault="00645277" w:rsidP="002515FB">
      <w:pPr>
        <w:spacing w:after="0" w:line="240" w:lineRule="auto"/>
        <w:jc w:val="both"/>
        <w:rPr>
          <w:rFonts w:cstheme="minorHAnsi"/>
          <w:sz w:val="24"/>
          <w:szCs w:val="24"/>
        </w:rPr>
      </w:pPr>
      <w:r w:rsidRPr="00FF789A">
        <w:rPr>
          <w:rFonts w:cstheme="minorHAnsi"/>
          <w:sz w:val="24"/>
          <w:szCs w:val="24"/>
        </w:rPr>
        <w:t xml:space="preserve">Iesniedzējs:                                                                                                                           </w:t>
      </w:r>
    </w:p>
    <w:p w14:paraId="18E26BC2" w14:textId="77777777" w:rsidR="00645277" w:rsidRPr="00FF789A" w:rsidRDefault="00645277" w:rsidP="002515FB">
      <w:pPr>
        <w:spacing w:after="0" w:line="240" w:lineRule="auto"/>
        <w:jc w:val="both"/>
        <w:rPr>
          <w:rFonts w:cstheme="minorHAnsi"/>
          <w:sz w:val="24"/>
          <w:szCs w:val="24"/>
        </w:rPr>
      </w:pPr>
      <w:r w:rsidRPr="00FF789A">
        <w:rPr>
          <w:rFonts w:cstheme="minorHAnsi"/>
          <w:sz w:val="24"/>
          <w:szCs w:val="24"/>
        </w:rPr>
        <w:t>Izglītības un zinātnes ministrs</w:t>
      </w:r>
      <w:r w:rsidRPr="00FF789A">
        <w:rPr>
          <w:rFonts w:cstheme="minorHAnsi"/>
          <w:sz w:val="24"/>
          <w:szCs w:val="24"/>
        </w:rPr>
        <w:tab/>
      </w:r>
      <w:r w:rsidRPr="00FF789A">
        <w:rPr>
          <w:rFonts w:cstheme="minorHAnsi"/>
          <w:sz w:val="24"/>
          <w:szCs w:val="24"/>
        </w:rPr>
        <w:tab/>
      </w:r>
      <w:r w:rsidRPr="00FF789A">
        <w:rPr>
          <w:rFonts w:cstheme="minorHAnsi"/>
          <w:sz w:val="24"/>
          <w:szCs w:val="24"/>
        </w:rPr>
        <w:tab/>
      </w:r>
      <w:r w:rsidRPr="00FF789A">
        <w:rPr>
          <w:rFonts w:cstheme="minorHAnsi"/>
          <w:sz w:val="24"/>
          <w:szCs w:val="24"/>
        </w:rPr>
        <w:tab/>
      </w:r>
      <w:r w:rsidRPr="00FF789A">
        <w:rPr>
          <w:rFonts w:cstheme="minorHAnsi"/>
          <w:sz w:val="24"/>
          <w:szCs w:val="24"/>
        </w:rPr>
        <w:tab/>
      </w:r>
      <w:r w:rsidRPr="00FF789A">
        <w:rPr>
          <w:rFonts w:cstheme="minorHAnsi"/>
          <w:sz w:val="24"/>
          <w:szCs w:val="24"/>
        </w:rPr>
        <w:tab/>
      </w:r>
      <w:r w:rsidR="00FF789A">
        <w:rPr>
          <w:rFonts w:cstheme="minorHAnsi"/>
          <w:sz w:val="24"/>
          <w:szCs w:val="24"/>
        </w:rPr>
        <w:tab/>
      </w:r>
      <w:r w:rsidRPr="00FF789A">
        <w:rPr>
          <w:rFonts w:cstheme="minorHAnsi"/>
          <w:sz w:val="24"/>
          <w:szCs w:val="24"/>
        </w:rPr>
        <w:t>Ilga Šuplinska</w:t>
      </w:r>
    </w:p>
    <w:p w14:paraId="414CBD28" w14:textId="77777777" w:rsidR="00645277" w:rsidRPr="00FF789A" w:rsidRDefault="00645277" w:rsidP="002515FB">
      <w:pPr>
        <w:spacing w:after="0" w:line="240" w:lineRule="auto"/>
        <w:jc w:val="both"/>
        <w:rPr>
          <w:rFonts w:cstheme="minorHAnsi"/>
          <w:sz w:val="24"/>
          <w:szCs w:val="24"/>
        </w:rPr>
      </w:pPr>
    </w:p>
    <w:p w14:paraId="38016C8B" w14:textId="77777777" w:rsidR="00645277" w:rsidRPr="00FF789A" w:rsidRDefault="00645277" w:rsidP="002515FB">
      <w:pPr>
        <w:spacing w:after="0" w:line="240" w:lineRule="auto"/>
        <w:jc w:val="both"/>
        <w:rPr>
          <w:rFonts w:cstheme="minorHAnsi"/>
          <w:sz w:val="24"/>
          <w:szCs w:val="24"/>
        </w:rPr>
      </w:pPr>
    </w:p>
    <w:p w14:paraId="29ADCF23" w14:textId="77777777" w:rsidR="00645277" w:rsidRPr="00FF789A" w:rsidRDefault="00645277" w:rsidP="002515FB">
      <w:pPr>
        <w:spacing w:after="0" w:line="240" w:lineRule="auto"/>
        <w:jc w:val="both"/>
        <w:rPr>
          <w:rFonts w:cstheme="minorHAnsi"/>
          <w:sz w:val="24"/>
          <w:szCs w:val="24"/>
        </w:rPr>
      </w:pPr>
      <w:r w:rsidRPr="00FF789A">
        <w:rPr>
          <w:rFonts w:cstheme="minorHAnsi"/>
          <w:sz w:val="24"/>
          <w:szCs w:val="24"/>
        </w:rPr>
        <w:t>Vizē: Valsts sekretāre</w:t>
      </w:r>
      <w:r w:rsidRPr="00FF789A">
        <w:rPr>
          <w:rFonts w:cstheme="minorHAnsi"/>
          <w:sz w:val="24"/>
          <w:szCs w:val="24"/>
        </w:rPr>
        <w:tab/>
      </w:r>
      <w:r w:rsidRPr="00FF789A">
        <w:rPr>
          <w:rFonts w:cstheme="minorHAnsi"/>
          <w:sz w:val="24"/>
          <w:szCs w:val="24"/>
        </w:rPr>
        <w:tab/>
      </w:r>
      <w:r w:rsidRPr="00FF789A">
        <w:rPr>
          <w:rFonts w:cstheme="minorHAnsi"/>
          <w:sz w:val="24"/>
          <w:szCs w:val="24"/>
        </w:rPr>
        <w:tab/>
      </w:r>
      <w:r w:rsidRPr="00FF789A">
        <w:rPr>
          <w:rFonts w:cstheme="minorHAnsi"/>
          <w:sz w:val="24"/>
          <w:szCs w:val="24"/>
        </w:rPr>
        <w:tab/>
      </w:r>
      <w:r w:rsidRPr="00FF789A">
        <w:rPr>
          <w:rFonts w:cstheme="minorHAnsi"/>
          <w:sz w:val="24"/>
          <w:szCs w:val="24"/>
        </w:rPr>
        <w:tab/>
      </w:r>
      <w:r w:rsidRPr="00FF789A">
        <w:rPr>
          <w:rFonts w:cstheme="minorHAnsi"/>
          <w:sz w:val="24"/>
          <w:szCs w:val="24"/>
        </w:rPr>
        <w:tab/>
      </w:r>
      <w:r w:rsidRPr="00FF789A">
        <w:rPr>
          <w:rFonts w:cstheme="minorHAnsi"/>
          <w:sz w:val="24"/>
          <w:szCs w:val="24"/>
        </w:rPr>
        <w:tab/>
      </w:r>
      <w:r w:rsidR="00FF789A">
        <w:rPr>
          <w:rFonts w:cstheme="minorHAnsi"/>
          <w:sz w:val="24"/>
          <w:szCs w:val="24"/>
        </w:rPr>
        <w:tab/>
      </w:r>
      <w:r w:rsidRPr="00FF789A">
        <w:rPr>
          <w:rFonts w:cstheme="minorHAnsi"/>
          <w:sz w:val="24"/>
          <w:szCs w:val="24"/>
        </w:rPr>
        <w:t>Līga Lejiņa</w:t>
      </w:r>
    </w:p>
    <w:p w14:paraId="0BF045DD" w14:textId="77777777" w:rsidR="00645277" w:rsidRDefault="00645277" w:rsidP="00645277">
      <w:pPr>
        <w:spacing w:after="0" w:line="240" w:lineRule="auto"/>
        <w:jc w:val="both"/>
        <w:rPr>
          <w:rFonts w:ascii="Times New Roman" w:hAnsi="Times New Roman"/>
          <w:sz w:val="20"/>
          <w:szCs w:val="20"/>
        </w:rPr>
      </w:pPr>
    </w:p>
    <w:p w14:paraId="1BB4E217" w14:textId="77777777" w:rsidR="00645277" w:rsidRPr="00FF789A" w:rsidRDefault="00645277" w:rsidP="00645277">
      <w:pPr>
        <w:spacing w:after="0" w:line="240" w:lineRule="auto"/>
        <w:jc w:val="both"/>
        <w:rPr>
          <w:rFonts w:cstheme="minorHAnsi"/>
          <w:sz w:val="24"/>
          <w:szCs w:val="24"/>
        </w:rPr>
      </w:pPr>
    </w:p>
    <w:p w14:paraId="6CA838E0" w14:textId="6F9C95FD" w:rsidR="003768C4" w:rsidRPr="00A92984" w:rsidRDefault="002977C1" w:rsidP="003848ED">
      <w:pPr>
        <w:spacing w:after="0" w:line="252" w:lineRule="auto"/>
        <w:rPr>
          <w:rFonts w:cstheme="minorHAnsi"/>
          <w:sz w:val="20"/>
          <w:szCs w:val="20"/>
        </w:rPr>
      </w:pPr>
      <w:r>
        <w:rPr>
          <w:rFonts w:cstheme="minorHAnsi"/>
          <w:sz w:val="20"/>
          <w:szCs w:val="20"/>
        </w:rPr>
        <w:t>1</w:t>
      </w:r>
      <w:r w:rsidR="00F21742">
        <w:rPr>
          <w:rFonts w:cstheme="minorHAnsi"/>
          <w:sz w:val="20"/>
          <w:szCs w:val="20"/>
        </w:rPr>
        <w:t>5</w:t>
      </w:r>
      <w:r w:rsidR="003768C4" w:rsidRPr="00A92984">
        <w:rPr>
          <w:rFonts w:cstheme="minorHAnsi"/>
          <w:sz w:val="20"/>
          <w:szCs w:val="20"/>
        </w:rPr>
        <w:t>.0</w:t>
      </w:r>
      <w:r w:rsidR="00C766B2">
        <w:rPr>
          <w:rFonts w:cstheme="minorHAnsi"/>
          <w:sz w:val="20"/>
          <w:szCs w:val="20"/>
        </w:rPr>
        <w:t>3</w:t>
      </w:r>
      <w:r w:rsidR="003768C4" w:rsidRPr="00A92984">
        <w:rPr>
          <w:rFonts w:cstheme="minorHAnsi"/>
          <w:sz w:val="20"/>
          <w:szCs w:val="20"/>
        </w:rPr>
        <w:t xml:space="preserve">.2019. </w:t>
      </w:r>
      <w:r w:rsidR="00F21742">
        <w:rPr>
          <w:rFonts w:cstheme="minorHAnsi"/>
          <w:sz w:val="20"/>
          <w:szCs w:val="20"/>
        </w:rPr>
        <w:t>9:00</w:t>
      </w:r>
    </w:p>
    <w:p w14:paraId="1EE82F96" w14:textId="28B8E908" w:rsidR="003848ED" w:rsidRPr="00A92984" w:rsidRDefault="00C766B2" w:rsidP="003848ED">
      <w:pPr>
        <w:spacing w:after="0" w:line="252" w:lineRule="auto"/>
        <w:rPr>
          <w:rFonts w:cstheme="minorHAnsi"/>
          <w:noProof/>
          <w:sz w:val="20"/>
          <w:szCs w:val="20"/>
        </w:rPr>
      </w:pPr>
      <w:r>
        <w:rPr>
          <w:rFonts w:cstheme="minorHAnsi"/>
          <w:sz w:val="20"/>
          <w:szCs w:val="20"/>
        </w:rPr>
        <w:t>93</w:t>
      </w:r>
      <w:r w:rsidR="00864626">
        <w:rPr>
          <w:rFonts w:cstheme="minorHAnsi"/>
          <w:sz w:val="20"/>
          <w:szCs w:val="20"/>
        </w:rPr>
        <w:t>54</w:t>
      </w:r>
    </w:p>
    <w:p w14:paraId="4C765293" w14:textId="77777777" w:rsidR="00645277" w:rsidRPr="00A92984" w:rsidRDefault="00645277" w:rsidP="00645277">
      <w:pPr>
        <w:spacing w:after="0" w:line="240" w:lineRule="auto"/>
        <w:jc w:val="both"/>
        <w:rPr>
          <w:rFonts w:cstheme="minorHAnsi"/>
          <w:sz w:val="20"/>
          <w:szCs w:val="20"/>
        </w:rPr>
      </w:pPr>
      <w:r w:rsidRPr="00A92984">
        <w:rPr>
          <w:rFonts w:cstheme="minorHAnsi"/>
          <w:sz w:val="20"/>
          <w:szCs w:val="20"/>
        </w:rPr>
        <w:t>A. Žilinska, 67047897</w:t>
      </w:r>
    </w:p>
    <w:p w14:paraId="724ABD5F" w14:textId="77777777" w:rsidR="00645277" w:rsidRPr="00A92984" w:rsidRDefault="004C0BF6" w:rsidP="00645277">
      <w:pPr>
        <w:spacing w:after="0" w:line="240" w:lineRule="auto"/>
        <w:jc w:val="both"/>
        <w:rPr>
          <w:rFonts w:cstheme="minorHAnsi"/>
          <w:sz w:val="20"/>
          <w:szCs w:val="20"/>
        </w:rPr>
      </w:pPr>
      <w:hyperlink r:id="rId28" w:history="1">
        <w:r w:rsidR="00FF789A" w:rsidRPr="00A92984">
          <w:rPr>
            <w:rStyle w:val="Hyperlink"/>
            <w:rFonts w:cstheme="minorHAnsi"/>
            <w:sz w:val="20"/>
            <w:szCs w:val="20"/>
          </w:rPr>
          <w:t>Antra.Zilinska@izm.gov.lv</w:t>
        </w:r>
      </w:hyperlink>
    </w:p>
    <w:p w14:paraId="384FDBE6" w14:textId="77777777" w:rsidR="00FF789A" w:rsidRPr="00A92984" w:rsidRDefault="00FF789A" w:rsidP="00645277">
      <w:pPr>
        <w:spacing w:after="0" w:line="240" w:lineRule="auto"/>
        <w:jc w:val="both"/>
        <w:rPr>
          <w:rFonts w:cstheme="minorHAnsi"/>
          <w:sz w:val="20"/>
          <w:szCs w:val="20"/>
        </w:rPr>
      </w:pPr>
    </w:p>
    <w:p w14:paraId="6AB3E017" w14:textId="77777777" w:rsidR="00D93E7C" w:rsidRPr="00D93E7C" w:rsidRDefault="00D93E7C" w:rsidP="00D93E7C">
      <w:pPr>
        <w:rPr>
          <w:rFonts w:cstheme="minorHAnsi"/>
          <w:sz w:val="24"/>
          <w:szCs w:val="24"/>
        </w:rPr>
      </w:pPr>
    </w:p>
    <w:p w14:paraId="11A8D4E2" w14:textId="77777777" w:rsidR="00D93E7C" w:rsidRDefault="00D93E7C" w:rsidP="00D93E7C">
      <w:pPr>
        <w:rPr>
          <w:rFonts w:cstheme="minorHAnsi"/>
          <w:sz w:val="24"/>
          <w:szCs w:val="24"/>
        </w:rPr>
      </w:pPr>
    </w:p>
    <w:p w14:paraId="14FBA59D" w14:textId="77777777" w:rsidR="00D93E7C" w:rsidRDefault="00D93E7C" w:rsidP="00D93E7C">
      <w:pPr>
        <w:rPr>
          <w:rFonts w:cstheme="minorHAnsi"/>
          <w:sz w:val="24"/>
          <w:szCs w:val="24"/>
        </w:rPr>
      </w:pPr>
    </w:p>
    <w:p w14:paraId="150D44C4" w14:textId="77777777" w:rsidR="000A45BF" w:rsidRPr="00D93E7C" w:rsidRDefault="00D93E7C" w:rsidP="00D93E7C">
      <w:pPr>
        <w:tabs>
          <w:tab w:val="left" w:pos="2871"/>
        </w:tabs>
        <w:rPr>
          <w:rFonts w:cstheme="minorHAnsi"/>
          <w:sz w:val="24"/>
          <w:szCs w:val="24"/>
        </w:rPr>
      </w:pPr>
      <w:r>
        <w:rPr>
          <w:rFonts w:cstheme="minorHAnsi"/>
          <w:sz w:val="24"/>
          <w:szCs w:val="24"/>
        </w:rPr>
        <w:tab/>
      </w:r>
    </w:p>
    <w:sectPr w:rsidR="000A45BF" w:rsidRPr="00D93E7C" w:rsidSect="00B85274">
      <w:headerReference w:type="default" r:id="rId29"/>
      <w:footerReference w:type="default" r:id="rId30"/>
      <w:pgSz w:w="11906" w:h="16838"/>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CC3AB" w14:textId="77777777" w:rsidR="004C0BF6" w:rsidRDefault="004C0BF6" w:rsidP="003A4880">
      <w:pPr>
        <w:spacing w:after="0" w:line="240" w:lineRule="auto"/>
      </w:pPr>
      <w:r>
        <w:separator/>
      </w:r>
    </w:p>
  </w:endnote>
  <w:endnote w:type="continuationSeparator" w:id="0">
    <w:p w14:paraId="44E2A0FB" w14:textId="77777777" w:rsidR="004C0BF6" w:rsidRDefault="004C0BF6" w:rsidP="003A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BA"/>
    <w:family w:val="swiss"/>
    <w:pitch w:val="variable"/>
    <w:sig w:usb0="A00002EF" w:usb1="4000A44B"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20E3" w14:textId="7B4B4D45" w:rsidR="00A52305" w:rsidRPr="004B3B4A" w:rsidRDefault="00A52305" w:rsidP="00633682">
    <w:pPr>
      <w:pStyle w:val="NoSpacing"/>
      <w:jc w:val="both"/>
      <w:rPr>
        <w:lang w:val="lv-LV"/>
      </w:rPr>
    </w:pPr>
    <w:r>
      <w:rPr>
        <w:lang w:val="lv-LV"/>
      </w:rPr>
      <w:t>IZMZino_1112_PostDoc_</w:t>
    </w:r>
    <w:r w:rsidR="00F02751">
      <w:rPr>
        <w:lang w:val="lv-LV"/>
      </w:rPr>
      <w:t>1</w:t>
    </w:r>
    <w:r w:rsidR="00153D7D">
      <w:rPr>
        <w:lang w:val="lv-LV"/>
      </w:rPr>
      <w:t>5</w:t>
    </w:r>
    <w:r w:rsidR="006567A2">
      <w:rPr>
        <w:lang w:val="lv-LV"/>
      </w:rPr>
      <w:t>03</w:t>
    </w:r>
    <w:r>
      <w:rPr>
        <w:lang w:val="lv-LV"/>
      </w:rPr>
      <w:t>19</w:t>
    </w:r>
    <w:r w:rsidRPr="004B3B4A">
      <w:rPr>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EF56E" w14:textId="77777777" w:rsidR="004C0BF6" w:rsidRDefault="004C0BF6" w:rsidP="003A4880">
      <w:pPr>
        <w:spacing w:after="0" w:line="240" w:lineRule="auto"/>
      </w:pPr>
      <w:r>
        <w:separator/>
      </w:r>
    </w:p>
  </w:footnote>
  <w:footnote w:type="continuationSeparator" w:id="0">
    <w:p w14:paraId="4C14669C" w14:textId="77777777" w:rsidR="004C0BF6" w:rsidRDefault="004C0BF6" w:rsidP="003A4880">
      <w:pPr>
        <w:spacing w:after="0" w:line="240" w:lineRule="auto"/>
      </w:pPr>
      <w:r>
        <w:continuationSeparator/>
      </w:r>
    </w:p>
  </w:footnote>
  <w:footnote w:id="1">
    <w:p w14:paraId="31F41C27" w14:textId="77777777" w:rsidR="00A52305" w:rsidRPr="002061D1" w:rsidRDefault="00A52305" w:rsidP="00F82D60">
      <w:pPr>
        <w:pStyle w:val="FootnoteText"/>
        <w:jc w:val="both"/>
        <w:rPr>
          <w:rFonts w:cstheme="minorHAnsi"/>
        </w:rPr>
      </w:pPr>
      <w:r w:rsidRPr="002061D1">
        <w:rPr>
          <w:rFonts w:cstheme="minorHAnsi"/>
          <w:vertAlign w:val="superscript"/>
        </w:rPr>
        <w:footnoteRef/>
      </w:r>
      <w:r w:rsidRPr="002061D1">
        <w:rPr>
          <w:rFonts w:cstheme="minorHAnsi"/>
        </w:rPr>
        <w:t xml:space="preserve"> MK noteikumu Nr. 50 69. punkts „</w:t>
      </w:r>
      <w:r w:rsidRPr="002061D1">
        <w:rPr>
          <w:rFonts w:cstheme="minorHAnsi"/>
          <w:i/>
        </w:rPr>
        <w:t>Izglītības un zinātnes ministrija līdz 2018. gada 31. decembrim veic pasākuma ieviešanas nosacījumu un atbalstāmo darbību vidusposma izvērtējumu, tai skaitā izvērtē pasākuma atbilstību aktuālākajiem Latvijas viedās specializācijas stratēģijas uzstādījumiem, un, ja nepieciešams, sagatavo priekšlikumus grozījumiem pasākuma ieviešanas nosacījumos un atbalstāmajās darbībās.</w:t>
      </w:r>
      <w:r w:rsidRPr="002061D1">
        <w:rPr>
          <w:rFonts w:cstheme="minorHAnsi"/>
        </w:rPr>
        <w:t>”</w:t>
      </w:r>
    </w:p>
  </w:footnote>
  <w:footnote w:id="2">
    <w:p w14:paraId="7CE8D7B6" w14:textId="77777777" w:rsidR="00A52305" w:rsidRDefault="00A52305" w:rsidP="00A5651E">
      <w:pPr>
        <w:pStyle w:val="FootnoteText"/>
        <w:jc w:val="both"/>
      </w:pPr>
      <w:r>
        <w:rPr>
          <w:rStyle w:val="FootnoteReference"/>
        </w:rPr>
        <w:footnoteRef/>
      </w:r>
      <w:r>
        <w:t xml:space="preserve"> </w:t>
      </w:r>
      <w:r w:rsidRPr="00A5651E">
        <w:rPr>
          <w:rFonts w:cstheme="minorHAnsi"/>
        </w:rPr>
        <w:t xml:space="preserve">Pētniecības pieteikuma izmaksas pamatā ietver pēcdoktoranta atalgojumu līdz 2 731 </w:t>
      </w:r>
      <w:r w:rsidRPr="00A5651E">
        <w:rPr>
          <w:rFonts w:cstheme="minorHAnsi"/>
          <w:i/>
        </w:rPr>
        <w:t>euro</w:t>
      </w:r>
      <w:r w:rsidRPr="00A5651E">
        <w:rPr>
          <w:rFonts w:cstheme="minorHAnsi"/>
        </w:rPr>
        <w:t xml:space="preserve"> mēnesī, pētniecības, mācību un tīklošanās pasākumu izmaksas 800 </w:t>
      </w:r>
      <w:r w:rsidRPr="00A5651E">
        <w:rPr>
          <w:rFonts w:cstheme="minorHAnsi"/>
          <w:i/>
        </w:rPr>
        <w:t>euro</w:t>
      </w:r>
      <w:r w:rsidRPr="00A5651E">
        <w:rPr>
          <w:rFonts w:cstheme="minorHAnsi"/>
        </w:rPr>
        <w:t xml:space="preserve"> mēnesī un pēcdoktoranta pētniecības pieteikuma īstenošanas nodrošināšanai izmantotajiem pētniecības pieteikuma iesniedzēja administratīvajiem un infrastruktūras resursiem 185,83 </w:t>
      </w:r>
      <w:r w:rsidRPr="00A5651E">
        <w:rPr>
          <w:rFonts w:cstheme="minorHAnsi"/>
          <w:i/>
        </w:rPr>
        <w:t>euro</w:t>
      </w:r>
      <w:r w:rsidRPr="00A5651E">
        <w:rPr>
          <w:rFonts w:cstheme="minorHAnsi"/>
        </w:rPr>
        <w:t xml:space="preserve"> mēnesī.</w:t>
      </w:r>
    </w:p>
  </w:footnote>
  <w:footnote w:id="3">
    <w:p w14:paraId="0BA84F44" w14:textId="77777777" w:rsidR="00A52305" w:rsidRDefault="00A52305" w:rsidP="00EB2269">
      <w:pPr>
        <w:pStyle w:val="FootnoteText"/>
        <w:jc w:val="both"/>
      </w:pPr>
      <w:r>
        <w:rPr>
          <w:rStyle w:val="FootnoteReference"/>
        </w:rPr>
        <w:footnoteRef/>
      </w:r>
      <w:r>
        <w:t xml:space="preserve">  </w:t>
      </w:r>
      <w:r w:rsidRPr="008D0C7D">
        <w:t>Detaliz</w:t>
      </w:r>
      <w:r>
        <w:t>ēta</w:t>
      </w:r>
      <w:r w:rsidRPr="008D0C7D">
        <w:t xml:space="preserve"> pirmās atlases kārtas ietvaros iesniegto pētniecības pieteikumu analīze iekļauta </w:t>
      </w:r>
      <w:r>
        <w:t>27.02.</w:t>
      </w:r>
      <w:r w:rsidRPr="008D0C7D">
        <w:t xml:space="preserve">2018. MK </w:t>
      </w:r>
      <w:r>
        <w:t xml:space="preserve">sēdē </w:t>
      </w:r>
      <w:r w:rsidRPr="008D0C7D">
        <w:t>izskatītajā informatīvajā ziņojumā „Darbības programmas „Izaugsme un nodarbinātība” 1.1.1. specifiskā atbalsta mērķa „Palielināt Latvijas zinātnisko institūciju pētniecisko un inovatīvo kapacitāti un spēju piesaistīt ārējo finansējumu, ieguldot cilvēkresursos un infrastruktūrā” pasākumu pirmās projektu iesniegumu atlases kārtas rezultātu analīze un priekšlikumi turpmāko atlases kārtu saturiskiem un procedurāliem uzlabojumiem”</w:t>
      </w:r>
      <w:r>
        <w:t xml:space="preserve">. Pieejams - </w:t>
      </w:r>
      <w:hyperlink r:id="rId1" w:history="1">
        <w:r w:rsidRPr="00F00EB1">
          <w:rPr>
            <w:rStyle w:val="Hyperlink"/>
          </w:rPr>
          <w:t>http://tap.mk.gov.lv/lv/mk/tap/?pid=40447954&amp;mode=mk&amp;date=2018-02-27</w:t>
        </w:r>
      </w:hyperlink>
    </w:p>
  </w:footnote>
  <w:footnote w:id="4">
    <w:p w14:paraId="52F597C7" w14:textId="77777777" w:rsidR="00A52305" w:rsidRDefault="00A52305" w:rsidP="00EB2269">
      <w:pPr>
        <w:pStyle w:val="FootnoteText"/>
        <w:jc w:val="both"/>
      </w:pPr>
      <w:r w:rsidRPr="00536DB2">
        <w:rPr>
          <w:rStyle w:val="FootnoteReference"/>
        </w:rPr>
        <w:footnoteRef/>
      </w:r>
      <w:r w:rsidRPr="00536DB2">
        <w:t xml:space="preserve"> </w:t>
      </w:r>
      <w:r>
        <w:t xml:space="preserve"> </w:t>
      </w:r>
      <w:r w:rsidRPr="00536DB2">
        <w:rPr>
          <w:rFonts w:cstheme="minorHAnsi"/>
        </w:rPr>
        <w:t xml:space="preserve">Dati uz 31.10.2018., ievērojot, ka atsevišķiem pētniecības pieteikumiem vēl norisinās līgumu slēgšanas process, </w:t>
      </w:r>
      <w:r w:rsidRPr="00AB2890">
        <w:t>iespējams neliels noslēgto līgumu skaita papildinājums.</w:t>
      </w:r>
      <w:r>
        <w:t xml:space="preserve"> Sīkāka informācija par iemesliem, kāpēc līgumi nav noslēgti, skat. 1.3. sadaļā.</w:t>
      </w:r>
    </w:p>
  </w:footnote>
  <w:footnote w:id="5">
    <w:p w14:paraId="6CCA851D" w14:textId="77777777" w:rsidR="00A52305" w:rsidRDefault="00A52305" w:rsidP="004877D2">
      <w:pPr>
        <w:spacing w:after="0" w:line="240" w:lineRule="auto"/>
        <w:jc w:val="both"/>
        <w:rPr>
          <w:sz w:val="20"/>
          <w:szCs w:val="20"/>
          <w:vertAlign w:val="superscript"/>
        </w:rPr>
      </w:pPr>
      <w:r w:rsidRPr="00A11D7D">
        <w:rPr>
          <w:sz w:val="20"/>
          <w:szCs w:val="20"/>
          <w:vertAlign w:val="superscript"/>
        </w:rPr>
        <w:footnoteRef/>
      </w:r>
      <w:r w:rsidRPr="00A11D7D">
        <w:rPr>
          <w:sz w:val="20"/>
          <w:szCs w:val="20"/>
          <w:vertAlign w:val="superscript"/>
        </w:rPr>
        <w:t xml:space="preserve"> </w:t>
      </w:r>
      <w:r w:rsidRPr="00690F67">
        <w:rPr>
          <w:sz w:val="20"/>
          <w:szCs w:val="20"/>
        </w:rPr>
        <w:t>Pētniecības pieteikumu vidusposms tiek noteikts individuāli atbilstoši katra pētniecības pieteikuma specifiskai un tajā plānoto aktivitāšu un darbību īstenošanas laika grafikam.</w:t>
      </w:r>
    </w:p>
    <w:p w14:paraId="3061A11F" w14:textId="77777777" w:rsidR="00A52305" w:rsidRDefault="00A52305" w:rsidP="004877D2">
      <w:pPr>
        <w:spacing w:after="0" w:line="240" w:lineRule="auto"/>
        <w:jc w:val="both"/>
        <w:rPr>
          <w:sz w:val="20"/>
          <w:szCs w:val="20"/>
        </w:rPr>
      </w:pPr>
      <w:r w:rsidRPr="000253EE">
        <w:rPr>
          <w:sz w:val="20"/>
          <w:szCs w:val="20"/>
        </w:rPr>
        <w:t xml:space="preserve">MK noteikumu Nr. 50 19. punkts </w:t>
      </w:r>
      <w:r>
        <w:rPr>
          <w:sz w:val="20"/>
          <w:szCs w:val="20"/>
        </w:rPr>
        <w:t xml:space="preserve">nosaka, ka VIAA </w:t>
      </w:r>
      <w:r w:rsidRPr="00D61C8D">
        <w:rPr>
          <w:sz w:val="20"/>
          <w:szCs w:val="20"/>
        </w:rPr>
        <w:t>nodrošina pētniecības pieteikumu vidusposma rezultātu zinātniskās kvalitātes izvērtējumu</w:t>
      </w:r>
      <w:r>
        <w:rPr>
          <w:sz w:val="20"/>
          <w:szCs w:val="20"/>
        </w:rPr>
        <w:t>, piesaistot</w:t>
      </w:r>
      <w:r w:rsidRPr="00D61C8D">
        <w:rPr>
          <w:sz w:val="20"/>
          <w:szCs w:val="20"/>
        </w:rPr>
        <w:t xml:space="preserve"> EK ekspertu datubāzē iekļautus </w:t>
      </w:r>
      <w:r>
        <w:rPr>
          <w:sz w:val="20"/>
          <w:szCs w:val="20"/>
        </w:rPr>
        <w:t>ekspertus</w:t>
      </w:r>
      <w:r w:rsidRPr="00D61C8D">
        <w:rPr>
          <w:sz w:val="20"/>
          <w:szCs w:val="20"/>
        </w:rPr>
        <w:t>.</w:t>
      </w:r>
      <w:r w:rsidRPr="00690F67">
        <w:rPr>
          <w:sz w:val="20"/>
          <w:szCs w:val="20"/>
        </w:rPr>
        <w:t xml:space="preserve"> </w:t>
      </w:r>
    </w:p>
    <w:p w14:paraId="2C6EF835" w14:textId="77777777" w:rsidR="00A52305" w:rsidRPr="00D61C8D" w:rsidRDefault="00A52305" w:rsidP="004877D2">
      <w:pPr>
        <w:spacing w:after="0" w:line="240" w:lineRule="auto"/>
        <w:jc w:val="both"/>
        <w:rPr>
          <w:sz w:val="20"/>
          <w:szCs w:val="20"/>
        </w:rPr>
      </w:pPr>
      <w:r w:rsidRPr="00690F67">
        <w:rPr>
          <w:sz w:val="20"/>
          <w:szCs w:val="20"/>
        </w:rPr>
        <w:t>Pētniecības pieteikumu vidusposma rezultātu zinātniskās kvalitātes vērtēšanā līdzīgi kā pētniecības pieteikumu iesniegumu sākotnējā zinātniskās kvalitātes vērtēšanā, tiks piesaistīti EK ekspertu datu bāzē iekļauti ārvalstu eksperti. VIAA, iespēju robežās, piesaistīts pētniecības pieteikumu vidusposma vērtēšanai EK ekspertus, kuri jau sākotnēji vērtēja attiecīgā pētniecības pieteikuma kvalitāti. Savukārt, gadījumā, ja sākotnējā attiecīgā pētniecības pieteikuma zinātnisko kvalitāti vērtējušie eksperti atteiksies, VIAA uzaicinās citus EK ekspertus veikt vidusposma ekspertīzi.</w:t>
      </w:r>
    </w:p>
  </w:footnote>
  <w:footnote w:id="6">
    <w:p w14:paraId="3834C9D8" w14:textId="77777777" w:rsidR="00A52305" w:rsidRDefault="00A52305" w:rsidP="0057292F">
      <w:pPr>
        <w:pStyle w:val="FootnoteText"/>
        <w:jc w:val="both"/>
      </w:pPr>
      <w:r>
        <w:rPr>
          <w:rStyle w:val="FootnoteReference"/>
        </w:rPr>
        <w:footnoteRef/>
      </w:r>
      <w:r>
        <w:t xml:space="preserve"> </w:t>
      </w:r>
      <w:r w:rsidRPr="008D0C7D">
        <w:t>Detaliz</w:t>
      </w:r>
      <w:r>
        <w:t>ēta</w:t>
      </w:r>
      <w:r w:rsidRPr="008D0C7D">
        <w:t xml:space="preserve"> pirmās atlases kārtas ietvaros iesniegto pētniecības pieteikumu analīze iekļauta </w:t>
      </w:r>
      <w:r>
        <w:t>27.02.</w:t>
      </w:r>
      <w:r w:rsidRPr="008D0C7D">
        <w:t xml:space="preserve">2018. MK </w:t>
      </w:r>
      <w:r>
        <w:t xml:space="preserve">sēdē </w:t>
      </w:r>
      <w:r w:rsidRPr="008D0C7D">
        <w:t>izskatītajā informatīvajā ziņojumā „Darbības programmas „Izaugsme un nodarbinātība” 1.1.1. specifiskā atbalsta mērķa „Palielināt Latvijas zinātnisko institūciju pētniecisko un inovatīvo kapacitāti un spēju piesaistīt ārējo finansējumu, ieguldot cilvēkresursos un infrastruktūrā” pasākumu pirmās projektu iesniegumu atlases kārtas rezultātu analīze un priekšlikumi turpmāko atlases kārtu saturiskiem un procedurāliem uzlabojumiem”</w:t>
      </w:r>
      <w:r>
        <w:t xml:space="preserve">. Pieejams - </w:t>
      </w:r>
      <w:hyperlink r:id="rId2" w:history="1">
        <w:r w:rsidRPr="00F00EB1">
          <w:rPr>
            <w:rStyle w:val="Hyperlink"/>
          </w:rPr>
          <w:t>http://tap.mk.gov.lv/lv/mk/tap/?pid=40447954&amp;mode=mk&amp;date=2018-02-27</w:t>
        </w:r>
      </w:hyperlink>
    </w:p>
  </w:footnote>
  <w:footnote w:id="7">
    <w:p w14:paraId="5C302CF9" w14:textId="77777777" w:rsidR="00A52305" w:rsidRPr="00392E06" w:rsidRDefault="00A52305" w:rsidP="002557BA">
      <w:pPr>
        <w:spacing w:after="0" w:line="240" w:lineRule="auto"/>
        <w:jc w:val="both"/>
        <w:rPr>
          <w:sz w:val="18"/>
          <w:szCs w:val="18"/>
        </w:rPr>
      </w:pPr>
      <w:r w:rsidRPr="00FD49F7">
        <w:rPr>
          <w:sz w:val="20"/>
          <w:szCs w:val="20"/>
          <w:vertAlign w:val="superscript"/>
        </w:rPr>
        <w:footnoteRef/>
      </w:r>
      <w:r w:rsidRPr="00FD49F7">
        <w:rPr>
          <w:sz w:val="20"/>
          <w:szCs w:val="20"/>
        </w:rPr>
        <w:t xml:space="preserve"> Vērtēšanas procesā 0,5 punkti var tikt piešķirti ar saimniecisko darbību nesaistītam pētniecības pieteikumam, ja tas paredz pi</w:t>
      </w:r>
      <w:r>
        <w:rPr>
          <w:sz w:val="20"/>
          <w:szCs w:val="20"/>
        </w:rPr>
        <w:t>esaistīt privāto finansējumu 5 līdz</w:t>
      </w:r>
      <w:r w:rsidRPr="00FD49F7">
        <w:rPr>
          <w:sz w:val="20"/>
          <w:szCs w:val="20"/>
        </w:rPr>
        <w:t xml:space="preserve"> 10 % apmērā no pētniecības pieteikuma maksimālā kopējā attiecināmā finansējuma, savukārt papildu vienu punktu var piešķirt ar saimniecisko darbību nesaistītam pētniecības pieteikumam, ja tas paredz piesaistīt privāto finansējumu vairāk kā 10 % apmērā no pētniecības pieteikuma maksimālā k</w:t>
      </w:r>
      <w:r>
        <w:rPr>
          <w:sz w:val="20"/>
          <w:szCs w:val="20"/>
        </w:rPr>
        <w:t xml:space="preserve">opējā attiecināmā finansējuma. </w:t>
      </w:r>
      <w:r w:rsidRPr="00FD49F7">
        <w:rPr>
          <w:sz w:val="20"/>
          <w:szCs w:val="20"/>
        </w:rPr>
        <w:t>Savukārt, ar saimniecisko darbību saistītiem pētniecības pieteikumiem papildu 0,5 punktus varēja piešķirt, ja tika paredzēts piesaistīt privāto finansējumu vairāk kā 20 % apmērā no pētniecības pieteikuma maksimālā kopējā attiecināmā finansējuma. Bet, lai iegūtu papildu vienu punktu, ar saimniecisko darbību saistītam pētniecības pieteikumam vajadzēja paredzēt piesaistīt privāto finansējumu vairāk kā 35 % apmērā no pētniecības pieteikuma maksimālā kopējā attiecināmā finansējuma.</w:t>
      </w:r>
    </w:p>
  </w:footnote>
  <w:footnote w:id="8">
    <w:p w14:paraId="3F3A2D91" w14:textId="77777777" w:rsidR="00A52305" w:rsidRPr="00890B5C" w:rsidRDefault="00A52305" w:rsidP="005A758D">
      <w:pPr>
        <w:spacing w:after="0" w:line="240" w:lineRule="auto"/>
        <w:jc w:val="both"/>
        <w:rPr>
          <w:sz w:val="20"/>
          <w:szCs w:val="20"/>
        </w:rPr>
      </w:pPr>
      <w:r w:rsidRPr="00890B5C">
        <w:rPr>
          <w:rStyle w:val="FootnoteReference"/>
          <w:sz w:val="20"/>
          <w:szCs w:val="20"/>
        </w:rPr>
        <w:footnoteRef/>
      </w:r>
      <w:r w:rsidRPr="00890B5C">
        <w:rPr>
          <w:sz w:val="20"/>
          <w:szCs w:val="20"/>
        </w:rPr>
        <w:t xml:space="preserve"> Pēcdoktorantūras pētniecības programmas 1. atlases kārtas ietvaros tika kopumā iesniegti 246 pētniecības pieteikumi, no kuriem 236 pētniecības pieteikumi bija saņemti no 28 zinātniskajām institūcijām un 10 pētniecības pieteikumus iesniedza 4 komersanti.</w:t>
      </w:r>
    </w:p>
  </w:footnote>
  <w:footnote w:id="9">
    <w:p w14:paraId="35F2D6BD" w14:textId="77777777" w:rsidR="00A52305" w:rsidRDefault="00A52305" w:rsidP="000852C5">
      <w:pPr>
        <w:pStyle w:val="FootnoteText"/>
        <w:jc w:val="both"/>
      </w:pPr>
      <w:r>
        <w:rPr>
          <w:rStyle w:val="FootnoteReference"/>
        </w:rPr>
        <w:footnoteRef/>
      </w:r>
      <w:r>
        <w:t xml:space="preserve"> Virs kvalitātes sliekšņa novērtēto pētniecības pieteikumu skaits attiecībā pret zinātniskās institūcijas vai komersanta kopējo iesniegto pētniecības pieteikumu skaitu.</w:t>
      </w:r>
    </w:p>
  </w:footnote>
  <w:footnote w:id="10">
    <w:p w14:paraId="4024D9F1" w14:textId="37B80D16" w:rsidR="00A52305" w:rsidRDefault="00A52305" w:rsidP="001120AC">
      <w:pPr>
        <w:tabs>
          <w:tab w:val="left" w:pos="2884"/>
        </w:tabs>
        <w:spacing w:after="0" w:line="240" w:lineRule="auto"/>
        <w:jc w:val="both"/>
        <w:rPr>
          <w:sz w:val="20"/>
          <w:szCs w:val="20"/>
        </w:rPr>
      </w:pPr>
      <w:r w:rsidRPr="00962B6C">
        <w:rPr>
          <w:rStyle w:val="FootnoteReference"/>
          <w:sz w:val="20"/>
          <w:szCs w:val="20"/>
        </w:rPr>
        <w:footnoteRef/>
      </w:r>
      <w:r w:rsidRPr="00962B6C">
        <w:rPr>
          <w:sz w:val="20"/>
          <w:szCs w:val="20"/>
        </w:rPr>
        <w:t xml:space="preserve"> ES pamatprogrammas “Apvārsnis 2020” Marijas Sklodovskas-Kirī programmas “Individuālās stipendijas” mērķis -</w:t>
      </w:r>
      <w:r>
        <w:rPr>
          <w:sz w:val="20"/>
          <w:szCs w:val="20"/>
        </w:rPr>
        <w:t xml:space="preserve"> </w:t>
      </w:r>
      <w:r w:rsidRPr="00962B6C">
        <w:rPr>
          <w:sz w:val="20"/>
          <w:szCs w:val="20"/>
        </w:rPr>
        <w:t xml:space="preserve">veicināt izaugsmi Eiropā. Nodrošināt zināšanu pārnesi. Atbalstīt zinātnieka karjeras izaugsmi. Dot iespējas darba pieredzes apgūšanai gan Eiropā, gan ārpus tās. Atbalsts karjeras atjaunošanai zinātnē. </w:t>
      </w:r>
    </w:p>
    <w:p w14:paraId="60C9BEC0" w14:textId="77777777" w:rsidR="00A52305" w:rsidRDefault="00A52305" w:rsidP="001120AC">
      <w:pPr>
        <w:tabs>
          <w:tab w:val="left" w:pos="2884"/>
        </w:tabs>
        <w:spacing w:after="0" w:line="240" w:lineRule="auto"/>
        <w:jc w:val="both"/>
        <w:rPr>
          <w:sz w:val="20"/>
          <w:szCs w:val="20"/>
        </w:rPr>
      </w:pPr>
      <w:r w:rsidRPr="00962B6C">
        <w:rPr>
          <w:sz w:val="20"/>
          <w:szCs w:val="20"/>
        </w:rPr>
        <w:t>Stipendijas piešķir projektu konkursa veidā.</w:t>
      </w:r>
      <w:r>
        <w:rPr>
          <w:sz w:val="20"/>
          <w:szCs w:val="20"/>
        </w:rPr>
        <w:t xml:space="preserve"> </w:t>
      </w:r>
      <w:r w:rsidRPr="00962B6C">
        <w:rPr>
          <w:sz w:val="20"/>
          <w:szCs w:val="20"/>
        </w:rPr>
        <w:t xml:space="preserve">Konkursā piedalās uzņēmēja institūcija - uz kuru konkrētais zinātnieks plāno braukt un veikt pētījumus. Projektu piesaka zinātnieku uzņemošā institūcija. Projektu konkursā var piedalīties zinātnieki no visas pasaules. Projektus piesaka par jebkuru tēmu jebkurā zinātnes nozarē. Projekti var būt saistīti kā ar fundamentāliem pētījumiem, tā arī tehnoloģiju izstrādi un inovāciju. </w:t>
      </w:r>
    </w:p>
    <w:p w14:paraId="36A7C18A" w14:textId="77777777" w:rsidR="00A52305" w:rsidRPr="00962B6C" w:rsidRDefault="00A52305" w:rsidP="001120AC">
      <w:pPr>
        <w:tabs>
          <w:tab w:val="left" w:pos="2884"/>
        </w:tabs>
        <w:spacing w:after="0" w:line="240" w:lineRule="auto"/>
        <w:jc w:val="both"/>
        <w:rPr>
          <w:sz w:val="20"/>
          <w:szCs w:val="20"/>
        </w:rPr>
      </w:pPr>
      <w:r w:rsidRPr="00962B6C">
        <w:rPr>
          <w:sz w:val="20"/>
          <w:szCs w:val="20"/>
        </w:rPr>
        <w:t>Detalizētāka informācija</w:t>
      </w:r>
      <w:r>
        <w:rPr>
          <w:sz w:val="20"/>
          <w:szCs w:val="20"/>
        </w:rPr>
        <w:t xml:space="preserve"> par </w:t>
      </w:r>
      <w:r w:rsidRPr="00962B6C">
        <w:rPr>
          <w:sz w:val="20"/>
          <w:szCs w:val="20"/>
        </w:rPr>
        <w:t>Marijas Sklodovskas-Kirī pr</w:t>
      </w:r>
      <w:r>
        <w:rPr>
          <w:sz w:val="20"/>
          <w:szCs w:val="20"/>
        </w:rPr>
        <w:t>ogrammu</w:t>
      </w:r>
      <w:r w:rsidRPr="00962B6C">
        <w:rPr>
          <w:sz w:val="20"/>
          <w:szCs w:val="20"/>
        </w:rPr>
        <w:t xml:space="preserve"> “Individuālās stipendijas” pieejama: </w:t>
      </w:r>
      <w:hyperlink r:id="rId3" w:history="1">
        <w:r w:rsidRPr="00962B6C">
          <w:rPr>
            <w:rStyle w:val="Hyperlink"/>
            <w:sz w:val="20"/>
            <w:szCs w:val="20"/>
          </w:rPr>
          <w:t>http://ec.europa.eu/research/participants/data/ref/h2020/wp/2018-2020/main/h2020-wp1820-msca_en.pdf</w:t>
        </w:r>
      </w:hyperlink>
    </w:p>
  </w:footnote>
  <w:footnote w:id="11">
    <w:p w14:paraId="5CB8934A" w14:textId="77777777" w:rsidR="00A52305" w:rsidRDefault="00A52305" w:rsidP="00C42F16">
      <w:pPr>
        <w:pStyle w:val="FootnoteText"/>
        <w:jc w:val="both"/>
      </w:pPr>
      <w:r>
        <w:rPr>
          <w:rStyle w:val="FootnoteReference"/>
        </w:rPr>
        <w:footnoteRef/>
      </w:r>
      <w:r>
        <w:t xml:space="preserve"> Ar līdzvērtīgu pēcdoktorantu saprotot tādu pēcdoktorantu, kas atbilst MK noteikumos Nr. 50 noteiktajām prasībām, kas spēj iesaistīties pētniecības pieteikuma īstenošanā un sasniegt pētniecības pieteikumā paredzētos rezultātu rādītājus un mērķi, saskaņā ar pētniecības pieteikumā apstiprināto darba grafiku un nepārsniedzot pētniecības pieteikuma īstenošanai paredzēto maksimālo termiņu.</w:t>
      </w:r>
    </w:p>
  </w:footnote>
  <w:footnote w:id="12">
    <w:p w14:paraId="2FF754A7" w14:textId="77777777" w:rsidR="00A52305" w:rsidRPr="00703C84" w:rsidRDefault="00A52305" w:rsidP="002155FA">
      <w:pPr>
        <w:pStyle w:val="FootnoteText"/>
        <w:tabs>
          <w:tab w:val="left" w:pos="142"/>
        </w:tabs>
        <w:jc w:val="both"/>
        <w:rPr>
          <w:rFonts w:cstheme="minorHAnsi"/>
        </w:rPr>
      </w:pPr>
      <w:r w:rsidRPr="00703C84">
        <w:rPr>
          <w:rStyle w:val="FootnoteReference"/>
          <w:rFonts w:cstheme="minorHAnsi"/>
        </w:rPr>
        <w:footnoteRef/>
      </w:r>
      <w:r w:rsidRPr="00703C84">
        <w:rPr>
          <w:rFonts w:cstheme="minorHAnsi"/>
        </w:rPr>
        <w:t xml:space="preserve">Pieejams: </w:t>
      </w:r>
      <w:hyperlink r:id="rId4" w:history="1">
        <w:r w:rsidRPr="00703C84">
          <w:rPr>
            <w:rStyle w:val="Hyperlink"/>
            <w:rFonts w:eastAsia="Times New Roman" w:cstheme="minorHAnsi"/>
            <w:lang w:eastAsia="lv-LV"/>
          </w:rPr>
          <w:t>http://ec.europa.eu/regional_policy/en/information/publications/evaluations-guidance-documents/2013/the-programming-period-2014-2020-guidance-document-on-monitoring-and-evaluation-european-regional-development-fund-and-cohesion-fund</w:t>
        </w:r>
      </w:hyperlink>
    </w:p>
  </w:footnote>
  <w:footnote w:id="13">
    <w:p w14:paraId="3E774B2F" w14:textId="77777777" w:rsidR="00A52305" w:rsidRDefault="00A52305" w:rsidP="002155FA">
      <w:pPr>
        <w:pStyle w:val="FootnoteText"/>
        <w:jc w:val="both"/>
      </w:pPr>
      <w:r w:rsidRPr="00703C84">
        <w:rPr>
          <w:rStyle w:val="FootnoteReference"/>
          <w:rFonts w:cstheme="minorHAnsi"/>
        </w:rPr>
        <w:footnoteRef/>
      </w:r>
      <w:r w:rsidRPr="00703C84">
        <w:rPr>
          <w:rFonts w:cstheme="minorHAnsi"/>
        </w:rPr>
        <w:t xml:space="preserve"> Pēc doktorantūras pētniecības programmas 1. atlases kārtas ietvaros tiek īstenots 131 pētniecības pieteikums, savukārt to īstenošanai nepieciešamā līdzfinansējuma nodrošināšanai piesaistīts privātais finansējums 279 953 </w:t>
      </w:r>
      <w:r w:rsidRPr="00703C84">
        <w:rPr>
          <w:rFonts w:cstheme="minorHAnsi"/>
          <w:i/>
        </w:rPr>
        <w:t>euro</w:t>
      </w:r>
      <w:r w:rsidRPr="00703C84">
        <w:rPr>
          <w:rFonts w:cstheme="minorHAnsi"/>
        </w:rPr>
        <w:t xml:space="preserve"> apmērā (vidēji 2 137 </w:t>
      </w:r>
      <w:r w:rsidRPr="00703C84">
        <w:rPr>
          <w:rFonts w:cstheme="minorHAnsi"/>
          <w:i/>
        </w:rPr>
        <w:t>euro</w:t>
      </w:r>
      <w:r w:rsidRPr="00703C84">
        <w:rPr>
          <w:rFonts w:cstheme="minorHAnsi"/>
        </w:rPr>
        <w:t xml:space="preserve"> uz vienu īstenoto pētniecības pieteikumu), savukārt 2. atlases kārtas ietvaros līgumu slēgšanai tiek virzīti 63 pētniecības pieteikumi. Saskaņā ar 2. atlases kārtas pētniecības pieteikumos plānoto, nepieciešamā līdzfinansējuma nodrošināšanai tiks piesaistīs privātais finansējums 189 364 </w:t>
      </w:r>
      <w:r w:rsidRPr="00703C84">
        <w:rPr>
          <w:rFonts w:cstheme="minorHAnsi"/>
          <w:i/>
        </w:rPr>
        <w:t>euro</w:t>
      </w:r>
      <w:r w:rsidRPr="00703C84">
        <w:rPr>
          <w:rFonts w:cstheme="minorHAnsi"/>
        </w:rPr>
        <w:t xml:space="preserve">, kas ir vidēji 3006 </w:t>
      </w:r>
      <w:r w:rsidRPr="00703C84">
        <w:rPr>
          <w:rFonts w:cstheme="minorHAnsi"/>
          <w:i/>
        </w:rPr>
        <w:t>euro</w:t>
      </w:r>
      <w:r w:rsidRPr="00703C84">
        <w:rPr>
          <w:rFonts w:cstheme="minorHAnsi"/>
        </w:rPr>
        <w:t xml:space="preserve"> uz vienu pētniecības pieteikumu, kas ir vidēji par 869 </w:t>
      </w:r>
      <w:r w:rsidRPr="00703C84">
        <w:rPr>
          <w:rFonts w:cstheme="minorHAnsi"/>
          <w:i/>
        </w:rPr>
        <w:t>euro</w:t>
      </w:r>
      <w:r w:rsidRPr="00703C84">
        <w:rPr>
          <w:rFonts w:cstheme="minorHAnsi"/>
        </w:rPr>
        <w:t xml:space="preserve"> vairāk kā 1. atlases kārtas ietvaros uz vienu pētniecības pieteikumu.</w:t>
      </w:r>
    </w:p>
  </w:footnote>
  <w:footnote w:id="14">
    <w:p w14:paraId="018C0C9D" w14:textId="77777777" w:rsidR="00A52305" w:rsidRPr="00FD49F7" w:rsidRDefault="00A52305" w:rsidP="008047FC">
      <w:pPr>
        <w:pStyle w:val="FootnoteText"/>
        <w:jc w:val="both"/>
      </w:pPr>
      <w:r w:rsidRPr="00FD49F7">
        <w:rPr>
          <w:rStyle w:val="FootnoteReference"/>
        </w:rPr>
        <w:footnoteRef/>
      </w:r>
      <w:r w:rsidRPr="00FD49F7">
        <w:t xml:space="preserve"> Pirmās atlases kārtas īstenoto </w:t>
      </w:r>
      <w:r w:rsidRPr="009E1523">
        <w:t>pētniecības pieteikumu ietvaros uz 31.12.2018. sagatavoti un publicēti 72 zinātniskie raksti, savukārt publicēšanai iesniegti 25 pēcdoktorantu izstrādātie zinātniskie raksti.</w:t>
      </w:r>
    </w:p>
  </w:footnote>
  <w:footnote w:id="15">
    <w:p w14:paraId="74CCA1E6" w14:textId="77777777" w:rsidR="00A52305" w:rsidRDefault="00A52305" w:rsidP="00DC32D4">
      <w:pPr>
        <w:pStyle w:val="FootnoteText"/>
        <w:jc w:val="both"/>
      </w:pPr>
      <w:r>
        <w:rPr>
          <w:rStyle w:val="FootnoteReference"/>
        </w:rPr>
        <w:footnoteRef/>
      </w:r>
      <w:r>
        <w:t xml:space="preserve"> Pēcdoktorantūras pētniecības programmas ietvaros līdz 31.12.2018. plānotais sertificēto izdevumu apmērs – 9 721 734 </w:t>
      </w:r>
      <w:r w:rsidRPr="008779A7">
        <w:rPr>
          <w:i/>
        </w:rPr>
        <w:t>euro</w:t>
      </w:r>
      <w:r>
        <w:t xml:space="preserve"> (MK noteikumu Nr. 50 6.2.2. apakšpunkts).</w:t>
      </w:r>
    </w:p>
  </w:footnote>
  <w:footnote w:id="16">
    <w:p w14:paraId="696BDD9A" w14:textId="77777777" w:rsidR="00A52305" w:rsidRDefault="00A52305" w:rsidP="00E47246">
      <w:pPr>
        <w:pStyle w:val="FootnoteText"/>
        <w:jc w:val="both"/>
      </w:pPr>
      <w:r>
        <w:rPr>
          <w:rStyle w:val="FootnoteReference"/>
        </w:rPr>
        <w:footnoteRef/>
      </w:r>
      <w:r>
        <w:t xml:space="preserve"> Pēcdoktorantūras pētniecības programmas </w:t>
      </w:r>
      <w:r w:rsidRPr="007B4811">
        <w:t xml:space="preserve">1. atlases kārtas ietvaros </w:t>
      </w:r>
      <w:r>
        <w:t xml:space="preserve">laika posmā līdz 31.10.2018. </w:t>
      </w:r>
      <w:r w:rsidRPr="007B4811">
        <w:t xml:space="preserve">noslēgti līgumi par 131 pētniecības </w:t>
      </w:r>
      <w:r>
        <w:t>pieteikuma īstenošanu, savukārt</w:t>
      </w:r>
      <w:r w:rsidRPr="007B4811">
        <w:t xml:space="preserve"> 2. atlases kārtas ietvaros līdz 31.10.2018. noslēgti 18 līgumi par pētniecības pieteikumu īstenošanu.</w:t>
      </w:r>
    </w:p>
  </w:footnote>
  <w:footnote w:id="17">
    <w:p w14:paraId="6A215BA6" w14:textId="7E6F2BAA" w:rsidR="00A52305" w:rsidRDefault="00A52305" w:rsidP="000449ED">
      <w:pPr>
        <w:pStyle w:val="FootnoteText"/>
        <w:jc w:val="both"/>
      </w:pPr>
      <w:r>
        <w:rPr>
          <w:rStyle w:val="FootnoteReference"/>
        </w:rPr>
        <w:footnoteRef/>
      </w:r>
      <w:r>
        <w:t xml:space="preserve"> VIAA projekta īstenošanā </w:t>
      </w:r>
      <w:r w:rsidRPr="00EA20BA">
        <w:t>iesaistīti 8 darbinieki (6 slodzēs), no</w:t>
      </w:r>
      <w:r>
        <w:t xml:space="preserve"> kuriem divi (pilnās slodzēs) nodrošina VIAA projekta vadību un īstenošanu, divi vecākie eksperti (pilnās slodzēs) ir atbildīgi par 1. atlases kārtas ietvaros īstenoto 73 pētniecības pieteikumu uzraudzību, četri vecākie eksperti (pusslodzē) veic 1. atlases kārtas 58 pētniecības pieteikumu uzraudzību un pusslodzē veic pārējos amata ietvaros noteiktos pienākumus, kas saistīti ar VIAA projekta īstenošanu. Tostarp visi VIAA projekta īstenošanā iesaistītie 8 darbinieki piedalās pētniecības pieteikumu vērtēšanas procesa organizēšanā, vērtēšanā un līgumu ar pētniecības pieteikumu īstenotājiem slēgšanā.</w:t>
      </w:r>
      <w:r w:rsidRPr="00AB599A">
        <w:t xml:space="preserve"> </w:t>
      </w:r>
      <w:r>
        <w:t>Atbilstoši VIAA sniegtajai informācijai, esošā cilvēkresursu kapacitāte ir pietiekama VIAA projektā noteikto uzdevumu īstenošanai pētniecības pieteikumu 1. atlases kārtas apjomā, bet nepietiekama nākamajām pētniecības pieteikumu atlases kārtām.</w:t>
      </w:r>
    </w:p>
    <w:p w14:paraId="1CC5CF11" w14:textId="77777777" w:rsidR="00A52305" w:rsidRDefault="00A52305" w:rsidP="000449ED">
      <w:pPr>
        <w:pStyle w:val="FootnoteText"/>
        <w:jc w:val="both"/>
      </w:pPr>
      <w:r>
        <w:t xml:space="preserve">Viena pētniecības pieteikuma maksājuma pieprasījuma dokumentācijas izskatīšanas laiks ir no vienas pilnas darba dienas līdz trīs darba dienām, ja nepieciešami būtiski precizējumi. </w:t>
      </w:r>
    </w:p>
  </w:footnote>
  <w:footnote w:id="18">
    <w:p w14:paraId="6BA577E5" w14:textId="77777777" w:rsidR="00A52305" w:rsidRPr="008E5B10" w:rsidRDefault="00A52305" w:rsidP="008E5B10">
      <w:pPr>
        <w:pStyle w:val="FootnoteText"/>
        <w:jc w:val="both"/>
      </w:pPr>
      <w:r w:rsidRPr="008E5B10">
        <w:rPr>
          <w:rStyle w:val="FootnoteReference"/>
        </w:rPr>
        <w:footnoteRef/>
      </w:r>
      <w:r w:rsidRPr="008E5B10">
        <w:t xml:space="preserve"> </w:t>
      </w:r>
      <w:r>
        <w:t>VIAA ir p</w:t>
      </w:r>
      <w:r w:rsidRPr="008E5B10">
        <w:t>iedalījusies un sniegusi informāciju pa</w:t>
      </w:r>
      <w:r>
        <w:t xml:space="preserve">r Pēcdoktorantūras pētniecības </w:t>
      </w:r>
      <w:r w:rsidRPr="008E5B10">
        <w:t xml:space="preserve">programmu Latvijas Investīciju un attīstības aģentūras, Ekonomikas ministrijas un AS "Attīstības finanšu institūcija </w:t>
      </w:r>
      <w:r w:rsidRPr="008E5B10">
        <w:t>Altum" organizētajās informācijas dien</w:t>
      </w:r>
      <w:r>
        <w:t xml:space="preserve">ās “Valsts atbalsta biznesu”, </w:t>
      </w:r>
      <w:r w:rsidRPr="008E5B10">
        <w:t>Vidzemes plānošanas reģiona Lēdurgā un Gulbenē rīkotaj</w:t>
      </w:r>
      <w:r>
        <w:t>os semināros reģiona uzņēmējiem.</w:t>
      </w:r>
      <w:r w:rsidRPr="008E5B10">
        <w:t xml:space="preserve"> </w:t>
      </w:r>
      <w:r>
        <w:t>S</w:t>
      </w:r>
      <w:r w:rsidRPr="008E5B10">
        <w:t>agatavojusi informācijas materiālu komersantiem par programmas nosacījumiem un nosūtījusi to elektroniskā pasta formātā nozaru asociācijām, klasteriem un kompetences centriem</w:t>
      </w:r>
      <w:r>
        <w:t xml:space="preserve">, kā arī </w:t>
      </w:r>
      <w:r w:rsidRPr="008E5B10">
        <w:t>organizējusi seminārus visiem interesentiem</w:t>
      </w:r>
      <w:r>
        <w:t>, t.i. gan pēcdoktorantiem, gan komersantiem un zinātniskajām institūcijām</w:t>
      </w:r>
      <w:r w:rsidRPr="008E5B10">
        <w:t xml:space="preserve"> par programmas ieviešanas nosacījumiem</w:t>
      </w:r>
      <w:r>
        <w:t>.</w:t>
      </w:r>
    </w:p>
  </w:footnote>
  <w:footnote w:id="19">
    <w:p w14:paraId="45F57949" w14:textId="77777777" w:rsidR="00A52305" w:rsidRPr="00CC0DC3" w:rsidRDefault="00A52305" w:rsidP="009851BE">
      <w:pPr>
        <w:spacing w:after="0" w:line="240" w:lineRule="auto"/>
        <w:jc w:val="both"/>
        <w:rPr>
          <w:color w:val="000000"/>
          <w:sz w:val="20"/>
          <w:szCs w:val="20"/>
        </w:rPr>
      </w:pPr>
      <w:r w:rsidRPr="00CC0DC3">
        <w:rPr>
          <w:rStyle w:val="FootnoteReference"/>
          <w:sz w:val="20"/>
          <w:szCs w:val="20"/>
        </w:rPr>
        <w:footnoteRef/>
      </w:r>
      <w:r w:rsidRPr="00CC0DC3">
        <w:rPr>
          <w:sz w:val="20"/>
          <w:szCs w:val="20"/>
        </w:rPr>
        <w:t xml:space="preserve"> </w:t>
      </w:r>
      <w:r w:rsidRPr="00CC0DC3">
        <w:rPr>
          <w:color w:val="000000"/>
          <w:sz w:val="20"/>
          <w:szCs w:val="20"/>
        </w:rPr>
        <w:t>Saskaņā ar EK pieejamo informāciju šajā konkursa uzsaukumā tika iesniegti 145 pieteikumi, atsevišķi neizdalot doktorantūras un pēcdoktorantūras pieteikumus. No 145 pieteikumiem 13 tika atzīti par neatbilstošiem administratīvajiem kritērijiem, 37 – tika novērtēti zem kvalitātes sliekšņa, bet 95 pieteikumi tika novērtēti virs kvalitātes sliekšņa. Finansējumu ieguva 13 pēcdoktorantūras pieteikumi, neviens no tiem nebija no ES jaunajām dalībvalstīm. Pēdējais EK finansējumu ieguvušais pieteikums saņēma 93,6 punktus.</w:t>
      </w:r>
    </w:p>
  </w:footnote>
  <w:footnote w:id="20">
    <w:p w14:paraId="753AD157" w14:textId="77777777" w:rsidR="00A52305" w:rsidRDefault="00A52305" w:rsidP="009851BE">
      <w:pPr>
        <w:pStyle w:val="FootnoteText"/>
      </w:pPr>
      <w:r>
        <w:rPr>
          <w:rStyle w:val="FootnoteReference"/>
        </w:rPr>
        <w:footnoteRef/>
      </w:r>
      <w:r>
        <w:t xml:space="preserve"> </w:t>
      </w:r>
      <w:hyperlink r:id="rId5" w:history="1">
        <w:r w:rsidRPr="00012207">
          <w:rPr>
            <w:rStyle w:val="Hyperlink"/>
          </w:rPr>
          <w:t>https://www.topuniversities.com/university-rankings/world-university-rankings/2018</w:t>
        </w:r>
      </w:hyperlink>
      <w:r>
        <w:t xml:space="preserve"> </w:t>
      </w:r>
    </w:p>
  </w:footnote>
  <w:footnote w:id="21">
    <w:p w14:paraId="6C7DDF0E" w14:textId="77777777" w:rsidR="00A52305" w:rsidRDefault="00A52305" w:rsidP="00075599">
      <w:pPr>
        <w:pStyle w:val="FootnoteText"/>
        <w:jc w:val="both"/>
      </w:pPr>
      <w:r>
        <w:rPr>
          <w:rStyle w:val="FootnoteReference"/>
        </w:rPr>
        <w:footnoteRef/>
      </w:r>
      <w:r>
        <w:t xml:space="preserve"> Lai mazinātu administratīvo slogu pētniecības pieteikumu iesniedzējiem, plānots pilnveidot POSTDOC IT sistēmu atbilstoši pētniecības pieteikumu īstenotāju norādītajiem trūkumiem, paredzot, ka turpmāk gatavojot pētniecības pieteikumu maksājumu pieprasījumus, informācija par iepriekšējo maksājumu pieprasījumu ietvaros apstiprinātajām izmaksām, to sadalījums pa finanšu avotiem, progresu, pēcdoktoranta darba līgumu u.c. informācija, automātiski tiktu iekļauta un atspoguļota maksājumu pieprasījuma veidlapā. </w:t>
      </w:r>
    </w:p>
  </w:footnote>
  <w:footnote w:id="22">
    <w:p w14:paraId="67278541" w14:textId="5D870F3E" w:rsidR="00A52305" w:rsidRDefault="00A52305">
      <w:pPr>
        <w:pStyle w:val="FootnoteText"/>
      </w:pPr>
      <w:r>
        <w:rPr>
          <w:rStyle w:val="FootnoteReference"/>
        </w:rPr>
        <w:footnoteRef/>
      </w:r>
      <w:r>
        <w:t xml:space="preserve"> Pētniecības pieteikumu pirmās un otrās atlases kārtas ietvaros no pētniecības pieteikumu iesniegšanas brīža līdz pētniecības pieteikuma apstiprināšanai vidēji paiet 7 mēneši.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713489"/>
      <w:docPartObj>
        <w:docPartGallery w:val="Page Numbers (Top of Page)"/>
        <w:docPartUnique/>
      </w:docPartObj>
    </w:sdtPr>
    <w:sdtEndPr>
      <w:rPr>
        <w:noProof/>
        <w:sz w:val="16"/>
        <w:szCs w:val="16"/>
      </w:rPr>
    </w:sdtEndPr>
    <w:sdtContent>
      <w:p w14:paraId="6F3F7522" w14:textId="77777777" w:rsidR="00A52305" w:rsidRPr="00B85274" w:rsidRDefault="00A52305">
        <w:pPr>
          <w:pStyle w:val="Header"/>
          <w:jc w:val="center"/>
          <w:rPr>
            <w:sz w:val="16"/>
            <w:szCs w:val="16"/>
          </w:rPr>
        </w:pPr>
        <w:r w:rsidRPr="00B85274">
          <w:rPr>
            <w:sz w:val="16"/>
            <w:szCs w:val="16"/>
          </w:rPr>
          <w:fldChar w:fldCharType="begin"/>
        </w:r>
        <w:r w:rsidRPr="00B85274">
          <w:rPr>
            <w:sz w:val="16"/>
            <w:szCs w:val="16"/>
          </w:rPr>
          <w:instrText xml:space="preserve"> PAGE   \* MERGEFORMAT </w:instrText>
        </w:r>
        <w:r w:rsidRPr="00B85274">
          <w:rPr>
            <w:sz w:val="16"/>
            <w:szCs w:val="16"/>
          </w:rPr>
          <w:fldChar w:fldCharType="separate"/>
        </w:r>
        <w:r w:rsidR="00F21742">
          <w:rPr>
            <w:noProof/>
            <w:sz w:val="16"/>
            <w:szCs w:val="16"/>
          </w:rPr>
          <w:t>27</w:t>
        </w:r>
        <w:r w:rsidRPr="00B85274">
          <w:rPr>
            <w:noProof/>
            <w:sz w:val="16"/>
            <w:szCs w:val="16"/>
          </w:rPr>
          <w:fldChar w:fldCharType="end"/>
        </w:r>
      </w:p>
    </w:sdtContent>
  </w:sdt>
  <w:p w14:paraId="707D86BF" w14:textId="77777777" w:rsidR="00A52305" w:rsidRDefault="00A52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D12"/>
    <w:multiLevelType w:val="hybridMultilevel"/>
    <w:tmpl w:val="E1CAB350"/>
    <w:lvl w:ilvl="0" w:tplc="C64A9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41089"/>
    <w:multiLevelType w:val="hybridMultilevel"/>
    <w:tmpl w:val="0C9ACC18"/>
    <w:lvl w:ilvl="0" w:tplc="A030014E">
      <w:start w:val="2016"/>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44576"/>
    <w:multiLevelType w:val="hybridMultilevel"/>
    <w:tmpl w:val="11A2CD5A"/>
    <w:lvl w:ilvl="0" w:tplc="67663C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F2E36"/>
    <w:multiLevelType w:val="hybridMultilevel"/>
    <w:tmpl w:val="23E8E3A6"/>
    <w:lvl w:ilvl="0" w:tplc="0B2266AA">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41AF9"/>
    <w:multiLevelType w:val="hybridMultilevel"/>
    <w:tmpl w:val="8306F44C"/>
    <w:lvl w:ilvl="0" w:tplc="657CBAF2">
      <w:start w:val="1"/>
      <w:numFmt w:val="bullet"/>
      <w:pStyle w:val="BulletF"/>
      <w:lvlText w:val=""/>
      <w:lvlJc w:val="left"/>
      <w:pPr>
        <w:ind w:left="1797" w:hanging="360"/>
      </w:pPr>
      <w:rPr>
        <w:rFonts w:ascii="Symbol" w:hAnsi="Symbol" w:hint="default"/>
        <w:color w:val="C45911" w:themeColor="accent2" w:themeShade="BF"/>
        <w:sz w:val="24"/>
      </w:rPr>
    </w:lvl>
    <w:lvl w:ilvl="1" w:tplc="7B9EFFF6" w:tentative="1">
      <w:start w:val="1"/>
      <w:numFmt w:val="bullet"/>
      <w:lvlText w:val="o"/>
      <w:lvlJc w:val="left"/>
      <w:pPr>
        <w:ind w:left="2517" w:hanging="360"/>
      </w:pPr>
      <w:rPr>
        <w:rFonts w:ascii="Courier New" w:hAnsi="Courier New" w:cs="Courier New" w:hint="default"/>
      </w:rPr>
    </w:lvl>
    <w:lvl w:ilvl="2" w:tplc="1AC20C00" w:tentative="1">
      <w:start w:val="1"/>
      <w:numFmt w:val="bullet"/>
      <w:lvlText w:val=""/>
      <w:lvlJc w:val="left"/>
      <w:pPr>
        <w:ind w:left="3237" w:hanging="360"/>
      </w:pPr>
      <w:rPr>
        <w:rFonts w:ascii="Wingdings" w:hAnsi="Wingdings" w:hint="default"/>
      </w:rPr>
    </w:lvl>
    <w:lvl w:ilvl="3" w:tplc="D96A355E" w:tentative="1">
      <w:start w:val="1"/>
      <w:numFmt w:val="bullet"/>
      <w:lvlText w:val=""/>
      <w:lvlJc w:val="left"/>
      <w:pPr>
        <w:ind w:left="3957" w:hanging="360"/>
      </w:pPr>
      <w:rPr>
        <w:rFonts w:ascii="Symbol" w:hAnsi="Symbol" w:hint="default"/>
      </w:rPr>
    </w:lvl>
    <w:lvl w:ilvl="4" w:tplc="D910EEC6" w:tentative="1">
      <w:start w:val="1"/>
      <w:numFmt w:val="bullet"/>
      <w:lvlText w:val="o"/>
      <w:lvlJc w:val="left"/>
      <w:pPr>
        <w:ind w:left="4677" w:hanging="360"/>
      </w:pPr>
      <w:rPr>
        <w:rFonts w:ascii="Courier New" w:hAnsi="Courier New" w:cs="Courier New" w:hint="default"/>
      </w:rPr>
    </w:lvl>
    <w:lvl w:ilvl="5" w:tplc="B5DAE2FC" w:tentative="1">
      <w:start w:val="1"/>
      <w:numFmt w:val="bullet"/>
      <w:lvlText w:val=""/>
      <w:lvlJc w:val="left"/>
      <w:pPr>
        <w:ind w:left="5397" w:hanging="360"/>
      </w:pPr>
      <w:rPr>
        <w:rFonts w:ascii="Wingdings" w:hAnsi="Wingdings" w:hint="default"/>
      </w:rPr>
    </w:lvl>
    <w:lvl w:ilvl="6" w:tplc="948AF2CE" w:tentative="1">
      <w:start w:val="1"/>
      <w:numFmt w:val="bullet"/>
      <w:lvlText w:val=""/>
      <w:lvlJc w:val="left"/>
      <w:pPr>
        <w:ind w:left="6117" w:hanging="360"/>
      </w:pPr>
      <w:rPr>
        <w:rFonts w:ascii="Symbol" w:hAnsi="Symbol" w:hint="default"/>
      </w:rPr>
    </w:lvl>
    <w:lvl w:ilvl="7" w:tplc="78EC8B38" w:tentative="1">
      <w:start w:val="1"/>
      <w:numFmt w:val="bullet"/>
      <w:lvlText w:val="o"/>
      <w:lvlJc w:val="left"/>
      <w:pPr>
        <w:ind w:left="6837" w:hanging="360"/>
      </w:pPr>
      <w:rPr>
        <w:rFonts w:ascii="Courier New" w:hAnsi="Courier New" w:cs="Courier New" w:hint="default"/>
      </w:rPr>
    </w:lvl>
    <w:lvl w:ilvl="8" w:tplc="84FC3BA8" w:tentative="1">
      <w:start w:val="1"/>
      <w:numFmt w:val="bullet"/>
      <w:lvlText w:val=""/>
      <w:lvlJc w:val="left"/>
      <w:pPr>
        <w:ind w:left="7557" w:hanging="360"/>
      </w:pPr>
      <w:rPr>
        <w:rFonts w:ascii="Wingdings" w:hAnsi="Wingdings" w:hint="default"/>
      </w:rPr>
    </w:lvl>
  </w:abstractNum>
  <w:abstractNum w:abstractNumId="5" w15:restartNumberingAfterBreak="0">
    <w:nsid w:val="28087FF6"/>
    <w:multiLevelType w:val="hybridMultilevel"/>
    <w:tmpl w:val="9FC6E81E"/>
    <w:lvl w:ilvl="0" w:tplc="04090005">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 w15:restartNumberingAfterBreak="0">
    <w:nsid w:val="37E33A51"/>
    <w:multiLevelType w:val="multilevel"/>
    <w:tmpl w:val="968AB8CC"/>
    <w:lvl w:ilvl="0">
      <w:start w:val="1"/>
      <w:numFmt w:val="decimal"/>
      <w:lvlText w:val="%1."/>
      <w:lvlJc w:val="left"/>
      <w:pPr>
        <w:ind w:left="792" w:hanging="360"/>
      </w:pPr>
      <w:rPr>
        <w:rFonts w:hint="default"/>
      </w:rPr>
    </w:lvl>
    <w:lvl w:ilvl="1">
      <w:start w:val="1"/>
      <w:numFmt w:val="decimal"/>
      <w:isLgl/>
      <w:lvlText w:val="%1.%2."/>
      <w:lvlJc w:val="left"/>
      <w:pPr>
        <w:ind w:left="1219" w:hanging="510"/>
      </w:pPr>
      <w:rPr>
        <w:rFonts w:hint="default"/>
        <w:b/>
        <w:color w:val="323E4F" w:themeColor="text2" w:themeShade="BF"/>
        <w:sz w:val="28"/>
        <w:szCs w:val="28"/>
      </w:rPr>
    </w:lvl>
    <w:lvl w:ilvl="2">
      <w:start w:val="1"/>
      <w:numFmt w:val="decimal"/>
      <w:isLgl/>
      <w:lvlText w:val="%1.%2.%3."/>
      <w:lvlJc w:val="left"/>
      <w:pPr>
        <w:ind w:left="1706" w:hanging="720"/>
      </w:pPr>
      <w:rPr>
        <w:rFonts w:hint="default"/>
      </w:rPr>
    </w:lvl>
    <w:lvl w:ilvl="3">
      <w:start w:val="1"/>
      <w:numFmt w:val="decimal"/>
      <w:isLgl/>
      <w:lvlText w:val="%1.%2.%3.%4."/>
      <w:lvlJc w:val="left"/>
      <w:pPr>
        <w:ind w:left="1983" w:hanging="720"/>
      </w:pPr>
      <w:rPr>
        <w:rFonts w:hint="default"/>
      </w:rPr>
    </w:lvl>
    <w:lvl w:ilvl="4">
      <w:start w:val="1"/>
      <w:numFmt w:val="decimal"/>
      <w:isLgl/>
      <w:lvlText w:val="%1.%2.%3.%4.%5."/>
      <w:lvlJc w:val="left"/>
      <w:pPr>
        <w:ind w:left="2620" w:hanging="1080"/>
      </w:pPr>
      <w:rPr>
        <w:rFonts w:hint="default"/>
      </w:rPr>
    </w:lvl>
    <w:lvl w:ilvl="5">
      <w:start w:val="1"/>
      <w:numFmt w:val="decimal"/>
      <w:isLgl/>
      <w:lvlText w:val="%1.%2.%3.%4.%5.%6."/>
      <w:lvlJc w:val="left"/>
      <w:pPr>
        <w:ind w:left="2897"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11" w:hanging="1440"/>
      </w:pPr>
      <w:rPr>
        <w:rFonts w:hint="default"/>
      </w:rPr>
    </w:lvl>
    <w:lvl w:ilvl="8">
      <w:start w:val="1"/>
      <w:numFmt w:val="decimal"/>
      <w:isLgl/>
      <w:lvlText w:val="%1.%2.%3.%4.%5.%6.%7.%8.%9."/>
      <w:lvlJc w:val="left"/>
      <w:pPr>
        <w:ind w:left="4448" w:hanging="1800"/>
      </w:pPr>
      <w:rPr>
        <w:rFonts w:hint="default"/>
      </w:rPr>
    </w:lvl>
  </w:abstractNum>
  <w:abstractNum w:abstractNumId="7" w15:restartNumberingAfterBreak="0">
    <w:nsid w:val="40CD2D43"/>
    <w:multiLevelType w:val="hybridMultilevel"/>
    <w:tmpl w:val="38B61BAE"/>
    <w:lvl w:ilvl="0" w:tplc="A030014E">
      <w:start w:val="2016"/>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159A4"/>
    <w:multiLevelType w:val="hybridMultilevel"/>
    <w:tmpl w:val="61C409B2"/>
    <w:lvl w:ilvl="0" w:tplc="67663C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D46FB"/>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1323F2F"/>
    <w:multiLevelType w:val="hybridMultilevel"/>
    <w:tmpl w:val="D5CCAF4A"/>
    <w:lvl w:ilvl="0" w:tplc="D7C06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61584"/>
    <w:multiLevelType w:val="hybridMultilevel"/>
    <w:tmpl w:val="33B2A0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1B2AEC"/>
    <w:multiLevelType w:val="hybridMultilevel"/>
    <w:tmpl w:val="D772DE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3"/>
  </w:num>
  <w:num w:numId="6">
    <w:abstractNumId w:val="1"/>
  </w:num>
  <w:num w:numId="7">
    <w:abstractNumId w:val="7"/>
  </w:num>
  <w:num w:numId="8">
    <w:abstractNumId w:val="8"/>
  </w:num>
  <w:num w:numId="9">
    <w:abstractNumId w:val="11"/>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9"/>
  </w:num>
  <w:num w:numId="15">
    <w:abstractNumId w:val="12"/>
  </w:num>
  <w:num w:numId="16">
    <w:abstractNumId w:val="2"/>
  </w:num>
  <w:num w:numId="17">
    <w:abstractNumId w:val="10"/>
  </w:num>
  <w:num w:numId="18">
    <w:abstractNumId w:val="0"/>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DE"/>
    <w:rsid w:val="000001D0"/>
    <w:rsid w:val="000004B9"/>
    <w:rsid w:val="00002CD2"/>
    <w:rsid w:val="00004D12"/>
    <w:rsid w:val="00006BFA"/>
    <w:rsid w:val="00006C1C"/>
    <w:rsid w:val="00006DC8"/>
    <w:rsid w:val="000078B1"/>
    <w:rsid w:val="00013709"/>
    <w:rsid w:val="00013867"/>
    <w:rsid w:val="0001497B"/>
    <w:rsid w:val="00015EBD"/>
    <w:rsid w:val="000162C8"/>
    <w:rsid w:val="00017E86"/>
    <w:rsid w:val="00020766"/>
    <w:rsid w:val="000218D3"/>
    <w:rsid w:val="00022A78"/>
    <w:rsid w:val="00024B6D"/>
    <w:rsid w:val="000253EE"/>
    <w:rsid w:val="00026930"/>
    <w:rsid w:val="00026BF5"/>
    <w:rsid w:val="00027786"/>
    <w:rsid w:val="00030222"/>
    <w:rsid w:val="00030305"/>
    <w:rsid w:val="000306A1"/>
    <w:rsid w:val="00030CCD"/>
    <w:rsid w:val="000316F9"/>
    <w:rsid w:val="00032B3A"/>
    <w:rsid w:val="00034BB3"/>
    <w:rsid w:val="0003644B"/>
    <w:rsid w:val="0003661D"/>
    <w:rsid w:val="00037466"/>
    <w:rsid w:val="000375B3"/>
    <w:rsid w:val="00041207"/>
    <w:rsid w:val="0004301C"/>
    <w:rsid w:val="000441C1"/>
    <w:rsid w:val="000449ED"/>
    <w:rsid w:val="00044D3A"/>
    <w:rsid w:val="000456B6"/>
    <w:rsid w:val="00045E0B"/>
    <w:rsid w:val="000462A5"/>
    <w:rsid w:val="0005093D"/>
    <w:rsid w:val="000545E5"/>
    <w:rsid w:val="00054B87"/>
    <w:rsid w:val="000567ED"/>
    <w:rsid w:val="00056D0A"/>
    <w:rsid w:val="0005713A"/>
    <w:rsid w:val="00060148"/>
    <w:rsid w:val="00060FC8"/>
    <w:rsid w:val="0006122A"/>
    <w:rsid w:val="00061DE9"/>
    <w:rsid w:val="00062052"/>
    <w:rsid w:val="00064B8B"/>
    <w:rsid w:val="0006681A"/>
    <w:rsid w:val="00067FED"/>
    <w:rsid w:val="000718BA"/>
    <w:rsid w:val="00072995"/>
    <w:rsid w:val="00073795"/>
    <w:rsid w:val="00073F09"/>
    <w:rsid w:val="00075599"/>
    <w:rsid w:val="00076611"/>
    <w:rsid w:val="0007662F"/>
    <w:rsid w:val="0007674D"/>
    <w:rsid w:val="00077D03"/>
    <w:rsid w:val="0008015B"/>
    <w:rsid w:val="00080391"/>
    <w:rsid w:val="00080652"/>
    <w:rsid w:val="00081932"/>
    <w:rsid w:val="00082166"/>
    <w:rsid w:val="0008217C"/>
    <w:rsid w:val="000828A3"/>
    <w:rsid w:val="00084755"/>
    <w:rsid w:val="0008497E"/>
    <w:rsid w:val="000852C5"/>
    <w:rsid w:val="000868F9"/>
    <w:rsid w:val="000871D8"/>
    <w:rsid w:val="000879EB"/>
    <w:rsid w:val="00090BCD"/>
    <w:rsid w:val="0009288F"/>
    <w:rsid w:val="00093B0C"/>
    <w:rsid w:val="00094A32"/>
    <w:rsid w:val="00095ABA"/>
    <w:rsid w:val="0009648F"/>
    <w:rsid w:val="00096B4E"/>
    <w:rsid w:val="000970CD"/>
    <w:rsid w:val="000A0C0B"/>
    <w:rsid w:val="000A2160"/>
    <w:rsid w:val="000A226A"/>
    <w:rsid w:val="000A27CE"/>
    <w:rsid w:val="000A37EB"/>
    <w:rsid w:val="000A3AC8"/>
    <w:rsid w:val="000A45BF"/>
    <w:rsid w:val="000A5443"/>
    <w:rsid w:val="000B0CFF"/>
    <w:rsid w:val="000B1E25"/>
    <w:rsid w:val="000B2756"/>
    <w:rsid w:val="000B41A6"/>
    <w:rsid w:val="000B46F8"/>
    <w:rsid w:val="000B4C37"/>
    <w:rsid w:val="000B4DDA"/>
    <w:rsid w:val="000B7D7E"/>
    <w:rsid w:val="000C1144"/>
    <w:rsid w:val="000C1E85"/>
    <w:rsid w:val="000C2568"/>
    <w:rsid w:val="000C316F"/>
    <w:rsid w:val="000C4716"/>
    <w:rsid w:val="000C565B"/>
    <w:rsid w:val="000C6B52"/>
    <w:rsid w:val="000C6CCD"/>
    <w:rsid w:val="000C76F7"/>
    <w:rsid w:val="000D01A4"/>
    <w:rsid w:val="000D01AC"/>
    <w:rsid w:val="000D1C24"/>
    <w:rsid w:val="000D228E"/>
    <w:rsid w:val="000D259D"/>
    <w:rsid w:val="000D2688"/>
    <w:rsid w:val="000D3A58"/>
    <w:rsid w:val="000D3AD8"/>
    <w:rsid w:val="000D4BC4"/>
    <w:rsid w:val="000D6001"/>
    <w:rsid w:val="000D6F9A"/>
    <w:rsid w:val="000D7A28"/>
    <w:rsid w:val="000E04E9"/>
    <w:rsid w:val="000E2C4D"/>
    <w:rsid w:val="000E4EA0"/>
    <w:rsid w:val="000E571F"/>
    <w:rsid w:val="000E6197"/>
    <w:rsid w:val="000E7D95"/>
    <w:rsid w:val="000F0CD6"/>
    <w:rsid w:val="000F0ED4"/>
    <w:rsid w:val="000F2282"/>
    <w:rsid w:val="000F41B0"/>
    <w:rsid w:val="000F5A08"/>
    <w:rsid w:val="000F6B84"/>
    <w:rsid w:val="001044C8"/>
    <w:rsid w:val="00104988"/>
    <w:rsid w:val="0010516D"/>
    <w:rsid w:val="00105C31"/>
    <w:rsid w:val="0010634E"/>
    <w:rsid w:val="00106CBB"/>
    <w:rsid w:val="00107DFD"/>
    <w:rsid w:val="00110D69"/>
    <w:rsid w:val="00111B1C"/>
    <w:rsid w:val="00111D78"/>
    <w:rsid w:val="001120AC"/>
    <w:rsid w:val="00113C39"/>
    <w:rsid w:val="00113DCB"/>
    <w:rsid w:val="00113EBE"/>
    <w:rsid w:val="00115917"/>
    <w:rsid w:val="00115F18"/>
    <w:rsid w:val="00116243"/>
    <w:rsid w:val="00116DBA"/>
    <w:rsid w:val="0012113F"/>
    <w:rsid w:val="00122598"/>
    <w:rsid w:val="00122C4F"/>
    <w:rsid w:val="001234E1"/>
    <w:rsid w:val="00124494"/>
    <w:rsid w:val="00124DB8"/>
    <w:rsid w:val="00125FF4"/>
    <w:rsid w:val="00126368"/>
    <w:rsid w:val="00126842"/>
    <w:rsid w:val="00126D0D"/>
    <w:rsid w:val="00127F4C"/>
    <w:rsid w:val="00130ED7"/>
    <w:rsid w:val="001317ED"/>
    <w:rsid w:val="001325D6"/>
    <w:rsid w:val="00135246"/>
    <w:rsid w:val="00136184"/>
    <w:rsid w:val="001363E3"/>
    <w:rsid w:val="0013760C"/>
    <w:rsid w:val="001377D1"/>
    <w:rsid w:val="00141962"/>
    <w:rsid w:val="001430B6"/>
    <w:rsid w:val="00145653"/>
    <w:rsid w:val="00145958"/>
    <w:rsid w:val="00145D3F"/>
    <w:rsid w:val="00146470"/>
    <w:rsid w:val="00151CDD"/>
    <w:rsid w:val="00151D17"/>
    <w:rsid w:val="0015316E"/>
    <w:rsid w:val="00153D7D"/>
    <w:rsid w:val="00153D92"/>
    <w:rsid w:val="001547F5"/>
    <w:rsid w:val="00156051"/>
    <w:rsid w:val="001561FB"/>
    <w:rsid w:val="00157AAB"/>
    <w:rsid w:val="00161807"/>
    <w:rsid w:val="00162849"/>
    <w:rsid w:val="00163377"/>
    <w:rsid w:val="0016621E"/>
    <w:rsid w:val="001674B5"/>
    <w:rsid w:val="00167DC4"/>
    <w:rsid w:val="001712B3"/>
    <w:rsid w:val="0017155A"/>
    <w:rsid w:val="0017225A"/>
    <w:rsid w:val="00172281"/>
    <w:rsid w:val="0017422B"/>
    <w:rsid w:val="00174491"/>
    <w:rsid w:val="0017449E"/>
    <w:rsid w:val="00174E56"/>
    <w:rsid w:val="001778BE"/>
    <w:rsid w:val="001802A6"/>
    <w:rsid w:val="001813C9"/>
    <w:rsid w:val="0018260F"/>
    <w:rsid w:val="00182FF0"/>
    <w:rsid w:val="001841A5"/>
    <w:rsid w:val="00184848"/>
    <w:rsid w:val="00185C81"/>
    <w:rsid w:val="00187B7B"/>
    <w:rsid w:val="0019079E"/>
    <w:rsid w:val="001932BE"/>
    <w:rsid w:val="0019416E"/>
    <w:rsid w:val="00194266"/>
    <w:rsid w:val="00195725"/>
    <w:rsid w:val="00196488"/>
    <w:rsid w:val="001A29A8"/>
    <w:rsid w:val="001A465D"/>
    <w:rsid w:val="001A4A61"/>
    <w:rsid w:val="001A4D1C"/>
    <w:rsid w:val="001A567F"/>
    <w:rsid w:val="001A5D11"/>
    <w:rsid w:val="001A6494"/>
    <w:rsid w:val="001B2625"/>
    <w:rsid w:val="001B36B1"/>
    <w:rsid w:val="001B428D"/>
    <w:rsid w:val="001B5388"/>
    <w:rsid w:val="001B68CE"/>
    <w:rsid w:val="001B6E43"/>
    <w:rsid w:val="001C1ED9"/>
    <w:rsid w:val="001C41B9"/>
    <w:rsid w:val="001C5ECB"/>
    <w:rsid w:val="001C6468"/>
    <w:rsid w:val="001C7066"/>
    <w:rsid w:val="001C7AAC"/>
    <w:rsid w:val="001C7DFF"/>
    <w:rsid w:val="001D0561"/>
    <w:rsid w:val="001D09C5"/>
    <w:rsid w:val="001D0AC6"/>
    <w:rsid w:val="001D0C53"/>
    <w:rsid w:val="001D171B"/>
    <w:rsid w:val="001D1E48"/>
    <w:rsid w:val="001D3961"/>
    <w:rsid w:val="001D561B"/>
    <w:rsid w:val="001E0E19"/>
    <w:rsid w:val="001E2069"/>
    <w:rsid w:val="001E34EB"/>
    <w:rsid w:val="001E35BA"/>
    <w:rsid w:val="001E76AC"/>
    <w:rsid w:val="001F1161"/>
    <w:rsid w:val="001F15FB"/>
    <w:rsid w:val="001F4FFC"/>
    <w:rsid w:val="001F6871"/>
    <w:rsid w:val="001F7C26"/>
    <w:rsid w:val="002017D2"/>
    <w:rsid w:val="00201946"/>
    <w:rsid w:val="00202E86"/>
    <w:rsid w:val="0020425D"/>
    <w:rsid w:val="002043C5"/>
    <w:rsid w:val="002061D1"/>
    <w:rsid w:val="0021170B"/>
    <w:rsid w:val="002155FA"/>
    <w:rsid w:val="002160AB"/>
    <w:rsid w:val="002203B2"/>
    <w:rsid w:val="00223142"/>
    <w:rsid w:val="00224A9E"/>
    <w:rsid w:val="0022511F"/>
    <w:rsid w:val="00226B1F"/>
    <w:rsid w:val="00227FEC"/>
    <w:rsid w:val="00230D27"/>
    <w:rsid w:val="00230E8B"/>
    <w:rsid w:val="002323D7"/>
    <w:rsid w:val="002359A0"/>
    <w:rsid w:val="002359CE"/>
    <w:rsid w:val="0023782D"/>
    <w:rsid w:val="00240CFF"/>
    <w:rsid w:val="00241B57"/>
    <w:rsid w:val="0024408B"/>
    <w:rsid w:val="002445AD"/>
    <w:rsid w:val="00244A95"/>
    <w:rsid w:val="0024589B"/>
    <w:rsid w:val="00246406"/>
    <w:rsid w:val="00246D22"/>
    <w:rsid w:val="002507F3"/>
    <w:rsid w:val="00251153"/>
    <w:rsid w:val="002515FB"/>
    <w:rsid w:val="00251B97"/>
    <w:rsid w:val="00251EDB"/>
    <w:rsid w:val="002522FC"/>
    <w:rsid w:val="0025424F"/>
    <w:rsid w:val="00254CF5"/>
    <w:rsid w:val="00254E59"/>
    <w:rsid w:val="00255207"/>
    <w:rsid w:val="002557BA"/>
    <w:rsid w:val="002570ED"/>
    <w:rsid w:val="00257332"/>
    <w:rsid w:val="0025736E"/>
    <w:rsid w:val="00257559"/>
    <w:rsid w:val="0025776B"/>
    <w:rsid w:val="00260B29"/>
    <w:rsid w:val="00262859"/>
    <w:rsid w:val="00262C78"/>
    <w:rsid w:val="00263890"/>
    <w:rsid w:val="00263AA9"/>
    <w:rsid w:val="00265D48"/>
    <w:rsid w:val="0026710B"/>
    <w:rsid w:val="00270EF6"/>
    <w:rsid w:val="00271CFE"/>
    <w:rsid w:val="00273EAE"/>
    <w:rsid w:val="00274EC1"/>
    <w:rsid w:val="002775B0"/>
    <w:rsid w:val="002777E7"/>
    <w:rsid w:val="002778CD"/>
    <w:rsid w:val="00280DD3"/>
    <w:rsid w:val="00282AE3"/>
    <w:rsid w:val="002836BA"/>
    <w:rsid w:val="00283903"/>
    <w:rsid w:val="0028437C"/>
    <w:rsid w:val="00284673"/>
    <w:rsid w:val="002857E0"/>
    <w:rsid w:val="0028681E"/>
    <w:rsid w:val="00286D48"/>
    <w:rsid w:val="0028702A"/>
    <w:rsid w:val="002873B7"/>
    <w:rsid w:val="002936F4"/>
    <w:rsid w:val="00294C23"/>
    <w:rsid w:val="00295DBB"/>
    <w:rsid w:val="00295E18"/>
    <w:rsid w:val="00297507"/>
    <w:rsid w:val="002977C1"/>
    <w:rsid w:val="002978BD"/>
    <w:rsid w:val="002A14B5"/>
    <w:rsid w:val="002A164B"/>
    <w:rsid w:val="002A2641"/>
    <w:rsid w:val="002A3869"/>
    <w:rsid w:val="002A3A31"/>
    <w:rsid w:val="002A62A6"/>
    <w:rsid w:val="002A63F1"/>
    <w:rsid w:val="002A751E"/>
    <w:rsid w:val="002A791E"/>
    <w:rsid w:val="002A79ED"/>
    <w:rsid w:val="002B00C3"/>
    <w:rsid w:val="002B0F1B"/>
    <w:rsid w:val="002B0F1D"/>
    <w:rsid w:val="002B17CB"/>
    <w:rsid w:val="002B4AD4"/>
    <w:rsid w:val="002B5B0F"/>
    <w:rsid w:val="002B7F37"/>
    <w:rsid w:val="002C1130"/>
    <w:rsid w:val="002C2612"/>
    <w:rsid w:val="002C2D7E"/>
    <w:rsid w:val="002C5F40"/>
    <w:rsid w:val="002C6135"/>
    <w:rsid w:val="002C7152"/>
    <w:rsid w:val="002C7246"/>
    <w:rsid w:val="002D0A70"/>
    <w:rsid w:val="002D1994"/>
    <w:rsid w:val="002D306C"/>
    <w:rsid w:val="002D4BBF"/>
    <w:rsid w:val="002D6E17"/>
    <w:rsid w:val="002E09E8"/>
    <w:rsid w:val="002E110E"/>
    <w:rsid w:val="002E14C2"/>
    <w:rsid w:val="002E1DF8"/>
    <w:rsid w:val="002E2ABA"/>
    <w:rsid w:val="002E3634"/>
    <w:rsid w:val="002E6E1E"/>
    <w:rsid w:val="002E7486"/>
    <w:rsid w:val="002E7658"/>
    <w:rsid w:val="002F27C0"/>
    <w:rsid w:val="002F32A9"/>
    <w:rsid w:val="002F4283"/>
    <w:rsid w:val="002F7742"/>
    <w:rsid w:val="002F786E"/>
    <w:rsid w:val="00301413"/>
    <w:rsid w:val="00303C36"/>
    <w:rsid w:val="00303E99"/>
    <w:rsid w:val="003059ED"/>
    <w:rsid w:val="003060A1"/>
    <w:rsid w:val="003060AB"/>
    <w:rsid w:val="00307B1B"/>
    <w:rsid w:val="003110A0"/>
    <w:rsid w:val="00316909"/>
    <w:rsid w:val="00317AEE"/>
    <w:rsid w:val="003208A5"/>
    <w:rsid w:val="0032214D"/>
    <w:rsid w:val="003227B2"/>
    <w:rsid w:val="0033083B"/>
    <w:rsid w:val="003325E3"/>
    <w:rsid w:val="003346BD"/>
    <w:rsid w:val="00336D75"/>
    <w:rsid w:val="003371F2"/>
    <w:rsid w:val="00337A66"/>
    <w:rsid w:val="00337D92"/>
    <w:rsid w:val="00340C8A"/>
    <w:rsid w:val="00344022"/>
    <w:rsid w:val="003447B3"/>
    <w:rsid w:val="003452A1"/>
    <w:rsid w:val="00345C7F"/>
    <w:rsid w:val="0035083E"/>
    <w:rsid w:val="00351A68"/>
    <w:rsid w:val="0035210A"/>
    <w:rsid w:val="00353FD0"/>
    <w:rsid w:val="00354EC8"/>
    <w:rsid w:val="003556DA"/>
    <w:rsid w:val="003572D1"/>
    <w:rsid w:val="003576F8"/>
    <w:rsid w:val="00360491"/>
    <w:rsid w:val="00360DF9"/>
    <w:rsid w:val="0036149D"/>
    <w:rsid w:val="003653F2"/>
    <w:rsid w:val="0036600F"/>
    <w:rsid w:val="00366AB8"/>
    <w:rsid w:val="003672D5"/>
    <w:rsid w:val="00367DC1"/>
    <w:rsid w:val="00370E32"/>
    <w:rsid w:val="00375E12"/>
    <w:rsid w:val="0037650C"/>
    <w:rsid w:val="003768C4"/>
    <w:rsid w:val="00376B3D"/>
    <w:rsid w:val="00376BF0"/>
    <w:rsid w:val="00376E84"/>
    <w:rsid w:val="003818E5"/>
    <w:rsid w:val="00381DF5"/>
    <w:rsid w:val="003831D9"/>
    <w:rsid w:val="003845C8"/>
    <w:rsid w:val="003848ED"/>
    <w:rsid w:val="00385447"/>
    <w:rsid w:val="003900CA"/>
    <w:rsid w:val="00391167"/>
    <w:rsid w:val="0039197E"/>
    <w:rsid w:val="00392E06"/>
    <w:rsid w:val="003938D4"/>
    <w:rsid w:val="00394BCE"/>
    <w:rsid w:val="00396F7B"/>
    <w:rsid w:val="0039784E"/>
    <w:rsid w:val="003A0CAD"/>
    <w:rsid w:val="003A0D72"/>
    <w:rsid w:val="003A16B0"/>
    <w:rsid w:val="003A1E36"/>
    <w:rsid w:val="003A2290"/>
    <w:rsid w:val="003A4477"/>
    <w:rsid w:val="003A4560"/>
    <w:rsid w:val="003A4880"/>
    <w:rsid w:val="003A518B"/>
    <w:rsid w:val="003A5587"/>
    <w:rsid w:val="003A588F"/>
    <w:rsid w:val="003A7104"/>
    <w:rsid w:val="003B0B6B"/>
    <w:rsid w:val="003B0D6F"/>
    <w:rsid w:val="003B12FB"/>
    <w:rsid w:val="003B1755"/>
    <w:rsid w:val="003B6865"/>
    <w:rsid w:val="003B7648"/>
    <w:rsid w:val="003C07BF"/>
    <w:rsid w:val="003C23D7"/>
    <w:rsid w:val="003C249D"/>
    <w:rsid w:val="003C261C"/>
    <w:rsid w:val="003C32BB"/>
    <w:rsid w:val="003C3FCA"/>
    <w:rsid w:val="003C4375"/>
    <w:rsid w:val="003C4FA4"/>
    <w:rsid w:val="003C59BC"/>
    <w:rsid w:val="003C7D1E"/>
    <w:rsid w:val="003D0B83"/>
    <w:rsid w:val="003D1215"/>
    <w:rsid w:val="003D21A1"/>
    <w:rsid w:val="003D2840"/>
    <w:rsid w:val="003D3D9C"/>
    <w:rsid w:val="003D527F"/>
    <w:rsid w:val="003D5732"/>
    <w:rsid w:val="003D783B"/>
    <w:rsid w:val="003E1D13"/>
    <w:rsid w:val="003E271F"/>
    <w:rsid w:val="003E32FE"/>
    <w:rsid w:val="003E3351"/>
    <w:rsid w:val="003E3BBB"/>
    <w:rsid w:val="003E3D8C"/>
    <w:rsid w:val="003E4585"/>
    <w:rsid w:val="003E56DF"/>
    <w:rsid w:val="003E60E0"/>
    <w:rsid w:val="003F0756"/>
    <w:rsid w:val="003F18AF"/>
    <w:rsid w:val="003F20FC"/>
    <w:rsid w:val="003F37C2"/>
    <w:rsid w:val="003F3F91"/>
    <w:rsid w:val="003F4410"/>
    <w:rsid w:val="003F505C"/>
    <w:rsid w:val="003F678D"/>
    <w:rsid w:val="003F7B09"/>
    <w:rsid w:val="0040281B"/>
    <w:rsid w:val="00402B31"/>
    <w:rsid w:val="00403136"/>
    <w:rsid w:val="00403422"/>
    <w:rsid w:val="00403CF8"/>
    <w:rsid w:val="0040432D"/>
    <w:rsid w:val="00405C44"/>
    <w:rsid w:val="00405F49"/>
    <w:rsid w:val="00406728"/>
    <w:rsid w:val="00407744"/>
    <w:rsid w:val="00410040"/>
    <w:rsid w:val="00410463"/>
    <w:rsid w:val="004109E1"/>
    <w:rsid w:val="00411320"/>
    <w:rsid w:val="00411BAC"/>
    <w:rsid w:val="00412ED4"/>
    <w:rsid w:val="004138CB"/>
    <w:rsid w:val="00414D57"/>
    <w:rsid w:val="00415DCE"/>
    <w:rsid w:val="0041684C"/>
    <w:rsid w:val="0041725A"/>
    <w:rsid w:val="004175C5"/>
    <w:rsid w:val="0041796C"/>
    <w:rsid w:val="00420C48"/>
    <w:rsid w:val="0042173B"/>
    <w:rsid w:val="00421C45"/>
    <w:rsid w:val="00422133"/>
    <w:rsid w:val="0042453D"/>
    <w:rsid w:val="004247AA"/>
    <w:rsid w:val="00425B8D"/>
    <w:rsid w:val="00426DD8"/>
    <w:rsid w:val="00426EE9"/>
    <w:rsid w:val="00427EBC"/>
    <w:rsid w:val="004303E0"/>
    <w:rsid w:val="004308D5"/>
    <w:rsid w:val="00431ED4"/>
    <w:rsid w:val="00432019"/>
    <w:rsid w:val="00432BDB"/>
    <w:rsid w:val="0043355B"/>
    <w:rsid w:val="004337F5"/>
    <w:rsid w:val="00433950"/>
    <w:rsid w:val="0043647F"/>
    <w:rsid w:val="00436667"/>
    <w:rsid w:val="0044086B"/>
    <w:rsid w:val="00440BFC"/>
    <w:rsid w:val="00441116"/>
    <w:rsid w:val="00442324"/>
    <w:rsid w:val="00442D49"/>
    <w:rsid w:val="00442F26"/>
    <w:rsid w:val="00443755"/>
    <w:rsid w:val="004440B3"/>
    <w:rsid w:val="00445EFC"/>
    <w:rsid w:val="0044624F"/>
    <w:rsid w:val="004464DE"/>
    <w:rsid w:val="00447B7A"/>
    <w:rsid w:val="00450096"/>
    <w:rsid w:val="00450D5F"/>
    <w:rsid w:val="00453CB0"/>
    <w:rsid w:val="004544D8"/>
    <w:rsid w:val="004564CE"/>
    <w:rsid w:val="00456893"/>
    <w:rsid w:val="00457B9F"/>
    <w:rsid w:val="0046132E"/>
    <w:rsid w:val="00461529"/>
    <w:rsid w:val="00461A98"/>
    <w:rsid w:val="0046354B"/>
    <w:rsid w:val="00463A25"/>
    <w:rsid w:val="004672F0"/>
    <w:rsid w:val="00470022"/>
    <w:rsid w:val="00470668"/>
    <w:rsid w:val="00470C60"/>
    <w:rsid w:val="00471292"/>
    <w:rsid w:val="0047273F"/>
    <w:rsid w:val="00474EFA"/>
    <w:rsid w:val="0047628A"/>
    <w:rsid w:val="00477BA2"/>
    <w:rsid w:val="0048083E"/>
    <w:rsid w:val="00481597"/>
    <w:rsid w:val="0048298E"/>
    <w:rsid w:val="004835E4"/>
    <w:rsid w:val="00484325"/>
    <w:rsid w:val="004877D2"/>
    <w:rsid w:val="00487A6E"/>
    <w:rsid w:val="004902C9"/>
    <w:rsid w:val="00490DC4"/>
    <w:rsid w:val="004910A7"/>
    <w:rsid w:val="004923C6"/>
    <w:rsid w:val="00494964"/>
    <w:rsid w:val="004951AC"/>
    <w:rsid w:val="00495F75"/>
    <w:rsid w:val="00496EB0"/>
    <w:rsid w:val="00497867"/>
    <w:rsid w:val="00497A17"/>
    <w:rsid w:val="00497AFB"/>
    <w:rsid w:val="004A093E"/>
    <w:rsid w:val="004A0E12"/>
    <w:rsid w:val="004A0EE1"/>
    <w:rsid w:val="004A3201"/>
    <w:rsid w:val="004A3203"/>
    <w:rsid w:val="004A3CA7"/>
    <w:rsid w:val="004A49B3"/>
    <w:rsid w:val="004A4A7B"/>
    <w:rsid w:val="004B0542"/>
    <w:rsid w:val="004B08AA"/>
    <w:rsid w:val="004B0D44"/>
    <w:rsid w:val="004B0F0A"/>
    <w:rsid w:val="004B3AAB"/>
    <w:rsid w:val="004B3B4A"/>
    <w:rsid w:val="004B4EFC"/>
    <w:rsid w:val="004C0086"/>
    <w:rsid w:val="004C0366"/>
    <w:rsid w:val="004C0BF6"/>
    <w:rsid w:val="004C1879"/>
    <w:rsid w:val="004C1CCC"/>
    <w:rsid w:val="004C2CCD"/>
    <w:rsid w:val="004C2D07"/>
    <w:rsid w:val="004C3583"/>
    <w:rsid w:val="004C3FC1"/>
    <w:rsid w:val="004C774E"/>
    <w:rsid w:val="004D04B3"/>
    <w:rsid w:val="004D05E4"/>
    <w:rsid w:val="004D0B1F"/>
    <w:rsid w:val="004D2AB0"/>
    <w:rsid w:val="004D450C"/>
    <w:rsid w:val="004D62B3"/>
    <w:rsid w:val="004D7E49"/>
    <w:rsid w:val="004E1557"/>
    <w:rsid w:val="004E3717"/>
    <w:rsid w:val="004E377D"/>
    <w:rsid w:val="004E40B2"/>
    <w:rsid w:val="004E44C7"/>
    <w:rsid w:val="004E4DC3"/>
    <w:rsid w:val="004E6586"/>
    <w:rsid w:val="004E68C4"/>
    <w:rsid w:val="004E7738"/>
    <w:rsid w:val="004F115D"/>
    <w:rsid w:val="004F1EBD"/>
    <w:rsid w:val="004F2859"/>
    <w:rsid w:val="004F516C"/>
    <w:rsid w:val="004F5FD0"/>
    <w:rsid w:val="004F701D"/>
    <w:rsid w:val="004F7C15"/>
    <w:rsid w:val="00500AC7"/>
    <w:rsid w:val="00502960"/>
    <w:rsid w:val="00502D22"/>
    <w:rsid w:val="00503067"/>
    <w:rsid w:val="00503D47"/>
    <w:rsid w:val="00503F35"/>
    <w:rsid w:val="00510331"/>
    <w:rsid w:val="00510BAB"/>
    <w:rsid w:val="00511205"/>
    <w:rsid w:val="005132DA"/>
    <w:rsid w:val="00513D5E"/>
    <w:rsid w:val="00515713"/>
    <w:rsid w:val="005160C2"/>
    <w:rsid w:val="00517252"/>
    <w:rsid w:val="00517380"/>
    <w:rsid w:val="00521A84"/>
    <w:rsid w:val="00522F36"/>
    <w:rsid w:val="00526FA8"/>
    <w:rsid w:val="005279BE"/>
    <w:rsid w:val="00531496"/>
    <w:rsid w:val="00534BF8"/>
    <w:rsid w:val="00535D76"/>
    <w:rsid w:val="005362BA"/>
    <w:rsid w:val="00536A8F"/>
    <w:rsid w:val="00536DB2"/>
    <w:rsid w:val="005427A3"/>
    <w:rsid w:val="00542CBA"/>
    <w:rsid w:val="005437DC"/>
    <w:rsid w:val="005443AF"/>
    <w:rsid w:val="005443D2"/>
    <w:rsid w:val="00545004"/>
    <w:rsid w:val="00545F89"/>
    <w:rsid w:val="00550D7A"/>
    <w:rsid w:val="00550DDE"/>
    <w:rsid w:val="00551581"/>
    <w:rsid w:val="005579C9"/>
    <w:rsid w:val="005603C8"/>
    <w:rsid w:val="00562D02"/>
    <w:rsid w:val="00563653"/>
    <w:rsid w:val="005636B2"/>
    <w:rsid w:val="0056415F"/>
    <w:rsid w:val="005658CF"/>
    <w:rsid w:val="0057292F"/>
    <w:rsid w:val="00573329"/>
    <w:rsid w:val="00573D4C"/>
    <w:rsid w:val="00574CD3"/>
    <w:rsid w:val="00577F2C"/>
    <w:rsid w:val="0058261E"/>
    <w:rsid w:val="005828A8"/>
    <w:rsid w:val="00582F62"/>
    <w:rsid w:val="005836EE"/>
    <w:rsid w:val="00583D17"/>
    <w:rsid w:val="00585AED"/>
    <w:rsid w:val="00586E53"/>
    <w:rsid w:val="00586E75"/>
    <w:rsid w:val="00587211"/>
    <w:rsid w:val="0059069B"/>
    <w:rsid w:val="00591830"/>
    <w:rsid w:val="00591B07"/>
    <w:rsid w:val="005924AB"/>
    <w:rsid w:val="00592552"/>
    <w:rsid w:val="00593239"/>
    <w:rsid w:val="00593813"/>
    <w:rsid w:val="00594088"/>
    <w:rsid w:val="005A1782"/>
    <w:rsid w:val="005A1AFE"/>
    <w:rsid w:val="005A303D"/>
    <w:rsid w:val="005A3052"/>
    <w:rsid w:val="005A436B"/>
    <w:rsid w:val="005A4456"/>
    <w:rsid w:val="005A721B"/>
    <w:rsid w:val="005A758D"/>
    <w:rsid w:val="005B04CA"/>
    <w:rsid w:val="005B04E2"/>
    <w:rsid w:val="005B3B32"/>
    <w:rsid w:val="005B5A1D"/>
    <w:rsid w:val="005B6265"/>
    <w:rsid w:val="005B642F"/>
    <w:rsid w:val="005C05CF"/>
    <w:rsid w:val="005C0810"/>
    <w:rsid w:val="005C178F"/>
    <w:rsid w:val="005C2946"/>
    <w:rsid w:val="005C29BB"/>
    <w:rsid w:val="005D235E"/>
    <w:rsid w:val="005D28FD"/>
    <w:rsid w:val="005D309B"/>
    <w:rsid w:val="005D438F"/>
    <w:rsid w:val="005D7BAD"/>
    <w:rsid w:val="005E0DA8"/>
    <w:rsid w:val="005E128C"/>
    <w:rsid w:val="005E1ABA"/>
    <w:rsid w:val="005E2C9F"/>
    <w:rsid w:val="005E34E0"/>
    <w:rsid w:val="005E36FF"/>
    <w:rsid w:val="005E3B1F"/>
    <w:rsid w:val="005E4012"/>
    <w:rsid w:val="005E50A9"/>
    <w:rsid w:val="005E6288"/>
    <w:rsid w:val="005E68F4"/>
    <w:rsid w:val="005E6C96"/>
    <w:rsid w:val="005E6D75"/>
    <w:rsid w:val="005E78AE"/>
    <w:rsid w:val="005F09DC"/>
    <w:rsid w:val="005F1A60"/>
    <w:rsid w:val="005F2C19"/>
    <w:rsid w:val="005F39DE"/>
    <w:rsid w:val="005F6015"/>
    <w:rsid w:val="00601847"/>
    <w:rsid w:val="00603AEB"/>
    <w:rsid w:val="0060400E"/>
    <w:rsid w:val="00604821"/>
    <w:rsid w:val="0060620B"/>
    <w:rsid w:val="00610416"/>
    <w:rsid w:val="006114F3"/>
    <w:rsid w:val="00611E4C"/>
    <w:rsid w:val="00612F8B"/>
    <w:rsid w:val="0061428F"/>
    <w:rsid w:val="0061715B"/>
    <w:rsid w:val="0062225C"/>
    <w:rsid w:val="00622BCA"/>
    <w:rsid w:val="0062308E"/>
    <w:rsid w:val="00624082"/>
    <w:rsid w:val="00625CC5"/>
    <w:rsid w:val="00626622"/>
    <w:rsid w:val="006272FA"/>
    <w:rsid w:val="006318BB"/>
    <w:rsid w:val="00633682"/>
    <w:rsid w:val="0064223E"/>
    <w:rsid w:val="0064355C"/>
    <w:rsid w:val="00643CE9"/>
    <w:rsid w:val="00645277"/>
    <w:rsid w:val="00646785"/>
    <w:rsid w:val="00647C0E"/>
    <w:rsid w:val="00651D51"/>
    <w:rsid w:val="0065217A"/>
    <w:rsid w:val="0065257B"/>
    <w:rsid w:val="00652B03"/>
    <w:rsid w:val="00653CB3"/>
    <w:rsid w:val="00655858"/>
    <w:rsid w:val="00656734"/>
    <w:rsid w:val="006567A2"/>
    <w:rsid w:val="006575C5"/>
    <w:rsid w:val="006601D8"/>
    <w:rsid w:val="00662C47"/>
    <w:rsid w:val="00662D10"/>
    <w:rsid w:val="00664C0B"/>
    <w:rsid w:val="00665B91"/>
    <w:rsid w:val="00665BB0"/>
    <w:rsid w:val="0066600E"/>
    <w:rsid w:val="00667F50"/>
    <w:rsid w:val="006700B8"/>
    <w:rsid w:val="006715C4"/>
    <w:rsid w:val="00672378"/>
    <w:rsid w:val="006732D8"/>
    <w:rsid w:val="00673505"/>
    <w:rsid w:val="00674912"/>
    <w:rsid w:val="00674FE9"/>
    <w:rsid w:val="006764EC"/>
    <w:rsid w:val="0068145E"/>
    <w:rsid w:val="00683581"/>
    <w:rsid w:val="00683A16"/>
    <w:rsid w:val="0068401F"/>
    <w:rsid w:val="00684C7C"/>
    <w:rsid w:val="00685D61"/>
    <w:rsid w:val="006863A7"/>
    <w:rsid w:val="006903C2"/>
    <w:rsid w:val="00690F67"/>
    <w:rsid w:val="00691B2D"/>
    <w:rsid w:val="00693B9A"/>
    <w:rsid w:val="00693C52"/>
    <w:rsid w:val="006944E2"/>
    <w:rsid w:val="00694B5A"/>
    <w:rsid w:val="00695E36"/>
    <w:rsid w:val="00695F20"/>
    <w:rsid w:val="006965B5"/>
    <w:rsid w:val="00697183"/>
    <w:rsid w:val="006A0135"/>
    <w:rsid w:val="006A2727"/>
    <w:rsid w:val="006A282C"/>
    <w:rsid w:val="006A3B16"/>
    <w:rsid w:val="006A3FBB"/>
    <w:rsid w:val="006A48B7"/>
    <w:rsid w:val="006A5BEC"/>
    <w:rsid w:val="006B05B3"/>
    <w:rsid w:val="006B0972"/>
    <w:rsid w:val="006B11DE"/>
    <w:rsid w:val="006B27D4"/>
    <w:rsid w:val="006B3F9C"/>
    <w:rsid w:val="006B4FE9"/>
    <w:rsid w:val="006B562D"/>
    <w:rsid w:val="006B7F85"/>
    <w:rsid w:val="006C00C6"/>
    <w:rsid w:val="006C137F"/>
    <w:rsid w:val="006C1597"/>
    <w:rsid w:val="006C21D1"/>
    <w:rsid w:val="006C3C18"/>
    <w:rsid w:val="006C7317"/>
    <w:rsid w:val="006D0483"/>
    <w:rsid w:val="006D1E7E"/>
    <w:rsid w:val="006D2FC8"/>
    <w:rsid w:val="006D3785"/>
    <w:rsid w:val="006D428F"/>
    <w:rsid w:val="006D4CCF"/>
    <w:rsid w:val="006D5458"/>
    <w:rsid w:val="006D66A8"/>
    <w:rsid w:val="006D74A9"/>
    <w:rsid w:val="006E054C"/>
    <w:rsid w:val="006E1301"/>
    <w:rsid w:val="006E1CEC"/>
    <w:rsid w:val="006E20E0"/>
    <w:rsid w:val="006E245C"/>
    <w:rsid w:val="006E3699"/>
    <w:rsid w:val="006E6AF6"/>
    <w:rsid w:val="006E7008"/>
    <w:rsid w:val="006F0142"/>
    <w:rsid w:val="006F02E8"/>
    <w:rsid w:val="006F0FDC"/>
    <w:rsid w:val="006F10D9"/>
    <w:rsid w:val="006F1BE5"/>
    <w:rsid w:val="006F2898"/>
    <w:rsid w:val="006F2A1C"/>
    <w:rsid w:val="006F3687"/>
    <w:rsid w:val="006F3928"/>
    <w:rsid w:val="006F3A80"/>
    <w:rsid w:val="006F5580"/>
    <w:rsid w:val="006F736B"/>
    <w:rsid w:val="00702C1B"/>
    <w:rsid w:val="00703C84"/>
    <w:rsid w:val="007043F2"/>
    <w:rsid w:val="00704F8A"/>
    <w:rsid w:val="00704F9F"/>
    <w:rsid w:val="00705510"/>
    <w:rsid w:val="0070581A"/>
    <w:rsid w:val="007104E5"/>
    <w:rsid w:val="00712900"/>
    <w:rsid w:val="00714E83"/>
    <w:rsid w:val="00716C1A"/>
    <w:rsid w:val="007173C2"/>
    <w:rsid w:val="00720358"/>
    <w:rsid w:val="00721A06"/>
    <w:rsid w:val="0072352A"/>
    <w:rsid w:val="007239F9"/>
    <w:rsid w:val="007248DA"/>
    <w:rsid w:val="00724ABF"/>
    <w:rsid w:val="007266A8"/>
    <w:rsid w:val="00726804"/>
    <w:rsid w:val="0073008C"/>
    <w:rsid w:val="00730284"/>
    <w:rsid w:val="007312E9"/>
    <w:rsid w:val="00731E4B"/>
    <w:rsid w:val="00731EDA"/>
    <w:rsid w:val="00733C06"/>
    <w:rsid w:val="00733D08"/>
    <w:rsid w:val="00736C2C"/>
    <w:rsid w:val="00740FFD"/>
    <w:rsid w:val="00742D6C"/>
    <w:rsid w:val="00743998"/>
    <w:rsid w:val="007455D7"/>
    <w:rsid w:val="00745C10"/>
    <w:rsid w:val="007464CD"/>
    <w:rsid w:val="007469FB"/>
    <w:rsid w:val="00750825"/>
    <w:rsid w:val="0075087D"/>
    <w:rsid w:val="00751C7D"/>
    <w:rsid w:val="007543AE"/>
    <w:rsid w:val="0075772A"/>
    <w:rsid w:val="00761C66"/>
    <w:rsid w:val="0076359D"/>
    <w:rsid w:val="00763812"/>
    <w:rsid w:val="00765F19"/>
    <w:rsid w:val="007669A4"/>
    <w:rsid w:val="00770FAF"/>
    <w:rsid w:val="00772C61"/>
    <w:rsid w:val="007734F8"/>
    <w:rsid w:val="007749FF"/>
    <w:rsid w:val="00774EC1"/>
    <w:rsid w:val="00775B40"/>
    <w:rsid w:val="00776560"/>
    <w:rsid w:val="00777B1C"/>
    <w:rsid w:val="00780EC5"/>
    <w:rsid w:val="00781A56"/>
    <w:rsid w:val="00782F04"/>
    <w:rsid w:val="0078377B"/>
    <w:rsid w:val="007847FB"/>
    <w:rsid w:val="00784D36"/>
    <w:rsid w:val="007873CB"/>
    <w:rsid w:val="00787D39"/>
    <w:rsid w:val="007904D6"/>
    <w:rsid w:val="0079169A"/>
    <w:rsid w:val="00791CB2"/>
    <w:rsid w:val="0079217E"/>
    <w:rsid w:val="00792CE6"/>
    <w:rsid w:val="007935E6"/>
    <w:rsid w:val="00793EA6"/>
    <w:rsid w:val="00795BAA"/>
    <w:rsid w:val="00795DD1"/>
    <w:rsid w:val="00795FB1"/>
    <w:rsid w:val="00796882"/>
    <w:rsid w:val="007968C0"/>
    <w:rsid w:val="00796C8E"/>
    <w:rsid w:val="007978A0"/>
    <w:rsid w:val="007A0D32"/>
    <w:rsid w:val="007A1F66"/>
    <w:rsid w:val="007A1FB3"/>
    <w:rsid w:val="007A3F05"/>
    <w:rsid w:val="007A3FBB"/>
    <w:rsid w:val="007A69BA"/>
    <w:rsid w:val="007A6A87"/>
    <w:rsid w:val="007A6AFE"/>
    <w:rsid w:val="007A7113"/>
    <w:rsid w:val="007A7D2E"/>
    <w:rsid w:val="007A7F62"/>
    <w:rsid w:val="007B0454"/>
    <w:rsid w:val="007B1CF1"/>
    <w:rsid w:val="007B4811"/>
    <w:rsid w:val="007C0C22"/>
    <w:rsid w:val="007C1626"/>
    <w:rsid w:val="007C1880"/>
    <w:rsid w:val="007C2666"/>
    <w:rsid w:val="007C2903"/>
    <w:rsid w:val="007C2FF5"/>
    <w:rsid w:val="007C33E6"/>
    <w:rsid w:val="007C3A0E"/>
    <w:rsid w:val="007C4660"/>
    <w:rsid w:val="007C488A"/>
    <w:rsid w:val="007C48B3"/>
    <w:rsid w:val="007C524B"/>
    <w:rsid w:val="007C583D"/>
    <w:rsid w:val="007D09DE"/>
    <w:rsid w:val="007D2061"/>
    <w:rsid w:val="007D210E"/>
    <w:rsid w:val="007D2EE4"/>
    <w:rsid w:val="007D3AE8"/>
    <w:rsid w:val="007D3C95"/>
    <w:rsid w:val="007D4321"/>
    <w:rsid w:val="007D490B"/>
    <w:rsid w:val="007D499D"/>
    <w:rsid w:val="007D4A3A"/>
    <w:rsid w:val="007D4E43"/>
    <w:rsid w:val="007D7C17"/>
    <w:rsid w:val="007D7C26"/>
    <w:rsid w:val="007E0155"/>
    <w:rsid w:val="007E0702"/>
    <w:rsid w:val="007E3122"/>
    <w:rsid w:val="007E4417"/>
    <w:rsid w:val="007E5537"/>
    <w:rsid w:val="007E5844"/>
    <w:rsid w:val="007F1D0A"/>
    <w:rsid w:val="007F2CF0"/>
    <w:rsid w:val="007F308C"/>
    <w:rsid w:val="007F6AC7"/>
    <w:rsid w:val="007F7149"/>
    <w:rsid w:val="007F7647"/>
    <w:rsid w:val="00800179"/>
    <w:rsid w:val="00800396"/>
    <w:rsid w:val="00800FBA"/>
    <w:rsid w:val="00802CF4"/>
    <w:rsid w:val="00802F5D"/>
    <w:rsid w:val="0080369A"/>
    <w:rsid w:val="008045C7"/>
    <w:rsid w:val="008047FC"/>
    <w:rsid w:val="00806195"/>
    <w:rsid w:val="008064AF"/>
    <w:rsid w:val="00806665"/>
    <w:rsid w:val="008066CE"/>
    <w:rsid w:val="00806C42"/>
    <w:rsid w:val="00806E72"/>
    <w:rsid w:val="00811F18"/>
    <w:rsid w:val="00812A40"/>
    <w:rsid w:val="00812CE4"/>
    <w:rsid w:val="00813864"/>
    <w:rsid w:val="008151A7"/>
    <w:rsid w:val="008166AA"/>
    <w:rsid w:val="00817460"/>
    <w:rsid w:val="00821043"/>
    <w:rsid w:val="00821A9D"/>
    <w:rsid w:val="00821E7B"/>
    <w:rsid w:val="00821E84"/>
    <w:rsid w:val="008220FC"/>
    <w:rsid w:val="008222E4"/>
    <w:rsid w:val="0082274F"/>
    <w:rsid w:val="0082321C"/>
    <w:rsid w:val="0082346E"/>
    <w:rsid w:val="00825002"/>
    <w:rsid w:val="008260F8"/>
    <w:rsid w:val="00826F49"/>
    <w:rsid w:val="008304FC"/>
    <w:rsid w:val="00830EB7"/>
    <w:rsid w:val="00832351"/>
    <w:rsid w:val="00832B60"/>
    <w:rsid w:val="0083335D"/>
    <w:rsid w:val="008346B5"/>
    <w:rsid w:val="00834D62"/>
    <w:rsid w:val="00837502"/>
    <w:rsid w:val="00843C14"/>
    <w:rsid w:val="0084616E"/>
    <w:rsid w:val="008463BE"/>
    <w:rsid w:val="008466CB"/>
    <w:rsid w:val="0084691F"/>
    <w:rsid w:val="00847421"/>
    <w:rsid w:val="008478D9"/>
    <w:rsid w:val="0085254D"/>
    <w:rsid w:val="00853729"/>
    <w:rsid w:val="00853A29"/>
    <w:rsid w:val="00853A55"/>
    <w:rsid w:val="008542EE"/>
    <w:rsid w:val="00854625"/>
    <w:rsid w:val="00854AD3"/>
    <w:rsid w:val="00854CCD"/>
    <w:rsid w:val="0085501E"/>
    <w:rsid w:val="00855042"/>
    <w:rsid w:val="008563EB"/>
    <w:rsid w:val="00861D12"/>
    <w:rsid w:val="00861F19"/>
    <w:rsid w:val="00864626"/>
    <w:rsid w:val="00870B96"/>
    <w:rsid w:val="008724AA"/>
    <w:rsid w:val="0087384E"/>
    <w:rsid w:val="008741F3"/>
    <w:rsid w:val="00874F20"/>
    <w:rsid w:val="0087780E"/>
    <w:rsid w:val="008779A7"/>
    <w:rsid w:val="0088076D"/>
    <w:rsid w:val="00881CFE"/>
    <w:rsid w:val="00885021"/>
    <w:rsid w:val="00885B78"/>
    <w:rsid w:val="0088690F"/>
    <w:rsid w:val="00886F4F"/>
    <w:rsid w:val="00887BEC"/>
    <w:rsid w:val="00890AC9"/>
    <w:rsid w:val="00890B5C"/>
    <w:rsid w:val="00891798"/>
    <w:rsid w:val="00891CEE"/>
    <w:rsid w:val="008920B5"/>
    <w:rsid w:val="00893EF6"/>
    <w:rsid w:val="008944E9"/>
    <w:rsid w:val="00894CD9"/>
    <w:rsid w:val="00895364"/>
    <w:rsid w:val="00895C6B"/>
    <w:rsid w:val="008961A9"/>
    <w:rsid w:val="008A1B30"/>
    <w:rsid w:val="008A1E6E"/>
    <w:rsid w:val="008A4880"/>
    <w:rsid w:val="008A4A9B"/>
    <w:rsid w:val="008A54E7"/>
    <w:rsid w:val="008A5567"/>
    <w:rsid w:val="008B0663"/>
    <w:rsid w:val="008B1100"/>
    <w:rsid w:val="008B1510"/>
    <w:rsid w:val="008B3B73"/>
    <w:rsid w:val="008B404F"/>
    <w:rsid w:val="008B6155"/>
    <w:rsid w:val="008C01EC"/>
    <w:rsid w:val="008C05CD"/>
    <w:rsid w:val="008C05EC"/>
    <w:rsid w:val="008C09EC"/>
    <w:rsid w:val="008C1BDE"/>
    <w:rsid w:val="008C4593"/>
    <w:rsid w:val="008C4F77"/>
    <w:rsid w:val="008C6207"/>
    <w:rsid w:val="008C63DE"/>
    <w:rsid w:val="008C6F0B"/>
    <w:rsid w:val="008D0B7F"/>
    <w:rsid w:val="008D0C7D"/>
    <w:rsid w:val="008D12D6"/>
    <w:rsid w:val="008D1DD9"/>
    <w:rsid w:val="008D4391"/>
    <w:rsid w:val="008D464E"/>
    <w:rsid w:val="008D62A0"/>
    <w:rsid w:val="008D66F6"/>
    <w:rsid w:val="008D7717"/>
    <w:rsid w:val="008E12D2"/>
    <w:rsid w:val="008E370F"/>
    <w:rsid w:val="008E3CAB"/>
    <w:rsid w:val="008E4261"/>
    <w:rsid w:val="008E4F35"/>
    <w:rsid w:val="008E5B10"/>
    <w:rsid w:val="008E64C5"/>
    <w:rsid w:val="008E6819"/>
    <w:rsid w:val="008E6A14"/>
    <w:rsid w:val="008E7967"/>
    <w:rsid w:val="008F0119"/>
    <w:rsid w:val="008F18A2"/>
    <w:rsid w:val="008F3F87"/>
    <w:rsid w:val="008F64AD"/>
    <w:rsid w:val="008F6B69"/>
    <w:rsid w:val="008F6C5A"/>
    <w:rsid w:val="008F73DB"/>
    <w:rsid w:val="008F7900"/>
    <w:rsid w:val="0090281E"/>
    <w:rsid w:val="00902C23"/>
    <w:rsid w:val="00905188"/>
    <w:rsid w:val="00906D4B"/>
    <w:rsid w:val="009076DA"/>
    <w:rsid w:val="009079A0"/>
    <w:rsid w:val="009114D6"/>
    <w:rsid w:val="00914AB2"/>
    <w:rsid w:val="00914BB6"/>
    <w:rsid w:val="00914DE0"/>
    <w:rsid w:val="009151EF"/>
    <w:rsid w:val="00915356"/>
    <w:rsid w:val="00915517"/>
    <w:rsid w:val="0092008A"/>
    <w:rsid w:val="0092199F"/>
    <w:rsid w:val="00924668"/>
    <w:rsid w:val="0092502B"/>
    <w:rsid w:val="00925150"/>
    <w:rsid w:val="009260E9"/>
    <w:rsid w:val="00926C60"/>
    <w:rsid w:val="00927C9A"/>
    <w:rsid w:val="00931503"/>
    <w:rsid w:val="00931D1F"/>
    <w:rsid w:val="00933297"/>
    <w:rsid w:val="00934503"/>
    <w:rsid w:val="00935F7B"/>
    <w:rsid w:val="009360B8"/>
    <w:rsid w:val="009370DE"/>
    <w:rsid w:val="00937A71"/>
    <w:rsid w:val="00942892"/>
    <w:rsid w:val="009443AB"/>
    <w:rsid w:val="0094484A"/>
    <w:rsid w:val="0094794D"/>
    <w:rsid w:val="00947BF2"/>
    <w:rsid w:val="00951AD1"/>
    <w:rsid w:val="009554C9"/>
    <w:rsid w:val="00956FA6"/>
    <w:rsid w:val="009572A4"/>
    <w:rsid w:val="00961689"/>
    <w:rsid w:val="00961C53"/>
    <w:rsid w:val="00962226"/>
    <w:rsid w:val="00962233"/>
    <w:rsid w:val="00962B6C"/>
    <w:rsid w:val="00963F94"/>
    <w:rsid w:val="00964302"/>
    <w:rsid w:val="009649EA"/>
    <w:rsid w:val="00965396"/>
    <w:rsid w:val="00965D7E"/>
    <w:rsid w:val="009664DE"/>
    <w:rsid w:val="00966C01"/>
    <w:rsid w:val="00970245"/>
    <w:rsid w:val="00971C51"/>
    <w:rsid w:val="00972D4A"/>
    <w:rsid w:val="00973A28"/>
    <w:rsid w:val="009748F6"/>
    <w:rsid w:val="009776C3"/>
    <w:rsid w:val="0098134C"/>
    <w:rsid w:val="00981605"/>
    <w:rsid w:val="00981963"/>
    <w:rsid w:val="00983524"/>
    <w:rsid w:val="009851BE"/>
    <w:rsid w:val="00985EB1"/>
    <w:rsid w:val="00986409"/>
    <w:rsid w:val="00986D0F"/>
    <w:rsid w:val="00987302"/>
    <w:rsid w:val="00987C1A"/>
    <w:rsid w:val="009900CD"/>
    <w:rsid w:val="00990F3F"/>
    <w:rsid w:val="00991BE1"/>
    <w:rsid w:val="00991E70"/>
    <w:rsid w:val="00992ECB"/>
    <w:rsid w:val="00994921"/>
    <w:rsid w:val="009A1FEC"/>
    <w:rsid w:val="009A2977"/>
    <w:rsid w:val="009A51A9"/>
    <w:rsid w:val="009A6F9A"/>
    <w:rsid w:val="009A7735"/>
    <w:rsid w:val="009A783C"/>
    <w:rsid w:val="009B1011"/>
    <w:rsid w:val="009B2694"/>
    <w:rsid w:val="009B2DD7"/>
    <w:rsid w:val="009B558C"/>
    <w:rsid w:val="009B55F8"/>
    <w:rsid w:val="009B697A"/>
    <w:rsid w:val="009B6E3B"/>
    <w:rsid w:val="009C04BC"/>
    <w:rsid w:val="009C0904"/>
    <w:rsid w:val="009C202A"/>
    <w:rsid w:val="009C2413"/>
    <w:rsid w:val="009C4A64"/>
    <w:rsid w:val="009C561C"/>
    <w:rsid w:val="009C6059"/>
    <w:rsid w:val="009C7515"/>
    <w:rsid w:val="009C7FD6"/>
    <w:rsid w:val="009D00E1"/>
    <w:rsid w:val="009D1972"/>
    <w:rsid w:val="009D2FF5"/>
    <w:rsid w:val="009D31D0"/>
    <w:rsid w:val="009D33AC"/>
    <w:rsid w:val="009D3AD6"/>
    <w:rsid w:val="009E00C0"/>
    <w:rsid w:val="009E1523"/>
    <w:rsid w:val="009E20C0"/>
    <w:rsid w:val="009E2A26"/>
    <w:rsid w:val="009E3637"/>
    <w:rsid w:val="009E3A5C"/>
    <w:rsid w:val="009E43BA"/>
    <w:rsid w:val="009E5635"/>
    <w:rsid w:val="009E5B99"/>
    <w:rsid w:val="009F0022"/>
    <w:rsid w:val="009F1706"/>
    <w:rsid w:val="009F204C"/>
    <w:rsid w:val="009F2365"/>
    <w:rsid w:val="009F366B"/>
    <w:rsid w:val="009F466D"/>
    <w:rsid w:val="009F4C44"/>
    <w:rsid w:val="00A00233"/>
    <w:rsid w:val="00A00CD4"/>
    <w:rsid w:val="00A01533"/>
    <w:rsid w:val="00A034B9"/>
    <w:rsid w:val="00A04C49"/>
    <w:rsid w:val="00A05EE9"/>
    <w:rsid w:val="00A10BB3"/>
    <w:rsid w:val="00A11D7D"/>
    <w:rsid w:val="00A1261C"/>
    <w:rsid w:val="00A17476"/>
    <w:rsid w:val="00A2015B"/>
    <w:rsid w:val="00A21674"/>
    <w:rsid w:val="00A229E6"/>
    <w:rsid w:val="00A23078"/>
    <w:rsid w:val="00A23C3F"/>
    <w:rsid w:val="00A2530A"/>
    <w:rsid w:val="00A277A1"/>
    <w:rsid w:val="00A311B0"/>
    <w:rsid w:val="00A31E5F"/>
    <w:rsid w:val="00A32419"/>
    <w:rsid w:val="00A3260B"/>
    <w:rsid w:val="00A32A8E"/>
    <w:rsid w:val="00A335CE"/>
    <w:rsid w:val="00A33AD9"/>
    <w:rsid w:val="00A36D7C"/>
    <w:rsid w:val="00A37212"/>
    <w:rsid w:val="00A42218"/>
    <w:rsid w:val="00A44220"/>
    <w:rsid w:val="00A44D40"/>
    <w:rsid w:val="00A45B67"/>
    <w:rsid w:val="00A45CFE"/>
    <w:rsid w:val="00A468CC"/>
    <w:rsid w:val="00A4705F"/>
    <w:rsid w:val="00A47A74"/>
    <w:rsid w:val="00A50195"/>
    <w:rsid w:val="00A50AD9"/>
    <w:rsid w:val="00A50FE5"/>
    <w:rsid w:val="00A513BF"/>
    <w:rsid w:val="00A519CC"/>
    <w:rsid w:val="00A52305"/>
    <w:rsid w:val="00A52632"/>
    <w:rsid w:val="00A532BC"/>
    <w:rsid w:val="00A559BD"/>
    <w:rsid w:val="00A55C34"/>
    <w:rsid w:val="00A5651E"/>
    <w:rsid w:val="00A60155"/>
    <w:rsid w:val="00A602AD"/>
    <w:rsid w:val="00A616B7"/>
    <w:rsid w:val="00A61743"/>
    <w:rsid w:val="00A62050"/>
    <w:rsid w:val="00A633F3"/>
    <w:rsid w:val="00A6430D"/>
    <w:rsid w:val="00A6642B"/>
    <w:rsid w:val="00A66B47"/>
    <w:rsid w:val="00A67C16"/>
    <w:rsid w:val="00A72967"/>
    <w:rsid w:val="00A73C07"/>
    <w:rsid w:val="00A75C50"/>
    <w:rsid w:val="00A76F1B"/>
    <w:rsid w:val="00A76F75"/>
    <w:rsid w:val="00A808AE"/>
    <w:rsid w:val="00A80A80"/>
    <w:rsid w:val="00A82002"/>
    <w:rsid w:val="00A85883"/>
    <w:rsid w:val="00A86D5E"/>
    <w:rsid w:val="00A92172"/>
    <w:rsid w:val="00A92443"/>
    <w:rsid w:val="00A92984"/>
    <w:rsid w:val="00A93A8F"/>
    <w:rsid w:val="00A93FC8"/>
    <w:rsid w:val="00AA0AEE"/>
    <w:rsid w:val="00AA0E23"/>
    <w:rsid w:val="00AA0FAE"/>
    <w:rsid w:val="00AA18A0"/>
    <w:rsid w:val="00AA27C1"/>
    <w:rsid w:val="00AA2BBB"/>
    <w:rsid w:val="00AA4433"/>
    <w:rsid w:val="00AA482A"/>
    <w:rsid w:val="00AA5AE4"/>
    <w:rsid w:val="00AA6114"/>
    <w:rsid w:val="00AB029D"/>
    <w:rsid w:val="00AB1127"/>
    <w:rsid w:val="00AB152E"/>
    <w:rsid w:val="00AB1B66"/>
    <w:rsid w:val="00AB2890"/>
    <w:rsid w:val="00AB339F"/>
    <w:rsid w:val="00AB4204"/>
    <w:rsid w:val="00AB599A"/>
    <w:rsid w:val="00AB6406"/>
    <w:rsid w:val="00AC032D"/>
    <w:rsid w:val="00AC333C"/>
    <w:rsid w:val="00AC3E2C"/>
    <w:rsid w:val="00AC43D9"/>
    <w:rsid w:val="00AC47DD"/>
    <w:rsid w:val="00AC5444"/>
    <w:rsid w:val="00AC5C2B"/>
    <w:rsid w:val="00AC5EE3"/>
    <w:rsid w:val="00AC6B76"/>
    <w:rsid w:val="00AD1B7F"/>
    <w:rsid w:val="00AD327A"/>
    <w:rsid w:val="00AD3AA1"/>
    <w:rsid w:val="00AD3BA1"/>
    <w:rsid w:val="00AD4727"/>
    <w:rsid w:val="00AD63CA"/>
    <w:rsid w:val="00AD6574"/>
    <w:rsid w:val="00AD6803"/>
    <w:rsid w:val="00AD7D96"/>
    <w:rsid w:val="00AD7FF8"/>
    <w:rsid w:val="00AE0438"/>
    <w:rsid w:val="00AE0484"/>
    <w:rsid w:val="00AE06A7"/>
    <w:rsid w:val="00AE0B41"/>
    <w:rsid w:val="00AE1358"/>
    <w:rsid w:val="00AE35DF"/>
    <w:rsid w:val="00AE4234"/>
    <w:rsid w:val="00AE4447"/>
    <w:rsid w:val="00AE6185"/>
    <w:rsid w:val="00AE76E7"/>
    <w:rsid w:val="00AF171D"/>
    <w:rsid w:val="00AF3489"/>
    <w:rsid w:val="00AF48E2"/>
    <w:rsid w:val="00AF572A"/>
    <w:rsid w:val="00AF5D25"/>
    <w:rsid w:val="00AF6AC6"/>
    <w:rsid w:val="00B00535"/>
    <w:rsid w:val="00B005D3"/>
    <w:rsid w:val="00B032BB"/>
    <w:rsid w:val="00B03311"/>
    <w:rsid w:val="00B0444D"/>
    <w:rsid w:val="00B049AD"/>
    <w:rsid w:val="00B05B9D"/>
    <w:rsid w:val="00B1453A"/>
    <w:rsid w:val="00B16371"/>
    <w:rsid w:val="00B1671B"/>
    <w:rsid w:val="00B16FAB"/>
    <w:rsid w:val="00B171A3"/>
    <w:rsid w:val="00B20D60"/>
    <w:rsid w:val="00B21092"/>
    <w:rsid w:val="00B22553"/>
    <w:rsid w:val="00B22801"/>
    <w:rsid w:val="00B22D51"/>
    <w:rsid w:val="00B237D2"/>
    <w:rsid w:val="00B239F1"/>
    <w:rsid w:val="00B252C0"/>
    <w:rsid w:val="00B25975"/>
    <w:rsid w:val="00B31455"/>
    <w:rsid w:val="00B31A73"/>
    <w:rsid w:val="00B33515"/>
    <w:rsid w:val="00B3507C"/>
    <w:rsid w:val="00B35080"/>
    <w:rsid w:val="00B3761E"/>
    <w:rsid w:val="00B37D5F"/>
    <w:rsid w:val="00B40060"/>
    <w:rsid w:val="00B41A98"/>
    <w:rsid w:val="00B42FBC"/>
    <w:rsid w:val="00B4350C"/>
    <w:rsid w:val="00B4353E"/>
    <w:rsid w:val="00B4705A"/>
    <w:rsid w:val="00B50C7A"/>
    <w:rsid w:val="00B52138"/>
    <w:rsid w:val="00B523DA"/>
    <w:rsid w:val="00B5304B"/>
    <w:rsid w:val="00B53128"/>
    <w:rsid w:val="00B537FF"/>
    <w:rsid w:val="00B55F85"/>
    <w:rsid w:val="00B562AF"/>
    <w:rsid w:val="00B56B87"/>
    <w:rsid w:val="00B570E2"/>
    <w:rsid w:val="00B571C1"/>
    <w:rsid w:val="00B61AB1"/>
    <w:rsid w:val="00B63553"/>
    <w:rsid w:val="00B643CC"/>
    <w:rsid w:val="00B65277"/>
    <w:rsid w:val="00B66552"/>
    <w:rsid w:val="00B66F0F"/>
    <w:rsid w:val="00B67FB3"/>
    <w:rsid w:val="00B711ED"/>
    <w:rsid w:val="00B72611"/>
    <w:rsid w:val="00B72BD6"/>
    <w:rsid w:val="00B7374F"/>
    <w:rsid w:val="00B748A1"/>
    <w:rsid w:val="00B80151"/>
    <w:rsid w:val="00B80D1B"/>
    <w:rsid w:val="00B82F29"/>
    <w:rsid w:val="00B84B2C"/>
    <w:rsid w:val="00B85274"/>
    <w:rsid w:val="00B90196"/>
    <w:rsid w:val="00B9294D"/>
    <w:rsid w:val="00B92961"/>
    <w:rsid w:val="00B9726D"/>
    <w:rsid w:val="00BA017D"/>
    <w:rsid w:val="00BA0BE7"/>
    <w:rsid w:val="00BA14FF"/>
    <w:rsid w:val="00BA2331"/>
    <w:rsid w:val="00BA4C3C"/>
    <w:rsid w:val="00BA5FBF"/>
    <w:rsid w:val="00BA675A"/>
    <w:rsid w:val="00BA720E"/>
    <w:rsid w:val="00BA74A4"/>
    <w:rsid w:val="00BB08C1"/>
    <w:rsid w:val="00BB1C12"/>
    <w:rsid w:val="00BB320D"/>
    <w:rsid w:val="00BB3E3C"/>
    <w:rsid w:val="00BB6A8C"/>
    <w:rsid w:val="00BB7319"/>
    <w:rsid w:val="00BB7CD1"/>
    <w:rsid w:val="00BC12C9"/>
    <w:rsid w:val="00BC2A68"/>
    <w:rsid w:val="00BC380F"/>
    <w:rsid w:val="00BC3C99"/>
    <w:rsid w:val="00BC4DD1"/>
    <w:rsid w:val="00BC525F"/>
    <w:rsid w:val="00BC5E9A"/>
    <w:rsid w:val="00BC5F27"/>
    <w:rsid w:val="00BC64A4"/>
    <w:rsid w:val="00BC64A8"/>
    <w:rsid w:val="00BC6B4D"/>
    <w:rsid w:val="00BC76ED"/>
    <w:rsid w:val="00BD1E3C"/>
    <w:rsid w:val="00BD221A"/>
    <w:rsid w:val="00BD373F"/>
    <w:rsid w:val="00BD6217"/>
    <w:rsid w:val="00BE074E"/>
    <w:rsid w:val="00BE1DE3"/>
    <w:rsid w:val="00BE1E96"/>
    <w:rsid w:val="00BE35BE"/>
    <w:rsid w:val="00BE3709"/>
    <w:rsid w:val="00BE4EE9"/>
    <w:rsid w:val="00BE61EB"/>
    <w:rsid w:val="00BE692A"/>
    <w:rsid w:val="00BE6E7D"/>
    <w:rsid w:val="00BE7701"/>
    <w:rsid w:val="00BF072D"/>
    <w:rsid w:val="00BF174A"/>
    <w:rsid w:val="00BF2FBA"/>
    <w:rsid w:val="00BF3F86"/>
    <w:rsid w:val="00BF4525"/>
    <w:rsid w:val="00BF56BC"/>
    <w:rsid w:val="00C02B1E"/>
    <w:rsid w:val="00C03B77"/>
    <w:rsid w:val="00C05F7B"/>
    <w:rsid w:val="00C0601A"/>
    <w:rsid w:val="00C07341"/>
    <w:rsid w:val="00C07622"/>
    <w:rsid w:val="00C10C31"/>
    <w:rsid w:val="00C120ED"/>
    <w:rsid w:val="00C123E7"/>
    <w:rsid w:val="00C13709"/>
    <w:rsid w:val="00C13B9E"/>
    <w:rsid w:val="00C153B2"/>
    <w:rsid w:val="00C1557B"/>
    <w:rsid w:val="00C159C4"/>
    <w:rsid w:val="00C16068"/>
    <w:rsid w:val="00C16D49"/>
    <w:rsid w:val="00C16E42"/>
    <w:rsid w:val="00C17FB7"/>
    <w:rsid w:val="00C200C8"/>
    <w:rsid w:val="00C20D3E"/>
    <w:rsid w:val="00C2215F"/>
    <w:rsid w:val="00C22280"/>
    <w:rsid w:val="00C22414"/>
    <w:rsid w:val="00C242C2"/>
    <w:rsid w:val="00C256EE"/>
    <w:rsid w:val="00C30290"/>
    <w:rsid w:val="00C33EE1"/>
    <w:rsid w:val="00C36B64"/>
    <w:rsid w:val="00C37337"/>
    <w:rsid w:val="00C40EF4"/>
    <w:rsid w:val="00C41484"/>
    <w:rsid w:val="00C42129"/>
    <w:rsid w:val="00C42F16"/>
    <w:rsid w:val="00C44F57"/>
    <w:rsid w:val="00C451D8"/>
    <w:rsid w:val="00C50A83"/>
    <w:rsid w:val="00C50BE4"/>
    <w:rsid w:val="00C51B2F"/>
    <w:rsid w:val="00C5273B"/>
    <w:rsid w:val="00C53E60"/>
    <w:rsid w:val="00C56926"/>
    <w:rsid w:val="00C5775C"/>
    <w:rsid w:val="00C579AF"/>
    <w:rsid w:val="00C62263"/>
    <w:rsid w:val="00C64931"/>
    <w:rsid w:val="00C660D7"/>
    <w:rsid w:val="00C67030"/>
    <w:rsid w:val="00C75CEF"/>
    <w:rsid w:val="00C766B2"/>
    <w:rsid w:val="00C76C42"/>
    <w:rsid w:val="00C77094"/>
    <w:rsid w:val="00C77147"/>
    <w:rsid w:val="00C7773F"/>
    <w:rsid w:val="00C8052C"/>
    <w:rsid w:val="00C82E28"/>
    <w:rsid w:val="00C83FA9"/>
    <w:rsid w:val="00C8476D"/>
    <w:rsid w:val="00C8566E"/>
    <w:rsid w:val="00C85712"/>
    <w:rsid w:val="00C861FB"/>
    <w:rsid w:val="00C93161"/>
    <w:rsid w:val="00C93188"/>
    <w:rsid w:val="00C93886"/>
    <w:rsid w:val="00C93E0D"/>
    <w:rsid w:val="00C95651"/>
    <w:rsid w:val="00C9696E"/>
    <w:rsid w:val="00C96DC5"/>
    <w:rsid w:val="00CA0CF8"/>
    <w:rsid w:val="00CA1CF0"/>
    <w:rsid w:val="00CA2F4F"/>
    <w:rsid w:val="00CA56D9"/>
    <w:rsid w:val="00CA6947"/>
    <w:rsid w:val="00CA7492"/>
    <w:rsid w:val="00CB317C"/>
    <w:rsid w:val="00CB39D5"/>
    <w:rsid w:val="00CB49D1"/>
    <w:rsid w:val="00CB7F41"/>
    <w:rsid w:val="00CC0316"/>
    <w:rsid w:val="00CC05B2"/>
    <w:rsid w:val="00CC06AE"/>
    <w:rsid w:val="00CC0DC3"/>
    <w:rsid w:val="00CC1F56"/>
    <w:rsid w:val="00CC5073"/>
    <w:rsid w:val="00CC54A7"/>
    <w:rsid w:val="00CC7DB6"/>
    <w:rsid w:val="00CD10BF"/>
    <w:rsid w:val="00CD1513"/>
    <w:rsid w:val="00CD2775"/>
    <w:rsid w:val="00CD2914"/>
    <w:rsid w:val="00CD2F78"/>
    <w:rsid w:val="00CD69C8"/>
    <w:rsid w:val="00CE2A73"/>
    <w:rsid w:val="00CE3497"/>
    <w:rsid w:val="00CE5E18"/>
    <w:rsid w:val="00CE5F94"/>
    <w:rsid w:val="00CE6688"/>
    <w:rsid w:val="00CE6F0C"/>
    <w:rsid w:val="00CE7C9C"/>
    <w:rsid w:val="00D00931"/>
    <w:rsid w:val="00D00B7E"/>
    <w:rsid w:val="00D01546"/>
    <w:rsid w:val="00D01E0A"/>
    <w:rsid w:val="00D01F8F"/>
    <w:rsid w:val="00D02D7D"/>
    <w:rsid w:val="00D030E4"/>
    <w:rsid w:val="00D030EB"/>
    <w:rsid w:val="00D03698"/>
    <w:rsid w:val="00D03791"/>
    <w:rsid w:val="00D04DEE"/>
    <w:rsid w:val="00D05020"/>
    <w:rsid w:val="00D06991"/>
    <w:rsid w:val="00D10DAD"/>
    <w:rsid w:val="00D11375"/>
    <w:rsid w:val="00D11BFE"/>
    <w:rsid w:val="00D11CAD"/>
    <w:rsid w:val="00D1220C"/>
    <w:rsid w:val="00D12B1C"/>
    <w:rsid w:val="00D1379B"/>
    <w:rsid w:val="00D14184"/>
    <w:rsid w:val="00D14ABD"/>
    <w:rsid w:val="00D15B2A"/>
    <w:rsid w:val="00D17D29"/>
    <w:rsid w:val="00D20879"/>
    <w:rsid w:val="00D20A73"/>
    <w:rsid w:val="00D212F3"/>
    <w:rsid w:val="00D22C4E"/>
    <w:rsid w:val="00D23CEC"/>
    <w:rsid w:val="00D23F25"/>
    <w:rsid w:val="00D25EF4"/>
    <w:rsid w:val="00D26900"/>
    <w:rsid w:val="00D27B52"/>
    <w:rsid w:val="00D27E28"/>
    <w:rsid w:val="00D318FA"/>
    <w:rsid w:val="00D319E6"/>
    <w:rsid w:val="00D32051"/>
    <w:rsid w:val="00D3224E"/>
    <w:rsid w:val="00D347FD"/>
    <w:rsid w:val="00D35961"/>
    <w:rsid w:val="00D35C97"/>
    <w:rsid w:val="00D35E65"/>
    <w:rsid w:val="00D36E52"/>
    <w:rsid w:val="00D3731B"/>
    <w:rsid w:val="00D4299E"/>
    <w:rsid w:val="00D44409"/>
    <w:rsid w:val="00D460E1"/>
    <w:rsid w:val="00D460E5"/>
    <w:rsid w:val="00D46200"/>
    <w:rsid w:val="00D46F20"/>
    <w:rsid w:val="00D471C4"/>
    <w:rsid w:val="00D47BC9"/>
    <w:rsid w:val="00D51534"/>
    <w:rsid w:val="00D51F0D"/>
    <w:rsid w:val="00D5353F"/>
    <w:rsid w:val="00D536CA"/>
    <w:rsid w:val="00D53E77"/>
    <w:rsid w:val="00D542B5"/>
    <w:rsid w:val="00D55245"/>
    <w:rsid w:val="00D55AA8"/>
    <w:rsid w:val="00D56AE4"/>
    <w:rsid w:val="00D571E1"/>
    <w:rsid w:val="00D57FF7"/>
    <w:rsid w:val="00D60859"/>
    <w:rsid w:val="00D61C8D"/>
    <w:rsid w:val="00D63397"/>
    <w:rsid w:val="00D63E7F"/>
    <w:rsid w:val="00D65CC0"/>
    <w:rsid w:val="00D65E1C"/>
    <w:rsid w:val="00D667F2"/>
    <w:rsid w:val="00D704E1"/>
    <w:rsid w:val="00D715DB"/>
    <w:rsid w:val="00D72247"/>
    <w:rsid w:val="00D744EB"/>
    <w:rsid w:val="00D74FDA"/>
    <w:rsid w:val="00D75E60"/>
    <w:rsid w:val="00D76806"/>
    <w:rsid w:val="00D80639"/>
    <w:rsid w:val="00D83600"/>
    <w:rsid w:val="00D84BB8"/>
    <w:rsid w:val="00D86331"/>
    <w:rsid w:val="00D8721C"/>
    <w:rsid w:val="00D8780A"/>
    <w:rsid w:val="00D90886"/>
    <w:rsid w:val="00D91BA8"/>
    <w:rsid w:val="00D923F4"/>
    <w:rsid w:val="00D9374C"/>
    <w:rsid w:val="00D93872"/>
    <w:rsid w:val="00D93E7C"/>
    <w:rsid w:val="00D9578D"/>
    <w:rsid w:val="00D957A7"/>
    <w:rsid w:val="00D9581C"/>
    <w:rsid w:val="00D96EBF"/>
    <w:rsid w:val="00DA1D0D"/>
    <w:rsid w:val="00DA24F1"/>
    <w:rsid w:val="00DA3509"/>
    <w:rsid w:val="00DA4D6B"/>
    <w:rsid w:val="00DA5A7F"/>
    <w:rsid w:val="00DA60D9"/>
    <w:rsid w:val="00DA6830"/>
    <w:rsid w:val="00DA6B55"/>
    <w:rsid w:val="00DA6E12"/>
    <w:rsid w:val="00DA7E4A"/>
    <w:rsid w:val="00DB1447"/>
    <w:rsid w:val="00DB2925"/>
    <w:rsid w:val="00DB62AC"/>
    <w:rsid w:val="00DC0B91"/>
    <w:rsid w:val="00DC32D4"/>
    <w:rsid w:val="00DC4935"/>
    <w:rsid w:val="00DC4E12"/>
    <w:rsid w:val="00DC57BA"/>
    <w:rsid w:val="00DC6443"/>
    <w:rsid w:val="00DC65DF"/>
    <w:rsid w:val="00DC68CF"/>
    <w:rsid w:val="00DC6D0A"/>
    <w:rsid w:val="00DD0B3D"/>
    <w:rsid w:val="00DD183D"/>
    <w:rsid w:val="00DD1C87"/>
    <w:rsid w:val="00DD2153"/>
    <w:rsid w:val="00DD39E1"/>
    <w:rsid w:val="00DD4F05"/>
    <w:rsid w:val="00DE0055"/>
    <w:rsid w:val="00DE0252"/>
    <w:rsid w:val="00DE0B27"/>
    <w:rsid w:val="00DE1FE9"/>
    <w:rsid w:val="00DE3425"/>
    <w:rsid w:val="00DE4136"/>
    <w:rsid w:val="00DE68BA"/>
    <w:rsid w:val="00DF098B"/>
    <w:rsid w:val="00DF19D5"/>
    <w:rsid w:val="00DF29B2"/>
    <w:rsid w:val="00DF34F7"/>
    <w:rsid w:val="00DF6D81"/>
    <w:rsid w:val="00E00A2F"/>
    <w:rsid w:val="00E00E93"/>
    <w:rsid w:val="00E0306E"/>
    <w:rsid w:val="00E04372"/>
    <w:rsid w:val="00E04614"/>
    <w:rsid w:val="00E0661E"/>
    <w:rsid w:val="00E07DB0"/>
    <w:rsid w:val="00E07EFD"/>
    <w:rsid w:val="00E11626"/>
    <w:rsid w:val="00E13575"/>
    <w:rsid w:val="00E2269E"/>
    <w:rsid w:val="00E22A45"/>
    <w:rsid w:val="00E22F1C"/>
    <w:rsid w:val="00E24657"/>
    <w:rsid w:val="00E247CA"/>
    <w:rsid w:val="00E2685C"/>
    <w:rsid w:val="00E2747D"/>
    <w:rsid w:val="00E27AF2"/>
    <w:rsid w:val="00E27EC6"/>
    <w:rsid w:val="00E30327"/>
    <w:rsid w:val="00E31AFB"/>
    <w:rsid w:val="00E32CDA"/>
    <w:rsid w:val="00E338DF"/>
    <w:rsid w:val="00E34F77"/>
    <w:rsid w:val="00E3554F"/>
    <w:rsid w:val="00E37083"/>
    <w:rsid w:val="00E404AD"/>
    <w:rsid w:val="00E40981"/>
    <w:rsid w:val="00E45E54"/>
    <w:rsid w:val="00E47246"/>
    <w:rsid w:val="00E52767"/>
    <w:rsid w:val="00E553F1"/>
    <w:rsid w:val="00E55C3B"/>
    <w:rsid w:val="00E565FD"/>
    <w:rsid w:val="00E56CA9"/>
    <w:rsid w:val="00E56E1E"/>
    <w:rsid w:val="00E600E0"/>
    <w:rsid w:val="00E62336"/>
    <w:rsid w:val="00E67CC6"/>
    <w:rsid w:val="00E70787"/>
    <w:rsid w:val="00E76DF4"/>
    <w:rsid w:val="00E774A9"/>
    <w:rsid w:val="00E81A1D"/>
    <w:rsid w:val="00E81E52"/>
    <w:rsid w:val="00E838B9"/>
    <w:rsid w:val="00E85ADD"/>
    <w:rsid w:val="00E85B64"/>
    <w:rsid w:val="00E87292"/>
    <w:rsid w:val="00E90E73"/>
    <w:rsid w:val="00E91606"/>
    <w:rsid w:val="00E956CB"/>
    <w:rsid w:val="00E96BF8"/>
    <w:rsid w:val="00EA012C"/>
    <w:rsid w:val="00EA0810"/>
    <w:rsid w:val="00EA0B81"/>
    <w:rsid w:val="00EA1C3F"/>
    <w:rsid w:val="00EA1CE7"/>
    <w:rsid w:val="00EA20BA"/>
    <w:rsid w:val="00EA20D5"/>
    <w:rsid w:val="00EA2A10"/>
    <w:rsid w:val="00EA3C7A"/>
    <w:rsid w:val="00EA3F0F"/>
    <w:rsid w:val="00EA49E2"/>
    <w:rsid w:val="00EA61AB"/>
    <w:rsid w:val="00EA6273"/>
    <w:rsid w:val="00EA752C"/>
    <w:rsid w:val="00EB020F"/>
    <w:rsid w:val="00EB12FA"/>
    <w:rsid w:val="00EB17F3"/>
    <w:rsid w:val="00EB1977"/>
    <w:rsid w:val="00EB2269"/>
    <w:rsid w:val="00EB4A73"/>
    <w:rsid w:val="00EB544D"/>
    <w:rsid w:val="00EB628A"/>
    <w:rsid w:val="00EB66AF"/>
    <w:rsid w:val="00EC0372"/>
    <w:rsid w:val="00EC30A4"/>
    <w:rsid w:val="00EC3134"/>
    <w:rsid w:val="00ED0656"/>
    <w:rsid w:val="00ED14B8"/>
    <w:rsid w:val="00ED1828"/>
    <w:rsid w:val="00ED371F"/>
    <w:rsid w:val="00ED3BC2"/>
    <w:rsid w:val="00ED4E88"/>
    <w:rsid w:val="00ED5A56"/>
    <w:rsid w:val="00ED6024"/>
    <w:rsid w:val="00ED644A"/>
    <w:rsid w:val="00ED6639"/>
    <w:rsid w:val="00ED69EB"/>
    <w:rsid w:val="00ED6A82"/>
    <w:rsid w:val="00ED6AC9"/>
    <w:rsid w:val="00ED7DAF"/>
    <w:rsid w:val="00EE0D7A"/>
    <w:rsid w:val="00EE1D6E"/>
    <w:rsid w:val="00EE2BD2"/>
    <w:rsid w:val="00EE2F93"/>
    <w:rsid w:val="00EE38BF"/>
    <w:rsid w:val="00EE38D7"/>
    <w:rsid w:val="00EE4069"/>
    <w:rsid w:val="00EE5C5C"/>
    <w:rsid w:val="00EE6D94"/>
    <w:rsid w:val="00EE7692"/>
    <w:rsid w:val="00EF0450"/>
    <w:rsid w:val="00EF19CA"/>
    <w:rsid w:val="00EF1A59"/>
    <w:rsid w:val="00EF35ED"/>
    <w:rsid w:val="00EF4ADE"/>
    <w:rsid w:val="00EF6455"/>
    <w:rsid w:val="00EF6F74"/>
    <w:rsid w:val="00F02751"/>
    <w:rsid w:val="00F02908"/>
    <w:rsid w:val="00F02EDC"/>
    <w:rsid w:val="00F03D56"/>
    <w:rsid w:val="00F042E0"/>
    <w:rsid w:val="00F044D6"/>
    <w:rsid w:val="00F05976"/>
    <w:rsid w:val="00F05F0D"/>
    <w:rsid w:val="00F07A31"/>
    <w:rsid w:val="00F11790"/>
    <w:rsid w:val="00F13EA6"/>
    <w:rsid w:val="00F14A61"/>
    <w:rsid w:val="00F154B2"/>
    <w:rsid w:val="00F154BF"/>
    <w:rsid w:val="00F15827"/>
    <w:rsid w:val="00F20442"/>
    <w:rsid w:val="00F20A1B"/>
    <w:rsid w:val="00F21742"/>
    <w:rsid w:val="00F21AC4"/>
    <w:rsid w:val="00F2759E"/>
    <w:rsid w:val="00F27E9A"/>
    <w:rsid w:val="00F309E0"/>
    <w:rsid w:val="00F32751"/>
    <w:rsid w:val="00F33956"/>
    <w:rsid w:val="00F34E6F"/>
    <w:rsid w:val="00F34E7A"/>
    <w:rsid w:val="00F35244"/>
    <w:rsid w:val="00F35D68"/>
    <w:rsid w:val="00F35DEC"/>
    <w:rsid w:val="00F36C60"/>
    <w:rsid w:val="00F418C6"/>
    <w:rsid w:val="00F421DB"/>
    <w:rsid w:val="00F440AD"/>
    <w:rsid w:val="00F442A4"/>
    <w:rsid w:val="00F44D75"/>
    <w:rsid w:val="00F45F86"/>
    <w:rsid w:val="00F4667A"/>
    <w:rsid w:val="00F46731"/>
    <w:rsid w:val="00F47604"/>
    <w:rsid w:val="00F47C1D"/>
    <w:rsid w:val="00F50D0C"/>
    <w:rsid w:val="00F53107"/>
    <w:rsid w:val="00F542E3"/>
    <w:rsid w:val="00F5458D"/>
    <w:rsid w:val="00F562F3"/>
    <w:rsid w:val="00F566C1"/>
    <w:rsid w:val="00F606AD"/>
    <w:rsid w:val="00F60AC9"/>
    <w:rsid w:val="00F60B46"/>
    <w:rsid w:val="00F610D5"/>
    <w:rsid w:val="00F6252A"/>
    <w:rsid w:val="00F62B9F"/>
    <w:rsid w:val="00F643A9"/>
    <w:rsid w:val="00F65DB6"/>
    <w:rsid w:val="00F66804"/>
    <w:rsid w:val="00F67E82"/>
    <w:rsid w:val="00F70632"/>
    <w:rsid w:val="00F710AF"/>
    <w:rsid w:val="00F71BE6"/>
    <w:rsid w:val="00F71CAA"/>
    <w:rsid w:val="00F72998"/>
    <w:rsid w:val="00F72AFD"/>
    <w:rsid w:val="00F73F0E"/>
    <w:rsid w:val="00F74D64"/>
    <w:rsid w:val="00F76C59"/>
    <w:rsid w:val="00F77523"/>
    <w:rsid w:val="00F77EA0"/>
    <w:rsid w:val="00F813E1"/>
    <w:rsid w:val="00F8260E"/>
    <w:rsid w:val="00F82D60"/>
    <w:rsid w:val="00F83500"/>
    <w:rsid w:val="00F83504"/>
    <w:rsid w:val="00F852C8"/>
    <w:rsid w:val="00F85929"/>
    <w:rsid w:val="00F86337"/>
    <w:rsid w:val="00F8704D"/>
    <w:rsid w:val="00F87BAE"/>
    <w:rsid w:val="00F906D3"/>
    <w:rsid w:val="00F90C29"/>
    <w:rsid w:val="00F90FAA"/>
    <w:rsid w:val="00F93103"/>
    <w:rsid w:val="00F93765"/>
    <w:rsid w:val="00F93D6F"/>
    <w:rsid w:val="00F94243"/>
    <w:rsid w:val="00F945CC"/>
    <w:rsid w:val="00F95877"/>
    <w:rsid w:val="00F96754"/>
    <w:rsid w:val="00FA224E"/>
    <w:rsid w:val="00FA55B9"/>
    <w:rsid w:val="00FB09F0"/>
    <w:rsid w:val="00FB0D85"/>
    <w:rsid w:val="00FB103D"/>
    <w:rsid w:val="00FB111D"/>
    <w:rsid w:val="00FB1837"/>
    <w:rsid w:val="00FB1988"/>
    <w:rsid w:val="00FB1D6B"/>
    <w:rsid w:val="00FB3871"/>
    <w:rsid w:val="00FB3CA0"/>
    <w:rsid w:val="00FB4496"/>
    <w:rsid w:val="00FB51DB"/>
    <w:rsid w:val="00FB635D"/>
    <w:rsid w:val="00FB6CCA"/>
    <w:rsid w:val="00FC1F9D"/>
    <w:rsid w:val="00FC261D"/>
    <w:rsid w:val="00FC2B51"/>
    <w:rsid w:val="00FC33B4"/>
    <w:rsid w:val="00FC53E1"/>
    <w:rsid w:val="00FC59B6"/>
    <w:rsid w:val="00FD1DDE"/>
    <w:rsid w:val="00FD29E7"/>
    <w:rsid w:val="00FD4195"/>
    <w:rsid w:val="00FD49F7"/>
    <w:rsid w:val="00FD4B97"/>
    <w:rsid w:val="00FD63D3"/>
    <w:rsid w:val="00FD6C39"/>
    <w:rsid w:val="00FE05F1"/>
    <w:rsid w:val="00FE4192"/>
    <w:rsid w:val="00FE66D1"/>
    <w:rsid w:val="00FE6793"/>
    <w:rsid w:val="00FF0123"/>
    <w:rsid w:val="00FF051E"/>
    <w:rsid w:val="00FF125E"/>
    <w:rsid w:val="00FF2BFC"/>
    <w:rsid w:val="00FF42FB"/>
    <w:rsid w:val="00FF4BA8"/>
    <w:rsid w:val="00FF4E81"/>
    <w:rsid w:val="00FF59A8"/>
    <w:rsid w:val="00FF5BFF"/>
    <w:rsid w:val="00FF68EE"/>
    <w:rsid w:val="00FF71DE"/>
    <w:rsid w:val="00FF76DB"/>
    <w:rsid w:val="00FF789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3F3B1D"/>
  <w15:docId w15:val="{B53CC41B-CACB-412F-A0F8-08D0F69A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3D8C"/>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3D8C"/>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3D8C"/>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E3D8C"/>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E3D8C"/>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E3D8C"/>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E3D8C"/>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E3D8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3D8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list,Colorful List - Accent 11,Colorful List - Accent 12,H&amp;P List Paragraph,List Paragraph1,List1,Normal bullet 2,Saraksta rindkopa,Saraksta rindkopa1,Strip,Punkti ar numuriem"/>
    <w:basedOn w:val="Normal"/>
    <w:link w:val="ListParagraphChar"/>
    <w:uiPriority w:val="34"/>
    <w:qFormat/>
    <w:rsid w:val="005F39DE"/>
    <w:pPr>
      <w:ind w:left="720"/>
      <w:contextualSpacing/>
    </w:pPr>
  </w:style>
  <w:style w:type="table" w:styleId="TableGrid">
    <w:name w:val="Table Grid"/>
    <w:basedOn w:val="TableNormal"/>
    <w:uiPriority w:val="39"/>
    <w:rsid w:val="005E6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5FD0"/>
    <w:rPr>
      <w:sz w:val="16"/>
      <w:szCs w:val="16"/>
    </w:rPr>
  </w:style>
  <w:style w:type="paragraph" w:styleId="CommentText">
    <w:name w:val="annotation text"/>
    <w:basedOn w:val="Normal"/>
    <w:link w:val="CommentTextChar"/>
    <w:uiPriority w:val="99"/>
    <w:unhideWhenUsed/>
    <w:rsid w:val="004F5FD0"/>
    <w:pPr>
      <w:spacing w:line="240" w:lineRule="auto"/>
    </w:pPr>
    <w:rPr>
      <w:sz w:val="20"/>
      <w:szCs w:val="20"/>
    </w:rPr>
  </w:style>
  <w:style w:type="character" w:customStyle="1" w:styleId="CommentTextChar">
    <w:name w:val="Comment Text Char"/>
    <w:basedOn w:val="DefaultParagraphFont"/>
    <w:link w:val="CommentText"/>
    <w:uiPriority w:val="99"/>
    <w:rsid w:val="004F5FD0"/>
    <w:rPr>
      <w:sz w:val="20"/>
      <w:szCs w:val="20"/>
    </w:rPr>
  </w:style>
  <w:style w:type="paragraph" w:styleId="CommentSubject">
    <w:name w:val="annotation subject"/>
    <w:basedOn w:val="CommentText"/>
    <w:next w:val="CommentText"/>
    <w:link w:val="CommentSubjectChar"/>
    <w:uiPriority w:val="99"/>
    <w:semiHidden/>
    <w:unhideWhenUsed/>
    <w:rsid w:val="004F5FD0"/>
    <w:rPr>
      <w:b/>
      <w:bCs/>
    </w:rPr>
  </w:style>
  <w:style w:type="character" w:customStyle="1" w:styleId="CommentSubjectChar">
    <w:name w:val="Comment Subject Char"/>
    <w:basedOn w:val="CommentTextChar"/>
    <w:link w:val="CommentSubject"/>
    <w:uiPriority w:val="99"/>
    <w:semiHidden/>
    <w:rsid w:val="004F5FD0"/>
    <w:rPr>
      <w:b/>
      <w:bCs/>
      <w:sz w:val="20"/>
      <w:szCs w:val="20"/>
    </w:rPr>
  </w:style>
  <w:style w:type="paragraph" w:styleId="BalloonText">
    <w:name w:val="Balloon Text"/>
    <w:basedOn w:val="Normal"/>
    <w:link w:val="BalloonTextChar"/>
    <w:uiPriority w:val="99"/>
    <w:semiHidden/>
    <w:unhideWhenUsed/>
    <w:rsid w:val="004F5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D0"/>
    <w:rPr>
      <w:rFonts w:ascii="Segoe UI" w:hAnsi="Segoe UI" w:cs="Segoe UI"/>
      <w:sz w:val="18"/>
      <w:szCs w:val="18"/>
    </w:rPr>
  </w:style>
  <w:style w:type="table" w:customStyle="1" w:styleId="ListTable6Colorful-Accent31">
    <w:name w:val="List Table 6 Colorful - Accent 31"/>
    <w:basedOn w:val="TableNormal"/>
    <w:uiPriority w:val="51"/>
    <w:rsid w:val="003B175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61">
    <w:name w:val="List Table 2 - Accent 61"/>
    <w:basedOn w:val="TableNormal"/>
    <w:uiPriority w:val="47"/>
    <w:rsid w:val="003B175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Accent31">
    <w:name w:val="List Table 2 - Accent 31"/>
    <w:basedOn w:val="TableNormal"/>
    <w:uiPriority w:val="47"/>
    <w:rsid w:val="003B175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1">
    <w:name w:val="Grid Table 4 - Accent 31"/>
    <w:basedOn w:val="TableNormal"/>
    <w:uiPriority w:val="49"/>
    <w:rsid w:val="00107DF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1">
    <w:name w:val="Grid Table 1 Light - Accent 31"/>
    <w:basedOn w:val="TableNormal"/>
    <w:uiPriority w:val="46"/>
    <w:rsid w:val="00107DF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07DF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7Colorful-Accent31">
    <w:name w:val="Grid Table 7 Colorful - Accent 31"/>
    <w:basedOn w:val="TableNormal"/>
    <w:uiPriority w:val="52"/>
    <w:rsid w:val="00107DF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Header">
    <w:name w:val="header"/>
    <w:basedOn w:val="Normal"/>
    <w:link w:val="HeaderChar"/>
    <w:uiPriority w:val="99"/>
    <w:unhideWhenUsed/>
    <w:rsid w:val="003A4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880"/>
  </w:style>
  <w:style w:type="paragraph" w:styleId="Footer">
    <w:name w:val="footer"/>
    <w:basedOn w:val="Normal"/>
    <w:link w:val="FooterChar"/>
    <w:uiPriority w:val="99"/>
    <w:unhideWhenUsed/>
    <w:rsid w:val="003A4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880"/>
  </w:style>
  <w:style w:type="paragraph" w:styleId="Caption">
    <w:name w:val="caption"/>
    <w:basedOn w:val="Normal"/>
    <w:next w:val="Normal"/>
    <w:link w:val="CaptionChar"/>
    <w:uiPriority w:val="35"/>
    <w:unhideWhenUsed/>
    <w:qFormat/>
    <w:rsid w:val="00FB3CA0"/>
    <w:pPr>
      <w:spacing w:before="240" w:after="120" w:line="240" w:lineRule="auto"/>
      <w:ind w:firstLine="340"/>
      <w:jc w:val="both"/>
    </w:pPr>
    <w:rPr>
      <w:rFonts w:ascii="Times New Roman" w:eastAsiaTheme="minorEastAsia" w:hAnsi="Times New Roman"/>
      <w:b/>
      <w:bCs/>
      <w:color w:val="404040" w:themeColor="text1" w:themeTint="BF"/>
      <w:sz w:val="20"/>
      <w:szCs w:val="20"/>
    </w:rPr>
  </w:style>
  <w:style w:type="character" w:customStyle="1" w:styleId="CaptionChar">
    <w:name w:val="Caption Char"/>
    <w:link w:val="Caption"/>
    <w:uiPriority w:val="35"/>
    <w:locked/>
    <w:rsid w:val="00FB3CA0"/>
    <w:rPr>
      <w:rFonts w:ascii="Times New Roman" w:eastAsiaTheme="minorEastAsia" w:hAnsi="Times New Roman"/>
      <w:b/>
      <w:bCs/>
      <w:color w:val="404040" w:themeColor="text1" w:themeTint="BF"/>
      <w:sz w:val="20"/>
      <w:szCs w:val="20"/>
    </w:rPr>
  </w:style>
  <w:style w:type="paragraph" w:customStyle="1" w:styleId="BulletF">
    <w:name w:val="Bullet F"/>
    <w:basedOn w:val="Normal"/>
    <w:autoRedefine/>
    <w:rsid w:val="00FB3CA0"/>
    <w:pPr>
      <w:numPr>
        <w:numId w:val="1"/>
      </w:numPr>
      <w:tabs>
        <w:tab w:val="left" w:pos="284"/>
        <w:tab w:val="left" w:leader="dot" w:pos="397"/>
        <w:tab w:val="left" w:pos="567"/>
      </w:tabs>
      <w:spacing w:before="60" w:after="60" w:line="240" w:lineRule="auto"/>
      <w:ind w:left="0" w:firstLine="567"/>
      <w:jc w:val="both"/>
    </w:pPr>
    <w:rPr>
      <w:rFonts w:ascii="Times New Roman" w:eastAsia="SimSun" w:hAnsi="Times New Roman" w:cs="Times New Roman"/>
      <w:sz w:val="24"/>
      <w:szCs w:val="24"/>
      <w:lang w:eastAsia="zh-CN" w:bidi="lo-LA"/>
    </w:rPr>
  </w:style>
  <w:style w:type="character" w:customStyle="1" w:styleId="Heading1Char">
    <w:name w:val="Heading 1 Char"/>
    <w:basedOn w:val="DefaultParagraphFont"/>
    <w:link w:val="Heading1"/>
    <w:uiPriority w:val="9"/>
    <w:rsid w:val="003E3D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E3D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E3D8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E3D8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E3D8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E3D8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E3D8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E3D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E3D8C"/>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A80A80"/>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A80A80"/>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A80A80"/>
    <w:rPr>
      <w:vertAlign w:val="superscript"/>
    </w:rPr>
  </w:style>
  <w:style w:type="character" w:styleId="Hyperlink">
    <w:name w:val="Hyperlink"/>
    <w:basedOn w:val="DefaultParagraphFont"/>
    <w:uiPriority w:val="99"/>
    <w:unhideWhenUsed/>
    <w:rsid w:val="00A80A80"/>
    <w:rPr>
      <w:color w:val="0563C1" w:themeColor="hyperlink"/>
      <w:u w:val="single"/>
    </w:rPr>
  </w:style>
  <w:style w:type="paragraph" w:styleId="NormalWeb">
    <w:name w:val="Normal (Web)"/>
    <w:basedOn w:val="Normal"/>
    <w:uiPriority w:val="99"/>
    <w:unhideWhenUsed/>
    <w:rsid w:val="00344022"/>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NoSpacing">
    <w:name w:val="No Spacing"/>
    <w:link w:val="NoSpacingChar"/>
    <w:uiPriority w:val="1"/>
    <w:qFormat/>
    <w:rsid w:val="00CA2F4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A2F4F"/>
    <w:rPr>
      <w:rFonts w:eastAsiaTheme="minorEastAsia"/>
      <w:lang w:val="en-US"/>
    </w:rPr>
  </w:style>
  <w:style w:type="paragraph" w:styleId="TOCHeading">
    <w:name w:val="TOC Heading"/>
    <w:basedOn w:val="Heading1"/>
    <w:next w:val="Normal"/>
    <w:uiPriority w:val="39"/>
    <w:unhideWhenUsed/>
    <w:qFormat/>
    <w:rsid w:val="00CA2F4F"/>
    <w:pPr>
      <w:numPr>
        <w:numId w:val="0"/>
      </w:numPr>
      <w:outlineLvl w:val="9"/>
    </w:pPr>
    <w:rPr>
      <w:lang w:val="en-US"/>
    </w:rPr>
  </w:style>
  <w:style w:type="paragraph" w:styleId="TOC1">
    <w:name w:val="toc 1"/>
    <w:basedOn w:val="Normal"/>
    <w:next w:val="Normal"/>
    <w:autoRedefine/>
    <w:uiPriority w:val="39"/>
    <w:unhideWhenUsed/>
    <w:rsid w:val="00CA2F4F"/>
    <w:pPr>
      <w:spacing w:after="100"/>
    </w:pPr>
  </w:style>
  <w:style w:type="paragraph" w:styleId="TOC2">
    <w:name w:val="toc 2"/>
    <w:basedOn w:val="Normal"/>
    <w:next w:val="Normal"/>
    <w:autoRedefine/>
    <w:uiPriority w:val="39"/>
    <w:unhideWhenUsed/>
    <w:rsid w:val="00CA2F4F"/>
    <w:pPr>
      <w:spacing w:after="100"/>
      <w:ind w:left="220"/>
    </w:pPr>
  </w:style>
  <w:style w:type="paragraph" w:styleId="TOC3">
    <w:name w:val="toc 3"/>
    <w:basedOn w:val="Normal"/>
    <w:next w:val="Normal"/>
    <w:autoRedefine/>
    <w:uiPriority w:val="39"/>
    <w:unhideWhenUsed/>
    <w:rsid w:val="00CA2F4F"/>
    <w:pPr>
      <w:spacing w:after="100"/>
      <w:ind w:left="440"/>
    </w:pPr>
  </w:style>
  <w:style w:type="character" w:styleId="FollowedHyperlink">
    <w:name w:val="FollowedHyperlink"/>
    <w:basedOn w:val="DefaultParagraphFont"/>
    <w:uiPriority w:val="99"/>
    <w:semiHidden/>
    <w:unhideWhenUsed/>
    <w:rsid w:val="005A436B"/>
    <w:rPr>
      <w:color w:val="954F72" w:themeColor="followedHyperlink"/>
      <w:u w:val="single"/>
    </w:rPr>
  </w:style>
  <w:style w:type="paragraph" w:customStyle="1" w:styleId="Default">
    <w:name w:val="Default"/>
    <w:rsid w:val="00A470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7C58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583D"/>
    <w:rPr>
      <w:rFonts w:asciiTheme="majorHAnsi" w:eastAsiaTheme="majorEastAsia" w:hAnsiTheme="majorHAnsi" w:cstheme="majorBidi"/>
      <w:spacing w:val="-10"/>
      <w:kern w:val="28"/>
      <w:sz w:val="56"/>
      <w:szCs w:val="56"/>
    </w:rPr>
  </w:style>
  <w:style w:type="paragraph" w:customStyle="1" w:styleId="CharCharCharChar">
    <w:name w:val="Char Char Char Char"/>
    <w:aliases w:val="Char2"/>
    <w:basedOn w:val="Normal"/>
    <w:next w:val="Normal"/>
    <w:link w:val="FootnoteReference"/>
    <w:uiPriority w:val="99"/>
    <w:rsid w:val="00B0444D"/>
    <w:pPr>
      <w:spacing w:line="240" w:lineRule="exact"/>
      <w:jc w:val="both"/>
      <w:textAlignment w:val="baseline"/>
    </w:pPr>
    <w:rPr>
      <w:vertAlign w:val="superscript"/>
    </w:rPr>
  </w:style>
  <w:style w:type="character" w:styleId="Strong">
    <w:name w:val="Strong"/>
    <w:basedOn w:val="DefaultParagraphFont"/>
    <w:uiPriority w:val="22"/>
    <w:qFormat/>
    <w:rsid w:val="00966C01"/>
    <w:rPr>
      <w:b/>
      <w:bCs/>
    </w:rPr>
  </w:style>
  <w:style w:type="paragraph" w:customStyle="1" w:styleId="tv213">
    <w:name w:val="tv213"/>
    <w:basedOn w:val="Normal"/>
    <w:rsid w:val="000253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2 Char,Akapit z listą BS Char,Bullet list Char,Colorful List - Accent 11 Char,Colorful List - Accent 12 Char,H&amp;P List Paragraph Char,List Paragraph1 Char,List1 Char,Normal bullet 2 Char,Saraksta rindkopa Char,Saraksta rindkopa1 Char"/>
    <w:link w:val="ListParagraph"/>
    <w:uiPriority w:val="34"/>
    <w:qFormat/>
    <w:locked/>
    <w:rsid w:val="00F94243"/>
  </w:style>
  <w:style w:type="paragraph" w:customStyle="1" w:styleId="western">
    <w:name w:val="western"/>
    <w:basedOn w:val="Normal"/>
    <w:rsid w:val="00B35080"/>
    <w:pPr>
      <w:spacing w:after="0" w:line="240" w:lineRule="auto"/>
    </w:pPr>
    <w:rPr>
      <w:rFonts w:ascii="Times New Roman" w:hAnsi="Times New Roman" w:cs="Times New Roman"/>
      <w:sz w:val="24"/>
      <w:szCs w:val="24"/>
      <w:lang w:eastAsia="lv-LV"/>
    </w:rPr>
  </w:style>
  <w:style w:type="paragraph" w:styleId="BodyTextIndent">
    <w:name w:val="Body Text Indent"/>
    <w:basedOn w:val="Normal"/>
    <w:link w:val="BodyTextIndentChar"/>
    <w:rsid w:val="00F95877"/>
    <w:pPr>
      <w:spacing w:after="0" w:line="240" w:lineRule="auto"/>
      <w:ind w:firstLine="720"/>
      <w:jc w:val="both"/>
    </w:pPr>
    <w:rPr>
      <w:rFonts w:ascii="Times New Roman" w:eastAsia="Times New Roman" w:hAnsi="Times New Roman" w:cs="Times New Roman"/>
      <w:bCs/>
      <w:iCs/>
      <w:sz w:val="26"/>
      <w:szCs w:val="26"/>
      <w:lang w:val="x-none"/>
    </w:rPr>
  </w:style>
  <w:style w:type="character" w:customStyle="1" w:styleId="BodyTextIndentChar">
    <w:name w:val="Body Text Indent Char"/>
    <w:basedOn w:val="DefaultParagraphFont"/>
    <w:link w:val="BodyTextIndent"/>
    <w:rsid w:val="00F95877"/>
    <w:rPr>
      <w:rFonts w:ascii="Times New Roman" w:eastAsia="Times New Roman" w:hAnsi="Times New Roman" w:cs="Times New Roman"/>
      <w:bCs/>
      <w:iCs/>
      <w:sz w:val="26"/>
      <w:szCs w:val="2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7992">
      <w:bodyDiv w:val="1"/>
      <w:marLeft w:val="0"/>
      <w:marRight w:val="0"/>
      <w:marTop w:val="0"/>
      <w:marBottom w:val="0"/>
      <w:divBdr>
        <w:top w:val="none" w:sz="0" w:space="0" w:color="auto"/>
        <w:left w:val="none" w:sz="0" w:space="0" w:color="auto"/>
        <w:bottom w:val="none" w:sz="0" w:space="0" w:color="auto"/>
        <w:right w:val="none" w:sz="0" w:space="0" w:color="auto"/>
      </w:divBdr>
    </w:div>
    <w:div w:id="47146362">
      <w:bodyDiv w:val="1"/>
      <w:marLeft w:val="0"/>
      <w:marRight w:val="0"/>
      <w:marTop w:val="0"/>
      <w:marBottom w:val="0"/>
      <w:divBdr>
        <w:top w:val="none" w:sz="0" w:space="0" w:color="auto"/>
        <w:left w:val="none" w:sz="0" w:space="0" w:color="auto"/>
        <w:bottom w:val="none" w:sz="0" w:space="0" w:color="auto"/>
        <w:right w:val="none" w:sz="0" w:space="0" w:color="auto"/>
      </w:divBdr>
    </w:div>
    <w:div w:id="86654640">
      <w:bodyDiv w:val="1"/>
      <w:marLeft w:val="0"/>
      <w:marRight w:val="0"/>
      <w:marTop w:val="0"/>
      <w:marBottom w:val="0"/>
      <w:divBdr>
        <w:top w:val="none" w:sz="0" w:space="0" w:color="auto"/>
        <w:left w:val="none" w:sz="0" w:space="0" w:color="auto"/>
        <w:bottom w:val="none" w:sz="0" w:space="0" w:color="auto"/>
        <w:right w:val="none" w:sz="0" w:space="0" w:color="auto"/>
      </w:divBdr>
    </w:div>
    <w:div w:id="100300782">
      <w:bodyDiv w:val="1"/>
      <w:marLeft w:val="0"/>
      <w:marRight w:val="0"/>
      <w:marTop w:val="0"/>
      <w:marBottom w:val="0"/>
      <w:divBdr>
        <w:top w:val="none" w:sz="0" w:space="0" w:color="auto"/>
        <w:left w:val="none" w:sz="0" w:space="0" w:color="auto"/>
        <w:bottom w:val="none" w:sz="0" w:space="0" w:color="auto"/>
        <w:right w:val="none" w:sz="0" w:space="0" w:color="auto"/>
      </w:divBdr>
    </w:div>
    <w:div w:id="170947391">
      <w:bodyDiv w:val="1"/>
      <w:marLeft w:val="0"/>
      <w:marRight w:val="0"/>
      <w:marTop w:val="0"/>
      <w:marBottom w:val="0"/>
      <w:divBdr>
        <w:top w:val="none" w:sz="0" w:space="0" w:color="auto"/>
        <w:left w:val="none" w:sz="0" w:space="0" w:color="auto"/>
        <w:bottom w:val="none" w:sz="0" w:space="0" w:color="auto"/>
        <w:right w:val="none" w:sz="0" w:space="0" w:color="auto"/>
      </w:divBdr>
    </w:div>
    <w:div w:id="259872050">
      <w:bodyDiv w:val="1"/>
      <w:marLeft w:val="0"/>
      <w:marRight w:val="0"/>
      <w:marTop w:val="0"/>
      <w:marBottom w:val="0"/>
      <w:divBdr>
        <w:top w:val="none" w:sz="0" w:space="0" w:color="auto"/>
        <w:left w:val="none" w:sz="0" w:space="0" w:color="auto"/>
        <w:bottom w:val="none" w:sz="0" w:space="0" w:color="auto"/>
        <w:right w:val="none" w:sz="0" w:space="0" w:color="auto"/>
      </w:divBdr>
    </w:div>
    <w:div w:id="426653562">
      <w:bodyDiv w:val="1"/>
      <w:marLeft w:val="0"/>
      <w:marRight w:val="0"/>
      <w:marTop w:val="0"/>
      <w:marBottom w:val="0"/>
      <w:divBdr>
        <w:top w:val="none" w:sz="0" w:space="0" w:color="auto"/>
        <w:left w:val="none" w:sz="0" w:space="0" w:color="auto"/>
        <w:bottom w:val="none" w:sz="0" w:space="0" w:color="auto"/>
        <w:right w:val="none" w:sz="0" w:space="0" w:color="auto"/>
      </w:divBdr>
    </w:div>
    <w:div w:id="505638052">
      <w:bodyDiv w:val="1"/>
      <w:marLeft w:val="0"/>
      <w:marRight w:val="0"/>
      <w:marTop w:val="0"/>
      <w:marBottom w:val="0"/>
      <w:divBdr>
        <w:top w:val="none" w:sz="0" w:space="0" w:color="auto"/>
        <w:left w:val="none" w:sz="0" w:space="0" w:color="auto"/>
        <w:bottom w:val="none" w:sz="0" w:space="0" w:color="auto"/>
        <w:right w:val="none" w:sz="0" w:space="0" w:color="auto"/>
      </w:divBdr>
    </w:div>
    <w:div w:id="524295747">
      <w:bodyDiv w:val="1"/>
      <w:marLeft w:val="0"/>
      <w:marRight w:val="0"/>
      <w:marTop w:val="0"/>
      <w:marBottom w:val="0"/>
      <w:divBdr>
        <w:top w:val="none" w:sz="0" w:space="0" w:color="auto"/>
        <w:left w:val="none" w:sz="0" w:space="0" w:color="auto"/>
        <w:bottom w:val="none" w:sz="0" w:space="0" w:color="auto"/>
        <w:right w:val="none" w:sz="0" w:space="0" w:color="auto"/>
      </w:divBdr>
    </w:div>
    <w:div w:id="640765058">
      <w:bodyDiv w:val="1"/>
      <w:marLeft w:val="0"/>
      <w:marRight w:val="0"/>
      <w:marTop w:val="0"/>
      <w:marBottom w:val="0"/>
      <w:divBdr>
        <w:top w:val="none" w:sz="0" w:space="0" w:color="auto"/>
        <w:left w:val="none" w:sz="0" w:space="0" w:color="auto"/>
        <w:bottom w:val="none" w:sz="0" w:space="0" w:color="auto"/>
        <w:right w:val="none" w:sz="0" w:space="0" w:color="auto"/>
      </w:divBdr>
    </w:div>
    <w:div w:id="756442220">
      <w:bodyDiv w:val="1"/>
      <w:marLeft w:val="0"/>
      <w:marRight w:val="0"/>
      <w:marTop w:val="0"/>
      <w:marBottom w:val="0"/>
      <w:divBdr>
        <w:top w:val="none" w:sz="0" w:space="0" w:color="auto"/>
        <w:left w:val="none" w:sz="0" w:space="0" w:color="auto"/>
        <w:bottom w:val="none" w:sz="0" w:space="0" w:color="auto"/>
        <w:right w:val="none" w:sz="0" w:space="0" w:color="auto"/>
      </w:divBdr>
    </w:div>
    <w:div w:id="765463940">
      <w:bodyDiv w:val="1"/>
      <w:marLeft w:val="0"/>
      <w:marRight w:val="0"/>
      <w:marTop w:val="0"/>
      <w:marBottom w:val="0"/>
      <w:divBdr>
        <w:top w:val="none" w:sz="0" w:space="0" w:color="auto"/>
        <w:left w:val="none" w:sz="0" w:space="0" w:color="auto"/>
        <w:bottom w:val="none" w:sz="0" w:space="0" w:color="auto"/>
        <w:right w:val="none" w:sz="0" w:space="0" w:color="auto"/>
      </w:divBdr>
    </w:div>
    <w:div w:id="770512881">
      <w:bodyDiv w:val="1"/>
      <w:marLeft w:val="0"/>
      <w:marRight w:val="0"/>
      <w:marTop w:val="0"/>
      <w:marBottom w:val="0"/>
      <w:divBdr>
        <w:top w:val="none" w:sz="0" w:space="0" w:color="auto"/>
        <w:left w:val="none" w:sz="0" w:space="0" w:color="auto"/>
        <w:bottom w:val="none" w:sz="0" w:space="0" w:color="auto"/>
        <w:right w:val="none" w:sz="0" w:space="0" w:color="auto"/>
      </w:divBdr>
    </w:div>
    <w:div w:id="847211823">
      <w:bodyDiv w:val="1"/>
      <w:marLeft w:val="0"/>
      <w:marRight w:val="0"/>
      <w:marTop w:val="0"/>
      <w:marBottom w:val="0"/>
      <w:divBdr>
        <w:top w:val="none" w:sz="0" w:space="0" w:color="auto"/>
        <w:left w:val="none" w:sz="0" w:space="0" w:color="auto"/>
        <w:bottom w:val="none" w:sz="0" w:space="0" w:color="auto"/>
        <w:right w:val="none" w:sz="0" w:space="0" w:color="auto"/>
      </w:divBdr>
    </w:div>
    <w:div w:id="872499897">
      <w:bodyDiv w:val="1"/>
      <w:marLeft w:val="0"/>
      <w:marRight w:val="0"/>
      <w:marTop w:val="0"/>
      <w:marBottom w:val="0"/>
      <w:divBdr>
        <w:top w:val="none" w:sz="0" w:space="0" w:color="auto"/>
        <w:left w:val="none" w:sz="0" w:space="0" w:color="auto"/>
        <w:bottom w:val="none" w:sz="0" w:space="0" w:color="auto"/>
        <w:right w:val="none" w:sz="0" w:space="0" w:color="auto"/>
      </w:divBdr>
    </w:div>
    <w:div w:id="920723893">
      <w:bodyDiv w:val="1"/>
      <w:marLeft w:val="0"/>
      <w:marRight w:val="0"/>
      <w:marTop w:val="0"/>
      <w:marBottom w:val="0"/>
      <w:divBdr>
        <w:top w:val="none" w:sz="0" w:space="0" w:color="auto"/>
        <w:left w:val="none" w:sz="0" w:space="0" w:color="auto"/>
        <w:bottom w:val="none" w:sz="0" w:space="0" w:color="auto"/>
        <w:right w:val="none" w:sz="0" w:space="0" w:color="auto"/>
      </w:divBdr>
    </w:div>
    <w:div w:id="929462219">
      <w:bodyDiv w:val="1"/>
      <w:marLeft w:val="0"/>
      <w:marRight w:val="0"/>
      <w:marTop w:val="0"/>
      <w:marBottom w:val="0"/>
      <w:divBdr>
        <w:top w:val="none" w:sz="0" w:space="0" w:color="auto"/>
        <w:left w:val="none" w:sz="0" w:space="0" w:color="auto"/>
        <w:bottom w:val="none" w:sz="0" w:space="0" w:color="auto"/>
        <w:right w:val="none" w:sz="0" w:space="0" w:color="auto"/>
      </w:divBdr>
    </w:div>
    <w:div w:id="994181995">
      <w:bodyDiv w:val="1"/>
      <w:marLeft w:val="0"/>
      <w:marRight w:val="0"/>
      <w:marTop w:val="0"/>
      <w:marBottom w:val="0"/>
      <w:divBdr>
        <w:top w:val="none" w:sz="0" w:space="0" w:color="auto"/>
        <w:left w:val="none" w:sz="0" w:space="0" w:color="auto"/>
        <w:bottom w:val="none" w:sz="0" w:space="0" w:color="auto"/>
        <w:right w:val="none" w:sz="0" w:space="0" w:color="auto"/>
      </w:divBdr>
    </w:div>
    <w:div w:id="1036854690">
      <w:bodyDiv w:val="1"/>
      <w:marLeft w:val="0"/>
      <w:marRight w:val="0"/>
      <w:marTop w:val="0"/>
      <w:marBottom w:val="0"/>
      <w:divBdr>
        <w:top w:val="none" w:sz="0" w:space="0" w:color="auto"/>
        <w:left w:val="none" w:sz="0" w:space="0" w:color="auto"/>
        <w:bottom w:val="none" w:sz="0" w:space="0" w:color="auto"/>
        <w:right w:val="none" w:sz="0" w:space="0" w:color="auto"/>
      </w:divBdr>
    </w:div>
    <w:div w:id="1068452932">
      <w:bodyDiv w:val="1"/>
      <w:marLeft w:val="0"/>
      <w:marRight w:val="0"/>
      <w:marTop w:val="0"/>
      <w:marBottom w:val="0"/>
      <w:divBdr>
        <w:top w:val="none" w:sz="0" w:space="0" w:color="auto"/>
        <w:left w:val="none" w:sz="0" w:space="0" w:color="auto"/>
        <w:bottom w:val="none" w:sz="0" w:space="0" w:color="auto"/>
        <w:right w:val="none" w:sz="0" w:space="0" w:color="auto"/>
      </w:divBdr>
    </w:div>
    <w:div w:id="1076049125">
      <w:bodyDiv w:val="1"/>
      <w:marLeft w:val="0"/>
      <w:marRight w:val="0"/>
      <w:marTop w:val="0"/>
      <w:marBottom w:val="0"/>
      <w:divBdr>
        <w:top w:val="none" w:sz="0" w:space="0" w:color="auto"/>
        <w:left w:val="none" w:sz="0" w:space="0" w:color="auto"/>
        <w:bottom w:val="none" w:sz="0" w:space="0" w:color="auto"/>
        <w:right w:val="none" w:sz="0" w:space="0" w:color="auto"/>
      </w:divBdr>
    </w:div>
    <w:div w:id="1185755500">
      <w:bodyDiv w:val="1"/>
      <w:marLeft w:val="0"/>
      <w:marRight w:val="0"/>
      <w:marTop w:val="0"/>
      <w:marBottom w:val="0"/>
      <w:divBdr>
        <w:top w:val="none" w:sz="0" w:space="0" w:color="auto"/>
        <w:left w:val="none" w:sz="0" w:space="0" w:color="auto"/>
        <w:bottom w:val="none" w:sz="0" w:space="0" w:color="auto"/>
        <w:right w:val="none" w:sz="0" w:space="0" w:color="auto"/>
      </w:divBdr>
    </w:div>
    <w:div w:id="1456480185">
      <w:bodyDiv w:val="1"/>
      <w:marLeft w:val="0"/>
      <w:marRight w:val="0"/>
      <w:marTop w:val="0"/>
      <w:marBottom w:val="0"/>
      <w:divBdr>
        <w:top w:val="none" w:sz="0" w:space="0" w:color="auto"/>
        <w:left w:val="none" w:sz="0" w:space="0" w:color="auto"/>
        <w:bottom w:val="none" w:sz="0" w:space="0" w:color="auto"/>
        <w:right w:val="none" w:sz="0" w:space="0" w:color="auto"/>
      </w:divBdr>
    </w:div>
    <w:div w:id="1482232446">
      <w:bodyDiv w:val="1"/>
      <w:marLeft w:val="0"/>
      <w:marRight w:val="0"/>
      <w:marTop w:val="0"/>
      <w:marBottom w:val="0"/>
      <w:divBdr>
        <w:top w:val="none" w:sz="0" w:space="0" w:color="auto"/>
        <w:left w:val="none" w:sz="0" w:space="0" w:color="auto"/>
        <w:bottom w:val="none" w:sz="0" w:space="0" w:color="auto"/>
        <w:right w:val="none" w:sz="0" w:space="0" w:color="auto"/>
      </w:divBdr>
    </w:div>
    <w:div w:id="1487625595">
      <w:bodyDiv w:val="1"/>
      <w:marLeft w:val="0"/>
      <w:marRight w:val="0"/>
      <w:marTop w:val="0"/>
      <w:marBottom w:val="0"/>
      <w:divBdr>
        <w:top w:val="none" w:sz="0" w:space="0" w:color="auto"/>
        <w:left w:val="none" w:sz="0" w:space="0" w:color="auto"/>
        <w:bottom w:val="none" w:sz="0" w:space="0" w:color="auto"/>
        <w:right w:val="none" w:sz="0" w:space="0" w:color="auto"/>
      </w:divBdr>
    </w:div>
    <w:div w:id="1537891719">
      <w:bodyDiv w:val="1"/>
      <w:marLeft w:val="0"/>
      <w:marRight w:val="0"/>
      <w:marTop w:val="0"/>
      <w:marBottom w:val="0"/>
      <w:divBdr>
        <w:top w:val="none" w:sz="0" w:space="0" w:color="auto"/>
        <w:left w:val="none" w:sz="0" w:space="0" w:color="auto"/>
        <w:bottom w:val="none" w:sz="0" w:space="0" w:color="auto"/>
        <w:right w:val="none" w:sz="0" w:space="0" w:color="auto"/>
      </w:divBdr>
    </w:div>
    <w:div w:id="1578854875">
      <w:bodyDiv w:val="1"/>
      <w:marLeft w:val="0"/>
      <w:marRight w:val="0"/>
      <w:marTop w:val="0"/>
      <w:marBottom w:val="0"/>
      <w:divBdr>
        <w:top w:val="none" w:sz="0" w:space="0" w:color="auto"/>
        <w:left w:val="none" w:sz="0" w:space="0" w:color="auto"/>
        <w:bottom w:val="none" w:sz="0" w:space="0" w:color="auto"/>
        <w:right w:val="none" w:sz="0" w:space="0" w:color="auto"/>
      </w:divBdr>
    </w:div>
    <w:div w:id="1699768790">
      <w:bodyDiv w:val="1"/>
      <w:marLeft w:val="0"/>
      <w:marRight w:val="0"/>
      <w:marTop w:val="0"/>
      <w:marBottom w:val="0"/>
      <w:divBdr>
        <w:top w:val="none" w:sz="0" w:space="0" w:color="auto"/>
        <w:left w:val="none" w:sz="0" w:space="0" w:color="auto"/>
        <w:bottom w:val="none" w:sz="0" w:space="0" w:color="auto"/>
        <w:right w:val="none" w:sz="0" w:space="0" w:color="auto"/>
      </w:divBdr>
    </w:div>
    <w:div w:id="1715613093">
      <w:bodyDiv w:val="1"/>
      <w:marLeft w:val="0"/>
      <w:marRight w:val="0"/>
      <w:marTop w:val="0"/>
      <w:marBottom w:val="0"/>
      <w:divBdr>
        <w:top w:val="none" w:sz="0" w:space="0" w:color="auto"/>
        <w:left w:val="none" w:sz="0" w:space="0" w:color="auto"/>
        <w:bottom w:val="none" w:sz="0" w:space="0" w:color="auto"/>
        <w:right w:val="none" w:sz="0" w:space="0" w:color="auto"/>
      </w:divBdr>
    </w:div>
    <w:div w:id="1750881997">
      <w:bodyDiv w:val="1"/>
      <w:marLeft w:val="0"/>
      <w:marRight w:val="0"/>
      <w:marTop w:val="0"/>
      <w:marBottom w:val="0"/>
      <w:divBdr>
        <w:top w:val="none" w:sz="0" w:space="0" w:color="auto"/>
        <w:left w:val="none" w:sz="0" w:space="0" w:color="auto"/>
        <w:bottom w:val="none" w:sz="0" w:space="0" w:color="auto"/>
        <w:right w:val="none" w:sz="0" w:space="0" w:color="auto"/>
      </w:divBdr>
    </w:div>
    <w:div w:id="1788892711">
      <w:bodyDiv w:val="1"/>
      <w:marLeft w:val="0"/>
      <w:marRight w:val="0"/>
      <w:marTop w:val="0"/>
      <w:marBottom w:val="0"/>
      <w:divBdr>
        <w:top w:val="none" w:sz="0" w:space="0" w:color="auto"/>
        <w:left w:val="none" w:sz="0" w:space="0" w:color="auto"/>
        <w:bottom w:val="none" w:sz="0" w:space="0" w:color="auto"/>
        <w:right w:val="none" w:sz="0" w:space="0" w:color="auto"/>
      </w:divBdr>
    </w:div>
    <w:div w:id="1806658691">
      <w:bodyDiv w:val="1"/>
      <w:marLeft w:val="0"/>
      <w:marRight w:val="0"/>
      <w:marTop w:val="0"/>
      <w:marBottom w:val="0"/>
      <w:divBdr>
        <w:top w:val="none" w:sz="0" w:space="0" w:color="auto"/>
        <w:left w:val="none" w:sz="0" w:space="0" w:color="auto"/>
        <w:bottom w:val="none" w:sz="0" w:space="0" w:color="auto"/>
        <w:right w:val="none" w:sz="0" w:space="0" w:color="auto"/>
      </w:divBdr>
    </w:div>
    <w:div w:id="1830629302">
      <w:bodyDiv w:val="1"/>
      <w:marLeft w:val="0"/>
      <w:marRight w:val="0"/>
      <w:marTop w:val="0"/>
      <w:marBottom w:val="0"/>
      <w:divBdr>
        <w:top w:val="none" w:sz="0" w:space="0" w:color="auto"/>
        <w:left w:val="none" w:sz="0" w:space="0" w:color="auto"/>
        <w:bottom w:val="none" w:sz="0" w:space="0" w:color="auto"/>
        <w:right w:val="none" w:sz="0" w:space="0" w:color="auto"/>
      </w:divBdr>
    </w:div>
    <w:div w:id="1832794790">
      <w:bodyDiv w:val="1"/>
      <w:marLeft w:val="0"/>
      <w:marRight w:val="0"/>
      <w:marTop w:val="0"/>
      <w:marBottom w:val="0"/>
      <w:divBdr>
        <w:top w:val="none" w:sz="0" w:space="0" w:color="auto"/>
        <w:left w:val="none" w:sz="0" w:space="0" w:color="auto"/>
        <w:bottom w:val="none" w:sz="0" w:space="0" w:color="auto"/>
        <w:right w:val="none" w:sz="0" w:space="0" w:color="auto"/>
      </w:divBdr>
    </w:div>
    <w:div w:id="1840266273">
      <w:bodyDiv w:val="1"/>
      <w:marLeft w:val="0"/>
      <w:marRight w:val="0"/>
      <w:marTop w:val="0"/>
      <w:marBottom w:val="0"/>
      <w:divBdr>
        <w:top w:val="none" w:sz="0" w:space="0" w:color="auto"/>
        <w:left w:val="none" w:sz="0" w:space="0" w:color="auto"/>
        <w:bottom w:val="none" w:sz="0" w:space="0" w:color="auto"/>
        <w:right w:val="none" w:sz="0" w:space="0" w:color="auto"/>
      </w:divBdr>
    </w:div>
    <w:div w:id="1843546878">
      <w:bodyDiv w:val="1"/>
      <w:marLeft w:val="0"/>
      <w:marRight w:val="0"/>
      <w:marTop w:val="0"/>
      <w:marBottom w:val="0"/>
      <w:divBdr>
        <w:top w:val="none" w:sz="0" w:space="0" w:color="auto"/>
        <w:left w:val="none" w:sz="0" w:space="0" w:color="auto"/>
        <w:bottom w:val="none" w:sz="0" w:space="0" w:color="auto"/>
        <w:right w:val="none" w:sz="0" w:space="0" w:color="auto"/>
      </w:divBdr>
    </w:div>
    <w:div w:id="1861896143">
      <w:bodyDiv w:val="1"/>
      <w:marLeft w:val="0"/>
      <w:marRight w:val="0"/>
      <w:marTop w:val="0"/>
      <w:marBottom w:val="0"/>
      <w:divBdr>
        <w:top w:val="none" w:sz="0" w:space="0" w:color="auto"/>
        <w:left w:val="none" w:sz="0" w:space="0" w:color="auto"/>
        <w:bottom w:val="none" w:sz="0" w:space="0" w:color="auto"/>
        <w:right w:val="none" w:sz="0" w:space="0" w:color="auto"/>
      </w:divBdr>
    </w:div>
    <w:div w:id="1923903658">
      <w:bodyDiv w:val="1"/>
      <w:marLeft w:val="0"/>
      <w:marRight w:val="0"/>
      <w:marTop w:val="0"/>
      <w:marBottom w:val="0"/>
      <w:divBdr>
        <w:top w:val="none" w:sz="0" w:space="0" w:color="auto"/>
        <w:left w:val="none" w:sz="0" w:space="0" w:color="auto"/>
        <w:bottom w:val="none" w:sz="0" w:space="0" w:color="auto"/>
        <w:right w:val="none" w:sz="0" w:space="0" w:color="auto"/>
      </w:divBdr>
    </w:div>
    <w:div w:id="2083094362">
      <w:bodyDiv w:val="1"/>
      <w:marLeft w:val="0"/>
      <w:marRight w:val="0"/>
      <w:marTop w:val="0"/>
      <w:marBottom w:val="0"/>
      <w:divBdr>
        <w:top w:val="none" w:sz="0" w:space="0" w:color="auto"/>
        <w:left w:val="none" w:sz="0" w:space="0" w:color="auto"/>
        <w:bottom w:val="none" w:sz="0" w:space="0" w:color="auto"/>
        <w:right w:val="none" w:sz="0" w:space="0" w:color="auto"/>
      </w:divBdr>
    </w:div>
    <w:div w:id="214468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yperlink" Target="mailto:Antra.Zilinska@izm.gov.lv" TargetMode="External"/><Relationship Id="rId10" Type="http://schemas.openxmlformats.org/officeDocument/2006/relationships/chart" Target="charts/chart2.xml"/><Relationship Id="rId19" Type="http://schemas.openxmlformats.org/officeDocument/2006/relationships/chart" Target="charts/chart9.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chart" Target="charts/chart12.xml"/><Relationship Id="rId27" Type="http://schemas.openxmlformats.org/officeDocument/2006/relationships/hyperlink" Target="http://tap.mk.gov.lv/lv/mk/tap/?pid=40363277&amp;mode=mk&amp;date=2016-01-19"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search/participants/data/ref/h2020/wp/2018-2020/main/h2020-wp1820-msca_en.pdf" TargetMode="External"/><Relationship Id="rId2" Type="http://schemas.openxmlformats.org/officeDocument/2006/relationships/hyperlink" Target="http://tap.mk.gov.lv/lv/mk/tap/?pid=40447954&amp;mode=mk&amp;date=2018-02-27" TargetMode="External"/><Relationship Id="rId1" Type="http://schemas.openxmlformats.org/officeDocument/2006/relationships/hyperlink" Target="http://tap.mk.gov.lv/lv/mk/tap/?pid=40447954&amp;mode=mk&amp;date=2018-02-27" TargetMode="External"/><Relationship Id="rId5" Type="http://schemas.openxmlformats.org/officeDocument/2006/relationships/hyperlink" Target="https://www.topuniversities.com/university-rankings/world-university-rankings/2018" TargetMode="External"/><Relationship Id="rId4" Type="http://schemas.openxmlformats.org/officeDocument/2006/relationships/hyperlink" Target="http://ec.europa.eu/regional_policy/en/information/publications/evaluations-guidance-documents/2013/the-programming-period-2014-2020-guidance-document-on-monitoring-and-evaluation-european-regional-development-fund-and-cohesion-fun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zilinska\Desktop\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zilinska\Desktop\1112_VPN_VIAA\Excel_dati\New%20Microsoft%20Excel%20Workshee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zilinska\Desktop\1112_VPN_VIAA\Excel_dati\New%20Microsoft%20Excel%20Workshee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zilinska\Desktop\1112_VPN_VIAA\Excel_dati\New%20Microsoft%20Excel%20Worksheet.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zilinska\Desktop\New%20Microsoft%20Excel%20Worksheet.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zilinska\Desktop\New%20Microsoft%20Excel%20Worksheet.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zilinska\Desktop\New%20Microsoft%20Excel%20Worksheet.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azilinska\Desktop\New%20Microsoft%20Excel%20Worksheet.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zilinska\Desktop\New%20Microsoft%20Excel%20Workshee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zilinska\Desktop\New%20Microsoft%20Excel%20Workshee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izm-s-foxtrot.izm.resors\Departamenti\SSFID\SSFID\ES%20fondu%20invest&#299;ciju%20pamatojums%202014.-2020.gadam\Zinatne_un_augst.izglitiba\SAM_1112_postdoki\IZM_starpposma_izv&#275;rt&#275;jums\projektu%20dati\1111%20un%201112%20PROJEKTU%20DATI_061218.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zilinska\Desktop\New%20Microsoft%20Excel%20Workshee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izm-s-foxtrot.izm.resors\Departamenti\SSFID\SSFID\ES%20fondu%20invest&#299;ciju%20pamatojums%202014.-2020.gadam\Zinatne_un_augst.izglitiba\SAM_1112_postdoki\IZM_starpposma_izv&#275;rt&#275;jums\projektu%20dati\1111%20un%201112%20PROJEKTU%20DAT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zilinska\Desktop\1112_VPN_VIAA\Excel_dati\New%20Microsoft%20Excel%20Workshee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zilinska\Desktop\1112_VPN_VIAA\Excel_dati\New%20Microsoft%20Excel%20Workshee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zilinska\Desktop\1112_VPN_VIAA\Excel_dati\New%20Microsoft%20Excel%20Workshee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r>
              <a:rPr lang="lv-LV" sz="800" b="1">
                <a:solidFill>
                  <a:sysClr val="windowText" lastClr="000000"/>
                </a:solidFill>
              </a:rPr>
              <a:t>Attēls Nr. 1 </a:t>
            </a:r>
          </a:p>
          <a:p>
            <a:pPr>
              <a:defRPr sz="800">
                <a:solidFill>
                  <a:sysClr val="windowText" lastClr="000000"/>
                </a:solidFill>
              </a:defRPr>
            </a:pPr>
            <a:r>
              <a:rPr lang="lv-LV" sz="800" b="1">
                <a:solidFill>
                  <a:sysClr val="windowText" lastClr="000000"/>
                </a:solidFill>
              </a:rPr>
              <a:t>Institūcijas,</a:t>
            </a:r>
            <a:r>
              <a:rPr lang="lv-LV" sz="800" b="1" baseline="0">
                <a:solidFill>
                  <a:sysClr val="windowText" lastClr="000000"/>
                </a:solidFill>
              </a:rPr>
              <a:t> kas iesniegušas pētniecības pieteikumus</a:t>
            </a:r>
            <a:endParaRPr lang="lv-LV" sz="800" b="1">
              <a:solidFill>
                <a:sysClr val="windowText" lastClr="000000"/>
              </a:solidFill>
            </a:endParaRPr>
          </a:p>
        </c:rich>
      </c:tx>
      <c:layout>
        <c:manualLayout>
          <c:xMode val="edge"/>
          <c:yMode val="edge"/>
          <c:x val="0.17152077865266799"/>
          <c:y val="1.85185185185185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9.8140040187284297E-2"/>
          <c:y val="0.33485333932747102"/>
          <c:w val="0.84325190120465698"/>
          <c:h val="0.42698905287030903"/>
        </c:manualLayout>
      </c:layout>
      <c:barChart>
        <c:barDir val="col"/>
        <c:grouping val="clustered"/>
        <c:varyColors val="0"/>
        <c:ser>
          <c:idx val="0"/>
          <c:order val="0"/>
          <c:tx>
            <c:strRef>
              <c:f>Sheet10!$B$4</c:f>
              <c:strCache>
                <c:ptCount val="1"/>
                <c:pt idx="0">
                  <c:v>Zinātniskās institūcijas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Sheet10!$C$3:$D$3</c:f>
              <c:strCache>
                <c:ptCount val="2"/>
                <c:pt idx="0">
                  <c:v>1.atlases kārta</c:v>
                </c:pt>
                <c:pt idx="1">
                  <c:v>2.atlases kārta</c:v>
                </c:pt>
              </c:strCache>
            </c:strRef>
          </c:cat>
          <c:val>
            <c:numRef>
              <c:f>Sheet10!$C$4:$D$4</c:f>
              <c:numCache>
                <c:formatCode>General</c:formatCode>
                <c:ptCount val="2"/>
                <c:pt idx="0">
                  <c:v>28</c:v>
                </c:pt>
                <c:pt idx="1">
                  <c:v>23</c:v>
                </c:pt>
              </c:numCache>
            </c:numRef>
          </c:val>
          <c:extLst>
            <c:ext xmlns:c16="http://schemas.microsoft.com/office/drawing/2014/chart" uri="{C3380CC4-5D6E-409C-BE32-E72D297353CC}">
              <c16:uniqueId val="{00000000-D5EA-4A69-A145-3A32B65548F4}"/>
            </c:ext>
          </c:extLst>
        </c:ser>
        <c:ser>
          <c:idx val="1"/>
          <c:order val="1"/>
          <c:tx>
            <c:strRef>
              <c:f>Sheet10!$B$5</c:f>
              <c:strCache>
                <c:ptCount val="1"/>
                <c:pt idx="0">
                  <c:v>Komersanti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Sheet10!$C$3:$D$3</c:f>
              <c:strCache>
                <c:ptCount val="2"/>
                <c:pt idx="0">
                  <c:v>1.atlases kārta</c:v>
                </c:pt>
                <c:pt idx="1">
                  <c:v>2.atlases kārta</c:v>
                </c:pt>
              </c:strCache>
            </c:strRef>
          </c:cat>
          <c:val>
            <c:numRef>
              <c:f>Sheet10!$C$5:$D$5</c:f>
              <c:numCache>
                <c:formatCode>General</c:formatCode>
                <c:ptCount val="2"/>
                <c:pt idx="0">
                  <c:v>4</c:v>
                </c:pt>
                <c:pt idx="1">
                  <c:v>5</c:v>
                </c:pt>
              </c:numCache>
            </c:numRef>
          </c:val>
          <c:extLst>
            <c:ext xmlns:c16="http://schemas.microsoft.com/office/drawing/2014/chart" uri="{C3380CC4-5D6E-409C-BE32-E72D297353CC}">
              <c16:uniqueId val="{00000001-D5EA-4A69-A145-3A32B65548F4}"/>
            </c:ext>
          </c:extLst>
        </c:ser>
        <c:dLbls>
          <c:showLegendKey val="0"/>
          <c:showVal val="0"/>
          <c:showCatName val="0"/>
          <c:showSerName val="0"/>
          <c:showPercent val="0"/>
          <c:showBubbleSize val="0"/>
        </c:dLbls>
        <c:gapWidth val="219"/>
        <c:overlap val="-27"/>
        <c:axId val="365668256"/>
        <c:axId val="365667864"/>
      </c:barChart>
      <c:catAx>
        <c:axId val="36566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lv-LV"/>
          </a:p>
        </c:txPr>
        <c:crossAx val="365667864"/>
        <c:crosses val="autoZero"/>
        <c:auto val="1"/>
        <c:lblAlgn val="ctr"/>
        <c:lblOffset val="100"/>
        <c:noMultiLvlLbl val="0"/>
      </c:catAx>
      <c:valAx>
        <c:axId val="365667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lv-LV"/>
          </a:p>
        </c:txPr>
        <c:crossAx val="365668256"/>
        <c:crosses val="autoZero"/>
        <c:crossBetween val="between"/>
      </c:valAx>
      <c:spPr>
        <a:noFill/>
        <a:ln>
          <a:noFill/>
        </a:ln>
        <a:effectLst/>
      </c:spPr>
    </c:plotArea>
    <c:legend>
      <c:legendPos val="b"/>
      <c:layout>
        <c:manualLayout>
          <c:xMode val="edge"/>
          <c:yMode val="edge"/>
          <c:x val="0.17346024054685499"/>
          <c:y val="0.89382659719729296"/>
          <c:w val="0.65307913433897702"/>
          <c:h val="8.9130369142715299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800" b="1" i="0" u="none" strike="noStrike" kern="1200" spc="0" baseline="0">
                <a:solidFill>
                  <a:sysClr val="windowText" lastClr="000000"/>
                </a:solidFill>
                <a:latin typeface="+mn-lt"/>
                <a:ea typeface="+mn-ea"/>
                <a:cs typeface="+mn-cs"/>
              </a:defRPr>
            </a:pPr>
            <a:r>
              <a:rPr lang="lv-LV" sz="800" b="1">
                <a:solidFill>
                  <a:sysClr val="windowText" lastClr="000000"/>
                </a:solidFill>
              </a:rPr>
              <a:t>Attēls Nr. 10</a:t>
            </a:r>
          </a:p>
          <a:p>
            <a:pPr algn="ctr" rtl="0">
              <a:defRPr sz="800" b="1">
                <a:solidFill>
                  <a:sysClr val="windowText" lastClr="000000"/>
                </a:solidFill>
              </a:defRPr>
            </a:pPr>
            <a:r>
              <a:rPr lang="lv-LV" sz="800" b="1">
                <a:solidFill>
                  <a:sysClr val="windowText" lastClr="000000"/>
                </a:solidFill>
              </a:rPr>
              <a:t>Informācijas un komunikāciju tehnoloģiju jomā pārstāvēto institūciju apstiprināto un īstenoto pētniecības pieteikumu skaits</a:t>
            </a:r>
            <a:endParaRPr lang="en-US" sz="800" b="1">
              <a:solidFill>
                <a:sysClr val="windowText" lastClr="000000"/>
              </a:solidFill>
            </a:endParaRPr>
          </a:p>
        </c:rich>
      </c:tx>
      <c:layout>
        <c:manualLayout>
          <c:xMode val="edge"/>
          <c:yMode val="edge"/>
          <c:x val="0.13279028619825101"/>
          <c:y val="1.9011406844106502E-2"/>
        </c:manualLayout>
      </c:layout>
      <c:overlay val="0"/>
      <c:spPr>
        <a:noFill/>
        <a:ln>
          <a:noFill/>
        </a:ln>
        <a:effectLst/>
      </c:spPr>
      <c:txPr>
        <a:bodyPr rot="0" spcFirstLastPara="1" vertOverflow="ellipsis" vert="horz" wrap="square" anchor="ctr" anchorCtr="1"/>
        <a:lstStyle/>
        <a:p>
          <a:pPr algn="ctr" rtl="0">
            <a:defRPr sz="800" b="1"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Sheet14!$B$56</c:f>
              <c:strCache>
                <c:ptCount val="1"/>
                <c:pt idx="0">
                  <c:v>Informācijas un komunikāciju tehnoloģijas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Sheet14!$A$57:$A$65</c:f>
              <c:strCache>
                <c:ptCount val="9"/>
                <c:pt idx="0">
                  <c:v>RTU</c:v>
                </c:pt>
                <c:pt idx="1">
                  <c:v>LU</c:v>
                </c:pt>
                <c:pt idx="2">
                  <c:v>LU MII</c:v>
                </c:pt>
                <c:pt idx="3">
                  <c:v>ViA</c:v>
                </c:pt>
                <c:pt idx="4">
                  <c:v>TSI</c:v>
                </c:pt>
                <c:pt idx="5">
                  <c:v>LU CFI</c:v>
                </c:pt>
                <c:pt idx="6">
                  <c:v>VRI</c:v>
                </c:pt>
                <c:pt idx="7">
                  <c:v>EDI</c:v>
                </c:pt>
                <c:pt idx="8">
                  <c:v>SIA "Lafivents"</c:v>
                </c:pt>
              </c:strCache>
            </c:strRef>
          </c:cat>
          <c:val>
            <c:numRef>
              <c:f>Sheet14!$B$57:$B$65</c:f>
              <c:numCache>
                <c:formatCode>General</c:formatCode>
                <c:ptCount val="9"/>
                <c:pt idx="0">
                  <c:v>9</c:v>
                </c:pt>
                <c:pt idx="1">
                  <c:v>4</c:v>
                </c:pt>
                <c:pt idx="2">
                  <c:v>4</c:v>
                </c:pt>
                <c:pt idx="3">
                  <c:v>2</c:v>
                </c:pt>
                <c:pt idx="4">
                  <c:v>2</c:v>
                </c:pt>
                <c:pt idx="5">
                  <c:v>1</c:v>
                </c:pt>
                <c:pt idx="6">
                  <c:v>1</c:v>
                </c:pt>
                <c:pt idx="7">
                  <c:v>1</c:v>
                </c:pt>
                <c:pt idx="8">
                  <c:v>1</c:v>
                </c:pt>
              </c:numCache>
            </c:numRef>
          </c:val>
          <c:extLst>
            <c:ext xmlns:c16="http://schemas.microsoft.com/office/drawing/2014/chart" uri="{C3380CC4-5D6E-409C-BE32-E72D297353CC}">
              <c16:uniqueId val="{00000000-27BD-4019-88A5-A1535842A236}"/>
            </c:ext>
          </c:extLst>
        </c:ser>
        <c:dLbls>
          <c:showLegendKey val="0"/>
          <c:showVal val="0"/>
          <c:showCatName val="0"/>
          <c:showSerName val="0"/>
          <c:showPercent val="0"/>
          <c:showBubbleSize val="0"/>
        </c:dLbls>
        <c:gapWidth val="219"/>
        <c:overlap val="-27"/>
        <c:axId val="366261664"/>
        <c:axId val="366260096"/>
      </c:barChart>
      <c:catAx>
        <c:axId val="36626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lv-LV"/>
          </a:p>
        </c:txPr>
        <c:crossAx val="366260096"/>
        <c:crosses val="autoZero"/>
        <c:auto val="1"/>
        <c:lblAlgn val="ctr"/>
        <c:lblOffset val="100"/>
        <c:noMultiLvlLbl val="0"/>
      </c:catAx>
      <c:valAx>
        <c:axId val="366260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crossAx val="366261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spc="0" baseline="0">
                <a:solidFill>
                  <a:sysClr val="windowText" lastClr="000000"/>
                </a:solidFill>
                <a:latin typeface="+mn-lt"/>
                <a:ea typeface="+mn-ea"/>
                <a:cs typeface="+mn-cs"/>
              </a:defRPr>
            </a:pPr>
            <a:r>
              <a:rPr lang="lv-LV" sz="800" b="1">
                <a:solidFill>
                  <a:sysClr val="windowText" lastClr="000000"/>
                </a:solidFill>
              </a:rPr>
              <a:t>Attēls </a:t>
            </a:r>
            <a:r>
              <a:rPr lang="lv-LV"/>
              <a:t>Nr. 11</a:t>
            </a:r>
            <a:r>
              <a:rPr lang="lv-LV" sz="800" b="1">
                <a:solidFill>
                  <a:sysClr val="windowText" lastClr="000000"/>
                </a:solidFill>
              </a:rPr>
              <a:t> </a:t>
            </a:r>
          </a:p>
          <a:p>
            <a:pPr marL="0" marR="0" indent="0" algn="ctr" defTabSz="914400" rtl="0" eaLnBrk="1" fontAlgn="auto" latinLnBrk="0" hangingPunct="1">
              <a:lnSpc>
                <a:spcPct val="100000"/>
              </a:lnSpc>
              <a:spcBef>
                <a:spcPts val="0"/>
              </a:spcBef>
              <a:spcAft>
                <a:spcPts val="0"/>
              </a:spcAft>
              <a:buClrTx/>
              <a:buSzTx/>
              <a:buFontTx/>
              <a:buNone/>
              <a:tabLst/>
              <a:defRPr sz="800" b="1">
                <a:solidFill>
                  <a:sysClr val="windowText" lastClr="000000"/>
                </a:solidFill>
              </a:defRPr>
            </a:pPr>
            <a:r>
              <a:rPr lang="lv-LV" sz="800" b="1">
                <a:solidFill>
                  <a:sysClr val="windowText" lastClr="000000"/>
                </a:solidFill>
              </a:rPr>
              <a:t>Viedā enerģētikas jomā </a:t>
            </a:r>
            <a:r>
              <a:rPr lang="lv-LV" sz="800" b="1" i="0" baseline="0">
                <a:solidFill>
                  <a:sysClr val="windowText" lastClr="000000"/>
                </a:solidFill>
                <a:effectLst/>
              </a:rPr>
              <a:t>pārstāvēto institūciju apstiprināto un īstenoto pētniecības pieteikumu skaits</a:t>
            </a:r>
            <a:endParaRPr lang="en-US" sz="800" b="1">
              <a:solidFill>
                <a:sysClr val="windowText" lastClr="000000"/>
              </a:solidFill>
              <a:effectLst/>
            </a:endParaRPr>
          </a:p>
        </c:rich>
      </c:tx>
      <c:layout>
        <c:manualLayout>
          <c:xMode val="edge"/>
          <c:yMode val="edge"/>
          <c:x val="0.149083529507265"/>
          <c:y val="4.09276944065484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Sheet14!$B$68</c:f>
              <c:strCache>
                <c:ptCount val="1"/>
                <c:pt idx="0">
                  <c:v>Viedā enerģētika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Sheet14!$A$69:$A$73</c:f>
              <c:strCache>
                <c:ptCount val="5"/>
                <c:pt idx="0">
                  <c:v>RTU</c:v>
                </c:pt>
                <c:pt idx="1">
                  <c:v>LU</c:v>
                </c:pt>
                <c:pt idx="2">
                  <c:v>FEI</c:v>
                </c:pt>
                <c:pt idx="3">
                  <c:v>TSI</c:v>
                </c:pt>
                <c:pt idx="4">
                  <c:v>VeA</c:v>
                </c:pt>
              </c:strCache>
            </c:strRef>
          </c:cat>
          <c:val>
            <c:numRef>
              <c:f>Sheet14!$B$69:$B$73</c:f>
              <c:numCache>
                <c:formatCode>General</c:formatCode>
                <c:ptCount val="5"/>
                <c:pt idx="0">
                  <c:v>9</c:v>
                </c:pt>
                <c:pt idx="1">
                  <c:v>2</c:v>
                </c:pt>
                <c:pt idx="2">
                  <c:v>2</c:v>
                </c:pt>
                <c:pt idx="3">
                  <c:v>1</c:v>
                </c:pt>
                <c:pt idx="4">
                  <c:v>1</c:v>
                </c:pt>
              </c:numCache>
            </c:numRef>
          </c:val>
          <c:extLst>
            <c:ext xmlns:c16="http://schemas.microsoft.com/office/drawing/2014/chart" uri="{C3380CC4-5D6E-409C-BE32-E72D297353CC}">
              <c16:uniqueId val="{00000000-F015-4935-95EF-125810999374}"/>
            </c:ext>
          </c:extLst>
        </c:ser>
        <c:dLbls>
          <c:showLegendKey val="0"/>
          <c:showVal val="0"/>
          <c:showCatName val="0"/>
          <c:showSerName val="0"/>
          <c:showPercent val="0"/>
          <c:showBubbleSize val="0"/>
        </c:dLbls>
        <c:gapWidth val="219"/>
        <c:overlap val="-27"/>
        <c:axId val="366260880"/>
        <c:axId val="366708960"/>
      </c:barChart>
      <c:catAx>
        <c:axId val="36626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crossAx val="366708960"/>
        <c:crosses val="autoZero"/>
        <c:auto val="1"/>
        <c:lblAlgn val="ctr"/>
        <c:lblOffset val="100"/>
        <c:noMultiLvlLbl val="0"/>
      </c:catAx>
      <c:valAx>
        <c:axId val="366708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crossAx val="366260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spc="0" baseline="0">
                <a:solidFill>
                  <a:sysClr val="windowText" lastClr="000000"/>
                </a:solidFill>
                <a:latin typeface="+mn-lt"/>
                <a:ea typeface="+mn-ea"/>
                <a:cs typeface="+mn-cs"/>
              </a:defRPr>
            </a:pPr>
            <a:r>
              <a:rPr lang="lv-LV" sz="800" b="1">
                <a:solidFill>
                  <a:sysClr val="windowText" lastClr="000000"/>
                </a:solidFill>
              </a:rPr>
              <a:t>Attēls Nr. 12</a:t>
            </a:r>
          </a:p>
          <a:p>
            <a:pPr marL="0" marR="0" indent="0" algn="ctr" defTabSz="914400" rtl="0" eaLnBrk="1" fontAlgn="auto" latinLnBrk="0" hangingPunct="1">
              <a:lnSpc>
                <a:spcPct val="100000"/>
              </a:lnSpc>
              <a:spcBef>
                <a:spcPts val="0"/>
              </a:spcBef>
              <a:spcAft>
                <a:spcPts val="0"/>
              </a:spcAft>
              <a:buClrTx/>
              <a:buSzTx/>
              <a:buFontTx/>
              <a:buNone/>
              <a:tabLst/>
              <a:defRPr sz="800" b="1">
                <a:solidFill>
                  <a:sysClr val="windowText" lastClr="000000"/>
                </a:solidFill>
              </a:defRPr>
            </a:pPr>
            <a:r>
              <a:rPr lang="lv-LV" sz="800" b="1">
                <a:solidFill>
                  <a:sysClr val="windowText" lastClr="000000"/>
                </a:solidFill>
              </a:rPr>
              <a:t>Viedo materiālu, tehnoloģiju</a:t>
            </a:r>
            <a:r>
              <a:rPr lang="lv-LV" sz="800" b="1" baseline="0">
                <a:solidFill>
                  <a:sysClr val="windowText" lastClr="000000"/>
                </a:solidFill>
              </a:rPr>
              <a:t> </a:t>
            </a:r>
            <a:r>
              <a:rPr lang="lv-LV" sz="800" b="1">
                <a:solidFill>
                  <a:sysClr val="windowText" lastClr="000000"/>
                </a:solidFill>
              </a:rPr>
              <a:t>un inženiersistēmu</a:t>
            </a:r>
            <a:r>
              <a:rPr lang="lv-LV" sz="800" b="1" baseline="0">
                <a:solidFill>
                  <a:sysClr val="windowText" lastClr="000000"/>
                </a:solidFill>
              </a:rPr>
              <a:t> jomā </a:t>
            </a:r>
            <a:r>
              <a:rPr lang="lv-LV" sz="800" b="1" i="0" baseline="0">
                <a:solidFill>
                  <a:sysClr val="windowText" lastClr="000000"/>
                </a:solidFill>
                <a:effectLst/>
              </a:rPr>
              <a:t>pārstāvēto institūciju apstiprināto un īstenoto pētniecības pieteikumu skaits</a:t>
            </a:r>
            <a:r>
              <a:rPr lang="lv-LV" sz="800" b="1">
                <a:solidFill>
                  <a:sysClr val="windowText" lastClr="000000"/>
                </a:solidFill>
              </a:rPr>
              <a:t> </a:t>
            </a:r>
          </a:p>
        </c:rich>
      </c:tx>
      <c:layout>
        <c:manualLayout>
          <c:xMode val="edge"/>
          <c:yMode val="edge"/>
          <c:x val="0.106992228577291"/>
          <c:y val="3.4188034188034198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Sheet14!$B$44</c:f>
              <c:strCache>
                <c:ptCount val="1"/>
                <c:pt idx="0">
                  <c:v>Viedie materiāli, tehnoloģijas un inženiersistēmas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Sheet14!$A$45:$A$53</c:f>
              <c:strCache>
                <c:ptCount val="9"/>
                <c:pt idx="0">
                  <c:v>RTU</c:v>
                </c:pt>
                <c:pt idx="1">
                  <c:v>LU</c:v>
                </c:pt>
                <c:pt idx="2">
                  <c:v>LU CFI</c:v>
                </c:pt>
                <c:pt idx="3">
                  <c:v>OSI</c:v>
                </c:pt>
                <c:pt idx="4">
                  <c:v>LVKĶI</c:v>
                </c:pt>
                <c:pt idx="5">
                  <c:v>ViA</c:v>
                </c:pt>
                <c:pt idx="6">
                  <c:v>VeA</c:v>
                </c:pt>
                <c:pt idx="7">
                  <c:v>LLU</c:v>
                </c:pt>
                <c:pt idx="8">
                  <c:v>FEI</c:v>
                </c:pt>
              </c:strCache>
            </c:strRef>
          </c:cat>
          <c:val>
            <c:numRef>
              <c:f>Sheet14!$B$45:$B$53</c:f>
              <c:numCache>
                <c:formatCode>General</c:formatCode>
                <c:ptCount val="9"/>
                <c:pt idx="0">
                  <c:v>20</c:v>
                </c:pt>
                <c:pt idx="1">
                  <c:v>17</c:v>
                </c:pt>
                <c:pt idx="2">
                  <c:v>5</c:v>
                </c:pt>
                <c:pt idx="3">
                  <c:v>3</c:v>
                </c:pt>
                <c:pt idx="4">
                  <c:v>3</c:v>
                </c:pt>
                <c:pt idx="5">
                  <c:v>2</c:v>
                </c:pt>
                <c:pt idx="6">
                  <c:v>2</c:v>
                </c:pt>
                <c:pt idx="7">
                  <c:v>1</c:v>
                </c:pt>
                <c:pt idx="8">
                  <c:v>1</c:v>
                </c:pt>
              </c:numCache>
            </c:numRef>
          </c:val>
          <c:extLst>
            <c:ext xmlns:c16="http://schemas.microsoft.com/office/drawing/2014/chart" uri="{C3380CC4-5D6E-409C-BE32-E72D297353CC}">
              <c16:uniqueId val="{00000000-1F82-442D-A321-5FA3E67A2C1B}"/>
            </c:ext>
          </c:extLst>
        </c:ser>
        <c:dLbls>
          <c:showLegendKey val="0"/>
          <c:showVal val="0"/>
          <c:showCatName val="0"/>
          <c:showSerName val="0"/>
          <c:showPercent val="0"/>
          <c:showBubbleSize val="0"/>
        </c:dLbls>
        <c:gapWidth val="219"/>
        <c:overlap val="-27"/>
        <c:axId val="366712488"/>
        <c:axId val="366715624"/>
      </c:barChart>
      <c:catAx>
        <c:axId val="366712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crossAx val="366715624"/>
        <c:crosses val="autoZero"/>
        <c:auto val="1"/>
        <c:lblAlgn val="ctr"/>
        <c:lblOffset val="100"/>
        <c:noMultiLvlLbl val="0"/>
      </c:catAx>
      <c:valAx>
        <c:axId val="366715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crossAx val="366712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mn-lt"/>
                <a:ea typeface="+mn-ea"/>
                <a:cs typeface="+mn-cs"/>
              </a:defRPr>
            </a:pPr>
            <a:r>
              <a:rPr lang="lv-LV" sz="700" b="1">
                <a:solidFill>
                  <a:sysClr val="windowText" lastClr="000000"/>
                </a:solidFill>
              </a:rPr>
              <a:t>Attēls Nr. 13</a:t>
            </a:r>
          </a:p>
          <a:p>
            <a:pPr algn="ctr">
              <a:defRPr b="1"/>
            </a:pPr>
            <a:r>
              <a:rPr lang="lv-LV" sz="700" b="1">
                <a:solidFill>
                  <a:sysClr val="windowText" lastClr="000000"/>
                </a:solidFill>
              </a:rPr>
              <a:t>Pētniecības pieteikumu</a:t>
            </a:r>
            <a:r>
              <a:rPr lang="lv-LV" sz="700" b="1" baseline="0">
                <a:solidFill>
                  <a:sysClr val="windowText" lastClr="000000"/>
                </a:solidFill>
              </a:rPr>
              <a:t> ietvaros līdz 31.12.2023. plānoto sagatavoto un publicēto zinātnisko rakstu skaits</a:t>
            </a:r>
            <a:endParaRPr lang="en-US" sz="700" b="1">
              <a:solidFill>
                <a:sysClr val="windowText" lastClr="000000"/>
              </a:solidFill>
            </a:endParaRPr>
          </a:p>
        </c:rich>
      </c:tx>
      <c:layout>
        <c:manualLayout>
          <c:xMode val="edge"/>
          <c:yMode val="edge"/>
          <c:x val="0.10978973547366"/>
          <c:y val="1.9512195121951199E-2"/>
        </c:manualLayout>
      </c:layout>
      <c:overlay val="0"/>
      <c:spPr>
        <a:noFill/>
        <a:ln>
          <a:noFill/>
        </a:ln>
        <a:effectLst/>
      </c:spPr>
      <c:txPr>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2.8407697059572301E-2"/>
          <c:y val="0.24087233533288799"/>
          <c:w val="0.432244833289124"/>
          <c:h val="0.59912845428950001"/>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B92-401B-8AC7-7A65195CB28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B92-401B-8AC7-7A65195CB28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B92-401B-8AC7-7A65195CB28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B92-401B-8AC7-7A65195CB28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B92-401B-8AC7-7A65195CB28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B92-401B-8AC7-7A65195CB281}"/>
              </c:ext>
            </c:extLst>
          </c:dPt>
          <c:dLbls>
            <c:dLbl>
              <c:idx val="1"/>
              <c:layout>
                <c:manualLayout>
                  <c:x val="-0.11756726203934"/>
                  <c:y val="-5.36247359323987E-2"/>
                </c:manualLayout>
              </c:layout>
              <c:dLblPos val="bestFit"/>
              <c:showLegendKey val="0"/>
              <c:showVal val="1"/>
              <c:showCatName val="0"/>
              <c:showSerName val="0"/>
              <c:showPercent val="1"/>
              <c:showBubbleSize val="0"/>
              <c:extLst>
                <c:ext xmlns:c15="http://schemas.microsoft.com/office/drawing/2012/chart" uri="{CE6537A1-D6FC-4f65-9D91-7224C49458BB}">
                  <c15:layout>
                    <c:manualLayout>
                      <c:w val="0.1266108975808275"/>
                      <c:h val="0.13170731707317074"/>
                    </c:manualLayout>
                  </c15:layout>
                </c:ext>
                <c:ext xmlns:c16="http://schemas.microsoft.com/office/drawing/2014/chart" uri="{C3380CC4-5D6E-409C-BE32-E72D297353CC}">
                  <c16:uniqueId val="{00000003-EB92-401B-8AC7-7A65195CB281}"/>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lv-LV"/>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Sheet6!$A$4:$A$9</c:f>
              <c:strCache>
                <c:ptCount val="6"/>
                <c:pt idx="0">
                  <c:v>Viedie materiāli, tehnoloģijas un inženiersistēmas</c:v>
                </c:pt>
                <c:pt idx="1">
                  <c:v>Viedā enerģētika</c:v>
                </c:pt>
                <c:pt idx="2">
                  <c:v>Biomedicīna, medicīnas tehnoloģijas, biofarmācija un biotehnoloģijas</c:v>
                </c:pt>
                <c:pt idx="3">
                  <c:v>Informācijas un komunikāciju tehnoloģijas</c:v>
                </c:pt>
                <c:pt idx="4">
                  <c:v>Zināšanu ietilpīga bioekonomika</c:v>
                </c:pt>
                <c:pt idx="5">
                  <c:v>Sociālās un humanitārās zinātnes</c:v>
                </c:pt>
              </c:strCache>
            </c:strRef>
          </c:cat>
          <c:val>
            <c:numRef>
              <c:f>Sheet6!$B$4:$B$9</c:f>
              <c:numCache>
                <c:formatCode>General</c:formatCode>
                <c:ptCount val="6"/>
                <c:pt idx="0">
                  <c:v>195</c:v>
                </c:pt>
                <c:pt idx="1">
                  <c:v>49</c:v>
                </c:pt>
                <c:pt idx="2">
                  <c:v>131</c:v>
                </c:pt>
                <c:pt idx="3">
                  <c:v>106</c:v>
                </c:pt>
                <c:pt idx="4">
                  <c:v>106</c:v>
                </c:pt>
                <c:pt idx="5">
                  <c:v>140</c:v>
                </c:pt>
              </c:numCache>
            </c:numRef>
          </c:val>
          <c:extLst>
            <c:ext xmlns:c16="http://schemas.microsoft.com/office/drawing/2014/chart" uri="{C3380CC4-5D6E-409C-BE32-E72D297353CC}">
              <c16:uniqueId val="{0000000C-EB92-401B-8AC7-7A65195CB28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45062264006508601"/>
          <c:y val="0.26476256321618302"/>
          <c:w val="0.52235362395210405"/>
          <c:h val="0.73108507777991205"/>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spc="0" baseline="0">
                <a:solidFill>
                  <a:sysClr val="windowText" lastClr="000000"/>
                </a:solidFill>
                <a:latin typeface="+mn-lt"/>
                <a:ea typeface="+mn-ea"/>
                <a:cs typeface="+mn-cs"/>
              </a:defRPr>
            </a:pPr>
            <a:r>
              <a:rPr lang="lv-LV" sz="700" b="1" i="0" baseline="0">
                <a:solidFill>
                  <a:sysClr val="windowText" lastClr="000000"/>
                </a:solidFill>
                <a:effectLst/>
              </a:rPr>
              <a:t>Attēls Nr. 14</a:t>
            </a:r>
          </a:p>
          <a:p>
            <a:pPr>
              <a:defRPr sz="700" b="1">
                <a:solidFill>
                  <a:sysClr val="windowText" lastClr="000000"/>
                </a:solidFill>
              </a:defRPr>
            </a:pPr>
            <a:r>
              <a:rPr lang="lv-LV" sz="700" b="1" i="0" baseline="0">
                <a:solidFill>
                  <a:sysClr val="windowText" lastClr="000000"/>
                </a:solidFill>
                <a:effectLst/>
              </a:rPr>
              <a:t>Plānotais pētniecības pieteikumu ietvaros izstrādāto jauno produktu vai tehnoloģiju skaits</a:t>
            </a:r>
            <a:endParaRPr lang="en-US" sz="700" b="1">
              <a:solidFill>
                <a:sysClr val="windowText" lastClr="000000"/>
              </a:solidFill>
              <a:effectLst/>
            </a:endParaRPr>
          </a:p>
        </c:rich>
      </c:tx>
      <c:layout>
        <c:manualLayout>
          <c:xMode val="edge"/>
          <c:yMode val="edge"/>
          <c:x val="0.104340423126786"/>
          <c:y val="1.95822454308094E-2"/>
        </c:manualLayout>
      </c:layout>
      <c:overlay val="0"/>
      <c:spPr>
        <a:noFill/>
        <a:ln>
          <a:noFill/>
        </a:ln>
        <a:effectLst/>
      </c:spPr>
      <c:txPr>
        <a:bodyPr rot="0" spcFirstLastPara="1" vertOverflow="ellipsis" vert="horz" wrap="square" anchor="ctr" anchorCtr="1"/>
        <a:lstStyle/>
        <a:p>
          <a:pPr>
            <a:defRPr sz="7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2.67727133031655E-2"/>
          <c:y val="0.21642889352487299"/>
          <c:w val="0.42265095396049901"/>
          <c:h val="0.5928816717293600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E74-439C-9A0E-717297BB47D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E74-439C-9A0E-717297BB47D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E74-439C-9A0E-717297BB47D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E74-439C-9A0E-717297BB47D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E74-439C-9A0E-717297BB47D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E74-439C-9A0E-717297BB47D6}"/>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lv-LV"/>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Sheet6!$A$15:$A$20</c:f>
              <c:strCache>
                <c:ptCount val="6"/>
                <c:pt idx="0">
                  <c:v>Viedie materiāli, tehnoloģijas un inženiersistēmas</c:v>
                </c:pt>
                <c:pt idx="1">
                  <c:v>Viedā enerģētika</c:v>
                </c:pt>
                <c:pt idx="2">
                  <c:v>Biomedicīna, medicīnas tehnoloģijas, biofarmācija un biotehnoloģijas</c:v>
                </c:pt>
                <c:pt idx="3">
                  <c:v>Informācijas un komunikāciju tehnoloģijas</c:v>
                </c:pt>
                <c:pt idx="4">
                  <c:v>Zināšanu ietilpīga bioekonomika</c:v>
                </c:pt>
                <c:pt idx="5">
                  <c:v>Sociālās un humanitārās zinātnes</c:v>
                </c:pt>
              </c:strCache>
            </c:strRef>
          </c:cat>
          <c:val>
            <c:numRef>
              <c:f>Sheet6!$B$15:$B$20</c:f>
              <c:numCache>
                <c:formatCode>General</c:formatCode>
                <c:ptCount val="6"/>
                <c:pt idx="0">
                  <c:v>6</c:v>
                </c:pt>
                <c:pt idx="1">
                  <c:v>6</c:v>
                </c:pt>
                <c:pt idx="2">
                  <c:v>16</c:v>
                </c:pt>
                <c:pt idx="3">
                  <c:v>17</c:v>
                </c:pt>
                <c:pt idx="4">
                  <c:v>10</c:v>
                </c:pt>
                <c:pt idx="5">
                  <c:v>16</c:v>
                </c:pt>
              </c:numCache>
            </c:numRef>
          </c:val>
          <c:extLst>
            <c:ext xmlns:c16="http://schemas.microsoft.com/office/drawing/2014/chart" uri="{C3380CC4-5D6E-409C-BE32-E72D297353CC}">
              <c16:uniqueId val="{0000000C-9E74-439C-9A0E-717297BB47D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41787390977204603"/>
          <c:y val="0.26860518903805403"/>
          <c:w val="0.56418082329210895"/>
          <c:h val="0.73139481096194603"/>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spc="0" baseline="0">
                <a:solidFill>
                  <a:sysClr val="windowText" lastClr="000000"/>
                </a:solidFill>
                <a:latin typeface="+mn-lt"/>
                <a:ea typeface="+mn-ea"/>
                <a:cs typeface="+mn-cs"/>
              </a:defRPr>
            </a:pPr>
            <a:r>
              <a:rPr lang="lv-LV" sz="700" b="1">
                <a:solidFill>
                  <a:sysClr val="windowText" lastClr="000000"/>
                </a:solidFill>
              </a:rPr>
              <a:t>Attēls Nr. 15</a:t>
            </a:r>
          </a:p>
          <a:p>
            <a:pPr>
              <a:defRPr sz="700" b="1">
                <a:solidFill>
                  <a:sysClr val="windowText" lastClr="000000"/>
                </a:solidFill>
              </a:defRPr>
            </a:pPr>
            <a:r>
              <a:rPr lang="lv-LV" sz="700" b="1">
                <a:solidFill>
                  <a:sysClr val="windowText" lastClr="000000"/>
                </a:solidFill>
              </a:rPr>
              <a:t>Komersantu</a:t>
            </a:r>
            <a:r>
              <a:rPr lang="lv-LV" sz="700" b="1" baseline="0">
                <a:solidFill>
                  <a:sysClr val="windowText" lastClr="000000"/>
                </a:solidFill>
              </a:rPr>
              <a:t> skaits, ar ko pēcdoktorants sadarbojas pētniecības pieteikuma īstenošanā </a:t>
            </a:r>
            <a:endParaRPr lang="en-US" sz="700" b="1">
              <a:solidFill>
                <a:sysClr val="windowText" lastClr="000000"/>
              </a:solidFill>
            </a:endParaRPr>
          </a:p>
        </c:rich>
      </c:tx>
      <c:layout>
        <c:manualLayout>
          <c:xMode val="edge"/>
          <c:yMode val="edge"/>
          <c:x val="0.150644181008009"/>
          <c:y val="3.0571690614490998E-2"/>
        </c:manualLayout>
      </c:layout>
      <c:overlay val="0"/>
      <c:spPr>
        <a:noFill/>
        <a:ln>
          <a:noFill/>
        </a:ln>
        <a:effectLst/>
      </c:spPr>
      <c:txPr>
        <a:bodyPr rot="0" spcFirstLastPara="1" vertOverflow="ellipsis" vert="horz" wrap="square" anchor="ctr" anchorCtr="1"/>
        <a:lstStyle/>
        <a:p>
          <a:pPr>
            <a:defRPr sz="7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1.7246640235989E-2"/>
          <c:y val="0.248738496498699"/>
          <c:w val="0.45795902236163499"/>
          <c:h val="0.61924572176872905"/>
        </c:manualLayout>
      </c:layout>
      <c:pieChart>
        <c:varyColors val="1"/>
        <c:ser>
          <c:idx val="0"/>
          <c:order val="0"/>
          <c:explosion val="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B92-4794-B3A3-0C19D62A365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B92-4794-B3A3-0C19D62A365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B92-4794-B3A3-0C19D62A365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B92-4794-B3A3-0C19D62A365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B92-4794-B3A3-0C19D62A365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B92-4794-B3A3-0C19D62A3652}"/>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Sheet6!$A$25:$A$30</c:f>
              <c:strCache>
                <c:ptCount val="6"/>
                <c:pt idx="0">
                  <c:v>Viedie materiāli, tehnoloģijas un inženiersistēmas</c:v>
                </c:pt>
                <c:pt idx="1">
                  <c:v>Viedā enerģētika</c:v>
                </c:pt>
                <c:pt idx="2">
                  <c:v>Biomedicīna, medicīnas tehnoloģijas, biofarmācija un biotehnoloģijas</c:v>
                </c:pt>
                <c:pt idx="3">
                  <c:v>Informācijas un komunikāciju tehnoloģijas</c:v>
                </c:pt>
                <c:pt idx="4">
                  <c:v>Zināšanu ietilpīga bioekonomika</c:v>
                </c:pt>
                <c:pt idx="5">
                  <c:v>Sociālās un humanitārās zinātnes</c:v>
                </c:pt>
              </c:strCache>
            </c:strRef>
          </c:cat>
          <c:val>
            <c:numRef>
              <c:f>Sheet6!$B$25:$B$30</c:f>
              <c:numCache>
                <c:formatCode>General</c:formatCode>
                <c:ptCount val="6"/>
                <c:pt idx="0">
                  <c:v>6</c:v>
                </c:pt>
                <c:pt idx="1">
                  <c:v>2</c:v>
                </c:pt>
                <c:pt idx="2">
                  <c:v>4</c:v>
                </c:pt>
                <c:pt idx="3">
                  <c:v>5</c:v>
                </c:pt>
                <c:pt idx="4">
                  <c:v>4</c:v>
                </c:pt>
                <c:pt idx="5">
                  <c:v>6</c:v>
                </c:pt>
              </c:numCache>
            </c:numRef>
          </c:val>
          <c:extLst>
            <c:ext xmlns:c16="http://schemas.microsoft.com/office/drawing/2014/chart" uri="{C3380CC4-5D6E-409C-BE32-E72D297353CC}">
              <c16:uniqueId val="{0000000C-DB92-4794-B3A3-0C19D62A365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67529253846661"/>
          <c:y val="0.247769831277969"/>
          <c:w val="0.52342711061185199"/>
          <c:h val="0.74958415279105095"/>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spc="0" baseline="0">
                <a:solidFill>
                  <a:sysClr val="windowText" lastClr="000000"/>
                </a:solidFill>
                <a:latin typeface="+mn-lt"/>
                <a:ea typeface="+mn-ea"/>
                <a:cs typeface="+mn-cs"/>
              </a:defRPr>
            </a:pPr>
            <a:r>
              <a:rPr lang="lv-LV" sz="700" b="1">
                <a:solidFill>
                  <a:sysClr val="windowText" lastClr="000000"/>
                </a:solidFill>
              </a:rPr>
              <a:t>Attēls Nr. 16</a:t>
            </a:r>
          </a:p>
          <a:p>
            <a:pPr>
              <a:defRPr sz="700" b="1">
                <a:solidFill>
                  <a:sysClr val="windowText" lastClr="000000"/>
                </a:solidFill>
              </a:defRPr>
            </a:pPr>
            <a:r>
              <a:rPr lang="lv-LV" sz="700" b="1">
                <a:solidFill>
                  <a:sysClr val="windowText" lastClr="000000"/>
                </a:solidFill>
              </a:rPr>
              <a:t>Pētniecības pieteikumu ietvaros piesaistītais privātais finansējums, kas papildina ES fondu investīcijas</a:t>
            </a:r>
            <a:endParaRPr lang="en-US" sz="700" b="1">
              <a:solidFill>
                <a:sysClr val="windowText" lastClr="000000"/>
              </a:solidFill>
            </a:endParaRPr>
          </a:p>
        </c:rich>
      </c:tx>
      <c:layout>
        <c:manualLayout>
          <c:xMode val="edge"/>
          <c:yMode val="edge"/>
          <c:x val="0.13797270082792601"/>
          <c:y val="2.4457352491592799E-2"/>
        </c:manualLayout>
      </c:layout>
      <c:overlay val="0"/>
      <c:spPr>
        <a:noFill/>
        <a:ln>
          <a:noFill/>
        </a:ln>
        <a:effectLst/>
      </c:spPr>
      <c:txPr>
        <a:bodyPr rot="0" spcFirstLastPara="1" vertOverflow="ellipsis" vert="horz" wrap="square" anchor="ctr" anchorCtr="1"/>
        <a:lstStyle/>
        <a:p>
          <a:pPr>
            <a:defRPr sz="7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3.6733895620398103E-2"/>
          <c:y val="0.29153886335898599"/>
          <c:w val="0.40849244929637801"/>
          <c:h val="0.55810234053974705"/>
        </c:manualLayout>
      </c:layout>
      <c:pieChart>
        <c:varyColors val="1"/>
        <c:ser>
          <c:idx val="0"/>
          <c:order val="0"/>
          <c:explosion val="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720-4DFC-A0E9-3DE7B9532B6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20-4DFC-A0E9-3DE7B9532B6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720-4DFC-A0E9-3DE7B9532B6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720-4DFC-A0E9-3DE7B9532B6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720-4DFC-A0E9-3DE7B9532B6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720-4DFC-A0E9-3DE7B9532B62}"/>
              </c:ext>
            </c:extLst>
          </c:dPt>
          <c:dLbls>
            <c:dLbl>
              <c:idx val="1"/>
              <c:layout>
                <c:manualLayout>
                  <c:x val="-0.101893534286062"/>
                  <c:y val="-0.110346952580178"/>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720-4DFC-A0E9-3DE7B9532B62}"/>
                </c:ext>
              </c:extLst>
            </c:dLbl>
            <c:dLbl>
              <c:idx val="5"/>
              <c:layout>
                <c:manualLayout>
                  <c:x val="-5.7281746695961498E-2"/>
                  <c:y val="-1.82650204493316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720-4DFC-A0E9-3DE7B9532B62}"/>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Sheet6!$A$35:$A$40</c:f>
              <c:strCache>
                <c:ptCount val="6"/>
                <c:pt idx="0">
                  <c:v>Viedie materiāli, tehnoloģijas un inženiersistēmas</c:v>
                </c:pt>
                <c:pt idx="1">
                  <c:v>Viedā enerģētika</c:v>
                </c:pt>
                <c:pt idx="2">
                  <c:v>Biomedicīna, medicīnas tehnoloģijas, biofarmācija un biotehnoloģijas</c:v>
                </c:pt>
                <c:pt idx="3">
                  <c:v>Informācijas un komunikāciju tehnoloģijas</c:v>
                </c:pt>
                <c:pt idx="4">
                  <c:v>Zināšanu ietilpīga bioekonomika</c:v>
                </c:pt>
                <c:pt idx="5">
                  <c:v>Sociālās un humanitārās zinātnes</c:v>
                </c:pt>
              </c:strCache>
            </c:strRef>
          </c:cat>
          <c:val>
            <c:numRef>
              <c:f>Sheet6!$B$35:$B$40</c:f>
              <c:numCache>
                <c:formatCode>General</c:formatCode>
                <c:ptCount val="6"/>
                <c:pt idx="0">
                  <c:v>67705</c:v>
                </c:pt>
                <c:pt idx="1">
                  <c:v>20071</c:v>
                </c:pt>
                <c:pt idx="2">
                  <c:v>194527</c:v>
                </c:pt>
                <c:pt idx="3">
                  <c:v>85427</c:v>
                </c:pt>
                <c:pt idx="4">
                  <c:v>81533</c:v>
                </c:pt>
                <c:pt idx="5">
                  <c:v>20054</c:v>
                </c:pt>
              </c:numCache>
            </c:numRef>
          </c:val>
          <c:extLst>
            <c:ext xmlns:c16="http://schemas.microsoft.com/office/drawing/2014/chart" uri="{C3380CC4-5D6E-409C-BE32-E72D297353CC}">
              <c16:uniqueId val="{0000000C-9720-4DFC-A0E9-3DE7B9532B6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6853477058934401"/>
          <c:y val="0.21108380254058001"/>
          <c:w val="0.522514681189577"/>
          <c:h val="0.78015584340554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850" b="0" i="0" u="none" strike="noStrike" kern="1200" spc="0" baseline="0">
                <a:solidFill>
                  <a:schemeClr val="tx1">
                    <a:lumMod val="65000"/>
                    <a:lumOff val="35000"/>
                  </a:schemeClr>
                </a:solidFill>
                <a:latin typeface="+mn-lt"/>
                <a:ea typeface="+mn-ea"/>
                <a:cs typeface="+mn-cs"/>
              </a:defRPr>
            </a:pPr>
            <a:r>
              <a:rPr lang="lv-LV" sz="850" b="1">
                <a:solidFill>
                  <a:sysClr val="windowText" lastClr="000000"/>
                </a:solidFill>
              </a:rPr>
              <a:t>Attēls</a:t>
            </a:r>
            <a:r>
              <a:rPr lang="lv-LV" sz="850" b="1" baseline="0">
                <a:solidFill>
                  <a:sysClr val="windowText" lastClr="000000"/>
                </a:solidFill>
              </a:rPr>
              <a:t> Nr. 2  </a:t>
            </a:r>
          </a:p>
          <a:p>
            <a:pPr algn="ctr">
              <a:defRPr sz="850"/>
            </a:pPr>
            <a:r>
              <a:rPr lang="lv-LV" sz="850" b="1" baseline="0">
                <a:solidFill>
                  <a:sysClr val="windowText" lastClr="000000"/>
                </a:solidFill>
              </a:rPr>
              <a:t>Pēcdoktorantūras pētniecības pieteikumu vērtēšanas rezultāti</a:t>
            </a:r>
            <a:endParaRPr lang="en-US" sz="850" b="1">
              <a:solidFill>
                <a:sysClr val="windowText" lastClr="000000"/>
              </a:solidFill>
            </a:endParaRPr>
          </a:p>
        </c:rich>
      </c:tx>
      <c:layout>
        <c:manualLayout>
          <c:xMode val="edge"/>
          <c:yMode val="edge"/>
          <c:x val="0.14552660547885601"/>
          <c:y val="3.6941263391207999E-2"/>
        </c:manualLayout>
      </c:layout>
      <c:overlay val="0"/>
      <c:spPr>
        <a:noFill/>
        <a:ln>
          <a:noFill/>
        </a:ln>
        <a:effectLst/>
      </c:spPr>
      <c:txPr>
        <a:bodyPr rot="0" spcFirstLastPara="1" vertOverflow="ellipsis" vert="horz" wrap="square" anchor="ctr" anchorCtr="1"/>
        <a:lstStyle/>
        <a:p>
          <a:pPr algn="ctr">
            <a:defRPr sz="85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6092969996397503E-2"/>
          <c:y val="0.34814668299451101"/>
          <c:w val="0.42256124234470699"/>
          <c:h val="0.59568095464351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E9A-4160-B69F-8F68EB0CCC7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E9A-4160-B69F-8F68EB0CCC7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E9A-4160-B69F-8F68EB0CCC7D}"/>
              </c:ext>
            </c:extLst>
          </c:dPt>
          <c:dLbls>
            <c:dLbl>
              <c:idx val="0"/>
              <c:layout>
                <c:manualLayout>
                  <c:x val="-0.112423135442887"/>
                  <c:y val="-5.1989447015465901E-2"/>
                </c:manualLayout>
              </c:layout>
              <c:spPr>
                <a:solidFill>
                  <a:schemeClr val="lt1"/>
                </a:solidFill>
                <a:ln w="12700" cap="flat" cmpd="sng" algn="ctr">
                  <a:solidFill>
                    <a:schemeClr val="accent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9A-4160-B69F-8F68EB0CCC7D}"/>
                </c:ext>
              </c:extLst>
            </c:dLbl>
            <c:dLbl>
              <c:idx val="1"/>
              <c:layout>
                <c:manualLayout>
                  <c:x val="9.1876398885722098E-3"/>
                  <c:y val="-5.37828967892484E-4"/>
                </c:manualLayout>
              </c:layout>
              <c:spPr>
                <a:solidFill>
                  <a:schemeClr val="lt1"/>
                </a:solidFill>
                <a:ln w="12700" cap="flat" cmpd="sng" algn="ctr">
                  <a:solidFill>
                    <a:schemeClr val="accent2"/>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9A-4160-B69F-8F68EB0CCC7D}"/>
                </c:ext>
              </c:extLst>
            </c:dLbl>
            <c:dLbl>
              <c:idx val="2"/>
              <c:spPr>
                <a:solidFill>
                  <a:schemeClr val="lt1"/>
                </a:solidFill>
                <a:ln w="12700" cap="flat" cmpd="sng" algn="ctr">
                  <a:solidFill>
                    <a:schemeClr val="accent3"/>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extLst>
                <c:ext xmlns:c16="http://schemas.microsoft.com/office/drawing/2014/chart" uri="{C3380CC4-5D6E-409C-BE32-E72D297353CC}">
                  <c16:uniqueId val="{00000005-AE9A-4160-B69F-8F68EB0CCC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Sheet2!$B$6:$B$8</c:f>
              <c:strCache>
                <c:ptCount val="3"/>
                <c:pt idx="0">
                  <c:v>Novērtēti virs kvalitātes sliekšņa</c:v>
                </c:pt>
                <c:pt idx="1">
                  <c:v>Noraidīti pēc administratīvajiem un atbilstības vērtēšanas kritērijiem</c:v>
                </c:pt>
                <c:pt idx="2">
                  <c:v>Noraidīti, jo zinātniskās kvalitātes vērtēšanā novērtēti zem kvalitātes sliekšņa</c:v>
                </c:pt>
              </c:strCache>
            </c:strRef>
          </c:cat>
          <c:val>
            <c:numRef>
              <c:f>Sheet2!$C$6:$C$8</c:f>
              <c:numCache>
                <c:formatCode>General</c:formatCode>
                <c:ptCount val="3"/>
                <c:pt idx="0">
                  <c:v>241</c:v>
                </c:pt>
                <c:pt idx="1">
                  <c:v>16</c:v>
                </c:pt>
                <c:pt idx="2">
                  <c:v>129</c:v>
                </c:pt>
              </c:numCache>
            </c:numRef>
          </c:val>
          <c:extLst>
            <c:ext xmlns:c16="http://schemas.microsoft.com/office/drawing/2014/chart" uri="{C3380CC4-5D6E-409C-BE32-E72D297353CC}">
              <c16:uniqueId val="{00000006-AE9A-4160-B69F-8F68EB0CCC7D}"/>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5989945190674703"/>
          <c:y val="0.35122473377565899"/>
          <c:w val="0.52789076212099295"/>
          <c:h val="0.59888943508954595"/>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850" b="0" i="0" u="none" strike="noStrike" kern="1200" spc="0" baseline="0">
                <a:solidFill>
                  <a:sysClr val="windowText" lastClr="000000"/>
                </a:solidFill>
                <a:latin typeface="+mn-lt"/>
                <a:ea typeface="+mn-ea"/>
                <a:cs typeface="+mn-cs"/>
              </a:defRPr>
            </a:pPr>
            <a:r>
              <a:rPr lang="lv-LV" sz="850" b="1">
                <a:solidFill>
                  <a:sysClr val="windowText" lastClr="000000"/>
                </a:solidFill>
              </a:rPr>
              <a:t>Attēls </a:t>
            </a:r>
            <a:r>
              <a:rPr lang="lv-LV" sz="850" b="1"/>
              <a:t>Nr. 3</a:t>
            </a:r>
            <a:endParaRPr lang="lv-LV" sz="850" b="1">
              <a:solidFill>
                <a:sysClr val="windowText" lastClr="000000"/>
              </a:solidFill>
            </a:endParaRPr>
          </a:p>
          <a:p>
            <a:pPr algn="ctr">
              <a:defRPr sz="850">
                <a:solidFill>
                  <a:sysClr val="windowText" lastClr="000000"/>
                </a:solidFill>
              </a:defRPr>
            </a:pPr>
            <a:r>
              <a:rPr lang="lv-LV" sz="850" b="1">
                <a:solidFill>
                  <a:sysClr val="windowText" lastClr="000000"/>
                </a:solidFill>
              </a:rPr>
              <a:t>Pētniecības pieteikumu īstenotāji </a:t>
            </a:r>
            <a:endParaRPr lang="en-US" sz="850" b="1">
              <a:solidFill>
                <a:sysClr val="windowText" lastClr="000000"/>
              </a:solidFill>
            </a:endParaRPr>
          </a:p>
        </c:rich>
      </c:tx>
      <c:layout>
        <c:manualLayout>
          <c:xMode val="edge"/>
          <c:yMode val="edge"/>
          <c:x val="0.317105468359277"/>
          <c:y val="1.6844469399213899E-2"/>
        </c:manualLayout>
      </c:layout>
      <c:overlay val="0"/>
      <c:spPr>
        <a:noFill/>
        <a:ln>
          <a:noFill/>
        </a:ln>
        <a:effectLst/>
      </c:spPr>
      <c:txPr>
        <a:bodyPr rot="0" spcFirstLastPara="1" vertOverflow="ellipsis" vert="horz" wrap="square" anchor="ctr" anchorCtr="1"/>
        <a:lstStyle/>
        <a:p>
          <a:pPr algn="ctr">
            <a:defRPr sz="850" b="0"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Sheet8!$B$3:$B$31</c:f>
              <c:strCache>
                <c:ptCount val="29"/>
                <c:pt idx="0">
                  <c:v>LU</c:v>
                </c:pt>
                <c:pt idx="1">
                  <c:v>RTU</c:v>
                </c:pt>
                <c:pt idx="2">
                  <c:v>OSI</c:v>
                </c:pt>
                <c:pt idx="3">
                  <c:v>BMC</c:v>
                </c:pt>
                <c:pt idx="4">
                  <c:v>LU CFI</c:v>
                </c:pt>
                <c:pt idx="5">
                  <c:v>ViA</c:v>
                </c:pt>
                <c:pt idx="6">
                  <c:v>LVKĶI</c:v>
                </c:pt>
                <c:pt idx="7">
                  <c:v>RSU</c:v>
                </c:pt>
                <c:pt idx="8">
                  <c:v>LLU</c:v>
                </c:pt>
                <c:pt idx="9">
                  <c:v>Silava</c:v>
                </c:pt>
                <c:pt idx="10">
                  <c:v>LU MII</c:v>
                </c:pt>
                <c:pt idx="11">
                  <c:v>LU LFMI</c:v>
                </c:pt>
                <c:pt idx="12">
                  <c:v>BIOR</c:v>
                </c:pt>
                <c:pt idx="13">
                  <c:v>TSI</c:v>
                </c:pt>
                <c:pt idx="14">
                  <c:v>FEI</c:v>
                </c:pt>
                <c:pt idx="15">
                  <c:v>VeA</c:v>
                </c:pt>
                <c:pt idx="16">
                  <c:v>LLU DI</c:v>
                </c:pt>
                <c:pt idx="17">
                  <c:v>RTA</c:v>
                </c:pt>
                <c:pt idx="18">
                  <c:v>VRI</c:v>
                </c:pt>
                <c:pt idx="19">
                  <c:v>BA</c:v>
                </c:pt>
                <c:pt idx="20">
                  <c:v>DU</c:v>
                </c:pt>
                <c:pt idx="21">
                  <c:v>DU LHEI</c:v>
                </c:pt>
                <c:pt idx="22">
                  <c:v>LKA</c:v>
                </c:pt>
                <c:pt idx="23">
                  <c:v>LMA</c:v>
                </c:pt>
                <c:pt idx="24">
                  <c:v>LiepU</c:v>
                </c:pt>
                <c:pt idx="25">
                  <c:v>EDI</c:v>
                </c:pt>
                <c:pt idx="26">
                  <c:v>BSC</c:v>
                </c:pt>
                <c:pt idx="27">
                  <c:v>SIA "Lafivents"</c:v>
                </c:pt>
                <c:pt idx="28">
                  <c:v>SIA "SFT Seafood"</c:v>
                </c:pt>
              </c:strCache>
            </c:strRef>
          </c:cat>
          <c:val>
            <c:numRef>
              <c:f>Sheet8!$C$3:$C$31</c:f>
              <c:numCache>
                <c:formatCode>General</c:formatCode>
                <c:ptCount val="29"/>
                <c:pt idx="0">
                  <c:v>55</c:v>
                </c:pt>
                <c:pt idx="1">
                  <c:v>48</c:v>
                </c:pt>
                <c:pt idx="2">
                  <c:v>18</c:v>
                </c:pt>
                <c:pt idx="3">
                  <c:v>8</c:v>
                </c:pt>
                <c:pt idx="4">
                  <c:v>6</c:v>
                </c:pt>
                <c:pt idx="5">
                  <c:v>6</c:v>
                </c:pt>
                <c:pt idx="6">
                  <c:v>5</c:v>
                </c:pt>
                <c:pt idx="7">
                  <c:v>5</c:v>
                </c:pt>
                <c:pt idx="8">
                  <c:v>5</c:v>
                </c:pt>
                <c:pt idx="9">
                  <c:v>5</c:v>
                </c:pt>
                <c:pt idx="10">
                  <c:v>4</c:v>
                </c:pt>
                <c:pt idx="11">
                  <c:v>4</c:v>
                </c:pt>
                <c:pt idx="12">
                  <c:v>4</c:v>
                </c:pt>
                <c:pt idx="13">
                  <c:v>3</c:v>
                </c:pt>
                <c:pt idx="14">
                  <c:v>3</c:v>
                </c:pt>
                <c:pt idx="15">
                  <c:v>3</c:v>
                </c:pt>
                <c:pt idx="16">
                  <c:v>2</c:v>
                </c:pt>
                <c:pt idx="17">
                  <c:v>2</c:v>
                </c:pt>
                <c:pt idx="18">
                  <c:v>2</c:v>
                </c:pt>
                <c:pt idx="19">
                  <c:v>1</c:v>
                </c:pt>
                <c:pt idx="20">
                  <c:v>1</c:v>
                </c:pt>
                <c:pt idx="21">
                  <c:v>1</c:v>
                </c:pt>
                <c:pt idx="22">
                  <c:v>1</c:v>
                </c:pt>
                <c:pt idx="23">
                  <c:v>1</c:v>
                </c:pt>
                <c:pt idx="24">
                  <c:v>1</c:v>
                </c:pt>
                <c:pt idx="25">
                  <c:v>1</c:v>
                </c:pt>
                <c:pt idx="26">
                  <c:v>1</c:v>
                </c:pt>
                <c:pt idx="27">
                  <c:v>1</c:v>
                </c:pt>
                <c:pt idx="28">
                  <c:v>1</c:v>
                </c:pt>
              </c:numCache>
            </c:numRef>
          </c:val>
          <c:extLst>
            <c:ext xmlns:c16="http://schemas.microsoft.com/office/drawing/2014/chart" uri="{C3380CC4-5D6E-409C-BE32-E72D297353CC}">
              <c16:uniqueId val="{00000000-E53C-4A8F-A8D9-66631B1D7493}"/>
            </c:ext>
          </c:extLst>
        </c:ser>
        <c:dLbls>
          <c:showLegendKey val="0"/>
          <c:showVal val="0"/>
          <c:showCatName val="0"/>
          <c:showSerName val="0"/>
          <c:showPercent val="0"/>
          <c:showBubbleSize val="0"/>
        </c:dLbls>
        <c:gapWidth val="219"/>
        <c:overlap val="-27"/>
        <c:axId val="365670216"/>
        <c:axId val="365667080"/>
      </c:barChart>
      <c:catAx>
        <c:axId val="365670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crossAx val="365667080"/>
        <c:crosses val="autoZero"/>
        <c:auto val="1"/>
        <c:lblAlgn val="ctr"/>
        <c:lblOffset val="100"/>
        <c:noMultiLvlLbl val="0"/>
      </c:catAx>
      <c:valAx>
        <c:axId val="365667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crossAx val="365670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cap="none" spc="0" normalizeH="0" baseline="0">
                <a:solidFill>
                  <a:schemeClr val="tx1"/>
                </a:solidFill>
                <a:latin typeface="+mj-lt"/>
                <a:ea typeface="+mj-ea"/>
                <a:cs typeface="+mj-cs"/>
              </a:defRPr>
            </a:pPr>
            <a:r>
              <a:rPr lang="lv-LV" sz="900" b="1" i="0" baseline="0">
                <a:effectLst/>
              </a:rPr>
              <a:t>Pēcdoktorantūras pētniecības programmā plānotie,  pētniecības pieteikumu ietvaros uzņemtās saistības un sasniegtie iznākuma rādītāji (KP VIS dati uz 31.12.2018.)</a:t>
            </a:r>
            <a:endParaRPr lang="lv-LV" sz="900">
              <a:effectLst/>
            </a:endParaRPr>
          </a:p>
        </c:rich>
      </c:tx>
      <c:layout>
        <c:manualLayout>
          <c:xMode val="edge"/>
          <c:yMode val="edge"/>
          <c:x val="0.14130461500918201"/>
          <c:y val="2.1634417704017101E-2"/>
        </c:manualLayout>
      </c:layout>
      <c:overlay val="0"/>
      <c:spPr>
        <a:noFill/>
        <a:ln>
          <a:noFill/>
        </a:ln>
        <a:effectLst/>
      </c:spPr>
      <c:txPr>
        <a:bodyPr rot="0" spcFirstLastPara="1" vertOverflow="ellipsis" vert="horz" wrap="square" anchor="ctr" anchorCtr="1"/>
        <a:lstStyle/>
        <a:p>
          <a:pPr>
            <a:defRPr sz="900" b="0" i="0" u="none" strike="noStrike" kern="1200" cap="none" spc="0" normalizeH="0" baseline="0">
              <a:solidFill>
                <a:schemeClr val="tx1"/>
              </a:solidFill>
              <a:latin typeface="+mj-lt"/>
              <a:ea typeface="+mj-ea"/>
              <a:cs typeface="+mj-cs"/>
            </a:defRPr>
          </a:pPr>
          <a:endParaRPr lang="lv-LV"/>
        </a:p>
      </c:txPr>
    </c:title>
    <c:autoTitleDeleted val="0"/>
    <c:plotArea>
      <c:layout>
        <c:manualLayout>
          <c:layoutTarget val="inner"/>
          <c:xMode val="edge"/>
          <c:yMode val="edge"/>
          <c:x val="0.114428150609614"/>
          <c:y val="0.170922126442549"/>
          <c:w val="0.79864354018684702"/>
          <c:h val="0.60005566949962097"/>
        </c:manualLayout>
      </c:layout>
      <c:barChart>
        <c:barDir val="col"/>
        <c:grouping val="clustered"/>
        <c:varyColors val="0"/>
        <c:ser>
          <c:idx val="0"/>
          <c:order val="0"/>
          <c:tx>
            <c:strRef>
              <c:f>'grafiks par 1112 rādītājiem'!$A$3</c:f>
              <c:strCache>
                <c:ptCount val="1"/>
                <c:pt idx="0">
                  <c:v>Plānots DP</c:v>
                </c:pt>
              </c:strCache>
            </c:strRef>
          </c:tx>
          <c:spPr>
            <a:solidFill>
              <a:schemeClr val="accent1"/>
            </a:solidFill>
            <a:ln>
              <a:solidFill>
                <a:schemeClr val="accent5">
                  <a:lumMod val="40000"/>
                  <a:lumOff val="60000"/>
                </a:schemeClr>
              </a:solidFill>
            </a:ln>
            <a:effectLst/>
          </c:spPr>
          <c:invertIfNegative val="0"/>
          <c:dLbls>
            <c:dLbl>
              <c:idx val="0"/>
              <c:tx>
                <c:rich>
                  <a:bodyPr/>
                  <a:lstStyle/>
                  <a:p>
                    <a:fld id="{FC3871F8-C81B-41CE-A508-5C7DD8562B09}" type="CELLRANGE">
                      <a:rPr lang="en-US"/>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A7CA-4FDD-BFC9-6116FCE837F8}"/>
                </c:ext>
              </c:extLst>
            </c:dLbl>
            <c:dLbl>
              <c:idx val="1"/>
              <c:layout>
                <c:manualLayout>
                  <c:x val="0"/>
                  <c:y val="-4.3577148289505603E-4"/>
                </c:manualLayout>
              </c:layout>
              <c:tx>
                <c:rich>
                  <a:bodyPr/>
                  <a:lstStyle/>
                  <a:p>
                    <a:fld id="{F64C93CD-F340-4677-B9AA-C2C78453CD02}" type="CELLRANGE">
                      <a:rPr lang="en-US"/>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A7CA-4FDD-BFC9-6116FCE837F8}"/>
                </c:ext>
              </c:extLst>
            </c:dLbl>
            <c:dLbl>
              <c:idx val="2"/>
              <c:tx>
                <c:rich>
                  <a:bodyPr/>
                  <a:lstStyle/>
                  <a:p>
                    <a:fld id="{CFBDF75F-49DF-4C5D-8497-1375AEAFB42C}"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A7CA-4FDD-BFC9-6116FCE837F8}"/>
                </c:ext>
              </c:extLst>
            </c:dLbl>
            <c:dLbl>
              <c:idx val="3"/>
              <c:tx>
                <c:rich>
                  <a:bodyPr/>
                  <a:lstStyle/>
                  <a:p>
                    <a:fld id="{10FC13A8-FA41-4241-842C-32BFCB68DBA2}"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A7CA-4FDD-BFC9-6116FCE837F8}"/>
                </c:ext>
              </c:extLst>
            </c:dLbl>
            <c:dLbl>
              <c:idx val="4"/>
              <c:tx>
                <c:rich>
                  <a:bodyPr/>
                  <a:lstStyle/>
                  <a:p>
                    <a:fld id="{35D68D85-9C7D-4563-96B2-133F52801902}"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A7CA-4FDD-BFC9-6116FCE837F8}"/>
                </c:ext>
              </c:extLst>
            </c:dLbl>
            <c:dLbl>
              <c:idx val="5"/>
              <c:tx>
                <c:rich>
                  <a:bodyPr/>
                  <a:lstStyle/>
                  <a:p>
                    <a:fld id="{D213F472-0AF1-432D-A99B-F1732BC55F2B}"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A7CA-4FDD-BFC9-6116FCE837F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lv-LV"/>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noFill/>
                    </a:ln>
                    <a:effectLst/>
                  </c:spPr>
                </c15:leaderLines>
              </c:ext>
            </c:extLst>
          </c:dLbls>
          <c:cat>
            <c:strRef>
              <c:f>'grafiks par 1112 rādītājiem'!$B$2:$G$2</c:f>
              <c:strCache>
                <c:ptCount val="6"/>
                <c:pt idx="0">
                  <c:v>FINANSĒJUMS</c:v>
                </c:pt>
                <c:pt idx="1">
                  <c:v>JAUNIE PĒTNIEKI</c:v>
                </c:pt>
                <c:pt idx="2">
                  <c:v>ZINĀTNISKIE RAKSTI</c:v>
                </c:pt>
                <c:pt idx="3">
                  <c:v>JAUNI PRODUKTI/
TEHNOLOĢIJAS</c:v>
                </c:pt>
                <c:pt idx="4">
                  <c:v>KOMERSANTU-ZI PARTNERĪBA</c:v>
                </c:pt>
                <c:pt idx="5">
                  <c:v>PRIVĀTAIS FINANSĒJUMS</c:v>
                </c:pt>
              </c:strCache>
            </c:strRef>
          </c:cat>
          <c:val>
            <c:numRef>
              <c:f>'grafiks par 1112 rādītājiem'!$B$3:$G$3</c:f>
              <c:numCache>
                <c:formatCode>0%</c:formatCode>
                <c:ptCount val="6"/>
                <c:pt idx="0">
                  <c:v>1</c:v>
                </c:pt>
                <c:pt idx="1">
                  <c:v>1</c:v>
                </c:pt>
                <c:pt idx="2">
                  <c:v>1</c:v>
                </c:pt>
                <c:pt idx="3">
                  <c:v>1</c:v>
                </c:pt>
                <c:pt idx="4">
                  <c:v>1</c:v>
                </c:pt>
                <c:pt idx="5">
                  <c:v>1</c:v>
                </c:pt>
              </c:numCache>
            </c:numRef>
          </c:val>
          <c:extLst>
            <c:ext xmlns:c15="http://schemas.microsoft.com/office/drawing/2012/chart" uri="{02D57815-91ED-43cb-92C2-25804820EDAC}">
              <c15:datalabelsRange>
                <c15:f>'grafiks par 1112 rādītājiem'!$B$12:$G$12</c15:f>
                <c15:dlblRangeCache>
                  <c:ptCount val="6"/>
                  <c:pt idx="0">
                    <c:v>60,8MEUR*</c:v>
                  </c:pt>
                  <c:pt idx="1">
                    <c:v>118</c:v>
                  </c:pt>
                  <c:pt idx="2">
                    <c:v>1280</c:v>
                  </c:pt>
                  <c:pt idx="3">
                    <c:v>416</c:v>
                  </c:pt>
                  <c:pt idx="4">
                    <c:v>100</c:v>
                  </c:pt>
                  <c:pt idx="5">
                    <c:v>3,2MEUR</c:v>
                  </c:pt>
                </c15:dlblRangeCache>
              </c15:datalabelsRange>
            </c:ext>
            <c:ext xmlns:c16="http://schemas.microsoft.com/office/drawing/2014/chart" uri="{C3380CC4-5D6E-409C-BE32-E72D297353CC}">
              <c16:uniqueId val="{00000006-A7CA-4FDD-BFC9-6116FCE837F8}"/>
            </c:ext>
          </c:extLst>
        </c:ser>
        <c:dLbls>
          <c:showLegendKey val="0"/>
          <c:showVal val="0"/>
          <c:showCatName val="0"/>
          <c:showSerName val="0"/>
          <c:showPercent val="0"/>
          <c:showBubbleSize val="0"/>
        </c:dLbls>
        <c:gapWidth val="269"/>
        <c:overlap val="-27"/>
        <c:axId val="365668648"/>
        <c:axId val="365669040"/>
      </c:barChart>
      <c:barChart>
        <c:barDir val="col"/>
        <c:grouping val="clustered"/>
        <c:varyColors val="0"/>
        <c:ser>
          <c:idx val="1"/>
          <c:order val="1"/>
          <c:tx>
            <c:strRef>
              <c:f>'grafiks par 1112 rādītājiem'!$A$4</c:f>
              <c:strCache>
                <c:ptCount val="1"/>
                <c:pt idx="0">
                  <c:v>Plānots projektos</c:v>
                </c:pt>
              </c:strCache>
            </c:strRef>
          </c:tx>
          <c:spPr>
            <a:solidFill>
              <a:schemeClr val="accent6">
                <a:lumMod val="40000"/>
                <a:lumOff val="60000"/>
              </a:schemeClr>
            </a:solidFill>
            <a:ln>
              <a:solidFill>
                <a:schemeClr val="accent6">
                  <a:lumMod val="60000"/>
                  <a:lumOff val="40000"/>
                </a:schemeClr>
              </a:solidFill>
            </a:ln>
            <a:effectLst/>
          </c:spPr>
          <c:invertIfNegative val="0"/>
          <c:dLbls>
            <c:dLbl>
              <c:idx val="3"/>
              <c:tx>
                <c:rich>
                  <a:bodyPr/>
                  <a:lstStyle/>
                  <a:p>
                    <a:fld id="{791F9EA6-1918-4BB3-8D78-983183C03928}" type="VALUE">
                      <a:rPr lang="en-US">
                        <a:solidFill>
                          <a:srgbClr val="C00000"/>
                        </a:solidFill>
                      </a:rPr>
                      <a:pPr/>
                      <a:t>[VALUE]</a:t>
                    </a:fld>
                    <a:endParaRPr lang="lv-LV"/>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7CA-4FDD-BFC9-6116FCE837F8}"/>
                </c:ext>
              </c:extLst>
            </c:dLbl>
            <c:dLbl>
              <c:idx val="4"/>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lv-LV"/>
                </a:p>
              </c:txPr>
              <c:dLblPos val="inEnd"/>
              <c:showLegendKey val="0"/>
              <c:showVal val="1"/>
              <c:showCatName val="0"/>
              <c:showSerName val="0"/>
              <c:showPercent val="0"/>
              <c:showBubbleSize val="0"/>
              <c:extLst>
                <c:ext xmlns:c16="http://schemas.microsoft.com/office/drawing/2014/chart" uri="{C3380CC4-5D6E-409C-BE32-E72D297353CC}">
                  <c16:uniqueId val="{00000008-A7CA-4FDD-BFC9-6116FCE837F8}"/>
                </c:ext>
              </c:extLst>
            </c:dLbl>
            <c:dLbl>
              <c:idx val="5"/>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lv-LV"/>
                </a:p>
              </c:txPr>
              <c:dLblPos val="inEnd"/>
              <c:showLegendKey val="0"/>
              <c:showVal val="1"/>
              <c:showCatName val="0"/>
              <c:showSerName val="0"/>
              <c:showPercent val="0"/>
              <c:showBubbleSize val="0"/>
              <c:extLst>
                <c:ext xmlns:c16="http://schemas.microsoft.com/office/drawing/2014/chart" uri="{C3380CC4-5D6E-409C-BE32-E72D297353CC}">
                  <c16:uniqueId val="{00000009-A7CA-4FDD-BFC9-6116FCE837F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'grafiks par 1112 rādītājiem'!$B$2:$G$2</c:f>
              <c:strCache>
                <c:ptCount val="6"/>
                <c:pt idx="0">
                  <c:v>FINANSĒJUMS</c:v>
                </c:pt>
                <c:pt idx="1">
                  <c:v>JAUNIE PĒTNIEKI</c:v>
                </c:pt>
                <c:pt idx="2">
                  <c:v>ZINĀTNISKIE RAKSTI</c:v>
                </c:pt>
                <c:pt idx="3">
                  <c:v>JAUNI PRODUKTI/
TEHNOLOĢIJAS</c:v>
                </c:pt>
                <c:pt idx="4">
                  <c:v>KOMERSANTU-ZI PARTNERĪBA</c:v>
                </c:pt>
                <c:pt idx="5">
                  <c:v>PRIVĀTAIS FINANSĒJUMS</c:v>
                </c:pt>
              </c:strCache>
            </c:strRef>
          </c:cat>
          <c:val>
            <c:numRef>
              <c:f>'grafiks par 1112 rādītājiem'!$B$4:$G$4</c:f>
              <c:numCache>
                <c:formatCode>0%</c:formatCode>
                <c:ptCount val="6"/>
                <c:pt idx="0">
                  <c:v>0.40131578947368401</c:v>
                </c:pt>
                <c:pt idx="1">
                  <c:v>1.64406779661017</c:v>
                </c:pt>
                <c:pt idx="2">
                  <c:v>0.56796875000000002</c:v>
                </c:pt>
                <c:pt idx="3">
                  <c:v>0.28125</c:v>
                </c:pt>
                <c:pt idx="4">
                  <c:v>0.27</c:v>
                </c:pt>
                <c:pt idx="5">
                  <c:v>0.146661628125</c:v>
                </c:pt>
              </c:numCache>
            </c:numRef>
          </c:val>
          <c:extLst>
            <c:ext xmlns:c16="http://schemas.microsoft.com/office/drawing/2014/chart" uri="{C3380CC4-5D6E-409C-BE32-E72D297353CC}">
              <c16:uniqueId val="{0000000A-A7CA-4FDD-BFC9-6116FCE837F8}"/>
            </c:ext>
          </c:extLst>
        </c:ser>
        <c:dLbls>
          <c:showLegendKey val="0"/>
          <c:showVal val="0"/>
          <c:showCatName val="0"/>
          <c:showSerName val="0"/>
          <c:showPercent val="0"/>
          <c:showBubbleSize val="0"/>
        </c:dLbls>
        <c:gapWidth val="269"/>
        <c:overlap val="-27"/>
        <c:axId val="366264016"/>
        <c:axId val="366266368"/>
      </c:barChart>
      <c:lineChart>
        <c:grouping val="standard"/>
        <c:varyColors val="0"/>
        <c:ser>
          <c:idx val="2"/>
          <c:order val="2"/>
          <c:tx>
            <c:strRef>
              <c:f>'grafiks par 1112 rādītājiem'!$A$5</c:f>
              <c:strCache>
                <c:ptCount val="1"/>
                <c:pt idx="0">
                  <c:v>Sasniegts</c:v>
                </c:pt>
              </c:strCache>
            </c:strRef>
          </c:tx>
          <c:spPr>
            <a:ln w="38100"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'grafiks par 1112 rādītājiem'!$B$2:$G$2</c:f>
              <c:strCache>
                <c:ptCount val="6"/>
                <c:pt idx="0">
                  <c:v>FINANSĒJUMS</c:v>
                </c:pt>
                <c:pt idx="1">
                  <c:v>JAUNIE PĒTNIEKI</c:v>
                </c:pt>
                <c:pt idx="2">
                  <c:v>ZINĀTNISKIE RAKSTI</c:v>
                </c:pt>
                <c:pt idx="3">
                  <c:v>JAUNI PRODUKTI/
TEHNOLOĢIJAS</c:v>
                </c:pt>
                <c:pt idx="4">
                  <c:v>KOMERSANTU-ZI PARTNERĪBA</c:v>
                </c:pt>
                <c:pt idx="5">
                  <c:v>PRIVĀTAIS FINANSĒJUMS</c:v>
                </c:pt>
              </c:strCache>
            </c:strRef>
          </c:cat>
          <c:val>
            <c:numRef>
              <c:f>'grafiks par 1112 rādītājiem'!$B$5:$G$5</c:f>
              <c:numCache>
                <c:formatCode>0%</c:formatCode>
                <c:ptCount val="6"/>
                <c:pt idx="0">
                  <c:v>5.42763157894737E-2</c:v>
                </c:pt>
                <c:pt idx="1">
                  <c:v>0.38135593220338998</c:v>
                </c:pt>
                <c:pt idx="2">
                  <c:v>1.5625E-2</c:v>
                </c:pt>
                <c:pt idx="3">
                  <c:v>2.4038461538461501E-3</c:v>
                </c:pt>
                <c:pt idx="4">
                  <c:v>0.12</c:v>
                </c:pt>
                <c:pt idx="5">
                  <c:v>0.16416875</c:v>
                </c:pt>
              </c:numCache>
            </c:numRef>
          </c:val>
          <c:smooth val="0"/>
          <c:extLst>
            <c:ext xmlns:c16="http://schemas.microsoft.com/office/drawing/2014/chart" uri="{C3380CC4-5D6E-409C-BE32-E72D297353CC}">
              <c16:uniqueId val="{0000000B-A7CA-4FDD-BFC9-6116FCE837F8}"/>
            </c:ext>
          </c:extLst>
        </c:ser>
        <c:dLbls>
          <c:showLegendKey val="0"/>
          <c:showVal val="0"/>
          <c:showCatName val="0"/>
          <c:showSerName val="0"/>
          <c:showPercent val="0"/>
          <c:showBubbleSize val="0"/>
        </c:dLbls>
        <c:marker val="1"/>
        <c:smooth val="0"/>
        <c:axId val="365668648"/>
        <c:axId val="365669040"/>
      </c:lineChart>
      <c:catAx>
        <c:axId val="3656686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cap="none" spc="0" normalizeH="0" baseline="0">
                <a:solidFill>
                  <a:schemeClr val="tx1"/>
                </a:solidFill>
                <a:latin typeface="+mn-lt"/>
                <a:ea typeface="+mn-ea"/>
                <a:cs typeface="+mn-cs"/>
              </a:defRPr>
            </a:pPr>
            <a:endParaRPr lang="lv-LV"/>
          </a:p>
        </c:txPr>
        <c:crossAx val="365669040"/>
        <c:crosses val="autoZero"/>
        <c:auto val="1"/>
        <c:lblAlgn val="ctr"/>
        <c:lblOffset val="100"/>
        <c:noMultiLvlLbl val="0"/>
      </c:catAx>
      <c:valAx>
        <c:axId val="365669040"/>
        <c:scaling>
          <c:orientation val="minMax"/>
          <c:max val="1.65"/>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lt1"/>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lv-LV"/>
          </a:p>
        </c:txPr>
        <c:crossAx val="365668648"/>
        <c:crosses val="autoZero"/>
        <c:crossBetween val="between"/>
      </c:valAx>
      <c:valAx>
        <c:axId val="366266368"/>
        <c:scaling>
          <c:orientation val="minMax"/>
        </c:scaling>
        <c:delete val="1"/>
        <c:axPos val="r"/>
        <c:numFmt formatCode="0%" sourceLinked="1"/>
        <c:majorTickMark val="none"/>
        <c:minorTickMark val="none"/>
        <c:tickLblPos val="nextTo"/>
        <c:crossAx val="366264016"/>
        <c:crosses val="max"/>
        <c:crossBetween val="between"/>
      </c:valAx>
      <c:catAx>
        <c:axId val="366264016"/>
        <c:scaling>
          <c:orientation val="minMax"/>
        </c:scaling>
        <c:delete val="1"/>
        <c:axPos val="b"/>
        <c:numFmt formatCode="General" sourceLinked="1"/>
        <c:majorTickMark val="out"/>
        <c:minorTickMark val="none"/>
        <c:tickLblPos val="nextTo"/>
        <c:crossAx val="366266368"/>
        <c:crosses val="autoZero"/>
        <c:auto val="1"/>
        <c:lblAlgn val="ctr"/>
        <c:lblOffset val="100"/>
        <c:noMultiLvlLbl val="0"/>
      </c:catAx>
      <c:spPr>
        <a:noFill/>
        <a:ln>
          <a:noFill/>
        </a:ln>
        <a:effectLst/>
      </c:spPr>
    </c:plotArea>
    <c:legend>
      <c:legendPos val="b"/>
      <c:layout>
        <c:manualLayout>
          <c:xMode val="edge"/>
          <c:yMode val="edge"/>
          <c:x val="0.25161276858741299"/>
          <c:y val="0.90152166974973702"/>
          <c:w val="0.46759304737257501"/>
          <c:h val="3.8007022770802298E-2"/>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792319394007199E-2"/>
          <c:y val="2.20181271027706E-2"/>
          <c:w val="0.91357263050112203"/>
          <c:h val="0.57485002086125903"/>
        </c:manualLayout>
      </c:layout>
      <c:barChart>
        <c:barDir val="col"/>
        <c:grouping val="clustered"/>
        <c:varyColors val="0"/>
        <c:ser>
          <c:idx val="0"/>
          <c:order val="0"/>
          <c:tx>
            <c:strRef>
              <c:f>Sheet5!$B$3</c:f>
              <c:strCache>
                <c:ptCount val="1"/>
                <c:pt idx="0">
                  <c:v>Iesniegti</c:v>
                </c:pt>
              </c:strCache>
            </c:strRef>
          </c:tx>
          <c:spPr>
            <a:solidFill>
              <a:schemeClr val="accent1"/>
            </a:solidFill>
            <a:ln>
              <a:noFill/>
            </a:ln>
            <a:effectLst/>
          </c:spPr>
          <c:invertIfNegative val="0"/>
          <c:cat>
            <c:strRef>
              <c:f>Sheet5!$A$4:$A$9</c:f>
              <c:strCache>
                <c:ptCount val="6"/>
                <c:pt idx="0">
                  <c:v>Biomedicīna, medicīnas tehnoloģijas, biofarmācija un biotehnoloģijas</c:v>
                </c:pt>
                <c:pt idx="1">
                  <c:v>Informācijas un komunikāciju tehnoloģijas  </c:v>
                </c:pt>
                <c:pt idx="2">
                  <c:v>Izaugsmes prioritātes, tai skaitā Sociālo un humanitāro zinātņu joma  </c:v>
                </c:pt>
                <c:pt idx="3">
                  <c:v>Viedā enerģētika  </c:v>
                </c:pt>
                <c:pt idx="4">
                  <c:v>Viedie materiāli, tehnoloģijas un inženiersistēmas</c:v>
                </c:pt>
                <c:pt idx="5">
                  <c:v>Zināšanu-ietilpīga bioekonomika</c:v>
                </c:pt>
              </c:strCache>
            </c:strRef>
          </c:cat>
          <c:val>
            <c:numRef>
              <c:f>Sheet5!$B$4:$B$9</c:f>
            </c:numRef>
          </c:val>
          <c:extLst>
            <c:ext xmlns:c16="http://schemas.microsoft.com/office/drawing/2014/chart" uri="{C3380CC4-5D6E-409C-BE32-E72D297353CC}">
              <c16:uniqueId val="{00000000-6500-4C32-B344-5F3BAF76012F}"/>
            </c:ext>
          </c:extLst>
        </c:ser>
        <c:ser>
          <c:idx val="1"/>
          <c:order val="1"/>
          <c:tx>
            <c:strRef>
              <c:f>Sheet5!$C$3</c:f>
              <c:strCache>
                <c:ptCount val="1"/>
                <c:pt idx="0">
                  <c:v>Novērtēti virs kvalitātes sliekšņa</c:v>
                </c:pt>
              </c:strCache>
            </c:strRef>
          </c:tx>
          <c:spPr>
            <a:solidFill>
              <a:schemeClr val="accent2"/>
            </a:solidFill>
            <a:ln>
              <a:noFill/>
            </a:ln>
            <a:effectLst/>
          </c:spPr>
          <c:invertIfNegative val="0"/>
          <c:cat>
            <c:strRef>
              <c:f>Sheet5!$A$4:$A$9</c:f>
              <c:strCache>
                <c:ptCount val="6"/>
                <c:pt idx="0">
                  <c:v>Biomedicīna, medicīnas tehnoloģijas, biofarmācija un biotehnoloģijas</c:v>
                </c:pt>
                <c:pt idx="1">
                  <c:v>Informācijas un komunikāciju tehnoloģijas  </c:v>
                </c:pt>
                <c:pt idx="2">
                  <c:v>Izaugsmes prioritātes, tai skaitā Sociālo un humanitāro zinātņu joma  </c:v>
                </c:pt>
                <c:pt idx="3">
                  <c:v>Viedā enerģētika  </c:v>
                </c:pt>
                <c:pt idx="4">
                  <c:v>Viedie materiāli, tehnoloģijas un inženiersistēmas</c:v>
                </c:pt>
                <c:pt idx="5">
                  <c:v>Zināšanu-ietilpīga bioekonomika</c:v>
                </c:pt>
              </c:strCache>
            </c:strRef>
          </c:cat>
          <c:val>
            <c:numRef>
              <c:f>Sheet5!$C$4:$C$9</c:f>
            </c:numRef>
          </c:val>
          <c:extLst>
            <c:ext xmlns:c16="http://schemas.microsoft.com/office/drawing/2014/chart" uri="{C3380CC4-5D6E-409C-BE32-E72D297353CC}">
              <c16:uniqueId val="{00000001-6500-4C32-B344-5F3BAF76012F}"/>
            </c:ext>
          </c:extLst>
        </c:ser>
        <c:ser>
          <c:idx val="2"/>
          <c:order val="2"/>
          <c:tx>
            <c:strRef>
              <c:f>Sheet5!$D$3</c:f>
              <c:strCache>
                <c:ptCount val="1"/>
                <c:pt idx="0">
                  <c:v>Noslēgti līgumi par pētniecības pieteikuma īstenošanu</c:v>
                </c:pt>
              </c:strCache>
            </c:strRef>
          </c:tx>
          <c:spPr>
            <a:solidFill>
              <a:schemeClr val="accent3"/>
            </a:solidFill>
            <a:ln>
              <a:noFill/>
            </a:ln>
            <a:effectLst/>
          </c:spPr>
          <c:invertIfNegative val="0"/>
          <c:cat>
            <c:strRef>
              <c:f>Sheet5!$A$4:$A$9</c:f>
              <c:strCache>
                <c:ptCount val="6"/>
                <c:pt idx="0">
                  <c:v>Biomedicīna, medicīnas tehnoloģijas, biofarmācija un biotehnoloģijas</c:v>
                </c:pt>
                <c:pt idx="1">
                  <c:v>Informācijas un komunikāciju tehnoloģijas  </c:v>
                </c:pt>
                <c:pt idx="2">
                  <c:v>Izaugsmes prioritātes, tai skaitā Sociālo un humanitāro zinātņu joma  </c:v>
                </c:pt>
                <c:pt idx="3">
                  <c:v>Viedā enerģētika  </c:v>
                </c:pt>
                <c:pt idx="4">
                  <c:v>Viedie materiāli, tehnoloģijas un inženiersistēmas</c:v>
                </c:pt>
                <c:pt idx="5">
                  <c:v>Zināšanu-ietilpīga bioekonomika</c:v>
                </c:pt>
              </c:strCache>
            </c:strRef>
          </c:cat>
          <c:val>
            <c:numRef>
              <c:f>Sheet5!$D$4:$D$9</c:f>
            </c:numRef>
          </c:val>
          <c:extLst>
            <c:ext xmlns:c16="http://schemas.microsoft.com/office/drawing/2014/chart" uri="{C3380CC4-5D6E-409C-BE32-E72D297353CC}">
              <c16:uniqueId val="{00000002-6500-4C32-B344-5F3BAF76012F}"/>
            </c:ext>
          </c:extLst>
        </c:ser>
        <c:ser>
          <c:idx val="3"/>
          <c:order val="3"/>
          <c:tx>
            <c:strRef>
              <c:f>Sheet5!$E$3</c:f>
              <c:strCache>
                <c:ptCount val="1"/>
                <c:pt idx="0">
                  <c:v>Iesniegti</c:v>
                </c:pt>
              </c:strCache>
            </c:strRef>
          </c:tx>
          <c:spPr>
            <a:solidFill>
              <a:schemeClr val="accent4"/>
            </a:solidFill>
            <a:ln>
              <a:noFill/>
            </a:ln>
            <a:effectLst/>
          </c:spPr>
          <c:invertIfNegative val="0"/>
          <c:cat>
            <c:strRef>
              <c:f>Sheet5!$A$4:$A$9</c:f>
              <c:strCache>
                <c:ptCount val="6"/>
                <c:pt idx="0">
                  <c:v>Biomedicīna, medicīnas tehnoloģijas, biofarmācija un biotehnoloģijas</c:v>
                </c:pt>
                <c:pt idx="1">
                  <c:v>Informācijas un komunikāciju tehnoloģijas  </c:v>
                </c:pt>
                <c:pt idx="2">
                  <c:v>Izaugsmes prioritātes, tai skaitā Sociālo un humanitāro zinātņu joma  </c:v>
                </c:pt>
                <c:pt idx="3">
                  <c:v>Viedā enerģētika  </c:v>
                </c:pt>
                <c:pt idx="4">
                  <c:v>Viedie materiāli, tehnoloģijas un inženiersistēmas</c:v>
                </c:pt>
                <c:pt idx="5">
                  <c:v>Zināšanu-ietilpīga bioekonomika</c:v>
                </c:pt>
              </c:strCache>
            </c:strRef>
          </c:cat>
          <c:val>
            <c:numRef>
              <c:f>Sheet5!$E$4:$E$9</c:f>
            </c:numRef>
          </c:val>
          <c:extLst>
            <c:ext xmlns:c16="http://schemas.microsoft.com/office/drawing/2014/chart" uri="{C3380CC4-5D6E-409C-BE32-E72D297353CC}">
              <c16:uniqueId val="{00000003-6500-4C32-B344-5F3BAF76012F}"/>
            </c:ext>
          </c:extLst>
        </c:ser>
        <c:ser>
          <c:idx val="4"/>
          <c:order val="4"/>
          <c:tx>
            <c:strRef>
              <c:f>Sheet5!$F$3</c:f>
              <c:strCache>
                <c:ptCount val="1"/>
                <c:pt idx="0">
                  <c:v>Novērtēti virs kvalitātes sliekšņa</c:v>
                </c:pt>
              </c:strCache>
            </c:strRef>
          </c:tx>
          <c:spPr>
            <a:solidFill>
              <a:schemeClr val="accent5"/>
            </a:solidFill>
            <a:ln>
              <a:noFill/>
            </a:ln>
            <a:effectLst/>
          </c:spPr>
          <c:invertIfNegative val="0"/>
          <c:cat>
            <c:strRef>
              <c:f>Sheet5!$A$4:$A$9</c:f>
              <c:strCache>
                <c:ptCount val="6"/>
                <c:pt idx="0">
                  <c:v>Biomedicīna, medicīnas tehnoloģijas, biofarmācija un biotehnoloģijas</c:v>
                </c:pt>
                <c:pt idx="1">
                  <c:v>Informācijas un komunikāciju tehnoloģijas  </c:v>
                </c:pt>
                <c:pt idx="2">
                  <c:v>Izaugsmes prioritātes, tai skaitā Sociālo un humanitāro zinātņu joma  </c:v>
                </c:pt>
                <c:pt idx="3">
                  <c:v>Viedā enerģētika  </c:v>
                </c:pt>
                <c:pt idx="4">
                  <c:v>Viedie materiāli, tehnoloģijas un inženiersistēmas</c:v>
                </c:pt>
                <c:pt idx="5">
                  <c:v>Zināšanu-ietilpīga bioekonomika</c:v>
                </c:pt>
              </c:strCache>
            </c:strRef>
          </c:cat>
          <c:val>
            <c:numRef>
              <c:f>Sheet5!$F$4:$F$9</c:f>
            </c:numRef>
          </c:val>
          <c:extLst>
            <c:ext xmlns:c16="http://schemas.microsoft.com/office/drawing/2014/chart" uri="{C3380CC4-5D6E-409C-BE32-E72D297353CC}">
              <c16:uniqueId val="{00000004-6500-4C32-B344-5F3BAF76012F}"/>
            </c:ext>
          </c:extLst>
        </c:ser>
        <c:ser>
          <c:idx val="5"/>
          <c:order val="5"/>
          <c:tx>
            <c:strRef>
              <c:f>Sheet5!$G$3</c:f>
              <c:strCache>
                <c:ptCount val="1"/>
                <c:pt idx="0">
                  <c:v>Noslēgti līgumi par pētniecības pieteikuma īstenošanu</c:v>
                </c:pt>
              </c:strCache>
            </c:strRef>
          </c:tx>
          <c:spPr>
            <a:solidFill>
              <a:schemeClr val="accent6"/>
            </a:solidFill>
            <a:ln>
              <a:noFill/>
            </a:ln>
            <a:effectLst/>
          </c:spPr>
          <c:invertIfNegative val="0"/>
          <c:cat>
            <c:strRef>
              <c:f>Sheet5!$A$4:$A$9</c:f>
              <c:strCache>
                <c:ptCount val="6"/>
                <c:pt idx="0">
                  <c:v>Biomedicīna, medicīnas tehnoloģijas, biofarmācija un biotehnoloģijas</c:v>
                </c:pt>
                <c:pt idx="1">
                  <c:v>Informācijas un komunikāciju tehnoloģijas  </c:v>
                </c:pt>
                <c:pt idx="2">
                  <c:v>Izaugsmes prioritātes, tai skaitā Sociālo un humanitāro zinātņu joma  </c:v>
                </c:pt>
                <c:pt idx="3">
                  <c:v>Viedā enerģētika  </c:v>
                </c:pt>
                <c:pt idx="4">
                  <c:v>Viedie materiāli, tehnoloģijas un inženiersistēmas</c:v>
                </c:pt>
                <c:pt idx="5">
                  <c:v>Zināšanu-ietilpīga bioekonomika</c:v>
                </c:pt>
              </c:strCache>
            </c:strRef>
          </c:cat>
          <c:val>
            <c:numRef>
              <c:f>Sheet5!$G$4:$G$9</c:f>
            </c:numRef>
          </c:val>
          <c:extLst>
            <c:ext xmlns:c16="http://schemas.microsoft.com/office/drawing/2014/chart" uri="{C3380CC4-5D6E-409C-BE32-E72D297353CC}">
              <c16:uniqueId val="{00000005-6500-4C32-B344-5F3BAF76012F}"/>
            </c:ext>
          </c:extLst>
        </c:ser>
        <c:ser>
          <c:idx val="6"/>
          <c:order val="6"/>
          <c:tx>
            <c:strRef>
              <c:f>Sheet5!$H$3</c:f>
              <c:strCache>
                <c:ptCount val="1"/>
                <c:pt idx="0">
                  <c:v>Iesniegti</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Sheet5!$A$4:$A$9</c:f>
              <c:strCache>
                <c:ptCount val="6"/>
                <c:pt idx="0">
                  <c:v>Biomedicīna, medicīnas tehnoloģijas, biofarmācija un biotehnoloģijas</c:v>
                </c:pt>
                <c:pt idx="1">
                  <c:v>Informācijas un komunikāciju tehnoloģijas  </c:v>
                </c:pt>
                <c:pt idx="2">
                  <c:v>Izaugsmes prioritātes, tai skaitā Sociālo un humanitāro zinātņu joma  </c:v>
                </c:pt>
                <c:pt idx="3">
                  <c:v>Viedā enerģētika  </c:v>
                </c:pt>
                <c:pt idx="4">
                  <c:v>Viedie materiāli, tehnoloģijas un inženiersistēmas</c:v>
                </c:pt>
                <c:pt idx="5">
                  <c:v>Zināšanu-ietilpīga bioekonomika</c:v>
                </c:pt>
              </c:strCache>
            </c:strRef>
          </c:cat>
          <c:val>
            <c:numRef>
              <c:f>Sheet5!$H$4:$H$9</c:f>
              <c:numCache>
                <c:formatCode>General</c:formatCode>
                <c:ptCount val="6"/>
                <c:pt idx="0">
                  <c:v>87</c:v>
                </c:pt>
                <c:pt idx="1">
                  <c:v>41</c:v>
                </c:pt>
                <c:pt idx="2">
                  <c:v>78</c:v>
                </c:pt>
                <c:pt idx="3">
                  <c:v>32</c:v>
                </c:pt>
                <c:pt idx="4">
                  <c:v>100</c:v>
                </c:pt>
                <c:pt idx="5">
                  <c:v>48</c:v>
                </c:pt>
              </c:numCache>
            </c:numRef>
          </c:val>
          <c:extLst>
            <c:ext xmlns:c16="http://schemas.microsoft.com/office/drawing/2014/chart" uri="{C3380CC4-5D6E-409C-BE32-E72D297353CC}">
              <c16:uniqueId val="{00000006-6500-4C32-B344-5F3BAF76012F}"/>
            </c:ext>
          </c:extLst>
        </c:ser>
        <c:ser>
          <c:idx val="7"/>
          <c:order val="7"/>
          <c:tx>
            <c:strRef>
              <c:f>Sheet5!$I$3</c:f>
              <c:strCache>
                <c:ptCount val="1"/>
                <c:pt idx="0">
                  <c:v>Novērtēti virs kvalitātes sliekšņa</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Sheet5!$A$4:$A$9</c:f>
              <c:strCache>
                <c:ptCount val="6"/>
                <c:pt idx="0">
                  <c:v>Biomedicīna, medicīnas tehnoloģijas, biofarmācija un biotehnoloģijas</c:v>
                </c:pt>
                <c:pt idx="1">
                  <c:v>Informācijas un komunikāciju tehnoloģijas  </c:v>
                </c:pt>
                <c:pt idx="2">
                  <c:v>Izaugsmes prioritātes, tai skaitā Sociālo un humanitāro zinātņu joma  </c:v>
                </c:pt>
                <c:pt idx="3">
                  <c:v>Viedā enerģētika  </c:v>
                </c:pt>
                <c:pt idx="4">
                  <c:v>Viedie materiāli, tehnoloģijas un inženiersistēmas</c:v>
                </c:pt>
                <c:pt idx="5">
                  <c:v>Zināšanu-ietilpīga bioekonomika</c:v>
                </c:pt>
              </c:strCache>
            </c:strRef>
          </c:cat>
          <c:val>
            <c:numRef>
              <c:f>Sheet5!$I$4:$I$9</c:f>
              <c:numCache>
                <c:formatCode>General</c:formatCode>
                <c:ptCount val="6"/>
                <c:pt idx="0">
                  <c:v>61</c:v>
                </c:pt>
                <c:pt idx="1">
                  <c:v>30</c:v>
                </c:pt>
                <c:pt idx="2">
                  <c:v>40</c:v>
                </c:pt>
                <c:pt idx="3">
                  <c:v>16</c:v>
                </c:pt>
                <c:pt idx="4">
                  <c:v>64</c:v>
                </c:pt>
                <c:pt idx="5">
                  <c:v>29</c:v>
                </c:pt>
              </c:numCache>
            </c:numRef>
          </c:val>
          <c:extLst>
            <c:ext xmlns:c16="http://schemas.microsoft.com/office/drawing/2014/chart" uri="{C3380CC4-5D6E-409C-BE32-E72D297353CC}">
              <c16:uniqueId val="{00000007-6500-4C32-B344-5F3BAF76012F}"/>
            </c:ext>
          </c:extLst>
        </c:ser>
        <c:ser>
          <c:idx val="8"/>
          <c:order val="8"/>
          <c:tx>
            <c:strRef>
              <c:f>Sheet5!$J$3</c:f>
              <c:strCache>
                <c:ptCount val="1"/>
                <c:pt idx="0">
                  <c:v>Noslēgti līgumi par pētniecības pieteikuma īstenošanu</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Sheet5!$A$4:$A$9</c:f>
              <c:strCache>
                <c:ptCount val="6"/>
                <c:pt idx="0">
                  <c:v>Biomedicīna, medicīnas tehnoloģijas, biofarmācija un biotehnoloģijas</c:v>
                </c:pt>
                <c:pt idx="1">
                  <c:v>Informācijas un komunikāciju tehnoloģijas  </c:v>
                </c:pt>
                <c:pt idx="2">
                  <c:v>Izaugsmes prioritātes, tai skaitā Sociālo un humanitāro zinātņu joma  </c:v>
                </c:pt>
                <c:pt idx="3">
                  <c:v>Viedā enerģētika  </c:v>
                </c:pt>
                <c:pt idx="4">
                  <c:v>Viedie materiāli, tehnoloģijas un inženiersistēmas</c:v>
                </c:pt>
                <c:pt idx="5">
                  <c:v>Zināšanu-ietilpīga bioekonomika</c:v>
                </c:pt>
              </c:strCache>
            </c:strRef>
          </c:cat>
          <c:val>
            <c:numRef>
              <c:f>Sheet5!$J$4:$J$9</c:f>
              <c:numCache>
                <c:formatCode>General</c:formatCode>
                <c:ptCount val="6"/>
                <c:pt idx="0">
                  <c:v>46</c:v>
                </c:pt>
                <c:pt idx="1">
                  <c:v>26</c:v>
                </c:pt>
                <c:pt idx="2">
                  <c:v>30</c:v>
                </c:pt>
                <c:pt idx="3">
                  <c:v>14</c:v>
                </c:pt>
                <c:pt idx="4">
                  <c:v>54</c:v>
                </c:pt>
                <c:pt idx="5">
                  <c:v>24</c:v>
                </c:pt>
              </c:numCache>
            </c:numRef>
          </c:val>
          <c:extLst>
            <c:ext xmlns:c16="http://schemas.microsoft.com/office/drawing/2014/chart" uri="{C3380CC4-5D6E-409C-BE32-E72D297353CC}">
              <c16:uniqueId val="{00000008-6500-4C32-B344-5F3BAF76012F}"/>
            </c:ext>
          </c:extLst>
        </c:ser>
        <c:dLbls>
          <c:showLegendKey val="0"/>
          <c:showVal val="0"/>
          <c:showCatName val="0"/>
          <c:showSerName val="0"/>
          <c:showPercent val="0"/>
          <c:showBubbleSize val="0"/>
        </c:dLbls>
        <c:gapWidth val="219"/>
        <c:overlap val="-27"/>
        <c:axId val="366264408"/>
        <c:axId val="366262056"/>
      </c:barChart>
      <c:catAx>
        <c:axId val="366264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crossAx val="366262056"/>
        <c:crosses val="autoZero"/>
        <c:auto val="1"/>
        <c:lblAlgn val="ctr"/>
        <c:lblOffset val="100"/>
        <c:noMultiLvlLbl val="0"/>
      </c:catAx>
      <c:valAx>
        <c:axId val="366262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crossAx val="366264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256306112123"/>
          <c:y val="6.4535054268113803E-2"/>
          <c:w val="0.41847104392483497"/>
          <c:h val="0.90359793321522697"/>
        </c:manualLayout>
      </c:layout>
      <c:doughnutChart>
        <c:varyColors val="1"/>
        <c:ser>
          <c:idx val="0"/>
          <c:order val="0"/>
          <c:explosion val="3"/>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03F-4ABE-A65D-05D6AB5E1C4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03F-4ABE-A65D-05D6AB5E1C4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F03F-4ABE-A65D-05D6AB5E1C4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F03F-4ABE-A65D-05D6AB5E1C42}"/>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F03F-4ABE-A65D-05D6AB5E1C42}"/>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F03F-4ABE-A65D-05D6AB5E1C42}"/>
              </c:ext>
            </c:extLst>
          </c:dPt>
          <c:dLbls>
            <c:spPr>
              <a:solidFill>
                <a:schemeClr val="bg1"/>
              </a:solid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Grafiki!$B$4:$B$9</c:f>
              <c:strCache>
                <c:ptCount val="6"/>
                <c:pt idx="0">
                  <c:v>VIEDIE MATERIĀLI, TEHNOLOĢIJAS UN INŽENIERSISTĒMAS</c:v>
                </c:pt>
                <c:pt idx="1">
                  <c:v>VIEDĀ ENERĢĒTIKA</c:v>
                </c:pt>
                <c:pt idx="2">
                  <c:v>BIOMEDICĪNA, MEDICĪNAS TEHNOLOĢIJAS, BIOFARMĀCIJA UN BIOTEHNOLOĢIJAS</c:v>
                </c:pt>
                <c:pt idx="3">
                  <c:v>INFORMĀCIJAS UN KOMUNIKĀCIJU TEHNOLOĢIJAS</c:v>
                </c:pt>
                <c:pt idx="4">
                  <c:v>ZINĀŠANU IETILPĪGA BIOEKONOMIKA</c:v>
                </c:pt>
                <c:pt idx="5">
                  <c:v>SOCIĀLĀS UN HUMANITĀRĀS ZINĀTNES</c:v>
                </c:pt>
              </c:strCache>
            </c:strRef>
          </c:cat>
          <c:val>
            <c:numRef>
              <c:f>Grafiki!$J$4:$J$9</c:f>
              <c:numCache>
                <c:formatCode>#,##0</c:formatCode>
                <c:ptCount val="6"/>
                <c:pt idx="0">
                  <c:v>7158614.9000000004</c:v>
                </c:pt>
                <c:pt idx="1">
                  <c:v>1873282.44</c:v>
                </c:pt>
                <c:pt idx="2">
                  <c:v>6132386.8700000001</c:v>
                </c:pt>
                <c:pt idx="3">
                  <c:v>3478171.65</c:v>
                </c:pt>
                <c:pt idx="4">
                  <c:v>3210376.4</c:v>
                </c:pt>
                <c:pt idx="5">
                  <c:v>3942428.44</c:v>
                </c:pt>
              </c:numCache>
            </c:numRef>
          </c:val>
          <c:extLst>
            <c:ext xmlns:c16="http://schemas.microsoft.com/office/drawing/2014/chart" uri="{C3380CC4-5D6E-409C-BE32-E72D297353CC}">
              <c16:uniqueId val="{0000000C-F03F-4ABE-A65D-05D6AB5E1C42}"/>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7913155842613795"/>
          <c:y val="3.2723476300575399E-2"/>
          <c:w val="0.40274547599767702"/>
          <c:h val="0.96613503394211198"/>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n-lt"/>
                <a:ea typeface="+mn-ea"/>
                <a:cs typeface="+mn-cs"/>
              </a:defRPr>
            </a:pPr>
            <a:r>
              <a:rPr lang="lv-LV" sz="800" b="1">
                <a:solidFill>
                  <a:sysClr val="windowText" lastClr="000000"/>
                </a:solidFill>
              </a:rPr>
              <a:t>Attēls Nr. 7 </a:t>
            </a:r>
          </a:p>
          <a:p>
            <a:pPr>
              <a:defRPr sz="800" b="1">
                <a:solidFill>
                  <a:sysClr val="windowText" lastClr="000000"/>
                </a:solidFill>
              </a:defRPr>
            </a:pPr>
            <a:r>
              <a:rPr lang="en-US" sz="800" b="1">
                <a:solidFill>
                  <a:sysClr val="windowText" lastClr="000000"/>
                </a:solidFill>
              </a:rPr>
              <a:t>Sociālās un humanitārās zinātnes</a:t>
            </a:r>
            <a:r>
              <a:rPr lang="lv-LV" sz="800" b="1">
                <a:solidFill>
                  <a:sysClr val="windowText" lastClr="000000"/>
                </a:solidFill>
              </a:rPr>
              <a:t> jomā pārstāvēto institūciju apstiprināto un</a:t>
            </a:r>
            <a:r>
              <a:rPr lang="lv-LV" sz="800" b="1" baseline="0">
                <a:solidFill>
                  <a:sysClr val="windowText" lastClr="000000"/>
                </a:solidFill>
              </a:rPr>
              <a:t> īstenoto pētniecības pieteikumu skaits</a:t>
            </a:r>
            <a:endParaRPr lang="en-US" sz="800" b="1">
              <a:solidFill>
                <a:sysClr val="windowText" lastClr="000000"/>
              </a:solidFill>
            </a:endParaRPr>
          </a:p>
        </c:rich>
      </c:tx>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Sheet14!$B$1</c:f>
              <c:strCache>
                <c:ptCount val="1"/>
                <c:pt idx="0">
                  <c:v>Sociālās un humanitārās zinātnes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Sheet14!$A$2:$A$11</c:f>
              <c:strCache>
                <c:ptCount val="10"/>
                <c:pt idx="0">
                  <c:v>LU</c:v>
                </c:pt>
                <c:pt idx="1">
                  <c:v>LU LFMI</c:v>
                </c:pt>
                <c:pt idx="2">
                  <c:v>ViA</c:v>
                </c:pt>
                <c:pt idx="3">
                  <c:v>RTU</c:v>
                </c:pt>
                <c:pt idx="4">
                  <c:v>RSU</c:v>
                </c:pt>
                <c:pt idx="5">
                  <c:v>RTA</c:v>
                </c:pt>
                <c:pt idx="6">
                  <c:v>BA</c:v>
                </c:pt>
                <c:pt idx="7">
                  <c:v>DU</c:v>
                </c:pt>
                <c:pt idx="8">
                  <c:v>LKA</c:v>
                </c:pt>
                <c:pt idx="9">
                  <c:v>LMA</c:v>
                </c:pt>
              </c:strCache>
            </c:strRef>
          </c:cat>
          <c:val>
            <c:numRef>
              <c:f>Sheet14!$B$2:$B$11</c:f>
              <c:numCache>
                <c:formatCode>General</c:formatCode>
                <c:ptCount val="10"/>
                <c:pt idx="0">
                  <c:v>17</c:v>
                </c:pt>
                <c:pt idx="1">
                  <c:v>4</c:v>
                </c:pt>
                <c:pt idx="2">
                  <c:v>2</c:v>
                </c:pt>
                <c:pt idx="3">
                  <c:v>1</c:v>
                </c:pt>
                <c:pt idx="4">
                  <c:v>1</c:v>
                </c:pt>
                <c:pt idx="5">
                  <c:v>1</c:v>
                </c:pt>
                <c:pt idx="6">
                  <c:v>1</c:v>
                </c:pt>
                <c:pt idx="7">
                  <c:v>1</c:v>
                </c:pt>
                <c:pt idx="8">
                  <c:v>1</c:v>
                </c:pt>
                <c:pt idx="9">
                  <c:v>1</c:v>
                </c:pt>
              </c:numCache>
            </c:numRef>
          </c:val>
          <c:extLst>
            <c:ext xmlns:c16="http://schemas.microsoft.com/office/drawing/2014/chart" uri="{C3380CC4-5D6E-409C-BE32-E72D297353CC}">
              <c16:uniqueId val="{00000000-3CDA-4167-8390-CC3E5A2C50D2}"/>
            </c:ext>
          </c:extLst>
        </c:ser>
        <c:dLbls>
          <c:showLegendKey val="0"/>
          <c:showVal val="0"/>
          <c:showCatName val="0"/>
          <c:showSerName val="0"/>
          <c:showPercent val="0"/>
          <c:showBubbleSize val="0"/>
        </c:dLbls>
        <c:gapWidth val="219"/>
        <c:overlap val="-27"/>
        <c:axId val="366267544"/>
        <c:axId val="366261272"/>
      </c:barChart>
      <c:catAx>
        <c:axId val="366267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crossAx val="366261272"/>
        <c:crosses val="autoZero"/>
        <c:auto val="1"/>
        <c:lblAlgn val="ctr"/>
        <c:lblOffset val="100"/>
        <c:noMultiLvlLbl val="0"/>
      </c:catAx>
      <c:valAx>
        <c:axId val="366261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crossAx val="366267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lv-LV" sz="800" b="1">
                <a:solidFill>
                  <a:sysClr val="windowText" lastClr="000000"/>
                </a:solidFill>
              </a:rPr>
              <a:t>Attēls Nr. 8</a:t>
            </a:r>
          </a:p>
          <a:p>
            <a:pPr>
              <a:defRPr b="1">
                <a:solidFill>
                  <a:sysClr val="windowText" lastClr="000000"/>
                </a:solidFill>
              </a:defRPr>
            </a:pPr>
            <a:r>
              <a:rPr lang="lv-LV" sz="800" b="1">
                <a:solidFill>
                  <a:sysClr val="windowText" lastClr="000000"/>
                </a:solidFill>
              </a:rPr>
              <a:t>Biomedicīnas, medicīnas tehnoloģiju, biofarmācijas un biotehnoloģiju jomā pārstāvēto institūciju</a:t>
            </a:r>
            <a:r>
              <a:rPr lang="lv-LV" sz="800" b="1" baseline="0">
                <a:solidFill>
                  <a:sysClr val="windowText" lastClr="000000"/>
                </a:solidFill>
              </a:rPr>
              <a:t> apstiprināto un īstenoto pēntiecības pieteikumu skaits</a:t>
            </a:r>
            <a:endParaRPr lang="en-US" sz="8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Sheet14!$A$15:$A$25</c:f>
              <c:strCache>
                <c:ptCount val="11"/>
                <c:pt idx="0">
                  <c:v>OSI</c:v>
                </c:pt>
                <c:pt idx="1">
                  <c:v>LU</c:v>
                </c:pt>
                <c:pt idx="2">
                  <c:v>BMC</c:v>
                </c:pt>
                <c:pt idx="3">
                  <c:v>RTU</c:v>
                </c:pt>
                <c:pt idx="4">
                  <c:v>RSU</c:v>
                </c:pt>
                <c:pt idx="5">
                  <c:v>BIOR</c:v>
                </c:pt>
                <c:pt idx="6">
                  <c:v>LVKĶI</c:v>
                </c:pt>
                <c:pt idx="7">
                  <c:v>LLU</c:v>
                </c:pt>
                <c:pt idx="8">
                  <c:v>Silava</c:v>
                </c:pt>
                <c:pt idx="9">
                  <c:v>LLU DI</c:v>
                </c:pt>
                <c:pt idx="10">
                  <c:v>LiepU</c:v>
                </c:pt>
              </c:strCache>
            </c:strRef>
          </c:cat>
          <c:val>
            <c:numRef>
              <c:f>Sheet14!$B$15:$B$25</c:f>
              <c:numCache>
                <c:formatCode>General</c:formatCode>
                <c:ptCount val="11"/>
                <c:pt idx="0">
                  <c:v>14</c:v>
                </c:pt>
                <c:pt idx="1">
                  <c:v>9</c:v>
                </c:pt>
                <c:pt idx="2">
                  <c:v>8</c:v>
                </c:pt>
                <c:pt idx="3">
                  <c:v>5</c:v>
                </c:pt>
                <c:pt idx="4">
                  <c:v>3</c:v>
                </c:pt>
                <c:pt idx="5">
                  <c:v>2</c:v>
                </c:pt>
                <c:pt idx="6">
                  <c:v>1</c:v>
                </c:pt>
                <c:pt idx="7">
                  <c:v>1</c:v>
                </c:pt>
                <c:pt idx="8">
                  <c:v>1</c:v>
                </c:pt>
                <c:pt idx="9">
                  <c:v>1</c:v>
                </c:pt>
                <c:pt idx="10">
                  <c:v>1</c:v>
                </c:pt>
              </c:numCache>
            </c:numRef>
          </c:val>
          <c:extLst>
            <c:ext xmlns:c16="http://schemas.microsoft.com/office/drawing/2014/chart" uri="{C3380CC4-5D6E-409C-BE32-E72D297353CC}">
              <c16:uniqueId val="{00000000-68E3-4AA1-B08A-9EE71782660F}"/>
            </c:ext>
          </c:extLst>
        </c:ser>
        <c:dLbls>
          <c:showLegendKey val="0"/>
          <c:showVal val="0"/>
          <c:showCatName val="0"/>
          <c:showSerName val="0"/>
          <c:showPercent val="0"/>
          <c:showBubbleSize val="0"/>
        </c:dLbls>
        <c:gapWidth val="219"/>
        <c:overlap val="-27"/>
        <c:axId val="366263232"/>
        <c:axId val="366263624"/>
      </c:barChart>
      <c:catAx>
        <c:axId val="36626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crossAx val="366263624"/>
        <c:crosses val="autoZero"/>
        <c:auto val="1"/>
        <c:lblAlgn val="ctr"/>
        <c:lblOffset val="100"/>
        <c:noMultiLvlLbl val="0"/>
      </c:catAx>
      <c:valAx>
        <c:axId val="366263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crossAx val="36626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n-lt"/>
                <a:ea typeface="+mn-ea"/>
                <a:cs typeface="+mn-cs"/>
              </a:defRPr>
            </a:pPr>
            <a:r>
              <a:rPr lang="lv-LV" sz="800" b="1">
                <a:solidFill>
                  <a:sysClr val="windowText" lastClr="000000"/>
                </a:solidFill>
              </a:rPr>
              <a:t>Attēls Nr. 9</a:t>
            </a:r>
          </a:p>
          <a:p>
            <a:pPr>
              <a:defRPr sz="800" b="1">
                <a:solidFill>
                  <a:sysClr val="windowText" lastClr="000000"/>
                </a:solidFill>
              </a:defRPr>
            </a:pPr>
            <a:r>
              <a:rPr lang="en-US" sz="800" b="1">
                <a:solidFill>
                  <a:sysClr val="windowText" lastClr="000000"/>
                </a:solidFill>
              </a:rPr>
              <a:t>Zināšanu ietilpīga</a:t>
            </a:r>
            <a:r>
              <a:rPr lang="lv-LV" sz="800" b="1">
                <a:solidFill>
                  <a:sysClr val="windowText" lastClr="000000"/>
                </a:solidFill>
              </a:rPr>
              <a:t>s</a:t>
            </a:r>
            <a:r>
              <a:rPr lang="en-US" sz="800" b="1">
                <a:solidFill>
                  <a:sysClr val="windowText" lastClr="000000"/>
                </a:solidFill>
              </a:rPr>
              <a:t> bioekonomika</a:t>
            </a:r>
            <a:r>
              <a:rPr lang="lv-LV" sz="800" b="1">
                <a:solidFill>
                  <a:sysClr val="windowText" lastClr="000000"/>
                </a:solidFill>
              </a:rPr>
              <a:t>s jomā pārstāvēto institūciju apstiprināto un īstenoto pētniecības pieteikumu skaits</a:t>
            </a:r>
            <a:endParaRPr lang="en-US" sz="800" b="1">
              <a:solidFill>
                <a:sysClr val="windowText" lastClr="000000"/>
              </a:solidFill>
            </a:endParaRPr>
          </a:p>
        </c:rich>
      </c:tx>
      <c:layout>
        <c:manualLayout>
          <c:xMode val="edge"/>
          <c:yMode val="edge"/>
          <c:x val="0.13226851851851801"/>
          <c:y val="4.4191919191919199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9.0170192140616598E-2"/>
          <c:y val="0.36261216350947201"/>
          <c:w val="0.85872643968284501"/>
          <c:h val="0.31271971487113498"/>
        </c:manualLayout>
      </c:layout>
      <c:barChart>
        <c:barDir val="col"/>
        <c:grouping val="clustered"/>
        <c:varyColors val="0"/>
        <c:ser>
          <c:idx val="0"/>
          <c:order val="0"/>
          <c:tx>
            <c:strRef>
              <c:f>Sheet14!$B$28</c:f>
              <c:strCache>
                <c:ptCount val="1"/>
                <c:pt idx="0">
                  <c:v>Zināšanu ietilpīga bioekonomika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Sheet14!$A$29:$A$41</c:f>
              <c:strCache>
                <c:ptCount val="13"/>
                <c:pt idx="0">
                  <c:v>LU</c:v>
                </c:pt>
                <c:pt idx="1">
                  <c:v>Silava</c:v>
                </c:pt>
                <c:pt idx="2">
                  <c:v>LLU</c:v>
                </c:pt>
                <c:pt idx="3">
                  <c:v>BIOR</c:v>
                </c:pt>
                <c:pt idx="4">
                  <c:v>RTU</c:v>
                </c:pt>
                <c:pt idx="5">
                  <c:v>LVKĶI</c:v>
                </c:pt>
                <c:pt idx="6">
                  <c:v>RSU</c:v>
                </c:pt>
                <c:pt idx="7">
                  <c:v>LLU DI</c:v>
                </c:pt>
                <c:pt idx="8">
                  <c:v>RTA</c:v>
                </c:pt>
                <c:pt idx="9">
                  <c:v>VRI</c:v>
                </c:pt>
                <c:pt idx="10">
                  <c:v>DU LHEI</c:v>
                </c:pt>
                <c:pt idx="11">
                  <c:v>BSC</c:v>
                </c:pt>
                <c:pt idx="12">
                  <c:v>SIA "SFT Seafood"</c:v>
                </c:pt>
              </c:strCache>
            </c:strRef>
          </c:cat>
          <c:val>
            <c:numRef>
              <c:f>Sheet14!$B$29:$B$41</c:f>
              <c:numCache>
                <c:formatCode>General</c:formatCode>
                <c:ptCount val="13"/>
                <c:pt idx="0">
                  <c:v>5</c:v>
                </c:pt>
                <c:pt idx="1">
                  <c:v>4</c:v>
                </c:pt>
                <c:pt idx="2">
                  <c:v>3</c:v>
                </c:pt>
                <c:pt idx="3">
                  <c:v>3</c:v>
                </c:pt>
                <c:pt idx="4">
                  <c:v>2</c:v>
                </c:pt>
                <c:pt idx="5">
                  <c:v>1</c:v>
                </c:pt>
                <c:pt idx="6">
                  <c:v>1</c:v>
                </c:pt>
                <c:pt idx="7">
                  <c:v>1</c:v>
                </c:pt>
                <c:pt idx="8">
                  <c:v>1</c:v>
                </c:pt>
                <c:pt idx="9">
                  <c:v>1</c:v>
                </c:pt>
                <c:pt idx="10">
                  <c:v>1</c:v>
                </c:pt>
                <c:pt idx="11">
                  <c:v>1</c:v>
                </c:pt>
                <c:pt idx="12">
                  <c:v>1</c:v>
                </c:pt>
              </c:numCache>
            </c:numRef>
          </c:val>
          <c:extLst>
            <c:ext xmlns:c16="http://schemas.microsoft.com/office/drawing/2014/chart" uri="{C3380CC4-5D6E-409C-BE32-E72D297353CC}">
              <c16:uniqueId val="{00000000-1694-4338-8A1D-6FEF3F6B93C2}"/>
            </c:ext>
          </c:extLst>
        </c:ser>
        <c:dLbls>
          <c:showLegendKey val="0"/>
          <c:showVal val="0"/>
          <c:showCatName val="0"/>
          <c:showSerName val="0"/>
          <c:showPercent val="0"/>
          <c:showBubbleSize val="0"/>
        </c:dLbls>
        <c:gapWidth val="219"/>
        <c:overlap val="-27"/>
        <c:axId val="366265584"/>
        <c:axId val="366265976"/>
      </c:barChart>
      <c:catAx>
        <c:axId val="36626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lv-LV"/>
          </a:p>
        </c:txPr>
        <c:crossAx val="366265976"/>
        <c:crosses val="autoZero"/>
        <c:auto val="1"/>
        <c:lblAlgn val="ctr"/>
        <c:lblOffset val="100"/>
        <c:noMultiLvlLbl val="0"/>
      </c:catAx>
      <c:valAx>
        <c:axId val="366265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crossAx val="366265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0.65401</cdr:x>
      <cdr:y>0.93871</cdr:y>
    </cdr:from>
    <cdr:to>
      <cdr:x>1</cdr:x>
      <cdr:y>1</cdr:y>
    </cdr:to>
    <cdr:sp macro="" textlink="">
      <cdr:nvSpPr>
        <cdr:cNvPr id="2" name="TextBox 1"/>
        <cdr:cNvSpPr txBox="1"/>
      </cdr:nvSpPr>
      <cdr:spPr>
        <a:xfrm xmlns:a="http://schemas.openxmlformats.org/drawingml/2006/main">
          <a:off x="3767137" y="2767012"/>
          <a:ext cx="1992948" cy="1806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lv-LV" sz="600"/>
            <a:t>*Nav plānots DP, plānots tikai MK noteikumos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2018</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EF5D2B-5D89-42FD-861A-5891EEB4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44780</Words>
  <Characters>25525</Characters>
  <Application>Microsoft Office Word</Application>
  <DocSecurity>0</DocSecurity>
  <Lines>212</Lines>
  <Paragraphs>140</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2019. gads</Company>
  <LinksUpToDate>false</LinksUpToDate>
  <CharactersWithSpaces>70165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Pēcdoktorantūras pētniecības programmas vidusposma izvērtējums un priekšlikumi turpmākajiem saturiskiem un procedurāliem uzlabojumiem</dc:subject>
  <dc:creator>Rīga</dc:creator>
  <cp:lastModifiedBy>Laimdota Adlere</cp:lastModifiedBy>
  <cp:revision>3</cp:revision>
  <cp:lastPrinted>2019-02-04T15:41:00Z</cp:lastPrinted>
  <dcterms:created xsi:type="dcterms:W3CDTF">2019-03-21T06:41:00Z</dcterms:created>
  <dcterms:modified xsi:type="dcterms:W3CDTF">2019-03-21T06:41:00Z</dcterms:modified>
</cp:coreProperties>
</file>