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A1" w:rsidRPr="00E43034" w:rsidRDefault="00540AA1" w:rsidP="00540AA1">
      <w:pPr>
        <w:pStyle w:val="naisf"/>
        <w:spacing w:before="0" w:after="0"/>
        <w:ind w:firstLine="0"/>
        <w:jc w:val="center"/>
        <w:rPr>
          <w:b/>
          <w:sz w:val="22"/>
          <w:szCs w:val="22"/>
        </w:rPr>
      </w:pPr>
      <w:bookmarkStart w:id="0" w:name="OLE_LINK6"/>
      <w:bookmarkStart w:id="1" w:name="OLE_LINK7"/>
      <w:bookmarkStart w:id="2" w:name="OLE_LINK12"/>
      <w:bookmarkStart w:id="3" w:name="OLE_LINK13"/>
      <w:r w:rsidRPr="00E43034">
        <w:rPr>
          <w:b/>
          <w:sz w:val="22"/>
          <w:szCs w:val="22"/>
        </w:rPr>
        <w:t>Izziņa par atzinumos sniegtajiem iebildumiem</w:t>
      </w:r>
    </w:p>
    <w:bookmarkEnd w:id="0"/>
    <w:bookmarkEnd w:id="1"/>
    <w:p w:rsidR="00540AA1" w:rsidRPr="00E43034" w:rsidRDefault="00540AA1" w:rsidP="00540AA1">
      <w:pPr>
        <w:pStyle w:val="naisf"/>
        <w:spacing w:before="0" w:after="0"/>
        <w:ind w:firstLine="0"/>
        <w:jc w:val="center"/>
        <w:rPr>
          <w:b/>
          <w:sz w:val="22"/>
          <w:szCs w:val="22"/>
        </w:rPr>
      </w:pPr>
      <w:r w:rsidRPr="00E43034">
        <w:rPr>
          <w:b/>
          <w:sz w:val="22"/>
          <w:szCs w:val="22"/>
        </w:rPr>
        <w:t>par Ministru kabineta noteikumu projektu „</w:t>
      </w:r>
      <w:bookmarkStart w:id="4" w:name="OLE_LINK1"/>
      <w:bookmarkStart w:id="5" w:name="OLE_LINK2"/>
      <w:bookmarkStart w:id="6" w:name="OLE_LINK5"/>
      <w:r w:rsidRPr="00E43034">
        <w:rPr>
          <w:b/>
          <w:sz w:val="22"/>
          <w:szCs w:val="22"/>
        </w:rPr>
        <w:t>Gr</w:t>
      </w:r>
      <w:r w:rsidR="00E43034">
        <w:rPr>
          <w:b/>
          <w:sz w:val="22"/>
          <w:szCs w:val="22"/>
        </w:rPr>
        <w:t>ozījumi Ministru kabineta 2013.</w:t>
      </w:r>
      <w:r w:rsidRPr="00E43034">
        <w:rPr>
          <w:b/>
          <w:sz w:val="22"/>
          <w:szCs w:val="22"/>
        </w:rPr>
        <w:t>gada 1.oktobra noteikumos Nr.1029</w:t>
      </w:r>
    </w:p>
    <w:p w:rsidR="00540AA1" w:rsidRPr="00E43034" w:rsidRDefault="00540AA1" w:rsidP="00540AA1">
      <w:pPr>
        <w:pStyle w:val="naisf"/>
        <w:spacing w:before="0" w:after="0"/>
        <w:ind w:firstLine="0"/>
        <w:jc w:val="center"/>
        <w:rPr>
          <w:rFonts w:eastAsia="Calibri"/>
          <w:b/>
          <w:sz w:val="22"/>
          <w:szCs w:val="22"/>
        </w:rPr>
      </w:pPr>
      <w:r w:rsidRPr="00E43034">
        <w:rPr>
          <w:b/>
          <w:sz w:val="22"/>
          <w:szCs w:val="22"/>
        </w:rPr>
        <w:t xml:space="preserve">„Īpaši aizsargājamā kultūras pieminekļa - Turaidas </w:t>
      </w:r>
      <w:proofErr w:type="spellStart"/>
      <w:r w:rsidRPr="00E43034">
        <w:rPr>
          <w:b/>
          <w:sz w:val="22"/>
          <w:szCs w:val="22"/>
        </w:rPr>
        <w:t>muzejrezervāta</w:t>
      </w:r>
      <w:proofErr w:type="spellEnd"/>
      <w:r w:rsidRPr="00E43034">
        <w:rPr>
          <w:b/>
          <w:sz w:val="22"/>
          <w:szCs w:val="22"/>
        </w:rPr>
        <w:t xml:space="preserve"> - publisko maksas pakalpojumu cenrādis”</w:t>
      </w:r>
      <w:bookmarkEnd w:id="4"/>
      <w:bookmarkEnd w:id="5"/>
      <w:bookmarkEnd w:id="6"/>
      <w:r w:rsidRPr="00E43034">
        <w:rPr>
          <w:b/>
          <w:sz w:val="22"/>
          <w:szCs w:val="22"/>
        </w:rPr>
        <w:t>” (VSS-147)</w:t>
      </w:r>
    </w:p>
    <w:bookmarkEnd w:id="2"/>
    <w:bookmarkEnd w:id="3"/>
    <w:p w:rsidR="00540AA1" w:rsidRPr="00E43034" w:rsidRDefault="00540AA1" w:rsidP="00E43034">
      <w:pPr>
        <w:pStyle w:val="naisf"/>
        <w:spacing w:before="0" w:after="0"/>
        <w:ind w:firstLine="0"/>
        <w:jc w:val="left"/>
        <w:rPr>
          <w:sz w:val="22"/>
          <w:szCs w:val="22"/>
        </w:rPr>
      </w:pPr>
    </w:p>
    <w:p w:rsidR="00540AA1" w:rsidRPr="00E43034" w:rsidRDefault="00540AA1" w:rsidP="00540AA1">
      <w:pPr>
        <w:pStyle w:val="naisf"/>
        <w:spacing w:before="0" w:after="0"/>
        <w:ind w:firstLine="0"/>
        <w:jc w:val="center"/>
        <w:rPr>
          <w:b/>
          <w:sz w:val="22"/>
          <w:szCs w:val="22"/>
        </w:rPr>
      </w:pPr>
      <w:r w:rsidRPr="00E43034">
        <w:rPr>
          <w:b/>
          <w:sz w:val="22"/>
          <w:szCs w:val="22"/>
        </w:rPr>
        <w:t>I. Jautājumi, par kuriem saskaņošanā vienošanās nav panākta</w:t>
      </w:r>
    </w:p>
    <w:p w:rsidR="00540AA1" w:rsidRPr="00E43034" w:rsidRDefault="00540AA1" w:rsidP="00E43034">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42"/>
        <w:gridCol w:w="3237"/>
        <w:gridCol w:w="3271"/>
        <w:gridCol w:w="2639"/>
        <w:gridCol w:w="1823"/>
        <w:gridCol w:w="2509"/>
      </w:tblGrid>
      <w:tr w:rsidR="00540AA1" w:rsidRPr="00E43034" w:rsidTr="004931DB">
        <w:tc>
          <w:tcPr>
            <w:tcW w:w="261"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pPr>
            <w:r w:rsidRPr="00E43034">
              <w:rPr>
                <w:sz w:val="22"/>
                <w:szCs w:val="22"/>
              </w:rPr>
              <w:t>Nr. p.k.</w:t>
            </w:r>
          </w:p>
        </w:tc>
        <w:tc>
          <w:tcPr>
            <w:tcW w:w="1138"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firstLine="12"/>
            </w:pPr>
            <w:r w:rsidRPr="00E43034">
              <w:rPr>
                <w:sz w:val="22"/>
                <w:szCs w:val="22"/>
              </w:rPr>
              <w:t>Saskaņošanai nosūtītā projekta redakcija (konkrēta punkta (panta) redakcija)</w:t>
            </w:r>
          </w:p>
        </w:tc>
        <w:tc>
          <w:tcPr>
            <w:tcW w:w="1150"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right="3"/>
            </w:pPr>
            <w:r w:rsidRPr="00E43034">
              <w:rPr>
                <w:sz w:val="22"/>
                <w:szCs w:val="22"/>
              </w:rPr>
              <w:t>Atzinumā norādītais ministrijas (citas institūcijas) iebildums, kā arī saskaņošanā papildus izteiktais iebildums par projekta konkrēto punktu (pantu)</w:t>
            </w:r>
          </w:p>
        </w:tc>
        <w:tc>
          <w:tcPr>
            <w:tcW w:w="928"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firstLine="21"/>
            </w:pPr>
            <w:r w:rsidRPr="00E43034">
              <w:rPr>
                <w:sz w:val="22"/>
                <w:szCs w:val="22"/>
              </w:rPr>
              <w:t>Atbildīgās ministrijas pamatojums iebilduma noraidījumam</w:t>
            </w:r>
          </w:p>
        </w:tc>
        <w:tc>
          <w:tcPr>
            <w:tcW w:w="641" w:type="pct"/>
            <w:tcBorders>
              <w:top w:val="single" w:sz="4" w:space="0" w:color="auto"/>
              <w:left w:val="single" w:sz="4" w:space="0" w:color="auto"/>
              <w:bottom w:val="single" w:sz="4" w:space="0" w:color="auto"/>
              <w:right w:val="single" w:sz="4" w:space="0" w:color="auto"/>
            </w:tcBorders>
            <w:vAlign w:val="center"/>
          </w:tcPr>
          <w:p w:rsidR="00540AA1" w:rsidRPr="00E43034" w:rsidRDefault="00540AA1" w:rsidP="004931DB">
            <w:pPr>
              <w:jc w:val="center"/>
            </w:pPr>
            <w:r w:rsidRPr="00E43034">
              <w:rPr>
                <w:sz w:val="22"/>
                <w:szCs w:val="22"/>
              </w:rPr>
              <w:t>Atzinuma sniedzēja uzturētais iebildums, ja tas atšķiras no atzinumā norādītā iebilduma pamatojuma</w:t>
            </w:r>
          </w:p>
        </w:tc>
        <w:tc>
          <w:tcPr>
            <w:tcW w:w="882" w:type="pct"/>
            <w:tcBorders>
              <w:top w:val="single" w:sz="4" w:space="0" w:color="auto"/>
              <w:left w:val="single" w:sz="4" w:space="0" w:color="auto"/>
              <w:bottom w:val="single" w:sz="4" w:space="0" w:color="auto"/>
            </w:tcBorders>
            <w:vAlign w:val="center"/>
          </w:tcPr>
          <w:p w:rsidR="00540AA1" w:rsidRPr="00E43034" w:rsidRDefault="00540AA1" w:rsidP="004931DB">
            <w:pPr>
              <w:jc w:val="center"/>
            </w:pPr>
            <w:r w:rsidRPr="00E43034">
              <w:rPr>
                <w:sz w:val="22"/>
                <w:szCs w:val="22"/>
              </w:rPr>
              <w:t>Projekta attiecīgā punkta (panta) galīgā redakcija</w:t>
            </w:r>
          </w:p>
        </w:tc>
      </w:tr>
      <w:tr w:rsidR="00496FCE" w:rsidRPr="00E43034" w:rsidTr="004931DB">
        <w:tc>
          <w:tcPr>
            <w:tcW w:w="261" w:type="pct"/>
            <w:tcBorders>
              <w:top w:val="single" w:sz="6" w:space="0" w:color="000000"/>
              <w:left w:val="single" w:sz="6" w:space="0" w:color="000000"/>
              <w:bottom w:val="single" w:sz="6" w:space="0" w:color="000000"/>
              <w:right w:val="single" w:sz="6" w:space="0" w:color="000000"/>
            </w:tcBorders>
          </w:tcPr>
          <w:p w:rsidR="00496FCE" w:rsidRPr="00E43034" w:rsidRDefault="00496FCE" w:rsidP="004931DB">
            <w:pPr>
              <w:pStyle w:val="naisc"/>
              <w:spacing w:before="0" w:after="0"/>
            </w:pPr>
            <w:r w:rsidRPr="00E43034">
              <w:rPr>
                <w:sz w:val="22"/>
                <w:szCs w:val="22"/>
              </w:rPr>
              <w:t>1</w:t>
            </w:r>
          </w:p>
        </w:tc>
        <w:tc>
          <w:tcPr>
            <w:tcW w:w="1138" w:type="pct"/>
            <w:tcBorders>
              <w:top w:val="single" w:sz="6" w:space="0" w:color="000000"/>
              <w:left w:val="single" w:sz="6" w:space="0" w:color="000000"/>
              <w:bottom w:val="single" w:sz="6" w:space="0" w:color="000000"/>
              <w:right w:val="single" w:sz="6" w:space="0" w:color="000000"/>
            </w:tcBorders>
          </w:tcPr>
          <w:p w:rsidR="00496FCE" w:rsidRPr="00E43034" w:rsidRDefault="00496FCE" w:rsidP="004931DB">
            <w:pPr>
              <w:pStyle w:val="naisc"/>
              <w:spacing w:before="0" w:after="0"/>
              <w:ind w:firstLine="720"/>
            </w:pPr>
            <w:r w:rsidRPr="00E43034">
              <w:rPr>
                <w:sz w:val="22"/>
                <w:szCs w:val="22"/>
              </w:rPr>
              <w:t>2</w:t>
            </w:r>
          </w:p>
        </w:tc>
        <w:tc>
          <w:tcPr>
            <w:tcW w:w="1150" w:type="pct"/>
            <w:tcBorders>
              <w:top w:val="single" w:sz="6" w:space="0" w:color="000000"/>
              <w:left w:val="single" w:sz="6" w:space="0" w:color="000000"/>
              <w:bottom w:val="single" w:sz="6" w:space="0" w:color="000000"/>
              <w:right w:val="single" w:sz="6" w:space="0" w:color="000000"/>
            </w:tcBorders>
          </w:tcPr>
          <w:p w:rsidR="00496FCE" w:rsidRPr="00E43034" w:rsidRDefault="00496FCE" w:rsidP="004931DB">
            <w:pPr>
              <w:pStyle w:val="naisc"/>
              <w:spacing w:before="0" w:after="0"/>
              <w:ind w:firstLine="720"/>
            </w:pPr>
            <w:r w:rsidRPr="00E43034">
              <w:rPr>
                <w:sz w:val="22"/>
                <w:szCs w:val="22"/>
              </w:rPr>
              <w:t>3</w:t>
            </w:r>
          </w:p>
        </w:tc>
        <w:tc>
          <w:tcPr>
            <w:tcW w:w="928" w:type="pct"/>
            <w:tcBorders>
              <w:top w:val="single" w:sz="6" w:space="0" w:color="000000"/>
              <w:left w:val="single" w:sz="6" w:space="0" w:color="000000"/>
              <w:bottom w:val="single" w:sz="6" w:space="0" w:color="000000"/>
              <w:right w:val="single" w:sz="6" w:space="0" w:color="000000"/>
            </w:tcBorders>
          </w:tcPr>
          <w:p w:rsidR="00496FCE" w:rsidRPr="00E43034" w:rsidRDefault="00496FCE" w:rsidP="004931DB">
            <w:pPr>
              <w:pStyle w:val="naisc"/>
              <w:spacing w:before="0" w:after="0"/>
              <w:ind w:firstLine="720"/>
            </w:pPr>
            <w:r w:rsidRPr="00E43034">
              <w:rPr>
                <w:sz w:val="22"/>
                <w:szCs w:val="22"/>
              </w:rPr>
              <w:t>4</w:t>
            </w:r>
          </w:p>
        </w:tc>
        <w:tc>
          <w:tcPr>
            <w:tcW w:w="641" w:type="pct"/>
            <w:tcBorders>
              <w:top w:val="single" w:sz="4" w:space="0" w:color="auto"/>
              <w:left w:val="single" w:sz="4" w:space="0" w:color="auto"/>
              <w:bottom w:val="single" w:sz="4" w:space="0" w:color="auto"/>
              <w:right w:val="single" w:sz="4" w:space="0" w:color="auto"/>
            </w:tcBorders>
          </w:tcPr>
          <w:p w:rsidR="00496FCE" w:rsidRPr="00E43034" w:rsidRDefault="00496FCE" w:rsidP="004931DB">
            <w:pPr>
              <w:jc w:val="center"/>
            </w:pPr>
            <w:r w:rsidRPr="00E43034">
              <w:rPr>
                <w:sz w:val="22"/>
                <w:szCs w:val="22"/>
              </w:rPr>
              <w:t>5</w:t>
            </w:r>
          </w:p>
        </w:tc>
        <w:tc>
          <w:tcPr>
            <w:tcW w:w="882" w:type="pct"/>
            <w:tcBorders>
              <w:top w:val="single" w:sz="4" w:space="0" w:color="auto"/>
              <w:left w:val="single" w:sz="4" w:space="0" w:color="auto"/>
              <w:bottom w:val="single" w:sz="4" w:space="0" w:color="auto"/>
            </w:tcBorders>
          </w:tcPr>
          <w:p w:rsidR="00496FCE" w:rsidRPr="00E43034" w:rsidRDefault="00496FCE" w:rsidP="004931DB">
            <w:pPr>
              <w:jc w:val="center"/>
            </w:pPr>
            <w:r>
              <w:t>6</w:t>
            </w:r>
          </w:p>
        </w:tc>
      </w:tr>
      <w:tr w:rsidR="00540AA1" w:rsidRPr="00E43034" w:rsidTr="004931DB">
        <w:tc>
          <w:tcPr>
            <w:tcW w:w="261"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pPr>
          </w:p>
        </w:tc>
        <w:tc>
          <w:tcPr>
            <w:tcW w:w="1138"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ind w:firstLine="720"/>
            </w:pPr>
          </w:p>
        </w:tc>
        <w:tc>
          <w:tcPr>
            <w:tcW w:w="1150"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ind w:firstLine="720"/>
            </w:pPr>
          </w:p>
        </w:tc>
        <w:tc>
          <w:tcPr>
            <w:tcW w:w="928"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ind w:firstLine="720"/>
            </w:pPr>
          </w:p>
        </w:tc>
        <w:tc>
          <w:tcPr>
            <w:tcW w:w="641" w:type="pct"/>
            <w:tcBorders>
              <w:top w:val="single" w:sz="4" w:space="0" w:color="auto"/>
              <w:left w:val="single" w:sz="4" w:space="0" w:color="auto"/>
              <w:bottom w:val="single" w:sz="4" w:space="0" w:color="auto"/>
              <w:right w:val="single" w:sz="4" w:space="0" w:color="auto"/>
            </w:tcBorders>
          </w:tcPr>
          <w:p w:rsidR="00540AA1" w:rsidRPr="00E43034" w:rsidRDefault="00540AA1" w:rsidP="004931DB">
            <w:pPr>
              <w:jc w:val="center"/>
            </w:pPr>
          </w:p>
        </w:tc>
        <w:tc>
          <w:tcPr>
            <w:tcW w:w="882" w:type="pct"/>
            <w:tcBorders>
              <w:top w:val="single" w:sz="4" w:space="0" w:color="auto"/>
              <w:left w:val="single" w:sz="4" w:space="0" w:color="auto"/>
              <w:bottom w:val="single" w:sz="4" w:space="0" w:color="auto"/>
            </w:tcBorders>
          </w:tcPr>
          <w:p w:rsidR="00540AA1" w:rsidRPr="00E43034" w:rsidRDefault="00540AA1" w:rsidP="004931DB">
            <w:pPr>
              <w:jc w:val="center"/>
            </w:pPr>
          </w:p>
        </w:tc>
      </w:tr>
    </w:tbl>
    <w:p w:rsidR="00540AA1" w:rsidRPr="00E43034" w:rsidRDefault="00540AA1" w:rsidP="00540AA1">
      <w:pPr>
        <w:pStyle w:val="naisf"/>
        <w:spacing w:before="0" w:after="0"/>
        <w:ind w:firstLine="0"/>
        <w:rPr>
          <w:sz w:val="22"/>
          <w:szCs w:val="22"/>
        </w:rPr>
      </w:pPr>
    </w:p>
    <w:p w:rsidR="00540AA1" w:rsidRPr="00E43034" w:rsidRDefault="00540AA1" w:rsidP="00540AA1">
      <w:pPr>
        <w:pStyle w:val="naisf"/>
        <w:spacing w:before="0" w:after="0"/>
        <w:ind w:firstLine="0"/>
        <w:rPr>
          <w:b/>
          <w:sz w:val="22"/>
          <w:szCs w:val="22"/>
        </w:rPr>
      </w:pPr>
      <w:r w:rsidRPr="00E43034">
        <w:rPr>
          <w:b/>
          <w:sz w:val="22"/>
          <w:szCs w:val="22"/>
        </w:rPr>
        <w:t>Informācija par elektronisko saskaņošanu:</w:t>
      </w:r>
    </w:p>
    <w:p w:rsidR="00540AA1" w:rsidRPr="00E43034" w:rsidRDefault="00540AA1" w:rsidP="00540AA1">
      <w:pPr>
        <w:pStyle w:val="naisf"/>
        <w:spacing w:before="0" w:after="0"/>
        <w:ind w:firstLine="0"/>
        <w:rPr>
          <w:sz w:val="22"/>
          <w:szCs w:val="22"/>
        </w:rPr>
      </w:pPr>
    </w:p>
    <w:tbl>
      <w:tblPr>
        <w:tblW w:w="14283" w:type="dxa"/>
        <w:tblLayout w:type="fixed"/>
        <w:tblLook w:val="00A0"/>
      </w:tblPr>
      <w:tblGrid>
        <w:gridCol w:w="14283"/>
      </w:tblGrid>
      <w:tr w:rsidR="00540AA1" w:rsidRPr="00C661D5" w:rsidTr="004931DB">
        <w:tc>
          <w:tcPr>
            <w:tcW w:w="14283" w:type="dxa"/>
          </w:tcPr>
          <w:tbl>
            <w:tblPr>
              <w:tblW w:w="15779" w:type="dxa"/>
              <w:tblLayout w:type="fixed"/>
              <w:tblLook w:val="00A0"/>
            </w:tblPr>
            <w:tblGrid>
              <w:gridCol w:w="5387"/>
              <w:gridCol w:w="8596"/>
              <w:gridCol w:w="1796"/>
            </w:tblGrid>
            <w:tr w:rsidR="00540AA1" w:rsidRPr="001C14D4" w:rsidTr="004931DB">
              <w:trPr>
                <w:gridAfter w:val="1"/>
                <w:wAfter w:w="1796" w:type="dxa"/>
              </w:trPr>
              <w:tc>
                <w:tcPr>
                  <w:tcW w:w="5387" w:type="dxa"/>
                </w:tcPr>
                <w:p w:rsidR="00540AA1" w:rsidRPr="001C14D4" w:rsidRDefault="00540AA1" w:rsidP="004931DB">
                  <w:pPr>
                    <w:pStyle w:val="naisf"/>
                    <w:spacing w:before="0" w:after="0"/>
                    <w:ind w:firstLine="0"/>
                  </w:pPr>
                  <w:r w:rsidRPr="001C14D4">
                    <w:rPr>
                      <w:sz w:val="22"/>
                      <w:szCs w:val="22"/>
                    </w:rPr>
                    <w:t>Datums:</w:t>
                  </w:r>
                </w:p>
              </w:tc>
              <w:tc>
                <w:tcPr>
                  <w:tcW w:w="8596" w:type="dxa"/>
                  <w:tcBorders>
                    <w:bottom w:val="single" w:sz="4" w:space="0" w:color="auto"/>
                  </w:tcBorders>
                </w:tcPr>
                <w:p w:rsidR="00540AA1" w:rsidRPr="001C14D4" w:rsidRDefault="00074269" w:rsidP="00CB6FBD">
                  <w:pPr>
                    <w:pStyle w:val="ParastaisWeb"/>
                    <w:spacing w:before="0" w:beforeAutospacing="0" w:after="0" w:afterAutospacing="0"/>
                  </w:pPr>
                  <w:r w:rsidRPr="001C14D4">
                    <w:rPr>
                      <w:sz w:val="22"/>
                      <w:szCs w:val="22"/>
                    </w:rPr>
                    <w:t>2019</w:t>
                  </w:r>
                  <w:r w:rsidR="00335BD8" w:rsidRPr="001C14D4">
                    <w:rPr>
                      <w:sz w:val="22"/>
                      <w:szCs w:val="22"/>
                    </w:rPr>
                    <w:t>.gada 2</w:t>
                  </w:r>
                  <w:r w:rsidR="00CB6FBD">
                    <w:rPr>
                      <w:sz w:val="22"/>
                      <w:szCs w:val="22"/>
                    </w:rPr>
                    <w:t>1</w:t>
                  </w:r>
                  <w:r w:rsidR="00335BD8" w:rsidRPr="001C14D4">
                    <w:rPr>
                      <w:sz w:val="22"/>
                      <w:szCs w:val="22"/>
                    </w:rPr>
                    <w:t>.marts</w:t>
                  </w:r>
                </w:p>
              </w:tc>
            </w:tr>
            <w:tr w:rsidR="00540AA1" w:rsidRPr="001C14D4" w:rsidTr="004931DB">
              <w:trPr>
                <w:gridAfter w:val="1"/>
                <w:wAfter w:w="1796" w:type="dxa"/>
              </w:trPr>
              <w:tc>
                <w:tcPr>
                  <w:tcW w:w="5387" w:type="dxa"/>
                </w:tcPr>
                <w:p w:rsidR="00540AA1" w:rsidRPr="001C14D4" w:rsidRDefault="00540AA1" w:rsidP="004931DB">
                  <w:pPr>
                    <w:pStyle w:val="naisf"/>
                    <w:spacing w:before="0" w:after="0"/>
                    <w:ind w:firstLine="0"/>
                  </w:pPr>
                </w:p>
              </w:tc>
              <w:tc>
                <w:tcPr>
                  <w:tcW w:w="8596" w:type="dxa"/>
                  <w:tcBorders>
                    <w:top w:val="single" w:sz="4" w:space="0" w:color="auto"/>
                  </w:tcBorders>
                </w:tcPr>
                <w:p w:rsidR="00540AA1" w:rsidRPr="001C14D4" w:rsidRDefault="00540AA1" w:rsidP="004931DB">
                  <w:pPr>
                    <w:pStyle w:val="ParastaisWeb"/>
                    <w:spacing w:before="0" w:beforeAutospacing="0" w:after="0" w:afterAutospacing="0"/>
                  </w:pPr>
                </w:p>
              </w:tc>
            </w:tr>
            <w:tr w:rsidR="00540AA1" w:rsidRPr="001C14D4" w:rsidTr="004931DB">
              <w:trPr>
                <w:gridAfter w:val="1"/>
                <w:wAfter w:w="1796" w:type="dxa"/>
              </w:trPr>
              <w:tc>
                <w:tcPr>
                  <w:tcW w:w="5387" w:type="dxa"/>
                </w:tcPr>
                <w:p w:rsidR="00540AA1" w:rsidRPr="001C14D4" w:rsidRDefault="00540AA1" w:rsidP="004931DB">
                  <w:pPr>
                    <w:pStyle w:val="naiskr"/>
                    <w:spacing w:before="0" w:after="0"/>
                  </w:pPr>
                  <w:r w:rsidRPr="001C14D4">
                    <w:rPr>
                      <w:sz w:val="22"/>
                      <w:szCs w:val="22"/>
                    </w:rPr>
                    <w:t>Saskaņošanas dalībnieki:</w:t>
                  </w:r>
                </w:p>
              </w:tc>
              <w:tc>
                <w:tcPr>
                  <w:tcW w:w="8596" w:type="dxa"/>
                  <w:tcBorders>
                    <w:bottom w:val="single" w:sz="4" w:space="0" w:color="auto"/>
                  </w:tcBorders>
                </w:tcPr>
                <w:p w:rsidR="00540AA1" w:rsidRPr="001C14D4" w:rsidRDefault="00C661D5" w:rsidP="00074269">
                  <w:pPr>
                    <w:jc w:val="both"/>
                  </w:pPr>
                  <w:r w:rsidRPr="001C14D4">
                    <w:rPr>
                      <w:sz w:val="22"/>
                      <w:szCs w:val="22"/>
                      <w:shd w:val="clear" w:color="auto" w:fill="FFFFFF"/>
                    </w:rPr>
                    <w:t>Tieslietu ministrija, Finanšu ministrija, Vides aizsardzības un reģionālās attīstības ministrija un Latvijas Brīvo arodbiedrību savienība</w:t>
                  </w:r>
                </w:p>
              </w:tc>
            </w:tr>
            <w:tr w:rsidR="00540AA1" w:rsidRPr="001C14D4" w:rsidTr="004931DB">
              <w:tc>
                <w:tcPr>
                  <w:tcW w:w="5387" w:type="dxa"/>
                </w:tcPr>
                <w:p w:rsidR="00540AA1" w:rsidRPr="001C14D4" w:rsidRDefault="00540AA1" w:rsidP="004931DB">
                  <w:pPr>
                    <w:pStyle w:val="naiskr"/>
                    <w:spacing w:before="0" w:after="0"/>
                  </w:pPr>
                </w:p>
                <w:p w:rsidR="00540AA1" w:rsidRPr="001C14D4" w:rsidRDefault="00540AA1" w:rsidP="004931DB">
                  <w:pPr>
                    <w:pStyle w:val="naiskr"/>
                    <w:spacing w:before="0" w:after="0"/>
                  </w:pPr>
                </w:p>
              </w:tc>
              <w:tc>
                <w:tcPr>
                  <w:tcW w:w="10392" w:type="dxa"/>
                  <w:gridSpan w:val="2"/>
                </w:tcPr>
                <w:p w:rsidR="00540AA1" w:rsidRPr="001C14D4" w:rsidRDefault="00540AA1" w:rsidP="004931DB">
                  <w:pPr>
                    <w:ind w:right="-483"/>
                  </w:pPr>
                </w:p>
              </w:tc>
            </w:tr>
            <w:tr w:rsidR="00540AA1" w:rsidRPr="001C14D4" w:rsidTr="004931DB">
              <w:tc>
                <w:tcPr>
                  <w:tcW w:w="5387" w:type="dxa"/>
                  <w:tcBorders>
                    <w:top w:val="nil"/>
                    <w:left w:val="nil"/>
                    <w:bottom w:val="nil"/>
                    <w:right w:val="nil"/>
                  </w:tcBorders>
                </w:tcPr>
                <w:p w:rsidR="00540AA1" w:rsidRPr="001C14D4" w:rsidRDefault="00540AA1" w:rsidP="004931DB">
                  <w:pPr>
                    <w:pStyle w:val="naiskr"/>
                    <w:spacing w:before="0" w:after="0"/>
                  </w:pPr>
                  <w:r w:rsidRPr="001C14D4">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rsidR="00540AA1" w:rsidRPr="001C14D4" w:rsidRDefault="000B5F16" w:rsidP="00074269">
                  <w:pPr>
                    <w:ind w:right="-483"/>
                  </w:pPr>
                  <w:r w:rsidRPr="001C14D4">
                    <w:rPr>
                      <w:sz w:val="22"/>
                      <w:szCs w:val="22"/>
                    </w:rPr>
                    <w:t>Vides aizsardzības un reģionālās attīstības</w:t>
                  </w:r>
                  <w:r w:rsidR="00074269" w:rsidRPr="001C14D4">
                    <w:rPr>
                      <w:sz w:val="22"/>
                      <w:szCs w:val="22"/>
                    </w:rPr>
                    <w:t xml:space="preserve"> </w:t>
                  </w:r>
                  <w:r w:rsidRPr="001C14D4">
                    <w:rPr>
                      <w:sz w:val="22"/>
                      <w:szCs w:val="22"/>
                    </w:rPr>
                    <w:t>ministrij</w:t>
                  </w:r>
                  <w:r w:rsidR="00D940CF" w:rsidRPr="001C14D4">
                    <w:rPr>
                      <w:sz w:val="22"/>
                      <w:szCs w:val="22"/>
                    </w:rPr>
                    <w:t>a</w:t>
                  </w:r>
                </w:p>
              </w:tc>
            </w:tr>
            <w:tr w:rsidR="00540AA1" w:rsidRPr="001C14D4" w:rsidTr="004931DB">
              <w:tc>
                <w:tcPr>
                  <w:tcW w:w="5387" w:type="dxa"/>
                  <w:tcBorders>
                    <w:top w:val="nil"/>
                    <w:left w:val="nil"/>
                    <w:right w:val="nil"/>
                  </w:tcBorders>
                </w:tcPr>
                <w:p w:rsidR="00540AA1" w:rsidRPr="001C14D4" w:rsidRDefault="00540AA1" w:rsidP="004931DB">
                  <w:pPr>
                    <w:pStyle w:val="naiskr"/>
                    <w:spacing w:before="0" w:after="0"/>
                  </w:pPr>
                </w:p>
                <w:p w:rsidR="00540AA1" w:rsidRPr="001C14D4" w:rsidRDefault="00540AA1" w:rsidP="004931DB">
                  <w:pPr>
                    <w:pStyle w:val="naiskr"/>
                    <w:spacing w:before="0" w:after="0"/>
                  </w:pPr>
                </w:p>
              </w:tc>
              <w:tc>
                <w:tcPr>
                  <w:tcW w:w="10392" w:type="dxa"/>
                  <w:gridSpan w:val="2"/>
                  <w:tcBorders>
                    <w:top w:val="single" w:sz="4" w:space="0" w:color="auto"/>
                    <w:left w:val="nil"/>
                    <w:right w:val="nil"/>
                  </w:tcBorders>
                  <w:vAlign w:val="bottom"/>
                </w:tcPr>
                <w:p w:rsidR="00540AA1" w:rsidRPr="001C14D4" w:rsidRDefault="00540AA1" w:rsidP="004931DB">
                  <w:pPr>
                    <w:ind w:right="-483"/>
                  </w:pPr>
                </w:p>
              </w:tc>
            </w:tr>
            <w:tr w:rsidR="00540AA1" w:rsidRPr="00C661D5" w:rsidTr="0049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rsidR="00540AA1" w:rsidRPr="00C661D5" w:rsidRDefault="00540AA1" w:rsidP="004931DB">
                  <w:pPr>
                    <w:pStyle w:val="naiskr"/>
                    <w:spacing w:before="0" w:after="0"/>
                  </w:pPr>
                  <w:r w:rsidRPr="001C14D4">
                    <w:rPr>
                      <w:sz w:val="22"/>
                      <w:szCs w:val="22"/>
                    </w:rPr>
                    <w:t>Ministrijas (citas institūcijas), kuras nav ieradušās uz sanāksmi vai kuras nav atbildējušas uz uzaicinājumu piedalīties elektroniskajā saskaņošanā:</w:t>
                  </w:r>
                </w:p>
              </w:tc>
            </w:tr>
            <w:tr w:rsidR="00540AA1" w:rsidRPr="00C661D5" w:rsidTr="0049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392" w:type="dxa"/>
              </w:trPr>
              <w:tc>
                <w:tcPr>
                  <w:tcW w:w="5387" w:type="dxa"/>
                  <w:tcBorders>
                    <w:top w:val="nil"/>
                    <w:left w:val="nil"/>
                    <w:bottom w:val="nil"/>
                    <w:right w:val="nil"/>
                  </w:tcBorders>
                  <w:vAlign w:val="bottom"/>
                </w:tcPr>
                <w:p w:rsidR="00540AA1" w:rsidRPr="00C661D5" w:rsidRDefault="00540AA1" w:rsidP="004931DB">
                  <w:pPr>
                    <w:pStyle w:val="naiskr"/>
                    <w:spacing w:before="0" w:after="0"/>
                  </w:pPr>
                </w:p>
              </w:tc>
            </w:tr>
          </w:tbl>
          <w:p w:rsidR="00540AA1" w:rsidRPr="00C661D5" w:rsidRDefault="00540AA1" w:rsidP="004931DB">
            <w:pPr>
              <w:pStyle w:val="naisf"/>
              <w:spacing w:before="0" w:after="0"/>
              <w:ind w:firstLine="0"/>
            </w:pPr>
          </w:p>
        </w:tc>
      </w:tr>
    </w:tbl>
    <w:p w:rsidR="00540AA1" w:rsidRPr="00E43034" w:rsidRDefault="00540AA1" w:rsidP="00540AA1">
      <w:pPr>
        <w:pStyle w:val="naisf"/>
        <w:spacing w:before="0" w:after="0"/>
        <w:ind w:firstLine="0"/>
        <w:rPr>
          <w:b/>
          <w:sz w:val="22"/>
          <w:szCs w:val="22"/>
        </w:rPr>
      </w:pPr>
    </w:p>
    <w:p w:rsidR="00540AA1" w:rsidRDefault="00540AA1" w:rsidP="00540AA1">
      <w:pPr>
        <w:pStyle w:val="naisf"/>
        <w:spacing w:before="0" w:after="0"/>
        <w:ind w:firstLine="0"/>
        <w:rPr>
          <w:b/>
          <w:sz w:val="22"/>
          <w:szCs w:val="22"/>
        </w:rPr>
      </w:pPr>
    </w:p>
    <w:p w:rsidR="00540AA1" w:rsidRPr="00E43034" w:rsidRDefault="00540AA1" w:rsidP="00540AA1">
      <w:pPr>
        <w:pStyle w:val="naisf"/>
        <w:spacing w:before="0" w:after="0"/>
        <w:ind w:firstLine="0"/>
        <w:jc w:val="center"/>
        <w:rPr>
          <w:b/>
          <w:sz w:val="22"/>
          <w:szCs w:val="22"/>
        </w:rPr>
      </w:pPr>
      <w:r w:rsidRPr="00E43034">
        <w:rPr>
          <w:b/>
          <w:sz w:val="22"/>
          <w:szCs w:val="22"/>
        </w:rPr>
        <w:lastRenderedPageBreak/>
        <w:t>II. Jautājumi, par kuriem saskaņošanā vienošanās ir panākta</w:t>
      </w:r>
    </w:p>
    <w:p w:rsidR="00540AA1" w:rsidRPr="00E43034" w:rsidRDefault="00540AA1" w:rsidP="00E43034">
      <w:pPr>
        <w:pStyle w:val="naisf"/>
        <w:spacing w:before="0" w:after="0"/>
        <w:ind w:firstLine="0"/>
        <w:jc w:val="left"/>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641"/>
        <w:gridCol w:w="2959"/>
        <w:gridCol w:w="4171"/>
        <w:gridCol w:w="2403"/>
        <w:gridCol w:w="4047"/>
      </w:tblGrid>
      <w:tr w:rsidR="00540AA1" w:rsidRPr="00E43034" w:rsidTr="004235E1">
        <w:trPr>
          <w:trHeight w:val="1525"/>
        </w:trPr>
        <w:tc>
          <w:tcPr>
            <w:tcW w:w="225"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pPr>
            <w:r w:rsidRPr="00E43034">
              <w:rPr>
                <w:sz w:val="22"/>
                <w:szCs w:val="22"/>
              </w:rPr>
              <w:t>Nr. p.k.</w:t>
            </w:r>
          </w:p>
        </w:tc>
        <w:tc>
          <w:tcPr>
            <w:tcW w:w="1040"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firstLine="12"/>
            </w:pPr>
            <w:r w:rsidRPr="00E43034">
              <w:rPr>
                <w:sz w:val="22"/>
                <w:szCs w:val="22"/>
              </w:rPr>
              <w:t>Saskaņošanai nosūtītā projekta redakcija (konkrēta punkta (panta) redakcija)</w:t>
            </w:r>
          </w:p>
        </w:tc>
        <w:tc>
          <w:tcPr>
            <w:tcW w:w="1466"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right="3"/>
            </w:pPr>
            <w:r w:rsidRPr="00E43034">
              <w:rPr>
                <w:sz w:val="22"/>
                <w:szCs w:val="22"/>
              </w:rPr>
              <w:t>Atzinumā norādītais ministrijas (citas institūcijas) iebildums, kā arī saskaņošanā papildus izteiktais iebildums par projekta konkrēto punktu (pantu)</w:t>
            </w:r>
          </w:p>
        </w:tc>
        <w:tc>
          <w:tcPr>
            <w:tcW w:w="845" w:type="pct"/>
            <w:tcBorders>
              <w:top w:val="single" w:sz="6" w:space="0" w:color="000000"/>
              <w:left w:val="single" w:sz="6" w:space="0" w:color="000000"/>
              <w:bottom w:val="single" w:sz="6" w:space="0" w:color="000000"/>
              <w:right w:val="single" w:sz="6" w:space="0" w:color="000000"/>
            </w:tcBorders>
            <w:vAlign w:val="center"/>
          </w:tcPr>
          <w:p w:rsidR="00540AA1" w:rsidRPr="00E43034" w:rsidRDefault="00540AA1" w:rsidP="004931DB">
            <w:pPr>
              <w:pStyle w:val="naisc"/>
              <w:spacing w:before="0" w:after="0"/>
              <w:ind w:firstLine="21"/>
            </w:pPr>
            <w:r w:rsidRPr="00E43034">
              <w:rPr>
                <w:sz w:val="22"/>
                <w:szCs w:val="22"/>
              </w:rPr>
              <w:t>Atbildīgās ministrijas norāde par to, ka iebildums ir ņemts vērā, vai informācija par saskaņošanā panākto alternatīvo risinājumu</w:t>
            </w:r>
          </w:p>
        </w:tc>
        <w:tc>
          <w:tcPr>
            <w:tcW w:w="1423" w:type="pct"/>
            <w:tcBorders>
              <w:top w:val="single" w:sz="4" w:space="0" w:color="auto"/>
              <w:left w:val="single" w:sz="4" w:space="0" w:color="auto"/>
              <w:bottom w:val="single" w:sz="4" w:space="0" w:color="auto"/>
            </w:tcBorders>
            <w:vAlign w:val="center"/>
          </w:tcPr>
          <w:p w:rsidR="00540AA1" w:rsidRPr="00E43034" w:rsidRDefault="00540AA1" w:rsidP="004931DB">
            <w:pPr>
              <w:jc w:val="center"/>
            </w:pPr>
            <w:r w:rsidRPr="00E43034">
              <w:rPr>
                <w:sz w:val="22"/>
                <w:szCs w:val="22"/>
              </w:rPr>
              <w:t>Projekta attiecīgā punkta (panta) galīgā redakcija</w:t>
            </w:r>
          </w:p>
        </w:tc>
      </w:tr>
      <w:tr w:rsidR="00540AA1" w:rsidRPr="00E43034" w:rsidTr="004235E1">
        <w:trPr>
          <w:trHeight w:val="371"/>
        </w:trPr>
        <w:tc>
          <w:tcPr>
            <w:tcW w:w="225"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pPr>
            <w:r w:rsidRPr="00E43034">
              <w:rPr>
                <w:sz w:val="22"/>
                <w:szCs w:val="22"/>
              </w:rPr>
              <w:t>1</w:t>
            </w:r>
          </w:p>
        </w:tc>
        <w:tc>
          <w:tcPr>
            <w:tcW w:w="1040"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ind w:firstLine="720"/>
            </w:pPr>
            <w:r w:rsidRPr="00E43034">
              <w:rPr>
                <w:sz w:val="22"/>
                <w:szCs w:val="22"/>
              </w:rPr>
              <w:t>2</w:t>
            </w:r>
          </w:p>
        </w:tc>
        <w:tc>
          <w:tcPr>
            <w:tcW w:w="1466" w:type="pct"/>
            <w:tcBorders>
              <w:top w:val="single" w:sz="6" w:space="0" w:color="000000"/>
              <w:left w:val="single" w:sz="6" w:space="0" w:color="000000"/>
              <w:bottom w:val="single" w:sz="6" w:space="0" w:color="000000"/>
              <w:right w:val="single" w:sz="6" w:space="0" w:color="000000"/>
            </w:tcBorders>
          </w:tcPr>
          <w:p w:rsidR="00540AA1" w:rsidRPr="00E43034" w:rsidRDefault="00540AA1" w:rsidP="004931DB">
            <w:pPr>
              <w:pStyle w:val="naisc"/>
              <w:spacing w:before="0" w:after="0"/>
              <w:ind w:firstLine="720"/>
            </w:pPr>
            <w:r w:rsidRPr="00E43034">
              <w:rPr>
                <w:sz w:val="22"/>
                <w:szCs w:val="22"/>
              </w:rPr>
              <w:t>3</w:t>
            </w:r>
          </w:p>
        </w:tc>
        <w:tc>
          <w:tcPr>
            <w:tcW w:w="845" w:type="pct"/>
            <w:tcBorders>
              <w:top w:val="single" w:sz="6" w:space="0" w:color="000000"/>
              <w:left w:val="single" w:sz="6" w:space="0" w:color="000000"/>
              <w:bottom w:val="single" w:sz="4" w:space="0" w:color="auto"/>
              <w:right w:val="single" w:sz="6" w:space="0" w:color="000000"/>
            </w:tcBorders>
          </w:tcPr>
          <w:p w:rsidR="00540AA1" w:rsidRPr="00E43034" w:rsidRDefault="00540AA1" w:rsidP="004931DB">
            <w:pPr>
              <w:pStyle w:val="naisc"/>
              <w:spacing w:before="0" w:after="0"/>
              <w:ind w:firstLine="720"/>
            </w:pPr>
            <w:r w:rsidRPr="00E43034">
              <w:rPr>
                <w:sz w:val="22"/>
                <w:szCs w:val="22"/>
              </w:rPr>
              <w:t>4</w:t>
            </w:r>
          </w:p>
        </w:tc>
        <w:tc>
          <w:tcPr>
            <w:tcW w:w="1423" w:type="pct"/>
            <w:tcBorders>
              <w:top w:val="single" w:sz="4" w:space="0" w:color="auto"/>
              <w:left w:val="single" w:sz="4" w:space="0" w:color="auto"/>
              <w:bottom w:val="single" w:sz="4" w:space="0" w:color="auto"/>
            </w:tcBorders>
          </w:tcPr>
          <w:p w:rsidR="00540AA1" w:rsidRPr="00E43034" w:rsidRDefault="00540AA1" w:rsidP="004931DB">
            <w:pPr>
              <w:jc w:val="center"/>
            </w:pPr>
            <w:r w:rsidRPr="00E43034">
              <w:rPr>
                <w:sz w:val="22"/>
                <w:szCs w:val="22"/>
              </w:rPr>
              <w:t>5</w:t>
            </w:r>
          </w:p>
        </w:tc>
      </w:tr>
      <w:tr w:rsidR="00041D88" w:rsidRPr="00752CF5" w:rsidTr="004235E1">
        <w:trPr>
          <w:trHeight w:val="371"/>
        </w:trPr>
        <w:tc>
          <w:tcPr>
            <w:tcW w:w="225" w:type="pct"/>
            <w:tcBorders>
              <w:top w:val="single" w:sz="6" w:space="0" w:color="000000"/>
              <w:left w:val="single" w:sz="6" w:space="0" w:color="000000"/>
              <w:bottom w:val="single" w:sz="6" w:space="0" w:color="000000"/>
              <w:right w:val="single" w:sz="6" w:space="0" w:color="000000"/>
            </w:tcBorders>
          </w:tcPr>
          <w:p w:rsidR="00041D88" w:rsidRPr="00752CF5" w:rsidRDefault="00041D88" w:rsidP="00041D88">
            <w:pPr>
              <w:pStyle w:val="naisc"/>
              <w:spacing w:before="0" w:after="0"/>
            </w:pPr>
            <w:r w:rsidRPr="00752CF5">
              <w:rPr>
                <w:sz w:val="22"/>
                <w:szCs w:val="22"/>
              </w:rPr>
              <w:t>1.</w:t>
            </w:r>
          </w:p>
        </w:tc>
        <w:tc>
          <w:tcPr>
            <w:tcW w:w="1040" w:type="pct"/>
            <w:tcBorders>
              <w:top w:val="single" w:sz="6" w:space="0" w:color="000000"/>
              <w:left w:val="single" w:sz="6" w:space="0" w:color="000000"/>
              <w:bottom w:val="single" w:sz="6" w:space="0" w:color="000000"/>
              <w:right w:val="single" w:sz="6" w:space="0" w:color="000000"/>
            </w:tcBorders>
          </w:tcPr>
          <w:p w:rsidR="00041D88" w:rsidRPr="00752CF5" w:rsidRDefault="00041D88" w:rsidP="001C14D4">
            <w:pPr>
              <w:pStyle w:val="Bezatstarpm"/>
              <w:jc w:val="both"/>
              <w:rPr>
                <w:rFonts w:eastAsia="Calibri"/>
                <w:sz w:val="22"/>
                <w:szCs w:val="22"/>
              </w:rPr>
            </w:pPr>
            <w:r w:rsidRPr="00752CF5">
              <w:rPr>
                <w:rFonts w:eastAsiaTheme="minorHAnsi"/>
                <w:sz w:val="22"/>
                <w:szCs w:val="22"/>
                <w:lang w:eastAsia="en-US"/>
              </w:rPr>
              <w:t>Ministru kabineta noteikumu projekta</w:t>
            </w:r>
            <w:r w:rsidRPr="00752CF5">
              <w:rPr>
                <w:rFonts w:eastAsia="Calibri"/>
                <w:sz w:val="22"/>
                <w:szCs w:val="22"/>
              </w:rPr>
              <w:t xml:space="preserve"> </w:t>
            </w:r>
            <w:r w:rsidRPr="00752CF5">
              <w:rPr>
                <w:sz w:val="22"/>
                <w:szCs w:val="22"/>
              </w:rPr>
              <w:t>sākotnējās ietekmes novē</w:t>
            </w:r>
            <w:r w:rsidR="001C14D4" w:rsidRPr="00752CF5">
              <w:rPr>
                <w:sz w:val="22"/>
                <w:szCs w:val="22"/>
              </w:rPr>
              <w:t>rtējuma ziņojuma (anotācijas) I</w:t>
            </w:r>
            <w:r w:rsidRPr="00752CF5">
              <w:rPr>
                <w:sz w:val="22"/>
                <w:szCs w:val="22"/>
              </w:rPr>
              <w:t xml:space="preserve"> sadaļas 2.punkts.</w:t>
            </w:r>
          </w:p>
        </w:tc>
        <w:tc>
          <w:tcPr>
            <w:tcW w:w="1466" w:type="pct"/>
            <w:tcBorders>
              <w:top w:val="single" w:sz="6" w:space="0" w:color="000000"/>
              <w:left w:val="single" w:sz="6" w:space="0" w:color="000000"/>
              <w:bottom w:val="single" w:sz="6" w:space="0" w:color="000000"/>
              <w:right w:val="single" w:sz="6" w:space="0" w:color="000000"/>
            </w:tcBorders>
          </w:tcPr>
          <w:p w:rsidR="00041D88" w:rsidRPr="00752CF5" w:rsidRDefault="00041D88" w:rsidP="001C14D4">
            <w:pPr>
              <w:pStyle w:val="Bezatstarpm"/>
              <w:jc w:val="both"/>
              <w:rPr>
                <w:sz w:val="22"/>
                <w:szCs w:val="22"/>
              </w:rPr>
            </w:pPr>
            <w:r w:rsidRPr="00752CF5">
              <w:rPr>
                <w:b/>
                <w:sz w:val="22"/>
                <w:szCs w:val="22"/>
              </w:rPr>
              <w:t>Vides aizsardzības un reģionālās attīstības ministrija</w:t>
            </w:r>
            <w:r w:rsidRPr="00752CF5">
              <w:rPr>
                <w:sz w:val="22"/>
                <w:szCs w:val="22"/>
              </w:rPr>
              <w:t>:</w:t>
            </w:r>
          </w:p>
          <w:p w:rsidR="00041D88" w:rsidRPr="00752CF5" w:rsidRDefault="00041D88" w:rsidP="001C14D4">
            <w:pPr>
              <w:pStyle w:val="Bezatstarpm"/>
              <w:tabs>
                <w:tab w:val="left" w:pos="653"/>
              </w:tabs>
              <w:jc w:val="both"/>
              <w:rPr>
                <w:color w:val="000000" w:themeColor="text1"/>
                <w:sz w:val="22"/>
                <w:szCs w:val="22"/>
              </w:rPr>
            </w:pPr>
            <w:r w:rsidRPr="00752CF5">
              <w:rPr>
                <w:color w:val="000000" w:themeColor="text1"/>
                <w:sz w:val="22"/>
                <w:szCs w:val="22"/>
              </w:rPr>
              <w:t xml:space="preserve">Saskaņā ar Ministru kabineta 2009. gada 15. decembra (prot. Nr. 88 103. §) instrukcijas Nr. 19 (turpmāk – MK instrukcija Nr. 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Atbilstoši Ministru kabineta 2017. gada 4. jūlija noteikumu Nr. 399 (prot. Nr. 33 25. §) “Valsts pārvaldes pakalpojumu uzskaites, kvalitātes kontroles un sniegšanas kārtība” (turpmāk – MK noteikumi Nr. 399) 17. punktam, pakalpojuma pieprasīšanas un saņemšanas kanāli iedalāmi klātienes un neklātienes kanālos. Neklātienes kanāli iedalāmi elektroniskos, telefoniskos un pasta starpniecības kanālos. Apstākļos, kad noteikumu projekts tiek papildināts ar jauniem pakalpojumiem, lūdzam papildus šo pakalpojumu definētajiem nosaukumiem, veikt arī šo pakalpojumu aprakstu, norādot </w:t>
            </w:r>
            <w:r w:rsidRPr="00752CF5">
              <w:rPr>
                <w:color w:val="000000" w:themeColor="text1"/>
                <w:sz w:val="22"/>
                <w:szCs w:val="22"/>
              </w:rPr>
              <w:lastRenderedPageBreak/>
              <w:t>to anotācijas I sadaļas 2. punktā, papildus norādot arī jauno šo pakalpojumu pieprasīšanas, sniegšanas kanālus.</w:t>
            </w:r>
          </w:p>
        </w:tc>
        <w:tc>
          <w:tcPr>
            <w:tcW w:w="845" w:type="pct"/>
            <w:tcBorders>
              <w:top w:val="single" w:sz="6" w:space="0" w:color="000000"/>
              <w:left w:val="single" w:sz="6" w:space="0" w:color="000000"/>
              <w:bottom w:val="single" w:sz="6" w:space="0" w:color="000000"/>
              <w:right w:val="single" w:sz="6" w:space="0" w:color="000000"/>
            </w:tcBorders>
          </w:tcPr>
          <w:p w:rsidR="00041D88" w:rsidRPr="00752CF5" w:rsidRDefault="00041D88" w:rsidP="004235E1">
            <w:pPr>
              <w:pStyle w:val="Bezatstarpm"/>
              <w:jc w:val="center"/>
              <w:rPr>
                <w:b/>
                <w:sz w:val="22"/>
                <w:szCs w:val="22"/>
              </w:rPr>
            </w:pPr>
            <w:r w:rsidRPr="00752CF5">
              <w:rPr>
                <w:b/>
                <w:sz w:val="22"/>
                <w:szCs w:val="22"/>
              </w:rPr>
              <w:lastRenderedPageBreak/>
              <w:t>Ņemts vērā</w:t>
            </w:r>
          </w:p>
        </w:tc>
        <w:tc>
          <w:tcPr>
            <w:tcW w:w="1423" w:type="pct"/>
            <w:tcBorders>
              <w:top w:val="single" w:sz="4" w:space="0" w:color="auto"/>
              <w:left w:val="single" w:sz="4" w:space="0" w:color="auto"/>
              <w:bottom w:val="single" w:sz="4" w:space="0" w:color="auto"/>
            </w:tcBorders>
          </w:tcPr>
          <w:p w:rsidR="00CE5DAB" w:rsidRPr="00752CF5" w:rsidRDefault="00CE5DAB" w:rsidP="00CE5DAB">
            <w:pPr>
              <w:pStyle w:val="Bezatstarpm"/>
              <w:jc w:val="both"/>
              <w:rPr>
                <w:sz w:val="22"/>
                <w:szCs w:val="22"/>
              </w:rPr>
            </w:pPr>
            <w:r w:rsidRPr="00752CF5">
              <w:rPr>
                <w:sz w:val="22"/>
                <w:szCs w:val="22"/>
              </w:rPr>
              <w:t xml:space="preserve">Papildināts </w:t>
            </w:r>
            <w:r w:rsidRPr="00752CF5">
              <w:rPr>
                <w:rFonts w:eastAsiaTheme="minorHAnsi"/>
                <w:sz w:val="22"/>
                <w:szCs w:val="22"/>
                <w:lang w:eastAsia="en-US"/>
              </w:rPr>
              <w:t>Ministru kabineta</w:t>
            </w:r>
            <w:r w:rsidRPr="00752CF5">
              <w:rPr>
                <w:sz w:val="22"/>
                <w:szCs w:val="22"/>
              </w:rPr>
              <w:t xml:space="preserve"> noteikumu projekta sākotnējās ietekmes novērtējuma ziņojuma (anotācijas) I sadaļas 2.punkts</w:t>
            </w:r>
            <w:r>
              <w:rPr>
                <w:sz w:val="22"/>
                <w:szCs w:val="22"/>
              </w:rPr>
              <w:t xml:space="preserve"> ar šādu informāciju </w:t>
            </w:r>
            <w:r w:rsidRPr="00B61B51">
              <w:rPr>
                <w:sz w:val="22"/>
                <w:szCs w:val="22"/>
              </w:rPr>
              <w:t xml:space="preserve">(sk. </w:t>
            </w:r>
            <w:r>
              <w:rPr>
                <w:sz w:val="22"/>
                <w:szCs w:val="22"/>
              </w:rPr>
              <w:t>3.</w:t>
            </w:r>
            <w:r w:rsidRPr="00B61B51">
              <w:rPr>
                <w:sz w:val="22"/>
                <w:szCs w:val="22"/>
              </w:rPr>
              <w:t xml:space="preserve"> </w:t>
            </w:r>
            <w:r>
              <w:rPr>
                <w:sz w:val="22"/>
                <w:szCs w:val="22"/>
              </w:rPr>
              <w:t>–</w:t>
            </w:r>
            <w:r w:rsidRPr="00B61B51">
              <w:rPr>
                <w:sz w:val="22"/>
                <w:szCs w:val="22"/>
              </w:rPr>
              <w:t xml:space="preserve"> 5.lp.)</w:t>
            </w:r>
            <w:r w:rsidRPr="00752CF5">
              <w:rPr>
                <w:sz w:val="22"/>
                <w:szCs w:val="22"/>
              </w:rPr>
              <w:t>:</w:t>
            </w:r>
          </w:p>
          <w:p w:rsidR="00CE5DAB" w:rsidRPr="00752CF5" w:rsidRDefault="00CE5DAB" w:rsidP="00CE5DAB">
            <w:pPr>
              <w:pStyle w:val="Bezatstarpm"/>
              <w:rPr>
                <w:color w:val="000000" w:themeColor="text1"/>
                <w:sz w:val="22"/>
                <w:szCs w:val="22"/>
              </w:rPr>
            </w:pPr>
          </w:p>
          <w:p w:rsidR="00CE5DAB" w:rsidRPr="00CE5DAB" w:rsidRDefault="00CE5DAB" w:rsidP="00CE5DAB">
            <w:pPr>
              <w:jc w:val="both"/>
              <w:rPr>
                <w:color w:val="000000" w:themeColor="text1"/>
              </w:rPr>
            </w:pPr>
            <w:r w:rsidRPr="00752CF5">
              <w:rPr>
                <w:color w:val="000000" w:themeColor="text1"/>
                <w:sz w:val="22"/>
                <w:szCs w:val="22"/>
              </w:rPr>
              <w:t>„</w:t>
            </w:r>
            <w:r w:rsidRPr="00B61B51">
              <w:rPr>
                <w:sz w:val="22"/>
                <w:szCs w:val="22"/>
              </w:rPr>
              <w:t>[..]</w:t>
            </w:r>
            <w:r>
              <w:rPr>
                <w:color w:val="000000" w:themeColor="text1"/>
              </w:rPr>
              <w:t> </w:t>
            </w:r>
            <w:r w:rsidRPr="00752CF5">
              <w:rPr>
                <w:sz w:val="22"/>
                <w:szCs w:val="22"/>
              </w:rPr>
              <w:t>Atbilstoši Ministru kabineta 2017.gada 4.jūlija noteikumu Nr.399 „Valsts pārvaldes pakalpojumu uzskaites, kvalitātes kontroles un sniegšanas kārtība” (turpmāk – MK noteiku</w:t>
            </w:r>
            <w:r>
              <w:rPr>
                <w:sz w:val="22"/>
                <w:szCs w:val="22"/>
              </w:rPr>
              <w:t>mi Nr.399) 9.punktā noteiktajam</w:t>
            </w:r>
            <w:r w:rsidRPr="00752CF5">
              <w:rPr>
                <w:sz w:val="22"/>
                <w:szCs w:val="22"/>
              </w:rPr>
              <w:t xml:space="preserve"> valsts pārvaldes pakalpojumu katalogā </w:t>
            </w:r>
            <w:hyperlink r:id="rId8" w:history="1">
              <w:r w:rsidRPr="00752CF5">
                <w:rPr>
                  <w:rStyle w:val="Hipersaite"/>
                  <w:sz w:val="22"/>
                  <w:szCs w:val="22"/>
                </w:rPr>
                <w:t>www.latvija.lv</w:t>
              </w:r>
            </w:hyperlink>
            <w:r w:rsidRPr="00752CF5">
              <w:rPr>
                <w:sz w:val="22"/>
                <w:szCs w:val="22"/>
              </w:rPr>
              <w:t xml:space="preserve"> par Projekta 1.1. un 1.2.apakšpunktā noteiktajiem pakalpojumiem tiks iekļauti šādi pakalpojumu apraksti:</w:t>
            </w:r>
          </w:p>
          <w:p w:rsidR="00CE5DAB" w:rsidRPr="00752CF5" w:rsidRDefault="00CE5DAB" w:rsidP="00CE5DAB">
            <w:pPr>
              <w:pStyle w:val="Sarakstarindkopa"/>
              <w:widowControl/>
              <w:numPr>
                <w:ilvl w:val="0"/>
                <w:numId w:val="8"/>
              </w:numPr>
              <w:spacing w:after="0" w:line="240" w:lineRule="auto"/>
              <w:ind w:left="32" w:firstLine="236"/>
              <w:jc w:val="both"/>
              <w:rPr>
                <w:rFonts w:ascii="Times New Roman" w:eastAsia="Times New Roman" w:hAnsi="Times New Roman"/>
                <w:lang w:eastAsia="lv-LV"/>
              </w:rPr>
            </w:pPr>
            <w:r w:rsidRPr="00752CF5">
              <w:rPr>
                <w:rFonts w:ascii="Times New Roman" w:eastAsia="Times New Roman" w:hAnsi="Times New Roman"/>
                <w:lang w:eastAsia="lv-LV"/>
              </w:rPr>
              <w:t xml:space="preserve">muzeja ekspozīcijas „Ceļā uz Latvijas valsti: Klaušinieks. Saimnieks. Pilsonis” apmeklējums </w:t>
            </w:r>
            <w:r w:rsidRPr="00752CF5">
              <w:rPr>
                <w:rFonts w:ascii="Times New Roman" w:eastAsia="Times New Roman" w:hAnsi="Times New Roman"/>
                <w:bCs/>
                <w:lang w:eastAsia="lv-LV"/>
              </w:rPr>
              <w:t xml:space="preserve">(no 1.maija līdz 31.oktobrim) – pastāvīga ekspozīcija, kas </w:t>
            </w:r>
            <w:r w:rsidRPr="00752CF5">
              <w:rPr>
                <w:rFonts w:ascii="Times New Roman" w:eastAsia="Times New Roman" w:hAnsi="Times New Roman"/>
                <w:lang w:eastAsia="lv-LV"/>
              </w:rPr>
              <w:t xml:space="preserve">iekārtota vēsturiskā vidē – atjaunotajā Turaidas muižas Klaušinieku mājā un vēsta par laiku no dzimtbūšanas atcelšanas Vidzemē 1819.gadā līdz Latvijas Republikas Agrārreformas likuma pieņemšanai 1920.gadā, akcentējot individuālās un tautas brīvības attīstību Vidzemē Latvijas un Eiropas vēstures </w:t>
            </w:r>
            <w:r w:rsidRPr="00752CF5">
              <w:rPr>
                <w:rFonts w:ascii="Times New Roman" w:eastAsia="Times New Roman" w:hAnsi="Times New Roman"/>
                <w:lang w:eastAsia="lv-LV"/>
              </w:rPr>
              <w:lastRenderedPageBreak/>
              <w:t xml:space="preserve">kontekstā (Projekta 1.1.apakšpunkts). </w:t>
            </w:r>
            <w:r w:rsidRPr="00752CF5">
              <w:rPr>
                <w:rFonts w:ascii="Times New Roman" w:hAnsi="Times New Roman"/>
              </w:rPr>
              <w:t>Pakalpojum</w:t>
            </w:r>
            <w:r>
              <w:rPr>
                <w:rFonts w:ascii="Times New Roman" w:hAnsi="Times New Roman"/>
              </w:rPr>
              <w:t>a sniegšanas kanāls – klātienes;</w:t>
            </w:r>
          </w:p>
          <w:p w:rsidR="00CE5DAB" w:rsidRPr="00752CF5" w:rsidRDefault="00CE5DAB" w:rsidP="00CE5DAB">
            <w:pPr>
              <w:numPr>
                <w:ilvl w:val="0"/>
                <w:numId w:val="8"/>
              </w:numPr>
              <w:ind w:left="13" w:firstLine="284"/>
              <w:jc w:val="both"/>
            </w:pPr>
            <w:r w:rsidRPr="00752CF5">
              <w:rPr>
                <w:sz w:val="22"/>
                <w:szCs w:val="22"/>
              </w:rPr>
              <w:t>programma „Kas ir klaušinieks” 1.</w:t>
            </w:r>
            <w:r>
              <w:rPr>
                <w:sz w:val="22"/>
                <w:szCs w:val="22"/>
              </w:rPr>
              <w:t xml:space="preserve"> </w:t>
            </w:r>
            <w:r w:rsidRPr="00752CF5">
              <w:rPr>
                <w:sz w:val="22"/>
                <w:szCs w:val="22"/>
              </w:rPr>
              <w:t>–</w:t>
            </w:r>
            <w:r>
              <w:rPr>
                <w:sz w:val="22"/>
                <w:szCs w:val="22"/>
              </w:rPr>
              <w:t xml:space="preserve"> </w:t>
            </w:r>
            <w:r w:rsidRPr="00752CF5">
              <w:rPr>
                <w:sz w:val="22"/>
                <w:szCs w:val="22"/>
              </w:rPr>
              <w:t>4.klasei – izglī</w:t>
            </w:r>
            <w:r>
              <w:rPr>
                <w:sz w:val="22"/>
                <w:szCs w:val="22"/>
              </w:rPr>
              <w:t>tojoša programma skolēniem par „</w:t>
            </w:r>
            <w:r w:rsidRPr="00752CF5">
              <w:rPr>
                <w:sz w:val="22"/>
                <w:szCs w:val="22"/>
              </w:rPr>
              <w:t>klaušu laika” vēsturiskajiem apstākļiem, klaušinieku darbiem un zemnieku darba rīkiem, sadzīvi un sociālo stāvokli. Ar praktiskiem uzdevumiem, amata prasmju demonstrējumiem, spēlēm un sarunām tiek sekmēts skolēnos vērīgums un asprātība, radošums, uzņēmība un godīgums, veicinātas prasmes, kuras bija nepieciešamas gan klaušiniekiem un ir noderīgas arī mūsdienās (Projekta 1.2.apakšpunkts). Pakalpojuma sniegšanas kanāls – klātienes</w:t>
            </w:r>
            <w:r>
              <w:rPr>
                <w:sz w:val="22"/>
                <w:szCs w:val="22"/>
              </w:rPr>
              <w:t>;</w:t>
            </w:r>
          </w:p>
          <w:p w:rsidR="00CE5DAB" w:rsidRPr="00752CF5" w:rsidRDefault="00CE5DAB" w:rsidP="00CE5DAB">
            <w:pPr>
              <w:numPr>
                <w:ilvl w:val="0"/>
                <w:numId w:val="8"/>
              </w:numPr>
              <w:ind w:left="13" w:firstLine="284"/>
              <w:jc w:val="both"/>
            </w:pPr>
            <w:r w:rsidRPr="00752CF5">
              <w:rPr>
                <w:sz w:val="22"/>
                <w:szCs w:val="22"/>
              </w:rPr>
              <w:t xml:space="preserve">programma „19.gadsimts lielo pārmaiņu laiks – modernizācija” 5. – 9.klasei – </w:t>
            </w:r>
            <w:r w:rsidRPr="00752CF5">
              <w:rPr>
                <w:sz w:val="22"/>
                <w:szCs w:val="22"/>
                <w:shd w:val="clear" w:color="auto" w:fill="FFFFFF"/>
              </w:rPr>
              <w:t xml:space="preserve">izglītojoša programma par </w:t>
            </w:r>
            <w:r w:rsidRPr="00752CF5">
              <w:rPr>
                <w:sz w:val="22"/>
                <w:szCs w:val="22"/>
              </w:rPr>
              <w:t>tehnisko un sociālo modernizāciju un latviešu valodas attīstību 19.gadsimtā. Programmā, izmantojot spēles elementus un interaktīvas nodarbes, tiek sniegta informācija par saimnieciskām, politiskām un sociālām pārmaiņām, kas cieši saistītas ar tehnikas un dažādu enerģijas ieguves veidu attīstību, kā arī rosināta jauniešu interese par latviešu valodas nozīmi valsts un kultūras pastāvēšanā, nacionālas valsts izveides procesos (Projekta 1.2.apakšpunkts). Pakalpojuma sniegšanas kanāls – klātienes</w:t>
            </w:r>
            <w:r>
              <w:rPr>
                <w:sz w:val="22"/>
                <w:szCs w:val="22"/>
              </w:rPr>
              <w:t>;</w:t>
            </w:r>
          </w:p>
          <w:p w:rsidR="00CE5DAB" w:rsidRPr="00752CF5" w:rsidRDefault="00CE5DAB" w:rsidP="00CE5DAB">
            <w:pPr>
              <w:numPr>
                <w:ilvl w:val="0"/>
                <w:numId w:val="8"/>
              </w:numPr>
              <w:ind w:left="13" w:firstLine="284"/>
              <w:jc w:val="both"/>
            </w:pPr>
            <w:r w:rsidRPr="00752CF5">
              <w:rPr>
                <w:sz w:val="22"/>
                <w:szCs w:val="22"/>
              </w:rPr>
              <w:t>programma „Turaidas ziņas” 10.–12.klasei – i</w:t>
            </w:r>
            <w:r w:rsidRPr="00752CF5">
              <w:rPr>
                <w:bCs/>
                <w:sz w:val="22"/>
                <w:szCs w:val="22"/>
              </w:rPr>
              <w:t xml:space="preserve">zglītojoša programma </w:t>
            </w:r>
            <w:r w:rsidRPr="00752CF5">
              <w:rPr>
                <w:sz w:val="22"/>
                <w:szCs w:val="22"/>
              </w:rPr>
              <w:t xml:space="preserve">par </w:t>
            </w:r>
            <w:r w:rsidRPr="00752CF5">
              <w:rPr>
                <w:sz w:val="22"/>
                <w:szCs w:val="22"/>
              </w:rPr>
              <w:lastRenderedPageBreak/>
              <w:t>Latvijas valsts izveidi, sniedzot informāciju un rosinot tematiskas sarunas: kas ir valsts, tradīcijas, izglītība, kur sakņojas tautas identitātes spēks un kādu vēsturisko ceļu nogājušas iepriekšējās paaudzes līdz Latvijas valsts nodibināšanai. Programmā ir ietverta lomu spēle, kas sniedz padziļinātas zināšanas par demokrātiskas valsts pilsoņa tiesībām un pienākumu, izpratni par katra pilsoņa nepieciešamību piedalīties vēlēšanās un kā veidojas kopējie vēlēšanu rezultāti (Projekta 1.2.apakšpunkts). Pakalpojuma sniegšanas kanāls – klātienes.</w:t>
            </w:r>
          </w:p>
          <w:p w:rsidR="00CE5DAB" w:rsidRDefault="00CE5DAB" w:rsidP="00CE5DAB">
            <w:pPr>
              <w:jc w:val="both"/>
            </w:pPr>
          </w:p>
          <w:p w:rsidR="00CE5DAB" w:rsidRPr="00752CF5" w:rsidRDefault="00CE5DAB" w:rsidP="00CE5DAB">
            <w:pPr>
              <w:jc w:val="both"/>
            </w:pPr>
            <w:r w:rsidRPr="00752CF5">
              <w:rPr>
                <w:sz w:val="22"/>
                <w:szCs w:val="22"/>
              </w:rPr>
              <w:t>Saskaņā ar minētajiem muzeja pakalpojumu aprakstiem, Projekta 1.1. un 1.2.apakšpunktā noteiktos pakalpojumus nav paredzēts sniegt elektroniski, jo tos ir var sniegt tikai tiešā komunikācijā klātienē muzejā ar mērķauditoriju.</w:t>
            </w:r>
          </w:p>
          <w:p w:rsidR="00CE5DAB" w:rsidRDefault="00CE5DAB" w:rsidP="00CE5DAB">
            <w:pPr>
              <w:pStyle w:val="Bezatstarpm"/>
              <w:jc w:val="both"/>
              <w:rPr>
                <w:sz w:val="22"/>
                <w:szCs w:val="22"/>
              </w:rPr>
            </w:pPr>
          </w:p>
          <w:p w:rsidR="00EC1FC9" w:rsidRPr="00752CF5" w:rsidRDefault="00CE5DAB" w:rsidP="00CE5DAB">
            <w:pPr>
              <w:jc w:val="both"/>
              <w:rPr>
                <w:rFonts w:eastAsiaTheme="minorHAnsi"/>
                <w:lang w:eastAsia="en-US"/>
              </w:rPr>
            </w:pPr>
            <w:r w:rsidRPr="00752CF5">
              <w:rPr>
                <w:sz w:val="22"/>
                <w:szCs w:val="22"/>
              </w:rPr>
              <w:t>Atbilstoši MK noteikumu Nr.399 17.punktam apmeklētāji Projekta 1.1. un 1.2.apakšpunktā noteiktos muzeja pakalpojumus var pieprasīt, izmantojot kanālus: klātienes – ierodoties muzejā un klātienē, komunicējot ar atbildīgo speciālistu vai, iesniedzot iesniegumu par pakalpojuma pieprasīšanu, un neklātienes – izmantojot e-pastu, telefonu un pasta starpniecības pakalpojumus. Speciāla kanāla izveide nav nepieciešama.</w:t>
            </w:r>
            <w:r>
              <w:rPr>
                <w:sz w:val="22"/>
                <w:szCs w:val="22"/>
              </w:rPr>
              <w:t xml:space="preserve"> </w:t>
            </w:r>
            <w:r w:rsidRPr="00B61B51">
              <w:rPr>
                <w:sz w:val="22"/>
                <w:szCs w:val="22"/>
              </w:rPr>
              <w:t>[..]</w:t>
            </w:r>
            <w:r w:rsidRPr="00752CF5">
              <w:rPr>
                <w:sz w:val="22"/>
                <w:szCs w:val="22"/>
              </w:rPr>
              <w:t>”</w:t>
            </w:r>
          </w:p>
        </w:tc>
      </w:tr>
      <w:tr w:rsidR="001C14D4" w:rsidRPr="00E43034" w:rsidTr="001C14D4">
        <w:trPr>
          <w:trHeight w:val="371"/>
        </w:trPr>
        <w:tc>
          <w:tcPr>
            <w:tcW w:w="225" w:type="pct"/>
            <w:tcBorders>
              <w:top w:val="single" w:sz="6" w:space="0" w:color="000000"/>
              <w:left w:val="single" w:sz="6" w:space="0" w:color="000000"/>
              <w:bottom w:val="single" w:sz="6" w:space="0" w:color="000000"/>
              <w:right w:val="single" w:sz="6" w:space="0" w:color="000000"/>
            </w:tcBorders>
          </w:tcPr>
          <w:p w:rsidR="001C14D4" w:rsidRPr="001C14D4" w:rsidRDefault="00D03583" w:rsidP="004931DB">
            <w:pPr>
              <w:pStyle w:val="naisc"/>
              <w:spacing w:before="0" w:after="0"/>
            </w:pPr>
            <w:r>
              <w:rPr>
                <w:sz w:val="22"/>
                <w:szCs w:val="22"/>
              </w:rPr>
              <w:lastRenderedPageBreak/>
              <w:t>2</w:t>
            </w:r>
            <w:r w:rsidR="001C14D4" w:rsidRPr="00041D88">
              <w:rPr>
                <w:sz w:val="22"/>
                <w:szCs w:val="22"/>
              </w:rPr>
              <w:t>.</w:t>
            </w:r>
          </w:p>
        </w:tc>
        <w:tc>
          <w:tcPr>
            <w:tcW w:w="1040" w:type="pct"/>
            <w:tcBorders>
              <w:top w:val="single" w:sz="6" w:space="0" w:color="000000"/>
              <w:left w:val="single" w:sz="6" w:space="0" w:color="000000"/>
              <w:bottom w:val="single" w:sz="6" w:space="0" w:color="000000"/>
              <w:right w:val="single" w:sz="6" w:space="0" w:color="000000"/>
            </w:tcBorders>
          </w:tcPr>
          <w:p w:rsidR="009C77CA" w:rsidRDefault="009C77CA" w:rsidP="004931DB">
            <w:pPr>
              <w:pStyle w:val="Bezatstarpm"/>
              <w:jc w:val="both"/>
              <w:rPr>
                <w:color w:val="000000" w:themeColor="text1"/>
                <w:sz w:val="22"/>
                <w:szCs w:val="22"/>
              </w:rPr>
            </w:pPr>
            <w:r w:rsidRPr="001C14D4">
              <w:rPr>
                <w:rFonts w:eastAsiaTheme="minorHAnsi"/>
                <w:sz w:val="22"/>
                <w:szCs w:val="22"/>
                <w:lang w:eastAsia="en-US"/>
              </w:rPr>
              <w:t>Ministru kabineta noteikumu projekta</w:t>
            </w:r>
            <w:r w:rsidRPr="001C14D4">
              <w:rPr>
                <w:rFonts w:eastAsia="Calibri"/>
                <w:sz w:val="22"/>
                <w:szCs w:val="22"/>
              </w:rPr>
              <w:t xml:space="preserve"> </w:t>
            </w:r>
            <w:r w:rsidRPr="001C14D4">
              <w:rPr>
                <w:sz w:val="22"/>
                <w:szCs w:val="22"/>
              </w:rPr>
              <w:t xml:space="preserve">sākotnējās ietekmes novērtējuma ziņojuma </w:t>
            </w:r>
            <w:r w:rsidRPr="001C14D4">
              <w:rPr>
                <w:sz w:val="22"/>
                <w:szCs w:val="22"/>
              </w:rPr>
              <w:lastRenderedPageBreak/>
              <w:t>(anotācijas) I sadaļas 2.punkts.</w:t>
            </w:r>
          </w:p>
          <w:p w:rsidR="009C77CA" w:rsidRDefault="009C77CA" w:rsidP="004931DB">
            <w:pPr>
              <w:pStyle w:val="Bezatstarpm"/>
              <w:jc w:val="both"/>
              <w:rPr>
                <w:color w:val="000000" w:themeColor="text1"/>
                <w:sz w:val="22"/>
                <w:szCs w:val="22"/>
              </w:rPr>
            </w:pPr>
          </w:p>
          <w:p w:rsidR="001C14D4" w:rsidRPr="001C14D4" w:rsidRDefault="001C14D4" w:rsidP="004931DB">
            <w:pPr>
              <w:pStyle w:val="Bezatstarpm"/>
              <w:jc w:val="both"/>
              <w:rPr>
                <w:rFonts w:eastAsiaTheme="minorHAnsi"/>
                <w:sz w:val="22"/>
                <w:szCs w:val="22"/>
                <w:lang w:eastAsia="en-US"/>
              </w:rPr>
            </w:pPr>
          </w:p>
        </w:tc>
        <w:tc>
          <w:tcPr>
            <w:tcW w:w="1466" w:type="pct"/>
            <w:tcBorders>
              <w:top w:val="single" w:sz="6" w:space="0" w:color="000000"/>
              <w:left w:val="single" w:sz="6" w:space="0" w:color="000000"/>
              <w:bottom w:val="single" w:sz="6" w:space="0" w:color="000000"/>
              <w:right w:val="single" w:sz="6" w:space="0" w:color="000000"/>
            </w:tcBorders>
          </w:tcPr>
          <w:p w:rsidR="001C14D4" w:rsidRPr="001C14D4" w:rsidRDefault="001C14D4" w:rsidP="004931DB">
            <w:pPr>
              <w:pStyle w:val="Bezatstarpm"/>
              <w:jc w:val="both"/>
              <w:rPr>
                <w:b/>
                <w:sz w:val="22"/>
                <w:szCs w:val="22"/>
              </w:rPr>
            </w:pPr>
            <w:r w:rsidRPr="00041D88">
              <w:rPr>
                <w:b/>
                <w:sz w:val="22"/>
                <w:szCs w:val="22"/>
              </w:rPr>
              <w:lastRenderedPageBreak/>
              <w:t>Vides aizsardzības un reģionālās attīstības ministrija</w:t>
            </w:r>
            <w:r w:rsidRPr="001C14D4">
              <w:rPr>
                <w:b/>
                <w:sz w:val="22"/>
                <w:szCs w:val="22"/>
              </w:rPr>
              <w:t>:</w:t>
            </w:r>
          </w:p>
          <w:p w:rsidR="001C14D4" w:rsidRPr="001C14D4" w:rsidRDefault="001C14D4" w:rsidP="004931DB">
            <w:pPr>
              <w:pStyle w:val="Bezatstarpm"/>
              <w:jc w:val="both"/>
              <w:rPr>
                <w:b/>
                <w:sz w:val="22"/>
                <w:szCs w:val="22"/>
              </w:rPr>
            </w:pPr>
            <w:r w:rsidRPr="00307419">
              <w:rPr>
                <w:sz w:val="22"/>
                <w:szCs w:val="22"/>
              </w:rPr>
              <w:t xml:space="preserve">Saskaņā ar Ministru kabineta 2017. gada </w:t>
            </w:r>
            <w:r w:rsidRPr="00307419">
              <w:rPr>
                <w:sz w:val="22"/>
                <w:szCs w:val="22"/>
              </w:rPr>
              <w:lastRenderedPageBreak/>
              <w:t xml:space="preserve">4. jūlija noteikumu Nr. 400 “Valsts pārvaldes pakalpojumu portāla noteikumi” (turpmāk – MK noteikumi Nr. 400) 3 punktu, valsts pārvaldes pakalpojumu portāls ir vienots valsts pārvaldes pakalpojumu, informācijas un saziņas elektroniskais kontaktpunkts. Pamatojoties uz MK noteikumu Nr. 400 3.1. apakšpunktā noteikto, lūdzu nodrošināt pēc noteikumu spēkā stāšanās pakalpojuma aprakstīšanu un ievietošanu portālā </w:t>
            </w:r>
            <w:proofErr w:type="spellStart"/>
            <w:r w:rsidRPr="00307419">
              <w:rPr>
                <w:sz w:val="22"/>
                <w:szCs w:val="22"/>
              </w:rPr>
              <w:t>Latvija.lv</w:t>
            </w:r>
            <w:proofErr w:type="spellEnd"/>
            <w:r w:rsidRPr="00307419">
              <w:rPr>
                <w:sz w:val="22"/>
                <w:szCs w:val="22"/>
              </w:rPr>
              <w:t>, iekļaujot MK noteikumu Nr. 399 9. punktā minēto informāciju par valsts pārvaldes pakalpojumiem.</w:t>
            </w:r>
          </w:p>
        </w:tc>
        <w:tc>
          <w:tcPr>
            <w:tcW w:w="845" w:type="pct"/>
            <w:tcBorders>
              <w:top w:val="single" w:sz="6" w:space="0" w:color="000000"/>
              <w:left w:val="single" w:sz="6" w:space="0" w:color="000000"/>
              <w:bottom w:val="single" w:sz="6" w:space="0" w:color="000000"/>
              <w:right w:val="single" w:sz="6" w:space="0" w:color="000000"/>
            </w:tcBorders>
          </w:tcPr>
          <w:p w:rsidR="001C14D4" w:rsidRPr="00041D88" w:rsidRDefault="001C14D4" w:rsidP="004931DB">
            <w:pPr>
              <w:pStyle w:val="Bezatstarpm"/>
              <w:jc w:val="center"/>
              <w:rPr>
                <w:b/>
                <w:sz w:val="22"/>
                <w:szCs w:val="22"/>
              </w:rPr>
            </w:pPr>
            <w:r w:rsidRPr="00041D88">
              <w:rPr>
                <w:b/>
                <w:sz w:val="22"/>
                <w:szCs w:val="22"/>
              </w:rPr>
              <w:lastRenderedPageBreak/>
              <w:t>Ņemts vērā</w:t>
            </w:r>
          </w:p>
        </w:tc>
        <w:tc>
          <w:tcPr>
            <w:tcW w:w="1423" w:type="pct"/>
            <w:tcBorders>
              <w:top w:val="single" w:sz="4" w:space="0" w:color="auto"/>
              <w:left w:val="single" w:sz="4" w:space="0" w:color="auto"/>
              <w:bottom w:val="single" w:sz="4" w:space="0" w:color="auto"/>
              <w:right w:val="single" w:sz="4" w:space="0" w:color="auto"/>
            </w:tcBorders>
          </w:tcPr>
          <w:p w:rsidR="00DE602A" w:rsidRPr="00752CF5" w:rsidRDefault="00DE602A" w:rsidP="00DE602A">
            <w:pPr>
              <w:pStyle w:val="Bezatstarpm"/>
              <w:jc w:val="both"/>
              <w:rPr>
                <w:sz w:val="22"/>
                <w:szCs w:val="22"/>
              </w:rPr>
            </w:pPr>
            <w:r w:rsidRPr="00752CF5">
              <w:rPr>
                <w:sz w:val="22"/>
                <w:szCs w:val="22"/>
              </w:rPr>
              <w:t xml:space="preserve">Papildināts </w:t>
            </w:r>
            <w:r w:rsidRPr="00752CF5">
              <w:rPr>
                <w:rFonts w:eastAsiaTheme="minorHAnsi"/>
                <w:sz w:val="22"/>
                <w:szCs w:val="22"/>
                <w:lang w:eastAsia="en-US"/>
              </w:rPr>
              <w:t>Ministru kabineta</w:t>
            </w:r>
            <w:r w:rsidRPr="00752CF5">
              <w:rPr>
                <w:sz w:val="22"/>
                <w:szCs w:val="22"/>
              </w:rPr>
              <w:t xml:space="preserve"> noteikumu projekta sākotnējās ietekmes novērtējuma ziņojuma (anotācijas) I sadaļas 2.punkts</w:t>
            </w:r>
            <w:r>
              <w:rPr>
                <w:sz w:val="22"/>
                <w:szCs w:val="22"/>
              </w:rPr>
              <w:t xml:space="preserve"> </w:t>
            </w:r>
            <w:r w:rsidR="00CE5DAB">
              <w:rPr>
                <w:sz w:val="22"/>
                <w:szCs w:val="22"/>
              </w:rPr>
              <w:t xml:space="preserve">ar </w:t>
            </w:r>
            <w:r w:rsidR="00CE5DAB">
              <w:rPr>
                <w:sz w:val="22"/>
                <w:szCs w:val="22"/>
              </w:rPr>
              <w:lastRenderedPageBreak/>
              <w:t xml:space="preserve">šādu informāciju </w:t>
            </w:r>
            <w:r w:rsidR="00CE5DAB" w:rsidRPr="00B61B51">
              <w:rPr>
                <w:sz w:val="22"/>
                <w:szCs w:val="22"/>
              </w:rPr>
              <w:t xml:space="preserve">(sk. </w:t>
            </w:r>
            <w:r w:rsidR="00CE5DAB">
              <w:rPr>
                <w:sz w:val="22"/>
                <w:szCs w:val="22"/>
              </w:rPr>
              <w:t>3.</w:t>
            </w:r>
            <w:r w:rsidR="00CE5DAB" w:rsidRPr="00B61B51">
              <w:rPr>
                <w:sz w:val="22"/>
                <w:szCs w:val="22"/>
              </w:rPr>
              <w:t xml:space="preserve"> </w:t>
            </w:r>
            <w:r w:rsidR="00CE5DAB">
              <w:rPr>
                <w:sz w:val="22"/>
                <w:szCs w:val="22"/>
              </w:rPr>
              <w:t>–</w:t>
            </w:r>
            <w:r w:rsidR="00CE5DAB" w:rsidRPr="00B61B51">
              <w:rPr>
                <w:sz w:val="22"/>
                <w:szCs w:val="22"/>
              </w:rPr>
              <w:t xml:space="preserve"> 5.lp.)</w:t>
            </w:r>
            <w:r w:rsidRPr="00752CF5">
              <w:rPr>
                <w:sz w:val="22"/>
                <w:szCs w:val="22"/>
              </w:rPr>
              <w:t>:</w:t>
            </w:r>
          </w:p>
          <w:p w:rsidR="00DE602A" w:rsidRPr="00752CF5" w:rsidRDefault="00DE602A" w:rsidP="00DE602A">
            <w:pPr>
              <w:pStyle w:val="Bezatstarpm"/>
              <w:rPr>
                <w:color w:val="000000" w:themeColor="text1"/>
                <w:sz w:val="22"/>
                <w:szCs w:val="22"/>
              </w:rPr>
            </w:pPr>
          </w:p>
          <w:p w:rsidR="00DE602A" w:rsidRPr="00CE5DAB" w:rsidRDefault="00DE602A" w:rsidP="00DE602A">
            <w:pPr>
              <w:jc w:val="both"/>
              <w:rPr>
                <w:color w:val="000000" w:themeColor="text1"/>
              </w:rPr>
            </w:pPr>
            <w:r w:rsidRPr="00752CF5">
              <w:rPr>
                <w:color w:val="000000" w:themeColor="text1"/>
                <w:sz w:val="22"/>
                <w:szCs w:val="22"/>
              </w:rPr>
              <w:t>„</w:t>
            </w:r>
            <w:r w:rsidRPr="00B61B51">
              <w:rPr>
                <w:sz w:val="22"/>
                <w:szCs w:val="22"/>
              </w:rPr>
              <w:t>[..]</w:t>
            </w:r>
            <w:r w:rsidR="00CE5DAB">
              <w:rPr>
                <w:color w:val="000000" w:themeColor="text1"/>
              </w:rPr>
              <w:t> </w:t>
            </w:r>
            <w:r w:rsidRPr="00752CF5">
              <w:rPr>
                <w:sz w:val="22"/>
                <w:szCs w:val="22"/>
              </w:rPr>
              <w:t>Atbilstoši Ministru kabineta 2017.gada 4.jūlija noteikumu Nr.399 „Valsts pārvaldes pakalpojumu uzskaites, kvalitātes kontroles un sniegšanas kārtība” (turpmāk – MK noteiku</w:t>
            </w:r>
            <w:r w:rsidR="00CE5DAB">
              <w:rPr>
                <w:sz w:val="22"/>
                <w:szCs w:val="22"/>
              </w:rPr>
              <w:t>mi Nr.399) 9.punktā noteiktajam</w:t>
            </w:r>
            <w:r w:rsidRPr="00752CF5">
              <w:rPr>
                <w:sz w:val="22"/>
                <w:szCs w:val="22"/>
              </w:rPr>
              <w:t xml:space="preserve"> valsts pārvaldes pakalpojumu katalogā </w:t>
            </w:r>
            <w:hyperlink r:id="rId9" w:history="1">
              <w:r w:rsidRPr="00752CF5">
                <w:rPr>
                  <w:rStyle w:val="Hipersaite"/>
                  <w:sz w:val="22"/>
                  <w:szCs w:val="22"/>
                </w:rPr>
                <w:t>www.latvija.lv</w:t>
              </w:r>
            </w:hyperlink>
            <w:r w:rsidRPr="00752CF5">
              <w:rPr>
                <w:sz w:val="22"/>
                <w:szCs w:val="22"/>
              </w:rPr>
              <w:t xml:space="preserve"> par Projekta 1.1. un 1.2.apakšpunktā noteiktajiem pakalpojumiem tiks iekļauti šādi pakalpojumu apraksti:</w:t>
            </w:r>
          </w:p>
          <w:p w:rsidR="00DE602A" w:rsidRPr="00752CF5" w:rsidRDefault="00DE602A" w:rsidP="00FF125D">
            <w:pPr>
              <w:pStyle w:val="Sarakstarindkopa"/>
              <w:widowControl/>
              <w:numPr>
                <w:ilvl w:val="0"/>
                <w:numId w:val="8"/>
              </w:numPr>
              <w:spacing w:after="0" w:line="240" w:lineRule="auto"/>
              <w:ind w:left="32" w:firstLine="236"/>
              <w:jc w:val="both"/>
              <w:rPr>
                <w:rFonts w:ascii="Times New Roman" w:eastAsia="Times New Roman" w:hAnsi="Times New Roman"/>
                <w:lang w:eastAsia="lv-LV"/>
              </w:rPr>
            </w:pPr>
            <w:r w:rsidRPr="00752CF5">
              <w:rPr>
                <w:rFonts w:ascii="Times New Roman" w:eastAsia="Times New Roman" w:hAnsi="Times New Roman"/>
                <w:lang w:eastAsia="lv-LV"/>
              </w:rPr>
              <w:t xml:space="preserve">muzeja ekspozīcijas „Ceļā uz Latvijas valsti: Klaušinieks. Saimnieks. Pilsonis” apmeklējums </w:t>
            </w:r>
            <w:r w:rsidRPr="00752CF5">
              <w:rPr>
                <w:rFonts w:ascii="Times New Roman" w:eastAsia="Times New Roman" w:hAnsi="Times New Roman"/>
                <w:bCs/>
                <w:lang w:eastAsia="lv-LV"/>
              </w:rPr>
              <w:t xml:space="preserve">(no 1.maija līdz 31.oktobrim) – pastāvīga ekspozīcija, kas </w:t>
            </w:r>
            <w:r w:rsidRPr="00752CF5">
              <w:rPr>
                <w:rFonts w:ascii="Times New Roman" w:eastAsia="Times New Roman" w:hAnsi="Times New Roman"/>
                <w:lang w:eastAsia="lv-LV"/>
              </w:rPr>
              <w:t xml:space="preserve">iekārtota vēsturiskā vidē – atjaunotajā Turaidas muižas Klaušinieku mājā un vēsta par laiku no dzimtbūšanas atcelšanas Vidzemē 1819.gadā līdz Latvijas Republikas Agrārreformas likuma pieņemšanai 1920.gadā, akcentējot individuālās un tautas brīvības attīstību Vidzemē Latvijas un Eiropas vēstures kontekstā (Projekta 1.1.apakšpunkts). </w:t>
            </w:r>
            <w:r w:rsidRPr="00752CF5">
              <w:rPr>
                <w:rFonts w:ascii="Times New Roman" w:hAnsi="Times New Roman"/>
              </w:rPr>
              <w:t>Pakalpojum</w:t>
            </w:r>
            <w:r w:rsidR="00CE5DAB">
              <w:rPr>
                <w:rFonts w:ascii="Times New Roman" w:hAnsi="Times New Roman"/>
              </w:rPr>
              <w:t>a sniegšanas kanāls – klātienes;</w:t>
            </w:r>
          </w:p>
          <w:p w:rsidR="00DE602A" w:rsidRPr="00752CF5" w:rsidRDefault="00DE602A" w:rsidP="00DE602A">
            <w:pPr>
              <w:numPr>
                <w:ilvl w:val="0"/>
                <w:numId w:val="8"/>
              </w:numPr>
              <w:ind w:left="13" w:firstLine="284"/>
              <w:jc w:val="both"/>
            </w:pPr>
            <w:r w:rsidRPr="00752CF5">
              <w:rPr>
                <w:sz w:val="22"/>
                <w:szCs w:val="22"/>
              </w:rPr>
              <w:t>programma „Kas ir klaušinieks” 1.</w:t>
            </w:r>
            <w:r w:rsidR="00CE5DAB">
              <w:rPr>
                <w:sz w:val="22"/>
                <w:szCs w:val="22"/>
              </w:rPr>
              <w:t xml:space="preserve"> </w:t>
            </w:r>
            <w:r w:rsidRPr="00752CF5">
              <w:rPr>
                <w:sz w:val="22"/>
                <w:szCs w:val="22"/>
              </w:rPr>
              <w:t>–</w:t>
            </w:r>
            <w:r w:rsidR="00CE5DAB">
              <w:rPr>
                <w:sz w:val="22"/>
                <w:szCs w:val="22"/>
              </w:rPr>
              <w:t xml:space="preserve"> </w:t>
            </w:r>
            <w:r w:rsidRPr="00752CF5">
              <w:rPr>
                <w:sz w:val="22"/>
                <w:szCs w:val="22"/>
              </w:rPr>
              <w:t>4.klasei – izglī</w:t>
            </w:r>
            <w:r w:rsidR="00CE5DAB">
              <w:rPr>
                <w:sz w:val="22"/>
                <w:szCs w:val="22"/>
              </w:rPr>
              <w:t>tojoša programma skolēniem par „</w:t>
            </w:r>
            <w:r w:rsidRPr="00752CF5">
              <w:rPr>
                <w:sz w:val="22"/>
                <w:szCs w:val="22"/>
              </w:rPr>
              <w:t xml:space="preserve">klaušu laika” vēsturiskajiem apstākļiem, klaušinieku darbiem un zemnieku darba rīkiem, sadzīvi un sociālo stāvokli. Ar praktiskiem uzdevumiem, amata prasmju demonstrējumiem, spēlēm un sarunām tiek sekmēts skolēnos vērīgums un asprātība, </w:t>
            </w:r>
            <w:r w:rsidRPr="00752CF5">
              <w:rPr>
                <w:sz w:val="22"/>
                <w:szCs w:val="22"/>
              </w:rPr>
              <w:lastRenderedPageBreak/>
              <w:t>radošums, uzņēmība un godīgums, veicinātas prasmes, kuras bija nepieciešamas gan klaušiniekiem un ir noderīgas arī mūsdienās (Projekta 1.2.apakšpunkts). Pakalpojuma sniegšanas kanāls – klātienes</w:t>
            </w:r>
            <w:r w:rsidR="00CE5DAB">
              <w:rPr>
                <w:sz w:val="22"/>
                <w:szCs w:val="22"/>
              </w:rPr>
              <w:t>;</w:t>
            </w:r>
          </w:p>
          <w:p w:rsidR="00DE602A" w:rsidRPr="00752CF5" w:rsidRDefault="00DE602A" w:rsidP="00DE602A">
            <w:pPr>
              <w:numPr>
                <w:ilvl w:val="0"/>
                <w:numId w:val="8"/>
              </w:numPr>
              <w:ind w:left="13" w:firstLine="284"/>
              <w:jc w:val="both"/>
            </w:pPr>
            <w:r w:rsidRPr="00752CF5">
              <w:rPr>
                <w:sz w:val="22"/>
                <w:szCs w:val="22"/>
              </w:rPr>
              <w:t xml:space="preserve">programma „19.gadsimts lielo pārmaiņu laiks – modernizācija” 5. – 9.klasei – </w:t>
            </w:r>
            <w:r w:rsidRPr="00752CF5">
              <w:rPr>
                <w:sz w:val="22"/>
                <w:szCs w:val="22"/>
                <w:shd w:val="clear" w:color="auto" w:fill="FFFFFF"/>
              </w:rPr>
              <w:t xml:space="preserve">izglītojoša programma par </w:t>
            </w:r>
            <w:r w:rsidRPr="00752CF5">
              <w:rPr>
                <w:sz w:val="22"/>
                <w:szCs w:val="22"/>
              </w:rPr>
              <w:t>tehnisko un sociālo modernizāciju un latviešu valodas attīstību 19.gadsimtā. Programmā, izmantojot spēles elementus un interaktīvas nodarbes, tiek sniegta informācija par saimnieciskām, politiskām un sociālām pārmaiņām, kas cieši saistītas ar tehnikas un dažādu enerģijas ieguves veidu attīstību, kā arī rosināta jauniešu interese par latviešu valodas nozīmi valsts un kultūras pastāvēšanā, nacionālas valsts izveides procesos (Projekta 1.2.apakšpunkts). Pakalpojuma sniegšanas kanāls – klātienes</w:t>
            </w:r>
            <w:r w:rsidR="00CE5DAB">
              <w:rPr>
                <w:sz w:val="22"/>
                <w:szCs w:val="22"/>
              </w:rPr>
              <w:t>;</w:t>
            </w:r>
          </w:p>
          <w:p w:rsidR="00DE602A" w:rsidRPr="00752CF5" w:rsidRDefault="00DE602A" w:rsidP="00DE602A">
            <w:pPr>
              <w:numPr>
                <w:ilvl w:val="0"/>
                <w:numId w:val="8"/>
              </w:numPr>
              <w:ind w:left="13" w:firstLine="284"/>
              <w:jc w:val="both"/>
            </w:pPr>
            <w:r w:rsidRPr="00752CF5">
              <w:rPr>
                <w:sz w:val="22"/>
                <w:szCs w:val="22"/>
              </w:rPr>
              <w:t>programma „Turaidas ziņas” 10.–12.klasei – i</w:t>
            </w:r>
            <w:r w:rsidRPr="00752CF5">
              <w:rPr>
                <w:bCs/>
                <w:sz w:val="22"/>
                <w:szCs w:val="22"/>
              </w:rPr>
              <w:t xml:space="preserve">zglītojoša programma </w:t>
            </w:r>
            <w:r w:rsidRPr="00752CF5">
              <w:rPr>
                <w:sz w:val="22"/>
                <w:szCs w:val="22"/>
              </w:rPr>
              <w:t xml:space="preserve">par Latvijas valsts izveidi, sniedzot informāciju un rosinot tematiskas sarunas: kas ir valsts, tradīcijas, izglītība, kur sakņojas tautas identitātes spēks un kādu vēsturisko ceļu nogājušas iepriekšējās paaudzes līdz Latvijas valsts nodibināšanai. Programmā ir ietverta lomu spēle, kas sniedz padziļinātas zināšanas par demokrātiskas valsts pilsoņa tiesībām un pienākumu, izpratni par katra pilsoņa nepieciešamību piedalīties vēlēšanās un kā veidojas kopējie vēlēšanu rezultāti </w:t>
            </w:r>
            <w:r w:rsidRPr="00752CF5">
              <w:rPr>
                <w:sz w:val="22"/>
                <w:szCs w:val="22"/>
              </w:rPr>
              <w:lastRenderedPageBreak/>
              <w:t>(Projekta 1.2.apakšpunkts). Pakalpojuma sniegšanas kanāls – klātienes.</w:t>
            </w:r>
          </w:p>
          <w:p w:rsidR="00CE5DAB" w:rsidRDefault="00CE5DAB" w:rsidP="00DE602A">
            <w:pPr>
              <w:jc w:val="both"/>
            </w:pPr>
          </w:p>
          <w:p w:rsidR="00DE602A" w:rsidRPr="00752CF5" w:rsidRDefault="00DE602A" w:rsidP="00DE602A">
            <w:pPr>
              <w:jc w:val="both"/>
            </w:pPr>
            <w:r w:rsidRPr="00752CF5">
              <w:rPr>
                <w:sz w:val="22"/>
                <w:szCs w:val="22"/>
              </w:rPr>
              <w:t>Saskaņā ar minētajiem muzeja pakalpojumu aprakstiem, Projekta 1.1. un 1.2.apakšpunktā noteiktos pakalpojumus nav paredzēts sniegt elektroniski, jo tos ir var sniegt tikai tiešā komunikācijā klātienē muzejā ar mērķauditoriju.</w:t>
            </w:r>
          </w:p>
          <w:p w:rsidR="00CE5DAB" w:rsidRDefault="00CE5DAB" w:rsidP="00DE602A">
            <w:pPr>
              <w:pStyle w:val="Bezatstarpm"/>
              <w:jc w:val="both"/>
              <w:rPr>
                <w:sz w:val="22"/>
                <w:szCs w:val="22"/>
              </w:rPr>
            </w:pPr>
          </w:p>
          <w:p w:rsidR="00FF125D" w:rsidRDefault="00DE602A" w:rsidP="00DE602A">
            <w:pPr>
              <w:pStyle w:val="Bezatstarpm"/>
              <w:jc w:val="both"/>
              <w:rPr>
                <w:sz w:val="22"/>
                <w:szCs w:val="22"/>
              </w:rPr>
            </w:pPr>
            <w:r w:rsidRPr="00752CF5">
              <w:rPr>
                <w:sz w:val="22"/>
                <w:szCs w:val="22"/>
              </w:rPr>
              <w:t>Atbilstoši MK noteikumu Nr.399 17.punktam apmeklētāji Projekta 1.1. un 1.2.apakšpunktā noteiktos muzeja pakalpojumus var pieprasīt, izmantojot kanālus: klātienes – ierodoties muzejā un klātienē, komunicējot ar atbildīgo speciālistu vai, iesniedzot iesniegumu par pakalpojuma pieprasīšanu, un neklātienes – izmantojot e-pastu, telefonu un pasta starpniecības pakalpojumus. Speciāla kanāla izveide nav nepieciešama.</w:t>
            </w:r>
            <w:r>
              <w:rPr>
                <w:sz w:val="22"/>
                <w:szCs w:val="22"/>
              </w:rPr>
              <w:t xml:space="preserve"> </w:t>
            </w:r>
            <w:r w:rsidRPr="00B61B51">
              <w:rPr>
                <w:sz w:val="22"/>
                <w:szCs w:val="22"/>
              </w:rPr>
              <w:t>[..]</w:t>
            </w:r>
            <w:r w:rsidRPr="00752CF5">
              <w:rPr>
                <w:sz w:val="22"/>
                <w:szCs w:val="22"/>
              </w:rPr>
              <w:t>”</w:t>
            </w:r>
          </w:p>
          <w:p w:rsidR="00CE5DAB" w:rsidRDefault="00CE5DAB" w:rsidP="00DE602A">
            <w:pPr>
              <w:pStyle w:val="Bezatstarpm"/>
              <w:jc w:val="both"/>
              <w:rPr>
                <w:sz w:val="22"/>
                <w:szCs w:val="22"/>
              </w:rPr>
            </w:pPr>
          </w:p>
          <w:p w:rsidR="00DE602A" w:rsidRPr="001C14D4" w:rsidRDefault="00FF125D" w:rsidP="00FF125D">
            <w:pPr>
              <w:pStyle w:val="Bezatstarpm"/>
              <w:jc w:val="both"/>
              <w:rPr>
                <w:sz w:val="22"/>
                <w:szCs w:val="22"/>
              </w:rPr>
            </w:pPr>
            <w:r>
              <w:rPr>
                <w:sz w:val="22"/>
                <w:szCs w:val="22"/>
              </w:rPr>
              <w:t>P</w:t>
            </w:r>
            <w:r w:rsidRPr="00307419">
              <w:rPr>
                <w:sz w:val="22"/>
                <w:szCs w:val="22"/>
              </w:rPr>
              <w:t xml:space="preserve">ēc </w:t>
            </w:r>
            <w:r>
              <w:rPr>
                <w:sz w:val="22"/>
                <w:szCs w:val="22"/>
              </w:rPr>
              <w:t xml:space="preserve">Ministru kabineta </w:t>
            </w:r>
            <w:r w:rsidRPr="00307419">
              <w:rPr>
                <w:sz w:val="22"/>
                <w:szCs w:val="22"/>
              </w:rPr>
              <w:t xml:space="preserve">noteikumu </w:t>
            </w:r>
            <w:r>
              <w:rPr>
                <w:sz w:val="22"/>
                <w:szCs w:val="22"/>
              </w:rPr>
              <w:t xml:space="preserve">projekta </w:t>
            </w:r>
            <w:r w:rsidRPr="00307419">
              <w:rPr>
                <w:sz w:val="22"/>
                <w:szCs w:val="22"/>
              </w:rPr>
              <w:t>spēkā stāšanās</w:t>
            </w:r>
            <w:r>
              <w:rPr>
                <w:sz w:val="22"/>
                <w:szCs w:val="22"/>
              </w:rPr>
              <w:t xml:space="preserve"> muzejs nodrošinās</w:t>
            </w:r>
            <w:r w:rsidRPr="00307419">
              <w:rPr>
                <w:sz w:val="22"/>
                <w:szCs w:val="22"/>
              </w:rPr>
              <w:t xml:space="preserve"> pakalpojuma aprakstīšanu </w:t>
            </w:r>
            <w:r>
              <w:rPr>
                <w:sz w:val="22"/>
                <w:szCs w:val="22"/>
              </w:rPr>
              <w:t xml:space="preserve">un ievietošanu portālā </w:t>
            </w:r>
            <w:hyperlink r:id="rId10" w:history="1">
              <w:r w:rsidRPr="00752CF5">
                <w:rPr>
                  <w:rStyle w:val="Hipersaite"/>
                  <w:sz w:val="22"/>
                  <w:szCs w:val="22"/>
                </w:rPr>
                <w:t>www.latvija.lv</w:t>
              </w:r>
            </w:hyperlink>
            <w:r>
              <w:rPr>
                <w:sz w:val="22"/>
                <w:szCs w:val="22"/>
              </w:rPr>
              <w:t>.</w:t>
            </w:r>
          </w:p>
        </w:tc>
      </w:tr>
    </w:tbl>
    <w:p w:rsidR="00540AA1" w:rsidRPr="00E43034" w:rsidRDefault="00540AA1" w:rsidP="00540AA1">
      <w:pPr>
        <w:rPr>
          <w:sz w:val="22"/>
          <w:szCs w:val="22"/>
        </w:rPr>
      </w:pPr>
    </w:p>
    <w:p w:rsidR="00540AA1" w:rsidRPr="00E43034" w:rsidRDefault="00540AA1" w:rsidP="00540AA1">
      <w:pPr>
        <w:rPr>
          <w:sz w:val="22"/>
          <w:szCs w:val="22"/>
        </w:rPr>
      </w:pPr>
    </w:p>
    <w:p w:rsidR="0026356F" w:rsidRDefault="0026356F" w:rsidP="0026356F">
      <w:pPr>
        <w:rPr>
          <w:sz w:val="20"/>
        </w:rPr>
      </w:pPr>
      <w:bookmarkStart w:id="7" w:name="OLE_LINK10"/>
      <w:bookmarkStart w:id="8" w:name="OLE_LINK11"/>
      <w:r>
        <w:rPr>
          <w:bCs/>
          <w:sz w:val="20"/>
        </w:rPr>
        <w:t>Anna Jurkāne</w:t>
      </w:r>
    </w:p>
    <w:bookmarkEnd w:id="7"/>
    <w:bookmarkEnd w:id="8"/>
    <w:p w:rsidR="00776AA2" w:rsidRDefault="0026356F" w:rsidP="0026356F">
      <w:pPr>
        <w:rPr>
          <w:sz w:val="20"/>
          <w:szCs w:val="20"/>
        </w:rPr>
      </w:pPr>
      <w:r w:rsidRPr="0026356F">
        <w:rPr>
          <w:sz w:val="20"/>
          <w:szCs w:val="20"/>
        </w:rPr>
        <w:t xml:space="preserve">Īpaši aizsargājamā kultūras pieminekļa </w:t>
      </w:r>
      <w:r w:rsidR="00776AA2">
        <w:rPr>
          <w:sz w:val="20"/>
          <w:szCs w:val="20"/>
        </w:rPr>
        <w:t>–</w:t>
      </w:r>
      <w:r w:rsidRPr="0026356F">
        <w:rPr>
          <w:sz w:val="20"/>
          <w:szCs w:val="20"/>
        </w:rPr>
        <w:t xml:space="preserve"> </w:t>
      </w:r>
    </w:p>
    <w:p w:rsidR="0026356F" w:rsidRPr="00776AA2" w:rsidRDefault="0026356F" w:rsidP="0026356F">
      <w:pPr>
        <w:rPr>
          <w:sz w:val="20"/>
          <w:szCs w:val="20"/>
        </w:rPr>
      </w:pPr>
      <w:r w:rsidRPr="0026356F">
        <w:rPr>
          <w:sz w:val="20"/>
          <w:szCs w:val="20"/>
        </w:rPr>
        <w:t xml:space="preserve">Turaidas </w:t>
      </w:r>
      <w:proofErr w:type="spellStart"/>
      <w:r w:rsidRPr="0026356F">
        <w:rPr>
          <w:sz w:val="20"/>
          <w:szCs w:val="20"/>
        </w:rPr>
        <w:t>muzejrezervāta</w:t>
      </w:r>
      <w:bookmarkStart w:id="9" w:name="OLE_LINK8"/>
      <w:bookmarkStart w:id="10" w:name="OLE_LINK9"/>
      <w:proofErr w:type="spellEnd"/>
      <w:r w:rsidR="00776AA2">
        <w:rPr>
          <w:sz w:val="20"/>
          <w:szCs w:val="20"/>
        </w:rPr>
        <w:t xml:space="preserve"> </w:t>
      </w:r>
      <w:r>
        <w:rPr>
          <w:sz w:val="20"/>
        </w:rPr>
        <w:t>direktore</w:t>
      </w:r>
      <w:bookmarkStart w:id="11" w:name="_GoBack"/>
      <w:bookmarkEnd w:id="11"/>
    </w:p>
    <w:p w:rsidR="0026356F" w:rsidRPr="00A1307C" w:rsidRDefault="0026356F" w:rsidP="0026356F">
      <w:pPr>
        <w:rPr>
          <w:sz w:val="20"/>
        </w:rPr>
      </w:pPr>
      <w:r>
        <w:rPr>
          <w:sz w:val="20"/>
        </w:rPr>
        <w:t xml:space="preserve">Tālr. </w:t>
      </w:r>
      <w:r w:rsidRPr="00CD45C5">
        <w:rPr>
          <w:sz w:val="20"/>
          <w:szCs w:val="20"/>
        </w:rPr>
        <w:t>67</w:t>
      </w:r>
      <w:r>
        <w:rPr>
          <w:sz w:val="20"/>
          <w:szCs w:val="20"/>
        </w:rPr>
        <w:t>971402</w:t>
      </w:r>
    </w:p>
    <w:p w:rsidR="0026356F" w:rsidRPr="00E43034" w:rsidRDefault="004A518D">
      <w:pPr>
        <w:rPr>
          <w:sz w:val="22"/>
          <w:szCs w:val="22"/>
        </w:rPr>
      </w:pPr>
      <w:hyperlink r:id="rId11" w:history="1">
        <w:r w:rsidR="0026356F" w:rsidRPr="003C5F71">
          <w:rPr>
            <w:rStyle w:val="Hipersaite"/>
            <w:sz w:val="20"/>
            <w:szCs w:val="20"/>
          </w:rPr>
          <w:t>turaida.muzejs@apollo.lv</w:t>
        </w:r>
      </w:hyperlink>
      <w:r w:rsidR="0026356F" w:rsidRPr="00CD45C5">
        <w:rPr>
          <w:sz w:val="20"/>
          <w:szCs w:val="20"/>
        </w:rPr>
        <w:t xml:space="preserve"> </w:t>
      </w:r>
      <w:bookmarkEnd w:id="9"/>
      <w:bookmarkEnd w:id="10"/>
    </w:p>
    <w:sectPr w:rsidR="0026356F" w:rsidRPr="00E43034" w:rsidSect="004931DB">
      <w:headerReference w:type="default" r:id="rId12"/>
      <w:footerReference w:type="default" r:id="rId13"/>
      <w:footerReference w:type="first" r:id="rId14"/>
      <w:pgSz w:w="16840" w:h="11907" w:orient="landscape" w:code="9"/>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14" w:rsidRDefault="00A24914">
      <w:r>
        <w:separator/>
      </w:r>
    </w:p>
  </w:endnote>
  <w:endnote w:type="continuationSeparator" w:id="0">
    <w:p w:rsidR="00A24914" w:rsidRDefault="00A24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14" w:rsidRPr="00E43034" w:rsidRDefault="00A24914" w:rsidP="00E43034">
    <w:pPr>
      <w:jc w:val="both"/>
      <w:rPr>
        <w:szCs w:val="22"/>
      </w:rPr>
    </w:pPr>
    <w:r w:rsidRPr="00E43034">
      <w:rPr>
        <w:sz w:val="20"/>
        <w:szCs w:val="20"/>
      </w:rPr>
      <w:t>KMIzz_</w:t>
    </w:r>
    <w:r w:rsidR="00BF3FE6">
      <w:rPr>
        <w:sz w:val="20"/>
        <w:szCs w:val="20"/>
      </w:rPr>
      <w:t>04</w:t>
    </w:r>
    <w:r w:rsidRPr="00E43034">
      <w:rPr>
        <w:sz w:val="20"/>
        <w:szCs w:val="20"/>
      </w:rPr>
      <w:t>0</w:t>
    </w:r>
    <w:r w:rsidR="00BF3FE6">
      <w:rPr>
        <w:sz w:val="20"/>
        <w:szCs w:val="20"/>
      </w:rPr>
      <w:t>4</w:t>
    </w:r>
    <w:r w:rsidRPr="00E43034">
      <w:rPr>
        <w:sz w:val="20"/>
        <w:szCs w:val="20"/>
      </w:rPr>
      <w:t>1</w:t>
    </w:r>
    <w:r>
      <w:rPr>
        <w:sz w:val="20"/>
        <w:szCs w:val="20"/>
      </w:rPr>
      <w:t>9</w:t>
    </w:r>
    <w:r w:rsidRPr="00E43034">
      <w:rPr>
        <w:sz w:val="20"/>
        <w:szCs w:val="20"/>
      </w:rPr>
      <w:t>_groz_cenradis_Turaida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14" w:rsidRPr="00E43034" w:rsidRDefault="00A24914" w:rsidP="004931DB">
    <w:pPr>
      <w:jc w:val="both"/>
      <w:rPr>
        <w:sz w:val="20"/>
        <w:szCs w:val="20"/>
      </w:rPr>
    </w:pPr>
    <w:bookmarkStart w:id="12" w:name="OLE_LINK3"/>
    <w:bookmarkStart w:id="13" w:name="OLE_LINK4"/>
    <w:r w:rsidRPr="00E43034">
      <w:rPr>
        <w:sz w:val="20"/>
        <w:szCs w:val="20"/>
      </w:rPr>
      <w:t>KMIzz_</w:t>
    </w:r>
    <w:r w:rsidR="00BF3FE6">
      <w:rPr>
        <w:sz w:val="20"/>
        <w:szCs w:val="20"/>
      </w:rPr>
      <w:t>04</w:t>
    </w:r>
    <w:r w:rsidRPr="00E43034">
      <w:rPr>
        <w:sz w:val="20"/>
        <w:szCs w:val="20"/>
      </w:rPr>
      <w:t>0</w:t>
    </w:r>
    <w:r w:rsidR="00BF3FE6">
      <w:rPr>
        <w:sz w:val="20"/>
        <w:szCs w:val="20"/>
      </w:rPr>
      <w:t>4</w:t>
    </w:r>
    <w:r w:rsidRPr="00E43034">
      <w:rPr>
        <w:sz w:val="20"/>
        <w:szCs w:val="20"/>
      </w:rPr>
      <w:t>1</w:t>
    </w:r>
    <w:r>
      <w:rPr>
        <w:sz w:val="20"/>
        <w:szCs w:val="20"/>
      </w:rPr>
      <w:t>9</w:t>
    </w:r>
    <w:r w:rsidRPr="00E43034">
      <w:rPr>
        <w:sz w:val="20"/>
        <w:szCs w:val="20"/>
      </w:rPr>
      <w:t>_</w:t>
    </w:r>
    <w:bookmarkEnd w:id="12"/>
    <w:bookmarkEnd w:id="13"/>
    <w:r w:rsidRPr="00E43034">
      <w:rPr>
        <w:sz w:val="20"/>
        <w:szCs w:val="20"/>
      </w:rPr>
      <w:t>groz_cenradis_Turaida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14" w:rsidRDefault="00A24914">
      <w:r>
        <w:separator/>
      </w:r>
    </w:p>
  </w:footnote>
  <w:footnote w:type="continuationSeparator" w:id="0">
    <w:p w:rsidR="00A24914" w:rsidRDefault="00A24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667"/>
      <w:docPartObj>
        <w:docPartGallery w:val="Page Numbers (Top of Page)"/>
        <w:docPartUnique/>
      </w:docPartObj>
    </w:sdtPr>
    <w:sdtEndPr>
      <w:rPr>
        <w:sz w:val="22"/>
        <w:szCs w:val="22"/>
      </w:rPr>
    </w:sdtEndPr>
    <w:sdtContent>
      <w:p w:rsidR="00A24914" w:rsidRPr="000A30BF" w:rsidRDefault="004A518D">
        <w:pPr>
          <w:pStyle w:val="Galvene"/>
          <w:jc w:val="center"/>
          <w:rPr>
            <w:sz w:val="22"/>
            <w:szCs w:val="22"/>
          </w:rPr>
        </w:pPr>
        <w:r w:rsidRPr="00464906">
          <w:rPr>
            <w:sz w:val="22"/>
            <w:szCs w:val="22"/>
          </w:rPr>
          <w:fldChar w:fldCharType="begin"/>
        </w:r>
        <w:r w:rsidR="00A24914" w:rsidRPr="00464906">
          <w:rPr>
            <w:sz w:val="22"/>
            <w:szCs w:val="22"/>
          </w:rPr>
          <w:instrText xml:space="preserve"> PAGE   \* MERGEFORMAT </w:instrText>
        </w:r>
        <w:r w:rsidRPr="00464906">
          <w:rPr>
            <w:sz w:val="22"/>
            <w:szCs w:val="22"/>
          </w:rPr>
          <w:fldChar w:fldCharType="separate"/>
        </w:r>
        <w:r w:rsidR="00CB6BA8">
          <w:rPr>
            <w:noProof/>
            <w:sz w:val="22"/>
            <w:szCs w:val="22"/>
          </w:rPr>
          <w:t>7</w:t>
        </w:r>
        <w:r w:rsidRPr="0046490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64FF"/>
    <w:multiLevelType w:val="hybridMultilevel"/>
    <w:tmpl w:val="BAEC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BE20EA"/>
    <w:multiLevelType w:val="hybridMultilevel"/>
    <w:tmpl w:val="4C1E6850"/>
    <w:lvl w:ilvl="0" w:tplc="2550D8E6">
      <w:start w:val="1"/>
      <w:numFmt w:val="decimal"/>
      <w:lvlText w:val="%1."/>
      <w:lvlJc w:val="left"/>
      <w:pPr>
        <w:ind w:left="1211" w:hanging="360"/>
      </w:pPr>
      <w:rPr>
        <w:rFonts w:ascii="Times New Roman" w:eastAsia="Calibri" w:hAnsi="Times New Roman" w:cs="Times New Roman"/>
      </w:rPr>
    </w:lvl>
    <w:lvl w:ilvl="1" w:tplc="7D6AEE8E" w:tentative="1">
      <w:start w:val="1"/>
      <w:numFmt w:val="lowerLetter"/>
      <w:lvlText w:val="%2."/>
      <w:lvlJc w:val="left"/>
      <w:pPr>
        <w:ind w:left="1647" w:hanging="360"/>
      </w:pPr>
    </w:lvl>
    <w:lvl w:ilvl="2" w:tplc="87DEE78A" w:tentative="1">
      <w:start w:val="1"/>
      <w:numFmt w:val="lowerRoman"/>
      <w:lvlText w:val="%3."/>
      <w:lvlJc w:val="right"/>
      <w:pPr>
        <w:ind w:left="2367" w:hanging="180"/>
      </w:pPr>
    </w:lvl>
    <w:lvl w:ilvl="3" w:tplc="228007F8" w:tentative="1">
      <w:start w:val="1"/>
      <w:numFmt w:val="decimal"/>
      <w:lvlText w:val="%4."/>
      <w:lvlJc w:val="left"/>
      <w:pPr>
        <w:ind w:left="3087" w:hanging="360"/>
      </w:pPr>
    </w:lvl>
    <w:lvl w:ilvl="4" w:tplc="0C2E7A8E" w:tentative="1">
      <w:start w:val="1"/>
      <w:numFmt w:val="lowerLetter"/>
      <w:lvlText w:val="%5."/>
      <w:lvlJc w:val="left"/>
      <w:pPr>
        <w:ind w:left="3807" w:hanging="360"/>
      </w:pPr>
    </w:lvl>
    <w:lvl w:ilvl="5" w:tplc="1C822110" w:tentative="1">
      <w:start w:val="1"/>
      <w:numFmt w:val="lowerRoman"/>
      <w:lvlText w:val="%6."/>
      <w:lvlJc w:val="right"/>
      <w:pPr>
        <w:ind w:left="4527" w:hanging="180"/>
      </w:pPr>
    </w:lvl>
    <w:lvl w:ilvl="6" w:tplc="D29C4EE6" w:tentative="1">
      <w:start w:val="1"/>
      <w:numFmt w:val="decimal"/>
      <w:lvlText w:val="%7."/>
      <w:lvlJc w:val="left"/>
      <w:pPr>
        <w:ind w:left="5247" w:hanging="360"/>
      </w:pPr>
    </w:lvl>
    <w:lvl w:ilvl="7" w:tplc="3FE23A90" w:tentative="1">
      <w:start w:val="1"/>
      <w:numFmt w:val="lowerLetter"/>
      <w:lvlText w:val="%8."/>
      <w:lvlJc w:val="left"/>
      <w:pPr>
        <w:ind w:left="5967" w:hanging="360"/>
      </w:pPr>
    </w:lvl>
    <w:lvl w:ilvl="8" w:tplc="F17A86BA" w:tentative="1">
      <w:start w:val="1"/>
      <w:numFmt w:val="lowerRoman"/>
      <w:lvlText w:val="%9."/>
      <w:lvlJc w:val="right"/>
      <w:pPr>
        <w:ind w:left="6687" w:hanging="180"/>
      </w:pPr>
    </w:lvl>
  </w:abstractNum>
  <w:abstractNum w:abstractNumId="2">
    <w:nsid w:val="248D762C"/>
    <w:multiLevelType w:val="hybridMultilevel"/>
    <w:tmpl w:val="2806F0BE"/>
    <w:lvl w:ilvl="0" w:tplc="B3AC6F84">
      <w:start w:val="1"/>
      <w:numFmt w:val="decimal"/>
      <w:lvlText w:val="%1."/>
      <w:lvlJc w:val="left"/>
      <w:pPr>
        <w:ind w:left="1080" w:hanging="360"/>
      </w:pPr>
      <w:rPr>
        <w:rFonts w:hint="default"/>
      </w:rPr>
    </w:lvl>
    <w:lvl w:ilvl="1" w:tplc="A8B60214" w:tentative="1">
      <w:start w:val="1"/>
      <w:numFmt w:val="lowerLetter"/>
      <w:lvlText w:val="%2."/>
      <w:lvlJc w:val="left"/>
      <w:pPr>
        <w:ind w:left="1800" w:hanging="360"/>
      </w:pPr>
    </w:lvl>
    <w:lvl w:ilvl="2" w:tplc="31A866C2" w:tentative="1">
      <w:start w:val="1"/>
      <w:numFmt w:val="lowerRoman"/>
      <w:lvlText w:val="%3."/>
      <w:lvlJc w:val="right"/>
      <w:pPr>
        <w:ind w:left="2520" w:hanging="180"/>
      </w:pPr>
    </w:lvl>
    <w:lvl w:ilvl="3" w:tplc="9500B4A2" w:tentative="1">
      <w:start w:val="1"/>
      <w:numFmt w:val="decimal"/>
      <w:lvlText w:val="%4."/>
      <w:lvlJc w:val="left"/>
      <w:pPr>
        <w:ind w:left="3240" w:hanging="360"/>
      </w:pPr>
    </w:lvl>
    <w:lvl w:ilvl="4" w:tplc="49F477A4" w:tentative="1">
      <w:start w:val="1"/>
      <w:numFmt w:val="lowerLetter"/>
      <w:lvlText w:val="%5."/>
      <w:lvlJc w:val="left"/>
      <w:pPr>
        <w:ind w:left="3960" w:hanging="360"/>
      </w:pPr>
    </w:lvl>
    <w:lvl w:ilvl="5" w:tplc="347E2F3E" w:tentative="1">
      <w:start w:val="1"/>
      <w:numFmt w:val="lowerRoman"/>
      <w:lvlText w:val="%6."/>
      <w:lvlJc w:val="right"/>
      <w:pPr>
        <w:ind w:left="4680" w:hanging="180"/>
      </w:pPr>
    </w:lvl>
    <w:lvl w:ilvl="6" w:tplc="B948AFBA" w:tentative="1">
      <w:start w:val="1"/>
      <w:numFmt w:val="decimal"/>
      <w:lvlText w:val="%7."/>
      <w:lvlJc w:val="left"/>
      <w:pPr>
        <w:ind w:left="5400" w:hanging="360"/>
      </w:pPr>
    </w:lvl>
    <w:lvl w:ilvl="7" w:tplc="16CA9AB4" w:tentative="1">
      <w:start w:val="1"/>
      <w:numFmt w:val="lowerLetter"/>
      <w:lvlText w:val="%8."/>
      <w:lvlJc w:val="left"/>
      <w:pPr>
        <w:ind w:left="6120" w:hanging="360"/>
      </w:pPr>
    </w:lvl>
    <w:lvl w:ilvl="8" w:tplc="9B348522" w:tentative="1">
      <w:start w:val="1"/>
      <w:numFmt w:val="lowerRoman"/>
      <w:lvlText w:val="%9."/>
      <w:lvlJc w:val="right"/>
      <w:pPr>
        <w:ind w:left="6840" w:hanging="180"/>
      </w:pPr>
    </w:lvl>
  </w:abstractNum>
  <w:abstractNum w:abstractNumId="3">
    <w:nsid w:val="35CF71B1"/>
    <w:multiLevelType w:val="hybridMultilevel"/>
    <w:tmpl w:val="6DD28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71A7EC6"/>
    <w:multiLevelType w:val="hybridMultilevel"/>
    <w:tmpl w:val="1054C160"/>
    <w:lvl w:ilvl="0" w:tplc="FF7836A2">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355166"/>
    <w:multiLevelType w:val="hybridMultilevel"/>
    <w:tmpl w:val="78666C02"/>
    <w:lvl w:ilvl="0" w:tplc="490820A4">
      <w:start w:val="1"/>
      <w:numFmt w:val="decimal"/>
      <w:lvlText w:val="%1)"/>
      <w:lvlJc w:val="left"/>
      <w:pPr>
        <w:ind w:left="628" w:hanging="360"/>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6">
    <w:nsid w:val="6CFC5853"/>
    <w:multiLevelType w:val="hybridMultilevel"/>
    <w:tmpl w:val="CF40765A"/>
    <w:lvl w:ilvl="0" w:tplc="D6F282EE">
      <w:start w:val="1"/>
      <w:numFmt w:val="decimal"/>
      <w:lvlText w:val="%1)"/>
      <w:lvlJc w:val="left"/>
      <w:pPr>
        <w:ind w:left="628" w:hanging="360"/>
      </w:pPr>
      <w:rPr>
        <w:rFonts w:hint="default"/>
        <w:sz w:val="22"/>
        <w:szCs w:val="22"/>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7">
    <w:nsid w:val="7A670C3B"/>
    <w:multiLevelType w:val="hybridMultilevel"/>
    <w:tmpl w:val="2806F0BE"/>
    <w:lvl w:ilvl="0" w:tplc="B3AC6F84">
      <w:start w:val="1"/>
      <w:numFmt w:val="decimal"/>
      <w:lvlText w:val="%1."/>
      <w:lvlJc w:val="left"/>
      <w:pPr>
        <w:ind w:left="1080" w:hanging="360"/>
      </w:pPr>
      <w:rPr>
        <w:rFonts w:hint="default"/>
      </w:rPr>
    </w:lvl>
    <w:lvl w:ilvl="1" w:tplc="A8B60214" w:tentative="1">
      <w:start w:val="1"/>
      <w:numFmt w:val="lowerLetter"/>
      <w:lvlText w:val="%2."/>
      <w:lvlJc w:val="left"/>
      <w:pPr>
        <w:ind w:left="1800" w:hanging="360"/>
      </w:pPr>
    </w:lvl>
    <w:lvl w:ilvl="2" w:tplc="31A866C2" w:tentative="1">
      <w:start w:val="1"/>
      <w:numFmt w:val="lowerRoman"/>
      <w:lvlText w:val="%3."/>
      <w:lvlJc w:val="right"/>
      <w:pPr>
        <w:ind w:left="2520" w:hanging="180"/>
      </w:pPr>
    </w:lvl>
    <w:lvl w:ilvl="3" w:tplc="9500B4A2" w:tentative="1">
      <w:start w:val="1"/>
      <w:numFmt w:val="decimal"/>
      <w:lvlText w:val="%4."/>
      <w:lvlJc w:val="left"/>
      <w:pPr>
        <w:ind w:left="3240" w:hanging="360"/>
      </w:pPr>
    </w:lvl>
    <w:lvl w:ilvl="4" w:tplc="49F477A4" w:tentative="1">
      <w:start w:val="1"/>
      <w:numFmt w:val="lowerLetter"/>
      <w:lvlText w:val="%5."/>
      <w:lvlJc w:val="left"/>
      <w:pPr>
        <w:ind w:left="3960" w:hanging="360"/>
      </w:pPr>
    </w:lvl>
    <w:lvl w:ilvl="5" w:tplc="347E2F3E" w:tentative="1">
      <w:start w:val="1"/>
      <w:numFmt w:val="lowerRoman"/>
      <w:lvlText w:val="%6."/>
      <w:lvlJc w:val="right"/>
      <w:pPr>
        <w:ind w:left="4680" w:hanging="180"/>
      </w:pPr>
    </w:lvl>
    <w:lvl w:ilvl="6" w:tplc="B948AFBA" w:tentative="1">
      <w:start w:val="1"/>
      <w:numFmt w:val="decimal"/>
      <w:lvlText w:val="%7."/>
      <w:lvlJc w:val="left"/>
      <w:pPr>
        <w:ind w:left="5400" w:hanging="360"/>
      </w:pPr>
    </w:lvl>
    <w:lvl w:ilvl="7" w:tplc="16CA9AB4" w:tentative="1">
      <w:start w:val="1"/>
      <w:numFmt w:val="lowerLetter"/>
      <w:lvlText w:val="%8."/>
      <w:lvlJc w:val="left"/>
      <w:pPr>
        <w:ind w:left="6120" w:hanging="360"/>
      </w:pPr>
    </w:lvl>
    <w:lvl w:ilvl="8" w:tplc="9B348522"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0AA1"/>
    <w:rsid w:val="00041D88"/>
    <w:rsid w:val="00045EC0"/>
    <w:rsid w:val="00050B45"/>
    <w:rsid w:val="00074269"/>
    <w:rsid w:val="00076C1A"/>
    <w:rsid w:val="000833AD"/>
    <w:rsid w:val="000B5F16"/>
    <w:rsid w:val="000C3BB7"/>
    <w:rsid w:val="000C69B2"/>
    <w:rsid w:val="000C6A60"/>
    <w:rsid w:val="00102B56"/>
    <w:rsid w:val="00135242"/>
    <w:rsid w:val="00150129"/>
    <w:rsid w:val="001841E0"/>
    <w:rsid w:val="001A1872"/>
    <w:rsid w:val="001A3F78"/>
    <w:rsid w:val="001A5E60"/>
    <w:rsid w:val="001C14D4"/>
    <w:rsid w:val="001C4F7D"/>
    <w:rsid w:val="00213AA8"/>
    <w:rsid w:val="00230D5B"/>
    <w:rsid w:val="00254248"/>
    <w:rsid w:val="0026356F"/>
    <w:rsid w:val="002810E0"/>
    <w:rsid w:val="002C621B"/>
    <w:rsid w:val="002D26A7"/>
    <w:rsid w:val="002D53EF"/>
    <w:rsid w:val="002F0FA8"/>
    <w:rsid w:val="003045D5"/>
    <w:rsid w:val="00307419"/>
    <w:rsid w:val="003174C9"/>
    <w:rsid w:val="00335BD8"/>
    <w:rsid w:val="00341368"/>
    <w:rsid w:val="003832C2"/>
    <w:rsid w:val="003D262E"/>
    <w:rsid w:val="003F12D1"/>
    <w:rsid w:val="00405267"/>
    <w:rsid w:val="00417385"/>
    <w:rsid w:val="004235E1"/>
    <w:rsid w:val="00445516"/>
    <w:rsid w:val="00455FAD"/>
    <w:rsid w:val="004931DB"/>
    <w:rsid w:val="00496FCE"/>
    <w:rsid w:val="004A518D"/>
    <w:rsid w:val="004D3E00"/>
    <w:rsid w:val="005374CA"/>
    <w:rsid w:val="00540AA1"/>
    <w:rsid w:val="00583D58"/>
    <w:rsid w:val="005C7267"/>
    <w:rsid w:val="005D40C0"/>
    <w:rsid w:val="005D5E69"/>
    <w:rsid w:val="005F5546"/>
    <w:rsid w:val="005F7F20"/>
    <w:rsid w:val="006136EC"/>
    <w:rsid w:val="00613804"/>
    <w:rsid w:val="006658B3"/>
    <w:rsid w:val="0066694E"/>
    <w:rsid w:val="006943D1"/>
    <w:rsid w:val="006A1E32"/>
    <w:rsid w:val="006E026C"/>
    <w:rsid w:val="006E4E57"/>
    <w:rsid w:val="006F229C"/>
    <w:rsid w:val="006F3709"/>
    <w:rsid w:val="00705033"/>
    <w:rsid w:val="00712441"/>
    <w:rsid w:val="007317A0"/>
    <w:rsid w:val="00752CF5"/>
    <w:rsid w:val="00757D9E"/>
    <w:rsid w:val="0076183C"/>
    <w:rsid w:val="0076322B"/>
    <w:rsid w:val="00771629"/>
    <w:rsid w:val="00776AA2"/>
    <w:rsid w:val="00782A24"/>
    <w:rsid w:val="007D5D41"/>
    <w:rsid w:val="00820CAE"/>
    <w:rsid w:val="00872C67"/>
    <w:rsid w:val="008A27CC"/>
    <w:rsid w:val="008B074E"/>
    <w:rsid w:val="00914199"/>
    <w:rsid w:val="00953B96"/>
    <w:rsid w:val="00961FB5"/>
    <w:rsid w:val="00984281"/>
    <w:rsid w:val="00987AA8"/>
    <w:rsid w:val="00987C39"/>
    <w:rsid w:val="00993F94"/>
    <w:rsid w:val="00995471"/>
    <w:rsid w:val="009C77CA"/>
    <w:rsid w:val="009F018E"/>
    <w:rsid w:val="009F2253"/>
    <w:rsid w:val="009F77B8"/>
    <w:rsid w:val="00A034D2"/>
    <w:rsid w:val="00A05B5E"/>
    <w:rsid w:val="00A14DA9"/>
    <w:rsid w:val="00A24914"/>
    <w:rsid w:val="00A825B5"/>
    <w:rsid w:val="00A86686"/>
    <w:rsid w:val="00AA6C45"/>
    <w:rsid w:val="00AA713C"/>
    <w:rsid w:val="00AD72F7"/>
    <w:rsid w:val="00AE285A"/>
    <w:rsid w:val="00AE40E1"/>
    <w:rsid w:val="00B06F74"/>
    <w:rsid w:val="00B22ED8"/>
    <w:rsid w:val="00B521AE"/>
    <w:rsid w:val="00B52A6E"/>
    <w:rsid w:val="00B76CB4"/>
    <w:rsid w:val="00B96B91"/>
    <w:rsid w:val="00BA496D"/>
    <w:rsid w:val="00BB0F9C"/>
    <w:rsid w:val="00BC2D5A"/>
    <w:rsid w:val="00BE0E54"/>
    <w:rsid w:val="00BE6DDE"/>
    <w:rsid w:val="00BF3294"/>
    <w:rsid w:val="00BF3FE6"/>
    <w:rsid w:val="00C00F3A"/>
    <w:rsid w:val="00C159D5"/>
    <w:rsid w:val="00C1618C"/>
    <w:rsid w:val="00C22321"/>
    <w:rsid w:val="00C308AB"/>
    <w:rsid w:val="00C320A5"/>
    <w:rsid w:val="00C3632F"/>
    <w:rsid w:val="00C4646A"/>
    <w:rsid w:val="00C54881"/>
    <w:rsid w:val="00C5517B"/>
    <w:rsid w:val="00C5658D"/>
    <w:rsid w:val="00C661D5"/>
    <w:rsid w:val="00CA0CF7"/>
    <w:rsid w:val="00CB6BA8"/>
    <w:rsid w:val="00CB6FBD"/>
    <w:rsid w:val="00CC32BB"/>
    <w:rsid w:val="00CE5DAB"/>
    <w:rsid w:val="00CF6188"/>
    <w:rsid w:val="00D03583"/>
    <w:rsid w:val="00D13E4C"/>
    <w:rsid w:val="00D16C68"/>
    <w:rsid w:val="00D25CB9"/>
    <w:rsid w:val="00D27B74"/>
    <w:rsid w:val="00D35945"/>
    <w:rsid w:val="00D71318"/>
    <w:rsid w:val="00D940CF"/>
    <w:rsid w:val="00DE40E4"/>
    <w:rsid w:val="00DE602A"/>
    <w:rsid w:val="00E32674"/>
    <w:rsid w:val="00E3312A"/>
    <w:rsid w:val="00E43034"/>
    <w:rsid w:val="00E47FCA"/>
    <w:rsid w:val="00E56F49"/>
    <w:rsid w:val="00E93134"/>
    <w:rsid w:val="00E96913"/>
    <w:rsid w:val="00EA1A08"/>
    <w:rsid w:val="00EC1FC9"/>
    <w:rsid w:val="00EC4B49"/>
    <w:rsid w:val="00EE7CF0"/>
    <w:rsid w:val="00F461EC"/>
    <w:rsid w:val="00F50CC5"/>
    <w:rsid w:val="00F64AE4"/>
    <w:rsid w:val="00F92EE0"/>
    <w:rsid w:val="00FC1EF1"/>
    <w:rsid w:val="00FF12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40AA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540AA1"/>
    <w:pPr>
      <w:spacing w:before="100" w:beforeAutospacing="1" w:after="100" w:afterAutospacing="1"/>
    </w:pPr>
  </w:style>
  <w:style w:type="paragraph" w:customStyle="1" w:styleId="naisf">
    <w:name w:val="naisf"/>
    <w:basedOn w:val="Parastais"/>
    <w:uiPriority w:val="99"/>
    <w:rsid w:val="00540AA1"/>
    <w:pPr>
      <w:spacing w:before="75" w:after="75"/>
      <w:ind w:firstLine="375"/>
      <w:jc w:val="both"/>
    </w:pPr>
  </w:style>
  <w:style w:type="paragraph" w:customStyle="1" w:styleId="naiskr">
    <w:name w:val="naiskr"/>
    <w:basedOn w:val="Parastais"/>
    <w:rsid w:val="00540AA1"/>
    <w:pPr>
      <w:spacing w:before="75" w:after="75"/>
    </w:pPr>
  </w:style>
  <w:style w:type="paragraph" w:customStyle="1" w:styleId="naisc">
    <w:name w:val="naisc"/>
    <w:basedOn w:val="Parastais"/>
    <w:rsid w:val="00540AA1"/>
    <w:pPr>
      <w:spacing w:before="75" w:after="75"/>
      <w:jc w:val="center"/>
    </w:pPr>
  </w:style>
  <w:style w:type="paragraph" w:styleId="Galvene">
    <w:name w:val="header"/>
    <w:basedOn w:val="Parastais"/>
    <w:link w:val="GalveneRakstz"/>
    <w:uiPriority w:val="99"/>
    <w:unhideWhenUsed/>
    <w:rsid w:val="00540AA1"/>
    <w:pPr>
      <w:tabs>
        <w:tab w:val="center" w:pos="4320"/>
        <w:tab w:val="right" w:pos="8640"/>
      </w:tabs>
    </w:pPr>
  </w:style>
  <w:style w:type="character" w:customStyle="1" w:styleId="GalveneRakstz">
    <w:name w:val="Galvene Rakstz."/>
    <w:basedOn w:val="Noklusjumarindkopasfonts"/>
    <w:link w:val="Galvene"/>
    <w:uiPriority w:val="99"/>
    <w:rsid w:val="00540AA1"/>
    <w:rPr>
      <w:rFonts w:ascii="Times New Roman" w:eastAsia="Times New Roman" w:hAnsi="Times New Roman" w:cs="Times New Roman"/>
      <w:sz w:val="24"/>
      <w:szCs w:val="24"/>
      <w:lang w:eastAsia="lv-LV"/>
    </w:rPr>
  </w:style>
  <w:style w:type="paragraph" w:styleId="Bezatstarpm">
    <w:name w:val="No Spacing"/>
    <w:uiPriority w:val="1"/>
    <w:qFormat/>
    <w:rsid w:val="00540AA1"/>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0C6A60"/>
    <w:pPr>
      <w:widowControl w:val="0"/>
      <w:spacing w:after="200" w:line="276" w:lineRule="auto"/>
      <w:ind w:left="720"/>
      <w:contextualSpacing/>
    </w:pPr>
    <w:rPr>
      <w:rFonts w:ascii="Calibri" w:eastAsia="Calibri" w:hAnsi="Calibri"/>
      <w:sz w:val="22"/>
      <w:szCs w:val="22"/>
      <w:lang w:eastAsia="en-US"/>
    </w:rPr>
  </w:style>
  <w:style w:type="paragraph" w:styleId="Kjene">
    <w:name w:val="footer"/>
    <w:basedOn w:val="Parastais"/>
    <w:link w:val="KjeneRakstz"/>
    <w:uiPriority w:val="99"/>
    <w:unhideWhenUsed/>
    <w:rsid w:val="000B5F16"/>
    <w:pPr>
      <w:tabs>
        <w:tab w:val="center" w:pos="4153"/>
        <w:tab w:val="right" w:pos="8306"/>
      </w:tabs>
    </w:pPr>
  </w:style>
  <w:style w:type="character" w:customStyle="1" w:styleId="KjeneRakstz">
    <w:name w:val="Kājene Rakstz."/>
    <w:basedOn w:val="Noklusjumarindkopasfonts"/>
    <w:link w:val="Kjene"/>
    <w:uiPriority w:val="99"/>
    <w:rsid w:val="000B5F16"/>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E4303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43034"/>
    <w:rPr>
      <w:rFonts w:ascii="Tahoma" w:eastAsia="Times New Roman" w:hAnsi="Tahoma" w:cs="Tahoma"/>
      <w:sz w:val="16"/>
      <w:szCs w:val="16"/>
      <w:lang w:eastAsia="lv-LV"/>
    </w:rPr>
  </w:style>
  <w:style w:type="character" w:styleId="Hipersaite">
    <w:name w:val="Hyperlink"/>
    <w:uiPriority w:val="99"/>
    <w:rsid w:val="002635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aida.muzejs@apoll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3DC2-422D-4112-88A2-F70C29DF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7110</Words>
  <Characters>4054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Nr.1029„Īpaši aizsargājamā kultūras pieminekļa - Turaidas muzejrezervāta - publisko maksas pakalpojumu cenrādis”</vt:lpstr>
    </vt:vector>
  </TitlesOfParts>
  <Company>LR Kultūras Ministrija</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2013.gada 1.oktobra noteikumos Nr.1029 „Īpaši aizsargājamā kultūras pieminekļa - Turaidas muzejrezervāta - publisko maksas pakalpojumu cenrādis”” (VSS-147)</dc:title>
  <dc:subject>Izziņa par atzinumos sniegtajiem iebildumiem</dc:subject>
  <dc:creator>A.Jurkāne</dc:creator>
  <cp:keywords>KMIzz_040419_groz_cenradis_Turaida</cp:keywords>
  <dc:description>Anna Jurkāne
Tālr. 67971402
turaida.muzejs@apollo.lv</dc:description>
  <cp:lastModifiedBy>Dzintra Rozīte</cp:lastModifiedBy>
  <cp:revision>20</cp:revision>
  <dcterms:created xsi:type="dcterms:W3CDTF">2019-03-20T10:55:00Z</dcterms:created>
  <dcterms:modified xsi:type="dcterms:W3CDTF">2019-04-11T07:38:00Z</dcterms:modified>
</cp:coreProperties>
</file>