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6EB091" w14:textId="77777777" w:rsidR="00882E73" w:rsidRPr="00423BF1" w:rsidRDefault="00882E73" w:rsidP="00882E73">
      <w:pPr>
        <w:pStyle w:val="naisc"/>
        <w:spacing w:before="0" w:after="0"/>
        <w:rPr>
          <w:b/>
          <w:bCs/>
        </w:rPr>
      </w:pPr>
      <w:bookmarkStart w:id="0" w:name="OLE_LINK14"/>
      <w:bookmarkStart w:id="1" w:name="OLE_LINK13"/>
      <w:bookmarkStart w:id="2" w:name="_GoBack"/>
      <w:bookmarkEnd w:id="2"/>
      <w:r w:rsidRPr="00423BF1">
        <w:rPr>
          <w:b/>
          <w:bCs/>
        </w:rPr>
        <w:t>Ministru kabineta noteikumu projekta</w:t>
      </w:r>
    </w:p>
    <w:bookmarkEnd w:id="0"/>
    <w:bookmarkEnd w:id="1"/>
    <w:p w14:paraId="59787CF2" w14:textId="3A29BC1C" w:rsidR="00882E73" w:rsidRPr="00423BF1" w:rsidRDefault="00882E73" w:rsidP="00882E73">
      <w:pPr>
        <w:pStyle w:val="naisc"/>
        <w:spacing w:before="0" w:after="0"/>
        <w:rPr>
          <w:b/>
          <w:bCs/>
        </w:rPr>
      </w:pPr>
      <w:r w:rsidRPr="00423BF1">
        <w:rPr>
          <w:b/>
          <w:bCs/>
        </w:rPr>
        <w:t>“Gr</w:t>
      </w:r>
      <w:r w:rsidR="000D44DF">
        <w:rPr>
          <w:b/>
          <w:bCs/>
        </w:rPr>
        <w:t>ozījums Ministru kabineta 2003.gada 29.aprīļa noteikumos Nr.</w:t>
      </w:r>
      <w:r w:rsidRPr="00423BF1">
        <w:rPr>
          <w:b/>
          <w:bCs/>
        </w:rPr>
        <w:t>242 „Satiksmes ministrijas nolikums””</w:t>
      </w:r>
      <w:r>
        <w:rPr>
          <w:b/>
          <w:bCs/>
        </w:rPr>
        <w:t xml:space="preserve"> </w:t>
      </w:r>
      <w:r w:rsidRPr="00423BF1">
        <w:rPr>
          <w:b/>
          <w:bCs/>
        </w:rPr>
        <w:t>sākotnējās ietekmes novērtējuma ziņojums (anotācija)</w:t>
      </w:r>
    </w:p>
    <w:p w14:paraId="5B058499" w14:textId="77777777" w:rsidR="00F67BA8" w:rsidRDefault="00F67BA8" w:rsidP="000437B9">
      <w:pPr>
        <w:suppressAutoHyphens w:val="0"/>
        <w:rPr>
          <w:iCs/>
          <w:lang w:eastAsia="lv-LV"/>
        </w:rPr>
      </w:pPr>
    </w:p>
    <w:tbl>
      <w:tblPr>
        <w:tblStyle w:val="TableGrid"/>
        <w:tblW w:w="4943" w:type="pct"/>
        <w:tblLook w:val="04A0" w:firstRow="1" w:lastRow="0" w:firstColumn="1" w:lastColumn="0" w:noHBand="0" w:noVBand="1"/>
      </w:tblPr>
      <w:tblGrid>
        <w:gridCol w:w="2655"/>
        <w:gridCol w:w="6667"/>
      </w:tblGrid>
      <w:tr w:rsidR="00F67BA8" w14:paraId="251B021F" w14:textId="77777777" w:rsidTr="008368A7">
        <w:tc>
          <w:tcPr>
            <w:tcW w:w="5000" w:type="pct"/>
            <w:gridSpan w:val="2"/>
          </w:tcPr>
          <w:p w14:paraId="7DBCD485" w14:textId="77777777" w:rsidR="00F67BA8" w:rsidRDefault="00F67BA8" w:rsidP="00F67BA8">
            <w:pPr>
              <w:suppressAutoHyphens w:val="0"/>
              <w:jc w:val="center"/>
              <w:rPr>
                <w:b/>
                <w:bCs/>
                <w:iCs/>
                <w:lang w:eastAsia="lv-LV"/>
              </w:rPr>
            </w:pPr>
            <w:r w:rsidRPr="000437B9">
              <w:rPr>
                <w:b/>
                <w:bCs/>
                <w:iCs/>
                <w:lang w:eastAsia="lv-LV"/>
              </w:rPr>
              <w:t>Tiesību akta projekta anotācijas kopsavilkums</w:t>
            </w:r>
          </w:p>
          <w:p w14:paraId="5031E495" w14:textId="77777777" w:rsidR="00F67BA8" w:rsidRDefault="00F67BA8" w:rsidP="00F67BA8">
            <w:pPr>
              <w:suppressAutoHyphens w:val="0"/>
              <w:jc w:val="center"/>
              <w:rPr>
                <w:b/>
              </w:rPr>
            </w:pPr>
          </w:p>
        </w:tc>
      </w:tr>
      <w:tr w:rsidR="00F67BA8" w14:paraId="6F3EA5D9" w14:textId="77777777" w:rsidTr="008368A7">
        <w:tc>
          <w:tcPr>
            <w:tcW w:w="1424" w:type="pct"/>
          </w:tcPr>
          <w:p w14:paraId="182D1882" w14:textId="77777777" w:rsidR="00F67BA8" w:rsidRDefault="00F67BA8" w:rsidP="000437B9">
            <w:pPr>
              <w:suppressAutoHyphens w:val="0"/>
              <w:rPr>
                <w:b/>
              </w:rPr>
            </w:pPr>
            <w:r w:rsidRPr="000437B9">
              <w:rPr>
                <w:iCs/>
                <w:lang w:eastAsia="lv-LV"/>
              </w:rPr>
              <w:t>Mērķis, risinājums un projekta spēkā stāšanās laiks (500 zīmes bez atstarpēm)</w:t>
            </w:r>
          </w:p>
        </w:tc>
        <w:tc>
          <w:tcPr>
            <w:tcW w:w="3576" w:type="pct"/>
          </w:tcPr>
          <w:p w14:paraId="48629AC2" w14:textId="77777777" w:rsidR="0063685E" w:rsidRDefault="007C1AEF" w:rsidP="007C1AEF">
            <w:pPr>
              <w:jc w:val="both"/>
              <w:rPr>
                <w:rFonts w:eastAsia="Calibri"/>
              </w:rPr>
            </w:pPr>
            <w:r>
              <w:rPr>
                <w:rFonts w:eastAsia="Calibri"/>
              </w:rPr>
              <w:t>Noteikumu</w:t>
            </w:r>
            <w:r w:rsidR="001A7B53">
              <w:rPr>
                <w:rFonts w:eastAsia="Calibri"/>
              </w:rPr>
              <w:t xml:space="preserve"> projekta mērķis ir noteikt </w:t>
            </w:r>
            <w:r w:rsidR="001A7B53" w:rsidRPr="00B740B1">
              <w:rPr>
                <w:rFonts w:eastAsia="Calibri"/>
              </w:rPr>
              <w:t xml:space="preserve">Satiksmes ministrijai </w:t>
            </w:r>
            <w:r w:rsidR="001A7B53">
              <w:rPr>
                <w:rFonts w:eastAsia="Calibri"/>
              </w:rPr>
              <w:t>pienākumu</w:t>
            </w:r>
            <w:r w:rsidR="0063685E">
              <w:rPr>
                <w:rFonts w:eastAsia="Calibri"/>
              </w:rPr>
              <w:t>:</w:t>
            </w:r>
          </w:p>
          <w:p w14:paraId="736A16A9" w14:textId="59031BD5" w:rsidR="001A7B53" w:rsidRDefault="0063685E" w:rsidP="007C1AEF">
            <w:pPr>
              <w:jc w:val="both"/>
              <w:rPr>
                <w:rFonts w:eastAsia="Calibri"/>
              </w:rPr>
            </w:pPr>
            <w:r>
              <w:rPr>
                <w:rFonts w:eastAsia="Calibri"/>
              </w:rPr>
              <w:t>-</w:t>
            </w:r>
            <w:r w:rsidR="001A7B53">
              <w:rPr>
                <w:rFonts w:eastAsia="Calibri"/>
              </w:rPr>
              <w:t xml:space="preserve"> </w:t>
            </w:r>
            <w:r w:rsidR="001A7B53" w:rsidRPr="00B740B1">
              <w:rPr>
                <w:rFonts w:eastAsia="Calibri"/>
              </w:rPr>
              <w:t>nodrošin</w:t>
            </w:r>
            <w:r w:rsidR="001A7B53">
              <w:rPr>
                <w:rFonts w:eastAsia="Calibri"/>
              </w:rPr>
              <w:t xml:space="preserve">āt </w:t>
            </w:r>
            <w:r w:rsidR="00F64F99">
              <w:rPr>
                <w:rFonts w:eastAsia="Calibri"/>
              </w:rPr>
              <w:t>p</w:t>
            </w:r>
            <w:r w:rsidR="001A7B53">
              <w:rPr>
                <w:rFonts w:eastAsia="Calibri"/>
              </w:rPr>
              <w:t>latjoslas kompetenču centra funkcijas Latvijā</w:t>
            </w:r>
            <w:r>
              <w:rPr>
                <w:rFonts w:eastAsia="Calibri"/>
              </w:rPr>
              <w:t>;</w:t>
            </w:r>
          </w:p>
          <w:p w14:paraId="674F8E39" w14:textId="40471192" w:rsidR="0063685E" w:rsidRDefault="0063685E" w:rsidP="007C1AEF">
            <w:pPr>
              <w:jc w:val="both"/>
              <w:rPr>
                <w:rFonts w:eastAsia="Calibri"/>
              </w:rPr>
            </w:pPr>
            <w:r>
              <w:rPr>
                <w:rFonts w:eastAsia="Calibri"/>
              </w:rPr>
              <w:t xml:space="preserve">- </w:t>
            </w:r>
            <w:r w:rsidR="005242A8">
              <w:rPr>
                <w:rFonts w:eastAsia="Calibri"/>
              </w:rPr>
              <w:t xml:space="preserve">nodrošināt </w:t>
            </w:r>
            <w:r w:rsidRPr="0063685E">
              <w:rPr>
                <w:rFonts w:eastAsia="Calibri"/>
              </w:rPr>
              <w:t>valsts  materiālo rezervju veidošanu un pārvaldīšanu.</w:t>
            </w:r>
          </w:p>
          <w:p w14:paraId="1970C260" w14:textId="458E40CA" w:rsidR="001A7B53" w:rsidRDefault="001A7B53" w:rsidP="007C1AEF">
            <w:pPr>
              <w:jc w:val="both"/>
              <w:rPr>
                <w:shd w:val="clear" w:color="auto" w:fill="FFFFFF"/>
              </w:rPr>
            </w:pPr>
            <w:r>
              <w:rPr>
                <w:rFonts w:eastAsia="Calibri"/>
              </w:rPr>
              <w:t>P</w:t>
            </w:r>
            <w:r w:rsidRPr="00D3273C">
              <w:rPr>
                <w:rFonts w:eastAsia="Calibri"/>
              </w:rPr>
              <w:t>latjoslas kompetenču centr</w:t>
            </w:r>
            <w:r>
              <w:rPr>
                <w:rFonts w:eastAsia="Calibri"/>
              </w:rPr>
              <w:t>a</w:t>
            </w:r>
            <w:r w:rsidRPr="00AA7352">
              <w:rPr>
                <w:rFonts w:eastAsia="Calibri"/>
              </w:rPr>
              <w:t xml:space="preserve"> mērķis ir apkopot vienotā kontaktpunktā informāciju, </w:t>
            </w:r>
            <w:r>
              <w:rPr>
                <w:rFonts w:eastAsia="Calibri"/>
              </w:rPr>
              <w:t>kas saistīta ar platjoslas attīstību dalībvalstī</w:t>
            </w:r>
            <w:r w:rsidRPr="00AA7352">
              <w:rPr>
                <w:rFonts w:eastAsia="Calibri"/>
              </w:rPr>
              <w:t>, pie</w:t>
            </w:r>
            <w:r>
              <w:rPr>
                <w:rFonts w:eastAsia="Calibri"/>
              </w:rPr>
              <w:t>mēram, attiecībā uz valsts atbalsta j</w:t>
            </w:r>
            <w:r w:rsidR="0028347C">
              <w:rPr>
                <w:rFonts w:eastAsia="Calibri"/>
              </w:rPr>
              <w:t>autājumiem</w:t>
            </w:r>
            <w:r>
              <w:rPr>
                <w:rFonts w:eastAsia="Calibri"/>
              </w:rPr>
              <w:t xml:space="preserve">, </w:t>
            </w:r>
            <w:r w:rsidR="0028347C">
              <w:rPr>
                <w:rFonts w:eastAsia="Calibri"/>
              </w:rPr>
              <w:t xml:space="preserve">platjoslas </w:t>
            </w:r>
            <w:r>
              <w:rPr>
                <w:rFonts w:eastAsia="Calibri"/>
              </w:rPr>
              <w:t>pakalpojumu pieejamības (kartēšanas) un citiem</w:t>
            </w:r>
            <w:r w:rsidRPr="00AA7352">
              <w:rPr>
                <w:rFonts w:eastAsia="Calibri"/>
              </w:rPr>
              <w:t xml:space="preserve"> reg</w:t>
            </w:r>
            <w:r>
              <w:rPr>
                <w:rFonts w:eastAsia="Calibri"/>
              </w:rPr>
              <w:t xml:space="preserve">lamentējošiem un tehniskiem jautājumiem, lai </w:t>
            </w:r>
            <w:r w:rsidRPr="00AA7352">
              <w:rPr>
                <w:rFonts w:eastAsia="Calibri"/>
              </w:rPr>
              <w:t>konsultēt</w:t>
            </w:r>
            <w:r>
              <w:rPr>
                <w:rFonts w:eastAsia="Calibri"/>
              </w:rPr>
              <w:t>u</w:t>
            </w:r>
            <w:r w:rsidRPr="00AA7352">
              <w:rPr>
                <w:rFonts w:eastAsia="Calibri"/>
              </w:rPr>
              <w:t xml:space="preserve"> </w:t>
            </w:r>
            <w:r w:rsidRPr="00E833BA">
              <w:rPr>
                <w:rFonts w:eastAsia="Calibri"/>
              </w:rPr>
              <w:t>publiskā un</w:t>
            </w:r>
            <w:r>
              <w:rPr>
                <w:rFonts w:eastAsia="Calibri"/>
              </w:rPr>
              <w:t xml:space="preserve"> privātā sektora ieinteresētās personas.</w:t>
            </w:r>
          </w:p>
          <w:p w14:paraId="15120460" w14:textId="4FD36C3A" w:rsidR="00F67BA8" w:rsidRDefault="00F64F99" w:rsidP="007C1AEF">
            <w:pPr>
              <w:jc w:val="both"/>
              <w:rPr>
                <w:b/>
              </w:rPr>
            </w:pPr>
            <w:r>
              <w:rPr>
                <w:rFonts w:eastAsia="Calibri"/>
              </w:rPr>
              <w:t>Platjoslas kompetenču</w:t>
            </w:r>
            <w:r w:rsidR="00D94519" w:rsidRPr="00D94519">
              <w:rPr>
                <w:rFonts w:eastAsia="Calibri"/>
              </w:rPr>
              <w:t xml:space="preserve"> </w:t>
            </w:r>
            <w:r w:rsidR="00D94519">
              <w:rPr>
                <w:rFonts w:eastAsia="Calibri"/>
              </w:rPr>
              <w:t xml:space="preserve">centra </w:t>
            </w:r>
            <w:r w:rsidR="00D94519" w:rsidRPr="00D94519">
              <w:rPr>
                <w:rFonts w:eastAsia="Calibri"/>
              </w:rPr>
              <w:t xml:space="preserve">iespējamā priekšrocība ir tā, ka </w:t>
            </w:r>
            <w:r w:rsidR="00D94519">
              <w:rPr>
                <w:rFonts w:eastAsia="Calibri"/>
              </w:rPr>
              <w:t>tas</w:t>
            </w:r>
            <w:r w:rsidR="00D94519" w:rsidRPr="00D94519">
              <w:rPr>
                <w:rFonts w:eastAsia="Calibri"/>
              </w:rPr>
              <w:t xml:space="preserve"> spēj </w:t>
            </w:r>
            <w:r w:rsidR="00D94519">
              <w:rPr>
                <w:rFonts w:eastAsia="Calibri"/>
              </w:rPr>
              <w:t>nodrošināt</w:t>
            </w:r>
            <w:r w:rsidR="00D94519" w:rsidRPr="00D94519">
              <w:rPr>
                <w:rFonts w:eastAsia="Calibri"/>
              </w:rPr>
              <w:t xml:space="preserve"> plašāku jautājumu un uzdevumu loku, tostarp attiecībā uz </w:t>
            </w:r>
            <w:r w:rsidR="00D94519">
              <w:rPr>
                <w:rFonts w:eastAsia="Calibri"/>
              </w:rPr>
              <w:t xml:space="preserve">nozares </w:t>
            </w:r>
            <w:r w:rsidR="00D94519" w:rsidRPr="00D94519">
              <w:rPr>
                <w:rFonts w:eastAsia="Calibri"/>
              </w:rPr>
              <w:t>politiku, nekā to spētu tehniskais speciālists.</w:t>
            </w:r>
          </w:p>
        </w:tc>
      </w:tr>
    </w:tbl>
    <w:p w14:paraId="516D60E7" w14:textId="77777777" w:rsidR="00F67BA8" w:rsidRDefault="00F67BA8" w:rsidP="000437B9">
      <w:pPr>
        <w:suppressAutoHyphens w:val="0"/>
        <w:rPr>
          <w:b/>
        </w:rPr>
      </w:pPr>
    </w:p>
    <w:tbl>
      <w:tblPr>
        <w:tblpPr w:leftFromText="180" w:rightFromText="180" w:vertAnchor="text" w:horzAnchor="margin" w:tblpXSpec="center"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274"/>
        <w:gridCol w:w="6388"/>
      </w:tblGrid>
      <w:tr w:rsidR="002B4569" w:rsidRPr="00DD49B6" w14:paraId="591419A5" w14:textId="77777777" w:rsidTr="008059D2">
        <w:trPr>
          <w:trHeight w:val="419"/>
        </w:trPr>
        <w:tc>
          <w:tcPr>
            <w:tcW w:w="5000" w:type="pct"/>
            <w:gridSpan w:val="3"/>
            <w:vAlign w:val="center"/>
          </w:tcPr>
          <w:p w14:paraId="6C2B6D7C" w14:textId="77777777" w:rsidR="002B4569" w:rsidRPr="00DD49B6" w:rsidRDefault="002B4569" w:rsidP="000437B9">
            <w:pPr>
              <w:pStyle w:val="naisnod"/>
              <w:spacing w:before="0" w:after="0"/>
              <w:ind w:left="57" w:right="57"/>
              <w:rPr>
                <w:b w:val="0"/>
              </w:rPr>
            </w:pPr>
            <w:r w:rsidRPr="00DD49B6">
              <w:t>I. Tiesību akta projekta izstrādes nepieciešamība</w:t>
            </w:r>
          </w:p>
        </w:tc>
      </w:tr>
      <w:tr w:rsidR="002B4569" w:rsidRPr="00DD49B6" w14:paraId="41A8364A" w14:textId="77777777" w:rsidTr="008059D2">
        <w:trPr>
          <w:trHeight w:val="415"/>
        </w:trPr>
        <w:tc>
          <w:tcPr>
            <w:tcW w:w="234" w:type="pct"/>
          </w:tcPr>
          <w:p w14:paraId="7328A27C" w14:textId="77777777" w:rsidR="002B4569" w:rsidRPr="00DD49B6" w:rsidRDefault="002B4569" w:rsidP="000437B9">
            <w:pPr>
              <w:pStyle w:val="naiskr"/>
              <w:spacing w:before="0" w:after="0"/>
              <w:ind w:left="57" w:right="57"/>
              <w:jc w:val="center"/>
            </w:pPr>
            <w:r w:rsidRPr="00DD49B6">
              <w:t>1.</w:t>
            </w:r>
          </w:p>
        </w:tc>
        <w:tc>
          <w:tcPr>
            <w:tcW w:w="1251" w:type="pct"/>
          </w:tcPr>
          <w:p w14:paraId="78EE5D30" w14:textId="77777777" w:rsidR="002B4569" w:rsidRPr="00DD49B6" w:rsidRDefault="002B4569" w:rsidP="000437B9">
            <w:pPr>
              <w:pStyle w:val="naiskr"/>
              <w:spacing w:before="0" w:after="0"/>
              <w:ind w:left="57" w:right="57"/>
            </w:pPr>
            <w:r w:rsidRPr="00DD49B6">
              <w:t>Pamatojums</w:t>
            </w:r>
          </w:p>
        </w:tc>
        <w:tc>
          <w:tcPr>
            <w:tcW w:w="3515" w:type="pct"/>
          </w:tcPr>
          <w:p w14:paraId="6B79FB3D" w14:textId="0A6FCC96" w:rsidR="007B5D2A" w:rsidRPr="00DC16E6" w:rsidRDefault="00134E89" w:rsidP="000437B9">
            <w:pPr>
              <w:ind w:left="143"/>
              <w:jc w:val="both"/>
              <w:rPr>
                <w:shd w:val="clear" w:color="auto" w:fill="FFFFFF"/>
              </w:rPr>
            </w:pPr>
            <w:r>
              <w:rPr>
                <w:shd w:val="clear" w:color="auto" w:fill="FFFFFF"/>
              </w:rPr>
              <w:t>Ministru kabineta 2003.gada 29.aprīļa noteikumu Nr.242 “Satiksmes ministrijas nolikums” 4.2.apakšpunkts.</w:t>
            </w:r>
          </w:p>
        </w:tc>
      </w:tr>
      <w:tr w:rsidR="002B4569" w:rsidRPr="00DD49B6" w14:paraId="5C2F02FE" w14:textId="77777777" w:rsidTr="008059D2">
        <w:trPr>
          <w:trHeight w:val="472"/>
        </w:trPr>
        <w:tc>
          <w:tcPr>
            <w:tcW w:w="234" w:type="pct"/>
          </w:tcPr>
          <w:p w14:paraId="6D379AB5" w14:textId="77777777" w:rsidR="002B4569" w:rsidRPr="00DD49B6" w:rsidRDefault="002B4569" w:rsidP="000437B9">
            <w:pPr>
              <w:pStyle w:val="naiskr"/>
              <w:spacing w:before="0" w:after="0"/>
              <w:ind w:left="57" w:right="57"/>
              <w:jc w:val="center"/>
            </w:pPr>
            <w:r w:rsidRPr="00DD49B6">
              <w:t>2.</w:t>
            </w:r>
          </w:p>
        </w:tc>
        <w:tc>
          <w:tcPr>
            <w:tcW w:w="1251" w:type="pct"/>
          </w:tcPr>
          <w:p w14:paraId="09370C31" w14:textId="77777777" w:rsidR="002B4569" w:rsidRPr="00DD49B6" w:rsidRDefault="002B4569" w:rsidP="000437B9">
            <w:pPr>
              <w:pStyle w:val="naiskr"/>
              <w:spacing w:before="0" w:after="0"/>
              <w:ind w:left="57" w:right="57"/>
            </w:pPr>
            <w:r w:rsidRPr="00DD49B6">
              <w:t>Pašreizējā situācija un problēmas, kuru risināšanai tiesību akta projekts izstrādāts, tiesiskā regulējuma mērķis un būtība</w:t>
            </w:r>
          </w:p>
        </w:tc>
        <w:tc>
          <w:tcPr>
            <w:tcW w:w="3515" w:type="pct"/>
          </w:tcPr>
          <w:p w14:paraId="6B938168" w14:textId="7CEBC8A1" w:rsidR="00967091" w:rsidRPr="00967091" w:rsidRDefault="00967091" w:rsidP="008059D2">
            <w:pPr>
              <w:ind w:left="143" w:right="130"/>
              <w:jc w:val="both"/>
              <w:rPr>
                <w:shd w:val="clear" w:color="auto" w:fill="FFFFFF"/>
              </w:rPr>
            </w:pPr>
            <w:r w:rsidRPr="00967091">
              <w:rPr>
                <w:shd w:val="clear" w:color="auto" w:fill="FFFFFF"/>
              </w:rPr>
              <w:t>E</w:t>
            </w:r>
            <w:r>
              <w:rPr>
                <w:shd w:val="clear" w:color="auto" w:fill="FFFFFF"/>
              </w:rPr>
              <w:t xml:space="preserve">iropas </w:t>
            </w:r>
            <w:r w:rsidRPr="00967091">
              <w:rPr>
                <w:shd w:val="clear" w:color="auto" w:fill="FFFFFF"/>
              </w:rPr>
              <w:t>K</w:t>
            </w:r>
            <w:r>
              <w:rPr>
                <w:shd w:val="clear" w:color="auto" w:fill="FFFFFF"/>
              </w:rPr>
              <w:t>omisija</w:t>
            </w:r>
            <w:r w:rsidRPr="00967091">
              <w:rPr>
                <w:shd w:val="clear" w:color="auto" w:fill="FFFFFF"/>
              </w:rPr>
              <w:t xml:space="preserve"> 2010.gada 3.marta paziņojum</w:t>
            </w:r>
            <w:r>
              <w:rPr>
                <w:shd w:val="clear" w:color="auto" w:fill="FFFFFF"/>
              </w:rPr>
              <w:t>s</w:t>
            </w:r>
            <w:r w:rsidRPr="00967091">
              <w:rPr>
                <w:shd w:val="clear" w:color="auto" w:fill="FFFFFF"/>
              </w:rPr>
              <w:t xml:space="preserve"> </w:t>
            </w:r>
            <w:r>
              <w:rPr>
                <w:shd w:val="clear" w:color="auto" w:fill="FFFFFF"/>
              </w:rPr>
              <w:t>“</w:t>
            </w:r>
            <w:r w:rsidRPr="00967091">
              <w:rPr>
                <w:shd w:val="clear" w:color="auto" w:fill="FFFFFF"/>
              </w:rPr>
              <w:t>Eiropa 2020 Stratēģija gudrai, ilgtspējīgai un integrējošai izaugsmei</w:t>
            </w:r>
            <w:r>
              <w:rPr>
                <w:shd w:val="clear" w:color="auto" w:fill="FFFFFF"/>
              </w:rPr>
              <w:t>”</w:t>
            </w:r>
            <w:r w:rsidRPr="00967091">
              <w:rPr>
                <w:shd w:val="clear" w:color="auto" w:fill="FFFFFF"/>
              </w:rPr>
              <w:t xml:space="preserve"> nosaka E</w:t>
            </w:r>
            <w:r>
              <w:rPr>
                <w:shd w:val="clear" w:color="auto" w:fill="FFFFFF"/>
              </w:rPr>
              <w:t xml:space="preserve">iropas </w:t>
            </w:r>
            <w:r w:rsidRPr="00967091">
              <w:rPr>
                <w:shd w:val="clear" w:color="auto" w:fill="FFFFFF"/>
              </w:rPr>
              <w:t>S</w:t>
            </w:r>
            <w:r>
              <w:rPr>
                <w:shd w:val="clear" w:color="auto" w:fill="FFFFFF"/>
              </w:rPr>
              <w:t>avienības</w:t>
            </w:r>
            <w:r w:rsidRPr="00967091">
              <w:rPr>
                <w:shd w:val="clear" w:color="auto" w:fill="FFFFFF"/>
              </w:rPr>
              <w:t xml:space="preserve"> </w:t>
            </w:r>
            <w:r>
              <w:rPr>
                <w:shd w:val="clear" w:color="auto" w:fill="FFFFFF"/>
              </w:rPr>
              <w:t xml:space="preserve">(turpmāk – ES) </w:t>
            </w:r>
            <w:r w:rsidRPr="00967091">
              <w:rPr>
                <w:shd w:val="clear" w:color="auto" w:fill="FFFFFF"/>
              </w:rPr>
              <w:t xml:space="preserve">attīstības mērķus un to sasniegšanai īstenojamos uzdevumus. Viens no </w:t>
            </w:r>
            <w:r>
              <w:rPr>
                <w:shd w:val="clear" w:color="auto" w:fill="FFFFFF"/>
              </w:rPr>
              <w:t>mērķiem</w:t>
            </w:r>
            <w:r w:rsidRPr="00967091">
              <w:rPr>
                <w:shd w:val="clear" w:color="auto" w:fill="FFFFFF"/>
              </w:rPr>
              <w:t xml:space="preserve"> ir uzlabot eiropiešu piekļuvi ātram un īpaši ātram internetam, nosakot, ka</w:t>
            </w:r>
            <w:r w:rsidR="007C1AEF">
              <w:rPr>
                <w:shd w:val="clear" w:color="auto" w:fill="FFFFFF"/>
              </w:rPr>
              <w:t xml:space="preserve"> </w:t>
            </w:r>
            <w:r w:rsidRPr="00967091">
              <w:rPr>
                <w:shd w:val="clear" w:color="auto" w:fill="FFFFFF"/>
              </w:rPr>
              <w:t>2020.gadā:</w:t>
            </w:r>
          </w:p>
          <w:p w14:paraId="4E9D80D8" w14:textId="77777777" w:rsidR="00967091" w:rsidRPr="00967091" w:rsidRDefault="00967091" w:rsidP="008059D2">
            <w:pPr>
              <w:ind w:left="143" w:right="130"/>
              <w:jc w:val="both"/>
              <w:rPr>
                <w:shd w:val="clear" w:color="auto" w:fill="FFFFFF"/>
              </w:rPr>
            </w:pPr>
            <w:r w:rsidRPr="00967091">
              <w:rPr>
                <w:shd w:val="clear" w:color="auto" w:fill="FFFFFF"/>
              </w:rPr>
              <w:t>- jebkuram ES iedzīvotājam būs iespēja saņemt interneta piekļuves pakalpojumu ar lejupielādes ātrumu vismaz 30 Mb/s;</w:t>
            </w:r>
          </w:p>
          <w:p w14:paraId="0B64C9EB" w14:textId="77777777" w:rsidR="00967091" w:rsidRPr="00967091" w:rsidRDefault="00967091" w:rsidP="008059D2">
            <w:pPr>
              <w:ind w:left="143" w:right="130"/>
              <w:jc w:val="both"/>
              <w:rPr>
                <w:shd w:val="clear" w:color="auto" w:fill="FFFFFF"/>
              </w:rPr>
            </w:pPr>
            <w:r w:rsidRPr="00967091">
              <w:rPr>
                <w:shd w:val="clear" w:color="auto" w:fill="FFFFFF"/>
              </w:rPr>
              <w:t xml:space="preserve">- vismaz 50% no ES mājsaimniecībām abonē interneta piekļuves pakalpojumu ar lejupielādes ātrumu vismaz 100 </w:t>
            </w:r>
            <w:proofErr w:type="spellStart"/>
            <w:r w:rsidRPr="00967091">
              <w:rPr>
                <w:shd w:val="clear" w:color="auto" w:fill="FFFFFF"/>
              </w:rPr>
              <w:t>Mb</w:t>
            </w:r>
            <w:proofErr w:type="spellEnd"/>
            <w:r w:rsidRPr="00967091">
              <w:rPr>
                <w:shd w:val="clear" w:color="auto" w:fill="FFFFFF"/>
              </w:rPr>
              <w:t>/s.</w:t>
            </w:r>
          </w:p>
          <w:p w14:paraId="3FBDB347" w14:textId="77777777" w:rsidR="00967091" w:rsidRDefault="00967091" w:rsidP="008059D2">
            <w:pPr>
              <w:ind w:left="143" w:right="130"/>
              <w:jc w:val="both"/>
              <w:rPr>
                <w:shd w:val="clear" w:color="auto" w:fill="FFFFFF"/>
              </w:rPr>
            </w:pPr>
          </w:p>
          <w:p w14:paraId="411D19C8" w14:textId="77777777" w:rsidR="00967091" w:rsidRDefault="00134E89" w:rsidP="008059D2">
            <w:pPr>
              <w:ind w:left="143" w:right="130"/>
              <w:jc w:val="both"/>
              <w:rPr>
                <w:shd w:val="clear" w:color="auto" w:fill="FFFFFF"/>
              </w:rPr>
            </w:pPr>
            <w:r w:rsidRPr="00134E89">
              <w:rPr>
                <w:shd w:val="clear" w:color="auto" w:fill="FFFFFF"/>
              </w:rPr>
              <w:t>Eiropas Komisijas 2016.gada 14.septembra paziņojums Eiropas Parlamentam, Padomei, Eiropas Ekonomikas un Sociālo Lietu Komitejai un Reģionu Komitejai "Konkurētspējīga digitālā vienotā tirgus savienojamība. Virzība uz Eiropas Gigabitu sabiedrību"</w:t>
            </w:r>
            <w:r>
              <w:rPr>
                <w:shd w:val="clear" w:color="auto" w:fill="FFFFFF"/>
              </w:rPr>
              <w:t xml:space="preserve"> paredz dalībvalstīm līdz 2025.gadam </w:t>
            </w:r>
            <w:r w:rsidR="00967091">
              <w:rPr>
                <w:shd w:val="clear" w:color="auto" w:fill="FFFFFF"/>
              </w:rPr>
              <w:t>sasniegt</w:t>
            </w:r>
            <w:r>
              <w:rPr>
                <w:shd w:val="clear" w:color="auto" w:fill="FFFFFF"/>
              </w:rPr>
              <w:t xml:space="preserve"> </w:t>
            </w:r>
            <w:r w:rsidR="00967091">
              <w:rPr>
                <w:shd w:val="clear" w:color="auto" w:fill="FFFFFF"/>
              </w:rPr>
              <w:t xml:space="preserve">trīs </w:t>
            </w:r>
            <w:r>
              <w:rPr>
                <w:shd w:val="clear" w:color="auto" w:fill="FFFFFF"/>
              </w:rPr>
              <w:t>mērķus:</w:t>
            </w:r>
            <w:r w:rsidR="00967091">
              <w:rPr>
                <w:shd w:val="clear" w:color="auto" w:fill="FFFFFF"/>
              </w:rPr>
              <w:t xml:space="preserve"> </w:t>
            </w:r>
          </w:p>
          <w:p w14:paraId="0254C45B" w14:textId="291DB54D" w:rsidR="00967091" w:rsidRDefault="00967091" w:rsidP="008059D2">
            <w:pPr>
              <w:ind w:left="143" w:right="130"/>
              <w:jc w:val="both"/>
              <w:rPr>
                <w:shd w:val="clear" w:color="auto" w:fill="FFFFFF"/>
              </w:rPr>
            </w:pPr>
            <w:r>
              <w:rPr>
                <w:shd w:val="clear" w:color="auto" w:fill="FFFFFF"/>
              </w:rPr>
              <w:t>-</w:t>
            </w:r>
            <w:r w:rsidRPr="00967091">
              <w:rPr>
                <w:shd w:val="clear" w:color="auto" w:fill="FFFFFF"/>
              </w:rPr>
              <w:t xml:space="preserve"> gigabitu savienojamība (interneta pieslēgums, kas</w:t>
            </w:r>
            <w:r w:rsidR="0028347C">
              <w:rPr>
                <w:shd w:val="clear" w:color="auto" w:fill="FFFFFF"/>
              </w:rPr>
              <w:t xml:space="preserve"> </w:t>
            </w:r>
            <w:proofErr w:type="spellStart"/>
            <w:r w:rsidRPr="00967091">
              <w:rPr>
                <w:shd w:val="clear" w:color="auto" w:fill="FFFFFF"/>
              </w:rPr>
              <w:t>lejuplīnijā</w:t>
            </w:r>
            <w:proofErr w:type="spellEnd"/>
            <w:r w:rsidRPr="00967091">
              <w:rPr>
                <w:shd w:val="clear" w:color="auto" w:fill="FFFFFF"/>
              </w:rPr>
              <w:t xml:space="preserve"> un augšuplīnijā nodrošina vismaz vienu </w:t>
            </w:r>
            <w:proofErr w:type="spellStart"/>
            <w:r w:rsidRPr="00967091">
              <w:rPr>
                <w:shd w:val="clear" w:color="auto" w:fill="FFFFFF"/>
              </w:rPr>
              <w:t>Gb</w:t>
            </w:r>
            <w:proofErr w:type="spellEnd"/>
            <w:r w:rsidRPr="00967091">
              <w:rPr>
                <w:shd w:val="clear" w:color="auto" w:fill="FFFFFF"/>
              </w:rPr>
              <w:t>/s) visiem</w:t>
            </w:r>
            <w:r>
              <w:rPr>
                <w:shd w:val="clear" w:color="auto" w:fill="FFFFFF"/>
              </w:rPr>
              <w:t xml:space="preserve"> </w:t>
            </w:r>
            <w:r w:rsidRPr="00967091">
              <w:rPr>
                <w:shd w:val="clear" w:color="auto" w:fill="FFFFFF"/>
              </w:rPr>
              <w:t>galvenajiem sociālekonomiskajiem virzītājspēkiem, piemēram,</w:t>
            </w:r>
            <w:r>
              <w:rPr>
                <w:shd w:val="clear" w:color="auto" w:fill="FFFFFF"/>
              </w:rPr>
              <w:t xml:space="preserve"> </w:t>
            </w:r>
            <w:r w:rsidRPr="00967091">
              <w:rPr>
                <w:shd w:val="clear" w:color="auto" w:fill="FFFFFF"/>
              </w:rPr>
              <w:t>skolām, bibliotēkām, pētniecības centriem, biznesa centriem,</w:t>
            </w:r>
            <w:r>
              <w:rPr>
                <w:shd w:val="clear" w:color="auto" w:fill="FFFFFF"/>
              </w:rPr>
              <w:t xml:space="preserve"> </w:t>
            </w:r>
            <w:r w:rsidRPr="00967091">
              <w:rPr>
                <w:shd w:val="clear" w:color="auto" w:fill="FFFFFF"/>
              </w:rPr>
              <w:t>dzelzceļa stacijām, ostām, lidostām, ārstu praksēm, slimnīcām,</w:t>
            </w:r>
            <w:r>
              <w:rPr>
                <w:shd w:val="clear" w:color="auto" w:fill="FFFFFF"/>
              </w:rPr>
              <w:t xml:space="preserve"> </w:t>
            </w:r>
            <w:r w:rsidRPr="00967091">
              <w:rPr>
                <w:shd w:val="clear" w:color="auto" w:fill="FFFFFF"/>
              </w:rPr>
              <w:t>stadioniem, valsts pārvaldes un pašvaldību ēkām, galvenajiem</w:t>
            </w:r>
            <w:r>
              <w:rPr>
                <w:shd w:val="clear" w:color="auto" w:fill="FFFFFF"/>
              </w:rPr>
              <w:t xml:space="preserve"> </w:t>
            </w:r>
            <w:r w:rsidRPr="00967091">
              <w:rPr>
                <w:shd w:val="clear" w:color="auto" w:fill="FFFFFF"/>
              </w:rPr>
              <w:t>sabiedrisko pakalpojumu sniedzējiem, kā arī uzņēmumiem, kas</w:t>
            </w:r>
            <w:r>
              <w:rPr>
                <w:shd w:val="clear" w:color="auto" w:fill="FFFFFF"/>
              </w:rPr>
              <w:t xml:space="preserve"> </w:t>
            </w:r>
            <w:r w:rsidRPr="00967091">
              <w:rPr>
                <w:shd w:val="clear" w:color="auto" w:fill="FFFFFF"/>
              </w:rPr>
              <w:t>intensīvi izmanto digitālos resursus</w:t>
            </w:r>
            <w:r>
              <w:rPr>
                <w:shd w:val="clear" w:color="auto" w:fill="FFFFFF"/>
              </w:rPr>
              <w:t xml:space="preserve">; </w:t>
            </w:r>
          </w:p>
          <w:p w14:paraId="3FC157FC" w14:textId="77777777" w:rsidR="00967091" w:rsidRDefault="00967091" w:rsidP="008059D2">
            <w:pPr>
              <w:ind w:left="143" w:right="130"/>
              <w:jc w:val="both"/>
              <w:rPr>
                <w:shd w:val="clear" w:color="auto" w:fill="FFFFFF"/>
              </w:rPr>
            </w:pPr>
            <w:r>
              <w:rPr>
                <w:shd w:val="clear" w:color="auto" w:fill="FFFFFF"/>
              </w:rPr>
              <w:t xml:space="preserve">- visām lielām pilsētām un </w:t>
            </w:r>
            <w:r w:rsidRPr="00967091">
              <w:rPr>
                <w:shd w:val="clear" w:color="auto" w:fill="FFFFFF"/>
              </w:rPr>
              <w:t xml:space="preserve">tām piegulošām pārvietošanās </w:t>
            </w:r>
            <w:r w:rsidRPr="00967091">
              <w:rPr>
                <w:shd w:val="clear" w:color="auto" w:fill="FFFFFF"/>
              </w:rPr>
              <w:lastRenderedPageBreak/>
              <w:t>zonām un visām sauszemes transporta</w:t>
            </w:r>
            <w:r>
              <w:rPr>
                <w:shd w:val="clear" w:color="auto" w:fill="FFFFFF"/>
              </w:rPr>
              <w:t xml:space="preserve"> </w:t>
            </w:r>
            <w:r w:rsidRPr="00967091">
              <w:rPr>
                <w:shd w:val="clear" w:color="auto" w:fill="FFFFFF"/>
              </w:rPr>
              <w:t>maģistrālēm ir nepārtraukts 5G pārklājums;</w:t>
            </w:r>
          </w:p>
          <w:p w14:paraId="33323AB9" w14:textId="0F1B1EF0" w:rsidR="00967091" w:rsidRPr="00967091" w:rsidRDefault="00967091" w:rsidP="008059D2">
            <w:pPr>
              <w:ind w:left="143" w:right="130"/>
              <w:jc w:val="both"/>
              <w:rPr>
                <w:shd w:val="clear" w:color="auto" w:fill="FFFFFF"/>
              </w:rPr>
            </w:pPr>
            <w:r>
              <w:rPr>
                <w:shd w:val="clear" w:color="auto" w:fill="FFFFFF"/>
              </w:rPr>
              <w:t>-</w:t>
            </w:r>
            <w:r w:rsidRPr="00967091">
              <w:rPr>
                <w:shd w:val="clear" w:color="auto" w:fill="FFFFFF"/>
              </w:rPr>
              <w:t xml:space="preserve"> visām mājsaimniecībām gan laukos, gan pilsētās ir pieejams interneta</w:t>
            </w:r>
            <w:r>
              <w:rPr>
                <w:shd w:val="clear" w:color="auto" w:fill="FFFFFF"/>
              </w:rPr>
              <w:t xml:space="preserve"> </w:t>
            </w:r>
            <w:r w:rsidRPr="00967091">
              <w:rPr>
                <w:shd w:val="clear" w:color="auto" w:fill="FFFFFF"/>
              </w:rPr>
              <w:t xml:space="preserve">pieslēgums ar vismaz 100 Mb/s </w:t>
            </w:r>
            <w:proofErr w:type="spellStart"/>
            <w:r w:rsidRPr="00967091">
              <w:rPr>
                <w:shd w:val="clear" w:color="auto" w:fill="FFFFFF"/>
              </w:rPr>
              <w:t>lejuplīnijas</w:t>
            </w:r>
            <w:proofErr w:type="spellEnd"/>
            <w:r w:rsidRPr="00967091">
              <w:rPr>
                <w:shd w:val="clear" w:color="auto" w:fill="FFFFFF"/>
              </w:rPr>
              <w:t xml:space="preserve"> ātrumu, ko var uzlabot</w:t>
            </w:r>
            <w:r>
              <w:rPr>
                <w:shd w:val="clear" w:color="auto" w:fill="FFFFFF"/>
              </w:rPr>
              <w:t xml:space="preserve"> </w:t>
            </w:r>
            <w:r w:rsidRPr="00967091">
              <w:rPr>
                <w:shd w:val="clear" w:color="auto" w:fill="FFFFFF"/>
              </w:rPr>
              <w:t>līdz gigabitu ātrumam.</w:t>
            </w:r>
          </w:p>
          <w:p w14:paraId="6CEA4011" w14:textId="1F53178B" w:rsidR="00134E89" w:rsidRDefault="0073550C" w:rsidP="008059D2">
            <w:pPr>
              <w:ind w:left="143" w:right="130"/>
              <w:jc w:val="both"/>
              <w:rPr>
                <w:rFonts w:eastAsia="Calibri"/>
              </w:rPr>
            </w:pPr>
            <w:r w:rsidRPr="0073550C">
              <w:t xml:space="preserve">Lai veicinātu ES stratēģiskajos dokumentos noteikto mērķu izpildi </w:t>
            </w:r>
            <w:r w:rsidRPr="0073550C">
              <w:rPr>
                <w:rFonts w:eastAsia="Calibri"/>
              </w:rPr>
              <w:t xml:space="preserve">un panāktu labāku platjoslas pakalpojumu pieejamību, īpaši  lauku apvidos, </w:t>
            </w:r>
            <w:r w:rsidRPr="00D3273C">
              <w:rPr>
                <w:rFonts w:eastAsia="Calibri"/>
              </w:rPr>
              <w:t>Eiropas Komisija 2017.gada novembrī prezentēja 5 punktu  programmu</w:t>
            </w:r>
            <w:r>
              <w:rPr>
                <w:rFonts w:eastAsia="Calibri"/>
              </w:rPr>
              <w:t>, kuras v</w:t>
            </w:r>
            <w:r w:rsidRPr="00D3273C">
              <w:rPr>
                <w:rFonts w:eastAsia="Calibri"/>
              </w:rPr>
              <w:t>iens punktiem ir platjoslas kompetenču centr</w:t>
            </w:r>
            <w:r>
              <w:rPr>
                <w:rFonts w:eastAsia="Calibri"/>
              </w:rPr>
              <w:t>a</w:t>
            </w:r>
            <w:r w:rsidRPr="00D3273C">
              <w:rPr>
                <w:rFonts w:eastAsia="Calibri"/>
              </w:rPr>
              <w:t xml:space="preserve"> (</w:t>
            </w:r>
            <w:proofErr w:type="spellStart"/>
            <w:r w:rsidRPr="00D3273C">
              <w:rPr>
                <w:rFonts w:eastAsia="Calibri"/>
              </w:rPr>
              <w:t>Broadband</w:t>
            </w:r>
            <w:proofErr w:type="spellEnd"/>
            <w:r w:rsidRPr="00D3273C">
              <w:rPr>
                <w:rFonts w:eastAsia="Calibri"/>
              </w:rPr>
              <w:t xml:space="preserve"> </w:t>
            </w:r>
            <w:proofErr w:type="spellStart"/>
            <w:r w:rsidRPr="00D3273C">
              <w:rPr>
                <w:rFonts w:eastAsia="Calibri"/>
              </w:rPr>
              <w:t>Competence</w:t>
            </w:r>
            <w:proofErr w:type="spellEnd"/>
            <w:r w:rsidRPr="00D3273C">
              <w:rPr>
                <w:rFonts w:eastAsia="Calibri"/>
              </w:rPr>
              <w:t xml:space="preserve"> Office-BCO) izveide katrā</w:t>
            </w:r>
            <w:r>
              <w:rPr>
                <w:rFonts w:eastAsia="Calibri"/>
              </w:rPr>
              <w:t xml:space="preserve"> ES</w:t>
            </w:r>
            <w:r w:rsidRPr="00D3273C">
              <w:rPr>
                <w:rFonts w:eastAsia="Calibri"/>
              </w:rPr>
              <w:t xml:space="preserve"> dalībvalstī.</w:t>
            </w:r>
            <w:r>
              <w:rPr>
                <w:rFonts w:eastAsia="Calibri"/>
              </w:rPr>
              <w:t xml:space="preserve"> </w:t>
            </w:r>
          </w:p>
          <w:p w14:paraId="531E8962" w14:textId="2204B13F" w:rsidR="0073550C" w:rsidRDefault="0073550C" w:rsidP="008059D2">
            <w:pPr>
              <w:ind w:left="143" w:right="130"/>
              <w:jc w:val="both"/>
              <w:rPr>
                <w:shd w:val="clear" w:color="auto" w:fill="FFFFFF"/>
              </w:rPr>
            </w:pPr>
            <w:r>
              <w:rPr>
                <w:rFonts w:eastAsia="Calibri"/>
              </w:rPr>
              <w:t>P</w:t>
            </w:r>
            <w:r w:rsidRPr="00D3273C">
              <w:rPr>
                <w:rFonts w:eastAsia="Calibri"/>
              </w:rPr>
              <w:t>latjoslas kompetenču centr</w:t>
            </w:r>
            <w:r>
              <w:rPr>
                <w:rFonts w:eastAsia="Calibri"/>
              </w:rPr>
              <w:t>a</w:t>
            </w:r>
            <w:r w:rsidRPr="00AA7352">
              <w:rPr>
                <w:rFonts w:eastAsia="Calibri"/>
              </w:rPr>
              <w:t xml:space="preserve"> mērķis ir apkopot vienotā kontaktpunktā informāciju, </w:t>
            </w:r>
            <w:r>
              <w:rPr>
                <w:rFonts w:eastAsia="Calibri"/>
              </w:rPr>
              <w:t>kas saistīta ar platjoslas attīstību dalībvalstī</w:t>
            </w:r>
            <w:r w:rsidRPr="00AA7352">
              <w:rPr>
                <w:rFonts w:eastAsia="Calibri"/>
              </w:rPr>
              <w:t>, pie</w:t>
            </w:r>
            <w:r>
              <w:rPr>
                <w:rFonts w:eastAsia="Calibri"/>
              </w:rPr>
              <w:t>mēram, attiecībā uz val</w:t>
            </w:r>
            <w:r w:rsidR="00D419C7">
              <w:rPr>
                <w:rFonts w:eastAsia="Calibri"/>
              </w:rPr>
              <w:t>sts atbalsta jautājumiem</w:t>
            </w:r>
            <w:r>
              <w:rPr>
                <w:rFonts w:eastAsia="Calibri"/>
              </w:rPr>
              <w:t>, pakalpojumu pieejamības (kartēšanas) un citiem</w:t>
            </w:r>
            <w:r w:rsidRPr="00AA7352">
              <w:rPr>
                <w:rFonts w:eastAsia="Calibri"/>
              </w:rPr>
              <w:t xml:space="preserve"> reg</w:t>
            </w:r>
            <w:r>
              <w:rPr>
                <w:rFonts w:eastAsia="Calibri"/>
              </w:rPr>
              <w:t xml:space="preserve">lamentējošiem un tehniskiem jautājumiem, lai </w:t>
            </w:r>
            <w:r w:rsidRPr="00AA7352">
              <w:rPr>
                <w:rFonts w:eastAsia="Calibri"/>
              </w:rPr>
              <w:t>konsultēt</w:t>
            </w:r>
            <w:r>
              <w:rPr>
                <w:rFonts w:eastAsia="Calibri"/>
              </w:rPr>
              <w:t>u</w:t>
            </w:r>
            <w:r w:rsidRPr="00AA7352">
              <w:rPr>
                <w:rFonts w:eastAsia="Calibri"/>
              </w:rPr>
              <w:t xml:space="preserve"> </w:t>
            </w:r>
            <w:r w:rsidRPr="00E833BA">
              <w:rPr>
                <w:rFonts w:eastAsia="Calibri"/>
              </w:rPr>
              <w:t>publiskā un</w:t>
            </w:r>
            <w:r>
              <w:rPr>
                <w:rFonts w:eastAsia="Calibri"/>
              </w:rPr>
              <w:t xml:space="preserve"> privātā sektora ieinteresētās personas.</w:t>
            </w:r>
          </w:p>
          <w:p w14:paraId="3F0DFCA3" w14:textId="47B5DA11" w:rsidR="00134E89" w:rsidRDefault="00CA2E3E" w:rsidP="008059D2">
            <w:pPr>
              <w:ind w:left="143" w:right="130"/>
              <w:jc w:val="both"/>
              <w:rPr>
                <w:rFonts w:eastAsia="Calibri"/>
              </w:rPr>
            </w:pPr>
            <w:r w:rsidRPr="00693D2D">
              <w:t>Centrālais</w:t>
            </w:r>
            <w:r w:rsidR="00693D2D">
              <w:t xml:space="preserve"> jeb</w:t>
            </w:r>
            <w:r w:rsidRPr="00693D2D">
              <w:t xml:space="preserve"> E</w:t>
            </w:r>
            <w:r w:rsidR="00693D2D">
              <w:t>i</w:t>
            </w:r>
            <w:r w:rsidR="00693D2D" w:rsidRPr="00693D2D">
              <w:t xml:space="preserve">ropas </w:t>
            </w:r>
            <w:r w:rsidRPr="00693D2D">
              <w:t>K</w:t>
            </w:r>
            <w:r w:rsidR="00693D2D" w:rsidRPr="00693D2D">
              <w:t>omisijas</w:t>
            </w:r>
            <w:r w:rsidRPr="00693D2D">
              <w:t xml:space="preserve"> nodrošinātais </w:t>
            </w:r>
            <w:r w:rsidR="00F64F99">
              <w:t>p</w:t>
            </w:r>
            <w:r w:rsidR="00693D2D" w:rsidRPr="00693D2D">
              <w:rPr>
                <w:rFonts w:eastAsia="Calibri"/>
              </w:rPr>
              <w:t>latjoslas kompetenču centr</w:t>
            </w:r>
            <w:r w:rsidR="00693D2D">
              <w:rPr>
                <w:rFonts w:eastAsia="Calibri"/>
              </w:rPr>
              <w:t>s</w:t>
            </w:r>
            <w:r w:rsidRPr="00693D2D">
              <w:t xml:space="preserve"> regulāri rīko kontakttīkla sanāksmes, kurās </w:t>
            </w:r>
            <w:r w:rsidR="00DB6CB2">
              <w:t xml:space="preserve">dalībvalstu pārstāvjiem </w:t>
            </w:r>
            <w:r w:rsidRPr="00693D2D">
              <w:t xml:space="preserve">tiek sniegta informācija </w:t>
            </w:r>
            <w:r w:rsidR="00693D2D">
              <w:t xml:space="preserve">un pārskati </w:t>
            </w:r>
            <w:r w:rsidRPr="00693D2D">
              <w:t>par aktualitātēm</w:t>
            </w:r>
            <w:r w:rsidR="00693D2D">
              <w:t xml:space="preserve"> </w:t>
            </w:r>
            <w:r w:rsidR="00693D2D" w:rsidRPr="00AB0F3B">
              <w:rPr>
                <w:rFonts w:eastAsia="Calibri"/>
              </w:rPr>
              <w:t>platjoslas attīstīb</w:t>
            </w:r>
            <w:r w:rsidR="00DB6CB2">
              <w:rPr>
                <w:rFonts w:eastAsia="Calibri"/>
              </w:rPr>
              <w:t>ā</w:t>
            </w:r>
            <w:r w:rsidR="00693D2D" w:rsidRPr="00AB0F3B">
              <w:rPr>
                <w:rFonts w:eastAsia="Calibri"/>
              </w:rPr>
              <w:t xml:space="preserve">, </w:t>
            </w:r>
            <w:r w:rsidR="00DB6CB2">
              <w:t>tostarp</w:t>
            </w:r>
            <w:r w:rsidR="00DB6CB2" w:rsidRPr="00AB0F3B">
              <w:rPr>
                <w:rFonts w:eastAsia="Calibri"/>
              </w:rPr>
              <w:t xml:space="preserve"> </w:t>
            </w:r>
            <w:r w:rsidR="00693D2D" w:rsidRPr="00AB0F3B">
              <w:rPr>
                <w:rFonts w:eastAsia="Calibri"/>
              </w:rPr>
              <w:t xml:space="preserve">par platjoslas pakalpojumiem lauku apvidos, </w:t>
            </w:r>
            <w:r w:rsidR="00A455A2" w:rsidRPr="00AB0F3B">
              <w:rPr>
                <w:rFonts w:eastAsia="Calibri"/>
              </w:rPr>
              <w:t xml:space="preserve">par infrastruktūras kartēšanu, </w:t>
            </w:r>
            <w:r w:rsidR="00AB0F3B">
              <w:rPr>
                <w:rFonts w:eastAsia="Calibri"/>
              </w:rPr>
              <w:t>kā arī par galvenaj</w:t>
            </w:r>
            <w:r w:rsidR="00D84AEB">
              <w:rPr>
                <w:rFonts w:eastAsia="Calibri"/>
              </w:rPr>
              <w:t>ā</w:t>
            </w:r>
            <w:r w:rsidR="00AB0F3B">
              <w:rPr>
                <w:rFonts w:eastAsia="Calibri"/>
              </w:rPr>
              <w:t xml:space="preserve">m </w:t>
            </w:r>
            <w:r w:rsidR="00A455A2" w:rsidRPr="00AB0F3B">
              <w:rPr>
                <w:rFonts w:eastAsia="Calibri"/>
              </w:rPr>
              <w:t xml:space="preserve"> problēm</w:t>
            </w:r>
            <w:r w:rsidR="00D84AEB">
              <w:rPr>
                <w:rFonts w:eastAsia="Calibri"/>
              </w:rPr>
              <w:t>ām</w:t>
            </w:r>
            <w:r w:rsidR="00A455A2" w:rsidRPr="00AB0F3B">
              <w:rPr>
                <w:rFonts w:eastAsia="Calibri"/>
              </w:rPr>
              <w:t xml:space="preserve"> infrastruktūras izvēršanā (piem., pēdējās jūdzes nodrošināšanā, infrastruktūras izvēršanas izmaksu samazināšanai (koplietošanā) u.c</w:t>
            </w:r>
            <w:r w:rsidR="00D84AEB">
              <w:rPr>
                <w:rFonts w:eastAsia="Calibri"/>
              </w:rPr>
              <w:t>.</w:t>
            </w:r>
            <w:r w:rsidR="00AB0F3B" w:rsidRPr="00AB0F3B">
              <w:rPr>
                <w:rFonts w:eastAsia="Calibri"/>
              </w:rPr>
              <w:t>).</w:t>
            </w:r>
            <w:r w:rsidR="004A44A7">
              <w:rPr>
                <w:rFonts w:eastAsia="Calibri"/>
              </w:rPr>
              <w:t xml:space="preserve"> </w:t>
            </w:r>
          </w:p>
          <w:p w14:paraId="5447128F" w14:textId="31C1B438" w:rsidR="004A44A7" w:rsidRDefault="004A44A7" w:rsidP="008059D2">
            <w:pPr>
              <w:ind w:left="143" w:right="130"/>
              <w:jc w:val="both"/>
              <w:rPr>
                <w:rFonts w:eastAsia="Calibri"/>
              </w:rPr>
            </w:pPr>
            <w:r>
              <w:rPr>
                <w:rFonts w:eastAsia="Calibri"/>
              </w:rPr>
              <w:t>P</w:t>
            </w:r>
            <w:r w:rsidRPr="00D3273C">
              <w:rPr>
                <w:rFonts w:eastAsia="Calibri"/>
              </w:rPr>
              <w:t>latjoslas kompetenču centr</w:t>
            </w:r>
            <w:r>
              <w:rPr>
                <w:rFonts w:eastAsia="Calibri"/>
              </w:rPr>
              <w:t>u izveide</w:t>
            </w:r>
            <w:r w:rsidRPr="00AA7352">
              <w:rPr>
                <w:rFonts w:eastAsia="Calibri"/>
              </w:rPr>
              <w:t xml:space="preserve"> ES dalībval</w:t>
            </w:r>
            <w:r>
              <w:rPr>
                <w:rFonts w:eastAsia="Calibri"/>
              </w:rPr>
              <w:t>stīs uzsākta 2017.gada novembrī</w:t>
            </w:r>
            <w:r w:rsidRPr="00AA7352">
              <w:rPr>
                <w:rFonts w:eastAsia="Calibri"/>
              </w:rPr>
              <w:t xml:space="preserve"> un</w:t>
            </w:r>
            <w:r>
              <w:rPr>
                <w:rFonts w:eastAsia="Calibri"/>
              </w:rPr>
              <w:t xml:space="preserve"> 2018.gada beigās ir aptvertas visas dalībvalstis. Vairākumā dalībvalstu ir izveidoti ne tikai nacionālie </w:t>
            </w:r>
            <w:r w:rsidR="00F64F99">
              <w:rPr>
                <w:rFonts w:eastAsia="Calibri"/>
              </w:rPr>
              <w:t>p</w:t>
            </w:r>
            <w:r w:rsidRPr="00D3273C">
              <w:rPr>
                <w:rFonts w:eastAsia="Calibri"/>
              </w:rPr>
              <w:t>latjoslas kompetenču centr</w:t>
            </w:r>
            <w:r w:rsidR="00D419C7">
              <w:rPr>
                <w:rFonts w:eastAsia="Calibri"/>
              </w:rPr>
              <w:t xml:space="preserve">i, bet arī reģionālie. </w:t>
            </w:r>
            <w:r>
              <w:rPr>
                <w:rFonts w:eastAsia="Calibri"/>
              </w:rPr>
              <w:t xml:space="preserve">Pēc Eiropas </w:t>
            </w:r>
            <w:r w:rsidR="00D419C7">
              <w:rPr>
                <w:rFonts w:eastAsia="Calibri"/>
              </w:rPr>
              <w:t xml:space="preserve">Komisijas sniegtās informācijas </w:t>
            </w:r>
            <w:r w:rsidRPr="004A44A7">
              <w:rPr>
                <w:rFonts w:eastAsia="Calibri"/>
              </w:rPr>
              <w:t xml:space="preserve">ES austrumu reģiona valstīs </w:t>
            </w:r>
            <w:r w:rsidR="00F64F99">
              <w:rPr>
                <w:rFonts w:eastAsia="Calibri"/>
              </w:rPr>
              <w:t>p</w:t>
            </w:r>
            <w:r w:rsidRPr="00D3273C">
              <w:rPr>
                <w:rFonts w:eastAsia="Calibri"/>
              </w:rPr>
              <w:t>latjoslas kompetenču centr</w:t>
            </w:r>
            <w:r>
              <w:rPr>
                <w:rFonts w:eastAsia="Calibri"/>
              </w:rPr>
              <w:t>a</w:t>
            </w:r>
            <w:r w:rsidRPr="004A44A7">
              <w:rPr>
                <w:rFonts w:eastAsia="Calibri"/>
              </w:rPr>
              <w:t xml:space="preserve"> funkcijas nodrošina vidēji 1 cilvēks, dienvidu – 4 cilvēki, ziemeļu – 12, rietumu – 19 cilvēki. </w:t>
            </w:r>
            <w:r w:rsidR="00C55CC9">
              <w:rPr>
                <w:rFonts w:eastAsia="Calibri"/>
              </w:rPr>
              <w:t xml:space="preserve">Vairumā gadījumu </w:t>
            </w:r>
            <w:r w:rsidR="00F64F99">
              <w:rPr>
                <w:rFonts w:eastAsia="Calibri"/>
              </w:rPr>
              <w:t>p</w:t>
            </w:r>
            <w:r w:rsidR="00C55CC9" w:rsidRPr="00D3273C">
              <w:rPr>
                <w:rFonts w:eastAsia="Calibri"/>
              </w:rPr>
              <w:t>latjoslas kompetenču centr</w:t>
            </w:r>
            <w:r w:rsidR="00C55CC9">
              <w:rPr>
                <w:rFonts w:eastAsia="Calibri"/>
              </w:rPr>
              <w:t>a funkciju veic atbilstošā ministrija.</w:t>
            </w:r>
          </w:p>
          <w:p w14:paraId="7630C114" w14:textId="66811305" w:rsidR="00C8623C" w:rsidRDefault="00C8623C" w:rsidP="008059D2">
            <w:pPr>
              <w:ind w:left="143" w:right="130"/>
              <w:jc w:val="both"/>
              <w:rPr>
                <w:rFonts w:eastAsia="Calibri"/>
              </w:rPr>
            </w:pPr>
            <w:r>
              <w:rPr>
                <w:rFonts w:eastAsia="Calibri"/>
              </w:rPr>
              <w:t>Noteikumu projekts paredz</w:t>
            </w:r>
            <w:r w:rsidRPr="00B740B1">
              <w:rPr>
                <w:rFonts w:eastAsia="Calibri"/>
              </w:rPr>
              <w:t xml:space="preserve"> Satiksmes ministrijai nodrošin</w:t>
            </w:r>
            <w:r w:rsidR="00F64F99">
              <w:rPr>
                <w:rFonts w:eastAsia="Calibri"/>
              </w:rPr>
              <w:t>āt p</w:t>
            </w:r>
            <w:r>
              <w:rPr>
                <w:rFonts w:eastAsia="Calibri"/>
              </w:rPr>
              <w:t>latjoslas kompetenču centra funkcijas Latvijā.</w:t>
            </w:r>
          </w:p>
          <w:p w14:paraId="6E870E2E" w14:textId="42C5CB3E" w:rsidR="00CA2CA4" w:rsidRDefault="00C55CC9" w:rsidP="008059D2">
            <w:pPr>
              <w:ind w:left="150" w:right="130" w:hanging="15"/>
              <w:jc w:val="both"/>
              <w:rPr>
                <w:rFonts w:eastAsia="Calibri"/>
              </w:rPr>
            </w:pPr>
            <w:r w:rsidRPr="0073375E">
              <w:t xml:space="preserve">Galvenie uzdevumi </w:t>
            </w:r>
            <w:r w:rsidR="00EC3D2C">
              <w:rPr>
                <w:rFonts w:eastAsia="Calibri"/>
              </w:rPr>
              <w:t>p</w:t>
            </w:r>
            <w:r w:rsidRPr="0073375E">
              <w:rPr>
                <w:rFonts w:eastAsia="Calibri"/>
              </w:rPr>
              <w:t xml:space="preserve">latjoslas kompetenču centra </w:t>
            </w:r>
            <w:r w:rsidRPr="0073375E">
              <w:t>funkcijas nodrošināšanai ir:</w:t>
            </w:r>
            <w:r w:rsidR="00383058" w:rsidRPr="00EC41F4">
              <w:rPr>
                <w:i/>
              </w:rPr>
              <w:t xml:space="preserve"> </w:t>
            </w:r>
            <w:r w:rsidR="00CA2CA4" w:rsidRPr="00CA2CA4">
              <w:t xml:space="preserve">nacionālo platjoslas politikas plānošanas dokumentu </w:t>
            </w:r>
            <w:r w:rsidR="00CA2CA4" w:rsidRPr="00CA2CA4">
              <w:rPr>
                <w:i/>
              </w:rPr>
              <w:t>(</w:t>
            </w:r>
            <w:proofErr w:type="spellStart"/>
            <w:r w:rsidR="00CA2CA4" w:rsidRPr="00CA2CA4">
              <w:rPr>
                <w:i/>
              </w:rPr>
              <w:t>Broadband</w:t>
            </w:r>
            <w:proofErr w:type="spellEnd"/>
            <w:r w:rsidR="00CA2CA4" w:rsidRPr="00CA2CA4">
              <w:rPr>
                <w:i/>
              </w:rPr>
              <w:t xml:space="preserve"> </w:t>
            </w:r>
            <w:proofErr w:type="spellStart"/>
            <w:r w:rsidR="00CA2CA4" w:rsidRPr="00CA2CA4">
              <w:rPr>
                <w:i/>
              </w:rPr>
              <w:t>plans</w:t>
            </w:r>
            <w:proofErr w:type="spellEnd"/>
            <w:r w:rsidR="00CA2CA4" w:rsidRPr="00CA2CA4">
              <w:rPr>
                <w:i/>
              </w:rPr>
              <w:t>)</w:t>
            </w:r>
            <w:r w:rsidR="00CA2CA4" w:rsidRPr="00CA2CA4">
              <w:t xml:space="preserve"> izveide un atjaunināšana</w:t>
            </w:r>
            <w:r w:rsidR="00D419C7">
              <w:t>; platjoslas projektu</w:t>
            </w:r>
            <w:r w:rsidR="00CA2CA4">
              <w:t xml:space="preserve"> </w:t>
            </w:r>
            <w:r w:rsidR="00383058" w:rsidRPr="00CA2CA4">
              <w:t>valsts atbalsta jautājumi</w:t>
            </w:r>
            <w:r w:rsidR="00CA2CA4" w:rsidRPr="00CA2CA4">
              <w:t>;</w:t>
            </w:r>
            <w:r w:rsidR="00383058" w:rsidRPr="00CA2CA4">
              <w:t xml:space="preserve"> </w:t>
            </w:r>
            <w:r w:rsidR="00FC55E7">
              <w:t>i</w:t>
            </w:r>
            <w:r w:rsidR="00CA2CA4">
              <w:t>nformācijas sniegšana</w:t>
            </w:r>
            <w:r w:rsidR="00CA2CA4" w:rsidRPr="00CA2CA4">
              <w:t xml:space="preserve"> elektronisko sakaru infrastruktūras projektu īstenotājiem; </w:t>
            </w:r>
            <w:r w:rsidR="00CA2CA4">
              <w:t xml:space="preserve">platjoslas </w:t>
            </w:r>
            <w:r w:rsidR="00CA2CA4" w:rsidRPr="00CA2CA4">
              <w:t>kartēšana</w:t>
            </w:r>
            <w:r w:rsidR="00CA2CA4">
              <w:t>s risinājumi, da</w:t>
            </w:r>
            <w:r w:rsidR="00014168">
              <w:t xml:space="preserve">rbība </w:t>
            </w:r>
            <w:r w:rsidR="00CA2CA4" w:rsidRPr="00693D2D">
              <w:t>E</w:t>
            </w:r>
            <w:r w:rsidR="00CA2CA4">
              <w:t>i</w:t>
            </w:r>
            <w:r w:rsidR="00CA2CA4" w:rsidRPr="00693D2D">
              <w:t>ropas Komisijas nodrošināta</w:t>
            </w:r>
            <w:r w:rsidR="00CA2CA4">
              <w:t>jā</w:t>
            </w:r>
            <w:r w:rsidR="00CA2CA4" w:rsidRPr="00693D2D">
              <w:t xml:space="preserve"> </w:t>
            </w:r>
            <w:r w:rsidR="00E45544">
              <w:t>p</w:t>
            </w:r>
            <w:r w:rsidR="00CA2CA4" w:rsidRPr="00693D2D">
              <w:rPr>
                <w:rFonts w:eastAsia="Calibri"/>
              </w:rPr>
              <w:t>latjoslas kompetenču centr</w:t>
            </w:r>
            <w:r w:rsidR="00CA2CA4">
              <w:rPr>
                <w:rFonts w:eastAsia="Calibri"/>
              </w:rPr>
              <w:t>a rīkotajās kontakttīkla sanāksmēs</w:t>
            </w:r>
            <w:r w:rsidR="00014168">
              <w:rPr>
                <w:rFonts w:eastAsia="Calibri"/>
              </w:rPr>
              <w:t>.</w:t>
            </w:r>
          </w:p>
          <w:p w14:paraId="3912E89C" w14:textId="2147A1C2" w:rsidR="00C216C5" w:rsidRDefault="00C216C5" w:rsidP="008059D2">
            <w:pPr>
              <w:ind w:left="150" w:right="130"/>
              <w:jc w:val="both"/>
              <w:rPr>
                <w:rFonts w:eastAsia="Calibri"/>
              </w:rPr>
            </w:pPr>
            <w:r>
              <w:rPr>
                <w:rFonts w:eastAsia="Calibri"/>
              </w:rPr>
              <w:t xml:space="preserve">Papildus  projekts paredz </w:t>
            </w:r>
            <w:r>
              <w:t xml:space="preserve"> </w:t>
            </w:r>
            <w:r>
              <w:rPr>
                <w:rFonts w:eastAsia="Calibri"/>
              </w:rPr>
              <w:t xml:space="preserve">Satiksmes </w:t>
            </w:r>
            <w:r w:rsidRPr="00C216C5">
              <w:rPr>
                <w:rFonts w:eastAsia="Calibri"/>
              </w:rPr>
              <w:t xml:space="preserve"> ministrij</w:t>
            </w:r>
            <w:r>
              <w:rPr>
                <w:rFonts w:eastAsia="Calibri"/>
              </w:rPr>
              <w:t>a</w:t>
            </w:r>
            <w:r w:rsidR="004859FE">
              <w:rPr>
                <w:rFonts w:eastAsia="Calibri"/>
              </w:rPr>
              <w:t xml:space="preserve">i nodrošināt </w:t>
            </w:r>
            <w:r w:rsidRPr="00C216C5">
              <w:rPr>
                <w:rFonts w:eastAsia="Calibri"/>
              </w:rPr>
              <w:t>valsts materiālo rezervju veidošan</w:t>
            </w:r>
            <w:r w:rsidR="00EF60A6">
              <w:rPr>
                <w:rFonts w:eastAsia="Calibri"/>
              </w:rPr>
              <w:t>u</w:t>
            </w:r>
            <w:r w:rsidRPr="00C216C5">
              <w:rPr>
                <w:rFonts w:eastAsia="Calibri"/>
              </w:rPr>
              <w:t xml:space="preserve"> un pārvaldīšan</w:t>
            </w:r>
            <w:r w:rsidR="00EF60A6">
              <w:rPr>
                <w:rFonts w:eastAsia="Calibri"/>
              </w:rPr>
              <w:t>u</w:t>
            </w:r>
            <w:r w:rsidR="008E5013">
              <w:rPr>
                <w:rFonts w:eastAsia="Calibri"/>
              </w:rPr>
              <w:t>.</w:t>
            </w:r>
          </w:p>
          <w:p w14:paraId="642F0E82" w14:textId="036D0FF1" w:rsidR="008E5013" w:rsidRDefault="008E5013" w:rsidP="008059D2">
            <w:pPr>
              <w:ind w:left="135" w:right="130"/>
              <w:jc w:val="both"/>
              <w:rPr>
                <w:color w:val="000000"/>
                <w:shd w:val="clear" w:color="auto" w:fill="FFFFFF"/>
              </w:rPr>
            </w:pPr>
            <w:r>
              <w:rPr>
                <w:color w:val="000000"/>
                <w:shd w:val="clear" w:color="auto" w:fill="FFFFFF"/>
              </w:rPr>
              <w:t>Līdz 2018.gada 31.decembrim bija spēkā Valsts materiālo rezervju likums, kas paredzēja, ka materiālo rezervju iegādi</w:t>
            </w:r>
            <w:r w:rsidR="00E02535">
              <w:t xml:space="preserve"> </w:t>
            </w:r>
            <w:r w:rsidR="00E02535" w:rsidRPr="00E02535">
              <w:rPr>
                <w:color w:val="000000"/>
                <w:shd w:val="clear" w:color="auto" w:fill="FFFFFF"/>
              </w:rPr>
              <w:t>uzglabāšanu, atjaunināšanu, uzskaiti, realizāciju</w:t>
            </w:r>
            <w:r w:rsidR="00DD3439">
              <w:rPr>
                <w:color w:val="000000"/>
                <w:shd w:val="clear" w:color="auto" w:fill="FFFFFF"/>
              </w:rPr>
              <w:t xml:space="preserve"> u.t.t</w:t>
            </w:r>
            <w:r>
              <w:rPr>
                <w:color w:val="000000"/>
                <w:shd w:val="clear" w:color="auto" w:fill="FFFFFF"/>
              </w:rPr>
              <w:t xml:space="preserve"> organizē Iekšlietu ministrijas padotības iestāde – Nodrošinājuma valsts aģentūra.</w:t>
            </w:r>
          </w:p>
          <w:p w14:paraId="7C4C7182" w14:textId="42212348" w:rsidR="008E5013" w:rsidRDefault="008E5013" w:rsidP="008059D2">
            <w:pPr>
              <w:tabs>
                <w:tab w:val="left" w:pos="4061"/>
              </w:tabs>
              <w:ind w:left="135" w:right="130"/>
              <w:jc w:val="both"/>
              <w:rPr>
                <w:color w:val="000000"/>
                <w:shd w:val="clear" w:color="auto" w:fill="FFFFFF"/>
              </w:rPr>
            </w:pPr>
            <w:r>
              <w:rPr>
                <w:color w:val="000000"/>
                <w:shd w:val="clear" w:color="auto" w:fill="FFFFFF"/>
              </w:rPr>
              <w:t xml:space="preserve"> 2019.gada 1.janvārī stājās </w:t>
            </w:r>
            <w:r w:rsidR="00FC2C93">
              <w:rPr>
                <w:color w:val="000000"/>
                <w:shd w:val="clear" w:color="auto" w:fill="FFFFFF"/>
              </w:rPr>
              <w:t xml:space="preserve">spēkā </w:t>
            </w:r>
            <w:r>
              <w:rPr>
                <w:color w:val="000000"/>
                <w:shd w:val="clear" w:color="auto" w:fill="FFFFFF"/>
              </w:rPr>
              <w:t xml:space="preserve">jauns Valsts materiālo rezervju likums, kas  </w:t>
            </w:r>
            <w:r w:rsidRPr="0098637F">
              <w:rPr>
                <w:color w:val="000000"/>
                <w:shd w:val="clear" w:color="auto" w:fill="FFFFFF"/>
              </w:rPr>
              <w:t>mazin</w:t>
            </w:r>
            <w:r>
              <w:rPr>
                <w:color w:val="000000"/>
                <w:shd w:val="clear" w:color="auto" w:fill="FFFFFF"/>
              </w:rPr>
              <w:t>a</w:t>
            </w:r>
            <w:r w:rsidRPr="0098637F">
              <w:rPr>
                <w:color w:val="000000"/>
                <w:shd w:val="clear" w:color="auto" w:fill="FFFFFF"/>
              </w:rPr>
              <w:t xml:space="preserve"> administratīvo slogu, kas saistīts ar valsts materiālo rezervju iegādi, atjaunināšanu, pieņemšanu, izsniegšanu, uzglabāšanu, uzturēšanu un uzskaiti, nododot valsts materiālās rezerves katras nozares ministrijas (kurai to uzdevumu izpildei nepieciešamas valsts materiālās rezerves) pārvaldībā</w:t>
            </w:r>
            <w:r>
              <w:rPr>
                <w:color w:val="000000"/>
                <w:shd w:val="clear" w:color="auto" w:fill="FFFFFF"/>
              </w:rPr>
              <w:t>.</w:t>
            </w:r>
            <w:r w:rsidR="008059D2">
              <w:rPr>
                <w:color w:val="000000"/>
                <w:shd w:val="clear" w:color="auto" w:fill="FFFFFF"/>
              </w:rPr>
              <w:t xml:space="preserve"> Ņemot vērā minēto ir nepieciešams papildināt Satiksmes ministrijas nolikumu, paredzot </w:t>
            </w:r>
            <w:r w:rsidR="00DD3439">
              <w:rPr>
                <w:color w:val="000000"/>
                <w:shd w:val="clear" w:color="auto" w:fill="FFFFFF"/>
              </w:rPr>
              <w:t>Satiksmes min</w:t>
            </w:r>
            <w:r w:rsidR="009639EC">
              <w:rPr>
                <w:color w:val="000000"/>
                <w:shd w:val="clear" w:color="auto" w:fill="FFFFFF"/>
              </w:rPr>
              <w:t>istrija</w:t>
            </w:r>
            <w:r w:rsidR="003F2CB4">
              <w:rPr>
                <w:color w:val="000000"/>
                <w:shd w:val="clear" w:color="auto" w:fill="FFFFFF"/>
              </w:rPr>
              <w:t xml:space="preserve">s </w:t>
            </w:r>
            <w:r w:rsidR="00657390">
              <w:rPr>
                <w:color w:val="000000"/>
                <w:shd w:val="clear" w:color="auto" w:fill="FFFFFF"/>
              </w:rPr>
              <w:t>funkcij</w:t>
            </w:r>
            <w:r w:rsidR="003F2CB4">
              <w:rPr>
                <w:color w:val="000000"/>
                <w:shd w:val="clear" w:color="auto" w:fill="FFFFFF"/>
              </w:rPr>
              <w:t>as</w:t>
            </w:r>
            <w:r w:rsidR="009639EC">
              <w:rPr>
                <w:color w:val="000000"/>
                <w:shd w:val="clear" w:color="auto" w:fill="FFFFFF"/>
              </w:rPr>
              <w:t xml:space="preserve"> </w:t>
            </w:r>
            <w:r w:rsidR="009639EC" w:rsidRPr="009639EC">
              <w:rPr>
                <w:color w:val="000000"/>
                <w:shd w:val="clear" w:color="auto" w:fill="FFFFFF"/>
              </w:rPr>
              <w:t>valsts  materiālo rezervju veidošan</w:t>
            </w:r>
            <w:r w:rsidR="00657390">
              <w:rPr>
                <w:color w:val="000000"/>
                <w:shd w:val="clear" w:color="auto" w:fill="FFFFFF"/>
              </w:rPr>
              <w:t>as</w:t>
            </w:r>
            <w:r w:rsidR="009639EC" w:rsidRPr="009639EC">
              <w:rPr>
                <w:color w:val="000000"/>
                <w:shd w:val="clear" w:color="auto" w:fill="FFFFFF"/>
              </w:rPr>
              <w:t xml:space="preserve"> un </w:t>
            </w:r>
            <w:r w:rsidR="00657390">
              <w:rPr>
                <w:color w:val="000000"/>
                <w:shd w:val="clear" w:color="auto" w:fill="FFFFFF"/>
              </w:rPr>
              <w:t>pārvaldīšanas jomā.</w:t>
            </w:r>
          </w:p>
          <w:p w14:paraId="0FD73883" w14:textId="77777777" w:rsidR="008059D2" w:rsidRDefault="008059D2" w:rsidP="008059D2">
            <w:pPr>
              <w:jc w:val="both"/>
            </w:pPr>
          </w:p>
          <w:p w14:paraId="33F1BEBC" w14:textId="122FF0CE" w:rsidR="00AF6EF2" w:rsidRPr="00350D20" w:rsidRDefault="00AF6EF2" w:rsidP="00134E89">
            <w:pPr>
              <w:pStyle w:val="Heading3"/>
              <w:shd w:val="clear" w:color="auto" w:fill="FFFFFF"/>
              <w:spacing w:before="0" w:beforeAutospacing="0" w:after="0" w:afterAutospacing="0"/>
              <w:ind w:left="147" w:right="142"/>
              <w:jc w:val="both"/>
              <w:rPr>
                <w:b w:val="0"/>
                <w:sz w:val="24"/>
                <w:szCs w:val="24"/>
              </w:rPr>
            </w:pPr>
          </w:p>
        </w:tc>
      </w:tr>
      <w:tr w:rsidR="002B4569" w:rsidRPr="00DD49B6" w14:paraId="05D8A942" w14:textId="77777777" w:rsidTr="008059D2">
        <w:trPr>
          <w:trHeight w:val="476"/>
        </w:trPr>
        <w:tc>
          <w:tcPr>
            <w:tcW w:w="234" w:type="pct"/>
          </w:tcPr>
          <w:p w14:paraId="1292BC2B" w14:textId="6C8577CC" w:rsidR="002B4569" w:rsidRPr="00DD49B6" w:rsidRDefault="002B4569" w:rsidP="000437B9">
            <w:pPr>
              <w:pStyle w:val="naiskr"/>
              <w:spacing w:before="0" w:after="0"/>
              <w:ind w:left="57" w:right="57"/>
              <w:jc w:val="center"/>
            </w:pPr>
            <w:r w:rsidRPr="00DD49B6">
              <w:lastRenderedPageBreak/>
              <w:t>3.</w:t>
            </w:r>
          </w:p>
        </w:tc>
        <w:tc>
          <w:tcPr>
            <w:tcW w:w="1251" w:type="pct"/>
          </w:tcPr>
          <w:p w14:paraId="224974B2" w14:textId="77777777" w:rsidR="002B4569" w:rsidRPr="00DD49B6" w:rsidRDefault="002B4569" w:rsidP="000437B9">
            <w:pPr>
              <w:pStyle w:val="naiskr"/>
              <w:spacing w:before="0" w:after="0"/>
              <w:ind w:left="57" w:right="57"/>
            </w:pPr>
            <w:r w:rsidRPr="00DD49B6">
              <w:t>Projekta izstrādē iesaistītās institūcijas</w:t>
            </w:r>
            <w:r w:rsidR="00AF6EF2">
              <w:t xml:space="preserve"> </w:t>
            </w:r>
            <w:r w:rsidR="00AF6EF2" w:rsidRPr="00AF6EF2">
              <w:t>un publiskas personas kapitālsabiedrības</w:t>
            </w:r>
          </w:p>
        </w:tc>
        <w:tc>
          <w:tcPr>
            <w:tcW w:w="3515" w:type="pct"/>
          </w:tcPr>
          <w:p w14:paraId="770E978B" w14:textId="77777777" w:rsidR="002B4569" w:rsidRPr="00DD49B6" w:rsidRDefault="002B4569" w:rsidP="000437B9">
            <w:pPr>
              <w:ind w:left="57" w:right="57"/>
              <w:rPr>
                <w:b/>
              </w:rPr>
            </w:pPr>
            <w:r>
              <w:t>Projekts šo jomu neskar</w:t>
            </w:r>
            <w:r w:rsidR="003F0E39">
              <w:t>.</w:t>
            </w:r>
          </w:p>
        </w:tc>
      </w:tr>
      <w:tr w:rsidR="002B4569" w:rsidRPr="00DD49B6" w14:paraId="7610BB60" w14:textId="77777777" w:rsidTr="008059D2">
        <w:tc>
          <w:tcPr>
            <w:tcW w:w="234" w:type="pct"/>
          </w:tcPr>
          <w:p w14:paraId="63E202E5" w14:textId="77777777" w:rsidR="002B4569" w:rsidRPr="00DD49B6" w:rsidRDefault="002B4569" w:rsidP="000437B9">
            <w:pPr>
              <w:pStyle w:val="naiskr"/>
              <w:spacing w:before="0" w:after="0"/>
              <w:ind w:left="57" w:right="57"/>
              <w:jc w:val="center"/>
            </w:pPr>
            <w:r w:rsidRPr="00DD49B6">
              <w:t>4.</w:t>
            </w:r>
          </w:p>
        </w:tc>
        <w:tc>
          <w:tcPr>
            <w:tcW w:w="1251" w:type="pct"/>
          </w:tcPr>
          <w:p w14:paraId="7095F4B0" w14:textId="77777777" w:rsidR="002B4569" w:rsidRPr="00DD49B6" w:rsidRDefault="002B4569" w:rsidP="000437B9">
            <w:pPr>
              <w:pStyle w:val="naiskr"/>
              <w:spacing w:before="0" w:after="0"/>
              <w:ind w:left="57" w:right="57"/>
            </w:pPr>
            <w:r w:rsidRPr="00DD49B6">
              <w:t>Cita informācija</w:t>
            </w:r>
          </w:p>
        </w:tc>
        <w:tc>
          <w:tcPr>
            <w:tcW w:w="3515" w:type="pct"/>
          </w:tcPr>
          <w:p w14:paraId="43D8FA8D" w14:textId="77777777" w:rsidR="002B4569" w:rsidRPr="00DD49B6" w:rsidRDefault="002B4569" w:rsidP="000437B9">
            <w:pPr>
              <w:pStyle w:val="naiskr"/>
              <w:spacing w:before="0" w:after="0"/>
              <w:ind w:left="57" w:right="57"/>
            </w:pPr>
            <w:r w:rsidRPr="00DD49B6">
              <w:t>Nav</w:t>
            </w:r>
            <w:r w:rsidR="003F0E39">
              <w:t>.</w:t>
            </w:r>
          </w:p>
        </w:tc>
      </w:tr>
    </w:tbl>
    <w:p w14:paraId="74C12005" w14:textId="6E1A3C37" w:rsidR="00E810F2" w:rsidRDefault="00E810F2" w:rsidP="000437B9">
      <w:pPr>
        <w:pStyle w:val="Footer"/>
        <w:jc w:val="center"/>
      </w:pPr>
    </w:p>
    <w:p w14:paraId="7F84FD84" w14:textId="77777777" w:rsidR="00D419C7" w:rsidRPr="000437B9" w:rsidRDefault="00D419C7" w:rsidP="000437B9">
      <w:pPr>
        <w:pStyle w:val="Footer"/>
        <w:jc w:val="cente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547"/>
        <w:gridCol w:w="6379"/>
      </w:tblGrid>
      <w:tr w:rsidR="002B4569" w:rsidRPr="00DD49B6" w14:paraId="30D65155" w14:textId="77777777" w:rsidTr="00E810F2">
        <w:trPr>
          <w:trHeight w:val="556"/>
        </w:trPr>
        <w:tc>
          <w:tcPr>
            <w:tcW w:w="9351" w:type="dxa"/>
            <w:gridSpan w:val="3"/>
            <w:vAlign w:val="center"/>
          </w:tcPr>
          <w:p w14:paraId="1670C064" w14:textId="77777777" w:rsidR="002B4569" w:rsidRPr="00DD49B6" w:rsidRDefault="002B4569" w:rsidP="000437B9">
            <w:pPr>
              <w:pStyle w:val="naisnod"/>
              <w:spacing w:before="0" w:after="0"/>
              <w:ind w:left="57" w:right="57"/>
              <w:rPr>
                <w:b w:val="0"/>
              </w:rPr>
            </w:pPr>
            <w:r w:rsidRPr="00DD49B6">
              <w:t>II. Tiesību akta projekta ietekme uz sabiedrību, tautsaimniecības attīstību</w:t>
            </w:r>
          </w:p>
          <w:p w14:paraId="7E918CDF" w14:textId="77777777" w:rsidR="002B4569" w:rsidRPr="00DD49B6" w:rsidRDefault="002B4569" w:rsidP="000437B9">
            <w:pPr>
              <w:pStyle w:val="naisnod"/>
              <w:spacing w:before="0" w:after="0"/>
              <w:ind w:left="57" w:right="57"/>
              <w:rPr>
                <w:b w:val="0"/>
              </w:rPr>
            </w:pPr>
            <w:r w:rsidRPr="00DD49B6">
              <w:t>un administratīvo slogu</w:t>
            </w:r>
          </w:p>
        </w:tc>
      </w:tr>
      <w:tr w:rsidR="002B4569" w:rsidRPr="00DD49B6" w14:paraId="65B5C6D1" w14:textId="77777777" w:rsidTr="00E810F2">
        <w:trPr>
          <w:trHeight w:val="467"/>
        </w:trPr>
        <w:tc>
          <w:tcPr>
            <w:tcW w:w="425" w:type="dxa"/>
          </w:tcPr>
          <w:p w14:paraId="28FAE958" w14:textId="77777777" w:rsidR="002B4569" w:rsidRPr="00DD49B6" w:rsidRDefault="002B4569" w:rsidP="000437B9">
            <w:pPr>
              <w:pStyle w:val="naiskr"/>
              <w:spacing w:before="0" w:after="0"/>
              <w:ind w:left="57" w:right="57"/>
              <w:jc w:val="both"/>
            </w:pPr>
            <w:r w:rsidRPr="00DD49B6">
              <w:t>1.</w:t>
            </w:r>
          </w:p>
        </w:tc>
        <w:tc>
          <w:tcPr>
            <w:tcW w:w="2547" w:type="dxa"/>
          </w:tcPr>
          <w:p w14:paraId="3CD6A90A" w14:textId="77777777" w:rsidR="002B4569" w:rsidRPr="00DD49B6" w:rsidRDefault="002B4569" w:rsidP="000437B9">
            <w:pPr>
              <w:pStyle w:val="naiskr"/>
              <w:spacing w:before="0" w:after="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379" w:type="dxa"/>
          </w:tcPr>
          <w:p w14:paraId="121FB6D5" w14:textId="60677E29" w:rsidR="002B4569" w:rsidRPr="00DC16E6" w:rsidRDefault="00882E73" w:rsidP="008B6CEE">
            <w:pPr>
              <w:shd w:val="clear" w:color="auto" w:fill="FFFFFF"/>
              <w:ind w:left="57" w:right="57"/>
              <w:jc w:val="both"/>
              <w:rPr>
                <w:lang w:eastAsia="lv-LV"/>
              </w:rPr>
            </w:pPr>
            <w:bookmarkStart w:id="3" w:name="p21"/>
            <w:bookmarkEnd w:id="3"/>
            <w:r>
              <w:t>Elektronisko sakaru</w:t>
            </w:r>
            <w:r w:rsidR="004D2D96">
              <w:t xml:space="preserve"> komersanti (l</w:t>
            </w:r>
            <w:r w:rsidR="002B4569" w:rsidRPr="00DC16E6">
              <w:t>īdz 201</w:t>
            </w:r>
            <w:r w:rsidR="007D7619">
              <w:t>9</w:t>
            </w:r>
            <w:r w:rsidR="002B4569" w:rsidRPr="00DC16E6">
              <w:t xml:space="preserve">.gada </w:t>
            </w:r>
            <w:r w:rsidR="00752C28">
              <w:t>6.februārim</w:t>
            </w:r>
            <w:r w:rsidR="002B4569" w:rsidRPr="00DC16E6">
              <w:t xml:space="preserve"> </w:t>
            </w:r>
            <w:r w:rsidR="008B6CEE">
              <w:t>Sabiedrisko pakalpojumu regulēšanas komisijas</w:t>
            </w:r>
            <w:r w:rsidR="00362822">
              <w:t xml:space="preserve"> </w:t>
            </w:r>
            <w:r w:rsidR="002B4569" w:rsidRPr="00DC16E6">
              <w:t xml:space="preserve">reģistrā ir </w:t>
            </w:r>
            <w:r w:rsidR="001643DC" w:rsidRPr="003A61FA">
              <w:t>reģistrēt</w:t>
            </w:r>
            <w:r w:rsidR="007F725C" w:rsidRPr="003A61FA">
              <w:t>i</w:t>
            </w:r>
            <w:r w:rsidR="001643DC" w:rsidRPr="003A61FA">
              <w:t xml:space="preserve"> </w:t>
            </w:r>
            <w:r w:rsidR="007D7619">
              <w:t>279</w:t>
            </w:r>
            <w:r w:rsidR="007F725C" w:rsidRPr="00DC16E6">
              <w:t xml:space="preserve"> </w:t>
            </w:r>
            <w:r w:rsidR="007D7619">
              <w:t xml:space="preserve">elektronisko sakaru </w:t>
            </w:r>
            <w:r w:rsidR="001643DC" w:rsidRPr="00DC16E6">
              <w:t>komersant</w:t>
            </w:r>
            <w:r w:rsidR="007F725C">
              <w:t>i</w:t>
            </w:r>
            <w:r w:rsidR="004D2D96">
              <w:t>)</w:t>
            </w:r>
            <w:r w:rsidR="008B6CEE">
              <w:t>, pašvaldības (119), plānošanas reģioni (5).</w:t>
            </w:r>
          </w:p>
        </w:tc>
      </w:tr>
      <w:tr w:rsidR="002B4569" w:rsidRPr="00DD49B6" w14:paraId="1247624F" w14:textId="77777777" w:rsidTr="00E810F2">
        <w:trPr>
          <w:trHeight w:val="523"/>
        </w:trPr>
        <w:tc>
          <w:tcPr>
            <w:tcW w:w="425" w:type="dxa"/>
          </w:tcPr>
          <w:p w14:paraId="09993E09" w14:textId="77777777" w:rsidR="002B4569" w:rsidRPr="00DD49B6" w:rsidRDefault="002B4569" w:rsidP="000437B9">
            <w:pPr>
              <w:pStyle w:val="naiskr"/>
              <w:spacing w:before="0" w:after="0"/>
              <w:ind w:left="57" w:right="57"/>
              <w:jc w:val="both"/>
            </w:pPr>
            <w:r w:rsidRPr="00DD49B6">
              <w:t>2.</w:t>
            </w:r>
          </w:p>
        </w:tc>
        <w:tc>
          <w:tcPr>
            <w:tcW w:w="2547" w:type="dxa"/>
          </w:tcPr>
          <w:p w14:paraId="56ED8748" w14:textId="77777777" w:rsidR="002B4569" w:rsidRPr="00DD49B6" w:rsidRDefault="002B4569" w:rsidP="000437B9">
            <w:pPr>
              <w:pStyle w:val="naiskr"/>
              <w:spacing w:before="0" w:after="0"/>
              <w:ind w:left="57" w:right="57"/>
            </w:pPr>
            <w:r w:rsidRPr="00DD49B6">
              <w:t>Tiesiskā regulējuma ietekme uz tautsaimniecību un administratīvo slogu</w:t>
            </w:r>
          </w:p>
        </w:tc>
        <w:tc>
          <w:tcPr>
            <w:tcW w:w="6379" w:type="dxa"/>
          </w:tcPr>
          <w:p w14:paraId="4B1F7E91" w14:textId="0CAA3507" w:rsidR="002B4569" w:rsidRPr="00DD49B6" w:rsidRDefault="008B6CEE" w:rsidP="00E10BEF">
            <w:pPr>
              <w:shd w:val="clear" w:color="auto" w:fill="FFFFFF"/>
              <w:ind w:left="57" w:right="57"/>
              <w:jc w:val="both"/>
              <w:rPr>
                <w:lang w:eastAsia="lv-LV"/>
              </w:rPr>
            </w:pPr>
            <w:r w:rsidRPr="00693D2D">
              <w:rPr>
                <w:rFonts w:eastAsia="Calibri"/>
              </w:rPr>
              <w:t>Platjoslas kompetenču centr</w:t>
            </w:r>
            <w:r>
              <w:rPr>
                <w:rFonts w:eastAsia="Calibri"/>
              </w:rPr>
              <w:t>a darbības mērķis ir mazināt administratīvo slogu platjoslas infrastruktūras izveidē iesaistītajiem, sagatavojot gan</w:t>
            </w:r>
            <w:r w:rsidR="00E10BEF">
              <w:rPr>
                <w:rFonts w:eastAsia="Calibri"/>
              </w:rPr>
              <w:t xml:space="preserve"> vadošos politikas</w:t>
            </w:r>
            <w:r>
              <w:rPr>
                <w:rFonts w:eastAsia="Calibri"/>
              </w:rPr>
              <w:t xml:space="preserve"> plānošanas dokumentus, gan </w:t>
            </w:r>
            <w:r w:rsidR="00E10BEF">
              <w:rPr>
                <w:rFonts w:eastAsia="Calibri"/>
              </w:rPr>
              <w:t xml:space="preserve">aktuālo </w:t>
            </w:r>
            <w:r>
              <w:rPr>
                <w:rFonts w:eastAsia="Calibri"/>
              </w:rPr>
              <w:t>informāciju par platjoslas izvērsumu, kā arī par citu valstu pieredzi</w:t>
            </w:r>
            <w:r w:rsidR="00E10BEF">
              <w:rPr>
                <w:rFonts w:eastAsia="Calibri"/>
              </w:rPr>
              <w:t xml:space="preserve"> un tehniskajiem jautājumiem.</w:t>
            </w:r>
          </w:p>
        </w:tc>
      </w:tr>
      <w:tr w:rsidR="002B4569" w:rsidRPr="00DD49B6" w14:paraId="65D7CED6" w14:textId="77777777" w:rsidTr="00E810F2">
        <w:trPr>
          <w:trHeight w:val="523"/>
        </w:trPr>
        <w:tc>
          <w:tcPr>
            <w:tcW w:w="425" w:type="dxa"/>
          </w:tcPr>
          <w:p w14:paraId="57933E2D" w14:textId="77777777" w:rsidR="002B4569" w:rsidRPr="00DD49B6" w:rsidRDefault="002B4569" w:rsidP="000437B9">
            <w:pPr>
              <w:pStyle w:val="naiskr"/>
              <w:spacing w:before="0" w:after="0"/>
              <w:ind w:left="57" w:right="57"/>
              <w:jc w:val="both"/>
            </w:pPr>
            <w:r w:rsidRPr="00DD49B6">
              <w:t>3.</w:t>
            </w:r>
          </w:p>
        </w:tc>
        <w:tc>
          <w:tcPr>
            <w:tcW w:w="2547" w:type="dxa"/>
          </w:tcPr>
          <w:p w14:paraId="46C51725" w14:textId="77777777" w:rsidR="002B4569" w:rsidRPr="00DD49B6" w:rsidRDefault="002B4569" w:rsidP="000437B9">
            <w:pPr>
              <w:pStyle w:val="naiskr"/>
              <w:spacing w:before="0" w:after="0"/>
              <w:ind w:left="57" w:right="57"/>
            </w:pPr>
            <w:r w:rsidRPr="00DD49B6">
              <w:t>Administratīvo izmaksu monetārs novērtējums</w:t>
            </w:r>
          </w:p>
        </w:tc>
        <w:tc>
          <w:tcPr>
            <w:tcW w:w="6379" w:type="dxa"/>
          </w:tcPr>
          <w:p w14:paraId="1215B545" w14:textId="631616F5" w:rsidR="002B4569" w:rsidRPr="00DD49B6" w:rsidRDefault="00556DF7" w:rsidP="008368A7">
            <w:pPr>
              <w:shd w:val="clear" w:color="auto" w:fill="FFFFFF"/>
              <w:ind w:left="57" w:right="57"/>
              <w:jc w:val="both"/>
              <w:rPr>
                <w:lang w:eastAsia="lv-LV"/>
              </w:rPr>
            </w:pPr>
            <w:r>
              <w:t>Monetāro novērtējumu nav iespējams aprēķināt, jo tas atkarīgs no platjoslas projektu izvēršanas intensitātes, lokācijas, sadarbības partneru kompetences.</w:t>
            </w:r>
          </w:p>
        </w:tc>
      </w:tr>
      <w:tr w:rsidR="00E810F2" w:rsidRPr="00DD49B6" w14:paraId="4B31D7EF" w14:textId="77777777" w:rsidTr="00E810F2">
        <w:trPr>
          <w:trHeight w:val="523"/>
        </w:trPr>
        <w:tc>
          <w:tcPr>
            <w:tcW w:w="425" w:type="dxa"/>
          </w:tcPr>
          <w:p w14:paraId="47F6501F" w14:textId="72C7A99E" w:rsidR="00E810F2" w:rsidRPr="00DD49B6" w:rsidRDefault="00E810F2" w:rsidP="000437B9">
            <w:pPr>
              <w:pStyle w:val="naiskr"/>
              <w:spacing w:before="0" w:after="0"/>
              <w:ind w:left="57" w:right="57"/>
              <w:jc w:val="both"/>
            </w:pPr>
            <w:r>
              <w:t>4.</w:t>
            </w:r>
          </w:p>
        </w:tc>
        <w:tc>
          <w:tcPr>
            <w:tcW w:w="2547" w:type="dxa"/>
          </w:tcPr>
          <w:p w14:paraId="4F6C9791" w14:textId="71A213ED" w:rsidR="00E810F2" w:rsidRPr="00DD49B6" w:rsidRDefault="00E810F2" w:rsidP="000437B9">
            <w:pPr>
              <w:pStyle w:val="naiskr"/>
              <w:spacing w:before="0" w:after="0"/>
              <w:ind w:left="57" w:right="57"/>
            </w:pPr>
            <w:r w:rsidRPr="00E810F2">
              <w:t>Atbilstības izmaksu monetārs novērtējums</w:t>
            </w:r>
          </w:p>
        </w:tc>
        <w:tc>
          <w:tcPr>
            <w:tcW w:w="6379" w:type="dxa"/>
          </w:tcPr>
          <w:p w14:paraId="13FF7B82" w14:textId="02D40224" w:rsidR="00E810F2" w:rsidRDefault="008B6CEE" w:rsidP="000437B9">
            <w:pPr>
              <w:shd w:val="clear" w:color="auto" w:fill="FFFFFF"/>
              <w:ind w:left="57" w:right="57"/>
            </w:pPr>
            <w:r>
              <w:t>Projekts šo jomu neskar.</w:t>
            </w:r>
          </w:p>
        </w:tc>
      </w:tr>
      <w:tr w:rsidR="002B4569" w:rsidRPr="00DD49B6" w14:paraId="7AEB6C69" w14:textId="77777777" w:rsidTr="00E810F2">
        <w:trPr>
          <w:trHeight w:val="357"/>
        </w:trPr>
        <w:tc>
          <w:tcPr>
            <w:tcW w:w="425" w:type="dxa"/>
          </w:tcPr>
          <w:p w14:paraId="2326DF7B" w14:textId="065CF351" w:rsidR="002B4569" w:rsidRPr="00DD49B6" w:rsidRDefault="00E810F2" w:rsidP="000437B9">
            <w:pPr>
              <w:pStyle w:val="naiskr"/>
              <w:spacing w:before="0" w:after="0"/>
              <w:ind w:left="57" w:right="57"/>
              <w:jc w:val="both"/>
            </w:pPr>
            <w:r>
              <w:t>5</w:t>
            </w:r>
            <w:r w:rsidR="002B4569" w:rsidRPr="00DD49B6">
              <w:t>.</w:t>
            </w:r>
          </w:p>
        </w:tc>
        <w:tc>
          <w:tcPr>
            <w:tcW w:w="2547" w:type="dxa"/>
          </w:tcPr>
          <w:p w14:paraId="25582F34" w14:textId="77777777" w:rsidR="002B4569" w:rsidRPr="00DD49B6" w:rsidRDefault="002B4569" w:rsidP="000437B9">
            <w:pPr>
              <w:pStyle w:val="naiskr"/>
              <w:spacing w:before="0" w:after="0"/>
              <w:ind w:left="57" w:right="57"/>
            </w:pPr>
            <w:r w:rsidRPr="00DD49B6">
              <w:t>Cita informācija</w:t>
            </w:r>
          </w:p>
        </w:tc>
        <w:tc>
          <w:tcPr>
            <w:tcW w:w="6379" w:type="dxa"/>
          </w:tcPr>
          <w:p w14:paraId="4317963D" w14:textId="77777777" w:rsidR="002B4569" w:rsidRPr="00DD49B6" w:rsidRDefault="002B4569" w:rsidP="000437B9">
            <w:pPr>
              <w:shd w:val="clear" w:color="auto" w:fill="FFFFFF"/>
              <w:ind w:left="57" w:right="57"/>
              <w:rPr>
                <w:lang w:eastAsia="lv-LV"/>
              </w:rPr>
            </w:pPr>
            <w:r>
              <w:t>Nav</w:t>
            </w:r>
            <w:r w:rsidR="00697F4D">
              <w:t>.</w:t>
            </w:r>
          </w:p>
        </w:tc>
      </w:tr>
    </w:tbl>
    <w:p w14:paraId="34AAF893" w14:textId="77777777" w:rsidR="00A34666" w:rsidRDefault="00A34666" w:rsidP="000437B9">
      <w:pPr>
        <w:rPr>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3C143A" w:rsidRPr="003C143A" w14:paraId="3BAB3D2B" w14:textId="77777777" w:rsidTr="00E810F2">
        <w:trPr>
          <w:trHeight w:val="421"/>
          <w:jc w:val="center"/>
        </w:trPr>
        <w:tc>
          <w:tcPr>
            <w:tcW w:w="9351" w:type="dxa"/>
            <w:vAlign w:val="center"/>
          </w:tcPr>
          <w:p w14:paraId="1E0EDFC5" w14:textId="77777777" w:rsidR="003C143A" w:rsidRPr="003C143A" w:rsidRDefault="003C143A" w:rsidP="000437B9">
            <w:pPr>
              <w:pStyle w:val="naisnod"/>
              <w:spacing w:before="0" w:after="0"/>
              <w:ind w:left="57" w:right="57"/>
            </w:pPr>
            <w:r w:rsidRPr="003C143A">
              <w:t>III. Tiesību akta projekta ietekme uz valsts budžetu un pašvaldību budžetiem</w:t>
            </w:r>
          </w:p>
        </w:tc>
      </w:tr>
      <w:tr w:rsidR="003C143A" w:rsidRPr="00DD49B6" w14:paraId="13F004E0" w14:textId="77777777" w:rsidTr="00E810F2">
        <w:trPr>
          <w:trHeight w:val="421"/>
          <w:jc w:val="center"/>
        </w:trPr>
        <w:tc>
          <w:tcPr>
            <w:tcW w:w="9351" w:type="dxa"/>
            <w:vAlign w:val="center"/>
          </w:tcPr>
          <w:p w14:paraId="335661BB"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79F7B2DA" w14:textId="77777777" w:rsidR="00A34666" w:rsidRDefault="00A34666" w:rsidP="000437B9">
      <w:pPr>
        <w:rPr>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3C143A" w:rsidRPr="00DD49B6" w14:paraId="33728AF0" w14:textId="77777777" w:rsidTr="00E810F2">
        <w:trPr>
          <w:trHeight w:val="421"/>
          <w:jc w:val="center"/>
        </w:trPr>
        <w:tc>
          <w:tcPr>
            <w:tcW w:w="9351" w:type="dxa"/>
            <w:vAlign w:val="center"/>
          </w:tcPr>
          <w:p w14:paraId="2E955F37" w14:textId="77777777" w:rsidR="003C143A" w:rsidRPr="00DD49B6" w:rsidRDefault="003C143A" w:rsidP="000437B9">
            <w:pPr>
              <w:pStyle w:val="naisnod"/>
              <w:spacing w:before="0" w:after="0"/>
              <w:ind w:left="57" w:right="57"/>
            </w:pPr>
            <w:r>
              <w:t>IV</w:t>
            </w:r>
            <w:r w:rsidRPr="00DD49B6">
              <w:t xml:space="preserve">. </w:t>
            </w:r>
            <w:r w:rsidRPr="003C143A">
              <w:t>Tiesību akta projekta ietekme uz spēkā esošo tiesību normu sistēmu</w:t>
            </w:r>
          </w:p>
        </w:tc>
      </w:tr>
      <w:tr w:rsidR="003C143A" w:rsidRPr="00DD49B6" w14:paraId="217B74F0" w14:textId="77777777" w:rsidTr="00E810F2">
        <w:trPr>
          <w:trHeight w:val="421"/>
          <w:jc w:val="center"/>
        </w:trPr>
        <w:tc>
          <w:tcPr>
            <w:tcW w:w="9351" w:type="dxa"/>
            <w:vAlign w:val="center"/>
          </w:tcPr>
          <w:p w14:paraId="4C48D761"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1841E6B8" w14:textId="77777777" w:rsidR="00A34666" w:rsidRDefault="00A34666" w:rsidP="000437B9">
      <w:pPr>
        <w:rPr>
          <w:color w:val="000000"/>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02"/>
      </w:tblGrid>
      <w:tr w:rsidR="003C143A" w:rsidRPr="00DD49B6" w14:paraId="40341941" w14:textId="77777777" w:rsidTr="000437B9">
        <w:trPr>
          <w:trHeight w:val="421"/>
          <w:jc w:val="center"/>
        </w:trPr>
        <w:tc>
          <w:tcPr>
            <w:tcW w:w="9302" w:type="dxa"/>
            <w:vAlign w:val="center"/>
          </w:tcPr>
          <w:p w14:paraId="333CD7EB" w14:textId="77777777" w:rsidR="003C143A" w:rsidRPr="00DD49B6" w:rsidRDefault="003C143A" w:rsidP="000437B9">
            <w:pPr>
              <w:pStyle w:val="naisnod"/>
              <w:spacing w:before="0" w:after="0"/>
              <w:ind w:left="57" w:right="57"/>
            </w:pPr>
            <w:r>
              <w:t>V</w:t>
            </w:r>
            <w:r w:rsidRPr="00DD49B6">
              <w:t xml:space="preserve">. </w:t>
            </w:r>
            <w:r w:rsidR="00A34666" w:rsidRPr="00A34666">
              <w:t>Tiesību akta projekta atbilstība Latvijas Republikas starptautiskajām saistībām</w:t>
            </w:r>
          </w:p>
        </w:tc>
      </w:tr>
      <w:tr w:rsidR="003C143A" w:rsidRPr="00DD49B6" w14:paraId="52227AEF" w14:textId="77777777" w:rsidTr="000437B9">
        <w:trPr>
          <w:trHeight w:val="421"/>
          <w:jc w:val="center"/>
        </w:trPr>
        <w:tc>
          <w:tcPr>
            <w:tcW w:w="9302" w:type="dxa"/>
            <w:vAlign w:val="center"/>
          </w:tcPr>
          <w:p w14:paraId="29B9A603"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2D81486E" w14:textId="70589965" w:rsidR="007A1283" w:rsidRDefault="00D23EF1" w:rsidP="000437B9">
      <w:pPr>
        <w:suppressAutoHyphens w:val="0"/>
        <w:rPr>
          <w:lang w:eastAsia="lv-LV"/>
        </w:rPr>
      </w:pPr>
      <w:r w:rsidRPr="00D166EA">
        <w:rPr>
          <w:lang w:eastAsia="lv-LV"/>
        </w:rPr>
        <w:t> </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64"/>
        <w:gridCol w:w="6187"/>
      </w:tblGrid>
      <w:tr w:rsidR="002B4569" w:rsidRPr="00DD49B6" w14:paraId="31635271" w14:textId="77777777" w:rsidTr="00F67BA8">
        <w:trPr>
          <w:trHeight w:val="421"/>
          <w:jc w:val="center"/>
        </w:trPr>
        <w:tc>
          <w:tcPr>
            <w:tcW w:w="9377" w:type="dxa"/>
            <w:gridSpan w:val="3"/>
            <w:vAlign w:val="center"/>
          </w:tcPr>
          <w:p w14:paraId="53C46BAB" w14:textId="77777777" w:rsidR="002B4569" w:rsidRPr="00DD49B6" w:rsidRDefault="002B4569" w:rsidP="000437B9">
            <w:pPr>
              <w:pStyle w:val="naisnod"/>
              <w:spacing w:before="0" w:after="0"/>
              <w:ind w:left="57" w:right="57"/>
            </w:pPr>
            <w:r w:rsidRPr="00DD49B6">
              <w:t>VI. Sabiedrības līdzdalība un komunikācijas aktivitātes</w:t>
            </w:r>
          </w:p>
        </w:tc>
      </w:tr>
      <w:tr w:rsidR="002B4569" w:rsidRPr="00DD49B6" w14:paraId="5451B86E" w14:textId="77777777" w:rsidTr="00F67BA8">
        <w:trPr>
          <w:trHeight w:val="553"/>
          <w:jc w:val="center"/>
        </w:trPr>
        <w:tc>
          <w:tcPr>
            <w:tcW w:w="426" w:type="dxa"/>
          </w:tcPr>
          <w:p w14:paraId="4A5E924A" w14:textId="77777777" w:rsidR="002B4569" w:rsidRPr="00DD49B6" w:rsidRDefault="002B4569" w:rsidP="000437B9">
            <w:pPr>
              <w:ind w:left="57" w:right="57"/>
              <w:jc w:val="both"/>
              <w:rPr>
                <w:bCs/>
              </w:rPr>
            </w:pPr>
            <w:r w:rsidRPr="00DD49B6">
              <w:rPr>
                <w:bCs/>
              </w:rPr>
              <w:t>1.</w:t>
            </w:r>
          </w:p>
        </w:tc>
        <w:tc>
          <w:tcPr>
            <w:tcW w:w="2764" w:type="dxa"/>
          </w:tcPr>
          <w:p w14:paraId="291F0789" w14:textId="77777777" w:rsidR="002B4569" w:rsidRPr="00DD49B6" w:rsidRDefault="002B4569" w:rsidP="000437B9">
            <w:pPr>
              <w:tabs>
                <w:tab w:val="left" w:pos="170"/>
              </w:tabs>
              <w:ind w:left="57" w:right="57"/>
              <w:rPr>
                <w:lang w:eastAsia="lv-LV"/>
              </w:rPr>
            </w:pPr>
            <w:r w:rsidRPr="00DD49B6">
              <w:rPr>
                <w:lang w:eastAsia="lv-LV"/>
              </w:rPr>
              <w:t>Plānotās sabiedrības līdzdalības un komunikācijas aktivitātes saistībā ar projektu</w:t>
            </w:r>
          </w:p>
        </w:tc>
        <w:tc>
          <w:tcPr>
            <w:tcW w:w="6187" w:type="dxa"/>
          </w:tcPr>
          <w:p w14:paraId="2670E6C4" w14:textId="64D93FB4" w:rsidR="002B4569" w:rsidRPr="00DD49B6" w:rsidRDefault="00D30EEA" w:rsidP="007D7619">
            <w:pPr>
              <w:shd w:val="clear" w:color="auto" w:fill="FFFFFF"/>
              <w:ind w:left="169" w:right="85"/>
              <w:jc w:val="both"/>
              <w:rPr>
                <w:lang w:eastAsia="lv-LV"/>
              </w:rPr>
            </w:pPr>
            <w:bookmarkStart w:id="4" w:name="p61"/>
            <w:bookmarkEnd w:id="4"/>
            <w:r w:rsidRPr="00D30EEA">
              <w:rPr>
                <w:lang w:eastAsia="lv-LV"/>
              </w:rPr>
              <w:t xml:space="preserve">Paziņojums par līdzdalības iespējām tiesību akta izstrādes procesā </w:t>
            </w:r>
            <w:r w:rsidR="00E413C3">
              <w:rPr>
                <w:lang w:eastAsia="lv-LV"/>
              </w:rPr>
              <w:t xml:space="preserve">tika </w:t>
            </w:r>
            <w:r w:rsidRPr="00D30EEA">
              <w:rPr>
                <w:lang w:eastAsia="lv-LV"/>
              </w:rPr>
              <w:t xml:space="preserve">ievietots Satiksmes ministrijas tīmekļa vietnē </w:t>
            </w:r>
            <w:hyperlink r:id="rId8" w:history="1">
              <w:r w:rsidR="00AC6E0A" w:rsidRPr="00D55428">
                <w:rPr>
                  <w:rStyle w:val="Hyperlink"/>
                  <w:lang w:eastAsia="lv-LV"/>
                </w:rPr>
                <w:t>www.sam.gov.lv</w:t>
              </w:r>
            </w:hyperlink>
            <w:r w:rsidR="00AC6E0A">
              <w:rPr>
                <w:lang w:eastAsia="lv-LV"/>
              </w:rPr>
              <w:t xml:space="preserve"> </w:t>
            </w:r>
            <w:r w:rsidRPr="00D30EEA">
              <w:rPr>
                <w:lang w:eastAsia="lv-LV"/>
              </w:rPr>
              <w:t>201</w:t>
            </w:r>
            <w:r w:rsidR="007D7619">
              <w:rPr>
                <w:lang w:eastAsia="lv-LV"/>
              </w:rPr>
              <w:t>9</w:t>
            </w:r>
            <w:r w:rsidR="00842D3B">
              <w:rPr>
                <w:lang w:eastAsia="lv-LV"/>
              </w:rPr>
              <w:t xml:space="preserve">.gada </w:t>
            </w:r>
            <w:r w:rsidR="00DA0FA1">
              <w:rPr>
                <w:lang w:eastAsia="lv-LV"/>
              </w:rPr>
              <w:t>17.janvārī</w:t>
            </w:r>
            <w:r w:rsidRPr="00D30EEA">
              <w:rPr>
                <w:lang w:eastAsia="lv-LV"/>
              </w:rPr>
              <w:t>.</w:t>
            </w:r>
          </w:p>
        </w:tc>
      </w:tr>
      <w:tr w:rsidR="002B4569" w:rsidRPr="00DD49B6" w14:paraId="40892EB9" w14:textId="77777777" w:rsidTr="00F67BA8">
        <w:trPr>
          <w:trHeight w:val="339"/>
          <w:jc w:val="center"/>
        </w:trPr>
        <w:tc>
          <w:tcPr>
            <w:tcW w:w="426" w:type="dxa"/>
          </w:tcPr>
          <w:p w14:paraId="5E1D3BE3" w14:textId="77777777" w:rsidR="002B4569" w:rsidRPr="00DD49B6" w:rsidRDefault="002B4569" w:rsidP="000437B9">
            <w:pPr>
              <w:ind w:left="57" w:right="57"/>
              <w:jc w:val="both"/>
              <w:rPr>
                <w:bCs/>
              </w:rPr>
            </w:pPr>
            <w:r w:rsidRPr="00DD49B6">
              <w:rPr>
                <w:bCs/>
              </w:rPr>
              <w:t>2.</w:t>
            </w:r>
          </w:p>
        </w:tc>
        <w:tc>
          <w:tcPr>
            <w:tcW w:w="2764" w:type="dxa"/>
          </w:tcPr>
          <w:p w14:paraId="228F4AD5" w14:textId="77777777" w:rsidR="002B4569" w:rsidRPr="00DD49B6" w:rsidRDefault="002B4569" w:rsidP="000437B9">
            <w:pPr>
              <w:ind w:left="57" w:right="57"/>
              <w:rPr>
                <w:lang w:eastAsia="lv-LV"/>
              </w:rPr>
            </w:pPr>
            <w:r w:rsidRPr="00DD49B6">
              <w:rPr>
                <w:lang w:eastAsia="lv-LV"/>
              </w:rPr>
              <w:t>Sabiedrības līdzdalība projekta izstrādē</w:t>
            </w:r>
          </w:p>
        </w:tc>
        <w:tc>
          <w:tcPr>
            <w:tcW w:w="6187" w:type="dxa"/>
          </w:tcPr>
          <w:p w14:paraId="6E369F46" w14:textId="25E3BCE5" w:rsidR="002B4569" w:rsidRPr="00DD49B6" w:rsidRDefault="00E413C3" w:rsidP="000437B9">
            <w:pPr>
              <w:shd w:val="clear" w:color="auto" w:fill="FFFFFF"/>
              <w:ind w:left="169"/>
              <w:jc w:val="both"/>
              <w:rPr>
                <w:lang w:eastAsia="lv-LV"/>
              </w:rPr>
            </w:pPr>
            <w:bookmarkStart w:id="5" w:name="p62"/>
            <w:bookmarkEnd w:id="5"/>
            <w:r w:rsidRPr="00E413C3">
              <w:rPr>
                <w:lang w:eastAsia="lv-LV"/>
              </w:rPr>
              <w:t xml:space="preserve">Atbilstoši Ministru kabineta </w:t>
            </w:r>
            <w:r w:rsidR="00DA0FA1">
              <w:rPr>
                <w:lang w:eastAsia="lv-LV"/>
              </w:rPr>
              <w:t>2009.gada 25.augusta noteikumu</w:t>
            </w:r>
            <w:r w:rsidRPr="00E413C3">
              <w:rPr>
                <w:lang w:eastAsia="lv-LV"/>
              </w:rPr>
              <w:t xml:space="preserve"> Nr.970 „Sabiedrības līdzdalības kārtība attīstības plānošanas procesā” 7.4.</w:t>
            </w:r>
            <w:r w:rsidRPr="00E413C3">
              <w:rPr>
                <w:vertAlign w:val="superscript"/>
                <w:lang w:eastAsia="lv-LV"/>
              </w:rPr>
              <w:t>1</w:t>
            </w:r>
            <w:r w:rsidRPr="00E413C3">
              <w:rPr>
                <w:lang w:eastAsia="lv-LV"/>
              </w:rPr>
              <w:t xml:space="preserve"> apakšpunkt</w:t>
            </w:r>
            <w:r w:rsidR="002A60B8">
              <w:rPr>
                <w:lang w:eastAsia="lv-LV"/>
              </w:rPr>
              <w:t>am</w:t>
            </w:r>
            <w:r w:rsidRPr="00E413C3">
              <w:rPr>
                <w:lang w:eastAsia="lv-LV"/>
              </w:rPr>
              <w:t xml:space="preserve"> sabiedrībai tika dota iespēja rakstiski sniegt viedokli par noteikumu projektu tā izstrādes stadijā.</w:t>
            </w:r>
          </w:p>
        </w:tc>
      </w:tr>
      <w:tr w:rsidR="002B4569" w:rsidRPr="00DD49B6" w14:paraId="6E7A2FC3" w14:textId="77777777" w:rsidTr="00F67BA8">
        <w:trPr>
          <w:trHeight w:val="476"/>
          <w:jc w:val="center"/>
        </w:trPr>
        <w:tc>
          <w:tcPr>
            <w:tcW w:w="426" w:type="dxa"/>
          </w:tcPr>
          <w:p w14:paraId="69D2576E" w14:textId="77777777" w:rsidR="002B4569" w:rsidRPr="00DD49B6" w:rsidRDefault="002B4569" w:rsidP="000437B9">
            <w:pPr>
              <w:ind w:left="57" w:right="57"/>
              <w:jc w:val="both"/>
              <w:rPr>
                <w:bCs/>
              </w:rPr>
            </w:pPr>
            <w:r w:rsidRPr="00DD49B6">
              <w:rPr>
                <w:bCs/>
              </w:rPr>
              <w:t>3.</w:t>
            </w:r>
          </w:p>
        </w:tc>
        <w:tc>
          <w:tcPr>
            <w:tcW w:w="2764" w:type="dxa"/>
          </w:tcPr>
          <w:p w14:paraId="45710A33" w14:textId="77777777" w:rsidR="002B4569" w:rsidRPr="00DD49B6" w:rsidRDefault="002B4569" w:rsidP="000437B9">
            <w:pPr>
              <w:ind w:left="57" w:right="57"/>
              <w:rPr>
                <w:lang w:eastAsia="lv-LV"/>
              </w:rPr>
            </w:pPr>
            <w:r w:rsidRPr="00DD49B6">
              <w:rPr>
                <w:lang w:eastAsia="lv-LV"/>
              </w:rPr>
              <w:t>Sabiedrības līdzdalības rezultāti</w:t>
            </w:r>
          </w:p>
        </w:tc>
        <w:tc>
          <w:tcPr>
            <w:tcW w:w="6187" w:type="dxa"/>
          </w:tcPr>
          <w:p w14:paraId="1CA12E4E" w14:textId="0F189D93" w:rsidR="002B4569" w:rsidRPr="00DD49B6" w:rsidRDefault="0028347C" w:rsidP="000437B9">
            <w:pPr>
              <w:shd w:val="clear" w:color="auto" w:fill="FFFFFF"/>
              <w:ind w:left="169"/>
              <w:jc w:val="both"/>
              <w:rPr>
                <w:lang w:eastAsia="lv-LV"/>
              </w:rPr>
            </w:pPr>
            <w:r>
              <w:t>Priekšlikumi netika saņemti.</w:t>
            </w:r>
          </w:p>
        </w:tc>
      </w:tr>
      <w:tr w:rsidR="002B4569" w:rsidRPr="00DD49B6" w14:paraId="18C2FA85" w14:textId="77777777" w:rsidTr="00F67BA8">
        <w:trPr>
          <w:trHeight w:val="476"/>
          <w:jc w:val="center"/>
        </w:trPr>
        <w:tc>
          <w:tcPr>
            <w:tcW w:w="426" w:type="dxa"/>
          </w:tcPr>
          <w:p w14:paraId="60874C57" w14:textId="77777777" w:rsidR="002B4569" w:rsidRPr="00DD49B6" w:rsidRDefault="002B4569" w:rsidP="000437B9">
            <w:pPr>
              <w:ind w:left="57" w:right="57"/>
              <w:jc w:val="both"/>
              <w:rPr>
                <w:bCs/>
              </w:rPr>
            </w:pPr>
            <w:r w:rsidRPr="00DD49B6">
              <w:rPr>
                <w:bCs/>
              </w:rPr>
              <w:t>4.</w:t>
            </w:r>
          </w:p>
        </w:tc>
        <w:tc>
          <w:tcPr>
            <w:tcW w:w="2764" w:type="dxa"/>
          </w:tcPr>
          <w:p w14:paraId="4188933A" w14:textId="77777777" w:rsidR="002B4569" w:rsidRPr="00DD49B6" w:rsidRDefault="002B4569" w:rsidP="000437B9">
            <w:pPr>
              <w:ind w:left="57" w:right="57"/>
              <w:rPr>
                <w:lang w:eastAsia="lv-LV"/>
              </w:rPr>
            </w:pPr>
            <w:r w:rsidRPr="00DD49B6">
              <w:rPr>
                <w:lang w:eastAsia="lv-LV"/>
              </w:rPr>
              <w:t>Cita informācija</w:t>
            </w:r>
          </w:p>
        </w:tc>
        <w:tc>
          <w:tcPr>
            <w:tcW w:w="6187" w:type="dxa"/>
          </w:tcPr>
          <w:p w14:paraId="2F84E7F2" w14:textId="77777777" w:rsidR="002B4569" w:rsidRPr="00DD49B6" w:rsidRDefault="00D74F0F" w:rsidP="000437B9">
            <w:pPr>
              <w:ind w:left="169" w:right="57"/>
              <w:jc w:val="both"/>
              <w:rPr>
                <w:lang w:eastAsia="lv-LV"/>
              </w:rPr>
            </w:pPr>
            <w:r>
              <w:rPr>
                <w:lang w:eastAsia="lv-LV"/>
              </w:rPr>
              <w:t>Nav.</w:t>
            </w:r>
          </w:p>
        </w:tc>
      </w:tr>
    </w:tbl>
    <w:p w14:paraId="0B117E5C" w14:textId="13B48920" w:rsidR="00A34666" w:rsidRDefault="00A34666" w:rsidP="000437B9">
      <w:pPr>
        <w:suppressAutoHyphens w:val="0"/>
        <w:rPr>
          <w:iCs/>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75"/>
        <w:gridCol w:w="6190"/>
      </w:tblGrid>
      <w:tr w:rsidR="0028347C" w:rsidRPr="00DD49B6" w14:paraId="0228F56A" w14:textId="77777777" w:rsidTr="0028347C">
        <w:trPr>
          <w:trHeight w:val="421"/>
          <w:jc w:val="center"/>
        </w:trPr>
        <w:tc>
          <w:tcPr>
            <w:tcW w:w="9391" w:type="dxa"/>
            <w:gridSpan w:val="3"/>
            <w:vAlign w:val="center"/>
          </w:tcPr>
          <w:p w14:paraId="451999AA" w14:textId="7D3E1C7A" w:rsidR="0028347C" w:rsidRPr="00DD49B6" w:rsidRDefault="0028347C" w:rsidP="00757D28">
            <w:pPr>
              <w:pStyle w:val="naisnod"/>
              <w:spacing w:before="0" w:after="0"/>
              <w:ind w:left="57" w:right="57"/>
            </w:pPr>
            <w:r>
              <w:t>VII</w:t>
            </w:r>
            <w:r w:rsidRPr="00DD49B6">
              <w:t>.</w:t>
            </w:r>
            <w:r>
              <w:t xml:space="preserve"> </w:t>
            </w:r>
            <w:r w:rsidRPr="00A34666">
              <w:t>Tiesību akta projekta izpildes nodrošināšana un tās ietekme uz institūcijām</w:t>
            </w:r>
          </w:p>
        </w:tc>
      </w:tr>
      <w:tr w:rsidR="0028347C" w:rsidRPr="00DD49B6" w14:paraId="01D4F6F4" w14:textId="77777777" w:rsidTr="0028347C">
        <w:trPr>
          <w:trHeight w:val="553"/>
          <w:jc w:val="center"/>
        </w:trPr>
        <w:tc>
          <w:tcPr>
            <w:tcW w:w="426" w:type="dxa"/>
          </w:tcPr>
          <w:p w14:paraId="785B9123" w14:textId="77777777" w:rsidR="0028347C" w:rsidRPr="00DD49B6" w:rsidRDefault="0028347C" w:rsidP="00757D28">
            <w:pPr>
              <w:ind w:left="57" w:right="57"/>
              <w:jc w:val="both"/>
              <w:rPr>
                <w:bCs/>
              </w:rPr>
            </w:pPr>
            <w:r w:rsidRPr="00DD49B6">
              <w:rPr>
                <w:bCs/>
              </w:rPr>
              <w:t>1.</w:t>
            </w:r>
          </w:p>
        </w:tc>
        <w:tc>
          <w:tcPr>
            <w:tcW w:w="2775" w:type="dxa"/>
          </w:tcPr>
          <w:p w14:paraId="6BDBDD4E" w14:textId="2B5AC73C" w:rsidR="0028347C" w:rsidRPr="00DD49B6" w:rsidRDefault="0028347C" w:rsidP="00757D28">
            <w:pPr>
              <w:tabs>
                <w:tab w:val="left" w:pos="170"/>
              </w:tabs>
              <w:ind w:left="57" w:right="57"/>
              <w:rPr>
                <w:lang w:eastAsia="lv-LV"/>
              </w:rPr>
            </w:pPr>
            <w:r w:rsidRPr="00992071">
              <w:rPr>
                <w:color w:val="000000"/>
                <w:lang w:eastAsia="lv-LV"/>
              </w:rPr>
              <w:t>Projekta izpildē iesaistītās institūcijas</w:t>
            </w:r>
          </w:p>
        </w:tc>
        <w:tc>
          <w:tcPr>
            <w:tcW w:w="6190" w:type="dxa"/>
          </w:tcPr>
          <w:p w14:paraId="6CC5F856" w14:textId="38B34D81" w:rsidR="0028347C" w:rsidRPr="00DD49B6" w:rsidRDefault="0028347C" w:rsidP="00757D28">
            <w:pPr>
              <w:shd w:val="clear" w:color="auto" w:fill="FFFFFF"/>
              <w:ind w:left="169" w:right="85"/>
              <w:jc w:val="both"/>
              <w:rPr>
                <w:lang w:eastAsia="lv-LV"/>
              </w:rPr>
            </w:pPr>
            <w:r>
              <w:rPr>
                <w:color w:val="000000"/>
                <w:lang w:eastAsia="lv-LV"/>
              </w:rPr>
              <w:t>Satiksmes ministrija.</w:t>
            </w:r>
          </w:p>
        </w:tc>
      </w:tr>
      <w:tr w:rsidR="0028347C" w:rsidRPr="00DD49B6" w14:paraId="20ACC321" w14:textId="77777777" w:rsidTr="0028347C">
        <w:trPr>
          <w:trHeight w:val="339"/>
          <w:jc w:val="center"/>
        </w:trPr>
        <w:tc>
          <w:tcPr>
            <w:tcW w:w="426" w:type="dxa"/>
          </w:tcPr>
          <w:p w14:paraId="62129DEB" w14:textId="77777777" w:rsidR="0028347C" w:rsidRPr="00DD49B6" w:rsidRDefault="0028347C" w:rsidP="00757D28">
            <w:pPr>
              <w:ind w:left="57" w:right="57"/>
              <w:jc w:val="both"/>
              <w:rPr>
                <w:bCs/>
              </w:rPr>
            </w:pPr>
            <w:r w:rsidRPr="00DD49B6">
              <w:rPr>
                <w:bCs/>
              </w:rPr>
              <w:t>2.</w:t>
            </w:r>
          </w:p>
        </w:tc>
        <w:tc>
          <w:tcPr>
            <w:tcW w:w="2775" w:type="dxa"/>
          </w:tcPr>
          <w:p w14:paraId="0D3A3ACD" w14:textId="77777777" w:rsidR="0028347C" w:rsidRPr="00992071" w:rsidRDefault="0028347C" w:rsidP="0028347C">
            <w:pPr>
              <w:spacing w:before="100" w:beforeAutospacing="1" w:after="100" w:afterAutospacing="1"/>
              <w:ind w:left="96"/>
              <w:rPr>
                <w:lang w:eastAsia="lv-LV"/>
              </w:rPr>
            </w:pPr>
            <w:r w:rsidRPr="00992071">
              <w:rPr>
                <w:lang w:eastAsia="lv-LV"/>
              </w:rPr>
              <w:t>Projekta izpildes ietekme uz pārvaldes funkcijām un institucionālo struktūru.</w:t>
            </w:r>
          </w:p>
          <w:p w14:paraId="7F4131D0" w14:textId="4C3BA771" w:rsidR="0028347C" w:rsidRPr="00DD49B6" w:rsidRDefault="0028347C" w:rsidP="0028347C">
            <w:pPr>
              <w:ind w:left="57" w:right="57"/>
              <w:rPr>
                <w:lang w:eastAsia="lv-LV"/>
              </w:rPr>
            </w:pPr>
            <w:r w:rsidRPr="00992071">
              <w:rPr>
                <w:lang w:eastAsia="lv-LV"/>
              </w:rPr>
              <w:t>Jaunu institūciju izveide, esošo institūciju likvidācija vai reorganizācija, to ietekme uz institūcijas cilvēkresursiem</w:t>
            </w:r>
            <w:r>
              <w:rPr>
                <w:lang w:eastAsia="lv-LV"/>
              </w:rPr>
              <w:t>.</w:t>
            </w:r>
          </w:p>
        </w:tc>
        <w:tc>
          <w:tcPr>
            <w:tcW w:w="6190" w:type="dxa"/>
          </w:tcPr>
          <w:p w14:paraId="4747EAD9" w14:textId="2BDADA95" w:rsidR="0028347C" w:rsidRDefault="0028347C" w:rsidP="00EB4EAD">
            <w:pPr>
              <w:shd w:val="clear" w:color="auto" w:fill="FFFFFF"/>
              <w:ind w:left="156"/>
              <w:jc w:val="both"/>
              <w:rPr>
                <w:lang w:eastAsia="lv-LV"/>
              </w:rPr>
            </w:pPr>
            <w:r w:rsidRPr="00992071">
              <w:rPr>
                <w:lang w:eastAsia="lv-LV"/>
              </w:rPr>
              <w:t>Projekt</w:t>
            </w:r>
            <w:r>
              <w:rPr>
                <w:lang w:eastAsia="lv-LV"/>
              </w:rPr>
              <w:t xml:space="preserve">ā paredzētā funkcija tiks nodrošināta </w:t>
            </w:r>
            <w:r w:rsidR="00EB4EAD" w:rsidRPr="00EB4EAD">
              <w:rPr>
                <w:lang w:eastAsia="lv-LV"/>
              </w:rPr>
              <w:t>esošo cilvēkresursu un finanšu līdzekļu ietvaros</w:t>
            </w:r>
            <w:r w:rsidRPr="00992071">
              <w:rPr>
                <w:lang w:eastAsia="lv-LV"/>
              </w:rPr>
              <w:t>.</w:t>
            </w:r>
          </w:p>
          <w:p w14:paraId="0320E98F" w14:textId="2D0972A8" w:rsidR="0028347C" w:rsidRPr="00DD49B6" w:rsidRDefault="0028347C" w:rsidP="0028347C">
            <w:pPr>
              <w:shd w:val="clear" w:color="auto" w:fill="FFFFFF"/>
              <w:ind w:left="156"/>
              <w:jc w:val="both"/>
              <w:rPr>
                <w:lang w:eastAsia="lv-LV"/>
              </w:rPr>
            </w:pPr>
            <w:r>
              <w:rPr>
                <w:lang w:eastAsia="lv-LV"/>
              </w:rPr>
              <w:t>Jaunas institūcijas izveide nav nepieciešama.</w:t>
            </w:r>
          </w:p>
        </w:tc>
      </w:tr>
      <w:tr w:rsidR="0028347C" w:rsidRPr="00DD49B6" w14:paraId="5AEF775D" w14:textId="77777777" w:rsidTr="0028347C">
        <w:trPr>
          <w:trHeight w:val="476"/>
          <w:jc w:val="center"/>
        </w:trPr>
        <w:tc>
          <w:tcPr>
            <w:tcW w:w="426" w:type="dxa"/>
          </w:tcPr>
          <w:p w14:paraId="0D0E6249" w14:textId="209B044E" w:rsidR="0028347C" w:rsidRPr="00DD49B6" w:rsidRDefault="0028347C" w:rsidP="00757D28">
            <w:pPr>
              <w:ind w:left="57" w:right="57"/>
              <w:jc w:val="both"/>
              <w:rPr>
                <w:bCs/>
              </w:rPr>
            </w:pPr>
            <w:r>
              <w:rPr>
                <w:bCs/>
              </w:rPr>
              <w:t>3</w:t>
            </w:r>
            <w:r w:rsidRPr="00DD49B6">
              <w:rPr>
                <w:bCs/>
              </w:rPr>
              <w:t>.</w:t>
            </w:r>
          </w:p>
        </w:tc>
        <w:tc>
          <w:tcPr>
            <w:tcW w:w="2775" w:type="dxa"/>
          </w:tcPr>
          <w:p w14:paraId="7BDD385F" w14:textId="77777777" w:rsidR="0028347C" w:rsidRPr="00DD49B6" w:rsidRDefault="0028347C" w:rsidP="00757D28">
            <w:pPr>
              <w:ind w:left="57" w:right="57"/>
              <w:rPr>
                <w:lang w:eastAsia="lv-LV"/>
              </w:rPr>
            </w:pPr>
            <w:r w:rsidRPr="00DD49B6">
              <w:rPr>
                <w:lang w:eastAsia="lv-LV"/>
              </w:rPr>
              <w:t>Cita informācija</w:t>
            </w:r>
          </w:p>
        </w:tc>
        <w:tc>
          <w:tcPr>
            <w:tcW w:w="6190" w:type="dxa"/>
          </w:tcPr>
          <w:p w14:paraId="70C89B01" w14:textId="77777777" w:rsidR="0028347C" w:rsidRPr="00DD49B6" w:rsidRDefault="0028347C" w:rsidP="00757D28">
            <w:pPr>
              <w:ind w:left="169" w:right="57"/>
              <w:jc w:val="both"/>
              <w:rPr>
                <w:lang w:eastAsia="lv-LV"/>
              </w:rPr>
            </w:pPr>
            <w:r>
              <w:rPr>
                <w:lang w:eastAsia="lv-LV"/>
              </w:rPr>
              <w:t>Nav.</w:t>
            </w:r>
          </w:p>
        </w:tc>
      </w:tr>
    </w:tbl>
    <w:p w14:paraId="21D57705" w14:textId="5E06FD43" w:rsidR="0028347C" w:rsidRDefault="0028347C" w:rsidP="000437B9">
      <w:pPr>
        <w:suppressAutoHyphens w:val="0"/>
        <w:rPr>
          <w:iCs/>
        </w:rPr>
      </w:pPr>
    </w:p>
    <w:p w14:paraId="273BC8EF" w14:textId="77777777" w:rsidR="00B65C7E" w:rsidRPr="00D166EA" w:rsidRDefault="00B65C7E" w:rsidP="000437B9">
      <w:pPr>
        <w:pStyle w:val="Footer"/>
      </w:pPr>
    </w:p>
    <w:p w14:paraId="1FEA934A" w14:textId="77777777" w:rsidR="0028347C" w:rsidRDefault="0028347C" w:rsidP="000437B9">
      <w:pPr>
        <w:suppressAutoHyphens w:val="0"/>
        <w:jc w:val="both"/>
        <w:rPr>
          <w:szCs w:val="28"/>
          <w:lang w:eastAsia="lv-LV"/>
        </w:rPr>
      </w:pPr>
    </w:p>
    <w:p w14:paraId="3B984361" w14:textId="2A2D1E27" w:rsidR="00370A0D" w:rsidRPr="00370A0D" w:rsidRDefault="00370A0D" w:rsidP="0028347C">
      <w:pPr>
        <w:suppressAutoHyphens w:val="0"/>
        <w:ind w:left="-142" w:firstLine="142"/>
        <w:jc w:val="both"/>
        <w:rPr>
          <w:szCs w:val="28"/>
          <w:lang w:eastAsia="lv-LV"/>
        </w:rPr>
      </w:pPr>
      <w:r w:rsidRPr="00370A0D">
        <w:rPr>
          <w:szCs w:val="28"/>
          <w:lang w:eastAsia="lv-LV"/>
        </w:rPr>
        <w:t>Satiksmes ministr</w:t>
      </w:r>
      <w:r w:rsidR="00FF65AA">
        <w:rPr>
          <w:szCs w:val="28"/>
          <w:lang w:eastAsia="lv-LV"/>
        </w:rPr>
        <w:t>s</w:t>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0028347C">
        <w:rPr>
          <w:szCs w:val="28"/>
          <w:lang w:eastAsia="lv-LV"/>
        </w:rPr>
        <w:t xml:space="preserve">T. </w:t>
      </w:r>
      <w:proofErr w:type="spellStart"/>
      <w:r w:rsidR="0028347C">
        <w:rPr>
          <w:szCs w:val="28"/>
          <w:lang w:eastAsia="lv-LV"/>
        </w:rPr>
        <w:t>Linkaits</w:t>
      </w:r>
      <w:proofErr w:type="spellEnd"/>
    </w:p>
    <w:p w14:paraId="5B5DAFD0" w14:textId="6C089ED2" w:rsidR="00B65C7E" w:rsidRDefault="00B65C7E" w:rsidP="000437B9">
      <w:pPr>
        <w:pStyle w:val="Footer"/>
      </w:pPr>
    </w:p>
    <w:p w14:paraId="21C1D0A2" w14:textId="77777777" w:rsidR="00842D3B" w:rsidRPr="00D166EA" w:rsidRDefault="00842D3B" w:rsidP="000437B9">
      <w:pPr>
        <w:pStyle w:val="Footer"/>
      </w:pPr>
    </w:p>
    <w:p w14:paraId="0FB419DE" w14:textId="77777777" w:rsidR="00054E2A" w:rsidRDefault="005957CA" w:rsidP="000437B9">
      <w:pPr>
        <w:jc w:val="both"/>
      </w:pPr>
      <w:r w:rsidRPr="005957CA">
        <w:t>Vīza:</w:t>
      </w:r>
      <w:r w:rsidR="00FC3C77">
        <w:t xml:space="preserve"> </w:t>
      </w:r>
    </w:p>
    <w:p w14:paraId="4F24BE29" w14:textId="13E9F7E6" w:rsidR="00054E2A" w:rsidRDefault="00054E2A" w:rsidP="000437B9">
      <w:pPr>
        <w:jc w:val="both"/>
      </w:pPr>
      <w:r>
        <w:t>V</w:t>
      </w:r>
      <w:r w:rsidR="005957CA" w:rsidRPr="005957CA">
        <w:t>alsts sekretār</w:t>
      </w:r>
      <w:r>
        <w:t>a vietā -</w:t>
      </w:r>
    </w:p>
    <w:p w14:paraId="342E94A8" w14:textId="06D7C88F" w:rsidR="005957CA" w:rsidRPr="005957CA" w:rsidRDefault="00054E2A" w:rsidP="000437B9">
      <w:pPr>
        <w:jc w:val="both"/>
      </w:pPr>
      <w:r>
        <w:t>valsts sekretāra vietniece</w:t>
      </w:r>
      <w:r w:rsidR="005957CA" w:rsidRPr="005957CA">
        <w:tab/>
      </w:r>
      <w:r w:rsidR="005957CA" w:rsidRPr="005957CA">
        <w:tab/>
      </w:r>
      <w:r w:rsidR="00FC3C77">
        <w:tab/>
      </w:r>
      <w:r w:rsidR="00FC3C77">
        <w:tab/>
      </w:r>
      <w:r w:rsidR="00FC3C77">
        <w:tab/>
      </w:r>
      <w:r w:rsidR="00FC3C77">
        <w:tab/>
      </w:r>
      <w:r w:rsidR="00FC3C77">
        <w:tab/>
      </w:r>
      <w:r>
        <w:t>Dž.Innusa</w:t>
      </w:r>
    </w:p>
    <w:p w14:paraId="7A09BF8E" w14:textId="77777777" w:rsidR="005957CA" w:rsidRDefault="005957CA" w:rsidP="000437B9">
      <w:pPr>
        <w:jc w:val="both"/>
      </w:pPr>
    </w:p>
    <w:p w14:paraId="63069236" w14:textId="77777777" w:rsidR="00A34666" w:rsidRDefault="00A34666" w:rsidP="000437B9">
      <w:pPr>
        <w:jc w:val="both"/>
      </w:pPr>
    </w:p>
    <w:p w14:paraId="0E24038D" w14:textId="77777777" w:rsidR="00F67BA8" w:rsidRDefault="00F67BA8" w:rsidP="000437B9">
      <w:pPr>
        <w:jc w:val="both"/>
      </w:pPr>
    </w:p>
    <w:p w14:paraId="16A8FB36" w14:textId="77777777" w:rsidR="00D74F0F" w:rsidRPr="00B65C7E" w:rsidRDefault="00D74F0F" w:rsidP="000437B9">
      <w:pPr>
        <w:jc w:val="both"/>
      </w:pPr>
    </w:p>
    <w:p w14:paraId="6BBA08ED" w14:textId="26EE1466" w:rsidR="000A20E8" w:rsidRPr="00F96257" w:rsidRDefault="007D7619" w:rsidP="000437B9">
      <w:pPr>
        <w:rPr>
          <w:sz w:val="20"/>
          <w:szCs w:val="20"/>
        </w:rPr>
      </w:pPr>
      <w:r w:rsidRPr="00F96257">
        <w:rPr>
          <w:sz w:val="20"/>
          <w:szCs w:val="20"/>
        </w:rPr>
        <w:t>Bankoviča</w:t>
      </w:r>
      <w:r w:rsidR="00766282" w:rsidRPr="00F96257">
        <w:rPr>
          <w:sz w:val="20"/>
          <w:szCs w:val="20"/>
        </w:rPr>
        <w:t xml:space="preserve"> 6702811</w:t>
      </w:r>
      <w:r w:rsidRPr="00F96257">
        <w:rPr>
          <w:sz w:val="20"/>
          <w:szCs w:val="20"/>
        </w:rPr>
        <w:t>1</w:t>
      </w:r>
    </w:p>
    <w:p w14:paraId="5AF562C8" w14:textId="4445AEF4" w:rsidR="000A20E8" w:rsidRDefault="00582ED1" w:rsidP="000437B9">
      <w:pPr>
        <w:rPr>
          <w:sz w:val="20"/>
          <w:szCs w:val="20"/>
        </w:rPr>
      </w:pPr>
      <w:hyperlink r:id="rId9" w:history="1">
        <w:r w:rsidR="00003B10" w:rsidRPr="00BE1347">
          <w:rPr>
            <w:rStyle w:val="Hyperlink"/>
            <w:sz w:val="20"/>
            <w:szCs w:val="20"/>
          </w:rPr>
          <w:t>Dace.Bankovica@sam.gov.lv</w:t>
        </w:r>
      </w:hyperlink>
    </w:p>
    <w:p w14:paraId="73788F78" w14:textId="4055A92C" w:rsidR="00003B10" w:rsidRDefault="00003B10" w:rsidP="000437B9">
      <w:pPr>
        <w:rPr>
          <w:sz w:val="20"/>
          <w:szCs w:val="20"/>
        </w:rPr>
      </w:pPr>
    </w:p>
    <w:p w14:paraId="3147D15B" w14:textId="1A955BB0" w:rsidR="00003B10" w:rsidRDefault="00003B10" w:rsidP="000437B9">
      <w:pPr>
        <w:rPr>
          <w:sz w:val="20"/>
          <w:szCs w:val="20"/>
        </w:rPr>
      </w:pPr>
      <w:r>
        <w:rPr>
          <w:sz w:val="20"/>
          <w:szCs w:val="20"/>
        </w:rPr>
        <w:t>Kalniņa 67028233</w:t>
      </w:r>
    </w:p>
    <w:p w14:paraId="6EEB2D20" w14:textId="6DE40843" w:rsidR="00003B10" w:rsidRPr="00F96257" w:rsidRDefault="00582ED1" w:rsidP="000437B9">
      <w:pPr>
        <w:rPr>
          <w:sz w:val="20"/>
          <w:szCs w:val="20"/>
        </w:rPr>
      </w:pPr>
      <w:hyperlink r:id="rId10" w:history="1">
        <w:r w:rsidR="00003B10" w:rsidRPr="00BE1347">
          <w:rPr>
            <w:rStyle w:val="Hyperlink"/>
            <w:sz w:val="20"/>
            <w:szCs w:val="20"/>
          </w:rPr>
          <w:t>Irisa.Kalnina@sam.gov.lv</w:t>
        </w:r>
      </w:hyperlink>
      <w:r w:rsidR="00003B10">
        <w:rPr>
          <w:sz w:val="20"/>
          <w:szCs w:val="20"/>
        </w:rPr>
        <w:t xml:space="preserve"> </w:t>
      </w:r>
    </w:p>
    <w:p w14:paraId="12DB8812" w14:textId="77777777" w:rsidR="00814E2A" w:rsidRPr="000A20E8" w:rsidRDefault="000A20E8" w:rsidP="000437B9">
      <w:pPr>
        <w:tabs>
          <w:tab w:val="left" w:pos="5722"/>
        </w:tabs>
        <w:rPr>
          <w:sz w:val="16"/>
          <w:szCs w:val="16"/>
        </w:rPr>
      </w:pPr>
      <w:r>
        <w:rPr>
          <w:sz w:val="16"/>
          <w:szCs w:val="16"/>
        </w:rPr>
        <w:tab/>
      </w:r>
    </w:p>
    <w:sectPr w:rsidR="00814E2A" w:rsidRPr="000A20E8" w:rsidSect="0028347C">
      <w:headerReference w:type="even" r:id="rId11"/>
      <w:headerReference w:type="default" r:id="rId12"/>
      <w:footerReference w:type="default" r:id="rId13"/>
      <w:footerReference w:type="first" r:id="rId14"/>
      <w:pgSz w:w="11905" w:h="16837" w:code="9"/>
      <w:pgMar w:top="1418" w:right="99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AC82" w14:textId="77777777" w:rsidR="00582ED1" w:rsidRDefault="00582ED1">
      <w:r>
        <w:separator/>
      </w:r>
    </w:p>
  </w:endnote>
  <w:endnote w:type="continuationSeparator" w:id="0">
    <w:p w14:paraId="4C67BFED" w14:textId="77777777" w:rsidR="00582ED1" w:rsidRDefault="0058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86FD" w14:textId="339D17D6" w:rsidR="001D3928" w:rsidRPr="003A61FA" w:rsidRDefault="003A61FA" w:rsidP="003A61FA">
    <w:pPr>
      <w:pStyle w:val="Footer"/>
      <w:rPr>
        <w:sz w:val="20"/>
        <w:szCs w:val="20"/>
      </w:rPr>
    </w:pPr>
    <w:r>
      <w:rPr>
        <w:sz w:val="20"/>
        <w:szCs w:val="20"/>
      </w:rPr>
      <w:t>SMAnot_</w:t>
    </w:r>
    <w:r w:rsidR="003E5C05">
      <w:rPr>
        <w:sz w:val="20"/>
        <w:szCs w:val="20"/>
      </w:rPr>
      <w:t>12</w:t>
    </w:r>
    <w:r w:rsidR="0028347C">
      <w:rPr>
        <w:sz w:val="20"/>
        <w:szCs w:val="20"/>
      </w:rPr>
      <w:t>0</w:t>
    </w:r>
    <w:r w:rsidR="003E5C05">
      <w:rPr>
        <w:sz w:val="20"/>
        <w:szCs w:val="20"/>
      </w:rPr>
      <w:t>3</w:t>
    </w:r>
    <w:r w:rsidR="008B1416">
      <w:rPr>
        <w:sz w:val="20"/>
        <w:szCs w:val="20"/>
      </w:rPr>
      <w:t>19_nolikums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1073" w14:textId="256576BE" w:rsidR="001D3928" w:rsidRPr="003A61FA" w:rsidRDefault="003A61FA" w:rsidP="003A61FA">
    <w:pPr>
      <w:pStyle w:val="Footer"/>
      <w:rPr>
        <w:sz w:val="20"/>
        <w:szCs w:val="20"/>
      </w:rPr>
    </w:pPr>
    <w:r>
      <w:rPr>
        <w:sz w:val="20"/>
        <w:szCs w:val="20"/>
      </w:rPr>
      <w:t>SMAnot_</w:t>
    </w:r>
    <w:r w:rsidR="003E5C05">
      <w:rPr>
        <w:sz w:val="20"/>
        <w:szCs w:val="20"/>
      </w:rPr>
      <w:t>12</w:t>
    </w:r>
    <w:r w:rsidR="003A3BC4">
      <w:rPr>
        <w:sz w:val="20"/>
        <w:szCs w:val="20"/>
      </w:rPr>
      <w:t>0</w:t>
    </w:r>
    <w:r w:rsidR="003E5C05">
      <w:rPr>
        <w:sz w:val="20"/>
        <w:szCs w:val="20"/>
      </w:rPr>
      <w:t>3</w:t>
    </w:r>
    <w:r w:rsidR="008B1416">
      <w:rPr>
        <w:sz w:val="20"/>
        <w:szCs w:val="20"/>
      </w:rPr>
      <w:t>19_nolikums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9981C" w14:textId="77777777" w:rsidR="00582ED1" w:rsidRDefault="00582ED1">
      <w:r>
        <w:separator/>
      </w:r>
    </w:p>
  </w:footnote>
  <w:footnote w:type="continuationSeparator" w:id="0">
    <w:p w14:paraId="2118DFE0" w14:textId="77777777" w:rsidR="00582ED1" w:rsidRDefault="0058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4A2F" w14:textId="77777777"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5E376" w14:textId="77777777" w:rsidR="001D3928" w:rsidRDefault="001D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14F2" w14:textId="57FA21C0"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A5C">
      <w:rPr>
        <w:rStyle w:val="PageNumber"/>
        <w:noProof/>
      </w:rPr>
      <w:t>4</w:t>
    </w:r>
    <w:r>
      <w:rPr>
        <w:rStyle w:val="PageNumber"/>
      </w:rPr>
      <w:fldChar w:fldCharType="end"/>
    </w:r>
  </w:p>
  <w:p w14:paraId="52624B6C" w14:textId="77777777" w:rsidR="001D3928" w:rsidRDefault="00680AB7">
    <w:pPr>
      <w:pStyle w:val="Header"/>
    </w:pPr>
    <w:r>
      <w:rPr>
        <w:noProof/>
        <w:lang w:eastAsia="lv-LV"/>
      </w:rPr>
      <mc:AlternateContent>
        <mc:Choice Requires="wps">
          <w:drawing>
            <wp:anchor distT="0" distB="0" distL="0" distR="0" simplePos="0" relativeHeight="251657728" behindDoc="0" locked="0" layoutInCell="1" allowOverlap="1" wp14:anchorId="680BD64C" wp14:editId="29291992">
              <wp:simplePos x="0" y="0"/>
              <wp:positionH relativeFrom="margin">
                <wp:align>center</wp:align>
              </wp:positionH>
              <wp:positionV relativeFrom="paragraph">
                <wp:posOffset>635</wp:posOffset>
              </wp:positionV>
              <wp:extent cx="76200" cy="174625"/>
              <wp:effectExtent l="7620" t="635" r="190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6C876" w14:textId="77777777" w:rsidR="001D3928" w:rsidRDefault="001D392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80BD64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28C6C876" w14:textId="77777777" w:rsidR="001D3928" w:rsidRDefault="001D3928">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228F4"/>
    <w:multiLevelType w:val="hybridMultilevel"/>
    <w:tmpl w:val="9E9AF284"/>
    <w:lvl w:ilvl="0" w:tplc="04260001">
      <w:start w:val="1"/>
      <w:numFmt w:val="bullet"/>
      <w:lvlText w:val=""/>
      <w:lvlJc w:val="left"/>
      <w:pPr>
        <w:tabs>
          <w:tab w:val="num" w:pos="831"/>
        </w:tabs>
        <w:ind w:left="831" w:hanging="360"/>
      </w:pPr>
      <w:rPr>
        <w:rFonts w:ascii="Symbol" w:hAnsi="Symbol" w:hint="default"/>
      </w:rPr>
    </w:lvl>
    <w:lvl w:ilvl="1" w:tplc="04260003" w:tentative="1">
      <w:start w:val="1"/>
      <w:numFmt w:val="bullet"/>
      <w:lvlText w:val="o"/>
      <w:lvlJc w:val="left"/>
      <w:pPr>
        <w:tabs>
          <w:tab w:val="num" w:pos="1551"/>
        </w:tabs>
        <w:ind w:left="1551" w:hanging="360"/>
      </w:pPr>
      <w:rPr>
        <w:rFonts w:ascii="Courier New" w:hAnsi="Courier New" w:cs="Courier New" w:hint="default"/>
      </w:rPr>
    </w:lvl>
    <w:lvl w:ilvl="2" w:tplc="04260005" w:tentative="1">
      <w:start w:val="1"/>
      <w:numFmt w:val="bullet"/>
      <w:lvlText w:val=""/>
      <w:lvlJc w:val="left"/>
      <w:pPr>
        <w:tabs>
          <w:tab w:val="num" w:pos="2271"/>
        </w:tabs>
        <w:ind w:left="2271" w:hanging="360"/>
      </w:pPr>
      <w:rPr>
        <w:rFonts w:ascii="Wingdings" w:hAnsi="Wingdings" w:hint="default"/>
      </w:rPr>
    </w:lvl>
    <w:lvl w:ilvl="3" w:tplc="04260001" w:tentative="1">
      <w:start w:val="1"/>
      <w:numFmt w:val="bullet"/>
      <w:lvlText w:val=""/>
      <w:lvlJc w:val="left"/>
      <w:pPr>
        <w:tabs>
          <w:tab w:val="num" w:pos="2991"/>
        </w:tabs>
        <w:ind w:left="2991" w:hanging="360"/>
      </w:pPr>
      <w:rPr>
        <w:rFonts w:ascii="Symbol" w:hAnsi="Symbol" w:hint="default"/>
      </w:rPr>
    </w:lvl>
    <w:lvl w:ilvl="4" w:tplc="04260003" w:tentative="1">
      <w:start w:val="1"/>
      <w:numFmt w:val="bullet"/>
      <w:lvlText w:val="o"/>
      <w:lvlJc w:val="left"/>
      <w:pPr>
        <w:tabs>
          <w:tab w:val="num" w:pos="3711"/>
        </w:tabs>
        <w:ind w:left="3711" w:hanging="360"/>
      </w:pPr>
      <w:rPr>
        <w:rFonts w:ascii="Courier New" w:hAnsi="Courier New" w:cs="Courier New" w:hint="default"/>
      </w:rPr>
    </w:lvl>
    <w:lvl w:ilvl="5" w:tplc="04260005" w:tentative="1">
      <w:start w:val="1"/>
      <w:numFmt w:val="bullet"/>
      <w:lvlText w:val=""/>
      <w:lvlJc w:val="left"/>
      <w:pPr>
        <w:tabs>
          <w:tab w:val="num" w:pos="4431"/>
        </w:tabs>
        <w:ind w:left="4431" w:hanging="360"/>
      </w:pPr>
      <w:rPr>
        <w:rFonts w:ascii="Wingdings" w:hAnsi="Wingdings" w:hint="default"/>
      </w:rPr>
    </w:lvl>
    <w:lvl w:ilvl="6" w:tplc="04260001" w:tentative="1">
      <w:start w:val="1"/>
      <w:numFmt w:val="bullet"/>
      <w:lvlText w:val=""/>
      <w:lvlJc w:val="left"/>
      <w:pPr>
        <w:tabs>
          <w:tab w:val="num" w:pos="5151"/>
        </w:tabs>
        <w:ind w:left="5151" w:hanging="360"/>
      </w:pPr>
      <w:rPr>
        <w:rFonts w:ascii="Symbol" w:hAnsi="Symbol" w:hint="default"/>
      </w:rPr>
    </w:lvl>
    <w:lvl w:ilvl="7" w:tplc="04260003" w:tentative="1">
      <w:start w:val="1"/>
      <w:numFmt w:val="bullet"/>
      <w:lvlText w:val="o"/>
      <w:lvlJc w:val="left"/>
      <w:pPr>
        <w:tabs>
          <w:tab w:val="num" w:pos="5871"/>
        </w:tabs>
        <w:ind w:left="5871" w:hanging="360"/>
      </w:pPr>
      <w:rPr>
        <w:rFonts w:ascii="Courier New" w:hAnsi="Courier New" w:cs="Courier New" w:hint="default"/>
      </w:rPr>
    </w:lvl>
    <w:lvl w:ilvl="8" w:tplc="04260005" w:tentative="1">
      <w:start w:val="1"/>
      <w:numFmt w:val="bullet"/>
      <w:lvlText w:val=""/>
      <w:lvlJc w:val="left"/>
      <w:pPr>
        <w:tabs>
          <w:tab w:val="num" w:pos="6591"/>
        </w:tabs>
        <w:ind w:left="6591" w:hanging="360"/>
      </w:pPr>
      <w:rPr>
        <w:rFonts w:ascii="Wingdings" w:hAnsi="Wingdings" w:hint="default"/>
      </w:rPr>
    </w:lvl>
  </w:abstractNum>
  <w:abstractNum w:abstractNumId="3">
    <w:nsid w:val="2DA12A71"/>
    <w:multiLevelType w:val="hybridMultilevel"/>
    <w:tmpl w:val="DB32BD94"/>
    <w:lvl w:ilvl="0" w:tplc="5022A378">
      <w:start w:val="1"/>
      <w:numFmt w:val="bullet"/>
      <w:lvlText w:val="-"/>
      <w:lvlJc w:val="left"/>
      <w:pPr>
        <w:tabs>
          <w:tab w:val="num" w:pos="372"/>
        </w:tabs>
        <w:ind w:left="372" w:hanging="360"/>
      </w:pPr>
      <w:rPr>
        <w:rFonts w:ascii="Times New Roman" w:eastAsia="Times New Roman" w:hAnsi="Times New Roman" w:cs="Times New Roman" w:hint="default"/>
      </w:rPr>
    </w:lvl>
    <w:lvl w:ilvl="1" w:tplc="04260003" w:tentative="1">
      <w:start w:val="1"/>
      <w:numFmt w:val="bullet"/>
      <w:lvlText w:val="o"/>
      <w:lvlJc w:val="left"/>
      <w:pPr>
        <w:tabs>
          <w:tab w:val="num" w:pos="1092"/>
        </w:tabs>
        <w:ind w:left="1092" w:hanging="360"/>
      </w:pPr>
      <w:rPr>
        <w:rFonts w:ascii="Courier New" w:hAnsi="Courier New" w:cs="Courier New" w:hint="default"/>
      </w:rPr>
    </w:lvl>
    <w:lvl w:ilvl="2" w:tplc="04260005" w:tentative="1">
      <w:start w:val="1"/>
      <w:numFmt w:val="bullet"/>
      <w:lvlText w:val=""/>
      <w:lvlJc w:val="left"/>
      <w:pPr>
        <w:tabs>
          <w:tab w:val="num" w:pos="1812"/>
        </w:tabs>
        <w:ind w:left="1812" w:hanging="360"/>
      </w:pPr>
      <w:rPr>
        <w:rFonts w:ascii="Wingdings" w:hAnsi="Wingdings" w:hint="default"/>
      </w:rPr>
    </w:lvl>
    <w:lvl w:ilvl="3" w:tplc="04260001" w:tentative="1">
      <w:start w:val="1"/>
      <w:numFmt w:val="bullet"/>
      <w:lvlText w:val=""/>
      <w:lvlJc w:val="left"/>
      <w:pPr>
        <w:tabs>
          <w:tab w:val="num" w:pos="2532"/>
        </w:tabs>
        <w:ind w:left="2532" w:hanging="360"/>
      </w:pPr>
      <w:rPr>
        <w:rFonts w:ascii="Symbol" w:hAnsi="Symbol" w:hint="default"/>
      </w:rPr>
    </w:lvl>
    <w:lvl w:ilvl="4" w:tplc="04260003" w:tentative="1">
      <w:start w:val="1"/>
      <w:numFmt w:val="bullet"/>
      <w:lvlText w:val="o"/>
      <w:lvlJc w:val="left"/>
      <w:pPr>
        <w:tabs>
          <w:tab w:val="num" w:pos="3252"/>
        </w:tabs>
        <w:ind w:left="3252" w:hanging="360"/>
      </w:pPr>
      <w:rPr>
        <w:rFonts w:ascii="Courier New" w:hAnsi="Courier New" w:cs="Courier New" w:hint="default"/>
      </w:rPr>
    </w:lvl>
    <w:lvl w:ilvl="5" w:tplc="04260005" w:tentative="1">
      <w:start w:val="1"/>
      <w:numFmt w:val="bullet"/>
      <w:lvlText w:val=""/>
      <w:lvlJc w:val="left"/>
      <w:pPr>
        <w:tabs>
          <w:tab w:val="num" w:pos="3972"/>
        </w:tabs>
        <w:ind w:left="3972" w:hanging="360"/>
      </w:pPr>
      <w:rPr>
        <w:rFonts w:ascii="Wingdings" w:hAnsi="Wingdings" w:hint="default"/>
      </w:rPr>
    </w:lvl>
    <w:lvl w:ilvl="6" w:tplc="04260001" w:tentative="1">
      <w:start w:val="1"/>
      <w:numFmt w:val="bullet"/>
      <w:lvlText w:val=""/>
      <w:lvlJc w:val="left"/>
      <w:pPr>
        <w:tabs>
          <w:tab w:val="num" w:pos="4692"/>
        </w:tabs>
        <w:ind w:left="4692" w:hanging="360"/>
      </w:pPr>
      <w:rPr>
        <w:rFonts w:ascii="Symbol" w:hAnsi="Symbol" w:hint="default"/>
      </w:rPr>
    </w:lvl>
    <w:lvl w:ilvl="7" w:tplc="04260003" w:tentative="1">
      <w:start w:val="1"/>
      <w:numFmt w:val="bullet"/>
      <w:lvlText w:val="o"/>
      <w:lvlJc w:val="left"/>
      <w:pPr>
        <w:tabs>
          <w:tab w:val="num" w:pos="5412"/>
        </w:tabs>
        <w:ind w:left="5412" w:hanging="360"/>
      </w:pPr>
      <w:rPr>
        <w:rFonts w:ascii="Courier New" w:hAnsi="Courier New" w:cs="Courier New" w:hint="default"/>
      </w:rPr>
    </w:lvl>
    <w:lvl w:ilvl="8" w:tplc="0426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2"/>
    <w:rsid w:val="000015DA"/>
    <w:rsid w:val="00003B10"/>
    <w:rsid w:val="00004977"/>
    <w:rsid w:val="00007257"/>
    <w:rsid w:val="000101A2"/>
    <w:rsid w:val="00014168"/>
    <w:rsid w:val="000150F4"/>
    <w:rsid w:val="000162CE"/>
    <w:rsid w:val="00017633"/>
    <w:rsid w:val="0001776E"/>
    <w:rsid w:val="00022CEB"/>
    <w:rsid w:val="00022D5B"/>
    <w:rsid w:val="000249BE"/>
    <w:rsid w:val="000253D1"/>
    <w:rsid w:val="0002542C"/>
    <w:rsid w:val="000263A5"/>
    <w:rsid w:val="00027DAA"/>
    <w:rsid w:val="000320B5"/>
    <w:rsid w:val="0003258F"/>
    <w:rsid w:val="00037C47"/>
    <w:rsid w:val="000437B9"/>
    <w:rsid w:val="00043EE2"/>
    <w:rsid w:val="00045216"/>
    <w:rsid w:val="0004794C"/>
    <w:rsid w:val="000503B0"/>
    <w:rsid w:val="0005113A"/>
    <w:rsid w:val="00051658"/>
    <w:rsid w:val="00051B4C"/>
    <w:rsid w:val="00054E2A"/>
    <w:rsid w:val="00055B02"/>
    <w:rsid w:val="00062D39"/>
    <w:rsid w:val="0006625C"/>
    <w:rsid w:val="000730AD"/>
    <w:rsid w:val="000778ED"/>
    <w:rsid w:val="00080648"/>
    <w:rsid w:val="000831D4"/>
    <w:rsid w:val="000846AE"/>
    <w:rsid w:val="00084884"/>
    <w:rsid w:val="00084966"/>
    <w:rsid w:val="00085B2E"/>
    <w:rsid w:val="000872ED"/>
    <w:rsid w:val="0009109E"/>
    <w:rsid w:val="00093F97"/>
    <w:rsid w:val="00094C7E"/>
    <w:rsid w:val="00094F60"/>
    <w:rsid w:val="00095AA4"/>
    <w:rsid w:val="00097D3C"/>
    <w:rsid w:val="000A1153"/>
    <w:rsid w:val="000A20E8"/>
    <w:rsid w:val="000A5288"/>
    <w:rsid w:val="000A54CF"/>
    <w:rsid w:val="000A55F1"/>
    <w:rsid w:val="000A6043"/>
    <w:rsid w:val="000A60AA"/>
    <w:rsid w:val="000A6EB6"/>
    <w:rsid w:val="000B1539"/>
    <w:rsid w:val="000B20AA"/>
    <w:rsid w:val="000B43C3"/>
    <w:rsid w:val="000B4F98"/>
    <w:rsid w:val="000B5C4E"/>
    <w:rsid w:val="000C07E8"/>
    <w:rsid w:val="000C21B5"/>
    <w:rsid w:val="000C2469"/>
    <w:rsid w:val="000C278E"/>
    <w:rsid w:val="000C48CC"/>
    <w:rsid w:val="000C6B51"/>
    <w:rsid w:val="000D04DB"/>
    <w:rsid w:val="000D0BF1"/>
    <w:rsid w:val="000D1D2A"/>
    <w:rsid w:val="000D44DF"/>
    <w:rsid w:val="000D5584"/>
    <w:rsid w:val="000E03DA"/>
    <w:rsid w:val="000E4C96"/>
    <w:rsid w:val="000E5331"/>
    <w:rsid w:val="000E667C"/>
    <w:rsid w:val="000F3440"/>
    <w:rsid w:val="000F54AC"/>
    <w:rsid w:val="000F592C"/>
    <w:rsid w:val="00100424"/>
    <w:rsid w:val="00101D0D"/>
    <w:rsid w:val="001026E4"/>
    <w:rsid w:val="0010367F"/>
    <w:rsid w:val="00105228"/>
    <w:rsid w:val="00105DDC"/>
    <w:rsid w:val="0011573A"/>
    <w:rsid w:val="001203D4"/>
    <w:rsid w:val="00126FE0"/>
    <w:rsid w:val="00131B9B"/>
    <w:rsid w:val="00132030"/>
    <w:rsid w:val="00132C4C"/>
    <w:rsid w:val="00134E89"/>
    <w:rsid w:val="00136962"/>
    <w:rsid w:val="00137949"/>
    <w:rsid w:val="001441C2"/>
    <w:rsid w:val="0014509F"/>
    <w:rsid w:val="001454AC"/>
    <w:rsid w:val="0014613D"/>
    <w:rsid w:val="001519F0"/>
    <w:rsid w:val="00151B72"/>
    <w:rsid w:val="00153CEE"/>
    <w:rsid w:val="0015654F"/>
    <w:rsid w:val="001576BA"/>
    <w:rsid w:val="001621D5"/>
    <w:rsid w:val="00162A38"/>
    <w:rsid w:val="001643DC"/>
    <w:rsid w:val="001651C5"/>
    <w:rsid w:val="00170A1A"/>
    <w:rsid w:val="001711CB"/>
    <w:rsid w:val="00174966"/>
    <w:rsid w:val="00183BCC"/>
    <w:rsid w:val="00184A0E"/>
    <w:rsid w:val="00184C95"/>
    <w:rsid w:val="00192C25"/>
    <w:rsid w:val="001A0B8E"/>
    <w:rsid w:val="001A1D96"/>
    <w:rsid w:val="001A3FC0"/>
    <w:rsid w:val="001A6854"/>
    <w:rsid w:val="001A71DE"/>
    <w:rsid w:val="001A7910"/>
    <w:rsid w:val="001A7B53"/>
    <w:rsid w:val="001B2E29"/>
    <w:rsid w:val="001B2FB7"/>
    <w:rsid w:val="001B42A7"/>
    <w:rsid w:val="001B6599"/>
    <w:rsid w:val="001B75B6"/>
    <w:rsid w:val="001B7946"/>
    <w:rsid w:val="001C0553"/>
    <w:rsid w:val="001C32F0"/>
    <w:rsid w:val="001C616D"/>
    <w:rsid w:val="001C6BF5"/>
    <w:rsid w:val="001D135F"/>
    <w:rsid w:val="001D3928"/>
    <w:rsid w:val="001D7616"/>
    <w:rsid w:val="001E1E84"/>
    <w:rsid w:val="001E4DDA"/>
    <w:rsid w:val="001E70D8"/>
    <w:rsid w:val="001E722D"/>
    <w:rsid w:val="001F6938"/>
    <w:rsid w:val="00200BA9"/>
    <w:rsid w:val="00200CA9"/>
    <w:rsid w:val="00202DE7"/>
    <w:rsid w:val="00203B67"/>
    <w:rsid w:val="002059D3"/>
    <w:rsid w:val="00206D7A"/>
    <w:rsid w:val="0021126F"/>
    <w:rsid w:val="00213947"/>
    <w:rsid w:val="00216A3B"/>
    <w:rsid w:val="00217CF4"/>
    <w:rsid w:val="00222BED"/>
    <w:rsid w:val="00223B81"/>
    <w:rsid w:val="002245C1"/>
    <w:rsid w:val="002279CB"/>
    <w:rsid w:val="00230D4F"/>
    <w:rsid w:val="00233731"/>
    <w:rsid w:val="00234AB9"/>
    <w:rsid w:val="002351BE"/>
    <w:rsid w:val="00235253"/>
    <w:rsid w:val="002423B1"/>
    <w:rsid w:val="00243253"/>
    <w:rsid w:val="002467C8"/>
    <w:rsid w:val="00251D32"/>
    <w:rsid w:val="002531C3"/>
    <w:rsid w:val="00253257"/>
    <w:rsid w:val="00253D57"/>
    <w:rsid w:val="002548D0"/>
    <w:rsid w:val="00256C9D"/>
    <w:rsid w:val="002618B2"/>
    <w:rsid w:val="00262304"/>
    <w:rsid w:val="00264430"/>
    <w:rsid w:val="002649A3"/>
    <w:rsid w:val="002676D1"/>
    <w:rsid w:val="00272A8A"/>
    <w:rsid w:val="00274AC2"/>
    <w:rsid w:val="00276399"/>
    <w:rsid w:val="0027680F"/>
    <w:rsid w:val="0028022D"/>
    <w:rsid w:val="0028347C"/>
    <w:rsid w:val="00283916"/>
    <w:rsid w:val="002905F7"/>
    <w:rsid w:val="002934C5"/>
    <w:rsid w:val="00296AB0"/>
    <w:rsid w:val="002A60B8"/>
    <w:rsid w:val="002A707E"/>
    <w:rsid w:val="002A7799"/>
    <w:rsid w:val="002B01C1"/>
    <w:rsid w:val="002B026A"/>
    <w:rsid w:val="002B22F4"/>
    <w:rsid w:val="002B43F7"/>
    <w:rsid w:val="002B44F3"/>
    <w:rsid w:val="002B4569"/>
    <w:rsid w:val="002B46B9"/>
    <w:rsid w:val="002B65B9"/>
    <w:rsid w:val="002C0AB7"/>
    <w:rsid w:val="002C111F"/>
    <w:rsid w:val="002C187C"/>
    <w:rsid w:val="002C1A45"/>
    <w:rsid w:val="002C1D85"/>
    <w:rsid w:val="002C785F"/>
    <w:rsid w:val="002D0A05"/>
    <w:rsid w:val="002D1E4F"/>
    <w:rsid w:val="002D32B0"/>
    <w:rsid w:val="002D6C64"/>
    <w:rsid w:val="002E4098"/>
    <w:rsid w:val="002E4E04"/>
    <w:rsid w:val="002E6011"/>
    <w:rsid w:val="002F24A1"/>
    <w:rsid w:val="002F4BA4"/>
    <w:rsid w:val="002F61AE"/>
    <w:rsid w:val="003019E7"/>
    <w:rsid w:val="003027EA"/>
    <w:rsid w:val="00302D56"/>
    <w:rsid w:val="00303758"/>
    <w:rsid w:val="00307953"/>
    <w:rsid w:val="00313866"/>
    <w:rsid w:val="00314C78"/>
    <w:rsid w:val="0031785F"/>
    <w:rsid w:val="00317B0D"/>
    <w:rsid w:val="00320BFD"/>
    <w:rsid w:val="00322222"/>
    <w:rsid w:val="00323E38"/>
    <w:rsid w:val="00324423"/>
    <w:rsid w:val="00324554"/>
    <w:rsid w:val="00324DF2"/>
    <w:rsid w:val="0032695D"/>
    <w:rsid w:val="003269FA"/>
    <w:rsid w:val="003308A3"/>
    <w:rsid w:val="00331954"/>
    <w:rsid w:val="00340509"/>
    <w:rsid w:val="00341854"/>
    <w:rsid w:val="00342A1F"/>
    <w:rsid w:val="0034450E"/>
    <w:rsid w:val="00350D20"/>
    <w:rsid w:val="00351EE3"/>
    <w:rsid w:val="003557D2"/>
    <w:rsid w:val="00356BCC"/>
    <w:rsid w:val="00360F20"/>
    <w:rsid w:val="003617C9"/>
    <w:rsid w:val="00361CA7"/>
    <w:rsid w:val="00362822"/>
    <w:rsid w:val="00367C7E"/>
    <w:rsid w:val="00370A0D"/>
    <w:rsid w:val="00371B0A"/>
    <w:rsid w:val="003753A7"/>
    <w:rsid w:val="00380F45"/>
    <w:rsid w:val="00383058"/>
    <w:rsid w:val="0038306A"/>
    <w:rsid w:val="003830F6"/>
    <w:rsid w:val="00385C08"/>
    <w:rsid w:val="00387212"/>
    <w:rsid w:val="00387974"/>
    <w:rsid w:val="003912CE"/>
    <w:rsid w:val="003928EC"/>
    <w:rsid w:val="00397946"/>
    <w:rsid w:val="00397A8D"/>
    <w:rsid w:val="00397C87"/>
    <w:rsid w:val="003A282A"/>
    <w:rsid w:val="003A29FC"/>
    <w:rsid w:val="003A3BC4"/>
    <w:rsid w:val="003A47AC"/>
    <w:rsid w:val="003A5F13"/>
    <w:rsid w:val="003A61FA"/>
    <w:rsid w:val="003B77ED"/>
    <w:rsid w:val="003C06A8"/>
    <w:rsid w:val="003C0FA9"/>
    <w:rsid w:val="003C143A"/>
    <w:rsid w:val="003D32DA"/>
    <w:rsid w:val="003D63A6"/>
    <w:rsid w:val="003D7EE3"/>
    <w:rsid w:val="003E0A75"/>
    <w:rsid w:val="003E4AD7"/>
    <w:rsid w:val="003E5C05"/>
    <w:rsid w:val="003E6138"/>
    <w:rsid w:val="003F0E39"/>
    <w:rsid w:val="003F2648"/>
    <w:rsid w:val="003F2CB4"/>
    <w:rsid w:val="003F600C"/>
    <w:rsid w:val="0040134B"/>
    <w:rsid w:val="004069B6"/>
    <w:rsid w:val="00410E98"/>
    <w:rsid w:val="004113A1"/>
    <w:rsid w:val="0041227C"/>
    <w:rsid w:val="00412916"/>
    <w:rsid w:val="004215FC"/>
    <w:rsid w:val="00421F56"/>
    <w:rsid w:val="00422540"/>
    <w:rsid w:val="004241E7"/>
    <w:rsid w:val="00424FDE"/>
    <w:rsid w:val="00425131"/>
    <w:rsid w:val="00425E4B"/>
    <w:rsid w:val="00427A57"/>
    <w:rsid w:val="00432228"/>
    <w:rsid w:val="00433D06"/>
    <w:rsid w:val="0043679A"/>
    <w:rsid w:val="00437F78"/>
    <w:rsid w:val="00440B2C"/>
    <w:rsid w:val="00442C60"/>
    <w:rsid w:val="00445128"/>
    <w:rsid w:val="00451C9A"/>
    <w:rsid w:val="00454C9D"/>
    <w:rsid w:val="00455042"/>
    <w:rsid w:val="00455D43"/>
    <w:rsid w:val="00463DB7"/>
    <w:rsid w:val="00465499"/>
    <w:rsid w:val="00471575"/>
    <w:rsid w:val="00473F23"/>
    <w:rsid w:val="0047447C"/>
    <w:rsid w:val="00474A8A"/>
    <w:rsid w:val="00475583"/>
    <w:rsid w:val="004761E5"/>
    <w:rsid w:val="0048223A"/>
    <w:rsid w:val="00483EC6"/>
    <w:rsid w:val="004858CD"/>
    <w:rsid w:val="004859FE"/>
    <w:rsid w:val="00492360"/>
    <w:rsid w:val="00494E67"/>
    <w:rsid w:val="00497247"/>
    <w:rsid w:val="004A03A4"/>
    <w:rsid w:val="004A44A7"/>
    <w:rsid w:val="004A4A8F"/>
    <w:rsid w:val="004A4C2F"/>
    <w:rsid w:val="004B0A71"/>
    <w:rsid w:val="004B11E5"/>
    <w:rsid w:val="004B1D16"/>
    <w:rsid w:val="004C12E0"/>
    <w:rsid w:val="004C3BFB"/>
    <w:rsid w:val="004C7290"/>
    <w:rsid w:val="004D1FF5"/>
    <w:rsid w:val="004D2D96"/>
    <w:rsid w:val="004D56D9"/>
    <w:rsid w:val="004D6C8A"/>
    <w:rsid w:val="004D6C90"/>
    <w:rsid w:val="004E0C09"/>
    <w:rsid w:val="004E212D"/>
    <w:rsid w:val="004E5D28"/>
    <w:rsid w:val="004F1F6B"/>
    <w:rsid w:val="004F3184"/>
    <w:rsid w:val="004F47C9"/>
    <w:rsid w:val="004F4A3B"/>
    <w:rsid w:val="004F5403"/>
    <w:rsid w:val="004F6EE0"/>
    <w:rsid w:val="004F7513"/>
    <w:rsid w:val="0050006F"/>
    <w:rsid w:val="00502F84"/>
    <w:rsid w:val="00503C19"/>
    <w:rsid w:val="00503FA2"/>
    <w:rsid w:val="00504A52"/>
    <w:rsid w:val="00505606"/>
    <w:rsid w:val="005066C3"/>
    <w:rsid w:val="00506CE7"/>
    <w:rsid w:val="00510463"/>
    <w:rsid w:val="0051287D"/>
    <w:rsid w:val="00512BCF"/>
    <w:rsid w:val="005131B5"/>
    <w:rsid w:val="005137FF"/>
    <w:rsid w:val="00513802"/>
    <w:rsid w:val="00516337"/>
    <w:rsid w:val="005170C1"/>
    <w:rsid w:val="00517157"/>
    <w:rsid w:val="005201E6"/>
    <w:rsid w:val="005242A8"/>
    <w:rsid w:val="0052793A"/>
    <w:rsid w:val="005317B7"/>
    <w:rsid w:val="00532D73"/>
    <w:rsid w:val="0053388C"/>
    <w:rsid w:val="00534A30"/>
    <w:rsid w:val="005356C7"/>
    <w:rsid w:val="0053601F"/>
    <w:rsid w:val="00542916"/>
    <w:rsid w:val="00543A0D"/>
    <w:rsid w:val="00544123"/>
    <w:rsid w:val="00554A6D"/>
    <w:rsid w:val="005565F1"/>
    <w:rsid w:val="00556DF7"/>
    <w:rsid w:val="00560E97"/>
    <w:rsid w:val="00561A13"/>
    <w:rsid w:val="005627A3"/>
    <w:rsid w:val="00563E74"/>
    <w:rsid w:val="00567B51"/>
    <w:rsid w:val="00570DAA"/>
    <w:rsid w:val="00572569"/>
    <w:rsid w:val="00574B74"/>
    <w:rsid w:val="00576469"/>
    <w:rsid w:val="00582ED1"/>
    <w:rsid w:val="00583A74"/>
    <w:rsid w:val="00583CC5"/>
    <w:rsid w:val="0058564B"/>
    <w:rsid w:val="005870B6"/>
    <w:rsid w:val="00587516"/>
    <w:rsid w:val="0058798F"/>
    <w:rsid w:val="0059299D"/>
    <w:rsid w:val="005956FF"/>
    <w:rsid w:val="005957CA"/>
    <w:rsid w:val="00595D28"/>
    <w:rsid w:val="00597394"/>
    <w:rsid w:val="005A1A86"/>
    <w:rsid w:val="005A1FF0"/>
    <w:rsid w:val="005B0F07"/>
    <w:rsid w:val="005B1A3D"/>
    <w:rsid w:val="005B1B67"/>
    <w:rsid w:val="005B29EB"/>
    <w:rsid w:val="005B309F"/>
    <w:rsid w:val="005B6F9C"/>
    <w:rsid w:val="005B79C5"/>
    <w:rsid w:val="005C0286"/>
    <w:rsid w:val="005C285A"/>
    <w:rsid w:val="005C441A"/>
    <w:rsid w:val="005C49A3"/>
    <w:rsid w:val="005C731A"/>
    <w:rsid w:val="005D055D"/>
    <w:rsid w:val="005D1941"/>
    <w:rsid w:val="005D67D7"/>
    <w:rsid w:val="005E0F23"/>
    <w:rsid w:val="005E3DBE"/>
    <w:rsid w:val="005E433C"/>
    <w:rsid w:val="005F0B98"/>
    <w:rsid w:val="005F2784"/>
    <w:rsid w:val="005F7FAD"/>
    <w:rsid w:val="00601108"/>
    <w:rsid w:val="00601192"/>
    <w:rsid w:val="006017E2"/>
    <w:rsid w:val="0060385A"/>
    <w:rsid w:val="00603C8F"/>
    <w:rsid w:val="00604E50"/>
    <w:rsid w:val="0060550E"/>
    <w:rsid w:val="00610DCD"/>
    <w:rsid w:val="006117DA"/>
    <w:rsid w:val="00616A5C"/>
    <w:rsid w:val="00616D85"/>
    <w:rsid w:val="00620995"/>
    <w:rsid w:val="00620BA0"/>
    <w:rsid w:val="00621C43"/>
    <w:rsid w:val="00625B99"/>
    <w:rsid w:val="00632965"/>
    <w:rsid w:val="00632B59"/>
    <w:rsid w:val="00633F70"/>
    <w:rsid w:val="006353A5"/>
    <w:rsid w:val="0063685E"/>
    <w:rsid w:val="00640858"/>
    <w:rsid w:val="00644BFC"/>
    <w:rsid w:val="00646A2A"/>
    <w:rsid w:val="006473DD"/>
    <w:rsid w:val="00651B63"/>
    <w:rsid w:val="00651C1D"/>
    <w:rsid w:val="0065247D"/>
    <w:rsid w:val="006526FC"/>
    <w:rsid w:val="00652DB1"/>
    <w:rsid w:val="00657390"/>
    <w:rsid w:val="00657DBC"/>
    <w:rsid w:val="0066105C"/>
    <w:rsid w:val="00661C2C"/>
    <w:rsid w:val="00664F7B"/>
    <w:rsid w:val="006676D7"/>
    <w:rsid w:val="00675C4F"/>
    <w:rsid w:val="00676CA7"/>
    <w:rsid w:val="006803AF"/>
    <w:rsid w:val="00680AB7"/>
    <w:rsid w:val="006823F0"/>
    <w:rsid w:val="00682FB9"/>
    <w:rsid w:val="00683901"/>
    <w:rsid w:val="00683D23"/>
    <w:rsid w:val="00683F9C"/>
    <w:rsid w:val="006857DE"/>
    <w:rsid w:val="00686001"/>
    <w:rsid w:val="0068641F"/>
    <w:rsid w:val="006864CC"/>
    <w:rsid w:val="006867D6"/>
    <w:rsid w:val="00691BE7"/>
    <w:rsid w:val="00691DCB"/>
    <w:rsid w:val="00693D2D"/>
    <w:rsid w:val="00697F4D"/>
    <w:rsid w:val="006A26C0"/>
    <w:rsid w:val="006A39DA"/>
    <w:rsid w:val="006A475B"/>
    <w:rsid w:val="006B0776"/>
    <w:rsid w:val="006B32AF"/>
    <w:rsid w:val="006B3451"/>
    <w:rsid w:val="006B7E40"/>
    <w:rsid w:val="006C2151"/>
    <w:rsid w:val="006C3D4C"/>
    <w:rsid w:val="006C5464"/>
    <w:rsid w:val="006C6CDB"/>
    <w:rsid w:val="006D484B"/>
    <w:rsid w:val="006E21D6"/>
    <w:rsid w:val="006E3968"/>
    <w:rsid w:val="006E39FD"/>
    <w:rsid w:val="006E5165"/>
    <w:rsid w:val="006E55F6"/>
    <w:rsid w:val="006E5FF2"/>
    <w:rsid w:val="006E62A7"/>
    <w:rsid w:val="006F07D2"/>
    <w:rsid w:val="006F53B8"/>
    <w:rsid w:val="006F6865"/>
    <w:rsid w:val="00700FE1"/>
    <w:rsid w:val="00701AA3"/>
    <w:rsid w:val="00703903"/>
    <w:rsid w:val="00706D79"/>
    <w:rsid w:val="00707DFC"/>
    <w:rsid w:val="007104D8"/>
    <w:rsid w:val="00711C7C"/>
    <w:rsid w:val="007169E5"/>
    <w:rsid w:val="00722DB6"/>
    <w:rsid w:val="00732D57"/>
    <w:rsid w:val="00733696"/>
    <w:rsid w:val="0073375E"/>
    <w:rsid w:val="00734521"/>
    <w:rsid w:val="0073550C"/>
    <w:rsid w:val="007366C1"/>
    <w:rsid w:val="00743036"/>
    <w:rsid w:val="007440A4"/>
    <w:rsid w:val="00746D2F"/>
    <w:rsid w:val="00750DF3"/>
    <w:rsid w:val="007515EF"/>
    <w:rsid w:val="00751F24"/>
    <w:rsid w:val="00752C28"/>
    <w:rsid w:val="00752F68"/>
    <w:rsid w:val="0076457E"/>
    <w:rsid w:val="00766282"/>
    <w:rsid w:val="007675DC"/>
    <w:rsid w:val="00770A56"/>
    <w:rsid w:val="00775430"/>
    <w:rsid w:val="0077595A"/>
    <w:rsid w:val="007816E8"/>
    <w:rsid w:val="007933E9"/>
    <w:rsid w:val="0079471C"/>
    <w:rsid w:val="007952F6"/>
    <w:rsid w:val="00795628"/>
    <w:rsid w:val="007A1283"/>
    <w:rsid w:val="007A12FB"/>
    <w:rsid w:val="007A1524"/>
    <w:rsid w:val="007A175C"/>
    <w:rsid w:val="007A17EE"/>
    <w:rsid w:val="007A24D6"/>
    <w:rsid w:val="007A2A46"/>
    <w:rsid w:val="007A2D18"/>
    <w:rsid w:val="007B247E"/>
    <w:rsid w:val="007B4C82"/>
    <w:rsid w:val="007B5D2A"/>
    <w:rsid w:val="007C04FB"/>
    <w:rsid w:val="007C1AEF"/>
    <w:rsid w:val="007C1EC7"/>
    <w:rsid w:val="007C2FC1"/>
    <w:rsid w:val="007C4638"/>
    <w:rsid w:val="007C6275"/>
    <w:rsid w:val="007C6A08"/>
    <w:rsid w:val="007D0F46"/>
    <w:rsid w:val="007D3177"/>
    <w:rsid w:val="007D329E"/>
    <w:rsid w:val="007D5A2B"/>
    <w:rsid w:val="007D7619"/>
    <w:rsid w:val="007E09C4"/>
    <w:rsid w:val="007E1D5E"/>
    <w:rsid w:val="007E2ADE"/>
    <w:rsid w:val="007E5F3C"/>
    <w:rsid w:val="007E66FE"/>
    <w:rsid w:val="007E76AD"/>
    <w:rsid w:val="007F32E2"/>
    <w:rsid w:val="007F504C"/>
    <w:rsid w:val="007F631B"/>
    <w:rsid w:val="007F68A7"/>
    <w:rsid w:val="007F725C"/>
    <w:rsid w:val="0080237A"/>
    <w:rsid w:val="008059D2"/>
    <w:rsid w:val="00807184"/>
    <w:rsid w:val="00807D77"/>
    <w:rsid w:val="008111F7"/>
    <w:rsid w:val="00811741"/>
    <w:rsid w:val="00814E2A"/>
    <w:rsid w:val="00815EF2"/>
    <w:rsid w:val="008219E6"/>
    <w:rsid w:val="00821C77"/>
    <w:rsid w:val="00824B8B"/>
    <w:rsid w:val="0082634A"/>
    <w:rsid w:val="00826AD1"/>
    <w:rsid w:val="00826D50"/>
    <w:rsid w:val="008300E0"/>
    <w:rsid w:val="008304CE"/>
    <w:rsid w:val="0083365C"/>
    <w:rsid w:val="00833F09"/>
    <w:rsid w:val="00834CED"/>
    <w:rsid w:val="008368A7"/>
    <w:rsid w:val="00836BD1"/>
    <w:rsid w:val="00836CE2"/>
    <w:rsid w:val="00842D3B"/>
    <w:rsid w:val="008434E9"/>
    <w:rsid w:val="00843C7E"/>
    <w:rsid w:val="00843F47"/>
    <w:rsid w:val="008440D2"/>
    <w:rsid w:val="008453FA"/>
    <w:rsid w:val="008462A7"/>
    <w:rsid w:val="00851B6C"/>
    <w:rsid w:val="00853BDA"/>
    <w:rsid w:val="0086029C"/>
    <w:rsid w:val="008607DB"/>
    <w:rsid w:val="00864796"/>
    <w:rsid w:val="008678EB"/>
    <w:rsid w:val="008701C0"/>
    <w:rsid w:val="00870EE5"/>
    <w:rsid w:val="00872924"/>
    <w:rsid w:val="0087298E"/>
    <w:rsid w:val="0087391A"/>
    <w:rsid w:val="00876119"/>
    <w:rsid w:val="00882E73"/>
    <w:rsid w:val="008852E0"/>
    <w:rsid w:val="0089245F"/>
    <w:rsid w:val="00893F43"/>
    <w:rsid w:val="0089430C"/>
    <w:rsid w:val="008964F8"/>
    <w:rsid w:val="008A2198"/>
    <w:rsid w:val="008A6B44"/>
    <w:rsid w:val="008B058F"/>
    <w:rsid w:val="008B0D66"/>
    <w:rsid w:val="008B1416"/>
    <w:rsid w:val="008B3152"/>
    <w:rsid w:val="008B6CEE"/>
    <w:rsid w:val="008B78F6"/>
    <w:rsid w:val="008C1424"/>
    <w:rsid w:val="008D0829"/>
    <w:rsid w:val="008D348F"/>
    <w:rsid w:val="008E1F45"/>
    <w:rsid w:val="008E2701"/>
    <w:rsid w:val="008E2A5C"/>
    <w:rsid w:val="008E5013"/>
    <w:rsid w:val="008E64C2"/>
    <w:rsid w:val="008E6880"/>
    <w:rsid w:val="008E7803"/>
    <w:rsid w:val="008E7B44"/>
    <w:rsid w:val="008F2B1C"/>
    <w:rsid w:val="008F2C69"/>
    <w:rsid w:val="008F3355"/>
    <w:rsid w:val="008F5993"/>
    <w:rsid w:val="008F7919"/>
    <w:rsid w:val="00900CF9"/>
    <w:rsid w:val="00902F41"/>
    <w:rsid w:val="00903773"/>
    <w:rsid w:val="0090583F"/>
    <w:rsid w:val="00906CF0"/>
    <w:rsid w:val="009073CD"/>
    <w:rsid w:val="0091322F"/>
    <w:rsid w:val="00917520"/>
    <w:rsid w:val="00922180"/>
    <w:rsid w:val="00922985"/>
    <w:rsid w:val="00923263"/>
    <w:rsid w:val="00923940"/>
    <w:rsid w:val="00926A33"/>
    <w:rsid w:val="009310B4"/>
    <w:rsid w:val="009331CD"/>
    <w:rsid w:val="00934B89"/>
    <w:rsid w:val="00950A3F"/>
    <w:rsid w:val="00950AD4"/>
    <w:rsid w:val="009519F2"/>
    <w:rsid w:val="00951EDE"/>
    <w:rsid w:val="0095308E"/>
    <w:rsid w:val="009555F4"/>
    <w:rsid w:val="00955B2D"/>
    <w:rsid w:val="00957730"/>
    <w:rsid w:val="009639EC"/>
    <w:rsid w:val="00967091"/>
    <w:rsid w:val="00970608"/>
    <w:rsid w:val="009716F3"/>
    <w:rsid w:val="009724E4"/>
    <w:rsid w:val="00972890"/>
    <w:rsid w:val="009729FB"/>
    <w:rsid w:val="00974746"/>
    <w:rsid w:val="009805F2"/>
    <w:rsid w:val="009843FA"/>
    <w:rsid w:val="00990F3A"/>
    <w:rsid w:val="009915B3"/>
    <w:rsid w:val="00991E0D"/>
    <w:rsid w:val="009920D0"/>
    <w:rsid w:val="00993177"/>
    <w:rsid w:val="0099456F"/>
    <w:rsid w:val="00994E4B"/>
    <w:rsid w:val="00997091"/>
    <w:rsid w:val="00997D2B"/>
    <w:rsid w:val="009A14B0"/>
    <w:rsid w:val="009A7388"/>
    <w:rsid w:val="009A7AC1"/>
    <w:rsid w:val="009A7EEE"/>
    <w:rsid w:val="009B45EB"/>
    <w:rsid w:val="009B6450"/>
    <w:rsid w:val="009B682A"/>
    <w:rsid w:val="009C0D27"/>
    <w:rsid w:val="009C1CF8"/>
    <w:rsid w:val="009C1D9D"/>
    <w:rsid w:val="009C489F"/>
    <w:rsid w:val="009C7B1E"/>
    <w:rsid w:val="009D1361"/>
    <w:rsid w:val="009D1E08"/>
    <w:rsid w:val="009D4330"/>
    <w:rsid w:val="009D5B7B"/>
    <w:rsid w:val="009D63B0"/>
    <w:rsid w:val="009D7059"/>
    <w:rsid w:val="009E0E2F"/>
    <w:rsid w:val="009E6508"/>
    <w:rsid w:val="009F5324"/>
    <w:rsid w:val="009F5B07"/>
    <w:rsid w:val="00A00AC4"/>
    <w:rsid w:val="00A0158E"/>
    <w:rsid w:val="00A018B1"/>
    <w:rsid w:val="00A02F0F"/>
    <w:rsid w:val="00A03287"/>
    <w:rsid w:val="00A05575"/>
    <w:rsid w:val="00A07E09"/>
    <w:rsid w:val="00A142D7"/>
    <w:rsid w:val="00A14E7E"/>
    <w:rsid w:val="00A15719"/>
    <w:rsid w:val="00A212B4"/>
    <w:rsid w:val="00A21392"/>
    <w:rsid w:val="00A2267E"/>
    <w:rsid w:val="00A239B0"/>
    <w:rsid w:val="00A245A2"/>
    <w:rsid w:val="00A24A22"/>
    <w:rsid w:val="00A25685"/>
    <w:rsid w:val="00A314C6"/>
    <w:rsid w:val="00A322EF"/>
    <w:rsid w:val="00A33CFE"/>
    <w:rsid w:val="00A34666"/>
    <w:rsid w:val="00A4064C"/>
    <w:rsid w:val="00A40C3D"/>
    <w:rsid w:val="00A41090"/>
    <w:rsid w:val="00A41868"/>
    <w:rsid w:val="00A41E75"/>
    <w:rsid w:val="00A455A2"/>
    <w:rsid w:val="00A45EED"/>
    <w:rsid w:val="00A517DE"/>
    <w:rsid w:val="00A52F44"/>
    <w:rsid w:val="00A5403E"/>
    <w:rsid w:val="00A5484E"/>
    <w:rsid w:val="00A57749"/>
    <w:rsid w:val="00A6299B"/>
    <w:rsid w:val="00A636DA"/>
    <w:rsid w:val="00A66DC6"/>
    <w:rsid w:val="00A71354"/>
    <w:rsid w:val="00A72EAB"/>
    <w:rsid w:val="00A73B9A"/>
    <w:rsid w:val="00A760AE"/>
    <w:rsid w:val="00A77B72"/>
    <w:rsid w:val="00A80C4F"/>
    <w:rsid w:val="00A82017"/>
    <w:rsid w:val="00A84DFB"/>
    <w:rsid w:val="00A859A9"/>
    <w:rsid w:val="00A91E7D"/>
    <w:rsid w:val="00A92A49"/>
    <w:rsid w:val="00A95AB8"/>
    <w:rsid w:val="00A97D72"/>
    <w:rsid w:val="00AA0141"/>
    <w:rsid w:val="00AA01BC"/>
    <w:rsid w:val="00AA3619"/>
    <w:rsid w:val="00AA3F36"/>
    <w:rsid w:val="00AA5473"/>
    <w:rsid w:val="00AA772B"/>
    <w:rsid w:val="00AB01CA"/>
    <w:rsid w:val="00AB0F3B"/>
    <w:rsid w:val="00AB1215"/>
    <w:rsid w:val="00AB3043"/>
    <w:rsid w:val="00AB352A"/>
    <w:rsid w:val="00AB4B4C"/>
    <w:rsid w:val="00AB54CD"/>
    <w:rsid w:val="00AB71DD"/>
    <w:rsid w:val="00AB7B0E"/>
    <w:rsid w:val="00AC365C"/>
    <w:rsid w:val="00AC52F4"/>
    <w:rsid w:val="00AC6E0A"/>
    <w:rsid w:val="00AC7DC5"/>
    <w:rsid w:val="00AD161B"/>
    <w:rsid w:val="00AD1CCF"/>
    <w:rsid w:val="00AD1E2B"/>
    <w:rsid w:val="00AD23CF"/>
    <w:rsid w:val="00AD24F0"/>
    <w:rsid w:val="00AD48BF"/>
    <w:rsid w:val="00AD4F27"/>
    <w:rsid w:val="00AD5F22"/>
    <w:rsid w:val="00AD6B3B"/>
    <w:rsid w:val="00AD79BD"/>
    <w:rsid w:val="00AE2708"/>
    <w:rsid w:val="00AE44B3"/>
    <w:rsid w:val="00AE4D4A"/>
    <w:rsid w:val="00AE613B"/>
    <w:rsid w:val="00AF2743"/>
    <w:rsid w:val="00AF403D"/>
    <w:rsid w:val="00AF6BC2"/>
    <w:rsid w:val="00AF6EF2"/>
    <w:rsid w:val="00B02342"/>
    <w:rsid w:val="00B024BC"/>
    <w:rsid w:val="00B06AB4"/>
    <w:rsid w:val="00B10135"/>
    <w:rsid w:val="00B10898"/>
    <w:rsid w:val="00B1143C"/>
    <w:rsid w:val="00B119C1"/>
    <w:rsid w:val="00B14DA4"/>
    <w:rsid w:val="00B16506"/>
    <w:rsid w:val="00B214BF"/>
    <w:rsid w:val="00B21DFB"/>
    <w:rsid w:val="00B22C4E"/>
    <w:rsid w:val="00B30E6C"/>
    <w:rsid w:val="00B31E0D"/>
    <w:rsid w:val="00B34B1E"/>
    <w:rsid w:val="00B4310F"/>
    <w:rsid w:val="00B451C7"/>
    <w:rsid w:val="00B462C7"/>
    <w:rsid w:val="00B5031A"/>
    <w:rsid w:val="00B506E0"/>
    <w:rsid w:val="00B51603"/>
    <w:rsid w:val="00B51EEA"/>
    <w:rsid w:val="00B547B3"/>
    <w:rsid w:val="00B57FDA"/>
    <w:rsid w:val="00B60CAF"/>
    <w:rsid w:val="00B6230F"/>
    <w:rsid w:val="00B6392A"/>
    <w:rsid w:val="00B63976"/>
    <w:rsid w:val="00B65C7E"/>
    <w:rsid w:val="00B7190B"/>
    <w:rsid w:val="00B71B22"/>
    <w:rsid w:val="00B71C77"/>
    <w:rsid w:val="00B72465"/>
    <w:rsid w:val="00B72F9E"/>
    <w:rsid w:val="00B74D2B"/>
    <w:rsid w:val="00B74E04"/>
    <w:rsid w:val="00B77793"/>
    <w:rsid w:val="00B8071D"/>
    <w:rsid w:val="00B84B09"/>
    <w:rsid w:val="00B85A49"/>
    <w:rsid w:val="00B866FB"/>
    <w:rsid w:val="00B87067"/>
    <w:rsid w:val="00B87781"/>
    <w:rsid w:val="00B90FEA"/>
    <w:rsid w:val="00B9116B"/>
    <w:rsid w:val="00B91FE5"/>
    <w:rsid w:val="00B96640"/>
    <w:rsid w:val="00B97A1C"/>
    <w:rsid w:val="00BA2A54"/>
    <w:rsid w:val="00BB135E"/>
    <w:rsid w:val="00BB3C78"/>
    <w:rsid w:val="00BB49F0"/>
    <w:rsid w:val="00BB7CBB"/>
    <w:rsid w:val="00BB7CE5"/>
    <w:rsid w:val="00BC1DAD"/>
    <w:rsid w:val="00BC3ECE"/>
    <w:rsid w:val="00BC461D"/>
    <w:rsid w:val="00BC6F5F"/>
    <w:rsid w:val="00BD0B4E"/>
    <w:rsid w:val="00BD130B"/>
    <w:rsid w:val="00BD22D3"/>
    <w:rsid w:val="00BE25D6"/>
    <w:rsid w:val="00BE4036"/>
    <w:rsid w:val="00BE4EF5"/>
    <w:rsid w:val="00BE5617"/>
    <w:rsid w:val="00BE6161"/>
    <w:rsid w:val="00BF36C6"/>
    <w:rsid w:val="00BF60EF"/>
    <w:rsid w:val="00C05AAC"/>
    <w:rsid w:val="00C07BEF"/>
    <w:rsid w:val="00C12834"/>
    <w:rsid w:val="00C201C1"/>
    <w:rsid w:val="00C20EFC"/>
    <w:rsid w:val="00C216C5"/>
    <w:rsid w:val="00C26139"/>
    <w:rsid w:val="00C3065B"/>
    <w:rsid w:val="00C329DD"/>
    <w:rsid w:val="00C338CD"/>
    <w:rsid w:val="00C3411F"/>
    <w:rsid w:val="00C34521"/>
    <w:rsid w:val="00C353E3"/>
    <w:rsid w:val="00C3718A"/>
    <w:rsid w:val="00C41D33"/>
    <w:rsid w:val="00C457AF"/>
    <w:rsid w:val="00C45978"/>
    <w:rsid w:val="00C464ED"/>
    <w:rsid w:val="00C51326"/>
    <w:rsid w:val="00C51531"/>
    <w:rsid w:val="00C541B6"/>
    <w:rsid w:val="00C54A9B"/>
    <w:rsid w:val="00C54D48"/>
    <w:rsid w:val="00C55CC9"/>
    <w:rsid w:val="00C609F4"/>
    <w:rsid w:val="00C6168D"/>
    <w:rsid w:val="00C62CBA"/>
    <w:rsid w:val="00C62E55"/>
    <w:rsid w:val="00C6400F"/>
    <w:rsid w:val="00C66258"/>
    <w:rsid w:val="00C675E9"/>
    <w:rsid w:val="00C67DD1"/>
    <w:rsid w:val="00C73A0A"/>
    <w:rsid w:val="00C813AA"/>
    <w:rsid w:val="00C8623C"/>
    <w:rsid w:val="00C90093"/>
    <w:rsid w:val="00C901AD"/>
    <w:rsid w:val="00C9318E"/>
    <w:rsid w:val="00C932BE"/>
    <w:rsid w:val="00C95E0C"/>
    <w:rsid w:val="00C96BAA"/>
    <w:rsid w:val="00C97F88"/>
    <w:rsid w:val="00CA1EA3"/>
    <w:rsid w:val="00CA2CA4"/>
    <w:rsid w:val="00CA2E3E"/>
    <w:rsid w:val="00CA5DFC"/>
    <w:rsid w:val="00CB12AC"/>
    <w:rsid w:val="00CB462B"/>
    <w:rsid w:val="00CC2D67"/>
    <w:rsid w:val="00CC3DCD"/>
    <w:rsid w:val="00CC4000"/>
    <w:rsid w:val="00CC6F0A"/>
    <w:rsid w:val="00CC79F5"/>
    <w:rsid w:val="00CD2971"/>
    <w:rsid w:val="00CD6870"/>
    <w:rsid w:val="00CE1285"/>
    <w:rsid w:val="00CE3EC8"/>
    <w:rsid w:val="00CE4C8E"/>
    <w:rsid w:val="00CE6DB5"/>
    <w:rsid w:val="00CF17DC"/>
    <w:rsid w:val="00CF3FF3"/>
    <w:rsid w:val="00CF55B1"/>
    <w:rsid w:val="00CF6BAA"/>
    <w:rsid w:val="00CF70D3"/>
    <w:rsid w:val="00CF7A15"/>
    <w:rsid w:val="00D003CC"/>
    <w:rsid w:val="00D052FC"/>
    <w:rsid w:val="00D166EA"/>
    <w:rsid w:val="00D17608"/>
    <w:rsid w:val="00D20FE8"/>
    <w:rsid w:val="00D23306"/>
    <w:rsid w:val="00D23B04"/>
    <w:rsid w:val="00D23EF1"/>
    <w:rsid w:val="00D25A5E"/>
    <w:rsid w:val="00D30EEA"/>
    <w:rsid w:val="00D32A98"/>
    <w:rsid w:val="00D367A5"/>
    <w:rsid w:val="00D419C7"/>
    <w:rsid w:val="00D430DB"/>
    <w:rsid w:val="00D43CD7"/>
    <w:rsid w:val="00D43DA8"/>
    <w:rsid w:val="00D45247"/>
    <w:rsid w:val="00D454C8"/>
    <w:rsid w:val="00D475B2"/>
    <w:rsid w:val="00D477C8"/>
    <w:rsid w:val="00D51CC2"/>
    <w:rsid w:val="00D535A3"/>
    <w:rsid w:val="00D53B23"/>
    <w:rsid w:val="00D54B39"/>
    <w:rsid w:val="00D5607A"/>
    <w:rsid w:val="00D6104E"/>
    <w:rsid w:val="00D630EC"/>
    <w:rsid w:val="00D63A3A"/>
    <w:rsid w:val="00D67BC5"/>
    <w:rsid w:val="00D71809"/>
    <w:rsid w:val="00D74A6B"/>
    <w:rsid w:val="00D74F0F"/>
    <w:rsid w:val="00D75367"/>
    <w:rsid w:val="00D76EF3"/>
    <w:rsid w:val="00D77BDD"/>
    <w:rsid w:val="00D80BAD"/>
    <w:rsid w:val="00D80DA6"/>
    <w:rsid w:val="00D828C3"/>
    <w:rsid w:val="00D84AEB"/>
    <w:rsid w:val="00D856B2"/>
    <w:rsid w:val="00D8696C"/>
    <w:rsid w:val="00D93438"/>
    <w:rsid w:val="00D94519"/>
    <w:rsid w:val="00D9477F"/>
    <w:rsid w:val="00D97CE9"/>
    <w:rsid w:val="00DA0C88"/>
    <w:rsid w:val="00DA0FA1"/>
    <w:rsid w:val="00DA1973"/>
    <w:rsid w:val="00DA3356"/>
    <w:rsid w:val="00DA5D69"/>
    <w:rsid w:val="00DA7E28"/>
    <w:rsid w:val="00DB1243"/>
    <w:rsid w:val="00DB4896"/>
    <w:rsid w:val="00DB62EF"/>
    <w:rsid w:val="00DB63E4"/>
    <w:rsid w:val="00DB6CB2"/>
    <w:rsid w:val="00DC5CED"/>
    <w:rsid w:val="00DC6DC1"/>
    <w:rsid w:val="00DD3054"/>
    <w:rsid w:val="00DD3439"/>
    <w:rsid w:val="00DD5C9D"/>
    <w:rsid w:val="00DD7FAD"/>
    <w:rsid w:val="00DE0629"/>
    <w:rsid w:val="00DE4A18"/>
    <w:rsid w:val="00DF0F7C"/>
    <w:rsid w:val="00DF133F"/>
    <w:rsid w:val="00DF2035"/>
    <w:rsid w:val="00DF439D"/>
    <w:rsid w:val="00DF67CB"/>
    <w:rsid w:val="00DF6EAC"/>
    <w:rsid w:val="00E00F67"/>
    <w:rsid w:val="00E01305"/>
    <w:rsid w:val="00E02535"/>
    <w:rsid w:val="00E06AE8"/>
    <w:rsid w:val="00E071E2"/>
    <w:rsid w:val="00E07394"/>
    <w:rsid w:val="00E10BEF"/>
    <w:rsid w:val="00E11B31"/>
    <w:rsid w:val="00E12178"/>
    <w:rsid w:val="00E14DA0"/>
    <w:rsid w:val="00E165FE"/>
    <w:rsid w:val="00E16F46"/>
    <w:rsid w:val="00E177D5"/>
    <w:rsid w:val="00E22210"/>
    <w:rsid w:val="00E23657"/>
    <w:rsid w:val="00E25321"/>
    <w:rsid w:val="00E25FAD"/>
    <w:rsid w:val="00E30EA5"/>
    <w:rsid w:val="00E31DF1"/>
    <w:rsid w:val="00E413C3"/>
    <w:rsid w:val="00E422EF"/>
    <w:rsid w:val="00E423A1"/>
    <w:rsid w:val="00E436F6"/>
    <w:rsid w:val="00E45183"/>
    <w:rsid w:val="00E45544"/>
    <w:rsid w:val="00E45F15"/>
    <w:rsid w:val="00E478D7"/>
    <w:rsid w:val="00E50F80"/>
    <w:rsid w:val="00E559C4"/>
    <w:rsid w:val="00E62546"/>
    <w:rsid w:val="00E626AE"/>
    <w:rsid w:val="00E645E1"/>
    <w:rsid w:val="00E661EF"/>
    <w:rsid w:val="00E663E9"/>
    <w:rsid w:val="00E759E9"/>
    <w:rsid w:val="00E77635"/>
    <w:rsid w:val="00E77E13"/>
    <w:rsid w:val="00E810F2"/>
    <w:rsid w:val="00E81617"/>
    <w:rsid w:val="00E83506"/>
    <w:rsid w:val="00E8489B"/>
    <w:rsid w:val="00E84EF4"/>
    <w:rsid w:val="00E8521A"/>
    <w:rsid w:val="00E9281B"/>
    <w:rsid w:val="00E9313D"/>
    <w:rsid w:val="00E94E0E"/>
    <w:rsid w:val="00EA0EC3"/>
    <w:rsid w:val="00EA19D4"/>
    <w:rsid w:val="00EA7258"/>
    <w:rsid w:val="00EB4EAD"/>
    <w:rsid w:val="00EC0221"/>
    <w:rsid w:val="00EC16E9"/>
    <w:rsid w:val="00EC1E90"/>
    <w:rsid w:val="00EC23D0"/>
    <w:rsid w:val="00EC25DE"/>
    <w:rsid w:val="00EC3D2C"/>
    <w:rsid w:val="00EC5A70"/>
    <w:rsid w:val="00ED2327"/>
    <w:rsid w:val="00ED4DCD"/>
    <w:rsid w:val="00EE0654"/>
    <w:rsid w:val="00EE7406"/>
    <w:rsid w:val="00EE7A5A"/>
    <w:rsid w:val="00EF1185"/>
    <w:rsid w:val="00EF294A"/>
    <w:rsid w:val="00EF2A6E"/>
    <w:rsid w:val="00EF3B45"/>
    <w:rsid w:val="00EF60A6"/>
    <w:rsid w:val="00EF6677"/>
    <w:rsid w:val="00EF67B1"/>
    <w:rsid w:val="00EF6944"/>
    <w:rsid w:val="00F0246B"/>
    <w:rsid w:val="00F03FCF"/>
    <w:rsid w:val="00F0572C"/>
    <w:rsid w:val="00F1640A"/>
    <w:rsid w:val="00F169C8"/>
    <w:rsid w:val="00F16BB7"/>
    <w:rsid w:val="00F178A4"/>
    <w:rsid w:val="00F22174"/>
    <w:rsid w:val="00F236CB"/>
    <w:rsid w:val="00F2758F"/>
    <w:rsid w:val="00F278F2"/>
    <w:rsid w:val="00F31565"/>
    <w:rsid w:val="00F3331C"/>
    <w:rsid w:val="00F366DE"/>
    <w:rsid w:val="00F4210A"/>
    <w:rsid w:val="00F43133"/>
    <w:rsid w:val="00F44815"/>
    <w:rsid w:val="00F4586C"/>
    <w:rsid w:val="00F471A7"/>
    <w:rsid w:val="00F56EA0"/>
    <w:rsid w:val="00F61488"/>
    <w:rsid w:val="00F62D97"/>
    <w:rsid w:val="00F63A5C"/>
    <w:rsid w:val="00F64744"/>
    <w:rsid w:val="00F649F7"/>
    <w:rsid w:val="00F64F99"/>
    <w:rsid w:val="00F66345"/>
    <w:rsid w:val="00F67BA8"/>
    <w:rsid w:val="00F72196"/>
    <w:rsid w:val="00F7228D"/>
    <w:rsid w:val="00F80BF3"/>
    <w:rsid w:val="00F81F33"/>
    <w:rsid w:val="00F82862"/>
    <w:rsid w:val="00F854EC"/>
    <w:rsid w:val="00F85A1F"/>
    <w:rsid w:val="00F938CD"/>
    <w:rsid w:val="00F95EC5"/>
    <w:rsid w:val="00F96257"/>
    <w:rsid w:val="00FA20DA"/>
    <w:rsid w:val="00FA3B4B"/>
    <w:rsid w:val="00FB1A67"/>
    <w:rsid w:val="00FB2113"/>
    <w:rsid w:val="00FB2EE5"/>
    <w:rsid w:val="00FB5192"/>
    <w:rsid w:val="00FB5887"/>
    <w:rsid w:val="00FB5F66"/>
    <w:rsid w:val="00FB60A2"/>
    <w:rsid w:val="00FB7681"/>
    <w:rsid w:val="00FC2C93"/>
    <w:rsid w:val="00FC3C77"/>
    <w:rsid w:val="00FC3F42"/>
    <w:rsid w:val="00FC55E7"/>
    <w:rsid w:val="00FC6963"/>
    <w:rsid w:val="00FC7D9C"/>
    <w:rsid w:val="00FD0537"/>
    <w:rsid w:val="00FD0DE3"/>
    <w:rsid w:val="00FD208F"/>
    <w:rsid w:val="00FD3265"/>
    <w:rsid w:val="00FD3764"/>
    <w:rsid w:val="00FD687A"/>
    <w:rsid w:val="00FE05F2"/>
    <w:rsid w:val="00FE187A"/>
    <w:rsid w:val="00FE19A6"/>
    <w:rsid w:val="00FE5438"/>
    <w:rsid w:val="00FF1AF0"/>
    <w:rsid w:val="00FF2C73"/>
    <w:rsid w:val="00FF2E79"/>
    <w:rsid w:val="00FF65AA"/>
    <w:rsid w:val="00FF6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BA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 w:type="table" w:styleId="TableGrid">
    <w:name w:val="Table Grid"/>
    <w:basedOn w:val="TableNormal"/>
    <w:rsid w:val="00F6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6E0A"/>
    <w:rPr>
      <w:color w:val="605E5C"/>
      <w:shd w:val="clear" w:color="auto" w:fill="E1DFDD"/>
    </w:rPr>
  </w:style>
  <w:style w:type="character" w:customStyle="1" w:styleId="UnresolvedMention">
    <w:name w:val="Unresolved Mention"/>
    <w:basedOn w:val="DefaultParagraphFont"/>
    <w:uiPriority w:val="99"/>
    <w:semiHidden/>
    <w:unhideWhenUsed/>
    <w:rsid w:val="00003B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 w:type="table" w:styleId="TableGrid">
    <w:name w:val="Table Grid"/>
    <w:basedOn w:val="TableNormal"/>
    <w:rsid w:val="00F6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6E0A"/>
    <w:rPr>
      <w:color w:val="605E5C"/>
      <w:shd w:val="clear" w:color="auto" w:fill="E1DFDD"/>
    </w:rPr>
  </w:style>
  <w:style w:type="character" w:customStyle="1" w:styleId="UnresolvedMention">
    <w:name w:val="Unresolved Mention"/>
    <w:basedOn w:val="DefaultParagraphFont"/>
    <w:uiPriority w:val="99"/>
    <w:semiHidden/>
    <w:unhideWhenUsed/>
    <w:rsid w:val="00003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8838">
      <w:bodyDiv w:val="1"/>
      <w:marLeft w:val="0"/>
      <w:marRight w:val="0"/>
      <w:marTop w:val="0"/>
      <w:marBottom w:val="0"/>
      <w:divBdr>
        <w:top w:val="none" w:sz="0" w:space="0" w:color="auto"/>
        <w:left w:val="none" w:sz="0" w:space="0" w:color="auto"/>
        <w:bottom w:val="none" w:sz="0" w:space="0" w:color="auto"/>
        <w:right w:val="none" w:sz="0" w:space="0" w:color="auto"/>
      </w:divBdr>
    </w:div>
    <w:div w:id="597368101">
      <w:bodyDiv w:val="1"/>
      <w:marLeft w:val="0"/>
      <w:marRight w:val="0"/>
      <w:marTop w:val="0"/>
      <w:marBottom w:val="0"/>
      <w:divBdr>
        <w:top w:val="none" w:sz="0" w:space="0" w:color="auto"/>
        <w:left w:val="none" w:sz="0" w:space="0" w:color="auto"/>
        <w:bottom w:val="none" w:sz="0" w:space="0" w:color="auto"/>
        <w:right w:val="none" w:sz="0" w:space="0" w:color="auto"/>
      </w:divBdr>
    </w:div>
    <w:div w:id="637151181">
      <w:bodyDiv w:val="1"/>
      <w:marLeft w:val="0"/>
      <w:marRight w:val="0"/>
      <w:marTop w:val="0"/>
      <w:marBottom w:val="0"/>
      <w:divBdr>
        <w:top w:val="none" w:sz="0" w:space="0" w:color="auto"/>
        <w:left w:val="none" w:sz="0" w:space="0" w:color="auto"/>
        <w:bottom w:val="none" w:sz="0" w:space="0" w:color="auto"/>
        <w:right w:val="none" w:sz="0" w:space="0" w:color="auto"/>
      </w:divBdr>
    </w:div>
    <w:div w:id="658309778">
      <w:bodyDiv w:val="1"/>
      <w:marLeft w:val="0"/>
      <w:marRight w:val="0"/>
      <w:marTop w:val="0"/>
      <w:marBottom w:val="0"/>
      <w:divBdr>
        <w:top w:val="none" w:sz="0" w:space="0" w:color="auto"/>
        <w:left w:val="none" w:sz="0" w:space="0" w:color="auto"/>
        <w:bottom w:val="none" w:sz="0" w:space="0" w:color="auto"/>
        <w:right w:val="none" w:sz="0" w:space="0" w:color="auto"/>
      </w:divBdr>
    </w:div>
    <w:div w:id="959334540">
      <w:bodyDiv w:val="1"/>
      <w:marLeft w:val="0"/>
      <w:marRight w:val="0"/>
      <w:marTop w:val="0"/>
      <w:marBottom w:val="0"/>
      <w:divBdr>
        <w:top w:val="none" w:sz="0" w:space="0" w:color="auto"/>
        <w:left w:val="none" w:sz="0" w:space="0" w:color="auto"/>
        <w:bottom w:val="none" w:sz="0" w:space="0" w:color="auto"/>
        <w:right w:val="none" w:sz="0" w:space="0" w:color="auto"/>
      </w:divBdr>
      <w:divsChild>
        <w:div w:id="558904572">
          <w:marLeft w:val="0"/>
          <w:marRight w:val="0"/>
          <w:marTop w:val="0"/>
          <w:marBottom w:val="0"/>
          <w:divBdr>
            <w:top w:val="none" w:sz="0" w:space="0" w:color="auto"/>
            <w:left w:val="none" w:sz="0" w:space="0" w:color="auto"/>
            <w:bottom w:val="none" w:sz="0" w:space="0" w:color="auto"/>
            <w:right w:val="none" w:sz="0" w:space="0" w:color="auto"/>
          </w:divBdr>
          <w:divsChild>
            <w:div w:id="279186877">
              <w:marLeft w:val="0"/>
              <w:marRight w:val="0"/>
              <w:marTop w:val="0"/>
              <w:marBottom w:val="0"/>
              <w:divBdr>
                <w:top w:val="none" w:sz="0" w:space="0" w:color="auto"/>
                <w:left w:val="none" w:sz="0" w:space="0" w:color="auto"/>
                <w:bottom w:val="none" w:sz="0" w:space="0" w:color="auto"/>
                <w:right w:val="none" w:sz="0" w:space="0" w:color="auto"/>
              </w:divBdr>
              <w:divsChild>
                <w:div w:id="935600197">
                  <w:marLeft w:val="0"/>
                  <w:marRight w:val="0"/>
                  <w:marTop w:val="0"/>
                  <w:marBottom w:val="0"/>
                  <w:divBdr>
                    <w:top w:val="none" w:sz="0" w:space="0" w:color="auto"/>
                    <w:left w:val="none" w:sz="0" w:space="0" w:color="auto"/>
                    <w:bottom w:val="none" w:sz="0" w:space="0" w:color="auto"/>
                    <w:right w:val="none" w:sz="0" w:space="0" w:color="auto"/>
                  </w:divBdr>
                  <w:divsChild>
                    <w:div w:id="1568296673">
                      <w:marLeft w:val="0"/>
                      <w:marRight w:val="0"/>
                      <w:marTop w:val="0"/>
                      <w:marBottom w:val="0"/>
                      <w:divBdr>
                        <w:top w:val="none" w:sz="0" w:space="0" w:color="auto"/>
                        <w:left w:val="none" w:sz="0" w:space="0" w:color="auto"/>
                        <w:bottom w:val="none" w:sz="0" w:space="0" w:color="auto"/>
                        <w:right w:val="none" w:sz="0" w:space="0" w:color="auto"/>
                      </w:divBdr>
                      <w:divsChild>
                        <w:div w:id="1146893380">
                          <w:marLeft w:val="0"/>
                          <w:marRight w:val="0"/>
                          <w:marTop w:val="0"/>
                          <w:marBottom w:val="0"/>
                          <w:divBdr>
                            <w:top w:val="none" w:sz="0" w:space="0" w:color="auto"/>
                            <w:left w:val="none" w:sz="0" w:space="0" w:color="auto"/>
                            <w:bottom w:val="none" w:sz="0" w:space="0" w:color="auto"/>
                            <w:right w:val="none" w:sz="0" w:space="0" w:color="auto"/>
                          </w:divBdr>
                          <w:divsChild>
                            <w:div w:id="83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55">
      <w:bodyDiv w:val="1"/>
      <w:marLeft w:val="0"/>
      <w:marRight w:val="0"/>
      <w:marTop w:val="0"/>
      <w:marBottom w:val="0"/>
      <w:divBdr>
        <w:top w:val="none" w:sz="0" w:space="0" w:color="auto"/>
        <w:left w:val="none" w:sz="0" w:space="0" w:color="auto"/>
        <w:bottom w:val="none" w:sz="0" w:space="0" w:color="auto"/>
        <w:right w:val="none" w:sz="0" w:space="0" w:color="auto"/>
      </w:divBdr>
    </w:div>
    <w:div w:id="1204053352">
      <w:bodyDiv w:val="1"/>
      <w:marLeft w:val="45"/>
      <w:marRight w:val="45"/>
      <w:marTop w:val="90"/>
      <w:marBottom w:val="90"/>
      <w:divBdr>
        <w:top w:val="none" w:sz="0" w:space="0" w:color="auto"/>
        <w:left w:val="none" w:sz="0" w:space="0" w:color="auto"/>
        <w:bottom w:val="none" w:sz="0" w:space="0" w:color="auto"/>
        <w:right w:val="none" w:sz="0" w:space="0" w:color="auto"/>
      </w:divBdr>
      <w:divsChild>
        <w:div w:id="486090553">
          <w:marLeft w:val="0"/>
          <w:marRight w:val="0"/>
          <w:marTop w:val="0"/>
          <w:marBottom w:val="567"/>
          <w:divBdr>
            <w:top w:val="none" w:sz="0" w:space="0" w:color="auto"/>
            <w:left w:val="none" w:sz="0" w:space="0" w:color="auto"/>
            <w:bottom w:val="none" w:sz="0" w:space="0" w:color="auto"/>
            <w:right w:val="none" w:sz="0" w:space="0" w:color="auto"/>
          </w:divBdr>
        </w:div>
      </w:divsChild>
    </w:div>
    <w:div w:id="1279794759">
      <w:bodyDiv w:val="1"/>
      <w:marLeft w:val="0"/>
      <w:marRight w:val="0"/>
      <w:marTop w:val="0"/>
      <w:marBottom w:val="0"/>
      <w:divBdr>
        <w:top w:val="none" w:sz="0" w:space="0" w:color="auto"/>
        <w:left w:val="none" w:sz="0" w:space="0" w:color="auto"/>
        <w:bottom w:val="none" w:sz="0" w:space="0" w:color="auto"/>
        <w:right w:val="none" w:sz="0" w:space="0" w:color="auto"/>
      </w:divBdr>
    </w:div>
    <w:div w:id="1591507294">
      <w:bodyDiv w:val="1"/>
      <w:marLeft w:val="0"/>
      <w:marRight w:val="0"/>
      <w:marTop w:val="0"/>
      <w:marBottom w:val="0"/>
      <w:divBdr>
        <w:top w:val="none" w:sz="0" w:space="0" w:color="auto"/>
        <w:left w:val="none" w:sz="0" w:space="0" w:color="auto"/>
        <w:bottom w:val="none" w:sz="0" w:space="0" w:color="auto"/>
        <w:right w:val="none" w:sz="0" w:space="0" w:color="auto"/>
      </w:divBdr>
      <w:divsChild>
        <w:div w:id="917203698">
          <w:marLeft w:val="0"/>
          <w:marRight w:val="0"/>
          <w:marTop w:val="0"/>
          <w:marBottom w:val="0"/>
          <w:divBdr>
            <w:top w:val="none" w:sz="0" w:space="0" w:color="auto"/>
            <w:left w:val="none" w:sz="0" w:space="0" w:color="auto"/>
            <w:bottom w:val="none" w:sz="0" w:space="0" w:color="auto"/>
            <w:right w:val="none" w:sz="0" w:space="0" w:color="auto"/>
          </w:divBdr>
          <w:divsChild>
            <w:div w:id="311059181">
              <w:marLeft w:val="0"/>
              <w:marRight w:val="0"/>
              <w:marTop w:val="0"/>
              <w:marBottom w:val="0"/>
              <w:divBdr>
                <w:top w:val="none" w:sz="0" w:space="0" w:color="auto"/>
                <w:left w:val="none" w:sz="0" w:space="0" w:color="auto"/>
                <w:bottom w:val="none" w:sz="0" w:space="0" w:color="auto"/>
                <w:right w:val="none" w:sz="0" w:space="0" w:color="auto"/>
              </w:divBdr>
              <w:divsChild>
                <w:div w:id="421296691">
                  <w:marLeft w:val="0"/>
                  <w:marRight w:val="0"/>
                  <w:marTop w:val="0"/>
                  <w:marBottom w:val="0"/>
                  <w:divBdr>
                    <w:top w:val="none" w:sz="0" w:space="0" w:color="auto"/>
                    <w:left w:val="none" w:sz="0" w:space="0" w:color="auto"/>
                    <w:bottom w:val="none" w:sz="0" w:space="0" w:color="auto"/>
                    <w:right w:val="none" w:sz="0" w:space="0" w:color="auto"/>
                  </w:divBdr>
                  <w:divsChild>
                    <w:div w:id="1435321493">
                      <w:marLeft w:val="0"/>
                      <w:marRight w:val="0"/>
                      <w:marTop w:val="0"/>
                      <w:marBottom w:val="0"/>
                      <w:divBdr>
                        <w:top w:val="none" w:sz="0" w:space="0" w:color="auto"/>
                        <w:left w:val="none" w:sz="0" w:space="0" w:color="auto"/>
                        <w:bottom w:val="none" w:sz="0" w:space="0" w:color="auto"/>
                        <w:right w:val="none" w:sz="0" w:space="0" w:color="auto"/>
                      </w:divBdr>
                      <w:divsChild>
                        <w:div w:id="2006933034">
                          <w:marLeft w:val="0"/>
                          <w:marRight w:val="0"/>
                          <w:marTop w:val="0"/>
                          <w:marBottom w:val="0"/>
                          <w:divBdr>
                            <w:top w:val="none" w:sz="0" w:space="0" w:color="auto"/>
                            <w:left w:val="none" w:sz="0" w:space="0" w:color="auto"/>
                            <w:bottom w:val="none" w:sz="0" w:space="0" w:color="auto"/>
                            <w:right w:val="none" w:sz="0" w:space="0" w:color="auto"/>
                          </w:divBdr>
                          <w:divsChild>
                            <w:div w:id="976761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isa.Kalnina@sam.gov.lv" TargetMode="External"/><Relationship Id="rId4" Type="http://schemas.openxmlformats.org/officeDocument/2006/relationships/settings" Target="settings.xml"/><Relationship Id="rId9" Type="http://schemas.openxmlformats.org/officeDocument/2006/relationships/hyperlink" Target="mailto:Dace.Bankovic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5851</Words>
  <Characters>3336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"Grozījumi MK 29.04.2003.noteikumos Nr.242 Satiksmes ministrijas nolikums" sākotnējās ietekmes novērtējuma ziņojums (anotācija)</vt:lpstr>
    </vt:vector>
  </TitlesOfParts>
  <Company>Satiksmes ministrija</Company>
  <LinksUpToDate>false</LinksUpToDate>
  <CharactersWithSpaces>9169</CharactersWithSpaces>
  <SharedDoc>false</SharedDoc>
  <HLinks>
    <vt:vector size="6" baseType="variant">
      <vt:variant>
        <vt:i4>3801096</vt:i4>
      </vt:variant>
      <vt:variant>
        <vt:i4>0</vt:i4>
      </vt:variant>
      <vt:variant>
        <vt:i4>0</vt:i4>
      </vt:variant>
      <vt:variant>
        <vt:i4>5</vt:i4>
      </vt:variant>
      <vt:variant>
        <vt:lpwstr>mailto:ingrida.igaune@sam.gov.lv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29.04.2003.noteikumos Nr.242 Satiksmes ministrijas nolikums" sākotnējās ietekmes novērtējuma ziņojums (anotācija)</dc:title>
  <dc:subject>Ministru kabineta noteikumu projekta anotācija</dc:subject>
  <dc:creator>Dace Bankoviča</dc:creator>
  <dc:description>Dace.Bankovica@sam.gov.lv_x000d_
Irisa.Kalnina@sam.gov.lv</dc:description>
  <cp:lastModifiedBy>Dace Bankoviča</cp:lastModifiedBy>
  <cp:revision>6</cp:revision>
  <cp:lastPrinted>2019-02-11T14:15:00Z</cp:lastPrinted>
  <dcterms:created xsi:type="dcterms:W3CDTF">2019-03-12T10:29:00Z</dcterms:created>
  <dcterms:modified xsi:type="dcterms:W3CDTF">2019-03-12T11:16:00Z</dcterms:modified>
</cp:coreProperties>
</file>