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006D" w14:textId="77100EDE" w:rsidR="0014707C" w:rsidRPr="00236B95" w:rsidRDefault="0014707C" w:rsidP="00D3001B">
      <w:pPr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lv-LV"/>
        </w:rPr>
      </w:pPr>
      <w:r w:rsidRPr="00236B95">
        <w:rPr>
          <w:b/>
          <w:bCs/>
          <w:color w:val="000000"/>
          <w:sz w:val="24"/>
          <w:szCs w:val="24"/>
          <w:lang w:eastAsia="lv-LV"/>
        </w:rPr>
        <w:t xml:space="preserve">Ministru kabineta noteikumu projekta </w:t>
      </w:r>
      <w:r w:rsidR="00F04300" w:rsidRPr="00236B95">
        <w:rPr>
          <w:b/>
          <w:bCs/>
          <w:color w:val="000000"/>
          <w:sz w:val="24"/>
          <w:szCs w:val="24"/>
          <w:lang w:eastAsia="lv-LV"/>
        </w:rPr>
        <w:t>“</w:t>
      </w:r>
      <w:r w:rsidR="00B763B6" w:rsidRPr="00B763B6">
        <w:rPr>
          <w:b/>
          <w:sz w:val="24"/>
          <w:szCs w:val="24"/>
          <w:lang w:eastAsia="lv-LV"/>
        </w:rPr>
        <w:t>Tehnisko līdzekļu</w:t>
      </w:r>
      <w:r w:rsidR="00B763B6" w:rsidRPr="00236B95">
        <w:rPr>
          <w:b/>
          <w:sz w:val="24"/>
          <w:szCs w:val="24"/>
          <w:lang w:eastAsia="lv-LV"/>
        </w:rPr>
        <w:t>, ar kuriem fiksē pārkāpumus, neapturot transportlīdzekli,</w:t>
      </w:r>
      <w:r w:rsidR="00B763B6" w:rsidRPr="00B763B6">
        <w:rPr>
          <w:b/>
          <w:sz w:val="24"/>
          <w:szCs w:val="24"/>
          <w:lang w:eastAsia="lv-LV"/>
        </w:rPr>
        <w:t xml:space="preserve"> izmantošanas kārtība</w:t>
      </w:r>
      <w:r w:rsidR="00F04300" w:rsidRPr="00236B95">
        <w:rPr>
          <w:rFonts w:eastAsia="Calibri"/>
          <w:b/>
          <w:color w:val="000000"/>
          <w:sz w:val="24"/>
          <w:szCs w:val="24"/>
          <w:lang w:eastAsia="lv-LV"/>
        </w:rPr>
        <w:t>”</w:t>
      </w:r>
      <w:r w:rsidR="0015474D" w:rsidRPr="00236B95">
        <w:rPr>
          <w:rFonts w:eastAsia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236B95">
        <w:rPr>
          <w:rFonts w:eastAsia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14:paraId="2C38B8BE" w14:textId="77777777" w:rsidR="00DA1449" w:rsidRPr="002B38E9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2"/>
        <w:gridCol w:w="5434"/>
      </w:tblGrid>
      <w:tr w:rsidR="0014707C" w:rsidRPr="002B38E9" w14:paraId="788716F1" w14:textId="77777777" w:rsidTr="00DD21C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41570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2B38E9" w14:paraId="2F7C7C8A" w14:textId="77777777" w:rsidTr="00D3001B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810A9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42001" w14:textId="3DAD5CEB" w:rsidR="0014707C" w:rsidRPr="002B38E9" w:rsidRDefault="0015474D" w:rsidP="00285B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5474D">
              <w:rPr>
                <w:color w:val="000000" w:themeColor="text1"/>
                <w:sz w:val="24"/>
                <w:szCs w:val="24"/>
                <w:lang w:eastAsia="lv-LV"/>
              </w:rPr>
              <w:t xml:space="preserve">Nav attiecināms atbilstoši Ministru kabineta 2009.gada 15.decembra instrukcijas Nr.19 “Tiesību akta projekta sākotnējās ietekmes izvērtēšanas kārtība” 5. </w:t>
            </w:r>
            <w:r w:rsidRPr="0015474D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15474D">
              <w:rPr>
                <w:color w:val="000000" w:themeColor="text1"/>
                <w:sz w:val="24"/>
                <w:szCs w:val="24"/>
                <w:lang w:eastAsia="lv-LV"/>
              </w:rPr>
              <w:t xml:space="preserve">  punktam.</w:t>
            </w:r>
          </w:p>
        </w:tc>
      </w:tr>
    </w:tbl>
    <w:p w14:paraId="55C27A1F" w14:textId="77777777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20D3D5C0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2992"/>
        <w:gridCol w:w="5521"/>
      </w:tblGrid>
      <w:tr w:rsidR="0014707C" w:rsidRPr="002B38E9" w14:paraId="36F79183" w14:textId="77777777" w:rsidTr="00DD21C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BDC19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2B38E9" w14:paraId="529F2026" w14:textId="77777777" w:rsidTr="008A3EF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60DC1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A83AC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41324" w14:textId="207DBC76" w:rsidR="00D41725" w:rsidRPr="00D41725" w:rsidRDefault="00304F4C" w:rsidP="00304F4C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>Ceļu satiksmes likuma 43.</w:t>
            </w:r>
            <w:r w:rsidR="005A73BB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6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 panta pirm</w:t>
            </w:r>
            <w:r w:rsidR="00A4590B">
              <w:rPr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 daļ</w:t>
            </w:r>
            <w:r w:rsidR="00A4590B"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 un Autoceļu lietošanas nodevas likuma 8. panta ceturt</w:t>
            </w:r>
            <w:r w:rsidR="00A4590B">
              <w:rPr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 daļ</w:t>
            </w:r>
            <w:r w:rsidR="00A4590B"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4707C" w:rsidRPr="002B38E9" w14:paraId="5DF9985A" w14:textId="77777777" w:rsidTr="008A3EF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12400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EF7CD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A57195" w14:textId="77777777" w:rsidR="00A4590B" w:rsidRPr="00304F4C" w:rsidRDefault="00A4590B" w:rsidP="00D3001B">
            <w:pPr>
              <w:ind w:firstLine="400"/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>Noteikumu projekts ir izstrādāts, lai aizstātu Ministru kabineta 2014.gada 15.aprīļa noteikumus Nr.200 “Tehnisko līdzekļu (fotoiekārtu vai videoiekārtu) izmantošanas kārtība” (turpmāk – Noteikumi Nr.200).</w:t>
            </w:r>
          </w:p>
          <w:p w14:paraId="59030924" w14:textId="21A627B4" w:rsidR="00816AFA" w:rsidRDefault="00A4590B" w:rsidP="00D3001B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N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oteikumu 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grozījumu apjoms pārsniedz pusi no noteikumu apjoma. </w:t>
            </w:r>
            <w:r w:rsidR="00DD5EAA">
              <w:rPr>
                <w:color w:val="000000" w:themeColor="text1"/>
                <w:sz w:val="24"/>
                <w:szCs w:val="24"/>
                <w:lang w:eastAsia="lv-LV"/>
              </w:rPr>
              <w:t>Līdz ar to a</w:t>
            </w: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>tbilstoši Ministru kabineta 2009.gada 3.februāra noteikumu Nr.108 “Normatīvo aktu projektu sagatavošanas noteikumi” 140.punktam ir sagatavots jauns noteikumu projekts. Noteikumi stāsies spēkā nākamajā dienā pēc to izsludināšanas.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648283C4" w14:textId="4FEB9F3C" w:rsidR="00304F4C" w:rsidRPr="00304F4C" w:rsidRDefault="00304F4C" w:rsidP="00D3001B">
            <w:pPr>
              <w:ind w:firstLine="259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Kārtīb</w:t>
            </w:r>
            <w:r w:rsidR="00CD0C0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kādā izmanto tehniskos līdzekļus</w:t>
            </w:r>
            <w:r w:rsidR="00CD0C0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ir noteikta</w:t>
            </w:r>
            <w:r w:rsidR="00816AF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oteikum</w:t>
            </w:r>
            <w:r w:rsidR="00816AF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os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Nr.200, kas izdoti saskaņā ar Ceļu satiksmes likuma 43.</w:t>
            </w:r>
            <w:r w:rsidR="005A73BB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6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panta pirmo daļu. </w:t>
            </w:r>
          </w:p>
          <w:p w14:paraId="7E05E04C" w14:textId="0ED60BAE" w:rsidR="00304F4C" w:rsidRPr="00304F4C" w:rsidRDefault="00816AFA" w:rsidP="00304F4C">
            <w:pPr>
              <w:ind w:firstLine="31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</w:t>
            </w:r>
            <w:r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rozījumi 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Autoceļu lietošanas nodevas likum</w:t>
            </w:r>
            <w:r w:rsidR="005A73B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8.panta ceturt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ajā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daļ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ā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teic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ka Autoceļu lietošanas nodevas </w:t>
            </w:r>
            <w:r w:rsidR="00CD0C0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likuma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pārkāpumus var fiksēt ar tehniskiem līdzekļiem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04F4C" w:rsidRPr="00304F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neapturot transportlīdzekli.</w:t>
            </w:r>
          </w:p>
          <w:p w14:paraId="620069D4" w14:textId="0C42471B" w:rsidR="00D32DD6" w:rsidRDefault="00D32DD6" w:rsidP="00D32DD6">
            <w:pPr>
              <w:ind w:firstLine="31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projekts paredz, ka pārkāpumu fiksēšanai izmanto </w:t>
            </w:r>
            <w:r w:rsidR="0066161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ne tikai </w:t>
            </w: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stacionāros</w:t>
            </w:r>
            <w:r w:rsidR="0066161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pārvietojamos tehniskos līdzekļus</w:t>
            </w:r>
            <w:r w:rsidR="0066161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bet arī</w:t>
            </w:r>
            <w:r w:rsid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A4ED9"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tehniskos līdzekļus, ar kuriem aprīkoti transportlīdzekļi</w:t>
            </w:r>
            <w:r w:rsid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kas verificēti normatīvajos aktos noteiktajā kārtībā. </w:t>
            </w:r>
            <w:r w:rsidR="00CD0C0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tacionāros vai pārvietojamos tehniskos līdzekļus</w:t>
            </w:r>
            <w:r w:rsidR="00CD0C0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nepieciešamības gadījumā</w:t>
            </w:r>
            <w:r w:rsidRPr="00D32DD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verificē normatīvajos aktos noteiktajā kārtībā. </w:t>
            </w:r>
          </w:p>
          <w:p w14:paraId="6305DBC1" w14:textId="65AE9D9D" w:rsidR="00A152DE" w:rsidRDefault="00A152DE" w:rsidP="00D32DD6">
            <w:pPr>
              <w:ind w:firstLine="31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Noteikumu mērķis ir noteikt, ka ar tehnisk</w:t>
            </w:r>
            <w:r w:rsidR="00DD5EA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iem līdzekļiem</w:t>
            </w:r>
            <w:r w:rsidR="00DD5EA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neapturot transportlīdzekli,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var fiksēt pārkāpumus ceļu satiksmē un veikt</w:t>
            </w:r>
            <w:r>
              <w:t xml:space="preserve"> </w:t>
            </w:r>
            <w:r w:rsidRP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autoceļu lietošanas nodevas samaksas kontroli.</w:t>
            </w:r>
          </w:p>
          <w:p w14:paraId="44E8D623" w14:textId="33238A7A" w:rsidR="001A4ED9" w:rsidRDefault="001A4ED9" w:rsidP="00D32DD6">
            <w:pPr>
              <w:ind w:firstLine="31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Valsts policija plāno ceļu satiksmes uzraudzībā ieviest arī cita veida tehniskos līdzekļus, proti, automātisku transportlīdzekļu valsts reģistrācijas numura zīmju nolasīšanas/atpazīšanas un ceļu satiksmē izdarītu pārkāpumu fiksēšanas sistēmu. Ar minēto sistēmu tiks aprīkot</w:t>
            </w:r>
            <w:r w:rsid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Valsts policijas netrafarēt</w:t>
            </w:r>
            <w:r w:rsidR="002406B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transportlīdzek</w:t>
            </w:r>
            <w:r w:rsidR="002406B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ļi,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kur</w:t>
            </w:r>
            <w:r w:rsidR="002406B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pārvietojoties veik</w:t>
            </w:r>
            <w:r w:rsidR="002406B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ceļu satiksmes uzraudzīb</w:t>
            </w:r>
            <w:r w:rsidR="002406B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Šīs ierīces ļaus fiksēt tālruņa, piezīmjdatora, planšetdatora 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vai viedierīces lietošanas pārkāpumus, transportlīdzeklim atrodoties kustībā, to noteikumu pārkāpšanu, kuri reglamentē brīdinājum</w:t>
            </w:r>
            <w:r w:rsid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signāla došanas kārtību, drošības jostas nelietošan</w:t>
            </w:r>
            <w:r w:rsid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luksofor</w:t>
            </w:r>
            <w:r w:rsid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1A4ED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signālu prasību neievērošanu, kā arī citus ceļu satiksmes noteikumu pārkāpumus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4BB0F025" w14:textId="02B70776" w:rsidR="005A0BBF" w:rsidRPr="00847A2E" w:rsidRDefault="00424C39" w:rsidP="00D3001B">
            <w:pPr>
              <w:ind w:firstLine="31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="00034F1B" w:rsidRPr="00034F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rojekts izstrādāts ar mērķi paplašināt tehnisko līdzekļu uzstādošo institūciju</w:t>
            </w:r>
            <w:r w:rsidR="00B8494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loku, nosakot, ka tehniskos līdzekļus uzstāda</w:t>
            </w:r>
            <w:r w:rsidR="00034F1B" w:rsidRPr="00034F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152DE" w:rsidRP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Valsts policija, VAS “Ceļu satiksmes drošības direkcija”</w:t>
            </w:r>
            <w:r w:rsidR="00B8494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A152DE" w:rsidRPr="00A152D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VAS “Latvijas valsts ceļi”</w:t>
            </w:r>
            <w:r w:rsidR="00B8494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Valsts ieņēmumu dienests</w:t>
            </w:r>
          </w:p>
        </w:tc>
      </w:tr>
      <w:tr w:rsidR="0014707C" w:rsidRPr="002B38E9" w14:paraId="60E9A49B" w14:textId="77777777" w:rsidTr="008A3EF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69786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FDFEC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E3E53" w14:textId="7F49B8F0" w:rsidR="0014707C" w:rsidRPr="002B38E9" w:rsidRDefault="003E1BE4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3A4F5B" w:rsidRPr="003A4F5B">
              <w:rPr>
                <w:color w:val="000000" w:themeColor="text1"/>
                <w:sz w:val="24"/>
                <w:szCs w:val="24"/>
                <w:lang w:eastAsia="lv-LV"/>
              </w:rPr>
              <w:t xml:space="preserve">Valsts policija, VAS “Ceļu satiksmes drošības direkcija” 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A4F5B" w:rsidRPr="003A4F5B">
              <w:rPr>
                <w:color w:val="000000" w:themeColor="text1"/>
                <w:sz w:val="24"/>
                <w:szCs w:val="24"/>
                <w:lang w:eastAsia="lv-LV"/>
              </w:rPr>
              <w:t xml:space="preserve"> VAS “Latvijas valsts ceļi”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 xml:space="preserve"> un Valsts ieņēmumu dienests.</w:t>
            </w:r>
          </w:p>
        </w:tc>
      </w:tr>
      <w:tr w:rsidR="0014707C" w:rsidRPr="002B38E9" w14:paraId="22E4F429" w14:textId="77777777" w:rsidTr="008A3EF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CBFD2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7E29C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FD564F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4778C1B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946BF07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17" w:type="pct"/>
        <w:tblInd w:w="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3021"/>
        <w:gridCol w:w="5519"/>
        <w:gridCol w:w="33"/>
      </w:tblGrid>
      <w:tr w:rsidR="0014707C" w:rsidRPr="002B38E9" w14:paraId="3093AC0A" w14:textId="77777777" w:rsidTr="003474D9">
        <w:trPr>
          <w:gridAfter w:val="1"/>
          <w:wAfter w:w="18" w:type="pct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B3380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2B38E9" w14:paraId="463A7E17" w14:textId="77777777" w:rsidTr="008A3EFF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BBCBF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4BF4F" w14:textId="77777777" w:rsidR="003474D9" w:rsidRPr="002B38E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B98B4" w14:textId="19736E57" w:rsidR="00B8494F" w:rsidRDefault="00050ECB" w:rsidP="00050ECB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T</w:t>
            </w:r>
            <w:r w:rsidR="00304F4C" w:rsidRPr="00304F4C">
              <w:rPr>
                <w:color w:val="000000" w:themeColor="text1"/>
                <w:sz w:val="24"/>
                <w:szCs w:val="24"/>
                <w:lang w:eastAsia="lv-LV"/>
              </w:rPr>
              <w:t>ransportlīdzekļu vadītāji, kur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i neievēro Ceļu satiksmes likum</w:t>
            </w:r>
            <w:r w:rsidR="003E1BE4">
              <w:rPr>
                <w:color w:val="000000" w:themeColor="text1"/>
                <w:sz w:val="24"/>
                <w:szCs w:val="24"/>
                <w:lang w:eastAsia="lv-LV"/>
              </w:rPr>
              <w:t xml:space="preserve">a un tam pakārtoto normatīvo aktu, kā arī 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Autoceļu lietošanas nodevas likum</w:t>
            </w:r>
            <w:r w:rsidR="003E1BE4"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E1BE4">
              <w:rPr>
                <w:color w:val="000000" w:themeColor="text1"/>
                <w:sz w:val="24"/>
                <w:szCs w:val="24"/>
                <w:lang w:eastAsia="lv-LV"/>
              </w:rPr>
              <w:t>prasības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085BA5B8" w14:textId="65E42F27" w:rsidR="00F03E23" w:rsidRDefault="00304F4C" w:rsidP="00B8494F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304F4C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50ECB">
              <w:rPr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="00B46F6F" w:rsidRPr="00B46F6F">
              <w:rPr>
                <w:color w:val="000000" w:themeColor="text1"/>
                <w:sz w:val="24"/>
                <w:szCs w:val="24"/>
                <w:lang w:eastAsia="lv-LV"/>
              </w:rPr>
              <w:t>projekt</w:t>
            </w:r>
            <w:r w:rsidR="003E1BE4">
              <w:rPr>
                <w:color w:val="000000" w:themeColor="text1"/>
                <w:sz w:val="24"/>
                <w:szCs w:val="24"/>
                <w:lang w:eastAsia="lv-LV"/>
              </w:rPr>
              <w:t xml:space="preserve">a regulējums </w:t>
            </w:r>
            <w:r w:rsidR="00B46F6F" w:rsidRPr="00B46F6F">
              <w:rPr>
                <w:color w:val="000000" w:themeColor="text1"/>
                <w:sz w:val="24"/>
                <w:szCs w:val="24"/>
                <w:lang w:eastAsia="lv-LV"/>
              </w:rPr>
              <w:t>attie</w:t>
            </w:r>
            <w:r w:rsidR="003E1BE4">
              <w:rPr>
                <w:color w:val="000000" w:themeColor="text1"/>
                <w:sz w:val="24"/>
                <w:szCs w:val="24"/>
                <w:lang w:eastAsia="lv-LV"/>
              </w:rPr>
              <w:t>ksies</w:t>
            </w:r>
            <w:r w:rsidR="00B46F6F" w:rsidRPr="00B46F6F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E7A4E">
              <w:rPr>
                <w:color w:val="000000" w:themeColor="text1"/>
                <w:sz w:val="24"/>
                <w:szCs w:val="24"/>
                <w:lang w:eastAsia="lv-LV"/>
              </w:rPr>
              <w:t>arī uz</w:t>
            </w:r>
            <w:r w:rsidR="00B46F6F" w:rsidRPr="00B46F6F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03E23" w:rsidRPr="00F03E23">
              <w:rPr>
                <w:color w:val="000000" w:themeColor="text1"/>
                <w:sz w:val="24"/>
                <w:szCs w:val="24"/>
                <w:lang w:eastAsia="lv-LV"/>
              </w:rPr>
              <w:t>transportlīdzekļu un to vadītāju valsts reģistrā norādītaj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iem</w:t>
            </w:r>
            <w:r w:rsidR="00F03E23" w:rsidRPr="00F03E23">
              <w:rPr>
                <w:color w:val="000000" w:themeColor="text1"/>
                <w:sz w:val="24"/>
                <w:szCs w:val="24"/>
                <w:lang w:eastAsia="lv-LV"/>
              </w:rPr>
              <w:t xml:space="preserve"> transportlīdzekļa turētāj</w:t>
            </w:r>
            <w:r w:rsidR="00B8494F">
              <w:rPr>
                <w:color w:val="000000" w:themeColor="text1"/>
                <w:sz w:val="24"/>
                <w:szCs w:val="24"/>
                <w:lang w:eastAsia="lv-LV"/>
              </w:rPr>
              <w:t>iem</w:t>
            </w:r>
            <w:r w:rsidR="00F03E23" w:rsidRPr="00F03E23">
              <w:rPr>
                <w:color w:val="000000" w:themeColor="text1"/>
                <w:sz w:val="24"/>
                <w:szCs w:val="24"/>
                <w:lang w:eastAsia="lv-LV"/>
              </w:rPr>
              <w:t xml:space="preserve"> vai, ja turētājs nav norādīts vai transportlīdzeklis ir noņemts no uzskaites, transportlīdzekļa īpašniek</w:t>
            </w:r>
            <w:r w:rsidR="00E01C3D">
              <w:rPr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F03E23" w:rsidRPr="00F03E23">
              <w:rPr>
                <w:color w:val="000000" w:themeColor="text1"/>
                <w:sz w:val="24"/>
                <w:szCs w:val="24"/>
                <w:lang w:eastAsia="lv-LV"/>
              </w:rPr>
              <w:t>m (valdītāj</w:t>
            </w:r>
            <w:r w:rsidR="00E01C3D">
              <w:rPr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F03E23" w:rsidRPr="00F03E23">
              <w:rPr>
                <w:color w:val="000000" w:themeColor="text1"/>
                <w:sz w:val="24"/>
                <w:szCs w:val="24"/>
                <w:lang w:eastAsia="lv-LV"/>
              </w:rPr>
              <w:t>m)</w:t>
            </w:r>
            <w:r w:rsidR="00F03E23">
              <w:rPr>
                <w:color w:val="000000" w:themeColor="text1"/>
                <w:sz w:val="24"/>
                <w:szCs w:val="24"/>
                <w:lang w:eastAsia="lv-LV"/>
              </w:rPr>
              <w:t>, kuriem saskaņā ar Autoceļu lietošanas nodevas likumu , ir jāveic nodevas nomaksa.</w:t>
            </w:r>
          </w:p>
          <w:p w14:paraId="3EF132E6" w14:textId="7B9FA979" w:rsidR="003474D9" w:rsidRPr="002B38E9" w:rsidRDefault="003474D9" w:rsidP="00B46F6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474D9" w:rsidRPr="002B38E9" w14:paraId="0376F871" w14:textId="77777777" w:rsidTr="008A3EFF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41EB5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1AE43D" w14:textId="77777777" w:rsidR="003474D9" w:rsidRPr="002B38E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2D3DF" w14:textId="77777777" w:rsidR="003474D9" w:rsidRPr="002B38E9" w:rsidRDefault="003A4F5B" w:rsidP="00555A1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3A4F5B">
              <w:rPr>
                <w:color w:val="000000" w:themeColor="text1"/>
                <w:sz w:val="24"/>
                <w:szCs w:val="24"/>
                <w:lang w:eastAsia="lv-LV"/>
              </w:rPr>
              <w:t>Sabiedrības grupām un institūcijām projekta tiesiskais regulējums administratīvo slogu, kā arī veicamās darbības nemaina.</w:t>
            </w:r>
          </w:p>
        </w:tc>
      </w:tr>
      <w:tr w:rsidR="003474D9" w:rsidRPr="002B38E9" w14:paraId="7F1CE7AA" w14:textId="77777777" w:rsidTr="008A3EFF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5C625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F2AAB" w14:textId="77777777" w:rsidR="003474D9" w:rsidRPr="002B38E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4C8ED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2B38E9" w14:paraId="3122AA58" w14:textId="77777777" w:rsidTr="008A3EFF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04E1C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14AA3" w14:textId="77777777" w:rsidR="003474D9" w:rsidRPr="002B38E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9071C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2B38E9" w14:paraId="03992A8E" w14:textId="77777777" w:rsidTr="008A3EFF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DBE79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0ECE4" w14:textId="77777777" w:rsidR="003474D9" w:rsidRPr="002B38E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CC4DD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6023C04" w14:textId="77777777" w:rsidR="001457CF" w:rsidRDefault="001457CF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p w14:paraId="3EC5224C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35" w:type="pct"/>
        <w:tblInd w:w="-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47F87" w:rsidRPr="002B38E9" w14:paraId="39F08A13" w14:textId="77777777" w:rsidTr="00F47F8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183F8" w14:textId="77777777" w:rsidR="00F47F87" w:rsidRPr="002B38E9" w:rsidRDefault="00F47F87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06C55" w:rsidRPr="002B38E9" w14:paraId="4D8E9420" w14:textId="77777777" w:rsidTr="00F47F8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EDD198" w14:textId="77777777" w:rsidR="00506C55" w:rsidRPr="00506C55" w:rsidRDefault="00506C55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06C55"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1D57CA5" w14:textId="77777777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p w14:paraId="261BAACC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6"/>
      </w:tblGrid>
      <w:tr w:rsidR="0014707C" w:rsidRPr="002B38E9" w14:paraId="17283694" w14:textId="77777777" w:rsidTr="00DD21C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741A78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4707C" w:rsidRPr="002B38E9" w14:paraId="4C1F84A0" w14:textId="77777777" w:rsidTr="00DD21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C27C17" w14:textId="77777777" w:rsidR="0014707C" w:rsidRPr="002B38E9" w:rsidRDefault="0014707C" w:rsidP="00DD21C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02FDB25" w14:textId="77777777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76F6FF4B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6"/>
      </w:tblGrid>
      <w:tr w:rsidR="0014707C" w:rsidRPr="002B38E9" w14:paraId="0C400F27" w14:textId="77777777" w:rsidTr="00DD21C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CCCF7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14707C" w:rsidRPr="002B38E9" w14:paraId="4C784AE3" w14:textId="77777777" w:rsidTr="00DD21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2028B" w14:textId="77777777" w:rsidR="0014707C" w:rsidRPr="002B38E9" w:rsidRDefault="0014707C" w:rsidP="00DD21C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DDDCFBD" w14:textId="77777777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0177675F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17" w:type="pct"/>
        <w:tblInd w:w="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3021"/>
        <w:gridCol w:w="5521"/>
        <w:gridCol w:w="31"/>
      </w:tblGrid>
      <w:tr w:rsidR="0014707C" w:rsidRPr="002B38E9" w14:paraId="197176E6" w14:textId="77777777" w:rsidTr="00D3001B">
        <w:trPr>
          <w:gridAfter w:val="1"/>
          <w:wAfter w:w="17" w:type="pct"/>
        </w:trPr>
        <w:tc>
          <w:tcPr>
            <w:tcW w:w="498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55597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A509F" w:rsidRPr="002B38E9" w14:paraId="5FB21AFC" w14:textId="77777777" w:rsidTr="00D3001B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B09DB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5E828" w14:textId="77777777" w:rsidR="007A509F" w:rsidRPr="002B38E9" w:rsidRDefault="007A509F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818F3" w14:textId="6AF2F811" w:rsidR="007A509F" w:rsidRPr="002B38E9" w:rsidRDefault="000521F8" w:rsidP="000521F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10F0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Atbilstoši Ministru kabineta 2009.gada 25.augusta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210F0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noteikumu Nr.970 „Sabiedrības līdzdalības kārtība attīstības plānošanas procesā” 7.4.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210F0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apakšpunktam</w:t>
            </w:r>
            <w:r w:rsidR="00E01C3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210F0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sabiedrībai tika dota iespēja rakstiski sniegt viedokli par noteikumu projektu tā izstrādes stadijā.</w:t>
            </w:r>
            <w:r w:rsidR="003A4F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509F" w:rsidRPr="002B38E9" w14:paraId="6AADD137" w14:textId="77777777" w:rsidTr="00D3001B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74A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A1163" w14:textId="77777777" w:rsidR="007A509F" w:rsidRPr="002B38E9" w:rsidRDefault="007A509F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9ABBA" w14:textId="120C3FCA" w:rsidR="007A509F" w:rsidRPr="00261985" w:rsidRDefault="000521F8" w:rsidP="004263F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27E5E">
              <w:rPr>
                <w:color w:val="000000" w:themeColor="text1"/>
                <w:sz w:val="24"/>
                <w:szCs w:val="24"/>
              </w:rPr>
              <w:t xml:space="preserve">ar </w:t>
            </w:r>
            <w:r>
              <w:rPr>
                <w:color w:val="000000" w:themeColor="text1"/>
                <w:sz w:val="24"/>
                <w:szCs w:val="24"/>
              </w:rPr>
              <w:t xml:space="preserve">noteikumu </w:t>
            </w:r>
            <w:r w:rsidRPr="00227E5E">
              <w:rPr>
                <w:color w:val="000000" w:themeColor="text1"/>
                <w:sz w:val="24"/>
                <w:szCs w:val="24"/>
              </w:rPr>
              <w:t>projekta izstrādi tika informēti sab</w:t>
            </w:r>
            <w:r>
              <w:rPr>
                <w:color w:val="000000" w:themeColor="text1"/>
                <w:sz w:val="24"/>
                <w:szCs w:val="24"/>
              </w:rPr>
              <w:t>iedrības pārstāvji, ievietojot p</w:t>
            </w:r>
            <w:r w:rsidRPr="00227E5E">
              <w:rPr>
                <w:color w:val="000000" w:themeColor="text1"/>
                <w:sz w:val="24"/>
                <w:szCs w:val="24"/>
              </w:rPr>
              <w:t>aziņojumu par līdzdalības iespējām tiesību akta izstrādes procesā Satiksmes ministrijas tīmekļa vietnē 201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227E5E">
              <w:rPr>
                <w:color w:val="000000" w:themeColor="text1"/>
                <w:sz w:val="24"/>
                <w:szCs w:val="24"/>
              </w:rPr>
              <w:t xml:space="preserve">.gada </w:t>
            </w:r>
            <w:r>
              <w:rPr>
                <w:color w:val="000000" w:themeColor="text1"/>
                <w:sz w:val="24"/>
                <w:szCs w:val="24"/>
              </w:rPr>
              <w:t>27.martā</w:t>
            </w:r>
            <w:r>
              <w:t xml:space="preserve"> </w:t>
            </w:r>
            <w:r w:rsidRPr="003A4F5B">
              <w:rPr>
                <w:color w:val="000000" w:themeColor="text1"/>
                <w:sz w:val="24"/>
                <w:szCs w:val="24"/>
              </w:rPr>
              <w:t>http://www.sam.gov.lv/sm/content/?cat=553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509F" w:rsidRPr="002B38E9" w14:paraId="47A377FF" w14:textId="77777777" w:rsidTr="00D3001B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40123C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0846D0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16A2F" w14:textId="11195FD7" w:rsidR="007A509F" w:rsidRPr="002B38E9" w:rsidRDefault="000521F8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Iebildumi vai priekšlikumi netika</w:t>
            </w:r>
            <w:r w:rsidR="00261985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saņemti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7A509F" w:rsidRPr="002B38E9" w14:paraId="04A349DF" w14:textId="77777777" w:rsidTr="00D3001B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F5331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76BAC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A7C67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0755AA4F" w14:textId="77777777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7C73584F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4"/>
      </w:tblGrid>
      <w:tr w:rsidR="0014707C" w:rsidRPr="002B38E9" w14:paraId="2ABA977F" w14:textId="77777777" w:rsidTr="00DD21C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FD711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2B38E9" w14:paraId="56C8F1DD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2A167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6C416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D4766" w14:textId="7DF1E4FF" w:rsidR="0014707C" w:rsidRPr="002B38E9" w:rsidRDefault="004D7294" w:rsidP="00D3001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4D7294">
              <w:rPr>
                <w:color w:val="000000" w:themeColor="text1"/>
                <w:sz w:val="24"/>
                <w:szCs w:val="24"/>
                <w:lang w:eastAsia="lv-LV"/>
              </w:rPr>
              <w:t>Valsts policija, VAS “Ceļu satiksmes drošības direkcija”</w:t>
            </w:r>
            <w:r w:rsidR="00E01C3D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4D7294">
              <w:rPr>
                <w:color w:val="000000" w:themeColor="text1"/>
                <w:sz w:val="24"/>
                <w:szCs w:val="24"/>
                <w:lang w:eastAsia="lv-LV"/>
              </w:rPr>
              <w:t xml:space="preserve">VAS “Latvijas </w:t>
            </w:r>
            <w:r w:rsidR="000521F8">
              <w:rPr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4D7294">
              <w:rPr>
                <w:color w:val="000000" w:themeColor="text1"/>
                <w:sz w:val="24"/>
                <w:szCs w:val="24"/>
                <w:lang w:eastAsia="lv-LV"/>
              </w:rPr>
              <w:t>alsts ceļi”</w:t>
            </w:r>
            <w:r w:rsidR="00E01C3D">
              <w:rPr>
                <w:color w:val="000000" w:themeColor="text1"/>
                <w:sz w:val="24"/>
                <w:szCs w:val="24"/>
                <w:lang w:eastAsia="lv-LV"/>
              </w:rPr>
              <w:t xml:space="preserve"> un Valsts ieņēmumu dienests.</w:t>
            </w:r>
          </w:p>
        </w:tc>
      </w:tr>
      <w:tr w:rsidR="0014707C" w:rsidRPr="002B38E9" w14:paraId="5887FFF4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39502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852E2" w14:textId="77777777" w:rsidR="0014707C" w:rsidRPr="002B38E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063F9" w14:textId="77777777" w:rsidR="0014707C" w:rsidRPr="002B38E9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14707C" w:rsidRPr="002B38E9" w14:paraId="7EDEDBC1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30BD4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9C7A9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DA425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6A183C8" w14:textId="77777777" w:rsidR="00DA1449" w:rsidRDefault="00DA1449" w:rsidP="004D7294">
      <w:pPr>
        <w:ind w:hanging="142"/>
        <w:jc w:val="both"/>
        <w:rPr>
          <w:szCs w:val="28"/>
          <w:lang w:eastAsia="lv-LV"/>
        </w:rPr>
      </w:pPr>
    </w:p>
    <w:p w14:paraId="3D49757C" w14:textId="77777777" w:rsid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</w:p>
    <w:p w14:paraId="462CEA1E" w14:textId="77777777" w:rsidR="00A11A18" w:rsidRPr="004D7294" w:rsidRDefault="00A11A18" w:rsidP="004D7294">
      <w:pPr>
        <w:ind w:hanging="142"/>
        <w:jc w:val="both"/>
        <w:rPr>
          <w:sz w:val="24"/>
          <w:szCs w:val="24"/>
          <w:lang w:eastAsia="lv-LV"/>
        </w:rPr>
      </w:pPr>
    </w:p>
    <w:p w14:paraId="441E5318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  <w:r w:rsidRPr="004D7294">
        <w:rPr>
          <w:sz w:val="24"/>
          <w:szCs w:val="24"/>
          <w:lang w:eastAsia="lv-LV"/>
        </w:rPr>
        <w:t>Satiksmes ministrs</w:t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="00A11A18">
        <w:rPr>
          <w:sz w:val="24"/>
          <w:szCs w:val="24"/>
          <w:lang w:eastAsia="lv-LV"/>
        </w:rPr>
        <w:tab/>
      </w:r>
      <w:proofErr w:type="spellStart"/>
      <w:r w:rsidRPr="004D7294">
        <w:rPr>
          <w:sz w:val="24"/>
          <w:szCs w:val="24"/>
          <w:lang w:eastAsia="lv-LV"/>
        </w:rPr>
        <w:t>T.Linkaits</w:t>
      </w:r>
      <w:proofErr w:type="spellEnd"/>
    </w:p>
    <w:p w14:paraId="5A66A386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</w:p>
    <w:p w14:paraId="2E9C236C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</w:p>
    <w:p w14:paraId="3707B49C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  <w:r w:rsidRPr="004D7294">
        <w:rPr>
          <w:sz w:val="24"/>
          <w:szCs w:val="24"/>
          <w:lang w:eastAsia="lv-LV"/>
        </w:rPr>
        <w:t xml:space="preserve">Vīza: </w:t>
      </w:r>
    </w:p>
    <w:p w14:paraId="3DA89E5D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  <w:r w:rsidRPr="004D7294">
        <w:rPr>
          <w:sz w:val="24"/>
          <w:szCs w:val="24"/>
          <w:lang w:eastAsia="lv-LV"/>
        </w:rPr>
        <w:t xml:space="preserve">Valsts sekretāra </w:t>
      </w:r>
      <w:proofErr w:type="spellStart"/>
      <w:r w:rsidR="00F0607C">
        <w:rPr>
          <w:sz w:val="24"/>
          <w:szCs w:val="24"/>
          <w:lang w:eastAsia="lv-LV"/>
        </w:rPr>
        <w:t>p.i</w:t>
      </w:r>
      <w:proofErr w:type="spellEnd"/>
      <w:r w:rsidR="00F0607C">
        <w:rPr>
          <w:sz w:val="24"/>
          <w:szCs w:val="24"/>
          <w:lang w:eastAsia="lv-LV"/>
        </w:rPr>
        <w:t>.</w:t>
      </w:r>
      <w:r w:rsidR="00F0607C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Pr="004D7294">
        <w:rPr>
          <w:sz w:val="24"/>
          <w:szCs w:val="24"/>
          <w:lang w:eastAsia="lv-LV"/>
        </w:rPr>
        <w:tab/>
      </w:r>
      <w:r w:rsidR="00A11A18">
        <w:rPr>
          <w:sz w:val="24"/>
          <w:szCs w:val="24"/>
          <w:lang w:eastAsia="lv-LV"/>
        </w:rPr>
        <w:tab/>
      </w:r>
      <w:proofErr w:type="spellStart"/>
      <w:r w:rsidRPr="004D7294">
        <w:rPr>
          <w:sz w:val="24"/>
          <w:szCs w:val="24"/>
          <w:lang w:eastAsia="lv-LV"/>
        </w:rPr>
        <w:t>Dž.Innusa</w:t>
      </w:r>
      <w:proofErr w:type="spellEnd"/>
    </w:p>
    <w:p w14:paraId="08D01986" w14:textId="77777777" w:rsidR="004D7294" w:rsidRPr="004D7294" w:rsidRDefault="004D7294" w:rsidP="004D7294">
      <w:pPr>
        <w:ind w:hanging="142"/>
        <w:jc w:val="both"/>
        <w:rPr>
          <w:sz w:val="24"/>
          <w:szCs w:val="24"/>
          <w:lang w:eastAsia="lv-LV"/>
        </w:rPr>
      </w:pPr>
    </w:p>
    <w:p w14:paraId="326FE4F3" w14:textId="77777777" w:rsidR="004D7294" w:rsidRPr="004D7294" w:rsidRDefault="004D7294" w:rsidP="004D7294">
      <w:pPr>
        <w:ind w:hanging="142"/>
        <w:jc w:val="both"/>
        <w:rPr>
          <w:sz w:val="22"/>
          <w:lang w:eastAsia="lv-LV"/>
        </w:rPr>
      </w:pPr>
    </w:p>
    <w:p w14:paraId="1B62BDE9" w14:textId="77777777" w:rsidR="004D7294" w:rsidRPr="004D7294" w:rsidRDefault="004D7294" w:rsidP="004D7294">
      <w:pPr>
        <w:ind w:hanging="142"/>
        <w:jc w:val="both"/>
        <w:rPr>
          <w:sz w:val="22"/>
          <w:lang w:eastAsia="lv-LV"/>
        </w:rPr>
      </w:pPr>
    </w:p>
    <w:p w14:paraId="361C6278" w14:textId="77777777" w:rsidR="004D7294" w:rsidRDefault="004D7294" w:rsidP="004D7294">
      <w:pPr>
        <w:ind w:hanging="142"/>
        <w:jc w:val="both"/>
        <w:rPr>
          <w:szCs w:val="28"/>
          <w:lang w:eastAsia="lv-LV"/>
        </w:rPr>
      </w:pPr>
    </w:p>
    <w:p w14:paraId="79FA72BA" w14:textId="77777777" w:rsidR="004D7294" w:rsidRPr="002B38E9" w:rsidRDefault="004D7294" w:rsidP="004D7294">
      <w:pPr>
        <w:ind w:hanging="142"/>
        <w:jc w:val="center"/>
        <w:rPr>
          <w:szCs w:val="28"/>
          <w:lang w:eastAsia="lv-LV"/>
        </w:rPr>
      </w:pPr>
    </w:p>
    <w:sectPr w:rsidR="004D7294" w:rsidRPr="002B38E9" w:rsidSect="004D72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8CC9" w14:textId="77777777" w:rsidR="00D5041A" w:rsidRDefault="00D5041A" w:rsidP="00C03419">
      <w:r>
        <w:separator/>
      </w:r>
    </w:p>
  </w:endnote>
  <w:endnote w:type="continuationSeparator" w:id="0">
    <w:p w14:paraId="3E67DB1A" w14:textId="77777777" w:rsidR="00D5041A" w:rsidRDefault="00D5041A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1C46" w14:textId="77777777" w:rsidR="00DD21C8" w:rsidRDefault="00DD21C8" w:rsidP="00C03419">
    <w:pPr>
      <w:pStyle w:val="Footer"/>
      <w:rPr>
        <w:sz w:val="20"/>
        <w:szCs w:val="20"/>
      </w:rPr>
    </w:pPr>
    <w:bookmarkStart w:id="1" w:name="_Hlk504986571"/>
  </w:p>
  <w:bookmarkEnd w:id="1"/>
  <w:p w14:paraId="4295855E" w14:textId="32DD3DD9" w:rsidR="00DD21C8" w:rsidRDefault="00236B95" w:rsidP="00236B95">
    <w:pPr>
      <w:pStyle w:val="Footer"/>
    </w:pPr>
    <w:r w:rsidRPr="00236B95">
      <w:rPr>
        <w:sz w:val="20"/>
        <w:szCs w:val="20"/>
      </w:rPr>
      <w:t>SManot_150419_groz.200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E327" w14:textId="0604F472" w:rsidR="00DD21C8" w:rsidRPr="006B1555" w:rsidRDefault="00DD21C8" w:rsidP="00DD21C8">
    <w:pPr>
      <w:pStyle w:val="Footer"/>
      <w:rPr>
        <w:sz w:val="20"/>
        <w:szCs w:val="20"/>
      </w:rPr>
    </w:pPr>
    <w:bookmarkStart w:id="2" w:name="_Hlk5786618"/>
    <w:bookmarkStart w:id="3" w:name="_Hlk5786619"/>
    <w:bookmarkStart w:id="4" w:name="_Hlk5786845"/>
    <w:bookmarkStart w:id="5" w:name="_Hlk5786846"/>
    <w:bookmarkStart w:id="6" w:name="_Hlk7429699"/>
    <w:bookmarkStart w:id="7" w:name="_Hlk7429700"/>
    <w:r w:rsidRPr="006B1555">
      <w:rPr>
        <w:sz w:val="20"/>
        <w:szCs w:val="20"/>
      </w:rPr>
      <w:t>SM</w:t>
    </w:r>
    <w:r w:rsidR="003C6D1E">
      <w:rPr>
        <w:sz w:val="20"/>
        <w:szCs w:val="20"/>
      </w:rPr>
      <w:t>a</w:t>
    </w:r>
    <w:r w:rsidRPr="006B1555">
      <w:rPr>
        <w:sz w:val="20"/>
        <w:szCs w:val="20"/>
      </w:rPr>
      <w:t>not_</w:t>
    </w:r>
    <w:bookmarkEnd w:id="2"/>
    <w:bookmarkEnd w:id="3"/>
    <w:bookmarkEnd w:id="4"/>
    <w:bookmarkEnd w:id="5"/>
    <w:r w:rsidR="00236B95">
      <w:rPr>
        <w:sz w:val="20"/>
        <w:szCs w:val="20"/>
      </w:rPr>
      <w:t>150419_groz.200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F83A" w14:textId="77777777" w:rsidR="00D5041A" w:rsidRDefault="00D5041A" w:rsidP="00C03419">
      <w:r>
        <w:separator/>
      </w:r>
    </w:p>
  </w:footnote>
  <w:footnote w:type="continuationSeparator" w:id="0">
    <w:p w14:paraId="725C6CC3" w14:textId="77777777" w:rsidR="00D5041A" w:rsidRDefault="00D5041A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97258"/>
      <w:docPartObj>
        <w:docPartGallery w:val="Page Numbers (Top of Page)"/>
        <w:docPartUnique/>
      </w:docPartObj>
    </w:sdtPr>
    <w:sdtEndPr/>
    <w:sdtContent>
      <w:p w14:paraId="2D501CF4" w14:textId="77777777" w:rsidR="00DD21C8" w:rsidRDefault="00DD21C8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 w:rsidR="007D23CD">
          <w:rPr>
            <w:noProof/>
            <w:sz w:val="20"/>
            <w:szCs w:val="20"/>
          </w:rPr>
          <w:t>4</w:t>
        </w:r>
        <w:r w:rsidRPr="008E5F0D">
          <w:rPr>
            <w:sz w:val="20"/>
            <w:szCs w:val="20"/>
          </w:rPr>
          <w:fldChar w:fldCharType="end"/>
        </w:r>
      </w:p>
    </w:sdtContent>
  </w:sdt>
  <w:p w14:paraId="75737F66" w14:textId="77777777" w:rsidR="00DD21C8" w:rsidRDefault="00DD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23FD" w14:textId="77777777" w:rsidR="00DD21C8" w:rsidRDefault="00DD21C8">
    <w:pPr>
      <w:pStyle w:val="Header"/>
      <w:jc w:val="center"/>
    </w:pPr>
  </w:p>
  <w:p w14:paraId="3BDE79B3" w14:textId="77777777" w:rsidR="00DD21C8" w:rsidRDefault="00DD2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385B"/>
    <w:rsid w:val="00005C63"/>
    <w:rsid w:val="000170DD"/>
    <w:rsid w:val="000222B0"/>
    <w:rsid w:val="00034F1B"/>
    <w:rsid w:val="00045817"/>
    <w:rsid w:val="00050ECB"/>
    <w:rsid w:val="000521F8"/>
    <w:rsid w:val="0005233B"/>
    <w:rsid w:val="00052F3D"/>
    <w:rsid w:val="0006392E"/>
    <w:rsid w:val="000A03AE"/>
    <w:rsid w:val="000B4B10"/>
    <w:rsid w:val="000B543B"/>
    <w:rsid w:val="000C3539"/>
    <w:rsid w:val="000C4DDB"/>
    <w:rsid w:val="000D45CB"/>
    <w:rsid w:val="000E3C42"/>
    <w:rsid w:val="000F5BCB"/>
    <w:rsid w:val="0013326E"/>
    <w:rsid w:val="001457CF"/>
    <w:rsid w:val="0014707C"/>
    <w:rsid w:val="00150F46"/>
    <w:rsid w:val="0015474D"/>
    <w:rsid w:val="001572E9"/>
    <w:rsid w:val="001A4ED9"/>
    <w:rsid w:val="001B0FF2"/>
    <w:rsid w:val="001E2507"/>
    <w:rsid w:val="00210F01"/>
    <w:rsid w:val="00215FD6"/>
    <w:rsid w:val="002217A8"/>
    <w:rsid w:val="00227E5E"/>
    <w:rsid w:val="00236B95"/>
    <w:rsid w:val="00236EC6"/>
    <w:rsid w:val="002406B3"/>
    <w:rsid w:val="00240FB2"/>
    <w:rsid w:val="00257C1A"/>
    <w:rsid w:val="00261985"/>
    <w:rsid w:val="00285BC8"/>
    <w:rsid w:val="00286E2B"/>
    <w:rsid w:val="002A576F"/>
    <w:rsid w:val="002B1533"/>
    <w:rsid w:val="002B53D0"/>
    <w:rsid w:val="002D123B"/>
    <w:rsid w:val="002E6960"/>
    <w:rsid w:val="002F0EFB"/>
    <w:rsid w:val="00303C4E"/>
    <w:rsid w:val="00304F4C"/>
    <w:rsid w:val="00316DCA"/>
    <w:rsid w:val="003207DE"/>
    <w:rsid w:val="00320DD0"/>
    <w:rsid w:val="003219E6"/>
    <w:rsid w:val="00336C55"/>
    <w:rsid w:val="003474D9"/>
    <w:rsid w:val="00360FBB"/>
    <w:rsid w:val="00361315"/>
    <w:rsid w:val="0038395A"/>
    <w:rsid w:val="00387F28"/>
    <w:rsid w:val="00396E81"/>
    <w:rsid w:val="003A4F5B"/>
    <w:rsid w:val="003B1E79"/>
    <w:rsid w:val="003C02A8"/>
    <w:rsid w:val="003C04D8"/>
    <w:rsid w:val="003C6D1E"/>
    <w:rsid w:val="003E1BE4"/>
    <w:rsid w:val="003F7602"/>
    <w:rsid w:val="004020B0"/>
    <w:rsid w:val="00424C39"/>
    <w:rsid w:val="004263FD"/>
    <w:rsid w:val="00431F8A"/>
    <w:rsid w:val="004868A7"/>
    <w:rsid w:val="004A1E3C"/>
    <w:rsid w:val="004B067B"/>
    <w:rsid w:val="004C11D5"/>
    <w:rsid w:val="004D18BC"/>
    <w:rsid w:val="004D5469"/>
    <w:rsid w:val="004D7294"/>
    <w:rsid w:val="004E5732"/>
    <w:rsid w:val="004E6F49"/>
    <w:rsid w:val="00506C55"/>
    <w:rsid w:val="00514328"/>
    <w:rsid w:val="0052328E"/>
    <w:rsid w:val="00537084"/>
    <w:rsid w:val="005862B7"/>
    <w:rsid w:val="005A0BBF"/>
    <w:rsid w:val="005A6794"/>
    <w:rsid w:val="005A73BB"/>
    <w:rsid w:val="005B1CD2"/>
    <w:rsid w:val="005B44B0"/>
    <w:rsid w:val="005D74D1"/>
    <w:rsid w:val="005E7B82"/>
    <w:rsid w:val="00600DFA"/>
    <w:rsid w:val="00647B9B"/>
    <w:rsid w:val="006516BC"/>
    <w:rsid w:val="00661612"/>
    <w:rsid w:val="00673CA4"/>
    <w:rsid w:val="006A66D9"/>
    <w:rsid w:val="006B6138"/>
    <w:rsid w:val="00730D3F"/>
    <w:rsid w:val="00732A20"/>
    <w:rsid w:val="00742B6F"/>
    <w:rsid w:val="007A509F"/>
    <w:rsid w:val="007B2087"/>
    <w:rsid w:val="007C5A39"/>
    <w:rsid w:val="007D0CCA"/>
    <w:rsid w:val="007D23CD"/>
    <w:rsid w:val="00802C5A"/>
    <w:rsid w:val="008063A2"/>
    <w:rsid w:val="00816AFA"/>
    <w:rsid w:val="008262F2"/>
    <w:rsid w:val="0083000F"/>
    <w:rsid w:val="00847A2E"/>
    <w:rsid w:val="00877586"/>
    <w:rsid w:val="0088592A"/>
    <w:rsid w:val="008A3EFF"/>
    <w:rsid w:val="008A43FD"/>
    <w:rsid w:val="008D6464"/>
    <w:rsid w:val="008F341D"/>
    <w:rsid w:val="00916E17"/>
    <w:rsid w:val="00925BC6"/>
    <w:rsid w:val="009551C9"/>
    <w:rsid w:val="00972A8B"/>
    <w:rsid w:val="009932E2"/>
    <w:rsid w:val="009977B2"/>
    <w:rsid w:val="009A481F"/>
    <w:rsid w:val="009B2F67"/>
    <w:rsid w:val="009B37AA"/>
    <w:rsid w:val="009F0924"/>
    <w:rsid w:val="00A11A18"/>
    <w:rsid w:val="00A152DE"/>
    <w:rsid w:val="00A22207"/>
    <w:rsid w:val="00A23A40"/>
    <w:rsid w:val="00A26EA7"/>
    <w:rsid w:val="00A4590B"/>
    <w:rsid w:val="00A55153"/>
    <w:rsid w:val="00A56658"/>
    <w:rsid w:val="00A640F0"/>
    <w:rsid w:val="00A82A49"/>
    <w:rsid w:val="00A91F41"/>
    <w:rsid w:val="00A95FE4"/>
    <w:rsid w:val="00AB7544"/>
    <w:rsid w:val="00AE5470"/>
    <w:rsid w:val="00B00803"/>
    <w:rsid w:val="00B16F26"/>
    <w:rsid w:val="00B37749"/>
    <w:rsid w:val="00B46F6F"/>
    <w:rsid w:val="00B50506"/>
    <w:rsid w:val="00B67B71"/>
    <w:rsid w:val="00B763B6"/>
    <w:rsid w:val="00B845F7"/>
    <w:rsid w:val="00B8494F"/>
    <w:rsid w:val="00B90992"/>
    <w:rsid w:val="00B94260"/>
    <w:rsid w:val="00BA1097"/>
    <w:rsid w:val="00BA6797"/>
    <w:rsid w:val="00BD0EBD"/>
    <w:rsid w:val="00BD349E"/>
    <w:rsid w:val="00BE4CE6"/>
    <w:rsid w:val="00BF2FA3"/>
    <w:rsid w:val="00C017FE"/>
    <w:rsid w:val="00C03419"/>
    <w:rsid w:val="00C06A7C"/>
    <w:rsid w:val="00C219A4"/>
    <w:rsid w:val="00C94503"/>
    <w:rsid w:val="00CB098D"/>
    <w:rsid w:val="00CB791A"/>
    <w:rsid w:val="00CC7B04"/>
    <w:rsid w:val="00CD0C04"/>
    <w:rsid w:val="00CD7E0F"/>
    <w:rsid w:val="00CE5951"/>
    <w:rsid w:val="00D12DBF"/>
    <w:rsid w:val="00D15282"/>
    <w:rsid w:val="00D21FB8"/>
    <w:rsid w:val="00D3001B"/>
    <w:rsid w:val="00D32DD6"/>
    <w:rsid w:val="00D34969"/>
    <w:rsid w:val="00D41725"/>
    <w:rsid w:val="00D5041A"/>
    <w:rsid w:val="00D57CC5"/>
    <w:rsid w:val="00D71513"/>
    <w:rsid w:val="00D87930"/>
    <w:rsid w:val="00D93953"/>
    <w:rsid w:val="00DA1449"/>
    <w:rsid w:val="00DB548A"/>
    <w:rsid w:val="00DC50B9"/>
    <w:rsid w:val="00DD21C8"/>
    <w:rsid w:val="00DD5EAA"/>
    <w:rsid w:val="00DF2EA5"/>
    <w:rsid w:val="00DF5858"/>
    <w:rsid w:val="00E0179A"/>
    <w:rsid w:val="00E01C3D"/>
    <w:rsid w:val="00E200A0"/>
    <w:rsid w:val="00E24559"/>
    <w:rsid w:val="00E94D45"/>
    <w:rsid w:val="00EA4204"/>
    <w:rsid w:val="00EC1FB5"/>
    <w:rsid w:val="00EC3AA8"/>
    <w:rsid w:val="00EC5111"/>
    <w:rsid w:val="00EC6AC7"/>
    <w:rsid w:val="00ED4279"/>
    <w:rsid w:val="00EF434C"/>
    <w:rsid w:val="00F03E23"/>
    <w:rsid w:val="00F04300"/>
    <w:rsid w:val="00F0607C"/>
    <w:rsid w:val="00F07146"/>
    <w:rsid w:val="00F33C2C"/>
    <w:rsid w:val="00F47F87"/>
    <w:rsid w:val="00F76822"/>
    <w:rsid w:val="00FA7E4F"/>
    <w:rsid w:val="00FB4817"/>
    <w:rsid w:val="00FB54E6"/>
    <w:rsid w:val="00FC3F01"/>
    <w:rsid w:val="00FD71C4"/>
    <w:rsid w:val="00FE2040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2D5"/>
  <w15:docId w15:val="{636011D8-8D53-4E79-8D20-C7BF16A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6DA1-025B-4D0E-AD56-98CFB81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“Tehnisko līdzekļu, ar kuriem fiksē pārkāpumus, neapturot transportlīdzekli, izmantošanas kārtība” sākotnējās ietekmes novērtējuma ziņojums (anotācija)</vt:lpstr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“Tehnisko līdzekļu, ar kuriem fiksē pārkāpumus, neapturot transportlīdzekli, izmantošanas kārtība” sākotnējās ietekmes novērtējuma ziņojums (anotācija)</dc:title>
  <dc:creator>Armands.Smilga@sam.gov.lv</dc:creator>
  <cp:lastModifiedBy>Jekaterina Borovika</cp:lastModifiedBy>
  <cp:revision>2</cp:revision>
  <cp:lastPrinted>2019-04-24T11:10:00Z</cp:lastPrinted>
  <dcterms:created xsi:type="dcterms:W3CDTF">2019-04-30T07:26:00Z</dcterms:created>
  <dcterms:modified xsi:type="dcterms:W3CDTF">2019-04-30T07:26:00Z</dcterms:modified>
</cp:coreProperties>
</file>