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789E" w:rsidR="00417F42" w:rsidP="00417F42" w:rsidRDefault="00417F42" w14:paraId="44531582" w14:textId="77777777">
      <w:pPr>
        <w:tabs>
          <w:tab w:val="center" w:pos="4677"/>
        </w:tabs>
      </w:pPr>
      <w:r w:rsidRPr="00E8789E">
        <w:t xml:space="preserve">Uz </w:t>
      </w:r>
      <w:r>
        <w:t>13.02.2019. Nr. 12/SAN-39</w:t>
      </w:r>
    </w:p>
    <w:p w:rsidRPr="00E8789E" w:rsidR="00417F42" w:rsidP="00417F42" w:rsidRDefault="00417F42" w14:paraId="426CF29E" w14:textId="77777777">
      <w:pPr>
        <w:autoSpaceDE w:val="0"/>
        <w:autoSpaceDN w:val="0"/>
        <w:adjustRightInd w:val="0"/>
        <w:ind w:right="13"/>
        <w:jc w:val="right"/>
        <w:rPr>
          <w:b/>
          <w:bCs/>
          <w:color w:val="000000"/>
        </w:rPr>
      </w:pPr>
      <w:r w:rsidRPr="00E8789E">
        <w:rPr>
          <w:b/>
          <w:bCs/>
          <w:color w:val="000000"/>
        </w:rPr>
        <w:t>Valsts kancelejai</w:t>
      </w:r>
    </w:p>
    <w:p w:rsidRPr="00E8789E" w:rsidR="00417F42" w:rsidP="00417F42" w:rsidRDefault="00417F42" w14:paraId="68A481CB" w14:textId="77777777">
      <w:pPr>
        <w:autoSpaceDE w:val="0"/>
        <w:autoSpaceDN w:val="0"/>
        <w:adjustRightInd w:val="0"/>
        <w:ind w:right="13"/>
        <w:jc w:val="right"/>
        <w:rPr>
          <w:b/>
          <w:bCs/>
          <w:color w:val="000000"/>
        </w:rPr>
      </w:pPr>
    </w:p>
    <w:p w:rsidRPr="00E8789E" w:rsidR="00417F42" w:rsidP="00417F42" w:rsidRDefault="00417F42" w14:paraId="0A144641" w14:textId="77777777">
      <w:pPr>
        <w:ind w:right="4123"/>
        <w:rPr>
          <w:i/>
        </w:rPr>
      </w:pPr>
      <w:r w:rsidRPr="008F1C91">
        <w:rPr>
          <w:i/>
          <w:noProof/>
        </w:rPr>
        <w:t>Par Ministru kabineta sēdes protokollēmuma projekta "Par Ministru kabineta 2017.</w:t>
      </w:r>
      <w:r>
        <w:rPr>
          <w:i/>
          <w:noProof/>
        </w:rPr>
        <w:t> </w:t>
      </w:r>
      <w:r w:rsidRPr="008F1C91">
        <w:rPr>
          <w:i/>
          <w:noProof/>
        </w:rPr>
        <w:t>gada 7.</w:t>
      </w:r>
      <w:r>
        <w:rPr>
          <w:i/>
          <w:noProof/>
        </w:rPr>
        <w:t> </w:t>
      </w:r>
      <w:r w:rsidRPr="008F1C91">
        <w:rPr>
          <w:i/>
          <w:noProof/>
        </w:rPr>
        <w:t>novembra sēdes protokollēmuma (prot. Nr.</w:t>
      </w:r>
      <w:r>
        <w:rPr>
          <w:i/>
          <w:noProof/>
        </w:rPr>
        <w:t> </w:t>
      </w:r>
      <w:r w:rsidRPr="008F1C91">
        <w:rPr>
          <w:i/>
          <w:noProof/>
        </w:rPr>
        <w:t>55 39.</w:t>
      </w:r>
      <w:r>
        <w:rPr>
          <w:i/>
          <w:noProof/>
        </w:rPr>
        <w:t> </w:t>
      </w:r>
      <w:r w:rsidRPr="008F1C91">
        <w:rPr>
          <w:i/>
          <w:noProof/>
        </w:rPr>
        <w:t>§) "Informatīvais ziņojums "Par nepieciešamību precizēt tiesisko regulējumu ēnu ekonomikas ierobežošanai"" 2.2.</w:t>
      </w:r>
      <w:r>
        <w:rPr>
          <w:i/>
          <w:noProof/>
        </w:rPr>
        <w:t> </w:t>
      </w:r>
      <w:r w:rsidRPr="008F1C91">
        <w:rPr>
          <w:i/>
          <w:noProof/>
        </w:rPr>
        <w:t>apakšpunktā Tieslietu ministrijai dotā uzdevuma atzīšanu par aktualitāti zaudējušu" iesniegšanu</w:t>
      </w:r>
    </w:p>
    <w:p w:rsidRPr="00E8789E" w:rsidR="00417F42" w:rsidP="00417F42" w:rsidRDefault="00417F42" w14:paraId="46D7E89B" w14:textId="77777777">
      <w:pPr>
        <w:ind w:right="282"/>
        <w:rPr>
          <w:i/>
        </w:rPr>
      </w:pPr>
    </w:p>
    <w:p w:rsidR="00417F42" w:rsidP="00417F42" w:rsidRDefault="00417F42" w14:paraId="6403569A" w14:textId="77777777">
      <w:pPr>
        <w:ind w:firstLine="709"/>
      </w:pPr>
      <w:r>
        <w:t>Pamatojoties uz</w:t>
      </w:r>
      <w:r w:rsidRPr="004C3689">
        <w:t xml:space="preserve"> Ministru kabineta 2009.</w:t>
      </w:r>
      <w:r>
        <w:t> </w:t>
      </w:r>
      <w:r w:rsidRPr="004C3689">
        <w:t>gada 7.</w:t>
      </w:r>
      <w:r>
        <w:t> </w:t>
      </w:r>
      <w:r w:rsidRPr="004C3689">
        <w:t>aprīļa noteikumu Nr.</w:t>
      </w:r>
      <w:r>
        <w:t> </w:t>
      </w:r>
      <w:r w:rsidRPr="004C3689">
        <w:t xml:space="preserve">300 </w:t>
      </w:r>
      <w:r>
        <w:t>"</w:t>
      </w:r>
      <w:r w:rsidRPr="004C3689">
        <w:t>Ministru kabineta kārtības rullis</w:t>
      </w:r>
      <w:r>
        <w:t>"</w:t>
      </w:r>
      <w:r w:rsidRPr="004C3689">
        <w:t xml:space="preserve"> 164.4.</w:t>
      </w:r>
      <w:r>
        <w:t> apakš</w:t>
      </w:r>
      <w:r w:rsidRPr="004C3689">
        <w:t>punktu iesniedz</w:t>
      </w:r>
      <w:r>
        <w:t>u</w:t>
      </w:r>
      <w:r w:rsidRPr="004C3689">
        <w:t xml:space="preserve"> izskatīšanai Ministru kabineta sēdē Ministru kabineta </w:t>
      </w:r>
      <w:r>
        <w:t xml:space="preserve">sēdes </w:t>
      </w:r>
      <w:r w:rsidRPr="004C3689">
        <w:t xml:space="preserve">protokollēmuma projektu </w:t>
      </w:r>
      <w:r>
        <w:t>"</w:t>
      </w:r>
      <w:r w:rsidRPr="004C3689">
        <w:t>Par Ministru kabineta 201</w:t>
      </w:r>
      <w:r>
        <w:t>7</w:t>
      </w:r>
      <w:r w:rsidRPr="004C3689">
        <w:t>.</w:t>
      </w:r>
      <w:r>
        <w:t> </w:t>
      </w:r>
      <w:r w:rsidRPr="004C3689">
        <w:t xml:space="preserve">gada </w:t>
      </w:r>
      <w:r>
        <w:t>7</w:t>
      </w:r>
      <w:r w:rsidRPr="004C3689">
        <w:t>.</w:t>
      </w:r>
      <w:r>
        <w:t> novembra</w:t>
      </w:r>
      <w:r w:rsidRPr="004C3689">
        <w:t xml:space="preserve"> sēdes protokollēmuma (prot. Nr.</w:t>
      </w:r>
      <w:r>
        <w:t> 55</w:t>
      </w:r>
      <w:r w:rsidRPr="004C3689">
        <w:t xml:space="preserve"> </w:t>
      </w:r>
      <w:r>
        <w:t>39</w:t>
      </w:r>
      <w:r w:rsidRPr="004C3689">
        <w:t>.</w:t>
      </w:r>
      <w:r>
        <w:t> </w:t>
      </w:r>
      <w:r w:rsidRPr="004C3689">
        <w:t xml:space="preserve">§) "Par nepieciešamību precizēt tiesisko regulējumu ēnu ekonomikas ierobežošanai" </w:t>
      </w:r>
      <w:r>
        <w:t>2.2</w:t>
      </w:r>
      <w:r w:rsidRPr="004C3689">
        <w:t>.</w:t>
      </w:r>
      <w:r>
        <w:t> apakš</w:t>
      </w:r>
      <w:r w:rsidRPr="004C3689">
        <w:t xml:space="preserve">punktā </w:t>
      </w:r>
      <w:r>
        <w:t>Tieslietu</w:t>
      </w:r>
      <w:r w:rsidRPr="004C3689">
        <w:t xml:space="preserve"> ministrijai dotā uzdevuma atzīšanu par aktualitāti zaudējušu</w:t>
      </w:r>
      <w:r>
        <w:t>" (turpmāk – projekts)</w:t>
      </w:r>
      <w:r w:rsidRPr="004C3689">
        <w:t>.</w:t>
      </w:r>
    </w:p>
    <w:p w:rsidRPr="00E8789E" w:rsidR="00417F42" w:rsidP="00417F42" w:rsidRDefault="00417F42" w14:paraId="6F1E390B" w14:textId="77777777">
      <w:pPr>
        <w:ind w:firstLine="709"/>
      </w:pPr>
    </w:p>
    <w:tbl>
      <w:tblPr>
        <w:tblW w:w="4976" w:type="pct"/>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915"/>
        <w:gridCol w:w="7392"/>
      </w:tblGrid>
      <w:tr w:rsidRPr="00E8789E" w:rsidR="00417F42" w:rsidTr="00850F14" w14:paraId="6458DB0B" w14:textId="77777777">
        <w:tc>
          <w:tcPr>
            <w:tcW w:w="1029" w:type="pct"/>
            <w:tcBorders>
              <w:top w:val="outset" w:color="auto" w:sz="6" w:space="0"/>
              <w:left w:val="outset" w:color="auto" w:sz="6" w:space="0"/>
              <w:bottom w:val="outset" w:color="auto" w:sz="6" w:space="0"/>
              <w:right w:val="outset" w:color="auto" w:sz="6" w:space="0"/>
            </w:tcBorders>
            <w:hideMark/>
          </w:tcPr>
          <w:p w:rsidRPr="00E8789E" w:rsidR="00417F42" w:rsidP="00850F14" w:rsidRDefault="00417F42" w14:paraId="757F58CC" w14:textId="77777777">
            <w:r w:rsidRPr="00E8789E">
              <w:t>Iesniegšanas pamatojums</w:t>
            </w:r>
          </w:p>
        </w:tc>
        <w:tc>
          <w:tcPr>
            <w:tcW w:w="3971" w:type="pct"/>
            <w:tcBorders>
              <w:top w:val="outset" w:color="auto" w:sz="6" w:space="0"/>
              <w:left w:val="outset" w:color="auto" w:sz="6" w:space="0"/>
              <w:bottom w:val="outset" w:color="auto" w:sz="6" w:space="0"/>
              <w:right w:val="outset" w:color="auto" w:sz="6" w:space="0"/>
            </w:tcBorders>
            <w:hideMark/>
          </w:tcPr>
          <w:p w:rsidR="00417F42" w:rsidP="00850F14" w:rsidRDefault="00417F42" w14:paraId="317E896A" w14:textId="77777777">
            <w:r w:rsidRPr="00321B61">
              <w:t xml:space="preserve">Pēc </w:t>
            </w:r>
            <w:r>
              <w:t>Tieslietu</w:t>
            </w:r>
            <w:r w:rsidRPr="00321B61">
              <w:t xml:space="preserve"> ministrijas iniciatīvas nepieciešams atzīt par aktualitāti zaudējušu Ministru kabineta 201</w:t>
            </w:r>
            <w:r>
              <w:t>7</w:t>
            </w:r>
            <w:r w:rsidRPr="00321B61">
              <w:t>.</w:t>
            </w:r>
            <w:r>
              <w:t> </w:t>
            </w:r>
            <w:r w:rsidRPr="00321B61">
              <w:t xml:space="preserve">gada </w:t>
            </w:r>
            <w:r>
              <w:t>7</w:t>
            </w:r>
            <w:r w:rsidRPr="00321B61">
              <w:t>.</w:t>
            </w:r>
            <w:r>
              <w:t> novembra</w:t>
            </w:r>
            <w:r w:rsidRPr="00321B61">
              <w:t xml:space="preserve"> sēdes protokollēmuma (Nr.</w:t>
            </w:r>
            <w:r>
              <w:t> 55</w:t>
            </w:r>
            <w:r w:rsidRPr="00321B61">
              <w:t xml:space="preserve"> 3</w:t>
            </w:r>
            <w:r>
              <w:t>9</w:t>
            </w:r>
            <w:r w:rsidRPr="00321B61">
              <w:t>.</w:t>
            </w:r>
            <w:r>
              <w:t> </w:t>
            </w:r>
            <w:r w:rsidRPr="00321B61">
              <w:t xml:space="preserve">§) </w:t>
            </w:r>
            <w:r w:rsidRPr="004C3689">
              <w:t>"Par nepieciešamību precizēt tiesisko regulējumu ēnu ekonomikas ierobežošanai"</w:t>
            </w:r>
            <w:r>
              <w:t xml:space="preserve"> (turpmāk – Protokols) 2.2</w:t>
            </w:r>
            <w:r w:rsidRPr="004C3689">
              <w:t>.</w:t>
            </w:r>
            <w:r>
              <w:t> apakš</w:t>
            </w:r>
            <w:r w:rsidRPr="004C3689">
              <w:t xml:space="preserve">punktā </w:t>
            </w:r>
            <w:r>
              <w:t>Tieslietu</w:t>
            </w:r>
            <w:r w:rsidRPr="004C3689">
              <w:t xml:space="preserve"> ministrijai </w:t>
            </w:r>
            <w:r w:rsidRPr="00321B61">
              <w:t>doto uzdevumu.</w:t>
            </w:r>
          </w:p>
          <w:p w:rsidR="00417F42" w:rsidP="00850F14" w:rsidRDefault="00417F42" w14:paraId="5E6A725C" w14:textId="77777777">
            <w:r>
              <w:t>Protokola</w:t>
            </w:r>
            <w:r w:rsidRPr="00FE1A0B">
              <w:t xml:space="preserve"> 2.</w:t>
            </w:r>
            <w:r>
              <w:t>2</w:t>
            </w:r>
            <w:r w:rsidRPr="00FE1A0B">
              <w:t>. apakšpunkts paredz Tieslietu ministrijai līdz 2018.</w:t>
            </w:r>
            <w:r>
              <w:t> </w:t>
            </w:r>
            <w:r w:rsidRPr="00FE1A0B">
              <w:t>gada 1.</w:t>
            </w:r>
            <w:r>
              <w:t> </w:t>
            </w:r>
            <w:r w:rsidRPr="00FE1A0B">
              <w:t>augustam</w:t>
            </w:r>
            <w:r>
              <w:t xml:space="preserve"> </w:t>
            </w:r>
            <w:r w:rsidRPr="00DF2178">
              <w:t>Notariāta likumā</w:t>
            </w:r>
            <w:r>
              <w:t xml:space="preserve"> </w:t>
            </w:r>
            <w:r w:rsidRPr="00585E71">
              <w:t>un līdz 2018.</w:t>
            </w:r>
            <w:r>
              <w:t> </w:t>
            </w:r>
            <w:r w:rsidRPr="00585E71">
              <w:t>gada 1.</w:t>
            </w:r>
            <w:r>
              <w:t> </w:t>
            </w:r>
            <w:r w:rsidRPr="00585E71">
              <w:t>decembrim Ministru kabineta 2008.</w:t>
            </w:r>
            <w:r>
              <w:t> </w:t>
            </w:r>
            <w:r w:rsidRPr="00585E71">
              <w:t>gada 4.</w:t>
            </w:r>
            <w:r>
              <w:t> </w:t>
            </w:r>
            <w:r w:rsidRPr="00585E71">
              <w:t>augusta noteikumos Nr.</w:t>
            </w:r>
            <w:r>
              <w:t> </w:t>
            </w:r>
            <w:r w:rsidRPr="00585E71">
              <w:t>618 "Noteikumi par mantojuma reģistra un mantojuma lietu vešanu"</w:t>
            </w:r>
            <w:r>
              <w:t xml:space="preserve"> (turpmāk – MK noteikumi)</w:t>
            </w:r>
            <w:r w:rsidRPr="00FE1A0B">
              <w:t xml:space="preserve"> izstrādāt </w:t>
            </w:r>
            <w:r w:rsidRPr="00DF2178">
              <w:t>grozījumus</w:t>
            </w:r>
            <w:r w:rsidRPr="00FE1A0B">
              <w:t xml:space="preserve"> </w:t>
            </w:r>
            <w:r w:rsidRPr="00DF2178">
              <w:t>attiecībā uz sludinājuma par mantojuma atklāšanos termiņu</w:t>
            </w:r>
            <w:r>
              <w:t>,</w:t>
            </w:r>
            <w:r w:rsidRPr="00DF2178">
              <w:t xml:space="preserve"> mantojamās kustamās nereģistrējamās mantas saraksta sastādīšanu</w:t>
            </w:r>
            <w:r>
              <w:t xml:space="preserve"> un </w:t>
            </w:r>
            <w:r w:rsidRPr="0092651D">
              <w:t>mantojuma masas sastāvā norādīto skaidras naudas līdzekļu, kuru summa pārsniedz 15</w:t>
            </w:r>
            <w:r>
              <w:t> </w:t>
            </w:r>
            <w:r w:rsidRPr="0092651D">
              <w:t>000</w:t>
            </w:r>
            <w:r>
              <w:t> </w:t>
            </w:r>
            <w:r w:rsidRPr="0092651D">
              <w:t>EUR, iemaksāšanu kredītiestādē</w:t>
            </w:r>
            <w:r>
              <w:t xml:space="preserve">. </w:t>
            </w:r>
          </w:p>
          <w:p w:rsidR="00417F42" w:rsidP="00850F14" w:rsidRDefault="00417F42" w14:paraId="34B21EDF" w14:textId="77777777">
            <w:r>
              <w:t>Attiecībā uz MK noteikumiem jānorāda, ka Tieslietu ministrija, izstrādājot grozījumus Notariātā likumā atbilstoši Protokolam, konstatēja, ka, lai ieviestu ar Protokolu atbalstītās iniciatīvas, nav nepieciešams izdarīt grozījumus MK noteikumos, ņemot vērā, ka MK noteikumi neregulē minētos jautājumus. Līdz ar to Protokola 2.2. apakšpunktā iekļautais uzdevums izstrādāt grozījumus MK noteikumos nav aktuāls.</w:t>
            </w:r>
          </w:p>
          <w:p w:rsidR="00417F42" w:rsidP="00850F14" w:rsidRDefault="00417F42" w14:paraId="3057169F" w14:textId="77777777">
            <w:r>
              <w:t xml:space="preserve">Attiecībā uz grozījumiem Notariāta likumā saistībā ar </w:t>
            </w:r>
            <w:r w:rsidRPr="0092651D">
              <w:t xml:space="preserve">mantojuma masas </w:t>
            </w:r>
            <w:r w:rsidRPr="0092651D">
              <w:lastRenderedPageBreak/>
              <w:t>sastāvā norādīto skaidras naudas līdzekļu, kuru summa pārsniedz 15</w:t>
            </w:r>
            <w:r>
              <w:t> </w:t>
            </w:r>
            <w:r w:rsidRPr="0092651D">
              <w:t>000</w:t>
            </w:r>
            <w:r>
              <w:t> </w:t>
            </w:r>
            <w:r w:rsidRPr="0092651D">
              <w:t>EUR, iemaksāšanu kredītiestādē</w:t>
            </w:r>
            <w:r>
              <w:t xml:space="preserve"> jānorāda, ka minētie </w:t>
            </w:r>
            <w:r w:rsidRPr="008F1C91">
              <w:t>grozījumi</w:t>
            </w:r>
            <w:r>
              <w:t xml:space="preserve"> ir izstrādāti un ir stājušies spēkā 2018. gada 21. martā.</w:t>
            </w:r>
          </w:p>
          <w:p w:rsidR="00417F42" w:rsidP="00850F14" w:rsidRDefault="00417F42" w14:paraId="180BA1CA" w14:textId="77777777">
            <w:r>
              <w:t xml:space="preserve">Attiecībā uz grozījumiem Notariāta likumā saistībā ar </w:t>
            </w:r>
            <w:r w:rsidRPr="00DF2178">
              <w:t>sludinājuma par mantojuma atklāšanos termiņu</w:t>
            </w:r>
            <w:r>
              <w:t xml:space="preserve"> un</w:t>
            </w:r>
            <w:r w:rsidRPr="00DF2178">
              <w:t xml:space="preserve"> mantojamās kustamās nereģistrējamās mantas saraksta sastādīšanu</w:t>
            </w:r>
            <w:r>
              <w:t xml:space="preserve"> jānorāda, ka Tieslietu ministrija izstrādāja minētos grozījumus un, ņemot vērā, ka tie ir tehniski grozījumi, iesniedza tos kā priekšlikumus Saeimā pie likumprojekta "Grozījumi Notariāta likumā"</w:t>
            </w:r>
            <w:r>
              <w:rPr>
                <w:rFonts w:ascii="Arial" w:hAnsi="Arial" w:cs="Arial"/>
                <w:sz w:val="17"/>
                <w:szCs w:val="17"/>
              </w:rPr>
              <w:t xml:space="preserve"> </w:t>
            </w:r>
            <w:proofErr w:type="gramStart"/>
            <w:r>
              <w:t>(</w:t>
            </w:r>
            <w:proofErr w:type="gramEnd"/>
            <w:r>
              <w:t>Nr. </w:t>
            </w:r>
            <w:r w:rsidRPr="008F1C91">
              <w:t>1331/Lp12</w:t>
            </w:r>
            <w:r>
              <w:t xml:space="preserve">) pirms otrā lasījuma. Minētais likumprojekts cita starpā tika izskatīts Saeimas Juridiskās komisijas 2018. gada 9. oktobra sēdē. Saeimas Juridiskā komisija neatbalstīja priekšlikumus grozījumiem Notariāta likumā, kas tika iesniegti saistībā ar </w:t>
            </w:r>
            <w:r w:rsidRPr="00DF2178">
              <w:t>sludinājuma par mantojuma atklāšanos termiņu</w:t>
            </w:r>
            <w:r>
              <w:t xml:space="preserve"> un</w:t>
            </w:r>
            <w:r w:rsidRPr="00DF2178">
              <w:t xml:space="preserve"> mantojamās kustamās nereģistrējamās mantas saraksta sastādīšanu</w:t>
            </w:r>
            <w:r>
              <w:t>, pamatojoties uz Saeimas Juridiskā biroja iebildumiem</w:t>
            </w:r>
            <w:r w:rsidRPr="001178B4">
              <w:t>. Saeimas Juridiskā biroja ieskatā</w:t>
            </w:r>
            <w:r>
              <w:t>, minētos priekšlikumus nevarēja atbalstīt, jo, pirmkārt, saistītie likumprojekti vēl uz konkrētās Saeimas Juridiskās komisijas sēdes laiku nebija tikuši izskatīti Saeimā pirmajā lasījumā. Proti, likumprojekts "Grozījumi Tiesu izpildītāju likumā" 2018. gada 18. septembrī tika iesniegts izskatīšanai Ministru kabineta sēdē, kas, cita starpā, paredzēja Tiesu izpildītājiem jaunu funkciju – nereģistrētas kustamas mantas saraksta sastādīšanu, bet priekšlikumu izskatīšanas brīdī konkrētais likumprojekts Saeimā vēl nebija ticis skatīts (jānorāda, ka šobrīd no likumprojekta "Grozījumi Tiesu izpildītāju likumā" (Nr. </w:t>
            </w:r>
            <w:r w:rsidRPr="008F1C91">
              <w:t>3/Lp13</w:t>
            </w:r>
            <w:r>
              <w:t>), pamatojoties, ka atbilstošie grozījumi Notariāta likumā Saeimā tika noraidīti, jau izņemta konkrētā tiesu izpildītāju funkcija par nereģistrējamās kustamās mantas saraksta sastādīšanu). Otrkārt, Saeimas Juridiskais birojs norādīja, ka, pārbaudot nereģistrējamas kustamas mantas esību dabā, netiek panākts mērķis, jo netiek noteikta uzrādītās mantas vērtība, kā arī netiek veikta mantas izcelsmes pārbaude, kas pieļauj svešas mantas uzrādīšanu kā mantojuma atstājējam piederējušu un kurai mantinieks pats var noteikt vērtību. Tātad - pastāv iespēja, uzrādot svešu mantu, mantošanas ceļā legalizēt nelegāli iegūtus līdzekļus. Treškārt, Saeimas Juridiskā biroja ieskatā, tieši godprātīgus mantiniekus šāds regulējums apgrūtinātu visvairāk, jo, ja mantojamās nereģistrējamās kustamās mantas (piemēram, saimniecība esoši darba rīki un tehnika) vērtība pārsniedz 15 000 EUR kopējo vērtību, mantiniekiem obligāti jāveic visas šīs saimniecībā esošās mantas pārbaude, tādējādi sarežģot un sadārdzinot mantošanas procesu kopumā. Attiecībā uz sludinājuma par mantojuma atklāšanos termiņu Saeimas juridiskais birojs nesaskatīja lietderību to grozīt, jo tas nemazina iespējas krāpties ar privātiem testamentiem.</w:t>
            </w:r>
          </w:p>
          <w:p w:rsidR="00417F42" w:rsidP="00850F14" w:rsidRDefault="00417F42" w14:paraId="114A7590" w14:textId="77777777">
            <w:r>
              <w:t xml:space="preserve">Pēc minēto grozījumu noraidīšanas Saeimā Tieslietu ministrija minētās iniciatīvas atkārtoti apsprieda Tieslietu ministrijas pastāvīgajā darba grupā </w:t>
            </w:r>
            <w:r w:rsidRPr="00752107">
              <w:t>Civillikuma mantojuma tiesību daļas grozījumu izstrādei</w:t>
            </w:r>
            <w:r>
              <w:t>, kur tika secināts, ka, izstrādājot grozījumus, netiks panākts vēlamais rezultāts ēnu ekonomikas ierobežošanai</w:t>
            </w:r>
            <w:r w:rsidRPr="00AA3479">
              <w:t>, jo</w:t>
            </w:r>
            <w:r>
              <w:t xml:space="preserve"> netiek noteikta uzrādītās mantas vērtība, kā arī netiek veikta mantas izcelsmes pārbaude, kas pieļauj svešas mantas uzrādīšanu, kurai mantinieks pats var noteikt vērtību</w:t>
            </w:r>
            <w:r w:rsidRPr="00AA3479">
              <w:t>.</w:t>
            </w:r>
            <w:r>
              <w:t xml:space="preserve"> Tas savukārt nozīmē, ka turpina pastāvēt iespēja, uzrādot svešu mantu, mantošanas ceļā legalizēt nelegāli iegūtus līdzekļus. Līdz ar to arī mantojuma tiesību ekspertu vidū minētās likumdošanas iniciatīvas neguva atbalstu. Attiecībā uz sludinājuma par mantojuma atklāšanos termiņa pagarināšanu tika secināts, ka mantiniekus aizsargā mantojuma prasība, līdz ar to nav jēgas noteikt garāku sludinājuma </w:t>
            </w:r>
            <w:r>
              <w:lastRenderedPageBreak/>
              <w:t>par mantojuma atklāšanos termiņu, kā arī, ņemot vērā, ka minētā darba grupa aktīvi strādā pie mantojuma tiesību regulējuma pilnveidošanas, tajā skaitā, vērtē jautājumus saistībā ar sludinājumu par mantojuma atklāšanos, nebūtu lietderīgi ieviest jaunu, atsevišķu sludinājuma par mantojuma atklāšanos termiņu privātiem testamentiem, kas, iespējams, neiederēsies nākotnes regulējumā un būs jāgroza atkārtoti.</w:t>
            </w:r>
          </w:p>
          <w:p w:rsidRPr="002C0476" w:rsidR="00417F42" w:rsidP="00850F14" w:rsidRDefault="00417F42" w14:paraId="708CCB1C" w14:textId="77777777">
            <w:pPr>
              <w:rPr>
                <w:b/>
              </w:rPr>
            </w:pPr>
            <w:r w:rsidRPr="002C0476">
              <w:rPr>
                <w:b/>
              </w:rPr>
              <w:t xml:space="preserve">Ņemot vērā to, ka likumdevējs Protokola 2.2. apakšpunktā iekļautās likumdošanas iniciatīvas ir noraidījis un, ka </w:t>
            </w:r>
            <w:r>
              <w:rPr>
                <w:b/>
              </w:rPr>
              <w:t xml:space="preserve">arī </w:t>
            </w:r>
            <w:r w:rsidRPr="002C0476">
              <w:rPr>
                <w:b/>
              </w:rPr>
              <w:t>ekspertu vidū atbalsts netika gūts, Protokola 2.2. apakšpunktā iekļautais uzdevums atzīstams par aktualitāti zaudējušu.</w:t>
            </w:r>
          </w:p>
        </w:tc>
      </w:tr>
      <w:tr w:rsidRPr="00E8789E" w:rsidR="00417F42" w:rsidTr="00850F14" w14:paraId="520DFFF1" w14:textId="77777777">
        <w:tc>
          <w:tcPr>
            <w:tcW w:w="1029" w:type="pct"/>
            <w:tcBorders>
              <w:top w:val="outset" w:color="auto" w:sz="6" w:space="0"/>
              <w:left w:val="outset" w:color="auto" w:sz="6" w:space="0"/>
              <w:bottom w:val="outset" w:color="auto" w:sz="6" w:space="0"/>
              <w:right w:val="outset" w:color="auto" w:sz="6" w:space="0"/>
            </w:tcBorders>
            <w:hideMark/>
          </w:tcPr>
          <w:p w:rsidRPr="00E8789E" w:rsidR="00417F42" w:rsidP="00850F14" w:rsidRDefault="00417F42" w14:paraId="3FD82829" w14:textId="77777777">
            <w:r w:rsidRPr="00E8789E">
              <w:lastRenderedPageBreak/>
              <w:t>Valsts sekretāru sanāksmes datums un numurs</w:t>
            </w:r>
          </w:p>
        </w:tc>
        <w:tc>
          <w:tcPr>
            <w:tcW w:w="3971" w:type="pct"/>
            <w:tcBorders>
              <w:top w:val="outset" w:color="auto" w:sz="6" w:space="0"/>
              <w:left w:val="outset" w:color="auto" w:sz="6" w:space="0"/>
              <w:bottom w:val="outset" w:color="auto" w:sz="6" w:space="0"/>
              <w:right w:val="outset" w:color="auto" w:sz="6" w:space="0"/>
            </w:tcBorders>
            <w:hideMark/>
          </w:tcPr>
          <w:p w:rsidRPr="005315A7" w:rsidR="00417F42" w:rsidP="00850F14" w:rsidRDefault="00417F42" w14:paraId="62898DB3" w14:textId="77777777">
            <w:pPr>
              <w:rPr>
                <w:u w:val="single"/>
              </w:rPr>
            </w:pPr>
            <w:r w:rsidRPr="005315A7">
              <w:t>Saskaņā ar Ministru kabineta 2009.</w:t>
            </w:r>
            <w:r>
              <w:t> </w:t>
            </w:r>
            <w:r w:rsidRPr="005315A7">
              <w:t>gada 7.</w:t>
            </w:r>
            <w:r>
              <w:t> </w:t>
            </w:r>
            <w:r w:rsidRPr="005315A7">
              <w:t>aprīļa noteikumu Nr.</w:t>
            </w:r>
            <w:r>
              <w:t> </w:t>
            </w:r>
            <w:r w:rsidRPr="005315A7">
              <w:t xml:space="preserve">300 </w:t>
            </w:r>
            <w:r>
              <w:t>"</w:t>
            </w:r>
            <w:r w:rsidRPr="005315A7">
              <w:t>Ministru kabineta kārtības rullis</w:t>
            </w:r>
            <w:r>
              <w:t>"</w:t>
            </w:r>
            <w:r w:rsidRPr="005315A7">
              <w:t xml:space="preserve"> 73.1.</w:t>
            </w:r>
            <w:r>
              <w:t> </w:t>
            </w:r>
            <w:r w:rsidRPr="005315A7">
              <w:t>apakšpunktu projekts nav izsludināms Valsts sekretāru sanāksmē.</w:t>
            </w:r>
          </w:p>
        </w:tc>
      </w:tr>
      <w:tr w:rsidRPr="00E8789E" w:rsidR="00417F42" w:rsidTr="00850F14" w14:paraId="25BF2F93" w14:textId="77777777">
        <w:tc>
          <w:tcPr>
            <w:tcW w:w="1029" w:type="pct"/>
            <w:tcBorders>
              <w:top w:val="outset" w:color="auto" w:sz="6" w:space="0"/>
              <w:left w:val="outset" w:color="auto" w:sz="6" w:space="0"/>
              <w:bottom w:val="outset" w:color="auto" w:sz="6" w:space="0"/>
              <w:right w:val="outset" w:color="auto" w:sz="6" w:space="0"/>
            </w:tcBorders>
            <w:hideMark/>
          </w:tcPr>
          <w:p w:rsidRPr="00E8789E" w:rsidR="00417F42" w:rsidP="00850F14" w:rsidRDefault="00417F42" w14:paraId="7E209A50" w14:textId="77777777">
            <w:r w:rsidRPr="00E8789E">
              <w:t>Informācija par saskaņojumiem</w:t>
            </w:r>
          </w:p>
        </w:tc>
        <w:tc>
          <w:tcPr>
            <w:tcW w:w="3971" w:type="pct"/>
            <w:tcBorders>
              <w:top w:val="outset" w:color="auto" w:sz="6" w:space="0"/>
              <w:left w:val="outset" w:color="auto" w:sz="6" w:space="0"/>
              <w:bottom w:val="outset" w:color="auto" w:sz="6" w:space="0"/>
              <w:right w:val="outset" w:color="auto" w:sz="6" w:space="0"/>
            </w:tcBorders>
            <w:hideMark/>
          </w:tcPr>
          <w:p w:rsidRPr="00211FAC" w:rsidR="00417F42" w:rsidP="00850F14" w:rsidRDefault="00417F42" w14:paraId="43CCE021" w14:textId="77777777">
            <w:r>
              <w:t>P</w:t>
            </w:r>
            <w:r w:rsidRPr="00211FAC">
              <w:t>rojektam nav nepieciešams saskaņojums</w:t>
            </w:r>
            <w:r>
              <w:t>, jo uzdevums, kas atzīstams par aktualitāti zaudējušu, attiecināms tikai uz Tieslietu ministriju un citu institūciju kompetenci neskar.</w:t>
            </w:r>
          </w:p>
        </w:tc>
      </w:tr>
      <w:tr w:rsidRPr="00E8789E" w:rsidR="00417F42" w:rsidTr="00850F14" w14:paraId="21CA60E2" w14:textId="77777777">
        <w:tc>
          <w:tcPr>
            <w:tcW w:w="1029" w:type="pct"/>
            <w:tcBorders>
              <w:top w:val="outset" w:color="auto" w:sz="6" w:space="0"/>
              <w:left w:val="outset" w:color="auto" w:sz="6" w:space="0"/>
              <w:bottom w:val="outset" w:color="auto" w:sz="6" w:space="0"/>
              <w:right w:val="outset" w:color="auto" w:sz="6" w:space="0"/>
            </w:tcBorders>
            <w:hideMark/>
          </w:tcPr>
          <w:p w:rsidRPr="00E8789E" w:rsidR="00417F42" w:rsidP="00850F14" w:rsidRDefault="00417F42" w14:paraId="3290EF39" w14:textId="77777777">
            <w:r w:rsidRPr="00E8789E">
              <w:t>Informācija par saskaņojumu ar Eiropas Savienības institūcijām</w:t>
            </w:r>
          </w:p>
        </w:tc>
        <w:tc>
          <w:tcPr>
            <w:tcW w:w="3971" w:type="pct"/>
            <w:tcBorders>
              <w:top w:val="outset" w:color="auto" w:sz="6" w:space="0"/>
              <w:left w:val="outset" w:color="auto" w:sz="6" w:space="0"/>
              <w:bottom w:val="outset" w:color="auto" w:sz="6" w:space="0"/>
              <w:right w:val="outset" w:color="auto" w:sz="6" w:space="0"/>
            </w:tcBorders>
          </w:tcPr>
          <w:p w:rsidRPr="002D31A4" w:rsidR="00417F42" w:rsidP="00850F14" w:rsidRDefault="00417F42" w14:paraId="7D3628DB" w14:textId="77777777">
            <w:r w:rsidRPr="002D31A4">
              <w:t>Nav attiecināms.</w:t>
            </w:r>
          </w:p>
        </w:tc>
      </w:tr>
      <w:tr w:rsidRPr="00E8789E" w:rsidR="00417F42" w:rsidTr="00850F14" w14:paraId="4AD8EB9A" w14:textId="77777777">
        <w:tc>
          <w:tcPr>
            <w:tcW w:w="1029" w:type="pct"/>
            <w:tcBorders>
              <w:top w:val="outset" w:color="auto" w:sz="6" w:space="0"/>
              <w:left w:val="outset" w:color="auto" w:sz="6" w:space="0"/>
              <w:bottom w:val="outset" w:color="auto" w:sz="6" w:space="0"/>
              <w:right w:val="outset" w:color="auto" w:sz="6" w:space="0"/>
            </w:tcBorders>
            <w:hideMark/>
          </w:tcPr>
          <w:p w:rsidRPr="00E8789E" w:rsidR="00417F42" w:rsidP="00850F14" w:rsidRDefault="00417F42" w14:paraId="6BF37360" w14:textId="77777777">
            <w:r w:rsidRPr="00E8789E">
              <w:t>Politikas joma</w:t>
            </w:r>
          </w:p>
        </w:tc>
        <w:tc>
          <w:tcPr>
            <w:tcW w:w="3971" w:type="pct"/>
            <w:tcBorders>
              <w:top w:val="outset" w:color="auto" w:sz="6" w:space="0"/>
              <w:left w:val="outset" w:color="auto" w:sz="6" w:space="0"/>
              <w:bottom w:val="outset" w:color="auto" w:sz="6" w:space="0"/>
              <w:right w:val="outset" w:color="auto" w:sz="6" w:space="0"/>
            </w:tcBorders>
            <w:hideMark/>
          </w:tcPr>
          <w:p w:rsidRPr="00685107" w:rsidR="00417F42" w:rsidP="00850F14" w:rsidRDefault="00417F42" w14:paraId="759E0955" w14:textId="77777777">
            <w:r w:rsidRPr="00685107">
              <w:t>Tieslietu politika</w:t>
            </w:r>
            <w:r>
              <w:t>.</w:t>
            </w:r>
          </w:p>
        </w:tc>
      </w:tr>
      <w:tr w:rsidRPr="00E8789E" w:rsidR="00417F42" w:rsidTr="00850F14" w14:paraId="1A321B39" w14:textId="77777777">
        <w:tc>
          <w:tcPr>
            <w:tcW w:w="1029" w:type="pct"/>
            <w:tcBorders>
              <w:top w:val="outset" w:color="auto" w:sz="6" w:space="0"/>
              <w:left w:val="outset" w:color="auto" w:sz="6" w:space="0"/>
              <w:bottom w:val="outset" w:color="auto" w:sz="6" w:space="0"/>
              <w:right w:val="outset" w:color="auto" w:sz="6" w:space="0"/>
            </w:tcBorders>
            <w:hideMark/>
          </w:tcPr>
          <w:p w:rsidRPr="00E8789E" w:rsidR="00417F42" w:rsidP="00850F14" w:rsidRDefault="00417F42" w14:paraId="7ED3582C" w14:textId="77777777">
            <w:r w:rsidRPr="00E8789E">
              <w:t>Atbildīgā amatpersona</w:t>
            </w:r>
          </w:p>
        </w:tc>
        <w:tc>
          <w:tcPr>
            <w:tcW w:w="3971" w:type="pct"/>
            <w:tcBorders>
              <w:top w:val="outset" w:color="auto" w:sz="6" w:space="0"/>
              <w:left w:val="outset" w:color="auto" w:sz="6" w:space="0"/>
              <w:bottom w:val="outset" w:color="auto" w:sz="6" w:space="0"/>
              <w:right w:val="outset" w:color="auto" w:sz="6" w:space="0"/>
            </w:tcBorders>
            <w:hideMark/>
          </w:tcPr>
          <w:p w:rsidRPr="00685107" w:rsidR="00417F42" w:rsidP="00850F14" w:rsidRDefault="00417F42" w14:paraId="0CEA790A" w14:textId="77777777">
            <w:r w:rsidRPr="00685107">
              <w:t>Tieslietu ministrijas Civiltiesību departamenta direktore Dagnija Palčevska</w:t>
            </w:r>
            <w:r>
              <w:t>.</w:t>
            </w:r>
          </w:p>
        </w:tc>
      </w:tr>
      <w:tr w:rsidRPr="00E8789E" w:rsidR="00417F42" w:rsidTr="00850F14" w14:paraId="304C0146" w14:textId="77777777">
        <w:tc>
          <w:tcPr>
            <w:tcW w:w="1029" w:type="pct"/>
            <w:tcBorders>
              <w:top w:val="outset" w:color="auto" w:sz="6" w:space="0"/>
              <w:left w:val="outset" w:color="auto" w:sz="6" w:space="0"/>
              <w:bottom w:val="outset" w:color="auto" w:sz="6" w:space="0"/>
              <w:right w:val="outset" w:color="auto" w:sz="6" w:space="0"/>
            </w:tcBorders>
            <w:hideMark/>
          </w:tcPr>
          <w:p w:rsidRPr="00E8789E" w:rsidR="00417F42" w:rsidP="00850F14" w:rsidRDefault="00417F42" w14:paraId="0F4B2217" w14:textId="77777777">
            <w:r w:rsidRPr="00E8789E">
              <w:t>Uzaicināmās personas</w:t>
            </w:r>
          </w:p>
        </w:tc>
        <w:tc>
          <w:tcPr>
            <w:tcW w:w="3971" w:type="pct"/>
            <w:tcBorders>
              <w:top w:val="outset" w:color="auto" w:sz="6" w:space="0"/>
              <w:left w:val="outset" w:color="auto" w:sz="6" w:space="0"/>
              <w:bottom w:val="outset" w:color="auto" w:sz="6" w:space="0"/>
              <w:right w:val="outset" w:color="auto" w:sz="6" w:space="0"/>
            </w:tcBorders>
            <w:hideMark/>
          </w:tcPr>
          <w:p w:rsidRPr="00685107" w:rsidR="00417F42" w:rsidP="00850F14" w:rsidRDefault="00417F42" w14:paraId="506791AA" w14:textId="77777777">
            <w:r w:rsidRPr="00685107">
              <w:t>Nav.</w:t>
            </w:r>
          </w:p>
        </w:tc>
      </w:tr>
      <w:tr w:rsidRPr="00E8789E" w:rsidR="00417F42" w:rsidTr="00850F14" w14:paraId="6FEA9890" w14:textId="77777777">
        <w:tc>
          <w:tcPr>
            <w:tcW w:w="1029" w:type="pct"/>
            <w:tcBorders>
              <w:top w:val="outset" w:color="auto" w:sz="6" w:space="0"/>
              <w:left w:val="outset" w:color="auto" w:sz="6" w:space="0"/>
              <w:bottom w:val="outset" w:color="auto" w:sz="6" w:space="0"/>
              <w:right w:val="outset" w:color="auto" w:sz="6" w:space="0"/>
            </w:tcBorders>
            <w:hideMark/>
          </w:tcPr>
          <w:p w:rsidRPr="00E8789E" w:rsidR="00417F42" w:rsidP="00850F14" w:rsidRDefault="00417F42" w14:paraId="6ED99E16" w14:textId="77777777">
            <w:r w:rsidRPr="00E8789E">
              <w:t>Projekta ierobežotas pieejamības statuss</w:t>
            </w:r>
          </w:p>
        </w:tc>
        <w:tc>
          <w:tcPr>
            <w:tcW w:w="3971" w:type="pct"/>
            <w:tcBorders>
              <w:top w:val="outset" w:color="auto" w:sz="6" w:space="0"/>
              <w:left w:val="outset" w:color="auto" w:sz="6" w:space="0"/>
              <w:bottom w:val="outset" w:color="auto" w:sz="6" w:space="0"/>
              <w:right w:val="outset" w:color="auto" w:sz="6" w:space="0"/>
            </w:tcBorders>
          </w:tcPr>
          <w:p w:rsidRPr="00685107" w:rsidR="00417F42" w:rsidP="00850F14" w:rsidRDefault="00417F42" w14:paraId="2D92B305" w14:textId="77777777">
            <w:r w:rsidRPr="00685107">
              <w:t>Nav attiecināms.</w:t>
            </w:r>
          </w:p>
        </w:tc>
      </w:tr>
      <w:tr w:rsidRPr="00E8789E" w:rsidR="00417F42" w:rsidTr="00850F14" w14:paraId="399188BA" w14:textId="77777777">
        <w:tc>
          <w:tcPr>
            <w:tcW w:w="1029" w:type="pct"/>
            <w:tcBorders>
              <w:top w:val="outset" w:color="auto" w:sz="6" w:space="0"/>
              <w:left w:val="outset" w:color="auto" w:sz="6" w:space="0"/>
              <w:bottom w:val="outset" w:color="auto" w:sz="6" w:space="0"/>
              <w:right w:val="outset" w:color="auto" w:sz="6" w:space="0"/>
            </w:tcBorders>
            <w:hideMark/>
          </w:tcPr>
          <w:p w:rsidRPr="00E8789E" w:rsidR="00417F42" w:rsidP="00850F14" w:rsidRDefault="00417F42" w14:paraId="15EBACAC" w14:textId="77777777">
            <w:r w:rsidRPr="00E8789E">
              <w:t>Cita informācija</w:t>
            </w:r>
          </w:p>
        </w:tc>
        <w:tc>
          <w:tcPr>
            <w:tcW w:w="3971" w:type="pct"/>
            <w:tcBorders>
              <w:top w:val="outset" w:color="auto" w:sz="6" w:space="0"/>
              <w:left w:val="outset" w:color="auto" w:sz="6" w:space="0"/>
              <w:bottom w:val="outset" w:color="auto" w:sz="6" w:space="0"/>
              <w:right w:val="outset" w:color="auto" w:sz="6" w:space="0"/>
            </w:tcBorders>
          </w:tcPr>
          <w:p w:rsidRPr="00CC2180" w:rsidR="00417F42" w:rsidP="00850F14" w:rsidRDefault="00417F42" w14:paraId="0D4C0CBE" w14:textId="77777777">
            <w:r w:rsidRPr="00CC2180">
              <w:t>Nav.</w:t>
            </w:r>
          </w:p>
        </w:tc>
      </w:tr>
    </w:tbl>
    <w:p w:rsidRPr="00E8789E" w:rsidR="00417F42" w:rsidP="00417F42" w:rsidRDefault="00417F42" w14:paraId="1F3707C9" w14:textId="77777777"/>
    <w:p w:rsidR="00417F42" w:rsidP="00417F42" w:rsidRDefault="00417F42" w14:paraId="1D32770C" w14:textId="77777777">
      <w:pPr>
        <w:tabs>
          <w:tab w:val="right" w:pos="9074"/>
        </w:tabs>
      </w:pPr>
      <w:r>
        <w:t>Pielikumā: projekts</w:t>
      </w:r>
      <w:r w:rsidRPr="00E86AA2">
        <w:t xml:space="preserve"> uz 1 </w:t>
      </w:r>
      <w:proofErr w:type="spellStart"/>
      <w:r w:rsidRPr="00E86AA2">
        <w:t>l</w:t>
      </w:r>
      <w:r>
        <w:t>p</w:t>
      </w:r>
      <w:proofErr w:type="spellEnd"/>
      <w:r>
        <w:t>.</w:t>
      </w:r>
      <w:r w:rsidRPr="00E86AA2">
        <w:t xml:space="preserve"> (datne: </w:t>
      </w:r>
      <w:r>
        <w:t>TM</w:t>
      </w:r>
      <w:r w:rsidRPr="00E86AA2">
        <w:t>prot_</w:t>
      </w:r>
      <w:r>
        <w:t>0703</w:t>
      </w:r>
      <w:r w:rsidRPr="00E86AA2">
        <w:t>19</w:t>
      </w:r>
      <w:r>
        <w:t>_MK</w:t>
      </w:r>
      <w:r w:rsidRPr="00E86AA2">
        <w:t>).</w:t>
      </w:r>
    </w:p>
    <w:p w:rsidR="00417F42" w:rsidP="00417F42" w:rsidRDefault="00417F42" w14:paraId="340DD6B6" w14:textId="77777777">
      <w:pPr>
        <w:tabs>
          <w:tab w:val="right" w:pos="9074"/>
        </w:tabs>
      </w:pPr>
    </w:p>
    <w:p w:rsidRPr="00E8789E" w:rsidR="00417F42" w:rsidP="00417F42" w:rsidRDefault="00417F42" w14:paraId="11F2C54F" w14:textId="77777777">
      <w:pPr>
        <w:tabs>
          <w:tab w:val="right" w:pos="9074"/>
        </w:tabs>
      </w:pPr>
    </w:p>
    <w:p w:rsidRPr="00E8789E" w:rsidR="00417F42" w:rsidP="00417F42" w:rsidRDefault="00417F42" w14:paraId="29881C3A" w14:textId="77777777">
      <w:pPr>
        <w:tabs>
          <w:tab w:val="right" w:pos="9074"/>
        </w:tabs>
      </w:pPr>
      <w:r w:rsidRPr="00E8789E">
        <w:t xml:space="preserve">Tieslietu ministrs </w:t>
      </w:r>
      <w:r w:rsidRPr="00E8789E">
        <w:tab/>
      </w:r>
      <w:r>
        <w:t>Jānis</w:t>
      </w:r>
      <w:r w:rsidRPr="00E8789E">
        <w:t> </w:t>
      </w:r>
      <w:proofErr w:type="spellStart"/>
      <w:r>
        <w:t>Bordāns</w:t>
      </w:r>
      <w:proofErr w:type="spellEnd"/>
    </w:p>
    <w:p w:rsidR="00417F42" w:rsidP="00417F42" w:rsidRDefault="00417F42" w14:paraId="65AF9D35" w14:textId="77777777"/>
    <w:p w:rsidR="00417F42" w:rsidP="00417F42" w:rsidRDefault="00417F42" w14:paraId="1D2EE6AD" w14:textId="77777777"/>
    <w:p w:rsidR="00417F42" w:rsidP="00417F42" w:rsidRDefault="00417F42" w14:paraId="2B544E52" w14:textId="77777777"/>
    <w:p w:rsidR="00417F42" w:rsidP="00417F42" w:rsidRDefault="00417F42" w14:paraId="5C4D609A" w14:textId="77777777"/>
    <w:p w:rsidRPr="00440D51" w:rsidR="00417F42" w:rsidP="00417F42" w:rsidRDefault="00417F42" w14:paraId="1F7FD25B" w14:textId="77777777">
      <w:pPr>
        <w:rPr>
          <w:i/>
          <w:sz w:val="20"/>
          <w:szCs w:val="20"/>
        </w:rPr>
      </w:pPr>
      <w:r w:rsidRPr="00440D51">
        <w:rPr>
          <w:i/>
          <w:sz w:val="20"/>
          <w:szCs w:val="20"/>
        </w:rPr>
        <w:t>Bērziņš 67036934</w:t>
      </w:r>
    </w:p>
    <w:p w:rsidRPr="008044FE" w:rsidR="00417F42" w:rsidP="00417F42" w:rsidRDefault="00417F42" w14:paraId="05B5C1CE" w14:textId="77777777">
      <w:pPr>
        <w:rPr>
          <w:i/>
          <w:sz w:val="20"/>
          <w:szCs w:val="20"/>
        </w:rPr>
      </w:pPr>
      <w:r w:rsidRPr="00440D51">
        <w:rPr>
          <w:i/>
          <w:sz w:val="20"/>
          <w:szCs w:val="20"/>
        </w:rPr>
        <w:t>Janis.Berzins@tm.gov.lv</w:t>
      </w:r>
    </w:p>
    <w:p w:rsidR="002E1474" w:rsidP="00726E06" w:rsidRDefault="002E1474" w14:paraId="5E7C1C27" w14:textId="165B3EDF"/>
    <w:p w:rsidR="000D6929" w:rsidP="00726E06" w:rsidRDefault="000D6929" w14:paraId="45879F78" w14:textId="7EFD89BE">
      <w:bookmarkStart w:name="_GoBack" w:id="0"/>
      <w:bookmarkEnd w:id="0"/>
    </w:p>
    <w:p w:rsidR="000D6929" w:rsidP="00726E06" w:rsidRDefault="000D6929" w14:paraId="5F9A4558" w14:textId="3C631C9B"/>
    <w:p w:rsidR="000D6929" w:rsidP="00726E06" w:rsidRDefault="000D6929" w14:paraId="414D45C4" w14:textId="4C7A59C7"/>
    <w:p w:rsidR="000D6929" w:rsidP="00726E06" w:rsidRDefault="000D6929" w14:paraId="0CD2FE83" w14:textId="157AAB8D"/>
    <w:p w:rsidR="000D6929" w:rsidP="00726E06" w:rsidRDefault="000D6929" w14:paraId="1E141066" w14:textId="02C5DA2C"/>
    <w:p w:rsidR="000D6929" w:rsidP="00726E06" w:rsidRDefault="000D6929" w14:paraId="7B4F778A" w14:textId="32A9D3C2"/>
    <w:p w:rsidR="000D6929" w:rsidP="00726E06" w:rsidRDefault="000D6929" w14:paraId="382D962A" w14:textId="47E6972F"/>
    <w:p w:rsidRPr="0087450D" w:rsidR="00830970" w:rsidP="007B3740" w:rsidRDefault="00830970" w14:paraId="5E7C1C29" w14:textId="77777777"/>
    <w:sectPr w:rsidRPr="0087450D" w:rsidR="00830970" w:rsidSect="00A34ACB">
      <w:headerReference w:type="default" r:id="rId7"/>
      <w:footerReference w:type="default" r:id="rId8"/>
      <w:headerReference w:type="firs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1C2C" w14:textId="77777777" w:rsidR="00EC3533" w:rsidRDefault="00EC3533">
      <w:r>
        <w:separator/>
      </w:r>
    </w:p>
  </w:endnote>
  <w:endnote w:type="continuationSeparator" w:id="0">
    <w:p w14:paraId="5E7C1C2D" w14:textId="77777777" w:rsidR="00EC3533" w:rsidRDefault="00E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C0B0" w14:textId="6F50A753" w:rsidR="00417F42" w:rsidRDefault="00417F42" w:rsidP="00417F42">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Pr>
        <w:noProof/>
        <w:sz w:val="20"/>
        <w:szCs w:val="20"/>
      </w:rPr>
      <w:t>TMPav_070319_MK</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56EC" w14:textId="230EC0AC" w:rsidR="008423E3" w:rsidRDefault="008423E3" w:rsidP="008423E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Pr>
        <w:noProof/>
        <w:sz w:val="20"/>
        <w:szCs w:val="20"/>
      </w:rPr>
      <w:t>TMPav_070319_MK</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C1C2A" w14:textId="77777777" w:rsidR="00EC3533" w:rsidRDefault="00EC3533">
      <w:r>
        <w:separator/>
      </w:r>
    </w:p>
  </w:footnote>
  <w:footnote w:type="continuationSeparator" w:id="0">
    <w:p w14:paraId="5E7C1C2B" w14:textId="77777777" w:rsidR="00EC3533" w:rsidRDefault="00EC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7B3740" w:rsidRDefault="007B3740" w14:paraId="5E7C1C2E" w14:textId="77777777">
        <w:pPr>
          <w:pStyle w:val="Galvene"/>
          <w:jc w:val="center"/>
        </w:pPr>
        <w:r>
          <w:fldChar w:fldCharType="begin"/>
        </w:r>
        <w:r>
          <w:instrText>PAGE   \* MERGEFORMAT</w:instrText>
        </w:r>
        <w:r>
          <w:fldChar w:fldCharType="separate"/>
        </w:r>
        <w:r w:rsidR="00441F52">
          <w:rPr>
            <w:noProof/>
          </w:rPr>
          <w:t>2</w:t>
        </w:r>
        <w:r>
          <w:fldChar w:fldCharType="end"/>
        </w:r>
      </w:p>
    </w:sdtContent>
  </w:sdt>
  <w:p w:rsidR="006C6018" w:rsidRDefault="006C6018" w14:paraId="5E7C1C2F"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CB" w:rsidP="00A34ACB" w:rsidRDefault="00A34ACB" w14:paraId="5E7C1C30" w14:textId="77777777">
    <w:pPr>
      <w:pStyle w:val="Galvene"/>
    </w:pPr>
  </w:p>
  <w:p w:rsidR="00A34ACB" w:rsidP="00A34ACB" w:rsidRDefault="00E40434" w14:paraId="5E7C1C31" w14:textId="77777777">
    <w:pPr>
      <w:pStyle w:val="Galvene"/>
    </w:pPr>
    <w:r>
      <w:rPr>
        <w:noProof/>
        <w:lang w:eastAsia="lv-LV"/>
      </w:rPr>
      <w:drawing>
        <wp:anchor distT="0" distB="0" distL="114300" distR="114300" simplePos="0" relativeHeight="251660800" behindDoc="1" locked="0" layoutInCell="1" allowOverlap="1" wp14:editId="5E7C1C43" wp14:anchorId="5E7C1C42">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5E7C1C32" w14:textId="77777777">
    <w:pPr>
      <w:pStyle w:val="Galvene"/>
    </w:pPr>
  </w:p>
  <w:p w:rsidR="00A34ACB" w:rsidP="00A34ACB" w:rsidRDefault="00A34ACB" w14:paraId="5E7C1C33" w14:textId="77777777">
    <w:pPr>
      <w:pStyle w:val="Galvene"/>
    </w:pPr>
  </w:p>
  <w:p w:rsidR="00A34ACB" w:rsidP="00A34ACB" w:rsidRDefault="00A34ACB" w14:paraId="5E7C1C34" w14:textId="77777777">
    <w:pPr>
      <w:pStyle w:val="Galvene"/>
    </w:pPr>
  </w:p>
  <w:p w:rsidR="00A34ACB" w:rsidP="00A34ACB" w:rsidRDefault="00A34ACB" w14:paraId="5E7C1C35" w14:textId="77777777">
    <w:pPr>
      <w:pStyle w:val="Galvene"/>
    </w:pPr>
  </w:p>
  <w:p w:rsidR="00A34ACB" w:rsidP="00A34ACB" w:rsidRDefault="00A34ACB" w14:paraId="5E7C1C36" w14:textId="77777777">
    <w:pPr>
      <w:pStyle w:val="Galvene"/>
    </w:pPr>
  </w:p>
  <w:p w:rsidR="00A34ACB" w:rsidP="00A34ACB" w:rsidRDefault="00A34ACB" w14:paraId="5E7C1C37" w14:textId="77777777">
    <w:pPr>
      <w:pStyle w:val="Galvene"/>
    </w:pPr>
  </w:p>
  <w:p w:rsidR="00A34ACB" w:rsidP="00A34ACB" w:rsidRDefault="00A34ACB" w14:paraId="5E7C1C38" w14:textId="77777777">
    <w:pPr>
      <w:pStyle w:val="Galvene"/>
    </w:pPr>
  </w:p>
  <w:p w:rsidR="00A34ACB" w:rsidP="00A34ACB" w:rsidRDefault="00A34ACB" w14:paraId="5E7C1C39" w14:textId="77777777">
    <w:pPr>
      <w:pStyle w:val="Galvene"/>
    </w:pPr>
  </w:p>
  <w:p w:rsidRPr="00815277" w:rsidR="00A34ACB" w:rsidP="00A34ACB" w:rsidRDefault="00E40434" w14:paraId="5E7C1C3A" w14:textId="77777777">
    <w:pPr>
      <w:pStyle w:val="Galvene"/>
    </w:pPr>
    <w:r>
      <w:rPr>
        <w:noProof/>
        <w:lang w:eastAsia="lv-LV"/>
      </w:rPr>
      <mc:AlternateContent>
        <mc:Choice Requires="wps">
          <w:drawing>
            <wp:anchor distT="0" distB="0" distL="114300" distR="114300" simplePos="0" relativeHeight="251658752" behindDoc="1" locked="0" layoutInCell="1" allowOverlap="1" wp14:editId="5E7C1C45" wp14:anchorId="5E7C1C44">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5E7C1C48"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5E7C1C49"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E7C1C44">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v:textbox inset="0,0,0,0">
                <w:txbxContent>
                  <w:p w:rsidRPr="006C6018" w:rsidR="00A34ACB" w:rsidP="00A34ACB" w:rsidRDefault="00AC270F" w14:paraId="5E7C1C48"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5E7C1C49"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editId="5E7C1C47" wp14:anchorId="5E7C1C46">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52BA6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5E7C1C3B" w14:textId="77777777">
    <w:pPr>
      <w:jc w:val="center"/>
      <w:rPr>
        <w:szCs w:val="24"/>
      </w:rPr>
    </w:pPr>
    <w:r w:rsidRPr="00C836FF">
      <w:rPr>
        <w:szCs w:val="24"/>
      </w:rPr>
      <w:t>Rīgā</w:t>
    </w:r>
  </w:p>
  <w:p w:rsidRPr="00C836FF" w:rsidR="00AB4E8A" w:rsidP="00AB4E8A" w:rsidRDefault="00AB4E8A" w14:paraId="5E7C1C3C"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A6153E" w14:paraId="5E7C1C40" w14:textId="77777777">
      <w:tc>
        <w:tcPr>
          <w:tcW w:w="1810" w:type="dxa"/>
        </w:tcPr>
        <w:p w:rsidR="00E11DA3" w:rsidP="00E11DA3" w:rsidRDefault="00E11DA3" w14:paraId="5E7C1C3D" w14:textId="77777777">
          <w:pPr>
            <w:pStyle w:val="Galvene"/>
            <w:jc w:val="center"/>
            <w:rPr>
              <w:szCs w:val="24"/>
            </w:rPr>
          </w:pPr>
          <w:r>
            <w:t>11.03.2019</w:t>
          </w:r>
          <w:bookmarkEnd w:id="1"/>
        </w:p>
      </w:tc>
      <w:tc>
        <w:tcPr>
          <w:tcW w:w="420" w:type="dxa"/>
          <w:tcBorders>
            <w:bottom w:val="nil"/>
          </w:tcBorders>
        </w:tcPr>
        <w:p w:rsidR="00E11DA3" w:rsidP="00E11DA3" w:rsidRDefault="00E11DA3" w14:paraId="5E7C1C3E" w14:textId="77777777">
          <w:pPr>
            <w:pStyle w:val="Galvene"/>
            <w:rPr>
              <w:szCs w:val="24"/>
            </w:rPr>
          </w:pPr>
          <w:r>
            <w:rPr>
              <w:szCs w:val="24"/>
            </w:rPr>
            <w:t xml:space="preserve"> Nr.</w:t>
          </w:r>
        </w:p>
      </w:tc>
      <w:tc>
        <w:tcPr>
          <w:tcW w:w="1890" w:type="dxa"/>
        </w:tcPr>
        <w:p w:rsidR="00E11DA3" w:rsidP="00E11DA3" w:rsidRDefault="00E11DA3" w14:paraId="5E7C1C3F" w14:textId="77777777">
          <w:pPr>
            <w:pStyle w:val="Galvene"/>
            <w:jc w:val="center"/>
            <w:rPr>
              <w:szCs w:val="24"/>
            </w:rPr>
          </w:pPr>
          <w:r>
            <w:t>1-9.2/268</w:t>
          </w:r>
          <w:bookmarkEnd w:id="2"/>
        </w:p>
      </w:tc>
    </w:tr>
  </w:tbl>
  <w:p w:rsidRPr="00C836FF" w:rsidR="00AB4E8A" w:rsidP="00E11DA3" w:rsidRDefault="00AB4E8A" w14:paraId="5E7C1C41"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91ABD"/>
    <w:rsid w:val="000D6929"/>
    <w:rsid w:val="000E7F03"/>
    <w:rsid w:val="00124173"/>
    <w:rsid w:val="00275B9E"/>
    <w:rsid w:val="002B3077"/>
    <w:rsid w:val="002E1474"/>
    <w:rsid w:val="00335032"/>
    <w:rsid w:val="00417F42"/>
    <w:rsid w:val="00441F52"/>
    <w:rsid w:val="00493308"/>
    <w:rsid w:val="004F4A01"/>
    <w:rsid w:val="00535564"/>
    <w:rsid w:val="005E672B"/>
    <w:rsid w:val="00663C3A"/>
    <w:rsid w:val="006C1639"/>
    <w:rsid w:val="006C6018"/>
    <w:rsid w:val="00724680"/>
    <w:rsid w:val="00726E06"/>
    <w:rsid w:val="00747CCB"/>
    <w:rsid w:val="007704BD"/>
    <w:rsid w:val="007B3740"/>
    <w:rsid w:val="007B3BA5"/>
    <w:rsid w:val="007B48EC"/>
    <w:rsid w:val="007E0D0E"/>
    <w:rsid w:val="007E4D1F"/>
    <w:rsid w:val="00815277"/>
    <w:rsid w:val="00816499"/>
    <w:rsid w:val="00830970"/>
    <w:rsid w:val="008423E3"/>
    <w:rsid w:val="0087450D"/>
    <w:rsid w:val="00876C21"/>
    <w:rsid w:val="00883533"/>
    <w:rsid w:val="008A679D"/>
    <w:rsid w:val="008E3CED"/>
    <w:rsid w:val="00954D5A"/>
    <w:rsid w:val="0096342D"/>
    <w:rsid w:val="009D6B6A"/>
    <w:rsid w:val="00A34ACB"/>
    <w:rsid w:val="00A84FC7"/>
    <w:rsid w:val="00AB4E8A"/>
    <w:rsid w:val="00AC270F"/>
    <w:rsid w:val="00AF10A5"/>
    <w:rsid w:val="00BB087F"/>
    <w:rsid w:val="00C04896"/>
    <w:rsid w:val="00C255D9"/>
    <w:rsid w:val="00C47F57"/>
    <w:rsid w:val="00C836FF"/>
    <w:rsid w:val="00CF0967"/>
    <w:rsid w:val="00D21FA6"/>
    <w:rsid w:val="00D55B4B"/>
    <w:rsid w:val="00E11DA3"/>
    <w:rsid w:val="00E365CE"/>
    <w:rsid w:val="00E40434"/>
    <w:rsid w:val="00E44743"/>
    <w:rsid w:val="00EC3533"/>
    <w:rsid w:val="00F605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7C1C27"/>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48642">
      <w:bodyDiv w:val="1"/>
      <w:marLeft w:val="0"/>
      <w:marRight w:val="0"/>
      <w:marTop w:val="0"/>
      <w:marBottom w:val="0"/>
      <w:divBdr>
        <w:top w:val="none" w:sz="0" w:space="0" w:color="auto"/>
        <w:left w:val="none" w:sz="0" w:space="0" w:color="auto"/>
        <w:bottom w:val="none" w:sz="0" w:space="0" w:color="auto"/>
        <w:right w:val="none" w:sz="0" w:space="0" w:color="auto"/>
      </w:divBdr>
    </w:div>
    <w:div w:id="208112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4789</Words>
  <Characters>2730</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sēdes protokollēmuma projekta "Par Ministru kabineta 2017. gada 7. novembra sēdes protokollēmuma (prot. Nr. 55 39. §) "Informatīvais ziņojums "Par nepieciešamību precizēt tiesisko regulējumu ēnu ekonomikas ierobežošanai"" 2.2. apakšp</vt:lpstr>
      <vt:lpstr/>
    </vt:vector>
  </TitlesOfParts>
  <Company>Tieslietu Sektors</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projekta "Par Ministru kabineta 2017. gada 7. novembra sēdes protokollēmuma (prot. Nr. 55 39. §) "Informatīvais ziņojums "Par nepieciešamību precizēt tiesisko regulējumu ēnu ekonomikas ierobežošanai"" 2.2. apakšpunktā Tieslietu ministrijai dotā uzdevuma atzīšanu par aktualitāti zaudējušu" iesniegšanu</dc:title>
  <dc:creator>Jānis Bērziņš</dc:creator>
  <dc:description>67036934, janis.berzins@tm.gov.lv</dc:description>
  <cp:lastModifiedBy>Jānis Bērziņš</cp:lastModifiedBy>
  <cp:revision>4</cp:revision>
  <cp:lastPrinted>2015-01-09T08:13:00Z</cp:lastPrinted>
  <dcterms:created xsi:type="dcterms:W3CDTF">2019-03-06T07:11:00Z</dcterms:created>
  <dcterms:modified xsi:type="dcterms:W3CDTF">2019-03-07T13:29:00Z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