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D0F5" w14:textId="77777777" w:rsidR="009246FE" w:rsidRDefault="72C1736D" w:rsidP="72C1736D">
      <w:pPr>
        <w:shd w:val="clear" w:color="auto" w:fill="FFFFFF" w:themeFill="background1"/>
        <w:spacing w:after="0" w:line="240" w:lineRule="auto"/>
        <w:jc w:val="center"/>
        <w:rPr>
          <w:rFonts w:ascii="Times New Roman" w:hAnsi="Times New Roman" w:cs="Times New Roman"/>
          <w:b/>
          <w:bCs/>
          <w:sz w:val="24"/>
          <w:szCs w:val="24"/>
        </w:rPr>
      </w:pPr>
      <w:r w:rsidRPr="72C1736D">
        <w:rPr>
          <w:rFonts w:ascii="Times New Roman" w:hAnsi="Times New Roman" w:cs="Times New Roman"/>
          <w:b/>
          <w:bCs/>
          <w:sz w:val="24"/>
          <w:szCs w:val="24"/>
        </w:rPr>
        <w:t xml:space="preserve">Ministru kabineta noteikumu projekta „Grozījumi Ministru kabineta 2011. gada 6. septembra noteikumos Nr. 696 “Zemes dzīļu izmantošanas licenču un bieži sastopamo derīgo izrakteņu ieguves atļauju izsniegšanas kārtība”” </w:t>
      </w:r>
      <w:r w:rsidR="00C30A1A">
        <w:br/>
      </w:r>
      <w:r w:rsidRPr="72C1736D">
        <w:rPr>
          <w:rFonts w:ascii="Times New Roman" w:eastAsia="Times New Roman" w:hAnsi="Times New Roman" w:cs="Times New Roman"/>
          <w:b/>
          <w:bCs/>
          <w:sz w:val="24"/>
          <w:szCs w:val="24"/>
          <w:lang w:eastAsia="lv-LV"/>
        </w:rPr>
        <w:t>sākotnējās ietekmes novērtējuma ziņojums (anotācija)</w:t>
      </w:r>
    </w:p>
    <w:p w14:paraId="672A6659" w14:textId="77777777" w:rsidR="009246FE" w:rsidRDefault="009246FE">
      <w:pPr>
        <w:shd w:val="clear" w:color="auto" w:fill="FFFFFF"/>
        <w:spacing w:after="0" w:line="240" w:lineRule="auto"/>
        <w:jc w:val="center"/>
        <w:rPr>
          <w:rFonts w:ascii="Times New Roman" w:eastAsia="Times New Roman" w:hAnsi="Times New Roman" w:cs="Times New Roman"/>
          <w:b/>
          <w:bCs/>
          <w:sz w:val="28"/>
          <w:szCs w:val="24"/>
          <w:lang w:eastAsia="lv-LV"/>
        </w:rPr>
      </w:pPr>
    </w:p>
    <w:p w14:paraId="11F99054"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shd w:val="clear" w:color="auto" w:fill="FFFFFF"/>
        <w:tblCellMar>
          <w:top w:w="28" w:type="dxa"/>
          <w:left w:w="28" w:type="dxa"/>
          <w:bottom w:w="28" w:type="dxa"/>
          <w:right w:w="28" w:type="dxa"/>
        </w:tblCellMar>
        <w:tblLook w:val="04A0" w:firstRow="1" w:lastRow="0" w:firstColumn="1" w:lastColumn="0" w:noHBand="0" w:noVBand="1"/>
      </w:tblPr>
      <w:tblGrid>
        <w:gridCol w:w="2970"/>
        <w:gridCol w:w="6085"/>
      </w:tblGrid>
      <w:tr w:rsidR="009246FE" w14:paraId="40206029" w14:textId="77777777">
        <w:trPr>
          <w:cantSplit/>
        </w:trPr>
        <w:tc>
          <w:tcPr>
            <w:tcW w:w="907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8B81FE" w14:textId="77777777" w:rsidR="009246FE" w:rsidRDefault="00C30A1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Tiesību akta projekta anotācijas kopsavilkums</w:t>
            </w:r>
          </w:p>
        </w:tc>
      </w:tr>
      <w:tr w:rsidR="009246FE" w14:paraId="4788553A" w14:textId="77777777">
        <w:trPr>
          <w:cantSplit/>
        </w:trPr>
        <w:tc>
          <w:tcPr>
            <w:tcW w:w="2974" w:type="dxa"/>
            <w:tcBorders>
              <w:top w:val="outset" w:sz="6" w:space="0" w:color="000000"/>
              <w:left w:val="outset" w:sz="6" w:space="0" w:color="000000"/>
              <w:bottom w:val="outset" w:sz="6" w:space="0" w:color="000000"/>
              <w:right w:val="outset" w:sz="6" w:space="0" w:color="000000"/>
            </w:tcBorders>
            <w:shd w:val="clear" w:color="auto" w:fill="FFFFFF"/>
          </w:tcPr>
          <w:p w14:paraId="1A02CAF3" w14:textId="77777777" w:rsidR="009246FE" w:rsidRDefault="00C30A1A">
            <w:pPr>
              <w:jc w:val="both"/>
              <w:rPr>
                <w:rFonts w:ascii="Times New Roman" w:hAnsi="Times New Roman" w:cs="Times New Roman"/>
                <w:iCs/>
                <w:sz w:val="24"/>
                <w:szCs w:val="24"/>
              </w:rPr>
            </w:pPr>
            <w:r>
              <w:rPr>
                <w:rFonts w:ascii="Times New Roman" w:hAnsi="Times New Roman" w:cs="Times New Roman"/>
                <w:iCs/>
                <w:sz w:val="24"/>
                <w:szCs w:val="24"/>
              </w:rPr>
              <w:t>Mērķis, risinājums un projekta spēkā stāšanās laiks (500 zīmes bez atstarpēm)</w:t>
            </w:r>
          </w:p>
        </w:tc>
        <w:tc>
          <w:tcPr>
            <w:tcW w:w="6096" w:type="dxa"/>
            <w:tcBorders>
              <w:top w:val="outset" w:sz="6" w:space="0" w:color="000000"/>
              <w:left w:val="outset" w:sz="6" w:space="0" w:color="000000"/>
              <w:bottom w:val="outset" w:sz="6" w:space="0" w:color="000000"/>
              <w:right w:val="outset" w:sz="6" w:space="0" w:color="000000"/>
            </w:tcBorders>
            <w:shd w:val="clear" w:color="auto" w:fill="FFFFFF"/>
          </w:tcPr>
          <w:p w14:paraId="5D16D445" w14:textId="77777777" w:rsidR="009246FE" w:rsidRDefault="00C30A1A">
            <w:pPr>
              <w:spacing w:after="12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Ministru kabineta noteikumu projekts „Grozījumi Ministru kabineta 2011. gada 6. septembra noteikumos Nr. 696 “Zemes dzīļu izmantošanas licenču un bieži sastopamo derīgo izrakteņu ieguves atļauju izsniegšanas kārtība”” (turpmāk – noteikumu projekts) sagatavots, lai iekļautu šajos noteikumos tiesību normas par nomas maksas aprēķināšanas kārtību, ja publiska persona iznomā  zemesgabalu zemes dzīļu izmantošanai.</w:t>
            </w:r>
          </w:p>
        </w:tc>
      </w:tr>
    </w:tbl>
    <w:p w14:paraId="0A37501D" w14:textId="77777777" w:rsidR="009246FE" w:rsidRDefault="009246FE">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W w:w="5000" w:type="pct"/>
        <w:tblCellMar>
          <w:top w:w="30" w:type="dxa"/>
          <w:left w:w="30" w:type="dxa"/>
          <w:bottom w:w="30" w:type="dxa"/>
          <w:right w:w="30" w:type="dxa"/>
        </w:tblCellMar>
        <w:tblLook w:val="04A0" w:firstRow="1" w:lastRow="0" w:firstColumn="1" w:lastColumn="0" w:noHBand="0" w:noVBand="1"/>
      </w:tblPr>
      <w:tblGrid>
        <w:gridCol w:w="581"/>
        <w:gridCol w:w="2389"/>
        <w:gridCol w:w="6085"/>
      </w:tblGrid>
      <w:tr w:rsidR="009246FE" w14:paraId="506526A8" w14:textId="77777777" w:rsidTr="72C1736D">
        <w:tc>
          <w:tcPr>
            <w:tcW w:w="9071"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vAlign w:val="center"/>
          </w:tcPr>
          <w:p w14:paraId="600F0F87" w14:textId="77777777" w:rsidR="009246FE" w:rsidRDefault="00C30A1A">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9246FE" w14:paraId="13E43594" w14:textId="77777777" w:rsidTr="72C1736D">
        <w:tc>
          <w:tcPr>
            <w:tcW w:w="58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0135CBF0"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39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2C90B08D"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p w14:paraId="5DAB6C7B" w14:textId="77777777" w:rsidR="009246FE" w:rsidRDefault="009246FE">
            <w:pPr>
              <w:rPr>
                <w:rFonts w:ascii="Times New Roman" w:eastAsia="Times New Roman" w:hAnsi="Times New Roman" w:cs="Times New Roman"/>
                <w:sz w:val="24"/>
                <w:szCs w:val="24"/>
                <w:lang w:eastAsia="lv-LV"/>
              </w:rPr>
            </w:pPr>
          </w:p>
          <w:p w14:paraId="02EB378F" w14:textId="77777777" w:rsidR="009246FE" w:rsidRDefault="009246FE">
            <w:pPr>
              <w:rPr>
                <w:rFonts w:ascii="Times New Roman" w:eastAsia="Times New Roman" w:hAnsi="Times New Roman" w:cs="Times New Roman"/>
                <w:sz w:val="24"/>
                <w:szCs w:val="24"/>
                <w:lang w:eastAsia="lv-LV"/>
              </w:rPr>
            </w:pPr>
          </w:p>
          <w:p w14:paraId="6A05A809" w14:textId="77777777" w:rsidR="009246FE" w:rsidRDefault="009246FE">
            <w:pPr>
              <w:rPr>
                <w:rFonts w:ascii="Times New Roman" w:eastAsia="Times New Roman" w:hAnsi="Times New Roman" w:cs="Times New Roman"/>
                <w:sz w:val="24"/>
                <w:szCs w:val="24"/>
                <w:lang w:eastAsia="lv-LV"/>
              </w:rPr>
            </w:pPr>
          </w:p>
          <w:p w14:paraId="5A39BBE3" w14:textId="77777777" w:rsidR="009246FE" w:rsidRDefault="009246FE">
            <w:pPr>
              <w:rPr>
                <w:rFonts w:ascii="Times New Roman" w:eastAsia="Times New Roman" w:hAnsi="Times New Roman" w:cs="Times New Roman"/>
                <w:sz w:val="24"/>
                <w:szCs w:val="24"/>
                <w:lang w:eastAsia="lv-LV"/>
              </w:rPr>
            </w:pPr>
          </w:p>
          <w:p w14:paraId="41C8F396" w14:textId="77777777" w:rsidR="009246FE" w:rsidRDefault="009246FE">
            <w:pPr>
              <w:ind w:firstLine="720"/>
              <w:rPr>
                <w:rFonts w:ascii="Times New Roman" w:eastAsia="Times New Roman" w:hAnsi="Times New Roman" w:cs="Times New Roman"/>
                <w:sz w:val="24"/>
                <w:szCs w:val="24"/>
                <w:lang w:eastAsia="lv-LV"/>
              </w:rPr>
            </w:pPr>
          </w:p>
        </w:tc>
        <w:tc>
          <w:tcPr>
            <w:tcW w:w="609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26EB6455" w14:textId="77777777" w:rsidR="009246FE" w:rsidRDefault="00C30A1A">
            <w:pPr>
              <w:pStyle w:val="ListParagraph"/>
              <w:numPr>
                <w:ilvl w:val="0"/>
                <w:numId w:val="2"/>
              </w:numPr>
              <w:spacing w:after="120" w:line="240" w:lineRule="auto"/>
              <w:ind w:left="357" w:hanging="357"/>
              <w:jc w:val="both"/>
              <w:rPr>
                <w:rFonts w:ascii="Times New Roman" w:hAnsi="Times New Roman"/>
                <w:sz w:val="24"/>
                <w:szCs w:val="24"/>
              </w:rPr>
            </w:pPr>
            <w:r>
              <w:rPr>
                <w:rFonts w:ascii="Times New Roman" w:hAnsi="Times New Roman"/>
                <w:sz w:val="24"/>
                <w:szCs w:val="24"/>
              </w:rPr>
              <w:t>2017. gada 21. decembrī Saeimā pieņemtie grozījumi likumā “Par zemes dzīlēm” (stājas spēkā 2018. gada 18. janvārī), kas paredz Ministru kabinetam izdot noteikumus par nosacījumiem un kārtību, kādā publiska persona iznomā zemi zemes dzīļu izmantošanai, pagarina noslēgtos nomas līgumus, kā arī zemes nomas maksas aprēķināšanas kārtību.</w:t>
            </w:r>
          </w:p>
          <w:p w14:paraId="03D7512D" w14:textId="77777777" w:rsidR="009246FE" w:rsidRDefault="00C30A1A">
            <w:pPr>
              <w:pStyle w:val="ListParagraph"/>
              <w:numPr>
                <w:ilvl w:val="0"/>
                <w:numId w:val="2"/>
              </w:numPr>
              <w:spacing w:after="120" w:line="240" w:lineRule="auto"/>
              <w:ind w:left="357" w:hanging="357"/>
              <w:jc w:val="both"/>
              <w:rPr>
                <w:rFonts w:ascii="Times New Roman" w:hAnsi="Times New Roman"/>
                <w:sz w:val="24"/>
                <w:szCs w:val="24"/>
              </w:rPr>
            </w:pPr>
            <w:r>
              <w:rPr>
                <w:rFonts w:ascii="Times New Roman" w:hAnsi="Times New Roman"/>
                <w:sz w:val="24"/>
                <w:szCs w:val="24"/>
              </w:rPr>
              <w:t>Ministru prezidenta 2018. gada 15. janvāra rezolūcija Nr. 12/2018-JUR-9, kurā uzdots līdz 2018. gada 30. novembrim sagatavot un noteiktā kārtībā iesniegt Ministru kabinetā likuma “Par zemes dzīlēm”(2017. gada 21. decembra likuma “Grozījumi likumā “Par zemes dzīlēm”” redakcijā) 8. panta otrās daļas 4. punktā minēto tiesību akta projektu, attiecīgi nodrošinot pārejas noteikumu 23. punktā Ministru kabinetam dotā uzdevuma izpildi.</w:t>
            </w:r>
          </w:p>
        </w:tc>
      </w:tr>
      <w:tr w:rsidR="009246FE" w14:paraId="5317F9C4" w14:textId="77777777" w:rsidTr="72C1736D">
        <w:tc>
          <w:tcPr>
            <w:tcW w:w="58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47886996"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39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2FA77D32"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2A3D3EC" w14:textId="77777777" w:rsidR="009246FE" w:rsidRDefault="009246FE">
            <w:pPr>
              <w:rPr>
                <w:rFonts w:ascii="Times New Roman" w:eastAsia="Times New Roman" w:hAnsi="Times New Roman" w:cs="Times New Roman"/>
                <w:sz w:val="24"/>
                <w:szCs w:val="24"/>
                <w:lang w:eastAsia="lv-LV"/>
              </w:rPr>
            </w:pPr>
          </w:p>
          <w:p w14:paraId="0D0B940D" w14:textId="77777777" w:rsidR="009246FE" w:rsidRDefault="009246FE">
            <w:pPr>
              <w:jc w:val="center"/>
              <w:rPr>
                <w:rFonts w:ascii="Times New Roman" w:eastAsia="Times New Roman" w:hAnsi="Times New Roman" w:cs="Times New Roman"/>
                <w:sz w:val="24"/>
                <w:szCs w:val="24"/>
                <w:lang w:eastAsia="lv-LV"/>
              </w:rPr>
            </w:pPr>
          </w:p>
          <w:p w14:paraId="0E27B00A" w14:textId="77777777" w:rsidR="009246FE" w:rsidRDefault="009246FE">
            <w:pPr>
              <w:rPr>
                <w:rFonts w:ascii="Times New Roman" w:eastAsia="Times New Roman" w:hAnsi="Times New Roman" w:cs="Times New Roman"/>
                <w:sz w:val="24"/>
                <w:szCs w:val="24"/>
                <w:lang w:eastAsia="lv-LV"/>
              </w:rPr>
            </w:pPr>
          </w:p>
        </w:tc>
        <w:tc>
          <w:tcPr>
            <w:tcW w:w="609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60671A0B" w14:textId="77777777" w:rsidR="009246FE" w:rsidRDefault="00C30A1A">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Pašreizējā situācija un problēmas</w:t>
            </w:r>
          </w:p>
          <w:p w14:paraId="1B2EA336" w14:textId="77777777" w:rsidR="009246FE" w:rsidRDefault="00C30A1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Pašlaik Ministru kabineta 2011. gada 6. septembra noteikumu Nr. 696 “Zemes dzīļu izmantošanas licenču un bieži sastopamo derīgo izrakteņu ieguves atļauju izsniegšanas kārtība” (turpmāk – MKN 696) V. nodaļa regulē kārtību, ja valsts vai pašvaldības īpašumā esošā vai valstij vai pašvaldībai piekrītošā zemes vienībā paredzēts iegūt derīgos izrakteņus, ja platība, kurā paredzēts iegūt kūdru ir lielāka par 150 ha, bet pārējiem derīgiem izrakteņiem – lielāka par 25 ha. Šādā gadījumā zemes īpašniekam vai tiesiskajam valdītājam ir jārīko konkurss vai izsole par zemes nomas tiesībām un licences vai atļaujas saņemšanu derīgo izrakteņu ieguvei (izņemot  pazemes ūdeņus). MKN 696 ir noteikta kārtība, kādā tiek rīkots konkurss vai izsole – kā tiek izstrādāts konkursa nolikums un izveidota konkursa komisija, kā tiek publicēts uzaicinājums </w:t>
            </w:r>
            <w:r>
              <w:rPr>
                <w:rFonts w:ascii="Times New Roman" w:hAnsi="Times New Roman" w:cs="Times New Roman"/>
                <w:sz w:val="24"/>
                <w:szCs w:val="24"/>
              </w:rPr>
              <w:lastRenderedPageBreak/>
              <w:t>piedalīties konkursā vai izsolē, kā tiek vērtēti pretendenti un kā tiek noteikts konkursa vai izsoles uzvarētājs.</w:t>
            </w:r>
          </w:p>
          <w:p w14:paraId="1D88BA47" w14:textId="77777777" w:rsidR="009246FE" w:rsidRDefault="00C30A1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Valsts vides dienests informāciju par izsniegtajām</w:t>
            </w:r>
            <w:r>
              <w:rPr>
                <w:rStyle w:val="Vresenkurs"/>
                <w:rFonts w:ascii="Times New Roman" w:hAnsi="Times New Roman" w:cs="Times New Roman"/>
                <w:sz w:val="24"/>
                <w:szCs w:val="24"/>
              </w:rPr>
              <w:footnoteReference w:id="1"/>
            </w:r>
            <w:r>
              <w:rPr>
                <w:rFonts w:ascii="Times New Roman" w:hAnsi="Times New Roman" w:cs="Times New Roman"/>
                <w:sz w:val="24"/>
                <w:szCs w:val="24"/>
              </w:rPr>
              <w:t xml:space="preserve"> un atceltajām</w:t>
            </w:r>
            <w:r>
              <w:rPr>
                <w:rStyle w:val="Vresenkurs"/>
                <w:rFonts w:ascii="Times New Roman" w:hAnsi="Times New Roman" w:cs="Times New Roman"/>
                <w:sz w:val="24"/>
                <w:szCs w:val="24"/>
              </w:rPr>
              <w:footnoteReference w:id="2"/>
            </w:r>
            <w:r>
              <w:rPr>
                <w:rFonts w:ascii="Times New Roman" w:hAnsi="Times New Roman" w:cs="Times New Roman"/>
                <w:sz w:val="24"/>
                <w:szCs w:val="24"/>
              </w:rPr>
              <w:t xml:space="preserve"> zemes dzīļu izmantošanas licencēm publicē savā tīmekļvietnē. Savukārt, katra pašvaldība, kura izsniedz bieži sastopamo derīgo izrakteņu ieguves atļauju, informāciju par to publicē savā tīmekļvietnē un noteiktā kārtībā informē Valsts vides dienestu par izsniegtajām un anulētajām atļaujām.</w:t>
            </w:r>
          </w:p>
          <w:p w14:paraId="68401DB7" w14:textId="77777777" w:rsidR="009246FE" w:rsidRDefault="00C30A1A">
            <w:pPr>
              <w:spacing w:after="120" w:line="240" w:lineRule="auto"/>
              <w:ind w:firstLine="720"/>
              <w:jc w:val="both"/>
              <w:rPr>
                <w:rFonts w:ascii="Times New Roman" w:hAnsi="Times New Roman" w:cs="Times New Roman"/>
                <w:sz w:val="24"/>
                <w:szCs w:val="24"/>
                <w:highlight w:val="white"/>
              </w:rPr>
            </w:pPr>
            <w:r w:rsidRPr="00164B85">
              <w:rPr>
                <w:rFonts w:ascii="Times New Roman" w:eastAsia="Times New Roman" w:hAnsi="Times New Roman" w:cs="Times New Roman"/>
                <w:sz w:val="24"/>
                <w:szCs w:val="24"/>
                <w:lang w:eastAsia="lv-LV"/>
              </w:rPr>
              <w:t>Nomas maksas aprēķināšanas kārtību, ja publiska persona iznomā zemesgabalu zemes dzīļu izmantošanai,</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regulē Ministru kabineta 2018. gada 19. jūnija noteikumi Nr. 350 “Publiskas personas zemes nomas un apbūves tiesības noteikumi” (turpmāk – MKN 350), kuru 5. sadaļā noteikta publiskas personas zemesgabala iznomāšanas kārtība zemes dzīļu izmantošanai.</w:t>
            </w:r>
          </w:p>
          <w:p w14:paraId="3391FDFE" w14:textId="77777777" w:rsidR="009246FE" w:rsidRDefault="00C30A1A">
            <w:pPr>
              <w:spacing w:after="120" w:line="24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Veicot Latvijas novadu pašvaldību (kopā 74 novadu pašvaldības) aptauju, 2017. gadā secināts, ka zeme zemes dzīļu izmantošanai tiek iznomāta 43 % pašvaldību, savukārt, 57 % pašvaldību sniedza informāciju, ka pašvaldības zeme zemes dzīļu izmantošanai iznomāta netiek. Tāpat noskaidrota informācija par novadu pašvaldību īpašumā esošas zemes nomas maksu zemes dzīļu izmantošanai, kas ir atšķirīga gan pēc platības, gan pēc nosacījumiem, ar kādiem zeme tiek iznomāta. Konstatēts, ka nomas maksa par vienu hektāru atšķiras, tāpat katrā pašvaldībā ir arī dažādi citi nosacījumi vai maksājumi par derīgo izrakteņu ieguvi gan atkarībā no derīgā izrakteņa veida, gan citiem faktoriem. Esošie nosacījumi ir, piemēram, noteikta summa no zemes kadastrālās vērtības, fiksēts maksājums gadā, noteikta summa par iegūto derīgo izrakteņu apjomu u.c.</w:t>
            </w:r>
          </w:p>
          <w:p w14:paraId="64597B5F" w14:textId="77777777" w:rsidR="009246FE" w:rsidRDefault="00C30A1A">
            <w:pPr>
              <w:spacing w:after="120" w:line="24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Nomas maksas apmērs derīgā izrakteņa veidiem smilts, smilts – grants, grants un smilts – grants un smilts vērtēts kopīgi, ņemot vērā atšķirīgo pieeju, kāda izmantota, dažādos laika posmos nosakot konkrētu derīgā izrakteņa nosaukumu (turpmāk – smilts – grants un smilts). Konstatēts, ka pašvaldību zeme smilts – grants un smilts ieguvei tiek iznomāta platībā no 1,68 līdz 51,36 ha. Nomas maksa par vienu hektāru ir robežās no 2,13 līdz 1024,47 EUR/ha. Savukārt, ja nomas maksa tiek aprēķināta no kadastrālās vērtības, tā ir robežās no 0,5 līdz 10 %. Atsevišķos gadījumos papildus ir noteikta arī konkrēta maksa par vienu kubikmetru iegūtā vai izvestā derīgā izrakteņa (0,60 – 2,13 EUR/m</w:t>
            </w:r>
            <w:r>
              <w:rPr>
                <w:rFonts w:ascii="Times New Roman" w:hAnsi="Times New Roman" w:cs="Times New Roman"/>
                <w:sz w:val="24"/>
                <w:szCs w:val="24"/>
                <w:shd w:val="clear" w:color="auto" w:fill="FFFFFF"/>
                <w:vertAlign w:val="superscript"/>
              </w:rPr>
              <w:t>3</w:t>
            </w:r>
            <w:r>
              <w:rPr>
                <w:rFonts w:ascii="Times New Roman" w:hAnsi="Times New Roman" w:cs="Times New Roman"/>
                <w:sz w:val="24"/>
                <w:szCs w:val="24"/>
                <w:shd w:val="clear" w:color="auto" w:fill="FFFFFF"/>
              </w:rPr>
              <w:t>).</w:t>
            </w:r>
          </w:p>
          <w:p w14:paraId="680D59CD" w14:textId="77777777" w:rsidR="009246FE" w:rsidRDefault="00C30A1A">
            <w:pPr>
              <w:spacing w:after="120" w:line="24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Pašvaldību zeme kūdras ieguvei iznomāta platībā no 80,2 līdz 613,2 ha. Nomas maksas apmērs svārstās no 10,5 līdz 1050 EUR/ha, savukārt, gadījumā, ja nomas maksa ir noteikta </w:t>
            </w:r>
            <w:r>
              <w:rPr>
                <w:rFonts w:ascii="Times New Roman" w:hAnsi="Times New Roman" w:cs="Times New Roman"/>
                <w:sz w:val="24"/>
                <w:szCs w:val="24"/>
                <w:shd w:val="clear" w:color="auto" w:fill="FFFFFF"/>
              </w:rPr>
              <w:lastRenderedPageBreak/>
              <w:t>no zemesgabala kadastrālās vērtības – tā mainās no 5 līdz 6 %. Papildus, pusē no pašvaldībām, nomniekam ir jāmaksā arī par iegūto kūdras tonnu pie nosacītā mitruma 40 %, tas ir 0,71 – 1,52 </w:t>
            </w:r>
            <w:proofErr w:type="spellStart"/>
            <w:r>
              <w:rPr>
                <w:rFonts w:ascii="Times New Roman" w:hAnsi="Times New Roman" w:cs="Times New Roman"/>
                <w:i/>
                <w:sz w:val="24"/>
                <w:szCs w:val="24"/>
                <w:shd w:val="clear" w:color="auto" w:fill="FFFFFF"/>
              </w:rPr>
              <w:t>euro</w:t>
            </w:r>
            <w:proofErr w:type="spellEnd"/>
            <w:r>
              <w:rPr>
                <w:rFonts w:ascii="Times New Roman" w:hAnsi="Times New Roman" w:cs="Times New Roman"/>
                <w:sz w:val="24"/>
                <w:szCs w:val="24"/>
                <w:shd w:val="clear" w:color="auto" w:fill="FFFFFF"/>
              </w:rPr>
              <w:t>. Atsevišķos gadījumos ir noteikta konkrēta naudas summa gadā vai arī konkrēta samaksa gadā par iznomātajā zemesgabalā esošajiem neiegūtajiem derīgajiem izrakteņiem.</w:t>
            </w:r>
          </w:p>
          <w:p w14:paraId="19F61016" w14:textId="77777777" w:rsidR="009246FE" w:rsidRDefault="00C30A1A">
            <w:pPr>
              <w:spacing w:after="120" w:line="24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Attiecībā uz dolomīta ieguvi, pašvaldības zemes iznomātas platībā no 4,11 līdz 66,65 ha. Nomas maksa noteikta 5 – 6 % apmērā no zemesgabala kadastrālās vērtības, ar papildu maksājumu 0,27 EUR/m</w:t>
            </w:r>
            <w:r>
              <w:rPr>
                <w:rFonts w:ascii="Times New Roman" w:hAnsi="Times New Roman" w:cs="Times New Roman"/>
                <w:sz w:val="24"/>
                <w:szCs w:val="24"/>
                <w:shd w:val="clear" w:color="auto" w:fill="FFFFFF"/>
                <w:vertAlign w:val="superscript"/>
              </w:rPr>
              <w:t>3</w:t>
            </w:r>
            <w:r>
              <w:rPr>
                <w:rFonts w:ascii="Times New Roman" w:hAnsi="Times New Roman" w:cs="Times New Roman"/>
                <w:sz w:val="24"/>
                <w:szCs w:val="24"/>
                <w:shd w:val="clear" w:color="auto" w:fill="FFFFFF"/>
              </w:rPr>
              <w:t xml:space="preserve"> derīgā izrakteņa.</w:t>
            </w:r>
          </w:p>
          <w:p w14:paraId="07FD43AD" w14:textId="77777777" w:rsidR="009246FE" w:rsidRDefault="00C30A1A">
            <w:pPr>
              <w:spacing w:after="120" w:line="24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Izanalizējot pieejamo informāciju, secināms, ka katras pašvaldības pieeja, nosakot nomas maksu zemes dzīļu izmantošanai, ir atšķirīga, kas pamatojams gan ar derīgā izrakteņa ieguves vietas novietojumu, gan ekonomiskajiem apsvērumiem. Tomēr nav vienota, skaidra mehānisma, pēc kura nomas maksa būtu jānosaka. </w:t>
            </w:r>
          </w:p>
          <w:p w14:paraId="49494087" w14:textId="77777777" w:rsidR="009246FE" w:rsidRDefault="00C30A1A">
            <w:pPr>
              <w:pStyle w:val="naiskr"/>
              <w:spacing w:before="0" w:after="120"/>
              <w:jc w:val="both"/>
              <w:rPr>
                <w:i/>
              </w:rPr>
            </w:pPr>
            <w:r>
              <w:rPr>
                <w:i/>
              </w:rPr>
              <w:t>Noteikumu projekta mērķis un būtība</w:t>
            </w:r>
          </w:p>
          <w:p w14:paraId="1F649A59" w14:textId="77777777" w:rsidR="009246FE" w:rsidRDefault="00C30A1A">
            <w:pPr>
              <w:pStyle w:val="naiskr"/>
              <w:spacing w:before="0" w:after="120"/>
              <w:ind w:firstLine="720"/>
              <w:jc w:val="both"/>
            </w:pPr>
            <w:r>
              <w:t>Ar noteikumu projektu paredzētās izmaiņas ir šādas:</w:t>
            </w:r>
          </w:p>
          <w:p w14:paraId="08C7E1A0" w14:textId="77777777" w:rsidR="009246FE" w:rsidRDefault="00C30A1A">
            <w:pPr>
              <w:pStyle w:val="naiskr"/>
              <w:spacing w:before="0" w:after="120"/>
              <w:ind w:left="225" w:hanging="225"/>
              <w:jc w:val="both"/>
            </w:pPr>
            <w:r>
              <w:t>1. Ir precizēts MKN 696 nosaukums, atbilstoši Latvijas Republikas normatīvajam regulējumam, tostarp nosaukumā ietverot publiskas personas zemes iznomāšanu zemes dzīļu izmantošanai. Pašreizējais nosaukums pilnībā neatspoguļo noteikumu jauno saturu – nav minēta publiskas personas zemes nomas maksas aprēķināšanas kārtība. Nomājot publiskas personas zemi zemes dzīļu izmantošanai, šim procesam jābūt skaidri reglamentētam, jo licences vai atļaujas saņemšana zemes dzīļu izmantošanai publiskas personas zemē ir neatņemama šī procesa sastāvdaļa.</w:t>
            </w:r>
          </w:p>
          <w:p w14:paraId="6035883E" w14:textId="5C5C04BF" w:rsidR="009246FE" w:rsidRDefault="00C30A1A">
            <w:pPr>
              <w:pStyle w:val="naiskr"/>
              <w:spacing w:before="0" w:after="120"/>
              <w:ind w:left="225" w:hanging="225"/>
              <w:jc w:val="both"/>
            </w:pPr>
            <w:r>
              <w:t>2. Noteikumu projekts reglamentē ne tikai nomas maksas noteikšanas kārtību, bet arī kārtību, kādā tiek iznomāts zemesgabals zemes dzīļu izmantošanai. Tādējādi noteikumu 1. punkts papildināts ar jaunu apakšpunktu. Proti, MKN 696 noteiks arī publiskai personai piederoša zemesgabala iznomāšanas un nomas maksas aprēķināšanas kārtību, ja attiecīgais zemesgabals tiek iznomāts zemes dzīļu izmantošanai, izņemot gadījumus, ja zemesgabalu iznomā pazemes ūdeņu ieguvei un ogļūdeņražu meklēšanai, izpētei un ieguvei. Jāpiebilst, ka šī kārtība attiecas uz Latvijā līdz šim raksturīgajiem iegūstamiem derīgajiem izrakteņiem, kādi minēti Ministru kabineta 2012. gada 21. augusta noteikumos Nr. 570 “Derīgo izrakteņu ieguves kārtība” (turpmāk – MKN 570) 1.</w:t>
            </w:r>
            <w:r w:rsidR="008E0BC7">
              <w:t> </w:t>
            </w:r>
            <w:r>
              <w:t xml:space="preserve">pielikumā. </w:t>
            </w:r>
            <w:r w:rsidRPr="00164B85">
              <w:t xml:space="preserve">Ar noteikumu projektā lietoto terminu “publiskas personas zemesgabala iznomātājs” ir jāsaprot persona, kurai šādas tiesības ir atļautas ar likumu vai kurai ir lietošanas tiesības. Publiskas personas nekustamā īpašuma pārvaldīšanas kontekstā ar tām ir saprotams publiskas personas zemesgabala tiesiskais valdītājs vai pārvaldītājs. Tiesiskā valdītāja statuss </w:t>
            </w:r>
            <w:r w:rsidRPr="00164B85">
              <w:lastRenderedPageBreak/>
              <w:t>uzlūkojams, ievērojot Publiskas personas finanšu līdzekļu un mantas izšķērdēšanas likuma 6.</w:t>
            </w:r>
            <w:r w:rsidRPr="00164B85">
              <w:rPr>
                <w:vertAlign w:val="superscript"/>
              </w:rPr>
              <w:t xml:space="preserve">2 </w:t>
            </w:r>
            <w:r w:rsidRPr="00164B85">
              <w:t xml:space="preserve">panta pirmajā, otrajā, trešajā un trešajā </w:t>
            </w:r>
            <w:proofErr w:type="spellStart"/>
            <w:r w:rsidRPr="00164B85">
              <w:t>prim</w:t>
            </w:r>
            <w:proofErr w:type="spellEnd"/>
            <w:r w:rsidRPr="00164B85">
              <w:t xml:space="preserve"> daļā noteikto, kā arī Ministru kabineta 2011. gada 6. decembra noteikumu Nr. 934 “Noteikumi par valsts nekustamā īpašuma pārvaldīšanas principiem un kārtību” (turpmāk – MK noteikumi Nr. 934) 5. punktā noteikto. Savukārt pārvaldītāja statuss ir atbilstošs MK noteikumu Nr. 934 8. punktā noteiktajai valsts nekustamā īpašuma pārvaldītāja </w:t>
            </w:r>
            <w:proofErr w:type="spellStart"/>
            <w:r w:rsidRPr="00164B85">
              <w:t>legāldefinīcijai</w:t>
            </w:r>
            <w:proofErr w:type="spellEnd"/>
            <w:r w:rsidRPr="00164B85">
              <w:t xml:space="preserve"> (proti,  </w:t>
            </w:r>
            <w:hyperlink r:id="rId8" w:tgtFrame="_blank">
              <w:r w:rsidRPr="00164B85">
                <w:rPr>
                  <w:rStyle w:val="ListLabel38"/>
                  <w:highlight w:val="none"/>
                </w:rPr>
                <w:t>Publiskas personas finanšu līdzekļu un mantas izšķērdēšanas novēršanas likuma</w:t>
              </w:r>
            </w:hyperlink>
            <w:r w:rsidRPr="00164B85">
              <w:t xml:space="preserve"> </w:t>
            </w:r>
            <w:hyperlink r:id="rId9" w:anchor="_blank" w:history="1">
              <w:r w:rsidRPr="00164B85">
                <w:rPr>
                  <w:rStyle w:val="ListLabel38"/>
                  <w:highlight w:val="none"/>
                </w:rPr>
                <w:t>6.</w:t>
              </w:r>
            </w:hyperlink>
            <w:r w:rsidRPr="00164B85">
              <w:rPr>
                <w:rStyle w:val="ListLabel38"/>
                <w:highlight w:val="none"/>
                <w:vertAlign w:val="superscript"/>
              </w:rPr>
              <w:t>2</w:t>
            </w:r>
            <w:r w:rsidRPr="00164B85">
              <w:rPr>
                <w:rStyle w:val="ListLabel38"/>
                <w:highlight w:val="none"/>
              </w:rPr>
              <w:t> panta</w:t>
            </w:r>
            <w:r w:rsidRPr="00164B85">
              <w:t xml:space="preserve"> otrajā daļā minētā persona – publiskas personas nekustamā īpašuma valdītāja padotībā esoša iestāde vai kapitālsabiedrība, kuras pamatdarbības veids ir nekustamā īpašuma pārvaldīšana), ievērojot to, saskaņā ar </w:t>
            </w:r>
            <w:hyperlink r:id="rId10" w:tgtFrame="_blank">
              <w:r w:rsidRPr="00164B85">
                <w:rPr>
                  <w:rStyle w:val="ListLabel38"/>
                  <w:highlight w:val="none"/>
                </w:rPr>
                <w:t>Publiskas personas finanšu līdzekļu un mantas izšķērdēšanas novēršanas likuma</w:t>
              </w:r>
            </w:hyperlink>
            <w:r w:rsidRPr="00164B85">
              <w:t> otrajā daļā noteikto Publiskas personas nekustamā īpašuma valdītājs šā īpašuma pārvaldīšanu nodrošina tieši vai pastarpināti.</w:t>
            </w:r>
          </w:p>
          <w:p w14:paraId="40DCC6AD" w14:textId="77777777" w:rsidR="009246FE" w:rsidRDefault="00C30A1A">
            <w:pPr>
              <w:pStyle w:val="naiskr"/>
              <w:spacing w:before="0" w:after="120"/>
              <w:ind w:left="225" w:hanging="225"/>
              <w:jc w:val="both"/>
            </w:pPr>
            <w:r>
              <w:t>3. Noteikumos precizēta vārda “zemesgabals” lietošana, jo šis termins tiek lietots visā noteikumu tekstā. Praksē ir situācijas, kad tiek iznomāta ne tikai viena zemes vienība, bet vairākas savstarpēji saistītas zemes vienības, kas viena ar otru robežojas, un kas pēc būtības ir viena teritorija un nomas objekts.</w:t>
            </w:r>
          </w:p>
          <w:p w14:paraId="36BBBF67" w14:textId="77777777" w:rsidR="009246FE" w:rsidRDefault="00C30A1A">
            <w:pPr>
              <w:pStyle w:val="naiskr"/>
              <w:spacing w:before="0" w:after="120"/>
              <w:ind w:left="225" w:hanging="225"/>
              <w:jc w:val="both"/>
            </w:pPr>
            <w:r>
              <w:t>4. Noteikumi papildināti ar regulējamu par personas datu apstrādi, kas ir būtiski Vispārīgās datu aizsardzības regulas kontekstā, nosakot, ka personas datus publiskas personas apstrādā un glabā atbilstoši personas datu apstrādi regulējošos normatīvajos aktos noteiktajām prasībām.</w:t>
            </w:r>
          </w:p>
          <w:p w14:paraId="39D64017" w14:textId="77777777" w:rsidR="009246FE" w:rsidRDefault="00C30A1A">
            <w:pPr>
              <w:pStyle w:val="naiskr"/>
              <w:spacing w:before="0" w:after="120"/>
              <w:ind w:left="225" w:hanging="225"/>
              <w:jc w:val="both"/>
              <w:rPr>
                <w:u w:val="single"/>
              </w:rPr>
            </w:pPr>
            <w:r>
              <w:t xml:space="preserve">5. Papildus risināts arī jautājums par kārtību, kādā iestādes publicē informāciju savā tīmekļvietnē. Ievērojot Ministru kabineta 2018. gada 25. septembra noteikumus Nr. 611  “Kārtība, kādā iestādes ievieto informāciju internetā”, šīs prasības MKN 696 kontekstā attieksies uz Valsts vides dienestu un pašvaldībām, informāciju par izsniegtajām, ierobežotajām, apturētajām vai atceltajām zemes dzīļu izmantošanas licencēm vai bieži sastopamo derīgo izrakteņu ieguves atļaujām, publicējot saskaņā ar pielikumos sniegtajām formām. </w:t>
            </w:r>
            <w:r w:rsidRPr="00164B85">
              <w:t>Tikmēr, lai veidotu vienotu pieeju, par publiskas personas zemes nomu iznomātājs var publicēt tāda paša satura informāciju (informācija par konkursu vai izsoli, rezultātiem, kā arī informāciju par nomas līguma noslēgšanu vai vienošanos par nomas līguma termiņa pagarināšanu), kāda tiek publicēta</w:t>
            </w:r>
            <w:r w:rsidRPr="00164B85">
              <w:rPr>
                <w:szCs w:val="28"/>
              </w:rPr>
              <w:t xml:space="preserve"> Valsts akciju sabiedrības “Valsts nekustamie īpašumi” tīmekļvietnē attiecīgajās sadaļās.</w:t>
            </w:r>
          </w:p>
          <w:p w14:paraId="5E3A9930" w14:textId="77777777" w:rsidR="009246FE" w:rsidRDefault="00C30A1A">
            <w:pPr>
              <w:keepNext/>
              <w:spacing w:after="120" w:line="240" w:lineRule="auto"/>
              <w:ind w:left="225" w:right="57" w:hanging="225"/>
              <w:jc w:val="both"/>
              <w:rPr>
                <w:rFonts w:ascii="Times New Roman" w:hAnsi="Times New Roman" w:cs="Times New Roman"/>
                <w:sz w:val="24"/>
                <w:szCs w:val="24"/>
              </w:rPr>
            </w:pPr>
            <w:r>
              <w:rPr>
                <w:rFonts w:ascii="Times New Roman" w:hAnsi="Times New Roman" w:cs="Times New Roman"/>
                <w:sz w:val="24"/>
                <w:szCs w:val="24"/>
              </w:rPr>
              <w:t xml:space="preserve">6. Šajos noteikumos minēts termins “sertificēts vērtētājs”, ar kuru saprot personu, kurai ir derīgs profesionālās kvalifikācijas sertifikāts nekustamā īpašuma novērtēšanai (sertificēts vērtētājs). Ministru kabineta 2014. gada </w:t>
            </w:r>
            <w:r>
              <w:rPr>
                <w:rFonts w:ascii="Times New Roman" w:hAnsi="Times New Roman" w:cs="Times New Roman"/>
                <w:sz w:val="24"/>
                <w:szCs w:val="24"/>
              </w:rPr>
              <w:lastRenderedPageBreak/>
              <w:t>23. septembra noteikumi Nr. 559 “</w:t>
            </w:r>
            <w:r>
              <w:rPr>
                <w:rFonts w:ascii="Times New Roman" w:hAnsi="Times New Roman" w:cs="Times New Roman"/>
                <w:bCs/>
                <w:sz w:val="24"/>
                <w:szCs w:val="24"/>
              </w:rPr>
              <w:t>Prasības nekustamā īpašuma vērtētāja profesionālajai kvalifikācijai un profesionālās kvalifikācijas sertifikāta izsniegšanas kārtība</w:t>
            </w:r>
            <w:r>
              <w:rPr>
                <w:rFonts w:ascii="Times New Roman" w:hAnsi="Times New Roman" w:cs="Times New Roman"/>
                <w:sz w:val="24"/>
                <w:szCs w:val="24"/>
              </w:rPr>
              <w:t>” nosaka prasības attiecībā uz izglītību, pieredzi personai, lai tā iegūtu profesionālās kvalifikācijas sertifikātu nekustamā īpašuma novērtēšanai. Novērtēšanas biroji, amatpersonas vai darbinieki ir uzskatāmi par neatkarīgiem, ja netiek pieļauta nepamatota ietekme uz viņu atzinumiem.</w:t>
            </w:r>
          </w:p>
          <w:p w14:paraId="62CE9B56" w14:textId="3F391AEF" w:rsidR="009246FE" w:rsidRDefault="72C1736D">
            <w:pPr>
              <w:pStyle w:val="naiskr"/>
              <w:spacing w:before="0" w:after="120"/>
              <w:ind w:left="225" w:hanging="225"/>
              <w:jc w:val="both"/>
            </w:pPr>
            <w:r>
              <w:t>7. MKN 696 ir papildināti ar jaunu V.</w:t>
            </w:r>
            <w:r w:rsidRPr="72C1736D">
              <w:rPr>
                <w:vertAlign w:val="superscript"/>
              </w:rPr>
              <w:t>1</w:t>
            </w:r>
            <w:r>
              <w:t> nodaļu, kas attiecas uz publiskas personas zemi un tās iznomāšanas kārtību zemes dzīļu izmantošanai.</w:t>
            </w:r>
          </w:p>
          <w:p w14:paraId="4D6F8E4D" w14:textId="47C64550" w:rsidR="009246FE" w:rsidRDefault="72C1736D">
            <w:pPr>
              <w:pStyle w:val="naiskr"/>
              <w:spacing w:before="0" w:after="120"/>
              <w:ind w:left="225" w:hanging="225"/>
              <w:jc w:val="both"/>
            </w:pPr>
            <w:r>
              <w:t>8. Noteikumos precizēta līdzšinējā kārtība attiecībā uz konkursa vai izsoles par zemes nomas tiesībām rīkošanu un licences vai atļaujas saņemšanu derīgo izrakteņu ieguvei. Noteikumi paredz divas iespējamās procedūras, kā publiska persona iznomā zemesgabalu: 1) konkursa rezultātā vai 2) konkursa ar tam sekojošas izsoles rezultātā (kā konkursa procedūras sastāvdaļa). Konkurss paredz skaidrus un konkrētus kritērijus, pēc kuriem pretendenti atlasāmi un vērtējami. Izsole notiek gadījumā, ja konkursa rezultātā noteikti vismaz divi pretendenti, kuri kvalificējas izvirzītajiem nosacījumiem.</w:t>
            </w:r>
          </w:p>
          <w:p w14:paraId="3957652D" w14:textId="77777777" w:rsidR="009246FE" w:rsidRDefault="00C30A1A">
            <w:pPr>
              <w:pStyle w:val="naiskr"/>
              <w:spacing w:before="0" w:after="120"/>
              <w:ind w:left="225" w:hanging="225"/>
              <w:jc w:val="both"/>
            </w:pPr>
            <w:r>
              <w:t>9. Noteikumu projekts paredz, ka iznomātājs, ievērojot lietderības apsvērumus, par nomas tiesībām var rīkot konkursu vai izsoli derīgo izrakteņu ieguvei arī mazākā platībā, nekā to nosaka spēkā esošie MKN 696. Šādā gadījumā tiek noteikta publicējamā informācija, pretendentu piedāvājumu iesniegšanas laiks (kas nevar būt īsāks par 10 darbdienām), kā arī pretendentu izvēles kritērijs – nomas līgumu slēdz ar pretendentu, kura piedāvājums, atbilstoši konkursa nolikumam, ir atzīts par izdevīgāko, vai kurš piedāvājis augstāko nomas maksu, ja zemesgabala nomas tiesības piešķir izsolē, kas seko konkursam. Noteikts, ka pretendentu piedāvājumu iesniegšanas termiņš nedrīkst būt īsāks par 10 darbdienām. Minimālais termiņš noteikts, jo praksē ir situācijas, kad īsā laikā nepieciešams rīkot konkursu un saņemt pretendentu piedāvājumus. Tāpat arī Publiskas personas finanšu līdzekļu un mantas izšķērdēšanas novēršanas likuma 6.</w:t>
            </w:r>
            <w:r>
              <w:rPr>
                <w:vertAlign w:val="superscript"/>
              </w:rPr>
              <w:t>4 </w:t>
            </w:r>
            <w:r>
              <w:t>panta otrās daļas 1. punktā noteikts, ka informāciju par kapitālsabiedrības iznomāšanai paredzēto nekustamo īpašumu publicē vismaz 10 darbdienas pirms līguma noslēgšanas.</w:t>
            </w:r>
          </w:p>
          <w:p w14:paraId="28EEB2BE" w14:textId="77777777" w:rsidR="009246FE" w:rsidRDefault="00C30A1A">
            <w:pPr>
              <w:pStyle w:val="naiskr"/>
              <w:spacing w:before="0" w:after="120"/>
              <w:ind w:left="225" w:hanging="225"/>
              <w:jc w:val="both"/>
            </w:pPr>
            <w:r>
              <w:t>10. Lai mazinātu korupcijas risku un risku, ka konkursa nolikuma prasības var būt noteiktas tādas, kas nepamatoti sašaurina pretendentu loku, līdzīgi Publisko iepirkumu likumā ietvertajiem iepirkumu komisijas izveides un nolikuma izstrādāšanas principiem, noteikumos noteikti  komisijas izveides un nolikuma izstrādāšanas principi un kritēriji: 1)</w:t>
            </w:r>
            <w:r w:rsidR="00636DE5">
              <w:t> </w:t>
            </w:r>
            <w:r>
              <w:t xml:space="preserve">konkursa rīkotājs izveido konkursa komisiju </w:t>
            </w:r>
            <w:r>
              <w:lastRenderedPageBreak/>
              <w:t>vismaz trīs personu sastāvā, un 2)</w:t>
            </w:r>
            <w:r w:rsidR="00636DE5">
              <w:t> </w:t>
            </w:r>
            <w:r>
              <w:t>izveidotā konkursa komisija izstrādā konkursa nolikumu. Komisijas locekļi būs uzskatāmi par valsts amatpersonām likuma “Par interešu konflikta novēršanu valsts amatpersonu darbībā” 4. panta otrās daļas izpratnē, kurām attiecīgi būs saistoši minētajā likumā noteiktie pienākumi, ierobežojumi un aizliegumi. Nolikumā iekļauj pēc iespējas detalizētāku informāciju par konkursa priekšmetu, lai potenciālajiem nomniekiem jau sākotnēji par to ir pilnīga informācija. Tajā skaitā nolikumā iekļaujama arī informācija no pašvaldības teritorijas plānojuma, kuru konkursa rīkotājs (cita publiska persona, kas nav pašvaldība) pieprasa vietējā pašvaldībā. Tāpat nolikumā iekļaujama arī informācija par izveidotās komisijas tiesībām un pienākumiem; informācija par piedāvājuma atvēršanu; prasības piedāvājuma noformējumam un iesniegšanai, kā arī vērtēšanas kritēriji un kārtība. Ja paredzēts rīkot konkursu ar tam sekojošu izsoli, nolikumā apraksta izsoles kārtību. Zemesgabala sākuma nomas maksu nosaka atbilstoši sertificēta vērtētāja noteiktai zemesgabala tirgus nomas maksai, savukārt par uzturošajām platībām (ja tādas ir noteiktas un zināmas uz konkursa nolikuma izstrādāšanas brīdi), nomas maksa tiek noteikta 1,5 % apmērā no zemesgabala kadastrālās vērtības un par tām solīšana nenotiek.</w:t>
            </w:r>
          </w:p>
          <w:p w14:paraId="7B664963" w14:textId="77777777" w:rsidR="009246FE" w:rsidRDefault="00C30A1A">
            <w:pPr>
              <w:pStyle w:val="naiskr"/>
              <w:spacing w:before="0" w:after="120"/>
              <w:ind w:left="225" w:hanging="225"/>
              <w:jc w:val="both"/>
            </w:pPr>
            <w:r>
              <w:t xml:space="preserve">11. Gadījumā, ja nomas tiesības tiek piešķirtas konkursa vai izsoles ietvaros, vai nomas maksu nosaka atbilstoši sertificēta vērtētāja noteiktajai zemesgabala tirgus nomas maksai, tiek izslēgtas ekonomiskās priekšrocības konkrētam uzņēmumam, un attiecīgi var secināt, ka pasākuma ietvaros nav sniegts valsts atbalsts un nav piemērojams valsts atbalsta regulējums. Noteikumi ir arī papildināti ar jaunu apakšpunktu, kas ietver vērtēšanas kritēriju – </w:t>
            </w:r>
            <w:r>
              <w:rPr>
                <w:szCs w:val="28"/>
              </w:rPr>
              <w:t>citus komisijas ieskatā nepieciešamos kritērijus, ņemot vērā, ka katrs gadījums ir unikāls un visi konkursa kritēriji nav viennozīmīgi nosakāmi.</w:t>
            </w:r>
          </w:p>
          <w:p w14:paraId="62C5873D" w14:textId="77777777" w:rsidR="009246FE" w:rsidRDefault="00C30A1A">
            <w:pPr>
              <w:pStyle w:val="naiskr"/>
              <w:spacing w:before="0" w:after="120"/>
              <w:ind w:left="225" w:hanging="225"/>
              <w:jc w:val="both"/>
              <w:rPr>
                <w:szCs w:val="28"/>
                <w:u w:val="single"/>
              </w:rPr>
            </w:pPr>
            <w:r>
              <w:t xml:space="preserve">12. Oficiālo publikāciju un tiesiskās informācijas likuma mērķis ir nodrošināt privātpersonu tiesības būt informētām par savām tiesībām un pienākumiem, reglamentējot tām saistošo tiesību aktu un oficiālo paziņojumu izsludināšanu, publicēšanu, spēkā esamību un pieejamību, līdz ar to oficiāli publiski pieejamā informācija tiek nodota ar oficiālā izdevuma “Latvijas Vēstnesis” starpniecību. Šāda publikācija arī skaidri nosaka atskaites punktu piedāvājuma iesniegšanas termiņam (ne mazāk kā 10 darbdienas), publikācijas termiņam par konkursa rezultātiem (10 darbdienas), kā arī publikācijas termiņam, kad attiecīgo informāciju par nomas līguma vai vienošanās par nomas līguma termiņa pagarināšanu spēkā stāšanos (10 darbdienas). Šādas izmaiņas veiktas, lai sakārtotu informācijas pieejamības jautājumu un skaidri paredzētu, ka informāciju </w:t>
            </w:r>
            <w:r>
              <w:lastRenderedPageBreak/>
              <w:t>publicē oficiālajā izdevumā “Latvijas Vēstnesis”. Saskaņā ar Administratīvā procesa likumu administratīvā akta apstrīdēšana ir saistīta ar administratīvā akta spēkā stāšanās faktu, bet spēkā stāšanās – ar brīdi, kad tas paziņots adresātam. Šādas oficiālas publikācijas mērķis ir ļaut interesentiem sekot informācijai vienuviet, veicinot caurspīdīgumu rīcībai ar publisku mantu. Ievērojot minēto, publikācijas centrālajā laikrakstā aizstātas ar publikācijām oficiālajā izdevumā “Latvijas Vēstnesis” un noteikts, ka šī publikācija ir noteicošā procesuālo termiņu skaitīšanā. Lai sekmētu juridisko noteiktību un sistemātisku pieeju ar noteikumu projektu regulētās jomas informācijas apritē, oficiālais izdevums “Latvijas Vēstnesis” noteikts kā primārā vietne konkursu informācijas izsludināšanai.</w:t>
            </w:r>
            <w:r>
              <w:rPr>
                <w:szCs w:val="28"/>
              </w:rPr>
              <w:t xml:space="preserve"> Informāciju par nomas līgumiem vai vienošanos par līguma termiņa pagarināšanu, attiecīgā publiskā persona publicē savā tīmekļvietnē (arī gadījumos, ja netiek rīkots konkurss vai izsole). </w:t>
            </w:r>
            <w:r w:rsidRPr="00164B85">
              <w:rPr>
                <w:szCs w:val="28"/>
              </w:rPr>
              <w:t>Lai informācija sasniegtu pēc iespējas lielāku sabiedrības daļu,</w:t>
            </w:r>
            <w:r>
              <w:rPr>
                <w:szCs w:val="28"/>
              </w:rPr>
              <w:t xml:space="preserve"> </w:t>
            </w:r>
            <w:r w:rsidRPr="00164B85">
              <w:rPr>
                <w:szCs w:val="28"/>
              </w:rPr>
              <w:t>publiskā persona papildus var izmantot arī citus informācijas paziņošanas veidus.</w:t>
            </w:r>
          </w:p>
          <w:p w14:paraId="23437A25" w14:textId="77777777" w:rsidR="009246FE" w:rsidRDefault="00C30A1A">
            <w:pPr>
              <w:pStyle w:val="naiskr"/>
              <w:spacing w:before="0" w:after="120"/>
              <w:ind w:left="225" w:hanging="225"/>
              <w:jc w:val="both"/>
            </w:pPr>
            <w:r>
              <w:t>13. Paredzēts, ka zemesgabals netiek iznomāts pretendentam, ja pēdējo piecu gadu laikā no pieteikuma iesniegšanas dienas iznomātājs ir vienpusēji izbeidzis ar to noslēgto līgumu par īpašuma lietošanu tāpēc, ka pretendents nav pildījis līgumā noteiktos pienākumus, vai stājies spēkā tiesas nolēmums, uz kura pamata tiek izbeigts ar iznomātāju noslēgts līgums par īpašuma lietošanu pretendenta rīcības dēļ. Papildinātā punkta redakcija arī precizē konkursa komisijas rīcību gadījumos, kad tiek konstatēts kāds no norādītajiem apstākļiem. Konkursa komisijai jau piedāvājumu vērtēšanas procesa sākuma stadijā jāpārliecinās par šādu apstākļu esamību vai neesamību.</w:t>
            </w:r>
          </w:p>
          <w:p w14:paraId="177495A6" w14:textId="77777777" w:rsidR="009246FE" w:rsidRDefault="00C30A1A">
            <w:pPr>
              <w:spacing w:line="240" w:lineRule="auto"/>
              <w:ind w:left="225" w:hanging="142"/>
              <w:jc w:val="both"/>
            </w:pPr>
            <w:r>
              <w:rPr>
                <w:rFonts w:ascii="Times New Roman" w:hAnsi="Times New Roman" w:cs="Times New Roman"/>
                <w:sz w:val="24"/>
                <w:szCs w:val="24"/>
              </w:rPr>
              <w:t>14.</w:t>
            </w:r>
            <w:r w:rsidR="005C26CB">
              <w:rPr>
                <w:rFonts w:ascii="Times New Roman" w:hAnsi="Times New Roman" w:cs="Times New Roman"/>
                <w:iCs/>
                <w:sz w:val="24"/>
                <w:szCs w:val="24"/>
              </w:rPr>
              <w:t> </w:t>
            </w:r>
            <w:r w:rsidRPr="00164B85">
              <w:rPr>
                <w:rFonts w:ascii="Times New Roman" w:hAnsi="Times New Roman" w:cs="Times New Roman"/>
                <w:iCs/>
                <w:sz w:val="24"/>
                <w:szCs w:val="24"/>
              </w:rPr>
              <w:t>Lielākajā daļā lēmumi par publiskas personas mantas iznomāšanu tiek pieņemti privāto tiesību jomā un vispārējā gadījumā šādi lēmumi nav apstrīdami un pārsūdzami Administratīvā procesa likumā noteiktajā kārtībā. Vienlaikus saskaņā ar likuma “Par zemes dzīlēm” 8. panta pirmo daļu zemes dzīles var izmantot tā persona, kas ar zemes īpašnieku vai pilnvaroto personu noslēgusi līgumu, kurā norādīts zemes dzīļu izmantošanas veids. Šis līgums ir obligāts priekšnoteikums zemes dzīļu izmantošanas licences vai bieži sastopamo derīgo izrakteņu ieguves atļaujas saņemšanai (</w:t>
            </w:r>
            <w:r w:rsidRPr="00164B85">
              <w:rPr>
                <w:rFonts w:ascii="Times New Roman" w:hAnsi="Times New Roman" w:cs="Times New Roman"/>
                <w:iCs/>
                <w:sz w:val="24"/>
                <w:szCs w:val="24"/>
                <w:shd w:val="clear" w:color="auto" w:fill="FFFFFF"/>
              </w:rPr>
              <w:t>administratīvais akts, kas tā adresātam piešķir tiesības izmantot zemes dzīles noteiktās robežās un noteiktu laiku, ievērojot atļaujas noteikumus</w:t>
            </w:r>
            <w:r w:rsidRPr="00164B85">
              <w:rPr>
                <w:rFonts w:ascii="Times New Roman" w:hAnsi="Times New Roman" w:cs="Times New Roman"/>
                <w:iCs/>
                <w:sz w:val="24"/>
                <w:szCs w:val="24"/>
              </w:rPr>
              <w:t xml:space="preserve">). Ievērojot pamatmērķi, piešķirt tiesības iegūt zemes dzīļu resursus, kā nodrošināšanai tiek noslēgts nomas līgums un attiecībā uz nomnieku izdots administratīvais akts, t. i., piešķirta zemes dzīļu izmantošanas licence vai bieži sastopamo derīgo izrakteņu atļauja, saglabājot jau esošajā regulējumā noteikto </w:t>
            </w:r>
            <w:r w:rsidRPr="00164B85">
              <w:rPr>
                <w:rFonts w:ascii="Times New Roman" w:hAnsi="Times New Roman" w:cs="Times New Roman"/>
                <w:iCs/>
                <w:sz w:val="24"/>
                <w:szCs w:val="24"/>
              </w:rPr>
              <w:lastRenderedPageBreak/>
              <w:t>kārtību, paredzēts, ka iznomātāja lēmumu par konkursa vai izsoles rezultātiem var apstrīdēt un pārsūdzēt Administratīvā procesa likumā noteiktajā kārtībā.</w:t>
            </w:r>
          </w:p>
          <w:p w14:paraId="6B1A76BC" w14:textId="77777777" w:rsidR="009246FE" w:rsidRDefault="00C30A1A">
            <w:pPr>
              <w:pStyle w:val="naiskr"/>
              <w:spacing w:before="0" w:after="120"/>
              <w:ind w:left="225" w:hanging="225"/>
              <w:jc w:val="both"/>
            </w:pPr>
            <w:r>
              <w:t>15. Noteikumi papildināti ar punktu, kādos gadījumos zemesgabalu neiznomā pretendentam, lai neveidotos situācijas, kad tam jau ir nenokārtotas maksājuma saistības pret konkursa rīkotāju par cita zemesgabala izmantošanu un tajā pašā laikā tiek noslēgts jauns zemes nomas līgums.</w:t>
            </w:r>
          </w:p>
          <w:p w14:paraId="2C6BCB70" w14:textId="77777777" w:rsidR="009246FE" w:rsidRDefault="00C30A1A">
            <w:pPr>
              <w:pStyle w:val="naiskr"/>
              <w:spacing w:before="0" w:after="120"/>
              <w:ind w:left="225" w:hanging="225"/>
              <w:jc w:val="both"/>
            </w:pPr>
            <w:r>
              <w:t>16. Zemesgabala, kas tiek iznomāts zemes dzīļu izmantošanai, nomas maksu nosaka atbilstoši sertificēta vērtētāja noteiktajai zemesgabala tirgus nomas maksai.  Pie tam, ja zemesgabalā ietilpst vairākas zemes vienības, tad, ņemot vērā to, ka nomas objekts ir viss zemesgabals, tad nomas maksu nosaka atbilstoši to kopējai tirgus nomas maksai kā vienam nomas objektam. Ja zemesgabals tiek iznomāts, rīkojot konkursu vai izsoli, šī noteiktā nomas maksa ir arī konkursa vai izsoles sākuma nomas maksa. Tiek paredzēts, ka nomnieks kompensē iznomātājam pieaicinātā sertificētā vērtētāja atlīdzības summu.</w:t>
            </w:r>
          </w:p>
          <w:p w14:paraId="6AC08B61" w14:textId="77777777" w:rsidR="009246FE" w:rsidRDefault="00C30A1A">
            <w:pPr>
              <w:pStyle w:val="naiskr"/>
              <w:spacing w:before="0" w:after="120"/>
              <w:ind w:left="225" w:hanging="225"/>
              <w:jc w:val="both"/>
            </w:pPr>
            <w:r>
              <w:t xml:space="preserve">17. Lai uzsāktu derīgo izrakteņu ieguvi, ieguvējam ir jāievēro normatīvajos aktos par zemes dzīļu izmantošanu un vides aizsardzību noteiktā kārtība, piemēram, jāveic ietekmes uz vidi novērtējums. Kamēr ietekmes uz vidi novērtējuma process nav pabeigts, derīgo izrakteņu ieguvi veikt nedrīkst un faktiski zemesgabals nevar tikt izmantots paredzētajam mērķim – derīgo izrakteņu ieguvei. Līdz ar to, </w:t>
            </w:r>
            <w:r w:rsidRPr="00164B85">
              <w:t>saglabājot līdzšinējo praksi</w:t>
            </w:r>
            <w:r>
              <w:t>, n</w:t>
            </w:r>
            <w:r>
              <w:rPr>
                <w:shd w:val="clear" w:color="auto" w:fill="FFFFFF"/>
              </w:rPr>
              <w:t xml:space="preserve">oteikumu projektā noteikts, ka </w:t>
            </w:r>
            <w:r>
              <w:t xml:space="preserve">līdz dienai, kad nomniekam tiek izsniegta zemes dzīļu izmantošanas licence vai </w:t>
            </w:r>
            <w:r>
              <w:rPr>
                <w:bCs/>
              </w:rPr>
              <w:t>bieži sastopamo derīgo izrakteņu ieguves atļauja derīgo izrakteņu ieguvei</w:t>
            </w:r>
            <w:r>
              <w:t xml:space="preserve">, nomas maksa gadā ir 1,5 % apmērā no zemesgabala kadastrālās vērtības. </w:t>
            </w:r>
            <w:r w:rsidRPr="00164B85">
              <w:t xml:space="preserve">Saglabājot līdzšinējo praksi, nomas maksa 1,5 % apmērā no zemesgabala kadastrālās vērtības ir nosakāma arī uzturošajām platībām, </w:t>
            </w:r>
            <w:r w:rsidRPr="00164B85">
              <w:rPr>
                <w:lang w:eastAsia="en-GB"/>
              </w:rPr>
              <w:t xml:space="preserve">kuras ir funkcionāli saistītas ar zemes dzīļu resursu ieguves teritoriju, bet kurās nav iespējama vai nav atļauta to ieguve, un </w:t>
            </w:r>
            <w:r w:rsidRPr="00164B85">
              <w:t>kuras pilnībā tiek izslēgtas no saimnieciskās darbības.</w:t>
            </w:r>
            <w:r>
              <w:t xml:space="preserve"> Uzturošajā </w:t>
            </w:r>
            <w:r>
              <w:rPr>
                <w:lang w:eastAsia="en-GB"/>
              </w:rPr>
              <w:t>p</w:t>
            </w:r>
            <w:r>
              <w:t xml:space="preserve">latībā var ietilpt, piemēram, zemes zem meža infrastruktūras objektiem (meža autoceļi, brauktuves, ceļa servitūta platības) un meliorācijas sistēmām, ūdens ņemšanas un ieguves vietas, platības, kurās tiek īstenots vides monitorings vai ietekmi uz vidi mazinošie vai kompensējošie pasākumi. Piemēram, ietekmes uz vidi novērtējuma rezultātā tiek noteikts, ka ap kūdras ieguves vietu ir jāuztur josla, kurā kūdra tiek sablīvēta, lai novērstu gruntsūdeņu līmeņa izmaiņas neskartajā purva teritorijā. Šāda josla var būt, piemēram, 20 m plata. Tāpat pie uzturošajām platībām pieskaitāmas platības, kurās saskaņā ar kūdras ieguves vietas un meža objektu ugunsdrošības preventīvo pasākumu plānu izveidotas, lai samazinātu ugunsgrēku izcelšanās iespējas </w:t>
            </w:r>
            <w:r>
              <w:lastRenderedPageBreak/>
              <w:t xml:space="preserve">meža objektos. Visās minētajās platībās kūdras ieguve nav atļauta un tās apjoms nav nosakāms pirms izsoles un ietekmes uz videi novērtējuma veikšanas. Vienlaikus iznomātajos zemes gabalos atbilstoši normatīvo aktu prasībām un saskaņā ar projektu tiek veikta ieguves vietu rekultivācija. </w:t>
            </w:r>
            <w:proofErr w:type="spellStart"/>
            <w:r>
              <w:rPr>
                <w:lang w:eastAsia="en-GB"/>
              </w:rPr>
              <w:t>Rekultivējamā</w:t>
            </w:r>
            <w:proofErr w:type="spellEnd"/>
            <w:r>
              <w:rPr>
                <w:lang w:eastAsia="en-GB"/>
              </w:rPr>
              <w:t xml:space="preserve"> platība ir zemes nomas teritorija vai tās daļa, kurā ir pabeigta vai pārtraukta derīgo izrakteņu ieguve, un tajā tiek īstenoti rekultivācijas pasākumi atbilstoši spēkā esošajiem derīgo izrakteņu ieguves projekta nosacījumiem. </w:t>
            </w:r>
            <w:r>
              <w:t>Teritoriju, kurā ieguve tiks veikta, uzmēra sertificēts mērnieks un par to visā ieguves laikā maksājama pilna nomas maksa. Šādu praksi īsteno Akciju sabiedrība “Latvijas valsts meži”, nododot nomā zemes īpašumus derīgo izrakteņu ieguvei. Nomas tiesību pretendents, iesniedzot savu piedāvājumu konkursā vai izsolē, piedāvā vai sola savu cenu par to zemesgabalu, kura iznomāšanas mērķis ir derīgā izrakteņa ieguve. Ja konkursa nolikumā ir noteikts, ka iznomāta tiek arī uzturošā platība, nomas maksas apmērs par to tiek noteikts 1,5 % apmērā no zemesgabala kadastrālās vērtības. Par uzturošo platību solīšana nenotiek. Papildus jāņem vērā, ka šis nosacījums ir spēkā tikai gadījumos, ja uzturošā platība ir zināma uz konkursa norises brīdi. Jāatzīmē, ka minētais attiecas tikai uz gadījumiem, kad iznomātajā zemesgabalā plānota tieši derīgo izrakteņu ieguve (Latvijā tradicionāli iegūstamie derīgie izrakteņi), nevis, piemēram, derīgo izrakteņu izpēte, kas kā tāda jau tiek kvalificēta kā saimnieciskā darbība (piemēram, izpētes kompānijas veic izpēti, kuras rezultāti tiek pārdoti tirgū derīgo izrakteņu ieguves kompānijām). Lai ar izpēti saprastu tikai neekonomiska rakstura darbības, tām jābūt īstenotam saskaņā ar Eiropas Komisijas paziņojuma “Nostādnes par valsts atbalstu pētniecībai, izstrādei un inovācijai” (Eiropas Savienības Oficiālais Vēstnesis, 2014. gada 27. jūnijs, Nr. C 198/1) 19. punkta a) apakšpunkta (</w:t>
            </w:r>
            <w:r>
              <w:rPr>
                <w:i/>
              </w:rPr>
              <w:t>pētniecības organizāciju un pētniecības infrastruktūru pamatdarbības</w:t>
            </w:r>
            <w:r>
              <w:t>) un 32. punkta (</w:t>
            </w:r>
            <w:r>
              <w:rPr>
                <w:i/>
              </w:rPr>
              <w:t>kamēr atklāta konkursa procedūra attiecībā uz publisko iepirkumu tiek veikta saskaņā ar piemērojamām direktīvām, uzskatāms, ka uzņēmumiem, kuri sniedz attiecīgos pakalpojumus, nav piešķirts valsts atbalsts</w:t>
            </w:r>
            <w:r>
              <w:t xml:space="preserve">) nosacījumiem. Jāpiebilst, ka Latvijā šobrīd derīgo izrakteņu ģeoloģiskā izpēte netiek veikta, lai rezultātus pēc tam pārdotu brīvajā tirgū (kā tas ir, piemēram, Kanādā, kur darbojas cits regulējums attiecībā uz derīgo izrakteņu izpēti un ieguvi). Latvijā ģeoloģiskā izpēte vienmēr tiek pasūtīta, lai sagatavotos derīgo izrakteņu ieguvei un to </w:t>
            </w:r>
            <w:proofErr w:type="spellStart"/>
            <w:r>
              <w:t>pasūta</w:t>
            </w:r>
            <w:proofErr w:type="spellEnd"/>
            <w:r>
              <w:t xml:space="preserve"> zemes īpašnieks vai konkrētais komersants, kurš veiks ieguvi.</w:t>
            </w:r>
          </w:p>
          <w:p w14:paraId="7D7819A6" w14:textId="77777777" w:rsidR="009246FE" w:rsidRDefault="00C30A1A">
            <w:pPr>
              <w:pStyle w:val="naiskr"/>
              <w:spacing w:before="0" w:after="120"/>
              <w:ind w:left="225" w:hanging="225"/>
              <w:jc w:val="both"/>
            </w:pPr>
            <w:r>
              <w:t>18. Noteikts, ka minimālā zemesgabala nomas maksa ir 6 % apmērā no zemesgabala kadastrālās vērtības. Tie ir arī Civillikuma 1765. pantā noteiktie likumiskie procenti par sveša kapitāla lietošanu.</w:t>
            </w:r>
            <w:r>
              <w:rPr>
                <w:b/>
              </w:rPr>
              <w:t xml:space="preserve"> </w:t>
            </w:r>
            <w:r>
              <w:t xml:space="preserve">Šāda nomas maksa jāpiemēro gadījumos, kad sertificēts vērtētājs noteicis tirgus nomas </w:t>
            </w:r>
            <w:r>
              <w:lastRenderedPageBreak/>
              <w:t>maksu, kas ir zemāka par 6 % no zemesgabala kadastrālās vērtības. Praksē tas atbilst apmēram 40 līdz 60 </w:t>
            </w:r>
            <w:proofErr w:type="spellStart"/>
            <w:r>
              <w:rPr>
                <w:i/>
              </w:rPr>
              <w:t>euro</w:t>
            </w:r>
            <w:proofErr w:type="spellEnd"/>
            <w:r>
              <w:t xml:space="preserve"> par 1 ha.</w:t>
            </w:r>
          </w:p>
          <w:p w14:paraId="416472E7" w14:textId="77777777" w:rsidR="009246FE" w:rsidRDefault="00C30A1A">
            <w:pPr>
              <w:pStyle w:val="naiskr"/>
              <w:spacing w:before="0" w:after="120"/>
              <w:ind w:left="225" w:hanging="225"/>
              <w:jc w:val="both"/>
              <w:rPr>
                <w:u w:val="single"/>
              </w:rPr>
            </w:pPr>
            <w:r>
              <w:t xml:space="preserve">19. Noteikumi papildināti ar nomas līguma tipveida nosacījumiem. Ietverti nosacījumi, kas jāiekļauj līgumā, tādējādi visiem nomniekiem paredzot vienlīdzīgas pozīcijas attiecībā uz gadījumiem, kad nomas maksa paaugstināma vai pazemināma un citiem apstākļiem. Ņemot vērā apstākli, ka šobrīd derīgo izrakteņu ieguves vietas rekultivācija normatīvajos aktos ir noregulēta tikai vispārīgi, ir lietderīgi regulējumu ietvert zemes nomas līgumos, tādējādi mazinot risku, ka zemesgabals pēc ieguves pabeigšanas dažādu apstākļu dēļ (nomnieks beidzis savu saimniecisko darbību, nav finanšu līdzekļu rekultivācijas realizācijai u.c.) netiek </w:t>
            </w:r>
            <w:proofErr w:type="spellStart"/>
            <w:r>
              <w:t>rekultivēts</w:t>
            </w:r>
            <w:proofErr w:type="spellEnd"/>
            <w:r>
              <w:t xml:space="preserve"> un tiek atzīts par degradētu teritoriju Zemes pārvaldības likuma izpratnē. Nomas līgumā norāda arī nomas maksas un citu saistīto maksājumu apmēru, kas iekļauj arī sertificēta vērtētāja atlīdzības summu, ko nomnieks kompensē.</w:t>
            </w:r>
          </w:p>
          <w:p w14:paraId="6E755289" w14:textId="7A2119FE" w:rsidR="009246FE" w:rsidRDefault="72C1736D">
            <w:pPr>
              <w:pStyle w:val="naiskr"/>
              <w:spacing w:before="0" w:after="120"/>
              <w:ind w:left="225" w:hanging="225"/>
              <w:jc w:val="both"/>
            </w:pPr>
            <w:r>
              <w:t>20. Noteikumi nosaka gadījumus, kad nomas maksu palielina, piemērojot koeficientu 1,5 līdz laikam, kad tiek novērsti nomnieka darbības rezultātā iestājušies apstākļi. Veicinot nomnieka aktivitāti, noteikts, ka nomniekam likumā noteiktajā termiņā no licences vai atļaujas izsniegšanas dienas jāuzsāk zemes dzīļu izmantošana, atbilstoši izsniegtajā licencē vai atļaujā norādītajam. Tāpat arī nav pieļaujams, ka uz publiskai personai piederoša zemesgabala ir nelikumīga apbūve un zemesgabals tiek izmantos pretēji tā izmantošanas mērķim. Tādējādi punkts papildināts, lai neveidotos situācijas, kad nomnieks apbūvē publiskai personai piederošu zemesgabalu, ja šādas tiesības nomnieka līgumā  nav piešķirtas un ar iznomātāju šāda būvniecība nav saskaņota. Norādītais koeficients piemērojams uz laiku līdz pārkāpuma novēršanai un situāciju regulē atbilstoši būvniecības normatīvajiem aktiem.</w:t>
            </w:r>
          </w:p>
          <w:p w14:paraId="1E686952" w14:textId="77777777" w:rsidR="009246FE" w:rsidRDefault="00C30A1A" w:rsidP="009201B2">
            <w:pPr>
              <w:pStyle w:val="naiskr"/>
              <w:spacing w:before="120" w:after="0"/>
              <w:ind w:left="227" w:hanging="227"/>
              <w:jc w:val="both"/>
              <w:rPr>
                <w:highlight w:val="lightGray"/>
              </w:rPr>
            </w:pPr>
            <w:r>
              <w:t xml:space="preserve">21. Noteikumi papildināti ar nomnieka tiesībām zemesgabalā </w:t>
            </w:r>
            <w:r w:rsidRPr="00164B85">
              <w:t>būvēt</w:t>
            </w:r>
            <w:r>
              <w:t xml:space="preserve"> </w:t>
            </w:r>
            <w:r w:rsidRPr="00164B85">
              <w:t>nedzīvojamās ēkas un inženierbūves</w:t>
            </w:r>
            <w:r>
              <w:t xml:space="preserve">, kas nepieciešamas zemesgabala izmantošanai nomas līgumā noteiktajam mērķim un  pienākums tās uzturēt visā nomas līguma darbības laikā. Tas nepieciešams, jo praksē konstatētas situācijas, kad  nomniekam, plānojot iznomātajā zemesgabalā </w:t>
            </w:r>
            <w:r w:rsidRPr="00164B85">
              <w:t>būvēt nedzīvojamās</w:t>
            </w:r>
            <w:r>
              <w:t xml:space="preserve"> </w:t>
            </w:r>
            <w:r w:rsidRPr="00164B85">
              <w:t>ēkas un inženierbūves</w:t>
            </w:r>
            <w:r>
              <w:t>, kuras nepieciešamas, lai zemesgabalu varētu izmantot atbilstoši iznomāšanas mērķim – derīgā izrakteņa (</w:t>
            </w:r>
            <w:r w:rsidRPr="00164B85">
              <w:t>piemēram,</w:t>
            </w:r>
            <w:r>
              <w:t xml:space="preserve"> kūdras) ieguvei, kompetentās institūcijas ir atteikušas saskaņot būvniecības dokumentāciju, kā pamatojumu minot to, ka starp pusēm nav noslēgts apbūves tiesības līgums, neņemot vērā apstākli, ka iznomāšanas mērķis nav apbūves tiesība, bet gan zemes dzīļu izmantošana. </w:t>
            </w:r>
            <w:r w:rsidRPr="00164B85">
              <w:t xml:space="preserve">Uzsākot jaunas vai agrāk ierīkotas derīgo izrakteņu ieguves vietas ekspluatāciju, rodas nepieciešamība </w:t>
            </w:r>
            <w:r w:rsidRPr="00164B85">
              <w:lastRenderedPageBreak/>
              <w:t xml:space="preserve">būvēt atsevišķas nedzīvojamas ēkas (piemēram, angārus, konteinerus) vai inženierbūves (piemēram, nosusināšanas sistēmas), kas nepieciešamas derīgo izrakteņu ieguves procesu realizācijas nodrošināšanai – derīgo izrakteņu ieguves tehnikas un iekārtu novietošanai, ugunsdzēsībai paredzētā aprīkojuma (ugunsdzēsības aparātu, šļūteņu, sūkņu u.c.) uzglabāšanai, darbinieku sadzīves telpām (ģērbtuves, atpūtas telpas), pārvietojamo elektrostaciju izvietošanai. </w:t>
            </w:r>
            <w:r>
              <w:t xml:space="preserve">Šādai tiesībai ir nepieciešams rakstveida saskaņojums, ja tā nav minēta nomas līgumā par zemesgabala izmantošanu. Vienlaikus noteikts, ka </w:t>
            </w:r>
            <w:r w:rsidRPr="00164B85">
              <w:t>nomniekam ir pienākums nedzīvojamās ēkas un inženierbūves nojaukt iznomātāja norādītajā termiņā, ja līgumslēdzēju puses nevienojas citādi</w:t>
            </w:r>
            <w:r>
              <w:t>.</w:t>
            </w:r>
            <w:r w:rsidRPr="00164B85">
              <w:t xml:space="preserve"> </w:t>
            </w:r>
            <w:r>
              <w:t>Ja netiek piemērota apbūves tiesība, visas uz iznomātā zemesgabala uzbūvētās būves uzskatāmas par zemesgabala daļu.</w:t>
            </w:r>
          </w:p>
          <w:p w14:paraId="2DC612B8" w14:textId="14E8B3D5" w:rsidR="009246FE" w:rsidRDefault="72C1736D" w:rsidP="009201B2">
            <w:pPr>
              <w:pStyle w:val="naiskr"/>
              <w:spacing w:before="120" w:after="0"/>
              <w:ind w:left="227" w:hanging="227"/>
              <w:jc w:val="both"/>
            </w:pPr>
            <w:r>
              <w:t>22. Noteikumu projektā precizēti gadījumi, kad paredzēta nomas maksas pārskatīšana un tās kārtība. Paredzēts, ka  iznomātājam ir tiesības nomas līguma darbības laikā, pamatojoties uz nomnieka ierosinājumu, pārskatīt un mainīt nomas maksu visos gadījumos, kad atbilstoši MKN 570 34. punktam tiek akceptēti derīgo izrakteņu krājumi, ņemot vērā, ka derīgo izrakteņu krājumu akceptēšanas ietvaros var tikt konstatēti apstākļi nomas maksas pārskatīšanas pamatojumam, piemēram, samazinājusies rūpnieciski iegūstamo derīgo izrakteņu ieguves platība. Tie var būt arī gadījumi, kad no nomnieka neatkarīgu apstākļu dēļ paaugstinās derīgā izrakteņa ieguves izmaksas, piemēram, valstij pievienojoties starptautiskiem līgumiem vai kādu citu starptautisku apstākļu rezultātā, var būtiski mainīties tirgus situācija, kas ietekmē visu nozari kopumā. Zemes dzīļu izmantošanas dokumentācija pēc būtības ietvers visus izdotos administratīvos aktus zemes dzīļu izmantošanai. Vienlaikus jāņem vērā, ka to, vai zemesgabalā derīgā izrakteņa rūpnieciska ieguve būs iespējama, var konstatēt arī pirms derīgo izrakteņu ieguves projekta izstrādes, piemēram, zemes dzīļu izmantošanas licences vai bieži sastopamo derīgo izrakteņu ieguves atļaujas saņemšanas procesā. Jāpiebilst, ka attiecīgais noteikumu punkts neuzliek pienākumu iznomātājam nomas maksu noteikti samazināt, tomēr tas dod iespēju nomniekam rosināt tās pārskatīšanu, vienlaikus ievērojot citus noteikumu projektā minētos nosacījumus. Jāņem vērā, ka, pārskatot nomas maksu, zemesgabals var sastāvēt no:</w:t>
            </w:r>
          </w:p>
          <w:p w14:paraId="08ED6751" w14:textId="77777777" w:rsidR="009246FE" w:rsidRDefault="00C30A1A">
            <w:pPr>
              <w:pStyle w:val="naiskr"/>
              <w:numPr>
                <w:ilvl w:val="0"/>
                <w:numId w:val="3"/>
              </w:numPr>
              <w:spacing w:before="0" w:after="0"/>
              <w:ind w:left="508" w:hanging="225"/>
              <w:jc w:val="both"/>
            </w:pPr>
            <w:r w:rsidRPr="00164B85">
              <w:t>zemesgabala, par kuru slēgts līgums līdz 2014.</w:t>
            </w:r>
            <w:r>
              <w:t> </w:t>
            </w:r>
            <w:r w:rsidRPr="00164B85">
              <w:t>gada 20.</w:t>
            </w:r>
            <w:r>
              <w:t> </w:t>
            </w:r>
            <w:r w:rsidRPr="00164B85">
              <w:t>maijam un kuram ar 2015.</w:t>
            </w:r>
            <w:r>
              <w:t> </w:t>
            </w:r>
            <w:r w:rsidRPr="00164B85">
              <w:t>gada 1.</w:t>
            </w:r>
            <w:r>
              <w:t> </w:t>
            </w:r>
            <w:r w:rsidRPr="00164B85">
              <w:t>janvāri bija jāuzsāk nomas maksas indeksācija, līdz nomas maksa sasniegs tirgus vērtējumā noteikto;</w:t>
            </w:r>
          </w:p>
          <w:p w14:paraId="20CF4F69" w14:textId="35BDCA8E" w:rsidR="009246FE" w:rsidRPr="0044616C" w:rsidRDefault="00C30A1A">
            <w:pPr>
              <w:pStyle w:val="naiskr"/>
              <w:numPr>
                <w:ilvl w:val="0"/>
                <w:numId w:val="3"/>
              </w:numPr>
              <w:spacing w:before="0" w:after="120"/>
              <w:ind w:left="508" w:hanging="225"/>
              <w:jc w:val="both"/>
            </w:pPr>
            <w:r w:rsidRPr="0044616C">
              <w:t xml:space="preserve">zemesgabala, par kuru slēgts līgums līdz 2014. gada 20. maijam un kuram ar 2015. gada 1. janvāri nebija </w:t>
            </w:r>
            <w:r w:rsidRPr="0044616C">
              <w:lastRenderedPageBreak/>
              <w:t>jāuzsāk nomas maksas indeksācija,</w:t>
            </w:r>
            <w:r w:rsidR="0044616C" w:rsidRPr="0044616C">
              <w:t xml:space="preserve"> jo</w:t>
            </w:r>
            <w:r w:rsidRPr="0044616C">
              <w:t xml:space="preserve"> noteiktā nomas maksa ir augstāka par sertificēta vērtētāja tirgu</w:t>
            </w:r>
            <w:r w:rsidR="009201B2" w:rsidRPr="0044616C">
              <w:t>s vērtējumā noteikto un</w:t>
            </w:r>
            <w:r w:rsidR="00A5137E" w:rsidRPr="0044616C">
              <w:t xml:space="preserve"> </w:t>
            </w:r>
            <w:r w:rsidRPr="0044616C">
              <w:t>uz leju indeksēta netiek.</w:t>
            </w:r>
          </w:p>
          <w:p w14:paraId="146527FC" w14:textId="77777777" w:rsidR="009246FE" w:rsidRDefault="00C30A1A">
            <w:pPr>
              <w:pStyle w:val="naiskr"/>
              <w:spacing w:before="0" w:after="120"/>
              <w:ind w:left="225" w:hanging="225"/>
              <w:jc w:val="both"/>
            </w:pPr>
            <w:r>
              <w:t xml:space="preserve">23. Noteikts, ka zemesgabala nomas līgumu zemes dzīļu izmantošanai slēdz vai pagarina, nepārsniedzot likumā “Par zemes dzīlēm” noteikto </w:t>
            </w:r>
            <w:r>
              <w:rPr>
                <w:bCs/>
              </w:rPr>
              <w:t xml:space="preserve">bieži sastopamo derīgo izrakteņu ieguves atļaujas </w:t>
            </w:r>
            <w:r>
              <w:t>vai zemes dzīļu iz</w:t>
            </w:r>
            <w:bookmarkStart w:id="0" w:name="_GoBack"/>
            <w:bookmarkEnd w:id="0"/>
            <w:r>
              <w:t>mantošanas licences termiņu. Šādā gadījumā, tas nodrošinātu konkrētās derīgo izrakteņu ieguves vietas izstrādi un rekultivāciju, ko veiktu viens komersants. Arī pagarinot nomas līguma termiņu, iznomātājs nomas maksu nosaka atbilstoši sertificēta vērtētāja noteiktai tirgus nomas maksai.</w:t>
            </w:r>
          </w:p>
          <w:p w14:paraId="6045D6BC" w14:textId="77777777" w:rsidR="009246FE" w:rsidRDefault="00C30A1A">
            <w:pPr>
              <w:pStyle w:val="naiskr"/>
              <w:spacing w:before="0" w:after="120"/>
              <w:ind w:left="225" w:hanging="225"/>
              <w:jc w:val="both"/>
            </w:pPr>
            <w:r>
              <w:t xml:space="preserve">24. Lai nodrošinātu tiesības pagarināt to nomas līgumu termiņus, kuri ir noslēgti līdz </w:t>
            </w:r>
            <w:r w:rsidRPr="00164B85">
              <w:t xml:space="preserve">šo </w:t>
            </w:r>
            <w:r>
              <w:t>noteikumu</w:t>
            </w:r>
            <w:r w:rsidRPr="00164B85">
              <w:t xml:space="preserve"> </w:t>
            </w:r>
            <w:r>
              <w:t>V.</w:t>
            </w:r>
            <w:r>
              <w:rPr>
                <w:vertAlign w:val="superscript"/>
              </w:rPr>
              <w:t>1</w:t>
            </w:r>
            <w:r>
              <w:t xml:space="preserve"> nodaļas </w:t>
            </w:r>
            <w:r w:rsidRPr="00164B85">
              <w:t>spēkā stāšanās brīdim</w:t>
            </w:r>
            <w:r>
              <w:t xml:space="preserve">, kā arī precizētu, kā tiek aprēķināts maksimāli pieļaujamais nomas termiņš, noteikumi papildināti ar jaunu punktu. </w:t>
            </w:r>
            <w:r w:rsidRPr="00164B85">
              <w:t>Lai nodrošinātu zemes dzīļu kompleksu, racionālu, vidi saudzējošu un ilgtspējīgu izmantošan</w:t>
            </w:r>
            <w:r>
              <w:t xml:space="preserve">u, </w:t>
            </w:r>
            <w:r w:rsidRPr="00164B85">
              <w:t>ir svarīgi, ja derīgo izrakteņu atradnei visu tās izmantošanas laiku ir viens un tas pats nomnieks, nodrošinot ieguves vietas izstrādi un rekultivāciju (ja tas ievēro normatīvo aktu prasības un attiecīgā līguma nosacījumus).</w:t>
            </w:r>
            <w:r>
              <w:t xml:space="preserve"> Tas papildināts arī ar nosacījumu, ka līguma pagarināšanas termiņš nedrīkst būt garāks par likumā noteikto termiņu.</w:t>
            </w:r>
          </w:p>
          <w:p w14:paraId="5C04F902" w14:textId="77777777" w:rsidR="009246FE" w:rsidRDefault="00C30A1A">
            <w:pPr>
              <w:pStyle w:val="naiskr"/>
              <w:spacing w:before="0" w:after="120"/>
              <w:ind w:left="225" w:hanging="225"/>
              <w:jc w:val="both"/>
            </w:pPr>
            <w:r>
              <w:t>25. Tā kā ir nepieciešams MKN 696 regulējumu piemērot arī tiem zemes nomas līgumiem zemes dzīļu izmantošanai, kuri noslēgti līdz 2014. gada 20. maijam un kuriem ar 2015. gada 1. janvāri bija jāuzsāk nomas maksas indeksācija,</w:t>
            </w:r>
            <w:r>
              <w:rPr>
                <w:sz w:val="28"/>
                <w:szCs w:val="20"/>
              </w:rPr>
              <w:t xml:space="preserve"> </w:t>
            </w:r>
            <w:r>
              <w:t>šī norma iekļauta noteikumu noslēguma jautājumos.</w:t>
            </w:r>
          </w:p>
          <w:p w14:paraId="5CB8D6CE" w14:textId="77777777" w:rsidR="009246FE" w:rsidRDefault="00C30A1A">
            <w:pPr>
              <w:pStyle w:val="naiskr"/>
              <w:spacing w:before="0" w:after="120"/>
              <w:jc w:val="both"/>
              <w:rPr>
                <w:i/>
              </w:rPr>
            </w:pPr>
            <w:r>
              <w:rPr>
                <w:i/>
              </w:rPr>
              <w:t>Par noteikumu projekta ietekmi uz vidi</w:t>
            </w:r>
          </w:p>
          <w:p w14:paraId="43CE8CB3" w14:textId="77777777" w:rsidR="009246FE" w:rsidRDefault="00C30A1A">
            <w:pPr>
              <w:pStyle w:val="naiskr"/>
              <w:spacing w:before="0" w:after="120"/>
              <w:ind w:firstLine="720"/>
              <w:jc w:val="both"/>
            </w:pPr>
            <w:r>
              <w:t>Noteikumu projekts neparedz prasības vai darbības, kas ietekmē vai varētu ietekmēt vidi.</w:t>
            </w:r>
          </w:p>
          <w:p w14:paraId="12040C24" w14:textId="77777777" w:rsidR="009246FE" w:rsidRDefault="00C30A1A">
            <w:pPr>
              <w:pStyle w:val="naiskr"/>
              <w:spacing w:before="0" w:after="120"/>
              <w:jc w:val="both"/>
              <w:rPr>
                <w:i/>
              </w:rPr>
            </w:pPr>
            <w:r>
              <w:rPr>
                <w:i/>
              </w:rPr>
              <w:t>Par noteikumu projekta ietekmi uz veselību</w:t>
            </w:r>
          </w:p>
          <w:p w14:paraId="5088B8BE" w14:textId="77777777" w:rsidR="009246FE" w:rsidRDefault="00C30A1A">
            <w:pPr>
              <w:pStyle w:val="naiskr"/>
              <w:spacing w:before="0" w:after="120"/>
              <w:ind w:firstLine="720"/>
              <w:jc w:val="both"/>
            </w:pPr>
            <w:r>
              <w:t>Noteikumu projekts neparedz prasības vai darbības, kas ietekmē vai varētu ietekmēt veselību.</w:t>
            </w:r>
          </w:p>
          <w:p w14:paraId="387A069C" w14:textId="77777777" w:rsidR="009246FE" w:rsidRDefault="00C30A1A">
            <w:pPr>
              <w:pStyle w:val="naiskr"/>
              <w:spacing w:before="0" w:after="120"/>
              <w:jc w:val="both"/>
              <w:rPr>
                <w:i/>
              </w:rPr>
            </w:pPr>
            <w:r>
              <w:rPr>
                <w:i/>
              </w:rPr>
              <w:t>Par noteikumu projekta ietekmi uz uzņēmējdarbības vidi</w:t>
            </w:r>
          </w:p>
          <w:p w14:paraId="6B088E72" w14:textId="77777777" w:rsidR="009246FE" w:rsidRDefault="00C30A1A">
            <w:pPr>
              <w:pStyle w:val="naiskr"/>
              <w:spacing w:before="0" w:after="120"/>
              <w:ind w:firstLine="720"/>
              <w:jc w:val="both"/>
              <w:rPr>
                <w:i/>
              </w:rPr>
            </w:pPr>
            <w:r>
              <w:t>Noteikumu projektam ir pozitīva ietekme uz uzņēmējdarbības vidi. Publiskas personas zemi zemes dzīļu izmantošanai, galvenokārt, izmanto komersanti, kuriem būs zināmi skaidri nosacījumi, kas jāņem vērā, nomājot zemi no publiskas personas. Noteikumu projektā ietvertais regulējums kļūs uzņēmējdarbības videi saprotamāks un draudzīgāks  attiecībā uz zemes dzīļu izmantošanas segmentu.</w:t>
            </w:r>
          </w:p>
        </w:tc>
      </w:tr>
      <w:tr w:rsidR="009246FE" w14:paraId="77A62294" w14:textId="77777777" w:rsidTr="72C1736D">
        <w:tc>
          <w:tcPr>
            <w:tcW w:w="58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1F75A9DD"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239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02A25626"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izstrādē iesaistītās institūcijas </w:t>
            </w:r>
            <w:r>
              <w:rPr>
                <w:rFonts w:ascii="Times New Roman" w:eastAsia="Times New Roman" w:hAnsi="Times New Roman" w:cs="Times New Roman"/>
                <w:iCs/>
                <w:sz w:val="24"/>
                <w:szCs w:val="24"/>
                <w:lang w:eastAsia="lv-LV"/>
              </w:rPr>
              <w:lastRenderedPageBreak/>
              <w:t>un publiskas personas kapitālsabiedrības</w:t>
            </w:r>
          </w:p>
        </w:tc>
        <w:tc>
          <w:tcPr>
            <w:tcW w:w="609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6D5E26BF" w14:textId="77777777" w:rsidR="009246FE" w:rsidRDefault="00C30A1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lastRenderedPageBreak/>
              <w:t xml:space="preserve">Vides aizsardzības un reģionālās attīstības ministrija (turpmāk </w:t>
            </w:r>
            <w:r>
              <w:rPr>
                <w:rFonts w:ascii="Times New Roman" w:hAnsi="Times New Roman" w:cs="Times New Roman"/>
                <w:bCs/>
                <w:iCs/>
                <w:sz w:val="24"/>
                <w:szCs w:val="24"/>
              </w:rPr>
              <w:t>– </w:t>
            </w:r>
            <w:r>
              <w:rPr>
                <w:rFonts w:ascii="Times New Roman" w:hAnsi="Times New Roman" w:cs="Times New Roman"/>
                <w:iCs/>
                <w:sz w:val="24"/>
                <w:szCs w:val="24"/>
              </w:rPr>
              <w:t>VARAM), Dabas aizsardzības pārvalde, Valsts vides dienests un VSIA “Latvijas Vides, ģeoloģijas un meteoroloģijas centrs”.</w:t>
            </w:r>
          </w:p>
        </w:tc>
      </w:tr>
      <w:tr w:rsidR="009246FE" w14:paraId="7FA5F72F" w14:textId="77777777" w:rsidTr="72C1736D">
        <w:tc>
          <w:tcPr>
            <w:tcW w:w="58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0F9ABB3F"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39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417DF209"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09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Pr>
          <w:p w14:paraId="332D1973" w14:textId="77777777" w:rsidR="009246FE" w:rsidRDefault="00C30A1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01.08.2018. sanāksme ar Dabas aizsardzības pārvaldi un Latvijas Pašvaldību savienību.</w:t>
            </w:r>
          </w:p>
          <w:p w14:paraId="799A146C" w14:textId="77777777" w:rsidR="009246FE" w:rsidRDefault="00C30A1A">
            <w:pPr>
              <w:spacing w:after="0" w:line="240" w:lineRule="auto"/>
              <w:jc w:val="both"/>
              <w:rPr>
                <w:rFonts w:ascii="Times New Roman" w:eastAsia="Times New Roman" w:hAnsi="Times New Roman" w:cs="Times New Roman"/>
                <w:iCs/>
                <w:sz w:val="24"/>
                <w:szCs w:val="24"/>
                <w:highlight w:val="lightGray"/>
                <w:lang w:eastAsia="lv-LV"/>
              </w:rPr>
            </w:pPr>
            <w:r>
              <w:rPr>
                <w:rFonts w:ascii="Times New Roman" w:eastAsia="Times New Roman" w:hAnsi="Times New Roman" w:cs="Times New Roman"/>
                <w:sz w:val="24"/>
                <w:szCs w:val="24"/>
                <w:lang w:eastAsia="lv-LV"/>
              </w:rPr>
              <w:t>01.10.2018. sanāksme ar Dabas aizsardzības pārvaldi, AS “Latvijas valsts meži” un Latvijas Kūdras asociāciju.</w:t>
            </w:r>
          </w:p>
        </w:tc>
      </w:tr>
    </w:tbl>
    <w:p w14:paraId="60061E4C" w14:textId="77777777" w:rsidR="009246FE" w:rsidRDefault="009246FE"/>
    <w:tbl>
      <w:tblPr>
        <w:tblW w:w="5000" w:type="pct"/>
        <w:tblCellMar>
          <w:top w:w="30" w:type="dxa"/>
          <w:left w:w="30" w:type="dxa"/>
          <w:bottom w:w="30" w:type="dxa"/>
          <w:right w:w="30" w:type="dxa"/>
        </w:tblCellMar>
        <w:tblLook w:val="04A0" w:firstRow="1" w:lastRow="0" w:firstColumn="1" w:lastColumn="0" w:noHBand="0" w:noVBand="1"/>
      </w:tblPr>
      <w:tblGrid>
        <w:gridCol w:w="581"/>
        <w:gridCol w:w="2388"/>
        <w:gridCol w:w="6086"/>
      </w:tblGrid>
      <w:tr w:rsidR="009246FE" w14:paraId="23C62655"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44DA60CD" w14:textId="77777777" w:rsidR="009246FE" w:rsidRDefault="00C30A1A">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246FE" w14:paraId="592C9FF8"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21FA6016"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025C4D4B"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w:t>
            </w:r>
            <w:proofErr w:type="spellStart"/>
            <w:r>
              <w:rPr>
                <w:rFonts w:ascii="Times New Roman" w:eastAsia="Times New Roman" w:hAnsi="Times New Roman" w:cs="Times New Roman"/>
                <w:iCs/>
                <w:sz w:val="24"/>
                <w:szCs w:val="24"/>
                <w:lang w:eastAsia="lv-LV"/>
              </w:rPr>
              <w:t>mērķgrupas</w:t>
            </w:r>
            <w:proofErr w:type="spellEnd"/>
            <w:r>
              <w:rPr>
                <w:rFonts w:ascii="Times New Roman" w:eastAsia="Times New Roman" w:hAnsi="Times New Roman" w:cs="Times New Roman"/>
                <w:iCs/>
                <w:sz w:val="24"/>
                <w:szCs w:val="24"/>
                <w:lang w:eastAsia="lv-LV"/>
              </w:rPr>
              <w:t>, kuras tiesiskais regulējums ietekmē vai varētu ietekmēt</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4BCD3B91" w14:textId="77777777" w:rsidR="009246FE" w:rsidRDefault="00C30A1A">
            <w:pPr>
              <w:pStyle w:val="ListParagraph"/>
              <w:numPr>
                <w:ilvl w:val="0"/>
                <w:numId w:val="1"/>
              </w:numPr>
              <w:spacing w:after="120" w:line="240" w:lineRule="auto"/>
              <w:jc w:val="both"/>
              <w:rPr>
                <w:rFonts w:ascii="Times New Roman" w:hAnsi="Times New Roman"/>
                <w:sz w:val="24"/>
                <w:szCs w:val="24"/>
              </w:rPr>
            </w:pPr>
            <w:r>
              <w:rPr>
                <w:rFonts w:ascii="Times New Roman" w:hAnsi="Times New Roman"/>
                <w:sz w:val="24"/>
                <w:szCs w:val="24"/>
              </w:rPr>
              <w:t>Publiskas personas, kuru īpašumā vai tiesiskajā valdījumā atrodas zeme, kas tiek vai varētu tikt iznomāta zemes dzīļu izmantošanai;</w:t>
            </w:r>
          </w:p>
          <w:p w14:paraId="55981E98" w14:textId="77777777" w:rsidR="009246FE" w:rsidRDefault="00C30A1A">
            <w:pPr>
              <w:pStyle w:val="ListParagraph"/>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Personas, kuras nomā vai varētu nomāt publiskai personai piederoša vai tiesiskajā valdījumā esošu zemi zemes dzīļu izmantošanai. </w:t>
            </w:r>
          </w:p>
        </w:tc>
      </w:tr>
      <w:tr w:rsidR="009246FE" w14:paraId="084F909E"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41BD3FC6"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757F3DC7"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p w14:paraId="44EAFD9C" w14:textId="77777777" w:rsidR="009246FE" w:rsidRDefault="009246FE">
            <w:pPr>
              <w:pStyle w:val="tv213"/>
              <w:spacing w:beforeAutospacing="0" w:after="0" w:afterAutospacing="0" w:line="293" w:lineRule="atLeast"/>
              <w:ind w:firstLine="300"/>
              <w:jc w:val="both"/>
              <w:rPr>
                <w:rFonts w:eastAsia="Times New Roman"/>
                <w:iCs/>
              </w:rPr>
            </w:pP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6172A87C" w14:textId="77777777" w:rsidR="009246FE" w:rsidRDefault="00C30A1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Administratīvais slogs samazināsies, jo viena zemes izmantošanas segmenta uzsākšanas divas dažādas, bet savstarpēji procesuāli saistītas komponentes nebūs sadalītas divos dažādos normatīvajos aktos.</w:t>
            </w:r>
          </w:p>
        </w:tc>
      </w:tr>
      <w:tr w:rsidR="009246FE" w14:paraId="540A605C"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41B07F09"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206F9624"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2361A60C" w14:textId="77777777" w:rsidR="009246FE" w:rsidRDefault="00C30A1A">
            <w:pPr>
              <w:jc w:val="both"/>
              <w:rPr>
                <w:rFonts w:ascii="Times New Roman" w:hAnsi="Times New Roman" w:cs="Times New Roman"/>
                <w:sz w:val="24"/>
                <w:szCs w:val="24"/>
              </w:rPr>
            </w:pPr>
            <w:r>
              <w:rPr>
                <w:rFonts w:ascii="Times New Roman" w:hAnsi="Times New Roman" w:cs="Times New Roman"/>
                <w:sz w:val="24"/>
                <w:szCs w:val="24"/>
              </w:rPr>
              <w:t>Administratīvās izmaksas nav precīzi aprēķināmas, jo katrs publiskas personas zemes nomas gadījums var būt atšķirīgs.</w:t>
            </w:r>
          </w:p>
        </w:tc>
      </w:tr>
      <w:tr w:rsidR="009246FE" w14:paraId="46450B54" w14:textId="77777777">
        <w:trPr>
          <w:trHeight w:val="526"/>
        </w:trPr>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5EECEDAA"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44208E8A"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4EE4D1EE" w14:textId="77777777" w:rsidR="009246FE" w:rsidRDefault="00C30A1A">
            <w:pPr>
              <w:ind w:firstLine="792"/>
              <w:jc w:val="both"/>
              <w:rPr>
                <w:rFonts w:ascii="Times New Roman" w:hAnsi="Times New Roman" w:cs="Times New Roman"/>
                <w:sz w:val="24"/>
                <w:szCs w:val="24"/>
              </w:rPr>
            </w:pPr>
            <w:r>
              <w:rPr>
                <w:rFonts w:ascii="Times New Roman" w:hAnsi="Times New Roman" w:cs="Times New Roman"/>
                <w:sz w:val="24"/>
                <w:szCs w:val="24"/>
              </w:rPr>
              <w:t>Atbilstības izmaksas nav precīzi aprēķināmas, jo katrs publiskas personas zemes nomas gadījums var būt atšķirīgs.</w:t>
            </w:r>
          </w:p>
          <w:p w14:paraId="41F5D6D1" w14:textId="77777777" w:rsidR="009246FE" w:rsidRDefault="00C30A1A">
            <w:pPr>
              <w:ind w:firstLine="792"/>
              <w:jc w:val="both"/>
              <w:rPr>
                <w:rFonts w:ascii="Times New Roman" w:hAnsi="Times New Roman"/>
                <w:sz w:val="24"/>
                <w:szCs w:val="24"/>
              </w:rPr>
            </w:pPr>
            <w:r>
              <w:rPr>
                <w:rFonts w:ascii="Times New Roman" w:hAnsi="Times New Roman" w:cs="Times New Roman"/>
                <w:sz w:val="24"/>
                <w:szCs w:val="24"/>
              </w:rPr>
              <w:t>Par o</w:t>
            </w:r>
            <w:r>
              <w:rPr>
                <w:rFonts w:ascii="Times New Roman" w:hAnsi="Times New Roman"/>
                <w:sz w:val="24"/>
                <w:szCs w:val="24"/>
              </w:rPr>
              <w:t>ficiālo paziņojumu publicēšanu oficiālajā izdevumā “Latvijas Vēstnesis” Ministru kabineta 2013. gada 29. janvāra noteikumu Nr. 65 “Oficiālo publikāciju noteikumi” 2. pielikuma 21. punktā paredzēta maksa.</w:t>
            </w:r>
          </w:p>
          <w:p w14:paraId="6C95F33F" w14:textId="77777777" w:rsidR="009246FE" w:rsidRDefault="00C30A1A">
            <w:pPr>
              <w:ind w:firstLine="792"/>
              <w:jc w:val="both"/>
              <w:rPr>
                <w:rFonts w:ascii="Times New Roman" w:hAnsi="Times New Roman" w:cs="Times New Roman"/>
                <w:sz w:val="24"/>
                <w:szCs w:val="24"/>
              </w:rPr>
            </w:pPr>
            <w:r>
              <w:rPr>
                <w:rFonts w:ascii="Times New Roman" w:hAnsi="Times New Roman" w:cs="Times New Roman"/>
                <w:sz w:val="24"/>
                <w:szCs w:val="24"/>
              </w:rPr>
              <w:t>Uzaicinājums piedalīties konkursā un konkursa rezultātu paziņošana atbilst 2. pielikuma 21. punkta “Cita publikācija” kategorijai, kur paziņojums līdz 500 rakstu zīmēm maksā 39,13 eiro, bet ja paziņojums ir lielāks, tad par katru nākamo rakstu zīmi no 501 līdz 10000 rakstu zīmēm jāmaksā 0,078 eiro, bet par rakstu zīmi no 10001 rakstu zīmes – 0,047 eiro par rakstu zīmi.</w:t>
            </w:r>
          </w:p>
          <w:p w14:paraId="220FDE8C" w14:textId="77777777" w:rsidR="009246FE" w:rsidRDefault="00C30A1A" w:rsidP="00164B85">
            <w:pPr>
              <w:spacing w:after="0"/>
              <w:ind w:firstLine="794"/>
              <w:jc w:val="both"/>
              <w:rPr>
                <w:rFonts w:ascii="Times New Roman" w:hAnsi="Times New Roman" w:cs="Times New Roman"/>
                <w:sz w:val="24"/>
                <w:szCs w:val="24"/>
                <w:u w:val="single"/>
              </w:rPr>
            </w:pPr>
            <w:bookmarkStart w:id="1" w:name="OLE_LINK4"/>
            <w:bookmarkStart w:id="2" w:name="OLE_LINK3"/>
            <w:r>
              <w:rPr>
                <w:rFonts w:ascii="Times New Roman" w:hAnsi="Times New Roman" w:cs="Times New Roman"/>
                <w:sz w:val="24"/>
                <w:szCs w:val="24"/>
              </w:rPr>
              <w:t xml:space="preserve">Vienlaikus Tieslietu ministrija ir izstrādājusi un atkārtotai izskatīšanai Ministru kabinetā virza Informatīvo ziņojumu par oficiālās publikācijas un tiesiskās informācijas nodrošināšanas funkcijas izpildi un saistīto Ministru kabineta sēdes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projektu, kurš paredz, ka oficiālajam izdevējam piešķir valsts budžeta dotāciju likumā deleģēto funkciju izpildei un vienlaikus paredz, ka oficiālā publikācija (jebkura) oficiālajā izdevumā “Latvijas Vēstnesis” un oficiāli publicēto tiesību aktu sistematizācija portālā Likumi.lv </w:t>
            </w:r>
            <w:r>
              <w:rPr>
                <w:rFonts w:ascii="Times New Roman" w:hAnsi="Times New Roman" w:cs="Times New Roman"/>
                <w:sz w:val="24"/>
                <w:szCs w:val="24"/>
              </w:rPr>
              <w:lastRenderedPageBreak/>
              <w:t>informācijas iesniedzējam (t.sk. pašvaldībām) turpmāk būs bez maksas.</w:t>
            </w:r>
            <w:bookmarkEnd w:id="1"/>
            <w:bookmarkEnd w:id="2"/>
          </w:p>
        </w:tc>
      </w:tr>
      <w:tr w:rsidR="009246FE" w14:paraId="27DC842D"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56C72689"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5.</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7A2DAB16"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5F56095F"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07804E68"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14:paraId="4B94D5A5" w14:textId="77777777" w:rsidR="009246FE" w:rsidRDefault="009246FE">
      <w:pPr>
        <w:spacing w:after="0" w:line="240" w:lineRule="auto"/>
        <w:rPr>
          <w:rFonts w:ascii="Times New Roman" w:eastAsia="Times New Roman" w:hAnsi="Times New Roman" w:cs="Times New Roman"/>
          <w:iCs/>
          <w:sz w:val="24"/>
          <w:szCs w:val="24"/>
          <w:lang w:eastAsia="lv-LV"/>
        </w:rPr>
      </w:pPr>
    </w:p>
    <w:tbl>
      <w:tblPr>
        <w:tblW w:w="5000" w:type="pct"/>
        <w:tblInd w:w="-8" w:type="dxa"/>
        <w:tblCellMar>
          <w:top w:w="28" w:type="dxa"/>
          <w:left w:w="28" w:type="dxa"/>
          <w:bottom w:w="28" w:type="dxa"/>
          <w:right w:w="28" w:type="dxa"/>
        </w:tblCellMar>
        <w:tblLook w:val="04A0" w:firstRow="1" w:lastRow="0" w:firstColumn="1" w:lastColumn="0" w:noHBand="0" w:noVBand="1"/>
      </w:tblPr>
      <w:tblGrid>
        <w:gridCol w:w="1559"/>
        <w:gridCol w:w="976"/>
        <w:gridCol w:w="1110"/>
        <w:gridCol w:w="960"/>
        <w:gridCol w:w="1163"/>
        <w:gridCol w:w="961"/>
        <w:gridCol w:w="1163"/>
        <w:gridCol w:w="1163"/>
      </w:tblGrid>
      <w:tr w:rsidR="009246FE" w14:paraId="0F5973CA" w14:textId="77777777">
        <w:trPr>
          <w:cantSplit/>
        </w:trPr>
        <w:tc>
          <w:tcPr>
            <w:tcW w:w="9070" w:type="dxa"/>
            <w:gridSpan w:val="8"/>
            <w:tcBorders>
              <w:top w:val="inset" w:sz="6" w:space="0" w:color="000000"/>
              <w:left w:val="inset" w:sz="6" w:space="0" w:color="000000"/>
              <w:bottom w:val="inset" w:sz="6" w:space="0" w:color="000000"/>
              <w:right w:val="inset" w:sz="6" w:space="0" w:color="000000"/>
            </w:tcBorders>
            <w:shd w:val="clear" w:color="auto" w:fill="auto"/>
            <w:vAlign w:val="center"/>
          </w:tcPr>
          <w:p w14:paraId="1EE96E65" w14:textId="77777777" w:rsidR="009246FE" w:rsidRDefault="00C30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9246FE" w14:paraId="72E0CBF2" w14:textId="77777777">
        <w:trPr>
          <w:cantSplit/>
        </w:trPr>
        <w:tc>
          <w:tcPr>
            <w:tcW w:w="1560" w:type="dxa"/>
            <w:vMerge w:val="restart"/>
            <w:tcBorders>
              <w:top w:val="inset" w:sz="6" w:space="0" w:color="000000"/>
              <w:left w:val="inset" w:sz="6" w:space="0" w:color="000000"/>
              <w:bottom w:val="inset" w:sz="6" w:space="0" w:color="000000"/>
              <w:right w:val="inset" w:sz="6" w:space="0" w:color="000000"/>
            </w:tcBorders>
            <w:shd w:val="clear" w:color="auto" w:fill="FFFFFF"/>
            <w:vAlign w:val="center"/>
          </w:tcPr>
          <w:p w14:paraId="2E6B85DF" w14:textId="77777777" w:rsidR="009246FE" w:rsidRDefault="00C30A1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Rādītāji</w:t>
            </w:r>
          </w:p>
        </w:tc>
        <w:tc>
          <w:tcPr>
            <w:tcW w:w="2126" w:type="dxa"/>
            <w:gridSpan w:val="2"/>
            <w:vMerge w:val="restart"/>
            <w:tcBorders>
              <w:top w:val="inset" w:sz="6" w:space="0" w:color="000000"/>
              <w:left w:val="inset" w:sz="6" w:space="0" w:color="000000"/>
              <w:bottom w:val="inset" w:sz="6" w:space="0" w:color="000000"/>
              <w:right w:val="inset" w:sz="6" w:space="0" w:color="000000"/>
            </w:tcBorders>
            <w:shd w:val="clear" w:color="auto" w:fill="FFFFFF"/>
            <w:vAlign w:val="center"/>
          </w:tcPr>
          <w:p w14:paraId="5441878D" w14:textId="77777777" w:rsidR="009246FE" w:rsidRDefault="00C30A1A">
            <w:pPr>
              <w:spacing w:after="0" w:line="240" w:lineRule="auto"/>
              <w:jc w:val="center"/>
              <w:rPr>
                <w:rFonts w:ascii="Times New Roman" w:hAnsi="Times New Roman" w:cs="Times New Roman"/>
                <w:bCs/>
                <w:sz w:val="24"/>
                <w:szCs w:val="24"/>
              </w:rPr>
            </w:pPr>
            <w:r>
              <w:rPr>
                <w:rFonts w:ascii="Times New Roman" w:eastAsia="Times New Roman" w:hAnsi="Times New Roman" w:cs="Times New Roman"/>
                <w:b/>
                <w:bCs/>
                <w:sz w:val="24"/>
                <w:szCs w:val="24"/>
                <w:lang w:eastAsia="lv-LV"/>
              </w:rPr>
              <w:t>2019.gads</w:t>
            </w:r>
          </w:p>
        </w:tc>
        <w:tc>
          <w:tcPr>
            <w:tcW w:w="5384" w:type="dxa"/>
            <w:gridSpan w:val="5"/>
            <w:tcBorders>
              <w:top w:val="inset" w:sz="6" w:space="0" w:color="000000"/>
              <w:left w:val="inset" w:sz="6" w:space="0" w:color="000000"/>
              <w:bottom w:val="inset" w:sz="6" w:space="0" w:color="000000"/>
              <w:right w:val="inset" w:sz="6" w:space="0" w:color="000000"/>
            </w:tcBorders>
            <w:shd w:val="clear" w:color="auto" w:fill="FFFFFF"/>
            <w:vAlign w:val="center"/>
          </w:tcPr>
          <w:p w14:paraId="6065B54A"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Turpmākie trīs gadi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tc>
      </w:tr>
      <w:tr w:rsidR="009246FE" w14:paraId="23301009" w14:textId="77777777">
        <w:trPr>
          <w:cantSplit/>
        </w:trPr>
        <w:tc>
          <w:tcPr>
            <w:tcW w:w="1560"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3DEEC669" w14:textId="77777777" w:rsidR="009246FE" w:rsidRDefault="009246FE">
            <w:pPr>
              <w:spacing w:after="0" w:line="240" w:lineRule="auto"/>
              <w:jc w:val="center"/>
              <w:rPr>
                <w:rFonts w:ascii="Times New Roman" w:hAnsi="Times New Roman" w:cs="Times New Roman"/>
                <w:bCs/>
                <w:sz w:val="24"/>
                <w:szCs w:val="24"/>
              </w:rPr>
            </w:pPr>
          </w:p>
        </w:tc>
        <w:tc>
          <w:tcPr>
            <w:tcW w:w="2126" w:type="dxa"/>
            <w:gridSpan w:val="2"/>
            <w:vMerge/>
            <w:tcBorders>
              <w:top w:val="inset" w:sz="6" w:space="0" w:color="000000"/>
              <w:left w:val="inset" w:sz="6" w:space="0" w:color="000000"/>
              <w:bottom w:val="inset" w:sz="6" w:space="0" w:color="000000"/>
              <w:right w:val="inset" w:sz="6" w:space="0" w:color="000000"/>
            </w:tcBorders>
            <w:shd w:val="clear" w:color="auto" w:fill="auto"/>
            <w:vAlign w:val="center"/>
          </w:tcPr>
          <w:p w14:paraId="3656B9AB" w14:textId="77777777" w:rsidR="009246FE" w:rsidRDefault="009246FE">
            <w:pPr>
              <w:spacing w:after="0" w:line="240" w:lineRule="auto"/>
              <w:jc w:val="center"/>
              <w:rPr>
                <w:rFonts w:ascii="Times New Roman" w:hAnsi="Times New Roman" w:cs="Times New Roman"/>
                <w:bCs/>
                <w:sz w:val="24"/>
                <w:szCs w:val="24"/>
              </w:rPr>
            </w:pPr>
          </w:p>
        </w:tc>
        <w:tc>
          <w:tcPr>
            <w:tcW w:w="2126" w:type="dxa"/>
            <w:gridSpan w:val="2"/>
            <w:tcBorders>
              <w:top w:val="inset" w:sz="6" w:space="0" w:color="000000"/>
              <w:left w:val="inset" w:sz="6" w:space="0" w:color="000000"/>
              <w:bottom w:val="inset" w:sz="6" w:space="0" w:color="000000"/>
              <w:right w:val="inset" w:sz="6" w:space="0" w:color="000000"/>
            </w:tcBorders>
            <w:shd w:val="clear" w:color="auto" w:fill="FFFFFF"/>
            <w:vAlign w:val="center"/>
          </w:tcPr>
          <w:p w14:paraId="42B71CCD" w14:textId="77777777" w:rsidR="009246FE" w:rsidRDefault="00C30A1A">
            <w:pPr>
              <w:spacing w:after="0" w:line="240" w:lineRule="auto"/>
              <w:jc w:val="center"/>
              <w:rPr>
                <w:rFonts w:ascii="Times New Roman" w:hAnsi="Times New Roman" w:cs="Times New Roman"/>
                <w:bCs/>
                <w:sz w:val="24"/>
                <w:szCs w:val="24"/>
              </w:rPr>
            </w:pPr>
            <w:r>
              <w:rPr>
                <w:rFonts w:ascii="Times New Roman" w:eastAsia="Times New Roman" w:hAnsi="Times New Roman" w:cs="Times New Roman"/>
                <w:b/>
                <w:bCs/>
                <w:sz w:val="24"/>
                <w:szCs w:val="24"/>
                <w:lang w:eastAsia="lv-LV"/>
              </w:rPr>
              <w:t>2020</w:t>
            </w:r>
          </w:p>
        </w:tc>
        <w:tc>
          <w:tcPr>
            <w:tcW w:w="2104" w:type="dxa"/>
            <w:gridSpan w:val="2"/>
            <w:tcBorders>
              <w:top w:val="inset" w:sz="6" w:space="0" w:color="000000"/>
              <w:left w:val="inset" w:sz="6" w:space="0" w:color="000000"/>
              <w:bottom w:val="inset" w:sz="6" w:space="0" w:color="000000"/>
              <w:right w:val="inset" w:sz="6" w:space="0" w:color="000000"/>
            </w:tcBorders>
            <w:shd w:val="clear" w:color="auto" w:fill="FFFFFF"/>
            <w:vAlign w:val="center"/>
          </w:tcPr>
          <w:p w14:paraId="65B281B9" w14:textId="77777777" w:rsidR="009246FE" w:rsidRDefault="00C30A1A">
            <w:pPr>
              <w:spacing w:after="0" w:line="240" w:lineRule="auto"/>
              <w:jc w:val="center"/>
              <w:rPr>
                <w:rFonts w:ascii="Times New Roman" w:hAnsi="Times New Roman" w:cs="Times New Roman"/>
                <w:bCs/>
                <w:sz w:val="24"/>
                <w:szCs w:val="24"/>
              </w:rPr>
            </w:pPr>
            <w:r>
              <w:rPr>
                <w:rFonts w:ascii="Times New Roman" w:eastAsia="Times New Roman" w:hAnsi="Times New Roman" w:cs="Times New Roman"/>
                <w:b/>
                <w:bCs/>
                <w:sz w:val="24"/>
                <w:szCs w:val="24"/>
                <w:lang w:eastAsia="lv-LV"/>
              </w:rPr>
              <w:t>2021</w:t>
            </w:r>
          </w:p>
        </w:tc>
        <w:tc>
          <w:tcPr>
            <w:tcW w:w="1154" w:type="dxa"/>
            <w:tcBorders>
              <w:top w:val="inset" w:sz="6" w:space="0" w:color="000000"/>
              <w:left w:val="inset" w:sz="6" w:space="0" w:color="000000"/>
              <w:bottom w:val="inset" w:sz="6" w:space="0" w:color="000000"/>
              <w:right w:val="inset" w:sz="6" w:space="0" w:color="000000"/>
            </w:tcBorders>
            <w:shd w:val="clear" w:color="auto" w:fill="FFFFFF"/>
            <w:vAlign w:val="center"/>
          </w:tcPr>
          <w:p w14:paraId="1FBE425F" w14:textId="77777777" w:rsidR="009246FE" w:rsidRDefault="00C30A1A">
            <w:pPr>
              <w:spacing w:after="0" w:line="240" w:lineRule="auto"/>
              <w:jc w:val="center"/>
              <w:rPr>
                <w:rFonts w:ascii="Times New Roman" w:hAnsi="Times New Roman" w:cs="Times New Roman"/>
                <w:bCs/>
                <w:sz w:val="24"/>
                <w:szCs w:val="24"/>
              </w:rPr>
            </w:pPr>
            <w:r>
              <w:rPr>
                <w:rFonts w:ascii="Times New Roman" w:eastAsia="Times New Roman" w:hAnsi="Times New Roman" w:cs="Times New Roman"/>
                <w:b/>
                <w:bCs/>
                <w:sz w:val="24"/>
                <w:szCs w:val="24"/>
                <w:lang w:eastAsia="lv-LV"/>
              </w:rPr>
              <w:t>2022</w:t>
            </w:r>
          </w:p>
        </w:tc>
      </w:tr>
      <w:tr w:rsidR="009246FE" w14:paraId="59A55FB3" w14:textId="77777777">
        <w:trPr>
          <w:cantSplit/>
        </w:trPr>
        <w:tc>
          <w:tcPr>
            <w:tcW w:w="1560"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45FB0818" w14:textId="77777777" w:rsidR="009246FE" w:rsidRDefault="009246FE">
            <w:pPr>
              <w:spacing w:after="0" w:line="240" w:lineRule="auto"/>
              <w:jc w:val="center"/>
              <w:rPr>
                <w:rFonts w:ascii="Times New Roman" w:hAnsi="Times New Roman" w:cs="Times New Roman"/>
                <w:b/>
                <w:bCs/>
                <w:sz w:val="24"/>
                <w:szCs w:val="24"/>
              </w:rPr>
            </w:pPr>
          </w:p>
        </w:tc>
        <w:tc>
          <w:tcPr>
            <w:tcW w:w="992" w:type="dxa"/>
            <w:tcBorders>
              <w:top w:val="inset" w:sz="6" w:space="0" w:color="000000"/>
              <w:left w:val="inset" w:sz="6" w:space="0" w:color="000000"/>
              <w:bottom w:val="inset" w:sz="6" w:space="0" w:color="000000"/>
              <w:right w:val="inset" w:sz="6" w:space="0" w:color="000000"/>
            </w:tcBorders>
            <w:shd w:val="clear" w:color="auto" w:fill="FFFFFF"/>
            <w:vAlign w:val="center"/>
          </w:tcPr>
          <w:p w14:paraId="771920B0"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saskaņā ar valsts budžetu kārtējam gadam</w:t>
            </w:r>
          </w:p>
        </w:tc>
        <w:tc>
          <w:tcPr>
            <w:tcW w:w="1134" w:type="dxa"/>
            <w:tcBorders>
              <w:top w:val="inset" w:sz="6" w:space="0" w:color="000000"/>
              <w:left w:val="inset" w:sz="6" w:space="0" w:color="000000"/>
              <w:bottom w:val="inset" w:sz="6" w:space="0" w:color="000000"/>
              <w:right w:val="inset" w:sz="6" w:space="0" w:color="000000"/>
            </w:tcBorders>
            <w:shd w:val="clear" w:color="auto" w:fill="FFFFFF"/>
            <w:vAlign w:val="center"/>
          </w:tcPr>
          <w:p w14:paraId="08217D64"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izmaiņas kārtējā gadā, salīdzinot ar valsts budžetu kārtējam gadam</w:t>
            </w:r>
          </w:p>
        </w:tc>
        <w:tc>
          <w:tcPr>
            <w:tcW w:w="992" w:type="dxa"/>
            <w:tcBorders>
              <w:top w:val="inset" w:sz="6" w:space="0" w:color="000000"/>
              <w:left w:val="inset" w:sz="6" w:space="0" w:color="000000"/>
              <w:bottom w:val="inset" w:sz="6" w:space="0" w:color="000000"/>
              <w:right w:val="inset" w:sz="6" w:space="0" w:color="000000"/>
            </w:tcBorders>
            <w:shd w:val="clear" w:color="auto" w:fill="FFFFFF"/>
            <w:vAlign w:val="center"/>
          </w:tcPr>
          <w:p w14:paraId="4542D01F"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saskaņā ar vidēja termiņa budžeta ietvaru</w:t>
            </w:r>
          </w:p>
        </w:tc>
        <w:tc>
          <w:tcPr>
            <w:tcW w:w="1134" w:type="dxa"/>
            <w:tcBorders>
              <w:top w:val="inset" w:sz="6" w:space="0" w:color="000000"/>
              <w:left w:val="inset" w:sz="6" w:space="0" w:color="000000"/>
              <w:bottom w:val="inset" w:sz="6" w:space="0" w:color="000000"/>
              <w:right w:val="inset" w:sz="6" w:space="0" w:color="000000"/>
            </w:tcBorders>
            <w:shd w:val="clear" w:color="auto" w:fill="FFFFFF"/>
            <w:vAlign w:val="center"/>
          </w:tcPr>
          <w:p w14:paraId="32B24A37"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n+2020 gadam</w:t>
            </w:r>
          </w:p>
        </w:tc>
        <w:tc>
          <w:tcPr>
            <w:tcW w:w="993" w:type="dxa"/>
            <w:tcBorders>
              <w:top w:val="inset" w:sz="6" w:space="0" w:color="000000"/>
              <w:left w:val="inset" w:sz="6" w:space="0" w:color="000000"/>
              <w:bottom w:val="inset" w:sz="6" w:space="0" w:color="000000"/>
              <w:right w:val="inset" w:sz="6" w:space="0" w:color="000000"/>
            </w:tcBorders>
            <w:shd w:val="clear" w:color="auto" w:fill="FFFFFF"/>
            <w:vAlign w:val="center"/>
          </w:tcPr>
          <w:p w14:paraId="43999BE9"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saskaņā ar vidēja termiņa budžeta ietvaru</w:t>
            </w:r>
          </w:p>
        </w:tc>
        <w:tc>
          <w:tcPr>
            <w:tcW w:w="1111" w:type="dxa"/>
            <w:tcBorders>
              <w:top w:val="inset" w:sz="6" w:space="0" w:color="000000"/>
              <w:left w:val="inset" w:sz="6" w:space="0" w:color="000000"/>
              <w:bottom w:val="inset" w:sz="6" w:space="0" w:color="000000"/>
              <w:right w:val="inset" w:sz="6" w:space="0" w:color="000000"/>
            </w:tcBorders>
            <w:shd w:val="clear" w:color="auto" w:fill="FFFFFF"/>
            <w:vAlign w:val="center"/>
          </w:tcPr>
          <w:p w14:paraId="0D88DEF5"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n+2021 gadam</w:t>
            </w:r>
          </w:p>
        </w:tc>
        <w:tc>
          <w:tcPr>
            <w:tcW w:w="1154" w:type="dxa"/>
            <w:tcBorders>
              <w:top w:val="inset" w:sz="6" w:space="0" w:color="000000"/>
              <w:left w:val="inset" w:sz="6" w:space="0" w:color="000000"/>
              <w:bottom w:val="inset" w:sz="6" w:space="0" w:color="000000"/>
              <w:right w:val="inset" w:sz="6" w:space="0" w:color="000000"/>
            </w:tcBorders>
            <w:shd w:val="clear" w:color="auto" w:fill="FFFFFF"/>
            <w:vAlign w:val="center"/>
          </w:tcPr>
          <w:p w14:paraId="490BDDBF"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izmaiņas, salīdzinot ar vidēja termiņa budžeta ietvaru </w:t>
            </w:r>
            <w:r>
              <w:rPr>
                <w:rFonts w:ascii="Times New Roman" w:hAnsi="Times New Roman" w:cs="Times New Roman"/>
                <w:sz w:val="24"/>
                <w:szCs w:val="24"/>
              </w:rPr>
              <w:br/>
              <w:t>n+2021 gadam</w:t>
            </w:r>
          </w:p>
        </w:tc>
      </w:tr>
      <w:tr w:rsidR="009246FE" w14:paraId="0ADDFDF6"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FFFFFF"/>
            <w:vAlign w:val="center"/>
          </w:tcPr>
          <w:p w14:paraId="649841BE"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inset" w:sz="6" w:space="0" w:color="000000"/>
              <w:left w:val="inset" w:sz="6" w:space="0" w:color="000000"/>
              <w:bottom w:val="inset" w:sz="6" w:space="0" w:color="000000"/>
              <w:right w:val="inset" w:sz="6" w:space="0" w:color="000000"/>
            </w:tcBorders>
            <w:shd w:val="clear" w:color="auto" w:fill="FFFFFF"/>
            <w:vAlign w:val="center"/>
          </w:tcPr>
          <w:p w14:paraId="18F999B5"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inset" w:sz="6" w:space="0" w:color="000000"/>
              <w:left w:val="inset" w:sz="6" w:space="0" w:color="000000"/>
              <w:bottom w:val="inset" w:sz="6" w:space="0" w:color="000000"/>
              <w:right w:val="inset" w:sz="6" w:space="0" w:color="000000"/>
            </w:tcBorders>
            <w:shd w:val="clear" w:color="auto" w:fill="FFFFFF"/>
            <w:vAlign w:val="center"/>
          </w:tcPr>
          <w:p w14:paraId="5FCD5EC4"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inset" w:sz="6" w:space="0" w:color="000000"/>
              <w:left w:val="inset" w:sz="6" w:space="0" w:color="000000"/>
              <w:bottom w:val="inset" w:sz="6" w:space="0" w:color="000000"/>
              <w:right w:val="inset" w:sz="6" w:space="0" w:color="000000"/>
            </w:tcBorders>
            <w:shd w:val="clear" w:color="auto" w:fill="FFFFFF"/>
            <w:vAlign w:val="center"/>
          </w:tcPr>
          <w:p w14:paraId="2598DEE6"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inset" w:sz="6" w:space="0" w:color="000000"/>
              <w:left w:val="inset" w:sz="6" w:space="0" w:color="000000"/>
              <w:bottom w:val="inset" w:sz="6" w:space="0" w:color="000000"/>
              <w:right w:val="inset" w:sz="6" w:space="0" w:color="000000"/>
            </w:tcBorders>
            <w:shd w:val="clear" w:color="auto" w:fill="FFFFFF"/>
            <w:vAlign w:val="center"/>
          </w:tcPr>
          <w:p w14:paraId="78941E47"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inset" w:sz="6" w:space="0" w:color="000000"/>
              <w:left w:val="inset" w:sz="6" w:space="0" w:color="000000"/>
              <w:bottom w:val="inset" w:sz="6" w:space="0" w:color="000000"/>
              <w:right w:val="inset" w:sz="6" w:space="0" w:color="000000"/>
            </w:tcBorders>
            <w:shd w:val="clear" w:color="auto" w:fill="FFFFFF"/>
            <w:vAlign w:val="center"/>
          </w:tcPr>
          <w:p w14:paraId="29B4EA11"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11" w:type="dxa"/>
            <w:tcBorders>
              <w:top w:val="inset" w:sz="6" w:space="0" w:color="000000"/>
              <w:left w:val="inset" w:sz="6" w:space="0" w:color="000000"/>
              <w:bottom w:val="inset" w:sz="6" w:space="0" w:color="000000"/>
              <w:right w:val="inset" w:sz="6" w:space="0" w:color="000000"/>
            </w:tcBorders>
            <w:shd w:val="clear" w:color="auto" w:fill="FFFFFF"/>
            <w:vAlign w:val="center"/>
          </w:tcPr>
          <w:p w14:paraId="75697EEC"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54" w:type="dxa"/>
            <w:tcBorders>
              <w:top w:val="inset" w:sz="6" w:space="0" w:color="000000"/>
              <w:left w:val="inset" w:sz="6" w:space="0" w:color="000000"/>
              <w:bottom w:val="inset" w:sz="6" w:space="0" w:color="000000"/>
              <w:right w:val="inset" w:sz="6" w:space="0" w:color="000000"/>
            </w:tcBorders>
            <w:shd w:val="clear" w:color="auto" w:fill="FFFFFF"/>
            <w:vAlign w:val="center"/>
          </w:tcPr>
          <w:p w14:paraId="44B0A208"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246FE" w14:paraId="6FFAF03A"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FFFFFF"/>
            <w:vAlign w:val="center"/>
          </w:tcPr>
          <w:p w14:paraId="4192090E"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Budžeta ieņēmumi</w:t>
            </w:r>
          </w:p>
        </w:tc>
        <w:tc>
          <w:tcPr>
            <w:tcW w:w="992" w:type="dxa"/>
            <w:tcBorders>
              <w:top w:val="inset" w:sz="6" w:space="0" w:color="000000"/>
              <w:left w:val="inset" w:sz="6" w:space="0" w:color="000000"/>
              <w:bottom w:val="inset" w:sz="6" w:space="0" w:color="000000"/>
              <w:right w:val="inset" w:sz="6" w:space="0" w:color="000000"/>
            </w:tcBorders>
            <w:shd w:val="clear" w:color="auto" w:fill="FFFFFF"/>
            <w:vAlign w:val="center"/>
          </w:tcPr>
          <w:p w14:paraId="4B584315"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inset" w:sz="6" w:space="0" w:color="000000"/>
              <w:left w:val="inset" w:sz="6" w:space="0" w:color="000000"/>
              <w:bottom w:val="inset" w:sz="6" w:space="0" w:color="000000"/>
              <w:right w:val="inset" w:sz="6" w:space="0" w:color="000000"/>
            </w:tcBorders>
            <w:shd w:val="clear" w:color="auto" w:fill="FFFFFF"/>
            <w:vAlign w:val="center"/>
          </w:tcPr>
          <w:p w14:paraId="2322F001"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FFFFFF"/>
            <w:vAlign w:val="center"/>
          </w:tcPr>
          <w:p w14:paraId="7B7EFE02"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inset" w:sz="6" w:space="0" w:color="000000"/>
              <w:left w:val="inset" w:sz="6" w:space="0" w:color="000000"/>
              <w:bottom w:val="inset" w:sz="6" w:space="0" w:color="000000"/>
              <w:right w:val="inset" w:sz="6" w:space="0" w:color="000000"/>
            </w:tcBorders>
            <w:shd w:val="clear" w:color="auto" w:fill="FFFFFF"/>
            <w:vAlign w:val="center"/>
          </w:tcPr>
          <w:p w14:paraId="68C0FDC3"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993" w:type="dxa"/>
            <w:tcBorders>
              <w:top w:val="inset" w:sz="6" w:space="0" w:color="000000"/>
              <w:left w:val="inset" w:sz="6" w:space="0" w:color="000000"/>
              <w:bottom w:val="inset" w:sz="6" w:space="0" w:color="000000"/>
              <w:right w:val="inset" w:sz="6" w:space="0" w:color="000000"/>
            </w:tcBorders>
            <w:shd w:val="clear" w:color="auto" w:fill="FFFFFF"/>
            <w:vAlign w:val="center"/>
          </w:tcPr>
          <w:p w14:paraId="33113584"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FFFFFF"/>
            <w:vAlign w:val="center"/>
          </w:tcPr>
          <w:p w14:paraId="6C1BB2F1"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1154" w:type="dxa"/>
            <w:tcBorders>
              <w:top w:val="inset" w:sz="6" w:space="0" w:color="000000"/>
              <w:left w:val="inset" w:sz="6" w:space="0" w:color="000000"/>
              <w:bottom w:val="inset" w:sz="6" w:space="0" w:color="000000"/>
              <w:right w:val="inset" w:sz="6" w:space="0" w:color="000000"/>
            </w:tcBorders>
            <w:shd w:val="clear" w:color="auto" w:fill="FFFFFF"/>
            <w:vAlign w:val="center"/>
          </w:tcPr>
          <w:p w14:paraId="185B450D"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r>
      <w:tr w:rsidR="009246FE" w14:paraId="1FA3B60F"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1D75010D"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5531F93F"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0213FF8E"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370D6AA5"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07D7CB81"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993" w:type="dxa"/>
            <w:tcBorders>
              <w:top w:val="inset" w:sz="6" w:space="0" w:color="000000"/>
              <w:left w:val="inset" w:sz="6" w:space="0" w:color="000000"/>
              <w:bottom w:val="inset" w:sz="6" w:space="0" w:color="000000"/>
              <w:right w:val="inset" w:sz="6" w:space="0" w:color="000000"/>
            </w:tcBorders>
            <w:shd w:val="clear" w:color="auto" w:fill="auto"/>
            <w:vAlign w:val="center"/>
          </w:tcPr>
          <w:p w14:paraId="05F7728E"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4C641E92"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6AAD30D6"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r>
      <w:tr w:rsidR="009246FE" w14:paraId="05B60A21"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2331811F"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3D22F59A"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56C62623"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7A06C686"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1574AF32"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993" w:type="dxa"/>
            <w:tcBorders>
              <w:top w:val="inset" w:sz="6" w:space="0" w:color="000000"/>
              <w:left w:val="inset" w:sz="6" w:space="0" w:color="000000"/>
              <w:bottom w:val="inset" w:sz="6" w:space="0" w:color="000000"/>
              <w:right w:val="inset" w:sz="6" w:space="0" w:color="000000"/>
            </w:tcBorders>
            <w:shd w:val="clear" w:color="auto" w:fill="auto"/>
            <w:vAlign w:val="center"/>
          </w:tcPr>
          <w:p w14:paraId="0CF44D54"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165DCE8A"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7BD0726E"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9246FE" w14:paraId="799C6871"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6442BE94"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pašvaldību budžets</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47F30171"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132FFD68"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6F6BB521"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4D1609BF"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993" w:type="dxa"/>
            <w:tcBorders>
              <w:top w:val="inset" w:sz="6" w:space="0" w:color="000000"/>
              <w:left w:val="inset" w:sz="6" w:space="0" w:color="000000"/>
              <w:bottom w:val="inset" w:sz="6" w:space="0" w:color="000000"/>
              <w:right w:val="inset" w:sz="6" w:space="0" w:color="000000"/>
            </w:tcBorders>
            <w:shd w:val="clear" w:color="auto" w:fill="auto"/>
            <w:vAlign w:val="center"/>
          </w:tcPr>
          <w:p w14:paraId="53AF8648"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7AE5A939"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094432E4"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r>
      <w:tr w:rsidR="009246FE" w14:paraId="31CD460B"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04251627"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Budžeta izdevumi</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3A6AE620"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5D56E414"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6BC9F2DD"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24452D0A"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inset" w:sz="6" w:space="0" w:color="000000"/>
              <w:left w:val="inset" w:sz="6" w:space="0" w:color="000000"/>
              <w:bottom w:val="inset" w:sz="6" w:space="0" w:color="000000"/>
              <w:right w:val="inset" w:sz="6" w:space="0" w:color="000000"/>
            </w:tcBorders>
            <w:shd w:val="clear" w:color="auto" w:fill="auto"/>
          </w:tcPr>
          <w:p w14:paraId="6A355B75"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579F9DF6"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0146225B"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9246FE" w14:paraId="6754B4A0"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653AB667"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valsts pamatbudžets</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4207ADCD"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5D64A453"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3081C80F"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3209E21E"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inset" w:sz="6" w:space="0" w:color="000000"/>
              <w:left w:val="inset" w:sz="6" w:space="0" w:color="000000"/>
              <w:bottom w:val="inset" w:sz="6" w:space="0" w:color="000000"/>
              <w:right w:val="inset" w:sz="6" w:space="0" w:color="000000"/>
            </w:tcBorders>
            <w:shd w:val="clear" w:color="auto" w:fill="auto"/>
          </w:tcPr>
          <w:p w14:paraId="62D7B3BE"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1E6EE343"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42EFDDCA"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9246FE" w14:paraId="5AB01884"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31568E8B"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624370D3"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5353C90A"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5F1B12B4"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5EC6149D"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inset" w:sz="6" w:space="0" w:color="000000"/>
              <w:left w:val="inset" w:sz="6" w:space="0" w:color="000000"/>
              <w:bottom w:val="inset" w:sz="6" w:space="0" w:color="000000"/>
              <w:right w:val="inset" w:sz="6" w:space="0" w:color="000000"/>
            </w:tcBorders>
            <w:shd w:val="clear" w:color="auto" w:fill="auto"/>
          </w:tcPr>
          <w:p w14:paraId="674C0320"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222157C1"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69777341"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9246FE" w14:paraId="57A86C3A"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7650F608"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pašvaldību budžets</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290A9710"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40717F1A"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486DD9CC"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7DCFEC48"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inset" w:sz="6" w:space="0" w:color="000000"/>
              <w:left w:val="inset" w:sz="6" w:space="0" w:color="000000"/>
              <w:bottom w:val="inset" w:sz="6" w:space="0" w:color="000000"/>
              <w:right w:val="inset" w:sz="6" w:space="0" w:color="000000"/>
            </w:tcBorders>
            <w:shd w:val="clear" w:color="auto" w:fill="auto"/>
          </w:tcPr>
          <w:p w14:paraId="750AB381"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481DA1EE"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34349761"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9246FE" w14:paraId="18D53A86"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75994A1E"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Finansiālā ietekme</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69740B58"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22BA10F0"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55C3BA76"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2A5D8B0F" w14:textId="77777777" w:rsidR="009246FE" w:rsidRDefault="00C30A1A">
            <w:pPr>
              <w:tabs>
                <w:tab w:val="left" w:pos="300"/>
                <w:tab w:val="center" w:pos="408"/>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993" w:type="dxa"/>
            <w:tcBorders>
              <w:top w:val="inset" w:sz="6" w:space="0" w:color="000000"/>
              <w:left w:val="inset" w:sz="6" w:space="0" w:color="000000"/>
              <w:bottom w:val="inset" w:sz="6" w:space="0" w:color="000000"/>
              <w:right w:val="inset" w:sz="6" w:space="0" w:color="000000"/>
            </w:tcBorders>
            <w:shd w:val="clear" w:color="auto" w:fill="auto"/>
            <w:vAlign w:val="center"/>
          </w:tcPr>
          <w:p w14:paraId="50BD7287"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2DC7ADCB"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78AE18EC"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r>
      <w:tr w:rsidR="009246FE" w14:paraId="0457F847"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06B7AFA3"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 valsts pamatbudžets</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52ECD0D9"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1FAB9ECC"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35306EB0"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40D7C7AF"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993" w:type="dxa"/>
            <w:tcBorders>
              <w:top w:val="inset" w:sz="6" w:space="0" w:color="000000"/>
              <w:left w:val="inset" w:sz="6" w:space="0" w:color="000000"/>
              <w:bottom w:val="inset" w:sz="6" w:space="0" w:color="000000"/>
              <w:right w:val="inset" w:sz="6" w:space="0" w:color="000000"/>
            </w:tcBorders>
            <w:shd w:val="clear" w:color="auto" w:fill="auto"/>
            <w:vAlign w:val="center"/>
          </w:tcPr>
          <w:p w14:paraId="2EAC5A90"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77A68841"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4E4B01F7"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r>
      <w:tr w:rsidR="009246FE" w14:paraId="24FDC993"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44D3E05C"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 speciālais budžets</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26EE7DBF"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5C0A68D0"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139BF1F3"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03E3A27B"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inset" w:sz="6" w:space="0" w:color="000000"/>
              <w:left w:val="inset" w:sz="6" w:space="0" w:color="000000"/>
              <w:bottom w:val="inset" w:sz="6" w:space="0" w:color="000000"/>
              <w:right w:val="inset" w:sz="6" w:space="0" w:color="000000"/>
            </w:tcBorders>
            <w:shd w:val="clear" w:color="auto" w:fill="auto"/>
            <w:vAlign w:val="center"/>
          </w:tcPr>
          <w:p w14:paraId="769908A7"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7E83114B"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28EA6124"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r>
      <w:tr w:rsidR="009246FE" w14:paraId="32B333D1"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03251B4D"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pašvaldību budžets</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7DD8D7F1"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2E8F6A62"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61F2810F"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7EF78B98"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993" w:type="dxa"/>
            <w:tcBorders>
              <w:top w:val="inset" w:sz="6" w:space="0" w:color="000000"/>
              <w:left w:val="inset" w:sz="6" w:space="0" w:color="000000"/>
              <w:bottom w:val="inset" w:sz="6" w:space="0" w:color="000000"/>
              <w:right w:val="inset" w:sz="6" w:space="0" w:color="000000"/>
            </w:tcBorders>
            <w:shd w:val="clear" w:color="auto" w:fill="auto"/>
            <w:vAlign w:val="center"/>
          </w:tcPr>
          <w:p w14:paraId="331ECE4C"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03867CA4"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7A134A76"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r>
      <w:tr w:rsidR="009246FE" w14:paraId="0ECEADCB"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54CDD91F"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Finanšu līdzekļi papildu izdevumu finansēšanai (kompensējošu izdevumu samazinājumu norāda ar "+" zīmi)</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33096EF0"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X</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3940899A"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inset" w:sz="6" w:space="0" w:color="000000"/>
              <w:left w:val="inset" w:sz="6" w:space="0" w:color="000000"/>
              <w:bottom w:val="inset" w:sz="6" w:space="0" w:color="000000"/>
              <w:right w:val="inset" w:sz="6" w:space="0" w:color="000000"/>
            </w:tcBorders>
            <w:shd w:val="clear" w:color="auto" w:fill="auto"/>
            <w:vAlign w:val="center"/>
          </w:tcPr>
          <w:p w14:paraId="7E0CB7FE"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X</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0DB21CA6"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993" w:type="dxa"/>
            <w:tcBorders>
              <w:top w:val="inset" w:sz="6" w:space="0" w:color="000000"/>
              <w:left w:val="inset" w:sz="6" w:space="0" w:color="000000"/>
              <w:bottom w:val="inset" w:sz="6" w:space="0" w:color="000000"/>
              <w:right w:val="inset" w:sz="6" w:space="0" w:color="000000"/>
            </w:tcBorders>
            <w:shd w:val="clear" w:color="auto" w:fill="auto"/>
            <w:vAlign w:val="center"/>
          </w:tcPr>
          <w:p w14:paraId="3F941064"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46400BC5"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0</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562729E8"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246FE" w14:paraId="6B0F3D70"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19375ED4"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992" w:type="dxa"/>
            <w:vMerge w:val="restart"/>
            <w:tcBorders>
              <w:top w:val="inset" w:sz="6" w:space="0" w:color="000000"/>
              <w:left w:val="inset" w:sz="6" w:space="0" w:color="000000"/>
              <w:bottom w:val="inset" w:sz="6" w:space="0" w:color="000000"/>
              <w:right w:val="inset" w:sz="6" w:space="0" w:color="000000"/>
            </w:tcBorders>
            <w:shd w:val="clear" w:color="auto" w:fill="auto"/>
            <w:vAlign w:val="center"/>
          </w:tcPr>
          <w:p w14:paraId="41E61A33"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623F4A41"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val="restart"/>
            <w:tcBorders>
              <w:top w:val="inset" w:sz="6" w:space="0" w:color="000000"/>
              <w:left w:val="inset" w:sz="6" w:space="0" w:color="000000"/>
              <w:bottom w:val="inset" w:sz="6" w:space="0" w:color="000000"/>
              <w:right w:val="inset" w:sz="6" w:space="0" w:color="000000"/>
            </w:tcBorders>
            <w:shd w:val="clear" w:color="auto" w:fill="auto"/>
            <w:vAlign w:val="center"/>
          </w:tcPr>
          <w:p w14:paraId="2A5697B1"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1D002952"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993" w:type="dxa"/>
            <w:vMerge w:val="restart"/>
            <w:tcBorders>
              <w:top w:val="inset" w:sz="6" w:space="0" w:color="000000"/>
              <w:left w:val="inset" w:sz="6" w:space="0" w:color="000000"/>
              <w:bottom w:val="inset" w:sz="6" w:space="0" w:color="000000"/>
              <w:right w:val="inset" w:sz="6" w:space="0" w:color="000000"/>
            </w:tcBorders>
            <w:shd w:val="clear" w:color="auto" w:fill="auto"/>
            <w:vAlign w:val="center"/>
          </w:tcPr>
          <w:p w14:paraId="2AA7E729"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2641B902"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49F3980D"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r>
      <w:tr w:rsidR="009246FE" w14:paraId="16D8AED9"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57B019BB"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valsts pamatbudžets</w:t>
            </w:r>
          </w:p>
        </w:tc>
        <w:tc>
          <w:tcPr>
            <w:tcW w:w="992"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049F31CB" w14:textId="77777777" w:rsidR="009246FE" w:rsidRDefault="009246FE">
            <w:pPr>
              <w:spacing w:after="0" w:line="240" w:lineRule="auto"/>
              <w:jc w:val="center"/>
              <w:rPr>
                <w:rFonts w:ascii="Times New Roman" w:hAnsi="Times New Roman" w:cs="Times New Roman"/>
                <w:sz w:val="24"/>
                <w:szCs w:val="24"/>
              </w:rPr>
            </w:pP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37047F10"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53128261" w14:textId="77777777" w:rsidR="009246FE" w:rsidRDefault="009246FE">
            <w:pPr>
              <w:spacing w:after="0" w:line="240" w:lineRule="auto"/>
              <w:jc w:val="center"/>
              <w:rPr>
                <w:rFonts w:ascii="Times New Roman" w:hAnsi="Times New Roman" w:cs="Times New Roman"/>
                <w:sz w:val="24"/>
                <w:szCs w:val="24"/>
              </w:rPr>
            </w:pP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7C59E2BF"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993"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62486C05" w14:textId="77777777" w:rsidR="009246FE" w:rsidRDefault="009246FE">
            <w:pPr>
              <w:spacing w:after="0" w:line="240" w:lineRule="auto"/>
              <w:jc w:val="center"/>
              <w:rPr>
                <w:rFonts w:ascii="Times New Roman" w:hAnsi="Times New Roman" w:cs="Times New Roman"/>
                <w:sz w:val="24"/>
                <w:szCs w:val="24"/>
              </w:rPr>
            </w:pP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5AB91387"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33C7149A"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r>
      <w:tr w:rsidR="009246FE" w14:paraId="076F0C75"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79E3DA13"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speciālais budžets</w:t>
            </w:r>
          </w:p>
        </w:tc>
        <w:tc>
          <w:tcPr>
            <w:tcW w:w="992"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4101652C" w14:textId="77777777" w:rsidR="009246FE" w:rsidRDefault="009246FE">
            <w:pPr>
              <w:spacing w:after="0" w:line="240" w:lineRule="auto"/>
              <w:jc w:val="center"/>
              <w:rPr>
                <w:rFonts w:ascii="Times New Roman" w:hAnsi="Times New Roman" w:cs="Times New Roman"/>
                <w:sz w:val="24"/>
                <w:szCs w:val="24"/>
              </w:rPr>
            </w:pP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68C27B80"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4B99056E" w14:textId="77777777" w:rsidR="009246FE" w:rsidRDefault="009246FE">
            <w:pPr>
              <w:spacing w:after="0" w:line="240" w:lineRule="auto"/>
              <w:jc w:val="center"/>
              <w:rPr>
                <w:rFonts w:ascii="Times New Roman" w:hAnsi="Times New Roman" w:cs="Times New Roman"/>
                <w:sz w:val="24"/>
                <w:szCs w:val="24"/>
              </w:rPr>
            </w:pP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0846B226"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1299C43A" w14:textId="77777777" w:rsidR="009246FE" w:rsidRDefault="009246FE">
            <w:pPr>
              <w:spacing w:after="0" w:line="240" w:lineRule="auto"/>
              <w:jc w:val="center"/>
              <w:rPr>
                <w:rFonts w:ascii="Times New Roman" w:hAnsi="Times New Roman" w:cs="Times New Roman"/>
                <w:sz w:val="24"/>
                <w:szCs w:val="24"/>
              </w:rPr>
            </w:pP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687C6CF4"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3298C3B7"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246FE" w14:paraId="2B7B0B85"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39A0D449"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 pašvaldību budžets</w:t>
            </w:r>
          </w:p>
        </w:tc>
        <w:tc>
          <w:tcPr>
            <w:tcW w:w="992"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4DDBEF00" w14:textId="77777777" w:rsidR="009246FE" w:rsidRDefault="009246FE">
            <w:pPr>
              <w:spacing w:after="0" w:line="240" w:lineRule="auto"/>
              <w:jc w:val="center"/>
              <w:rPr>
                <w:rFonts w:ascii="Times New Roman" w:hAnsi="Times New Roman" w:cs="Times New Roman"/>
                <w:sz w:val="24"/>
                <w:szCs w:val="24"/>
              </w:rPr>
            </w:pP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2D19A2F3"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3461D779" w14:textId="77777777" w:rsidR="009246FE" w:rsidRDefault="009246FE">
            <w:pPr>
              <w:spacing w:after="0" w:line="240" w:lineRule="auto"/>
              <w:jc w:val="center"/>
              <w:rPr>
                <w:rFonts w:ascii="Times New Roman" w:hAnsi="Times New Roman" w:cs="Times New Roman"/>
                <w:sz w:val="24"/>
                <w:szCs w:val="24"/>
              </w:rPr>
            </w:pPr>
          </w:p>
        </w:tc>
        <w:tc>
          <w:tcPr>
            <w:tcW w:w="1134" w:type="dxa"/>
            <w:tcBorders>
              <w:top w:val="inset" w:sz="6" w:space="0" w:color="000000"/>
              <w:left w:val="inset" w:sz="6" w:space="0" w:color="000000"/>
              <w:bottom w:val="inset" w:sz="6" w:space="0" w:color="000000"/>
              <w:right w:val="inset" w:sz="6" w:space="0" w:color="000000"/>
            </w:tcBorders>
            <w:shd w:val="clear" w:color="auto" w:fill="auto"/>
            <w:vAlign w:val="center"/>
          </w:tcPr>
          <w:p w14:paraId="7FBE3CFD"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993" w:type="dxa"/>
            <w:vMerge/>
            <w:tcBorders>
              <w:top w:val="inset" w:sz="6" w:space="0" w:color="000000"/>
              <w:left w:val="inset" w:sz="6" w:space="0" w:color="000000"/>
              <w:bottom w:val="inset" w:sz="6" w:space="0" w:color="000000"/>
              <w:right w:val="inset" w:sz="6" w:space="0" w:color="000000"/>
            </w:tcBorders>
            <w:shd w:val="clear" w:color="auto" w:fill="auto"/>
            <w:vAlign w:val="center"/>
          </w:tcPr>
          <w:p w14:paraId="3CF2D8B6" w14:textId="77777777" w:rsidR="009246FE" w:rsidRDefault="009246FE">
            <w:pPr>
              <w:spacing w:after="0" w:line="240" w:lineRule="auto"/>
              <w:jc w:val="center"/>
              <w:rPr>
                <w:rFonts w:ascii="Times New Roman" w:hAnsi="Times New Roman" w:cs="Times New Roman"/>
                <w:sz w:val="24"/>
                <w:szCs w:val="24"/>
              </w:rPr>
            </w:pPr>
          </w:p>
        </w:tc>
        <w:tc>
          <w:tcPr>
            <w:tcW w:w="1111" w:type="dxa"/>
            <w:tcBorders>
              <w:top w:val="inset" w:sz="6" w:space="0" w:color="000000"/>
              <w:left w:val="inset" w:sz="6" w:space="0" w:color="000000"/>
              <w:bottom w:val="inset" w:sz="6" w:space="0" w:color="000000"/>
              <w:right w:val="inset" w:sz="6" w:space="0" w:color="000000"/>
            </w:tcBorders>
            <w:shd w:val="clear" w:color="auto" w:fill="auto"/>
            <w:vAlign w:val="center"/>
          </w:tcPr>
          <w:p w14:paraId="3320BD4A"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c>
          <w:tcPr>
            <w:tcW w:w="1154" w:type="dxa"/>
            <w:tcBorders>
              <w:top w:val="inset" w:sz="6" w:space="0" w:color="000000"/>
              <w:left w:val="inset" w:sz="6" w:space="0" w:color="000000"/>
              <w:bottom w:val="inset" w:sz="6" w:space="0" w:color="000000"/>
              <w:right w:val="inset" w:sz="6" w:space="0" w:color="000000"/>
            </w:tcBorders>
            <w:shd w:val="clear" w:color="auto" w:fill="auto"/>
            <w:vAlign w:val="center"/>
          </w:tcPr>
          <w:p w14:paraId="34EAB8AF" w14:textId="77777777" w:rsidR="009246FE" w:rsidRDefault="00C30A1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Nav precīzi aprēķināms</w:t>
            </w:r>
          </w:p>
        </w:tc>
      </w:tr>
      <w:tr w:rsidR="009246FE" w14:paraId="40C4EE00" w14:textId="77777777">
        <w:trPr>
          <w:cantSplit/>
          <w:trHeight w:val="3586"/>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12DBE72B"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510" w:type="dxa"/>
            <w:gridSpan w:val="7"/>
            <w:vMerge w:val="restart"/>
            <w:tcBorders>
              <w:top w:val="inset" w:sz="6" w:space="0" w:color="000000"/>
              <w:left w:val="inset" w:sz="6" w:space="0" w:color="000000"/>
              <w:bottom w:val="inset" w:sz="6" w:space="0" w:color="000000"/>
              <w:right w:val="inset" w:sz="6" w:space="0" w:color="000000"/>
            </w:tcBorders>
            <w:shd w:val="clear" w:color="auto" w:fill="auto"/>
            <w:vAlign w:val="center"/>
          </w:tcPr>
          <w:p w14:paraId="10DF1293" w14:textId="77777777" w:rsidR="009246FE" w:rsidRDefault="00C30A1A">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r w:rsidR="009246FE" w14:paraId="03EC597F"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763C7252"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detalizēts ieņēmumu aprēķins</w:t>
            </w:r>
          </w:p>
        </w:tc>
        <w:tc>
          <w:tcPr>
            <w:tcW w:w="7510" w:type="dxa"/>
            <w:gridSpan w:val="7"/>
            <w:vMerge/>
            <w:tcBorders>
              <w:top w:val="inset" w:sz="6" w:space="0" w:color="000000"/>
              <w:left w:val="inset" w:sz="6" w:space="0" w:color="000000"/>
              <w:bottom w:val="inset" w:sz="6" w:space="0" w:color="000000"/>
              <w:right w:val="inset" w:sz="6" w:space="0" w:color="000000"/>
            </w:tcBorders>
            <w:shd w:val="clear" w:color="auto" w:fill="auto"/>
            <w:vAlign w:val="center"/>
          </w:tcPr>
          <w:p w14:paraId="0FB78278" w14:textId="77777777" w:rsidR="009246FE" w:rsidRDefault="009246FE">
            <w:pPr>
              <w:spacing w:after="0" w:line="240" w:lineRule="auto"/>
              <w:jc w:val="center"/>
              <w:rPr>
                <w:rFonts w:ascii="Times New Roman" w:hAnsi="Times New Roman" w:cs="Times New Roman"/>
                <w:sz w:val="24"/>
                <w:szCs w:val="24"/>
              </w:rPr>
            </w:pPr>
          </w:p>
        </w:tc>
      </w:tr>
      <w:tr w:rsidR="009246FE" w14:paraId="14D67970"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52C8B771"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7510" w:type="dxa"/>
            <w:gridSpan w:val="7"/>
            <w:vMerge/>
            <w:tcBorders>
              <w:top w:val="inset" w:sz="6" w:space="0" w:color="000000"/>
              <w:left w:val="inset" w:sz="6" w:space="0" w:color="000000"/>
              <w:bottom w:val="inset" w:sz="6" w:space="0" w:color="000000"/>
              <w:right w:val="inset" w:sz="6" w:space="0" w:color="000000"/>
            </w:tcBorders>
            <w:shd w:val="clear" w:color="auto" w:fill="auto"/>
            <w:vAlign w:val="center"/>
          </w:tcPr>
          <w:p w14:paraId="1FC39945" w14:textId="77777777" w:rsidR="009246FE" w:rsidRDefault="009246FE">
            <w:pPr>
              <w:spacing w:after="0" w:line="240" w:lineRule="auto"/>
              <w:jc w:val="center"/>
              <w:rPr>
                <w:rFonts w:ascii="Times New Roman" w:hAnsi="Times New Roman" w:cs="Times New Roman"/>
                <w:sz w:val="24"/>
                <w:szCs w:val="24"/>
              </w:rPr>
            </w:pPr>
          </w:p>
        </w:tc>
      </w:tr>
      <w:tr w:rsidR="009246FE" w14:paraId="03BE6E29"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07280B91"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 Amata vietu skaita izmaiņas</w:t>
            </w:r>
          </w:p>
        </w:tc>
        <w:tc>
          <w:tcPr>
            <w:tcW w:w="7510" w:type="dxa"/>
            <w:gridSpan w:val="7"/>
            <w:tcBorders>
              <w:top w:val="inset" w:sz="6" w:space="0" w:color="000000"/>
              <w:left w:val="inset" w:sz="6" w:space="0" w:color="000000"/>
              <w:bottom w:val="inset" w:sz="6" w:space="0" w:color="000000"/>
              <w:right w:val="inset" w:sz="6" w:space="0" w:color="000000"/>
            </w:tcBorders>
            <w:shd w:val="clear" w:color="auto" w:fill="auto"/>
            <w:vAlign w:val="center"/>
          </w:tcPr>
          <w:p w14:paraId="2F47D3D5" w14:textId="77777777" w:rsidR="009246FE" w:rsidRDefault="00C30A1A">
            <w:pPr>
              <w:spacing w:after="0" w:line="240" w:lineRule="auto"/>
              <w:rPr>
                <w:rFonts w:ascii="Times New Roman" w:hAnsi="Times New Roman" w:cs="Times New Roman"/>
                <w:sz w:val="24"/>
                <w:szCs w:val="24"/>
              </w:rPr>
            </w:pPr>
            <w:r>
              <w:rPr>
                <w:rFonts w:ascii="Times New Roman" w:hAnsi="Times New Roman" w:cs="Times New Roman"/>
                <w:sz w:val="24"/>
                <w:szCs w:val="24"/>
              </w:rPr>
              <w:t>Projekts šo jomu neskar.</w:t>
            </w:r>
          </w:p>
        </w:tc>
      </w:tr>
      <w:tr w:rsidR="009246FE" w14:paraId="2F63612B" w14:textId="77777777">
        <w:trPr>
          <w:cantSplit/>
        </w:trPr>
        <w:tc>
          <w:tcPr>
            <w:tcW w:w="1560" w:type="dxa"/>
            <w:tcBorders>
              <w:top w:val="inset" w:sz="6" w:space="0" w:color="000000"/>
              <w:left w:val="inset" w:sz="6" w:space="0" w:color="000000"/>
              <w:bottom w:val="inset" w:sz="6" w:space="0" w:color="000000"/>
              <w:right w:val="inset" w:sz="6" w:space="0" w:color="000000"/>
            </w:tcBorders>
            <w:shd w:val="clear" w:color="auto" w:fill="auto"/>
            <w:vAlign w:val="center"/>
          </w:tcPr>
          <w:p w14:paraId="047B0A2A" w14:textId="77777777" w:rsidR="009246FE" w:rsidRDefault="00C30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Cita informācija</w:t>
            </w:r>
          </w:p>
        </w:tc>
        <w:tc>
          <w:tcPr>
            <w:tcW w:w="7510" w:type="dxa"/>
            <w:gridSpan w:val="7"/>
            <w:tcBorders>
              <w:top w:val="inset" w:sz="6" w:space="0" w:color="000000"/>
              <w:left w:val="inset" w:sz="6" w:space="0" w:color="000000"/>
              <w:bottom w:val="inset" w:sz="6" w:space="0" w:color="000000"/>
              <w:right w:val="inset" w:sz="6" w:space="0" w:color="000000"/>
            </w:tcBorders>
            <w:shd w:val="clear" w:color="auto" w:fill="auto"/>
            <w:vAlign w:val="center"/>
          </w:tcPr>
          <w:p w14:paraId="299AE9D1" w14:textId="77777777" w:rsidR="009246FE" w:rsidRDefault="00C30A1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Ietekme uz valsts un pašvaldību budžetu nav precīzi aprēķināma, bet kopumā vērtējam kā neitrāla.</w:t>
            </w:r>
          </w:p>
        </w:tc>
      </w:tr>
    </w:tbl>
    <w:p w14:paraId="0562CB0E" w14:textId="77777777" w:rsidR="009246FE" w:rsidRDefault="009246FE"/>
    <w:tbl>
      <w:tblPr>
        <w:tblW w:w="5000" w:type="pct"/>
        <w:tblCellMar>
          <w:top w:w="30" w:type="dxa"/>
          <w:left w:w="30" w:type="dxa"/>
          <w:bottom w:w="30" w:type="dxa"/>
          <w:right w:w="30" w:type="dxa"/>
        </w:tblCellMar>
        <w:tblLook w:val="04A0" w:firstRow="1" w:lastRow="0" w:firstColumn="1" w:lastColumn="0" w:noHBand="0" w:noVBand="1"/>
      </w:tblPr>
      <w:tblGrid>
        <w:gridCol w:w="581"/>
        <w:gridCol w:w="2388"/>
        <w:gridCol w:w="6086"/>
      </w:tblGrid>
      <w:tr w:rsidR="009246FE" w14:paraId="0FD8C9A4"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391F3F9" w14:textId="77777777" w:rsidR="009246FE" w:rsidRDefault="00C30A1A">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IV. Tiesību akta projekta ietekme uz spēkā esošo tiesību normu sistēmu</w:t>
            </w:r>
          </w:p>
        </w:tc>
      </w:tr>
      <w:tr w:rsidR="009246FE" w14:paraId="4ACF8E89"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06B67560"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2C808FDF"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Nepieciešamie saistītie tiesību aktu projekti</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7765E729" w14:textId="77777777" w:rsidR="009246FE" w:rsidRDefault="00C30A1A">
            <w:pPr>
              <w:spacing w:after="0"/>
              <w:jc w:val="both"/>
              <w:rPr>
                <w:rFonts w:ascii="Times New Roman" w:hAnsi="Times New Roman" w:cs="Times New Roman"/>
                <w:sz w:val="24"/>
                <w:szCs w:val="24"/>
              </w:rPr>
            </w:pPr>
            <w:r>
              <w:rPr>
                <w:rFonts w:ascii="Times New Roman" w:hAnsi="Times New Roman" w:cs="Times New Roman"/>
                <w:sz w:val="24"/>
                <w:szCs w:val="24"/>
              </w:rPr>
              <w:t xml:space="preserve">Jāveic grozījumi MKN 350, svītrojot tajos normas, kas deleģētas ar likuma “Par zemes dzīlēm” 8. panta otrās daļas 4. punktu – jāsvītro 1.2. apakšpunkts, 5. sadaļa “Zemesgabala iznomāšana zemes dzīļu izmantošanai”,136. un </w:t>
            </w:r>
            <w:r w:rsidRPr="00164B85">
              <w:rPr>
                <w:rFonts w:ascii="Times New Roman" w:hAnsi="Times New Roman" w:cs="Times New Roman"/>
                <w:sz w:val="24"/>
                <w:szCs w:val="24"/>
              </w:rPr>
              <w:t>140.</w:t>
            </w:r>
            <w:r>
              <w:rPr>
                <w:rFonts w:ascii="Times New Roman" w:hAnsi="Times New Roman" w:cs="Times New Roman"/>
                <w:sz w:val="24"/>
                <w:szCs w:val="24"/>
              </w:rPr>
              <w:t> punkts.</w:t>
            </w:r>
          </w:p>
        </w:tc>
      </w:tr>
      <w:tr w:rsidR="009246FE" w14:paraId="3D217AA9"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01BF37A6"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3933C75D"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Atbildīgā institūcija</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0FA7B110" w14:textId="77777777" w:rsidR="009246FE" w:rsidRDefault="00C30A1A">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VARAM, Valsts vides dienests, VSIA “Latvijas Vides, ģeoloģijas un meteoroloģijas centrs”, Dabas aizsardzības pārvalde.</w:t>
            </w:r>
          </w:p>
        </w:tc>
      </w:tr>
      <w:tr w:rsidR="009246FE" w14:paraId="2A3652A0"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407EEA5D"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4D7545BB"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Cita informācija</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40EC27AA" w14:textId="77777777" w:rsidR="009246FE" w:rsidRDefault="00C30A1A">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34CE0A41" w14:textId="77777777" w:rsidR="009246FE" w:rsidRDefault="009246FE">
      <w:pPr>
        <w:spacing w:after="0" w:line="240" w:lineRule="auto"/>
        <w:rPr>
          <w:rFonts w:ascii="Times New Roman" w:eastAsia="Times New Roman" w:hAnsi="Times New Roman" w:cs="Times New Roman"/>
          <w:iCs/>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55"/>
      </w:tblGrid>
      <w:tr w:rsidR="009246FE" w14:paraId="5F347669"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DEAFA43" w14:textId="77777777" w:rsidR="009246FE" w:rsidRDefault="00C30A1A">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246FE" w14:paraId="5E18D8FF"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73FED13" w14:textId="77777777" w:rsidR="009246FE" w:rsidRDefault="00C30A1A">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sz w:val="24"/>
                <w:szCs w:val="24"/>
                <w:lang w:eastAsia="lv-LV"/>
              </w:rPr>
              <w:t>Projekts šo jomu neskar.</w:t>
            </w:r>
          </w:p>
        </w:tc>
      </w:tr>
    </w:tbl>
    <w:p w14:paraId="705B3BE8"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81"/>
        <w:gridCol w:w="2388"/>
        <w:gridCol w:w="6086"/>
      </w:tblGrid>
      <w:tr w:rsidR="009246FE" w14:paraId="4EC7A40B"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03EC6B4" w14:textId="77777777" w:rsidR="009246FE" w:rsidRDefault="00C30A1A">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VI. Sabiedrības līdzdalība un komunikācijas aktivitātes</w:t>
            </w:r>
          </w:p>
        </w:tc>
      </w:tr>
      <w:tr w:rsidR="009246FE" w14:paraId="10656058"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11361BD6"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36C105D5"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1E801706" w14:textId="77777777" w:rsidR="009246FE" w:rsidRDefault="00C30A1A">
            <w:pPr>
              <w:pStyle w:val="naisf"/>
              <w:spacing w:before="0" w:after="120"/>
              <w:ind w:firstLine="0"/>
            </w:pPr>
            <w:r>
              <w:t xml:space="preserve">Sabiedrības līdzdalība nodrošināta atbilstoši Ministru kabineta 2009. gada 25. augusta noteikumiem Nr. 970 </w:t>
            </w:r>
            <w:r>
              <w:rPr>
                <w:rFonts w:eastAsia="Calibri"/>
                <w:lang w:eastAsia="en-US"/>
              </w:rPr>
              <w:t>“</w:t>
            </w:r>
            <w:r>
              <w:t>Sabiedrības līdzdalības kārtība attīstības plānošanas procesā”. Ieinteresētajām personām ir tiesības izteikt viedokli un sniegt rakstiskus priekšlikumus.</w:t>
            </w:r>
          </w:p>
        </w:tc>
      </w:tr>
      <w:tr w:rsidR="009246FE" w14:paraId="6A3E1DCE"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66CBCBC9"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7554934A"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1F496148" w14:textId="77777777" w:rsidR="009246FE" w:rsidRDefault="00C30A1A">
            <w:pPr>
              <w:spacing w:after="120" w:line="240" w:lineRule="auto"/>
              <w:jc w:val="both"/>
            </w:pPr>
            <w:r>
              <w:rPr>
                <w:rFonts w:ascii="Times New Roman" w:eastAsia="Times New Roman" w:hAnsi="Times New Roman" w:cs="Times New Roman"/>
                <w:sz w:val="24"/>
                <w:szCs w:val="24"/>
                <w:lang w:eastAsia="lv-LV"/>
              </w:rPr>
              <w:t xml:space="preserve">Noteikumu projekts 2018. gada 29. maijā ievietots VARAM tīmekļvietnē </w:t>
            </w:r>
            <w:hyperlink r:id="rId11">
              <w:r>
                <w:rPr>
                  <w:rStyle w:val="Internetasaite"/>
                  <w:rFonts w:ascii="Times New Roman" w:eastAsia="Times New Roman" w:hAnsi="Times New Roman" w:cs="Times New Roman"/>
                  <w:color w:val="auto"/>
                  <w:sz w:val="24"/>
                  <w:szCs w:val="24"/>
                  <w:lang w:eastAsia="lv-LV"/>
                </w:rPr>
                <w:t>www.varam.gov.lv</w:t>
              </w:r>
            </w:hyperlink>
            <w:r>
              <w:rPr>
                <w:rFonts w:ascii="Times New Roman" w:eastAsia="Times New Roman" w:hAnsi="Times New Roman" w:cs="Times New Roman"/>
                <w:sz w:val="24"/>
                <w:szCs w:val="24"/>
                <w:lang w:eastAsia="lv-LV"/>
              </w:rPr>
              <w:t>, paziņojot par sabiedrības līdzdalības iespējam noteikumu projekta izstrādes procesā.</w:t>
            </w:r>
          </w:p>
        </w:tc>
      </w:tr>
      <w:tr w:rsidR="009246FE" w14:paraId="17A90064"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4AF02D9B"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6ED1A20C"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3D40A4E0" w14:textId="77777777" w:rsidR="009246FE" w:rsidRDefault="00C30A1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Komentāri vai iebildumi nav saņemti. </w:t>
            </w:r>
          </w:p>
        </w:tc>
      </w:tr>
      <w:tr w:rsidR="009246FE" w14:paraId="5ADFDC75"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19BF4E49"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03D9C221"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372180BD" w14:textId="77777777" w:rsidR="009246FE" w:rsidRDefault="00C30A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1254921"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81"/>
        <w:gridCol w:w="2389"/>
        <w:gridCol w:w="6085"/>
      </w:tblGrid>
      <w:tr w:rsidR="009246FE" w14:paraId="0A21DD87"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13BFC72" w14:textId="77777777" w:rsidR="009246FE" w:rsidRDefault="00C30A1A">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246FE" w14:paraId="391F0E9F"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6E1226D5"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3C0C2A68"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31A2D6AE" w14:textId="77777777" w:rsidR="009246FE" w:rsidRDefault="00C30A1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VARAM, Valsts vides dienests, VSIA “Latvijas Vides, ģeoloģijas un meteoroloģijas centrs”, Dabas aizsardzības pārvalde, AS “Latvijas valsts meži”, pašvaldības.</w:t>
            </w:r>
          </w:p>
        </w:tc>
      </w:tr>
      <w:tr w:rsidR="009246FE" w14:paraId="0D5CBE85"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0EA49EC3"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4F7BDAF8"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 xml:space="preserve">Jaunu institūciju izveide, esošu institūciju likvidācija vai reorganizācija, to </w:t>
            </w:r>
            <w:r>
              <w:rPr>
                <w:rFonts w:ascii="Times New Roman" w:eastAsia="Times New Roman" w:hAnsi="Times New Roman" w:cs="Times New Roman"/>
                <w:iCs/>
                <w:sz w:val="24"/>
                <w:szCs w:val="24"/>
                <w:lang w:eastAsia="lv-LV"/>
              </w:rPr>
              <w:lastRenderedPageBreak/>
              <w:t>ietekme uz institūcijas cilvēkresursiem</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0DA964EE" w14:textId="77777777" w:rsidR="009246FE" w:rsidRDefault="00C30A1A">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iCs/>
                <w:sz w:val="24"/>
                <w:szCs w:val="24"/>
              </w:rPr>
              <w:lastRenderedPageBreak/>
              <w:t>Noteikumu projekta īstenošana tiks veikta esošo cilvēkresursu ietvaros. Saistībā ar noteikumu projekta izpildi nebūs nepieciešams veidot jaunas institūcijas vai likvidēt, reorganizēt esošās.</w:t>
            </w:r>
          </w:p>
        </w:tc>
      </w:tr>
      <w:tr w:rsidR="009246FE" w14:paraId="78DE7F33" w14:textId="77777777">
        <w:tc>
          <w:tcPr>
            <w:tcW w:w="582" w:type="dxa"/>
            <w:tcBorders>
              <w:top w:val="outset" w:sz="6" w:space="0" w:color="000000"/>
              <w:left w:val="outset" w:sz="6" w:space="0" w:color="000000"/>
              <w:bottom w:val="outset" w:sz="6" w:space="0" w:color="000000"/>
              <w:right w:val="outset" w:sz="6" w:space="0" w:color="000000"/>
            </w:tcBorders>
            <w:shd w:val="clear" w:color="auto" w:fill="auto"/>
          </w:tcPr>
          <w:p w14:paraId="5E26EE8C"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391" w:type="dxa"/>
            <w:tcBorders>
              <w:top w:val="outset" w:sz="6" w:space="0" w:color="000000"/>
              <w:left w:val="outset" w:sz="6" w:space="0" w:color="000000"/>
              <w:bottom w:val="outset" w:sz="6" w:space="0" w:color="000000"/>
              <w:right w:val="outset" w:sz="6" w:space="0" w:color="000000"/>
            </w:tcBorders>
            <w:shd w:val="clear" w:color="auto" w:fill="auto"/>
          </w:tcPr>
          <w:p w14:paraId="4629980F"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098" w:type="dxa"/>
            <w:tcBorders>
              <w:top w:val="outset" w:sz="6" w:space="0" w:color="000000"/>
              <w:left w:val="outset" w:sz="6" w:space="0" w:color="000000"/>
              <w:bottom w:val="outset" w:sz="6" w:space="0" w:color="000000"/>
              <w:right w:val="outset" w:sz="6" w:space="0" w:color="000000"/>
            </w:tcBorders>
            <w:shd w:val="clear" w:color="auto" w:fill="auto"/>
          </w:tcPr>
          <w:p w14:paraId="28FB3D7F" w14:textId="77777777" w:rsidR="009246FE" w:rsidRDefault="00C30A1A">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62EBF3C5" w14:textId="77777777" w:rsidR="009246FE" w:rsidRDefault="009246FE">
      <w:pPr>
        <w:spacing w:after="0" w:line="240" w:lineRule="auto"/>
        <w:rPr>
          <w:rFonts w:ascii="Times New Roman" w:hAnsi="Times New Roman" w:cs="Times New Roman"/>
          <w:sz w:val="28"/>
          <w:szCs w:val="28"/>
        </w:rPr>
      </w:pPr>
    </w:p>
    <w:p w14:paraId="6D98A12B" w14:textId="77777777" w:rsidR="009246FE" w:rsidRDefault="009246FE">
      <w:pPr>
        <w:spacing w:after="0" w:line="240" w:lineRule="auto"/>
        <w:rPr>
          <w:rFonts w:ascii="Times New Roman" w:hAnsi="Times New Roman" w:cs="Times New Roman"/>
          <w:sz w:val="28"/>
          <w:szCs w:val="28"/>
        </w:rPr>
      </w:pPr>
    </w:p>
    <w:p w14:paraId="542CB699" w14:textId="77777777" w:rsidR="009246FE" w:rsidRDefault="00C30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Vides aizsardzības un </w:t>
      </w:r>
    </w:p>
    <w:p w14:paraId="50A25676" w14:textId="77777777" w:rsidR="009246FE" w:rsidRDefault="00C30A1A">
      <w:pPr>
        <w:tabs>
          <w:tab w:val="left" w:pos="7371"/>
        </w:tabs>
        <w:spacing w:after="0" w:line="240" w:lineRule="auto"/>
        <w:rPr>
          <w:rFonts w:ascii="Times New Roman" w:hAnsi="Times New Roman" w:cs="Times New Roman"/>
          <w:sz w:val="24"/>
          <w:szCs w:val="24"/>
        </w:rPr>
      </w:pPr>
      <w:r>
        <w:rPr>
          <w:rFonts w:ascii="Times New Roman" w:hAnsi="Times New Roman" w:cs="Times New Roman"/>
          <w:sz w:val="24"/>
          <w:szCs w:val="24"/>
        </w:rPr>
        <w:t>reģionālās attīstības ministrs</w:t>
      </w:r>
      <w:r>
        <w:rPr>
          <w:rFonts w:ascii="Times New Roman" w:hAnsi="Times New Roman" w:cs="Times New Roman"/>
          <w:sz w:val="24"/>
          <w:szCs w:val="24"/>
        </w:rPr>
        <w:tab/>
      </w:r>
      <w:r>
        <w:rPr>
          <w:rFonts w:ascii="Times New Roman" w:hAnsi="Times New Roman" w:cs="Times New Roman"/>
          <w:sz w:val="24"/>
          <w:szCs w:val="24"/>
        </w:rPr>
        <w:tab/>
        <w:t>J. Pūce</w:t>
      </w:r>
    </w:p>
    <w:p w14:paraId="2946DB82" w14:textId="77777777" w:rsidR="009246FE" w:rsidRDefault="009246FE">
      <w:pPr>
        <w:spacing w:after="0" w:line="240" w:lineRule="auto"/>
        <w:ind w:firstLine="720"/>
        <w:rPr>
          <w:rFonts w:ascii="Times New Roman" w:hAnsi="Times New Roman" w:cs="Times New Roman"/>
          <w:sz w:val="28"/>
          <w:szCs w:val="28"/>
        </w:rPr>
      </w:pPr>
    </w:p>
    <w:p w14:paraId="5997CC1D" w14:textId="77777777" w:rsidR="009246FE" w:rsidRDefault="009246FE">
      <w:pPr>
        <w:tabs>
          <w:tab w:val="left" w:pos="6237"/>
        </w:tabs>
        <w:spacing w:after="0" w:line="240" w:lineRule="auto"/>
        <w:ind w:firstLine="720"/>
        <w:rPr>
          <w:rFonts w:ascii="Times New Roman" w:hAnsi="Times New Roman" w:cs="Times New Roman"/>
          <w:sz w:val="28"/>
          <w:szCs w:val="28"/>
        </w:rPr>
      </w:pPr>
    </w:p>
    <w:p w14:paraId="110FFD37" w14:textId="77777777" w:rsidR="009246FE" w:rsidRDefault="009246FE">
      <w:pPr>
        <w:tabs>
          <w:tab w:val="left" w:pos="6237"/>
        </w:tabs>
        <w:spacing w:after="0" w:line="240" w:lineRule="auto"/>
        <w:ind w:firstLine="720"/>
        <w:rPr>
          <w:rFonts w:ascii="Times New Roman" w:hAnsi="Times New Roman" w:cs="Times New Roman"/>
          <w:sz w:val="28"/>
          <w:szCs w:val="28"/>
        </w:rPr>
      </w:pPr>
    </w:p>
    <w:p w14:paraId="6B699379" w14:textId="77777777" w:rsidR="009246FE" w:rsidRDefault="009246FE">
      <w:pPr>
        <w:tabs>
          <w:tab w:val="left" w:pos="6237"/>
        </w:tabs>
        <w:spacing w:after="0" w:line="240" w:lineRule="auto"/>
        <w:ind w:firstLine="720"/>
        <w:rPr>
          <w:rFonts w:ascii="Times New Roman" w:hAnsi="Times New Roman" w:cs="Times New Roman"/>
          <w:sz w:val="28"/>
          <w:szCs w:val="28"/>
        </w:rPr>
      </w:pPr>
    </w:p>
    <w:p w14:paraId="27D64D2D" w14:textId="77777777" w:rsidR="009246FE" w:rsidRDefault="00C30A1A">
      <w:pPr>
        <w:pStyle w:val="ListParagraph"/>
        <w:tabs>
          <w:tab w:val="left" w:pos="567"/>
        </w:tabs>
        <w:spacing w:after="0" w:line="240" w:lineRule="auto"/>
        <w:ind w:left="0"/>
        <w:jc w:val="both"/>
        <w:rPr>
          <w:rFonts w:ascii="Times New Roman" w:hAnsi="Times New Roman"/>
          <w:bCs/>
          <w:sz w:val="20"/>
          <w:szCs w:val="20"/>
        </w:rPr>
      </w:pPr>
      <w:r>
        <w:rPr>
          <w:rFonts w:ascii="Times New Roman" w:hAnsi="Times New Roman"/>
          <w:bCs/>
          <w:sz w:val="20"/>
          <w:szCs w:val="20"/>
        </w:rPr>
        <w:t>Gāga 67026518</w:t>
      </w:r>
    </w:p>
    <w:p w14:paraId="4CE65882" w14:textId="77777777" w:rsidR="009246FE" w:rsidRDefault="00C30A1A">
      <w:pPr>
        <w:pStyle w:val="ListParagraph"/>
        <w:tabs>
          <w:tab w:val="left" w:pos="567"/>
        </w:tabs>
        <w:spacing w:after="0" w:line="240" w:lineRule="auto"/>
        <w:ind w:left="0"/>
        <w:jc w:val="both"/>
        <w:rPr>
          <w:rFonts w:ascii="Times New Roman" w:hAnsi="Times New Roman"/>
          <w:sz w:val="20"/>
          <w:szCs w:val="20"/>
        </w:rPr>
      </w:pPr>
      <w:r>
        <w:rPr>
          <w:rStyle w:val="Internetasaite"/>
          <w:rFonts w:ascii="Times New Roman" w:hAnsi="Times New Roman"/>
          <w:bCs/>
          <w:color w:val="auto"/>
          <w:sz w:val="20"/>
          <w:szCs w:val="20"/>
          <w:u w:val="none"/>
        </w:rPr>
        <w:t>kristine.gaga@varam.gov.lv</w:t>
      </w:r>
      <w:r>
        <w:rPr>
          <w:rFonts w:ascii="Times New Roman" w:hAnsi="Times New Roman"/>
          <w:bCs/>
          <w:sz w:val="20"/>
          <w:szCs w:val="20"/>
        </w:rPr>
        <w:t xml:space="preserve"> </w:t>
      </w:r>
    </w:p>
    <w:p w14:paraId="3FE9F23F" w14:textId="77777777" w:rsidR="009246FE" w:rsidRDefault="009246FE">
      <w:pPr>
        <w:tabs>
          <w:tab w:val="left" w:pos="6237"/>
        </w:tabs>
        <w:spacing w:after="0" w:line="240" w:lineRule="auto"/>
      </w:pPr>
    </w:p>
    <w:sectPr w:rsidR="009246FE">
      <w:headerReference w:type="default" r:id="rId12"/>
      <w:footerReference w:type="default" r:id="rId13"/>
      <w:footerReference w:type="first" r:id="rId14"/>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7E85B" w14:textId="77777777" w:rsidR="006271FC" w:rsidRDefault="006271FC">
      <w:pPr>
        <w:spacing w:after="0" w:line="240" w:lineRule="auto"/>
      </w:pPr>
      <w:r>
        <w:separator/>
      </w:r>
    </w:p>
  </w:endnote>
  <w:endnote w:type="continuationSeparator" w:id="0">
    <w:p w14:paraId="53F957EC" w14:textId="77777777" w:rsidR="006271FC" w:rsidRDefault="0062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1BFB1" w14:textId="77777777" w:rsidR="009246FE" w:rsidRDefault="00C30A1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FILENAME</w:instrText>
    </w:r>
    <w:r>
      <w:rPr>
        <w:rFonts w:ascii="Times New Roman" w:hAnsi="Times New Roman" w:cs="Times New Roman"/>
        <w:sz w:val="20"/>
        <w:szCs w:val="20"/>
      </w:rPr>
      <w:fldChar w:fldCharType="separate"/>
    </w:r>
    <w:r>
      <w:rPr>
        <w:rFonts w:ascii="Times New Roman" w:hAnsi="Times New Roman" w:cs="Times New Roman"/>
        <w:sz w:val="20"/>
        <w:szCs w:val="20"/>
      </w:rPr>
      <w:t>VARAManot_1</w:t>
    </w:r>
    <w:r w:rsidR="00566ED6">
      <w:rPr>
        <w:rFonts w:ascii="Times New Roman" w:hAnsi="Times New Roman" w:cs="Times New Roman"/>
        <w:sz w:val="20"/>
        <w:szCs w:val="20"/>
      </w:rPr>
      <w:t>1</w:t>
    </w:r>
    <w:r>
      <w:rPr>
        <w:rFonts w:ascii="Times New Roman" w:hAnsi="Times New Roman" w:cs="Times New Roman"/>
        <w:sz w:val="20"/>
        <w:szCs w:val="20"/>
      </w:rPr>
      <w:t>0319_MKN696.docx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99A2" w14:textId="77777777" w:rsidR="009246FE" w:rsidRDefault="00C30A1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FILENAME</w:instrText>
    </w:r>
    <w:r>
      <w:rPr>
        <w:rFonts w:ascii="Times New Roman" w:hAnsi="Times New Roman" w:cs="Times New Roman"/>
        <w:sz w:val="20"/>
        <w:szCs w:val="20"/>
      </w:rPr>
      <w:fldChar w:fldCharType="separate"/>
    </w:r>
    <w:r>
      <w:rPr>
        <w:rFonts w:ascii="Times New Roman" w:hAnsi="Times New Roman" w:cs="Times New Roman"/>
        <w:sz w:val="20"/>
        <w:szCs w:val="20"/>
      </w:rPr>
      <w:t>VARAManot_1</w:t>
    </w:r>
    <w:r w:rsidR="00566ED6">
      <w:rPr>
        <w:rFonts w:ascii="Times New Roman" w:hAnsi="Times New Roman" w:cs="Times New Roman"/>
        <w:sz w:val="20"/>
        <w:szCs w:val="20"/>
      </w:rPr>
      <w:t>1</w:t>
    </w:r>
    <w:r>
      <w:rPr>
        <w:rFonts w:ascii="Times New Roman" w:hAnsi="Times New Roman" w:cs="Times New Roman"/>
        <w:sz w:val="20"/>
        <w:szCs w:val="20"/>
      </w:rPr>
      <w:t>0319_MKN696.docx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AE71D" w14:textId="77777777" w:rsidR="006271FC" w:rsidRDefault="006271FC">
      <w:r>
        <w:separator/>
      </w:r>
    </w:p>
  </w:footnote>
  <w:footnote w:type="continuationSeparator" w:id="0">
    <w:p w14:paraId="6EF7FEB9" w14:textId="77777777" w:rsidR="006271FC" w:rsidRDefault="006271FC">
      <w:r>
        <w:continuationSeparator/>
      </w:r>
    </w:p>
  </w:footnote>
  <w:footnote w:id="1">
    <w:p w14:paraId="014ACB1B" w14:textId="77777777" w:rsidR="009246FE" w:rsidRDefault="00C30A1A">
      <w:pPr>
        <w:pStyle w:val="FootnoteText"/>
      </w:pPr>
      <w:r>
        <w:rPr>
          <w:rStyle w:val="Vresrakstzmes"/>
        </w:rPr>
        <w:footnoteRef/>
      </w:r>
      <w:r>
        <w:rPr>
          <w:rFonts w:ascii="Times New Roman" w:hAnsi="Times New Roman" w:cs="Times New Roman"/>
        </w:rPr>
        <w:t xml:space="preserve"> </w:t>
      </w:r>
      <w:hyperlink r:id="rId1">
        <w:r>
          <w:rPr>
            <w:rStyle w:val="Internetasaite"/>
            <w:rFonts w:ascii="Times New Roman" w:hAnsi="Times New Roman" w:cs="Times New Roman"/>
          </w:rPr>
          <w:t>http://www.vvd.gov.lv/lapas/166-zemes-dzilu-izmantosanas-licences</w:t>
        </w:r>
      </w:hyperlink>
    </w:p>
  </w:footnote>
  <w:footnote w:id="2">
    <w:p w14:paraId="3A4D4E12" w14:textId="77777777" w:rsidR="009246FE" w:rsidRDefault="00C30A1A">
      <w:pPr>
        <w:pStyle w:val="FootnoteText"/>
      </w:pPr>
      <w:r>
        <w:rPr>
          <w:rStyle w:val="Vresrakstzmes"/>
        </w:rPr>
        <w:footnoteRef/>
      </w:r>
      <w:r>
        <w:rPr>
          <w:rFonts w:ascii="Times New Roman" w:hAnsi="Times New Roman" w:cs="Times New Roman"/>
        </w:rPr>
        <w:t xml:space="preserve"> </w:t>
      </w:r>
      <w:hyperlink r:id="rId2">
        <w:r>
          <w:rPr>
            <w:rStyle w:val="Internetasaite"/>
            <w:rFonts w:ascii="Times New Roman" w:hAnsi="Times New Roman" w:cs="Times New Roman"/>
          </w:rPr>
          <w:t>http://www.vvd.gov.lv/izsniegtas-atlaujas-un-licences/zemes-dzilu-izmantosanas-licences/atceltas-zemes-dzilu-izmantosanas-licences/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259103"/>
      <w:docPartObj>
        <w:docPartGallery w:val="Page Numbers (Top of Page)"/>
        <w:docPartUnique/>
      </w:docPartObj>
    </w:sdtPr>
    <w:sdtEndPr/>
    <w:sdtContent>
      <w:p w14:paraId="4060751D" w14:textId="77777777" w:rsidR="009246FE" w:rsidRDefault="00C30A1A">
        <w:pPr>
          <w:pStyle w:val="Header"/>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44616C">
          <w:rPr>
            <w:rFonts w:ascii="Times New Roman" w:hAnsi="Times New Roman" w:cs="Times New Roman"/>
            <w:noProof/>
            <w:sz w:val="20"/>
            <w:szCs w:val="20"/>
          </w:rPr>
          <w:t>17</w:t>
        </w:r>
        <w:r>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C5265"/>
    <w:multiLevelType w:val="multilevel"/>
    <w:tmpl w:val="5566AC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9DE4A3D"/>
    <w:multiLevelType w:val="multilevel"/>
    <w:tmpl w:val="A6EAF3E0"/>
    <w:lvl w:ilvl="0">
      <w:start w:val="1"/>
      <w:numFmt w:val="bullet"/>
      <w:lvlText w:val=""/>
      <w:lvlJc w:val="left"/>
      <w:pPr>
        <w:ind w:left="778" w:hanging="360"/>
      </w:pPr>
      <w:rPr>
        <w:rFonts w:ascii="Symbol" w:hAnsi="Symbol" w:cs="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2" w15:restartNumberingAfterBreak="0">
    <w:nsid w:val="3BA31DB8"/>
    <w:multiLevelType w:val="multilevel"/>
    <w:tmpl w:val="8026AB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E67213"/>
    <w:multiLevelType w:val="multilevel"/>
    <w:tmpl w:val="0AF4B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FE"/>
    <w:rsid w:val="00006908"/>
    <w:rsid w:val="00127321"/>
    <w:rsid w:val="00164B85"/>
    <w:rsid w:val="002D0071"/>
    <w:rsid w:val="002F2B1C"/>
    <w:rsid w:val="00346C8E"/>
    <w:rsid w:val="0044616C"/>
    <w:rsid w:val="004C1DD5"/>
    <w:rsid w:val="005458EF"/>
    <w:rsid w:val="00566ED6"/>
    <w:rsid w:val="00575B8B"/>
    <w:rsid w:val="005C26CB"/>
    <w:rsid w:val="006271FC"/>
    <w:rsid w:val="00636DE5"/>
    <w:rsid w:val="00845208"/>
    <w:rsid w:val="008E0BC7"/>
    <w:rsid w:val="009201B2"/>
    <w:rsid w:val="009246FE"/>
    <w:rsid w:val="009F6E12"/>
    <w:rsid w:val="00A5137E"/>
    <w:rsid w:val="00AA5084"/>
    <w:rsid w:val="00C30A1A"/>
    <w:rsid w:val="00D9697F"/>
    <w:rsid w:val="00DB0920"/>
    <w:rsid w:val="00F05516"/>
    <w:rsid w:val="72C1736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9E1"/>
  <w15:docId w15:val="{B4A12AB9-C551-4719-BC04-3D6B7F05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FC"/>
    <w:pPr>
      <w:spacing w:after="160" w:line="259" w:lineRule="auto"/>
    </w:pPr>
  </w:style>
  <w:style w:type="paragraph" w:styleId="Heading3">
    <w:name w:val="heading 3"/>
    <w:basedOn w:val="Normal"/>
    <w:next w:val="Normal"/>
    <w:link w:val="Heading3Char"/>
    <w:uiPriority w:val="9"/>
    <w:semiHidden/>
    <w:unhideWhenUsed/>
    <w:qFormat/>
    <w:rsid w:val="008B58C6"/>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asaite">
    <w:name w:val="Interneta saite"/>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customStyle="1" w:styleId="BodyTextChar">
    <w:name w:val="Body Text Char"/>
    <w:basedOn w:val="DefaultParagraphFont"/>
    <w:link w:val="BodyText"/>
    <w:qFormat/>
    <w:rsid w:val="00F85ED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F84A28"/>
    <w:rPr>
      <w:sz w:val="16"/>
      <w:szCs w:val="16"/>
    </w:rPr>
  </w:style>
  <w:style w:type="character" w:customStyle="1" w:styleId="CommentTextChar">
    <w:name w:val="Comment Text Char"/>
    <w:basedOn w:val="DefaultParagraphFont"/>
    <w:link w:val="CommentText"/>
    <w:uiPriority w:val="99"/>
    <w:qFormat/>
    <w:rsid w:val="00F84A28"/>
    <w:rPr>
      <w:sz w:val="20"/>
      <w:szCs w:val="20"/>
    </w:rPr>
  </w:style>
  <w:style w:type="character" w:customStyle="1" w:styleId="CommentSubjectChar">
    <w:name w:val="Comment Subject Char"/>
    <w:basedOn w:val="CommentTextChar"/>
    <w:link w:val="CommentSubject"/>
    <w:uiPriority w:val="99"/>
    <w:semiHidden/>
    <w:qFormat/>
    <w:rsid w:val="00F84A28"/>
    <w:rPr>
      <w:b/>
      <w:bCs/>
      <w:sz w:val="20"/>
      <w:szCs w:val="20"/>
    </w:rPr>
  </w:style>
  <w:style w:type="character" w:customStyle="1" w:styleId="spelle">
    <w:name w:val="spelle"/>
    <w:basedOn w:val="DefaultParagraphFont"/>
    <w:qFormat/>
    <w:rsid w:val="00C17C50"/>
  </w:style>
  <w:style w:type="character" w:customStyle="1" w:styleId="Heading3Char">
    <w:name w:val="Heading 3 Char"/>
    <w:basedOn w:val="DefaultParagraphFont"/>
    <w:link w:val="Heading3"/>
    <w:uiPriority w:val="9"/>
    <w:semiHidden/>
    <w:qFormat/>
    <w:rsid w:val="008B58C6"/>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link w:val="ListParagraph"/>
    <w:uiPriority w:val="34"/>
    <w:qFormat/>
    <w:rsid w:val="008B58C6"/>
    <w:rPr>
      <w:rFonts w:ascii="Calibri" w:eastAsia="Calibri" w:hAnsi="Calibri" w:cs="Times New Roman"/>
    </w:rPr>
  </w:style>
  <w:style w:type="character" w:customStyle="1" w:styleId="FootnoteTextChar">
    <w:name w:val="Footnote Text Char"/>
    <w:basedOn w:val="DefaultParagraphFont"/>
    <w:link w:val="FootnoteText"/>
    <w:uiPriority w:val="99"/>
    <w:semiHidden/>
    <w:qFormat/>
    <w:rsid w:val="00213E7E"/>
    <w:rPr>
      <w:sz w:val="20"/>
      <w:szCs w:val="20"/>
    </w:rPr>
  </w:style>
  <w:style w:type="character" w:customStyle="1" w:styleId="Vresenkurs">
    <w:name w:val="Vēres enkurs"/>
    <w:rPr>
      <w:vertAlign w:val="superscript"/>
    </w:rPr>
  </w:style>
  <w:style w:type="character" w:customStyle="1" w:styleId="FootnoteCharacters">
    <w:name w:val="Footnote Characters"/>
    <w:basedOn w:val="DefaultParagraphFont"/>
    <w:uiPriority w:val="99"/>
    <w:semiHidden/>
    <w:unhideWhenUsed/>
    <w:qFormat/>
    <w:rsid w:val="00213E7E"/>
    <w:rPr>
      <w:vertAlign w:val="superscript"/>
    </w:rPr>
  </w:style>
  <w:style w:type="character" w:customStyle="1" w:styleId="UnresolvedMention1">
    <w:name w:val="Unresolved Mention1"/>
    <w:basedOn w:val="DefaultParagraphFont"/>
    <w:uiPriority w:val="99"/>
    <w:semiHidden/>
    <w:unhideWhenUsed/>
    <w:qFormat/>
    <w:rsid w:val="005D73FA"/>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highlight w:val="lightGray"/>
    </w:rPr>
  </w:style>
  <w:style w:type="character" w:customStyle="1" w:styleId="ListLabel39">
    <w:name w:val="ListLabel 39"/>
    <w:qFormat/>
    <w:rPr>
      <w:highlight w:val="lightGray"/>
      <w:vertAlign w:val="superscript"/>
    </w:rPr>
  </w:style>
  <w:style w:type="character" w:customStyle="1" w:styleId="ListLabel40">
    <w:name w:val="ListLabel 40"/>
    <w:qFormat/>
    <w:rPr>
      <w:rFonts w:ascii="Times New Roman" w:eastAsia="Times New Roman" w:hAnsi="Times New Roman" w:cs="Times New Roman"/>
      <w:color w:val="auto"/>
      <w:sz w:val="24"/>
      <w:szCs w:val="24"/>
      <w:lang w:eastAsia="lv-LV"/>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customStyle="1" w:styleId="naiskr">
    <w:name w:val="naiskr"/>
    <w:basedOn w:val="Normal"/>
    <w:uiPriority w:val="99"/>
    <w:qFormat/>
    <w:rsid w:val="00F85EDC"/>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qFormat/>
    <w:rsid w:val="00F85EDC"/>
    <w:rPr>
      <w:rFonts w:ascii="Times New Roman" w:eastAsia="Times New Roman" w:hAnsi="Times New Roman" w:cs="Times New Roman"/>
      <w:color w:val="000000"/>
      <w:sz w:val="24"/>
      <w:szCs w:val="24"/>
      <w:lang w:val="en-US"/>
    </w:rPr>
  </w:style>
  <w:style w:type="paragraph" w:customStyle="1" w:styleId="naisf">
    <w:name w:val="naisf"/>
    <w:basedOn w:val="Normal"/>
    <w:qFormat/>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qFormat/>
    <w:rsid w:val="00A830FF"/>
    <w:pPr>
      <w:spacing w:beforeAutospacing="1" w:afterAutospacing="1" w:line="240" w:lineRule="auto"/>
    </w:pPr>
    <w:rPr>
      <w:rFonts w:ascii="Times New Roman" w:hAnsi="Times New Roman" w:cs="Times New Roman"/>
      <w:sz w:val="24"/>
      <w:szCs w:val="24"/>
      <w:lang w:eastAsia="lv-LV"/>
    </w:rPr>
  </w:style>
  <w:style w:type="paragraph" w:styleId="CommentText">
    <w:name w:val="annotation text"/>
    <w:basedOn w:val="Normal"/>
    <w:link w:val="CommentTextChar"/>
    <w:uiPriority w:val="99"/>
    <w:unhideWhenUsed/>
    <w:qFormat/>
    <w:rsid w:val="00F84A2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84A28"/>
    <w:rPr>
      <w:b/>
      <w:bCs/>
    </w:rPr>
  </w:style>
  <w:style w:type="paragraph" w:customStyle="1" w:styleId="th">
    <w:name w:val="th"/>
    <w:basedOn w:val="Normal"/>
    <w:uiPriority w:val="99"/>
    <w:qFormat/>
    <w:rsid w:val="00CA2D60"/>
    <w:pPr>
      <w:spacing w:beforeAutospacing="1" w:afterAutospacing="1" w:line="240" w:lineRule="auto"/>
    </w:pPr>
    <w:rPr>
      <w:rFonts w:ascii="Times New Roman" w:eastAsia="Times New Roman" w:hAnsi="Times New Roman" w:cs="Times New Roman"/>
      <w:b/>
      <w:bCs/>
      <w:color w:val="333333"/>
      <w:sz w:val="24"/>
      <w:szCs w:val="24"/>
      <w:lang w:eastAsia="lv-LV"/>
    </w:rPr>
  </w:style>
  <w:style w:type="paragraph" w:styleId="FootnoteText">
    <w:name w:val="footnote text"/>
    <w:basedOn w:val="Normal"/>
    <w:link w:val="FootnoteTextChar"/>
    <w:uiPriority w:val="99"/>
    <w:semiHidden/>
    <w:unhideWhenUsed/>
    <w:rsid w:val="00213E7E"/>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190-par-valsts-un-pasvaldibu-finansu-lidzeklu-un-mantas-izskerdesanas-nover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6190-par-valsts-un-pasvaldibu-finansu-lidzeklu-un-mantas-izskerdesanas-noversanu" TargetMode="External"/><Relationship Id="rId4" Type="http://schemas.openxmlformats.org/officeDocument/2006/relationships/settings" Target="settings.xml"/><Relationship Id="rId9" Type="http://schemas.openxmlformats.org/officeDocument/2006/relationships/hyperlink" Target="https://likumi.lv/ta/id/36190-par-valsts-un-pasvaldibu-finansu-lidzeklu-un-mantas-izskerdesanas-noversan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vvd.gov.lv/izsniegtas-atlaujas-un-licences/zemes-dzilu-izmantosanas-licences/atceltas-zemes-dzilu-izmantosanas-licences/" TargetMode="External"/><Relationship Id="rId1" Type="http://schemas.openxmlformats.org/officeDocument/2006/relationships/hyperlink" Target="http://www.vvd.gov.lv/lapas/166-zemes-dzilu-izmantosanas-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35EC-704A-4337-8DDC-C4057D16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25428</Words>
  <Characters>14495</Characters>
  <Application>Microsoft Office Word</Application>
  <DocSecurity>0</DocSecurity>
  <Lines>120</Lines>
  <Paragraphs>79</Paragraphs>
  <ScaleCrop>false</ScaleCrop>
  <Company>VARAM</Company>
  <LinksUpToDate>false</LinksUpToDate>
  <CharactersWithSpaces>39844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 gada 6. septembra noteikumos Nr. 696 “Zemes dzīļu izmantošanas licenču un bieži sastopamo derīgo izrakteņu ieguves atļauju izsniegšanas kārtība”” (VSS-620)</dc:title>
  <dc:subject>Sākotnējās ietekmes novērtējuma ziņojums (anotācija)</dc:subject>
  <dc:creator>Kristīne Gāga</dc:creator>
  <dc:description>67026518, kristine.gaga@varam.gov.lv</dc:description>
  <cp:lastModifiedBy>Kristīne Gāga</cp:lastModifiedBy>
  <cp:revision>17</cp:revision>
  <dcterms:created xsi:type="dcterms:W3CDTF">2019-03-10T17:53:00Z</dcterms:created>
  <dcterms:modified xsi:type="dcterms:W3CDTF">2019-03-12T14:34:00Z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