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49DE9493" w14:textId="77777777" w:rsidR="00F86ADC" w:rsidRPr="00C1173E" w:rsidRDefault="009D66C8" w:rsidP="001D1D0E">
          <w:pPr>
            <w:shd w:val="clear" w:color="auto" w:fill="FFFFFF"/>
            <w:jc w:val="center"/>
            <w:rPr>
              <w:b/>
            </w:rPr>
          </w:pPr>
          <w:r w:rsidRPr="00C1173E">
            <w:rPr>
              <w:b/>
            </w:rPr>
            <w:t>Ministru kabineta noteikumu projekt</w:t>
          </w:r>
          <w:r w:rsidR="00F7727C" w:rsidRPr="00C1173E">
            <w:rPr>
              <w:b/>
            </w:rPr>
            <w:t>a</w:t>
          </w:r>
          <w:r w:rsidRPr="00C1173E">
            <w:rPr>
              <w:b/>
            </w:rPr>
            <w:t xml:space="preserve"> </w:t>
          </w:r>
        </w:p>
        <w:p w14:paraId="613703D3" w14:textId="3D4058A2" w:rsidR="00F86ADC" w:rsidRPr="00C1173E" w:rsidRDefault="00F86ADC" w:rsidP="001D1D0E">
          <w:pPr>
            <w:shd w:val="clear" w:color="auto" w:fill="FFFFFF"/>
            <w:jc w:val="center"/>
            <w:rPr>
              <w:b/>
            </w:rPr>
          </w:pPr>
          <w:r w:rsidRPr="00C1173E">
            <w:rPr>
              <w:b/>
            </w:rPr>
            <w:t>“</w:t>
          </w:r>
          <w:r w:rsidRPr="00C1173E">
            <w:rPr>
              <w:b/>
              <w:bCs/>
            </w:rPr>
            <w:t>Būvniecības valsts kontroles biroja sniegto maksas pakalpojumu cenrādis</w:t>
          </w:r>
          <w:r w:rsidRPr="00C1173E">
            <w:rPr>
              <w:b/>
            </w:rPr>
            <w:t>”</w:t>
          </w:r>
        </w:p>
        <w:p w14:paraId="49438F88" w14:textId="68950AFA" w:rsidR="009D66C8" w:rsidRPr="00C1173E" w:rsidRDefault="009D66C8" w:rsidP="001D1D0E">
          <w:pPr>
            <w:shd w:val="clear" w:color="auto" w:fill="FFFFFF"/>
            <w:jc w:val="center"/>
            <w:rPr>
              <w:b/>
              <w:bCs/>
            </w:rPr>
          </w:pPr>
          <w:r w:rsidRPr="00C1173E">
            <w:rPr>
              <w:b/>
              <w:bCs/>
            </w:rPr>
            <w:t>sākotnējās ietekmes novērtējuma ziņojums (anotācija)</w:t>
          </w:r>
        </w:p>
      </w:sdtContent>
    </w:sdt>
    <w:p w14:paraId="49438F89" w14:textId="77777777" w:rsidR="00161647" w:rsidRPr="00C1173E"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339"/>
      </w:tblGrid>
      <w:tr w:rsidR="00730B3B" w:rsidRPr="00C1173E" w14:paraId="49438F8B" w14:textId="77777777" w:rsidTr="00F615B8">
        <w:trPr>
          <w:cantSplit/>
        </w:trPr>
        <w:tc>
          <w:tcPr>
            <w:tcW w:w="9169" w:type="dxa"/>
            <w:gridSpan w:val="2"/>
            <w:shd w:val="clear" w:color="auto" w:fill="FFFFFF"/>
            <w:vAlign w:val="center"/>
            <w:hideMark/>
          </w:tcPr>
          <w:p w14:paraId="49438F8A" w14:textId="77777777" w:rsidR="00BD5588" w:rsidRPr="00C1173E" w:rsidRDefault="00656B5C" w:rsidP="00E273A1">
            <w:pPr>
              <w:jc w:val="center"/>
              <w:rPr>
                <w:b/>
                <w:iCs/>
                <w:lang w:eastAsia="en-US"/>
              </w:rPr>
            </w:pPr>
            <w:r w:rsidRPr="00C1173E">
              <w:rPr>
                <w:b/>
                <w:iCs/>
                <w:lang w:eastAsia="en-US"/>
              </w:rPr>
              <w:t>Tiesību akta projekta anotācijas kopsavilkums</w:t>
            </w:r>
          </w:p>
        </w:tc>
      </w:tr>
      <w:tr w:rsidR="00730B3B" w:rsidRPr="00C1173E" w14:paraId="49438F8F" w14:textId="77777777" w:rsidTr="00F615B8">
        <w:trPr>
          <w:cantSplit/>
        </w:trPr>
        <w:tc>
          <w:tcPr>
            <w:tcW w:w="2830" w:type="dxa"/>
            <w:shd w:val="clear" w:color="auto" w:fill="FFFFFF"/>
            <w:hideMark/>
          </w:tcPr>
          <w:p w14:paraId="49438F8C" w14:textId="77777777" w:rsidR="00BD5588" w:rsidRPr="00344DF3" w:rsidRDefault="00656B5C" w:rsidP="00E273A1">
            <w:pPr>
              <w:rPr>
                <w:iCs/>
                <w:lang w:eastAsia="en-US"/>
              </w:rPr>
            </w:pPr>
            <w:r w:rsidRPr="00344DF3">
              <w:rPr>
                <w:iCs/>
                <w:lang w:eastAsia="en-US"/>
              </w:rPr>
              <w:t>Mērķis, risinājums un projekta spēkā stāšanās laiks (500 zīmes bez atstarpēm)</w:t>
            </w:r>
          </w:p>
        </w:tc>
        <w:tc>
          <w:tcPr>
            <w:tcW w:w="6339" w:type="dxa"/>
            <w:shd w:val="clear" w:color="auto" w:fill="FFFFFF"/>
            <w:hideMark/>
          </w:tcPr>
          <w:p w14:paraId="3DB54EA3" w14:textId="77777777" w:rsidR="00F86ADC" w:rsidRPr="00344DF3" w:rsidRDefault="00F86ADC" w:rsidP="00F86ADC">
            <w:pPr>
              <w:jc w:val="both"/>
              <w:rPr>
                <w:rStyle w:val="Strong"/>
                <w:b w:val="0"/>
                <w:bdr w:val="none" w:sz="0" w:space="0" w:color="auto" w:frame="1"/>
                <w:shd w:val="clear" w:color="auto" w:fill="FFFFFF"/>
              </w:rPr>
            </w:pPr>
            <w:r w:rsidRPr="00344DF3">
              <w:rPr>
                <w:rStyle w:val="Strong"/>
                <w:b w:val="0"/>
                <w:bdr w:val="none" w:sz="0" w:space="0" w:color="auto" w:frame="1"/>
                <w:shd w:val="clear" w:color="auto" w:fill="FFFFFF"/>
              </w:rPr>
              <w:t xml:space="preserve">Ministru kabineta noteikumu projektā “Būvniecības valsts kontroles biroja sniegto maksas pakalpojumu cenrādis” (turpmāk - </w:t>
            </w:r>
            <w:r w:rsidRPr="0024212E">
              <w:rPr>
                <w:rStyle w:val="Strong"/>
                <w:b w:val="0"/>
                <w:i/>
                <w:bdr w:val="none" w:sz="0" w:space="0" w:color="auto" w:frame="1"/>
                <w:shd w:val="clear" w:color="auto" w:fill="FFFFFF"/>
              </w:rPr>
              <w:t>noteikumu projekts</w:t>
            </w:r>
            <w:r w:rsidRPr="00344DF3">
              <w:rPr>
                <w:rStyle w:val="Strong"/>
                <w:b w:val="0"/>
                <w:bdr w:val="none" w:sz="0" w:space="0" w:color="auto" w:frame="1"/>
                <w:shd w:val="clear" w:color="auto" w:fill="FFFFFF"/>
              </w:rPr>
              <w:t xml:space="preserve">) ir noteikts Būvniecības valsts kontroles biroja (turpmāk – Birojs) cenrādis būvspeciālistu patstāvīgās prakses uzraudzībai un kompetences novērtēšanai būvekspertīzes specialitātē, tajā skaitā arī to būvspeciālistu, kuri ir īslaicīgo pakalpojumu sniedzēji. </w:t>
            </w:r>
          </w:p>
          <w:p w14:paraId="6F96963C" w14:textId="77777777" w:rsidR="00F86ADC" w:rsidRPr="00344DF3" w:rsidRDefault="00F86ADC" w:rsidP="00F86ADC">
            <w:pPr>
              <w:jc w:val="both"/>
              <w:rPr>
                <w:rStyle w:val="Strong"/>
                <w:b w:val="0"/>
                <w:bdr w:val="none" w:sz="0" w:space="0" w:color="auto" w:frame="1"/>
                <w:shd w:val="clear" w:color="auto" w:fill="FFFFFF"/>
              </w:rPr>
            </w:pPr>
          </w:p>
          <w:p w14:paraId="49438F8E" w14:textId="7F0E5F86" w:rsidR="00770594" w:rsidRPr="00344DF3" w:rsidRDefault="00F86ADC" w:rsidP="00F86ADC">
            <w:pPr>
              <w:jc w:val="both"/>
              <w:rPr>
                <w:bCs/>
                <w:bdr w:val="none" w:sz="0" w:space="0" w:color="auto" w:frame="1"/>
                <w:shd w:val="clear" w:color="auto" w:fill="FFFFFF"/>
              </w:rPr>
            </w:pPr>
            <w:r w:rsidRPr="00344DF3">
              <w:rPr>
                <w:rStyle w:val="Strong"/>
                <w:b w:val="0"/>
                <w:bdr w:val="none" w:sz="0" w:space="0" w:color="auto" w:frame="1"/>
                <w:shd w:val="clear" w:color="auto" w:fill="FFFFFF"/>
              </w:rPr>
              <w:t>Projekts stājas spēkā vispārējā kārtībā.</w:t>
            </w:r>
          </w:p>
        </w:tc>
      </w:tr>
    </w:tbl>
    <w:p w14:paraId="49438F90" w14:textId="77777777" w:rsidR="00161647" w:rsidRPr="00C1173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74"/>
        <w:gridCol w:w="2075"/>
        <w:gridCol w:w="6818"/>
      </w:tblGrid>
      <w:tr w:rsidR="00730B3B" w:rsidRPr="00C1173E" w14:paraId="49438F92" w14:textId="77777777" w:rsidTr="00F54498">
        <w:tc>
          <w:tcPr>
            <w:tcW w:w="5000" w:type="pct"/>
            <w:gridSpan w:val="3"/>
            <w:vAlign w:val="center"/>
            <w:hideMark/>
          </w:tcPr>
          <w:p w14:paraId="49438F91" w14:textId="77777777" w:rsidR="00BD5588" w:rsidRPr="00C1173E" w:rsidRDefault="00656B5C" w:rsidP="00793205">
            <w:pPr>
              <w:widowControl w:val="0"/>
              <w:jc w:val="center"/>
              <w:rPr>
                <w:b/>
                <w:bCs/>
              </w:rPr>
            </w:pPr>
            <w:r w:rsidRPr="00C1173E">
              <w:rPr>
                <w:b/>
                <w:bCs/>
              </w:rPr>
              <w:t>I. Tiesību akta projekta izstrādes nepieciešamība</w:t>
            </w:r>
          </w:p>
        </w:tc>
      </w:tr>
      <w:tr w:rsidR="00730B3B" w:rsidRPr="00C1173E" w14:paraId="49438F96" w14:textId="77777777" w:rsidTr="00F615B8">
        <w:tc>
          <w:tcPr>
            <w:tcW w:w="281" w:type="pct"/>
            <w:hideMark/>
          </w:tcPr>
          <w:p w14:paraId="49438F93" w14:textId="77777777" w:rsidR="00BD5588" w:rsidRPr="00C1173E" w:rsidRDefault="00656B5C" w:rsidP="00793205">
            <w:pPr>
              <w:widowControl w:val="0"/>
              <w:jc w:val="center"/>
            </w:pPr>
            <w:r w:rsidRPr="00C1173E">
              <w:t>1.</w:t>
            </w:r>
          </w:p>
        </w:tc>
        <w:tc>
          <w:tcPr>
            <w:tcW w:w="1263" w:type="pct"/>
            <w:hideMark/>
          </w:tcPr>
          <w:p w14:paraId="49438F94" w14:textId="77777777" w:rsidR="00BD5588" w:rsidRPr="00C1173E" w:rsidRDefault="00656B5C" w:rsidP="00793205">
            <w:pPr>
              <w:widowControl w:val="0"/>
            </w:pPr>
            <w:r w:rsidRPr="00C1173E">
              <w:t>Pamatojums</w:t>
            </w:r>
          </w:p>
        </w:tc>
        <w:tc>
          <w:tcPr>
            <w:tcW w:w="3456" w:type="pct"/>
            <w:hideMark/>
          </w:tcPr>
          <w:p w14:paraId="2BEA1ED6" w14:textId="370720D9" w:rsidR="00566E47" w:rsidRPr="00F704BE" w:rsidRDefault="00566E47" w:rsidP="00566E47">
            <w:pPr>
              <w:pStyle w:val="NormalWebCharChar"/>
              <w:shd w:val="clear" w:color="auto" w:fill="FFFFFF"/>
              <w:tabs>
                <w:tab w:val="left" w:pos="459"/>
              </w:tabs>
              <w:spacing w:before="0" w:after="0"/>
              <w:ind w:firstLine="303"/>
              <w:jc w:val="both"/>
              <w:rPr>
                <w:sz w:val="24"/>
                <w:szCs w:val="24"/>
                <w:shd w:val="clear" w:color="auto" w:fill="FFFFFF"/>
              </w:rPr>
            </w:pPr>
            <w:r w:rsidRPr="00F704BE">
              <w:rPr>
                <w:sz w:val="24"/>
                <w:szCs w:val="24"/>
                <w:lang w:eastAsia="lv-LV"/>
              </w:rPr>
              <w:t xml:space="preserve">Saskaņā ar Būvniecības likuma 6.panta  septīto daļu </w:t>
            </w:r>
            <w:r w:rsidRPr="00F704BE">
              <w:rPr>
                <w:bCs/>
                <w:sz w:val="24"/>
                <w:szCs w:val="24"/>
                <w:shd w:val="clear" w:color="auto" w:fill="FFFFFF"/>
              </w:rPr>
              <w:t xml:space="preserve">Būvniecības valsts kontroles birojs </w:t>
            </w:r>
            <w:r w:rsidRPr="00F704BE">
              <w:rPr>
                <w:sz w:val="24"/>
                <w:szCs w:val="24"/>
                <w:shd w:val="clear" w:color="auto" w:fill="FFFFFF"/>
              </w:rPr>
              <w:t>piešķir patstāvīgās prakses tiesības šā likuma </w:t>
            </w:r>
            <w:hyperlink r:id="rId8" w:anchor="p13" w:history="1">
              <w:r w:rsidRPr="00F704BE">
                <w:rPr>
                  <w:rStyle w:val="Hyperlink"/>
                  <w:sz w:val="24"/>
                  <w:szCs w:val="24"/>
                  <w:shd w:val="clear" w:color="auto" w:fill="FFFFFF"/>
                </w:rPr>
                <w:t>13.panta</w:t>
              </w:r>
            </w:hyperlink>
            <w:r w:rsidRPr="00F704BE">
              <w:rPr>
                <w:sz w:val="24"/>
                <w:szCs w:val="24"/>
                <w:shd w:val="clear" w:color="auto" w:fill="FFFFFF"/>
              </w:rPr>
              <w:t> trešās daļas 5.punktā noteiktajā specialitātē</w:t>
            </w:r>
            <w:r>
              <w:rPr>
                <w:sz w:val="24"/>
                <w:szCs w:val="24"/>
                <w:shd w:val="clear" w:color="auto" w:fill="FFFFFF"/>
              </w:rPr>
              <w:t xml:space="preserve"> (t.i., būvekspertīze)</w:t>
            </w:r>
            <w:r w:rsidRPr="00F704BE">
              <w:rPr>
                <w:sz w:val="24"/>
                <w:szCs w:val="24"/>
                <w:shd w:val="clear" w:color="auto" w:fill="FFFFFF"/>
              </w:rPr>
              <w:t xml:space="preserve">, kā arī veic patstāvīgās prakses uzraudzību. </w:t>
            </w:r>
          </w:p>
          <w:p w14:paraId="729DCE4F" w14:textId="4FADCAD6" w:rsidR="00B648A2" w:rsidRPr="00C1173E" w:rsidRDefault="00B648A2" w:rsidP="00566E47">
            <w:pPr>
              <w:ind w:right="140" w:firstLine="310"/>
              <w:jc w:val="both"/>
              <w:rPr>
                <w:lang w:eastAsia="ru-RU"/>
              </w:rPr>
            </w:pPr>
            <w:r w:rsidRPr="00C1173E">
              <w:rPr>
                <w:lang w:eastAsia="ru-RU"/>
              </w:rPr>
              <w:t>Noteikumu projekts izstrādāts, pamatojoties uz:</w:t>
            </w:r>
          </w:p>
          <w:p w14:paraId="2B0096E0" w14:textId="77777777" w:rsidR="00B648A2" w:rsidRPr="00C1173E" w:rsidRDefault="00B648A2" w:rsidP="0024212E">
            <w:pPr>
              <w:ind w:left="38" w:right="140"/>
              <w:jc w:val="both"/>
              <w:rPr>
                <w:lang w:eastAsia="ru-RU"/>
              </w:rPr>
            </w:pPr>
            <w:r w:rsidRPr="00355866">
              <w:rPr>
                <w:lang w:eastAsia="ru-RU"/>
              </w:rPr>
              <w:t>1) Likuma par budžetu</w:t>
            </w:r>
            <w:r w:rsidRPr="00C1173E">
              <w:rPr>
                <w:lang w:eastAsia="ru-RU"/>
              </w:rPr>
              <w:t xml:space="preserve"> un finanšu vadību 5.panta devīto daļu, kas nosaka, ka Ministru kabinets izdod noteikumus par valsts tiešās pārvaldes iestāžu sniegto maksas pakalpojumu cenrāžu apstipri</w:t>
            </w:r>
            <w:bookmarkStart w:id="0" w:name="_GoBack"/>
            <w:bookmarkEnd w:id="0"/>
            <w:r w:rsidRPr="00C1173E">
              <w:rPr>
                <w:lang w:eastAsia="ru-RU"/>
              </w:rPr>
              <w:t>nāšanu;</w:t>
            </w:r>
          </w:p>
          <w:p w14:paraId="49438F95" w14:textId="561F518B" w:rsidR="00161647" w:rsidRPr="00C1173E" w:rsidRDefault="00B648A2" w:rsidP="00B648A2">
            <w:pPr>
              <w:shd w:val="clear" w:color="auto" w:fill="FFFFFF"/>
              <w:jc w:val="both"/>
              <w:rPr>
                <w:bCs/>
              </w:rPr>
            </w:pPr>
            <w:r w:rsidRPr="00C1173E">
              <w:rPr>
                <w:lang w:eastAsia="ru-RU"/>
              </w:rPr>
              <w:t>2) Būvniecības likuma 5.panta pirmās daļas 4.punkta „e” apakšpunktā Ministru kabinetam doto pilnvarojumu izdot noteikumus būvspeciālistu kompetences novērtēšanas un patstāvīgās prakses uzraudzības jomā, nosakot maksas pakalpojumu apmēru, maksāšanas kārtību un saņemto līdzekļu izmantošanas kārtību.</w:t>
            </w:r>
          </w:p>
        </w:tc>
      </w:tr>
      <w:tr w:rsidR="00683347" w:rsidRPr="00C1173E" w14:paraId="49439158" w14:textId="77777777" w:rsidTr="00F615B8">
        <w:tc>
          <w:tcPr>
            <w:tcW w:w="281" w:type="pct"/>
            <w:hideMark/>
          </w:tcPr>
          <w:p w14:paraId="49438F97" w14:textId="77777777" w:rsidR="00BD5588" w:rsidRPr="00C1173E" w:rsidRDefault="00656B5C" w:rsidP="00793205">
            <w:pPr>
              <w:widowControl w:val="0"/>
            </w:pPr>
            <w:r w:rsidRPr="00C1173E">
              <w:t>2.</w:t>
            </w:r>
          </w:p>
        </w:tc>
        <w:tc>
          <w:tcPr>
            <w:tcW w:w="1263" w:type="pct"/>
            <w:hideMark/>
          </w:tcPr>
          <w:p w14:paraId="49438F98" w14:textId="77777777" w:rsidR="00EB796A" w:rsidRPr="00C1173E" w:rsidRDefault="00656B5C" w:rsidP="00793205">
            <w:pPr>
              <w:widowControl w:val="0"/>
            </w:pPr>
            <w:r w:rsidRPr="00C1173E">
              <w:t>Pašreizējā situācija un problēmas, kuru risināšanai tiesību akta projekts izstrādāts, tiesiskā regulējuma mērķis un būtība</w:t>
            </w:r>
          </w:p>
          <w:p w14:paraId="49438F99" w14:textId="77777777" w:rsidR="00BD5588" w:rsidRPr="00C1173E" w:rsidRDefault="00BD5588" w:rsidP="00012352"/>
        </w:tc>
        <w:tc>
          <w:tcPr>
            <w:tcW w:w="3456" w:type="pct"/>
            <w:hideMark/>
          </w:tcPr>
          <w:p w14:paraId="4B97FF41" w14:textId="42277FE9" w:rsidR="00B648A2" w:rsidRPr="00C1173E" w:rsidRDefault="00B648A2" w:rsidP="00B648A2">
            <w:pPr>
              <w:shd w:val="clear" w:color="auto" w:fill="FFFFFF"/>
              <w:ind w:firstLine="392"/>
              <w:jc w:val="both"/>
            </w:pPr>
            <w:r w:rsidRPr="00C1173E">
              <w:t xml:space="preserve">2018.gada 20.martā </w:t>
            </w:r>
            <w:r w:rsidR="001F6A91">
              <w:t xml:space="preserve">pieņēma </w:t>
            </w:r>
            <w:r w:rsidRPr="00C1173E">
              <w:t>Ministru kabineta noteikum</w:t>
            </w:r>
            <w:r w:rsidR="001F6A91">
              <w:t>us</w:t>
            </w:r>
            <w:r w:rsidRPr="00C1173E">
              <w:t xml:space="preserve"> Nr.169 </w:t>
            </w:r>
            <w:r w:rsidRPr="00C1173E">
              <w:rPr>
                <w:i/>
              </w:rPr>
              <w:t>“Būvspeciālistu kompetences novērtēšanas un patstāvīgās prakses uzraudzības noteikumi”</w:t>
            </w:r>
            <w:r w:rsidRPr="00C1173E">
              <w:t xml:space="preserve"> (turpmāk – </w:t>
            </w:r>
            <w:r w:rsidRPr="00C1173E">
              <w:rPr>
                <w:i/>
              </w:rPr>
              <w:t>Noteikumi Nr.169</w:t>
            </w:r>
            <w:r w:rsidRPr="00C1173E">
              <w:t xml:space="preserve">), kas aizstāja Ministru kabineta 2014.gada 7.oktobra noteikumus Nr.610 </w:t>
            </w:r>
            <w:r w:rsidRPr="00C1173E">
              <w:rPr>
                <w:i/>
              </w:rPr>
              <w:t>“Būvspeciālistu kompetences novērtēšanas un patstāvīgās prakses uzraudzības noteikumi”</w:t>
            </w:r>
            <w:r w:rsidRPr="00C1173E">
              <w:t xml:space="preserve"> (turpmāk – </w:t>
            </w:r>
            <w:r w:rsidRPr="00C1173E">
              <w:rPr>
                <w:i/>
              </w:rPr>
              <w:t>Noteikumi Nr.610</w:t>
            </w:r>
            <w:r w:rsidRPr="00C1173E">
              <w:t xml:space="preserve">). </w:t>
            </w:r>
          </w:p>
          <w:p w14:paraId="212837E8" w14:textId="1B8C556F" w:rsidR="00B648A2" w:rsidRDefault="00B648A2" w:rsidP="00B648A2">
            <w:pPr>
              <w:shd w:val="clear" w:color="auto" w:fill="FFFFFF"/>
              <w:ind w:firstLine="392"/>
              <w:jc w:val="both"/>
              <w:rPr>
                <w:shd w:val="clear" w:color="auto" w:fill="FFFFFF"/>
              </w:rPr>
            </w:pPr>
            <w:r w:rsidRPr="00C1173E">
              <w:t xml:space="preserve">Saskaņā ar </w:t>
            </w:r>
            <w:r w:rsidRPr="00C1173E">
              <w:rPr>
                <w:i/>
              </w:rPr>
              <w:t>Noteikumu Nr.169</w:t>
            </w:r>
            <w:r w:rsidRPr="00C1173E">
              <w:t xml:space="preserve"> 2.2.apakšpunktu būvspeciālistu kompetences novērtēšanu un patstāvīgās prakses uzraudzību veic </w:t>
            </w:r>
            <w:r w:rsidR="0024212E">
              <w:t>B</w:t>
            </w:r>
            <w:r w:rsidRPr="00C1173E">
              <w:rPr>
                <w:shd w:val="clear" w:color="auto" w:fill="FFFFFF"/>
              </w:rPr>
              <w:t>irojs atbilstoši Būvniecības likuma 6.panta septītajai daļai, kurā noteikts, ka Birojs piešķir patstāvīgās prakses tiesības, kā arī veic patstāvīgās prakses uzraudzību būvekspertīzes specialitātē.</w:t>
            </w:r>
            <w:r w:rsidR="00566E47">
              <w:rPr>
                <w:shd w:val="clear" w:color="auto" w:fill="FFFFFF"/>
              </w:rPr>
              <w:t xml:space="preserve"> </w:t>
            </w:r>
            <w:r w:rsidR="00C651FF">
              <w:rPr>
                <w:shd w:val="clear" w:color="auto" w:fill="FFFFFF"/>
              </w:rPr>
              <w:t>Saskaņā ar</w:t>
            </w:r>
            <w:r w:rsidR="00566E47">
              <w:rPr>
                <w:shd w:val="clear" w:color="auto" w:fill="FFFFFF"/>
              </w:rPr>
              <w:t xml:space="preserve"> Būvniecības likuma 13.panta 13.daļ</w:t>
            </w:r>
            <w:r w:rsidR="00C651FF">
              <w:rPr>
                <w:shd w:val="clear" w:color="auto" w:fill="FFFFFF"/>
              </w:rPr>
              <w:t>u</w:t>
            </w:r>
            <w:r w:rsidR="00566E47">
              <w:rPr>
                <w:shd w:val="clear" w:color="auto" w:fill="FFFFFF"/>
              </w:rPr>
              <w:t xml:space="preserve"> minēto funkciju nevar deleģēt privātpersonai Valsts pārvaldes iekārtas likumā noteiktajā kārtībā.</w:t>
            </w:r>
          </w:p>
          <w:p w14:paraId="73A3359D" w14:textId="48A716A0" w:rsidR="00600846" w:rsidRDefault="00600846" w:rsidP="00600846">
            <w:pPr>
              <w:shd w:val="clear" w:color="auto" w:fill="FFFFFF"/>
              <w:ind w:firstLine="392"/>
              <w:jc w:val="both"/>
              <w:rPr>
                <w:shd w:val="clear" w:color="auto" w:fill="FFFFFF"/>
              </w:rPr>
            </w:pPr>
            <w:r w:rsidRPr="00F704BE">
              <w:rPr>
                <w:shd w:val="clear" w:color="auto" w:fill="FFFFFF"/>
              </w:rPr>
              <w:t xml:space="preserve">Profesionāla un kvalitatīva būvekspertīze ir priekšnoteikums drošai un kvalitatīvai būvniecībai. Būvekspertīze savlaicīgi ļauj novērst kļūdas, kas var radīt apdraudējumu personu dzīvībai, veselībai un īpašumam. Ņemot vērā minētās funkcijas nozīmīgumu, likumdevējs, nosakot likumā pienākumu izveidot Būvniecības valsts </w:t>
            </w:r>
            <w:r w:rsidRPr="00F704BE">
              <w:rPr>
                <w:shd w:val="clear" w:color="auto" w:fill="FFFFFF"/>
              </w:rPr>
              <w:lastRenderedPageBreak/>
              <w:t xml:space="preserve">kontroles biroju un nododot tam būvspeciālistu kompetences novērtēšanu un patstāvīgās prakses uzraudzību </w:t>
            </w:r>
            <w:r w:rsidRPr="00D63C04">
              <w:rPr>
                <w:shd w:val="clear" w:color="auto" w:fill="FFFFFF"/>
              </w:rPr>
              <w:t>būvekspertīzes specialitātē</w:t>
            </w:r>
            <w:r w:rsidRPr="00F704BE">
              <w:rPr>
                <w:shd w:val="clear" w:color="auto" w:fill="FFFFFF"/>
              </w:rPr>
              <w:t xml:space="preserve">, jau ir izvērtējis, vai šo funkciju ir pieļaujams nodot privātpersonām.  Būvekspertīzes mērķis ir sniegt </w:t>
            </w:r>
            <w:proofErr w:type="spellStart"/>
            <w:r w:rsidRPr="00F704BE">
              <w:rPr>
                <w:shd w:val="clear" w:color="auto" w:fill="FFFFFF"/>
              </w:rPr>
              <w:t>izvērtējumu</w:t>
            </w:r>
            <w:proofErr w:type="spellEnd"/>
            <w:r w:rsidRPr="00F704BE">
              <w:rPr>
                <w:shd w:val="clear" w:color="auto" w:fill="FFFFFF"/>
              </w:rPr>
              <w:t xml:space="preserve"> par būvprojekta tehniskā risinājuma atbilstību normatīvo aktu un tehnisko noteikumu prasībām vai strīdu gadījumā   novērtētu veikto būvdarbu kvalitāti vai būves atbilstību normatīvo aktu prasībām vai būvprojektam. Proti, būvekspertīzes uzdevums ir veikt kontroli pār citu būvspeciālistu veikto darbu. B</w:t>
            </w:r>
            <w:r w:rsidRPr="00F704BE">
              <w:t xml:space="preserve">ūvekspertīzes specialitātē sertifikātu iegūst būvspeciālisti, kuriem jau ir būvprakses sertifikāts un </w:t>
            </w:r>
            <w:r>
              <w:t xml:space="preserve">kuru </w:t>
            </w:r>
            <w:r w:rsidRPr="00F704BE">
              <w:t>patstāvīgās prakses tiesības pēc sertifikāta iegūšanas</w:t>
            </w:r>
            <w:r w:rsidRPr="00573ACC">
              <w:t xml:space="preserve"> </w:t>
            </w:r>
            <w:r w:rsidRPr="00F704BE">
              <w:t xml:space="preserve">arhitektūras jomā vai būvniecības jomā projektēšanas, būvuzraudzības vai būvdarbu vadīšanas specialitātē </w:t>
            </w:r>
            <w:r>
              <w:t xml:space="preserve">ir vismaz septiņi gadi, </w:t>
            </w:r>
            <w:r w:rsidRPr="00D63C04">
              <w:t xml:space="preserve"> </w:t>
            </w:r>
            <w:r>
              <w:t xml:space="preserve">līdz ar to </w:t>
            </w:r>
            <w:r w:rsidRPr="00F704BE">
              <w:t>būvspeciālistu kompetenču, prasmju un zināšanu līmenim jābūt augstākam un ir nepieciešama padziļinātāka un komplicētāka zināšanu un prasmju pārbaude.</w:t>
            </w:r>
            <w:r w:rsidRPr="00F704BE">
              <w:rPr>
                <w:shd w:val="clear" w:color="auto" w:fill="FFFFFF"/>
              </w:rPr>
              <w:t xml:space="preserve"> Tāpēc likumdevējs, nododot minēto funkciju Būvniecības valsts kontroles birojam, jau ir izvērtējis visus šī jautājuma aspektus</w:t>
            </w:r>
            <w:r w:rsidR="00C651FF">
              <w:rPr>
                <w:shd w:val="clear" w:color="auto" w:fill="FFFFFF"/>
              </w:rPr>
              <w:t xml:space="preserve"> </w:t>
            </w:r>
            <w:r w:rsidRPr="00F704BE">
              <w:rPr>
                <w:shd w:val="clear" w:color="auto" w:fill="FFFFFF"/>
              </w:rPr>
              <w:t>un rezultātā Būvniecības likumā tieši noteicis, ka būvspeciālista kompetences novērtēšanu un patstāvīgās prakses uzraudzību būvekspertīzes specialitātē netiek deleģēta privātpersonām Valsts pārvaldes iekārtas likumā noteiktajā kārtībā.</w:t>
            </w:r>
          </w:p>
          <w:p w14:paraId="4A258FE2" w14:textId="3C243B3F" w:rsidR="00B648A2" w:rsidRPr="00C1173E" w:rsidRDefault="00B648A2" w:rsidP="00B648A2">
            <w:pPr>
              <w:shd w:val="clear" w:color="auto" w:fill="FFFFFF"/>
              <w:ind w:firstLine="392"/>
              <w:jc w:val="both"/>
            </w:pPr>
            <w:r w:rsidRPr="00C1173E">
              <w:t xml:space="preserve">Līdz 2018.gada 31.decembrim </w:t>
            </w:r>
            <w:r w:rsidRPr="00355866">
              <w:t>Birojs</w:t>
            </w:r>
            <w:r w:rsidRPr="00C1173E">
              <w:t xml:space="preserve"> sertificēšanas maksas pakalpojumus sniedza saskaņā ar Ministru kabineta 2016.gada 15.jūlija noteikum</w:t>
            </w:r>
            <w:r w:rsidR="00461334">
              <w:t>iem</w:t>
            </w:r>
            <w:r w:rsidRPr="00C1173E">
              <w:t xml:space="preserve"> Nr.461 “Būvniecības valsts kontroles biroja sniegto maksas pakalpojumu cenrādis”.</w:t>
            </w:r>
          </w:p>
          <w:p w14:paraId="1E0DB13D" w14:textId="77777777" w:rsidR="00B648A2" w:rsidRPr="00C1173E" w:rsidRDefault="00B648A2" w:rsidP="00B648A2">
            <w:pPr>
              <w:shd w:val="clear" w:color="auto" w:fill="FFFFFF"/>
              <w:ind w:firstLine="392"/>
              <w:jc w:val="both"/>
            </w:pPr>
            <w:r w:rsidRPr="00C1173E">
              <w:t>Ņemot vērā, ka</w:t>
            </w:r>
            <w:r w:rsidRPr="00C1173E">
              <w:rPr>
                <w:i/>
              </w:rPr>
              <w:t xml:space="preserve"> noteikumu projekts</w:t>
            </w:r>
            <w:r w:rsidRPr="00C1173E">
              <w:t xml:space="preserve"> paredz jaunu </w:t>
            </w:r>
            <w:r w:rsidRPr="00C1173E">
              <w:rPr>
                <w:rStyle w:val="Strong"/>
                <w:b w:val="0"/>
                <w:bdr w:val="none" w:sz="0" w:space="0" w:color="auto" w:frame="1"/>
                <w:shd w:val="clear" w:color="auto" w:fill="FFFFFF"/>
              </w:rPr>
              <w:t>cenrādi būvspeciālistu patstāvīgās prakses uzraudzībai un kompetences novērtēšanai būvekspertīzes specialitātē, tad minētie Ministru kabineta noteikumi</w:t>
            </w:r>
            <w:r w:rsidRPr="00C1173E">
              <w:t xml:space="preserve"> līdz ar </w:t>
            </w:r>
            <w:r w:rsidRPr="00C1173E">
              <w:rPr>
                <w:i/>
              </w:rPr>
              <w:t>noteikumu projekta</w:t>
            </w:r>
            <w:r w:rsidRPr="00C1173E">
              <w:t xml:space="preserve"> spēkā stāšanās brīdi</w:t>
            </w:r>
            <w:r w:rsidRPr="00C1173E">
              <w:rPr>
                <w:rStyle w:val="Strong"/>
                <w:b w:val="0"/>
                <w:bdr w:val="none" w:sz="0" w:space="0" w:color="auto" w:frame="1"/>
                <w:shd w:val="clear" w:color="auto" w:fill="FFFFFF"/>
              </w:rPr>
              <w:t xml:space="preserve"> ir jāatzīst par spēku zaudējušiem.</w:t>
            </w:r>
          </w:p>
          <w:p w14:paraId="0E55265D" w14:textId="77777777" w:rsidR="00B648A2" w:rsidRPr="00C1173E" w:rsidRDefault="00B648A2" w:rsidP="00B648A2">
            <w:pPr>
              <w:shd w:val="clear" w:color="auto" w:fill="FFFFFF"/>
              <w:ind w:firstLine="392"/>
              <w:jc w:val="both"/>
            </w:pPr>
          </w:p>
          <w:p w14:paraId="73AD6FE9" w14:textId="17C9DED1" w:rsidR="00B648A2" w:rsidRPr="00C1173E" w:rsidRDefault="00B648A2" w:rsidP="00B648A2">
            <w:pPr>
              <w:shd w:val="clear" w:color="auto" w:fill="FFFFFF"/>
              <w:ind w:firstLine="392"/>
              <w:jc w:val="both"/>
            </w:pPr>
            <w:r w:rsidRPr="00C1173E">
              <w:rPr>
                <w:i/>
              </w:rPr>
              <w:t>Spēkā esošais cenrādis</w:t>
            </w:r>
            <w:r w:rsidRPr="00C1173E">
              <w:t xml:space="preserve"> ir izstrādāts, </w:t>
            </w:r>
            <w:r w:rsidR="00B22DAF">
              <w:t xml:space="preserve">ņemot vērā </w:t>
            </w:r>
            <w:r w:rsidRPr="00C1173E">
              <w:rPr>
                <w:i/>
              </w:rPr>
              <w:t>Noteikum</w:t>
            </w:r>
            <w:r w:rsidR="00B22DAF">
              <w:rPr>
                <w:i/>
              </w:rPr>
              <w:t>us</w:t>
            </w:r>
            <w:r w:rsidRPr="00C1173E">
              <w:rPr>
                <w:i/>
              </w:rPr>
              <w:t xml:space="preserve"> Nr.610,</w:t>
            </w:r>
            <w:r w:rsidRPr="00C1173E">
              <w:t xml:space="preserve"> uzraudzībā iekļaujot tikai sūdzību izskatīšanu un vispārējas plānveida pārbaudes. Ņemot vērā, ka saskaņā ar </w:t>
            </w:r>
            <w:r w:rsidRPr="00C1173E">
              <w:rPr>
                <w:i/>
              </w:rPr>
              <w:t>Noteikumiem Nr.169</w:t>
            </w:r>
            <w:r w:rsidRPr="00C1173E">
              <w:t xml:space="preserve"> un Ekonomikas ministrijas 2018. gada 23.augusta rīkojumu Nr. 2.17-1/2018/52 </w:t>
            </w:r>
            <w:r w:rsidRPr="00C1173E">
              <w:rPr>
                <w:i/>
              </w:rPr>
              <w:t>“Par vadlīniju un prasību apstiprināšanu būvspeciālistu kompetences pārbaudes iestādēm un to publiskošanu”</w:t>
            </w:r>
            <w:r w:rsidRPr="00C1173E">
              <w:t xml:space="preserve"> (turpmāk – </w:t>
            </w:r>
            <w:r w:rsidRPr="00C1173E">
              <w:rPr>
                <w:i/>
              </w:rPr>
              <w:t>Vadlīnijas</w:t>
            </w:r>
            <w:r w:rsidRPr="00C1173E">
              <w:t xml:space="preserve">) būtiski ir pieaugušas prasības būvspeciālistu </w:t>
            </w:r>
            <w:r w:rsidRPr="00C1173E">
              <w:rPr>
                <w:rStyle w:val="Strong"/>
                <w:b w:val="0"/>
                <w:bdr w:val="none" w:sz="0" w:space="0" w:color="auto" w:frame="1"/>
                <w:shd w:val="clear" w:color="auto" w:fill="FFFFFF"/>
              </w:rPr>
              <w:t>uzraudzībai un kompetences novērtēšanai,</w:t>
            </w:r>
            <w:r w:rsidRPr="00C1173E">
              <w:t xml:space="preserve"> tajā skaitā iekļaujot arī padziļinātas plānveida pārbaudes, </w:t>
            </w:r>
            <w:r w:rsidRPr="00C1173E">
              <w:rPr>
                <w:i/>
              </w:rPr>
              <w:t>spēkā esošais cenrādis</w:t>
            </w:r>
            <w:r w:rsidRPr="00C1173E">
              <w:t xml:space="preserve"> bija jāpārskata pēc būtības, jo no jaunajām prasībām izriet, ka būtiski pieaugs arī uzraudzības un kompetences novērtēšanas izmaksas. </w:t>
            </w:r>
            <w:r w:rsidR="00737822" w:rsidRPr="00C1173E">
              <w:t xml:space="preserve">Kamēr sertificēšanas maksas pakalpojumu cenas ir noteiktas </w:t>
            </w:r>
            <w:r w:rsidR="00737822" w:rsidRPr="00C1173E">
              <w:rPr>
                <w:i/>
              </w:rPr>
              <w:t>spēkā esošajā cenrādī</w:t>
            </w:r>
            <w:r w:rsidR="00737822" w:rsidRPr="00C1173E">
              <w:t xml:space="preserve">, </w:t>
            </w:r>
            <w:r w:rsidR="0024212E" w:rsidRPr="0024212E">
              <w:t>B</w:t>
            </w:r>
            <w:r w:rsidR="00737822" w:rsidRPr="0024212E">
              <w:t>irojs</w:t>
            </w:r>
            <w:r w:rsidR="00737822" w:rsidRPr="00C1173E">
              <w:t xml:space="preserve"> nespēs pilnvērtīgi veikt būvspeciālistu uzraudzību. </w:t>
            </w:r>
            <w:r w:rsidRPr="00C1173E">
              <w:t xml:space="preserve">Līdz ar to </w:t>
            </w:r>
            <w:r w:rsidRPr="0024212E">
              <w:rPr>
                <w:i/>
              </w:rPr>
              <w:t>noteikumu projekta</w:t>
            </w:r>
            <w:r w:rsidRPr="00C1173E">
              <w:t xml:space="preserve"> stāšanās spēkā ir būtisks priekšnosacījums </w:t>
            </w:r>
            <w:r w:rsidRPr="00C1173E">
              <w:rPr>
                <w:rStyle w:val="Strong"/>
                <w:b w:val="0"/>
                <w:bdr w:val="none" w:sz="0" w:space="0" w:color="auto" w:frame="1"/>
                <w:shd w:val="clear" w:color="auto" w:fill="FFFFFF"/>
              </w:rPr>
              <w:t>valsts pārvaldes uzdevuma – būvspeciālistu uzraudzības izpildei.</w:t>
            </w:r>
          </w:p>
          <w:p w14:paraId="411CF187" w14:textId="77777777" w:rsidR="00ED0A3A" w:rsidRPr="00C1173E" w:rsidRDefault="00ED0A3A" w:rsidP="00881DD7">
            <w:pPr>
              <w:shd w:val="clear" w:color="auto" w:fill="FFFFFF"/>
              <w:ind w:firstLine="392"/>
              <w:jc w:val="both"/>
            </w:pPr>
          </w:p>
          <w:p w14:paraId="49438FA8" w14:textId="451E3B11" w:rsidR="00881DD7" w:rsidRPr="00C1173E" w:rsidRDefault="0024212E" w:rsidP="00881DD7">
            <w:pPr>
              <w:shd w:val="clear" w:color="auto" w:fill="FFFFFF"/>
              <w:ind w:firstLine="392"/>
              <w:jc w:val="both"/>
              <w:rPr>
                <w:b/>
              </w:rPr>
            </w:pPr>
            <w:r>
              <w:rPr>
                <w:b/>
              </w:rPr>
              <w:t>B</w:t>
            </w:r>
            <w:r w:rsidR="00425648" w:rsidRPr="00C1173E">
              <w:rPr>
                <w:b/>
              </w:rPr>
              <w:t>iroja</w:t>
            </w:r>
            <w:r w:rsidR="00425648" w:rsidRPr="00C1173E">
              <w:t xml:space="preserve"> </w:t>
            </w:r>
            <w:r w:rsidR="00881DD7" w:rsidRPr="00C1173E">
              <w:rPr>
                <w:b/>
              </w:rPr>
              <w:t>maksas pakalpojumos ietilpst:</w:t>
            </w:r>
          </w:p>
          <w:p w14:paraId="49438FA9" w14:textId="77777777" w:rsidR="00881DD7" w:rsidRPr="00C1173E" w:rsidRDefault="00881DD7" w:rsidP="00881DD7">
            <w:pPr>
              <w:pStyle w:val="ListParagraph"/>
              <w:numPr>
                <w:ilvl w:val="0"/>
                <w:numId w:val="19"/>
              </w:numPr>
              <w:shd w:val="clear" w:color="auto" w:fill="FFFFFF"/>
              <w:jc w:val="both"/>
            </w:pPr>
            <w:r w:rsidRPr="00C1173E">
              <w:lastRenderedPageBreak/>
              <w:t xml:space="preserve">sākotnējā kompetences novērtēšana būvspeciālista sertifikāta saņemšanai </w:t>
            </w:r>
            <w:r w:rsidRPr="00C1173E">
              <w:rPr>
                <w:b/>
              </w:rPr>
              <w:t xml:space="preserve">150 </w:t>
            </w:r>
            <w:r w:rsidR="0020771F" w:rsidRPr="00C1173E">
              <w:rPr>
                <w:b/>
                <w:i/>
              </w:rPr>
              <w:t>euro</w:t>
            </w:r>
            <w:r w:rsidRPr="00C1173E">
              <w:t xml:space="preserve"> apmērā</w:t>
            </w:r>
            <w:r w:rsidR="00F27C71" w:rsidRPr="00C1173E">
              <w:t xml:space="preserve">, kas noteikta </w:t>
            </w:r>
            <w:r w:rsidRPr="00C1173E">
              <w:rPr>
                <w:i/>
              </w:rPr>
              <w:t>Noteikumu Nr.169</w:t>
            </w:r>
            <w:r w:rsidRPr="00C1173E">
              <w:t xml:space="preserve"> 65.1.apakšpunkt</w:t>
            </w:r>
            <w:r w:rsidR="00F27C71" w:rsidRPr="00C1173E">
              <w:t>ā</w:t>
            </w:r>
            <w:r w:rsidR="00D84D1A" w:rsidRPr="00C1173E">
              <w:t>;</w:t>
            </w:r>
          </w:p>
          <w:p w14:paraId="49438FAA" w14:textId="72F6A49E" w:rsidR="00F57DC3" w:rsidRPr="00C1173E" w:rsidRDefault="00F57DC3" w:rsidP="00F57DC3">
            <w:pPr>
              <w:pStyle w:val="ListParagraph"/>
              <w:numPr>
                <w:ilvl w:val="0"/>
                <w:numId w:val="19"/>
              </w:numPr>
              <w:shd w:val="clear" w:color="auto" w:fill="FFFFFF"/>
              <w:jc w:val="both"/>
            </w:pPr>
            <w:r w:rsidRPr="00C1173E">
              <w:t xml:space="preserve">būvspeciālistu uzraudzība saskaņā ar </w:t>
            </w:r>
            <w:r w:rsidRPr="00C1173E">
              <w:rPr>
                <w:i/>
              </w:rPr>
              <w:t>Noteikumu Nr.169</w:t>
            </w:r>
            <w:r w:rsidRPr="00C1173E">
              <w:t xml:space="preserve"> 65.2.1.apakšpunktu </w:t>
            </w:r>
            <w:r w:rsidR="00F27C71" w:rsidRPr="00C1173E">
              <w:t>(pakalpojuma maks</w:t>
            </w:r>
            <w:r w:rsidR="00B22DAF">
              <w:t>u</w:t>
            </w:r>
            <w:r w:rsidR="00F27C71" w:rsidRPr="00C1173E">
              <w:t xml:space="preserve"> </w:t>
            </w:r>
            <w:r w:rsidRPr="00C1173E">
              <w:t xml:space="preserve"> no</w:t>
            </w:r>
            <w:r w:rsidR="00B22DAF">
              <w:t>teiks</w:t>
            </w:r>
            <w:r w:rsidRPr="00C1173E">
              <w:t xml:space="preserve"> ar šo </w:t>
            </w:r>
            <w:r w:rsidRPr="00C1173E">
              <w:rPr>
                <w:i/>
              </w:rPr>
              <w:t>noteikumu projektu</w:t>
            </w:r>
            <w:r w:rsidRPr="00C1173E">
              <w:t>);</w:t>
            </w:r>
          </w:p>
          <w:p w14:paraId="140AD33E" w14:textId="22218989" w:rsidR="00A739A4" w:rsidRPr="00C1173E" w:rsidRDefault="00A739A4" w:rsidP="008355B9">
            <w:pPr>
              <w:pStyle w:val="ListParagraph"/>
              <w:numPr>
                <w:ilvl w:val="0"/>
                <w:numId w:val="19"/>
              </w:numPr>
              <w:jc w:val="both"/>
            </w:pPr>
            <w:r w:rsidRPr="00C1173E">
              <w:t xml:space="preserve">papildus sertificēšanas maksas pakalpojumiem saskaņā ar </w:t>
            </w:r>
            <w:r w:rsidRPr="00C1173E">
              <w:rPr>
                <w:i/>
              </w:rPr>
              <w:t>Noteikumu Nr.169</w:t>
            </w:r>
            <w:r w:rsidRPr="00C1173E">
              <w:t xml:space="preserve"> 65.3.apakšpunktu</w:t>
            </w:r>
            <w:r w:rsidR="00C63916" w:rsidRPr="00C1173E">
              <w:t xml:space="preserve">, kuros ietilpst </w:t>
            </w:r>
            <w:r w:rsidR="00C63916" w:rsidRPr="00C1173E">
              <w:rPr>
                <w:i/>
              </w:rPr>
              <w:t>kompetenču, prasmju un zināšanu līmeņa novērtēšana</w:t>
            </w:r>
            <w:r w:rsidR="00C63916" w:rsidRPr="00C1173E">
              <w:t xml:space="preserve"> saskaņā ar šo noteikumu 48.5.apakšpunktu (pakalpojuma maks</w:t>
            </w:r>
            <w:r w:rsidR="00B22DAF">
              <w:t>u</w:t>
            </w:r>
            <w:r w:rsidR="00C63916" w:rsidRPr="00C1173E">
              <w:t xml:space="preserve">  noteik</w:t>
            </w:r>
            <w:r w:rsidR="00B22DAF">
              <w:t>s</w:t>
            </w:r>
            <w:r w:rsidR="00C63916" w:rsidRPr="00C1173E">
              <w:t xml:space="preserve"> ar šo </w:t>
            </w:r>
            <w:r w:rsidR="00C63916" w:rsidRPr="00C1173E">
              <w:rPr>
                <w:i/>
              </w:rPr>
              <w:t>noteikumu projektu</w:t>
            </w:r>
            <w:r w:rsidR="00C63916" w:rsidRPr="00C1173E">
              <w:t>).</w:t>
            </w:r>
          </w:p>
          <w:p w14:paraId="49438FAE" w14:textId="5F7F1854" w:rsidR="001F490F" w:rsidRPr="00C1173E" w:rsidRDefault="001F490F" w:rsidP="001F490F">
            <w:pPr>
              <w:shd w:val="clear" w:color="auto" w:fill="FFFFFF"/>
              <w:ind w:firstLine="593"/>
              <w:jc w:val="both"/>
              <w:rPr>
                <w:bCs/>
              </w:rPr>
            </w:pPr>
            <w:r w:rsidRPr="004D38D1">
              <w:rPr>
                <w:bCs/>
              </w:rPr>
              <w:t>Saskaņā ar Pievienotās vērtības nodokļa likuma 3.panta astoto daļu</w:t>
            </w:r>
            <w:r w:rsidR="00C651FF" w:rsidRPr="004D38D1">
              <w:rPr>
                <w:color w:val="414142"/>
                <w:shd w:val="clear" w:color="auto" w:fill="FFFFFF"/>
              </w:rPr>
              <w:t xml:space="preserve"> </w:t>
            </w:r>
            <w:r w:rsidR="00C651FF" w:rsidRPr="004D38D1">
              <w:rPr>
                <w:color w:val="414142"/>
                <w:shd w:val="clear" w:color="auto" w:fill="FFFFFF"/>
              </w:rPr>
              <w:t xml:space="preserve">publiskas </w:t>
            </w:r>
            <w:r w:rsidR="00C651FF" w:rsidRPr="004D38D1">
              <w:rPr>
                <w:color w:val="414142"/>
                <w:shd w:val="clear" w:color="auto" w:fill="FFFFFF"/>
              </w:rPr>
              <w:t>personas</w:t>
            </w:r>
            <w:r w:rsidRPr="004D38D1">
              <w:rPr>
                <w:bCs/>
              </w:rPr>
              <w:t xml:space="preserve"> neuzskata par nodokļu maksātājiem attiecībā uz tām darbībām vai darījumiem</w:t>
            </w:r>
            <w:r w:rsidRPr="00C1173E">
              <w:rPr>
                <w:bCs/>
              </w:rPr>
              <w:t>, kuros tās iesaistās valsts pārvaldes funkciju vai uzdevumu pildīšanā. Līdz ar to</w:t>
            </w:r>
            <w:r w:rsidR="00A75DAE" w:rsidRPr="00C1173E">
              <w:rPr>
                <w:bCs/>
              </w:rPr>
              <w:t xml:space="preserve"> </w:t>
            </w:r>
            <w:r w:rsidR="00D16279" w:rsidRPr="00C1173E">
              <w:rPr>
                <w:bCs/>
              </w:rPr>
              <w:t xml:space="preserve">būvspeciālistu kompetences novērtēšanas, </w:t>
            </w:r>
            <w:r w:rsidR="00A739A4" w:rsidRPr="00C1173E">
              <w:rPr>
                <w:bCs/>
              </w:rPr>
              <w:t>patstāv</w:t>
            </w:r>
            <w:r w:rsidR="00D16279" w:rsidRPr="00C1173E">
              <w:rPr>
                <w:bCs/>
              </w:rPr>
              <w:t xml:space="preserve">īgās prakses uzraudzības maksai </w:t>
            </w:r>
            <w:r w:rsidR="00F57DC3" w:rsidRPr="00C1173E">
              <w:rPr>
                <w:b/>
                <w:bCs/>
              </w:rPr>
              <w:t>pievienotās vērtības nodokli</w:t>
            </w:r>
            <w:r w:rsidRPr="00C1173E">
              <w:rPr>
                <w:bCs/>
              </w:rPr>
              <w:t xml:space="preserve"> nepiemēro.</w:t>
            </w:r>
          </w:p>
          <w:p w14:paraId="49438FAF" w14:textId="77777777" w:rsidR="00586C71" w:rsidRPr="00C1173E" w:rsidRDefault="00586C71" w:rsidP="00FB176F">
            <w:pPr>
              <w:shd w:val="clear" w:color="auto" w:fill="FFFFFF"/>
              <w:jc w:val="both"/>
              <w:rPr>
                <w:sz w:val="12"/>
              </w:rPr>
            </w:pPr>
          </w:p>
          <w:p w14:paraId="3D642A09" w14:textId="77777777" w:rsidR="00137C2D" w:rsidRDefault="00137C2D" w:rsidP="002B05BA">
            <w:pPr>
              <w:shd w:val="clear" w:color="auto" w:fill="FFFFFF"/>
              <w:ind w:firstLine="399"/>
              <w:jc w:val="both"/>
              <w:rPr>
                <w:b/>
              </w:rPr>
            </w:pPr>
          </w:p>
          <w:p w14:paraId="49438FB1" w14:textId="6001BAB2" w:rsidR="00F0235A" w:rsidRPr="00C1173E" w:rsidRDefault="00823F93" w:rsidP="002B05BA">
            <w:pPr>
              <w:shd w:val="clear" w:color="auto" w:fill="FFFFFF"/>
              <w:ind w:firstLine="399"/>
              <w:jc w:val="both"/>
              <w:rPr>
                <w:b/>
              </w:rPr>
            </w:pPr>
            <w:r w:rsidRPr="00C1173E">
              <w:rPr>
                <w:b/>
              </w:rPr>
              <w:t>U</w:t>
            </w:r>
            <w:r w:rsidR="00121DE1" w:rsidRPr="00C1173E">
              <w:rPr>
                <w:b/>
              </w:rPr>
              <w:t>zraudzības</w:t>
            </w:r>
            <w:r w:rsidR="00F0235A" w:rsidRPr="00C1173E">
              <w:rPr>
                <w:b/>
              </w:rPr>
              <w:t xml:space="preserve"> izmaksu aprēķins</w:t>
            </w:r>
          </w:p>
          <w:p w14:paraId="49438FB2" w14:textId="5A29CC9D" w:rsidR="00EA1F88" w:rsidRPr="00C1173E" w:rsidRDefault="00823F93" w:rsidP="002B05BA">
            <w:pPr>
              <w:shd w:val="clear" w:color="auto" w:fill="FFFFFF"/>
              <w:ind w:firstLine="399"/>
              <w:jc w:val="both"/>
              <w:rPr>
                <w:bCs/>
              </w:rPr>
            </w:pPr>
            <w:r w:rsidRPr="00C1173E">
              <w:rPr>
                <w:bCs/>
              </w:rPr>
              <w:t>U</w:t>
            </w:r>
            <w:r w:rsidR="00121DE1" w:rsidRPr="00C1173E">
              <w:rPr>
                <w:bCs/>
              </w:rPr>
              <w:t>zraudzības izmaksu</w:t>
            </w:r>
            <w:r w:rsidR="0050539C" w:rsidRPr="00C1173E">
              <w:rPr>
                <w:bCs/>
              </w:rPr>
              <w:t xml:space="preserve"> aprēķinos ņem</w:t>
            </w:r>
            <w:r w:rsidR="00121DE1" w:rsidRPr="00C1173E">
              <w:rPr>
                <w:bCs/>
              </w:rPr>
              <w:t>t</w:t>
            </w:r>
            <w:r w:rsidR="00425648" w:rsidRPr="00C1173E">
              <w:rPr>
                <w:bCs/>
              </w:rPr>
              <w:t>s</w:t>
            </w:r>
            <w:r w:rsidR="0050539C" w:rsidRPr="00C1173E">
              <w:rPr>
                <w:bCs/>
              </w:rPr>
              <w:t xml:space="preserve"> vērā </w:t>
            </w:r>
            <w:r w:rsidR="0024212E" w:rsidRPr="0024212E">
              <w:rPr>
                <w:bCs/>
              </w:rPr>
              <w:t>B</w:t>
            </w:r>
            <w:r w:rsidR="00425648" w:rsidRPr="0024212E">
              <w:t>iroja</w:t>
            </w:r>
            <w:r w:rsidR="0050539C" w:rsidRPr="0024212E">
              <w:rPr>
                <w:bCs/>
              </w:rPr>
              <w:t>,</w:t>
            </w:r>
            <w:r w:rsidR="0050539C" w:rsidRPr="00C1173E">
              <w:rPr>
                <w:bCs/>
              </w:rPr>
              <w:t xml:space="preserve"> k</w:t>
            </w:r>
            <w:r w:rsidR="00425648" w:rsidRPr="00C1173E">
              <w:rPr>
                <w:bCs/>
              </w:rPr>
              <w:t>as</w:t>
            </w:r>
            <w:r w:rsidR="006C63BA" w:rsidRPr="00C1173E">
              <w:rPr>
                <w:bCs/>
              </w:rPr>
              <w:t xml:space="preserve"> veic</w:t>
            </w:r>
            <w:r w:rsidR="0050539C" w:rsidRPr="00C1173E">
              <w:rPr>
                <w:bCs/>
              </w:rPr>
              <w:t xml:space="preserve"> būvniecības jomas</w:t>
            </w:r>
            <w:r w:rsidR="006C63BA" w:rsidRPr="00C1173E">
              <w:rPr>
                <w:bCs/>
              </w:rPr>
              <w:t xml:space="preserve"> būvspeciālistu</w:t>
            </w:r>
            <w:r w:rsidR="0050539C" w:rsidRPr="00C1173E">
              <w:rPr>
                <w:bCs/>
              </w:rPr>
              <w:t xml:space="preserve"> kompetences novērtēšanu un profesionālās darbības uzraudzību</w:t>
            </w:r>
            <w:r w:rsidR="00425648" w:rsidRPr="00C1173E">
              <w:rPr>
                <w:bCs/>
              </w:rPr>
              <w:t xml:space="preserve"> būvekspertīzes specialitātē</w:t>
            </w:r>
            <w:r w:rsidR="0050539C" w:rsidRPr="00C1173E">
              <w:rPr>
                <w:bCs/>
              </w:rPr>
              <w:t>, iesniegt</w:t>
            </w:r>
            <w:r w:rsidR="00425648" w:rsidRPr="00C1173E">
              <w:rPr>
                <w:bCs/>
              </w:rPr>
              <w:t>ais</w:t>
            </w:r>
            <w:r w:rsidR="0050539C" w:rsidRPr="00C1173E">
              <w:rPr>
                <w:bCs/>
              </w:rPr>
              <w:t xml:space="preserve"> aprēķin</w:t>
            </w:r>
            <w:r w:rsidR="00425648" w:rsidRPr="00C1173E">
              <w:rPr>
                <w:bCs/>
              </w:rPr>
              <w:t>s</w:t>
            </w:r>
            <w:r w:rsidR="00461334">
              <w:rPr>
                <w:bCs/>
              </w:rPr>
              <w:t>.</w:t>
            </w:r>
          </w:p>
          <w:p w14:paraId="49438FB3" w14:textId="77777777" w:rsidR="00784BCC" w:rsidRPr="00C1173E" w:rsidRDefault="00784BCC" w:rsidP="002B05BA">
            <w:pPr>
              <w:shd w:val="clear" w:color="auto" w:fill="FFFFFF"/>
              <w:ind w:firstLine="399"/>
              <w:jc w:val="both"/>
              <w:rPr>
                <w:bCs/>
              </w:rPr>
            </w:pPr>
          </w:p>
          <w:p w14:paraId="49438FB4" w14:textId="77777777" w:rsidR="0050539C" w:rsidRPr="00C1173E" w:rsidRDefault="0050539C" w:rsidP="00FB176F">
            <w:pPr>
              <w:shd w:val="clear" w:color="auto" w:fill="FFFFFF"/>
              <w:jc w:val="both"/>
              <w:rPr>
                <w:sz w:val="12"/>
              </w:rPr>
            </w:pPr>
          </w:p>
          <w:p w14:paraId="49438FB7" w14:textId="7963B806" w:rsidR="00EA1F88" w:rsidRPr="00C1173E" w:rsidRDefault="00EA1F88" w:rsidP="002B05BA">
            <w:pPr>
              <w:shd w:val="clear" w:color="auto" w:fill="FFFFFF"/>
              <w:ind w:firstLine="399"/>
              <w:jc w:val="both"/>
              <w:rPr>
                <w:b/>
              </w:rPr>
            </w:pPr>
            <w:r w:rsidRPr="00C1173E">
              <w:rPr>
                <w:b/>
              </w:rPr>
              <w:t>Būvspeciālistu uzraudzība</w:t>
            </w:r>
            <w:r w:rsidR="0042788B" w:rsidRPr="00C1173E">
              <w:rPr>
                <w:b/>
              </w:rPr>
              <w:t xml:space="preserve">s </w:t>
            </w:r>
            <w:r w:rsidR="00E17384" w:rsidRPr="00C1173E">
              <w:rPr>
                <w:b/>
              </w:rPr>
              <w:t>izmaksas</w:t>
            </w:r>
          </w:p>
          <w:p w14:paraId="49438FB8" w14:textId="32879857" w:rsidR="00EA1F88" w:rsidRPr="00C1173E" w:rsidRDefault="00EA1F88" w:rsidP="00515628">
            <w:pPr>
              <w:shd w:val="clear" w:color="auto" w:fill="FFFFFF"/>
              <w:ind w:firstLine="399"/>
              <w:jc w:val="both"/>
            </w:pPr>
            <w:r w:rsidRPr="00C1173E">
              <w:t xml:space="preserve">Būvspeciālistu uzraudzības ietvaros būvspeciālisti </w:t>
            </w:r>
            <w:r w:rsidR="002B05BA" w:rsidRPr="00C1173E">
              <w:t xml:space="preserve">katru gadu </w:t>
            </w:r>
            <w:r w:rsidRPr="00C1173E">
              <w:t>veic maksājumu par katru aktīvo sertifikātu (</w:t>
            </w:r>
            <w:r w:rsidR="00941AA5" w:rsidRPr="00C1173E">
              <w:t xml:space="preserve">darbības </w:t>
            </w:r>
            <w:r w:rsidRPr="00C1173E">
              <w:t xml:space="preserve">sfēru). Būvspeciālistu reģistrā </w:t>
            </w:r>
            <w:r w:rsidR="00D7172F" w:rsidRPr="00C1173E">
              <w:t>201</w:t>
            </w:r>
            <w:r w:rsidR="00175670" w:rsidRPr="00C1173E">
              <w:t>8</w:t>
            </w:r>
            <w:r w:rsidR="00D7172F" w:rsidRPr="00C1173E">
              <w:t xml:space="preserve">.gada </w:t>
            </w:r>
            <w:r w:rsidR="00175670" w:rsidRPr="00C1173E">
              <w:t>13</w:t>
            </w:r>
            <w:r w:rsidR="00D7172F" w:rsidRPr="00C1173E">
              <w:t>.decembrī</w:t>
            </w:r>
            <w:r w:rsidRPr="00C1173E">
              <w:t xml:space="preserve"> ir reģistrēt</w:t>
            </w:r>
            <w:r w:rsidR="00281BA3" w:rsidRPr="00C1173E">
              <w:t>as</w:t>
            </w:r>
            <w:r w:rsidRPr="00C1173E">
              <w:t xml:space="preserve"> </w:t>
            </w:r>
            <w:r w:rsidR="00175670" w:rsidRPr="00C1173E">
              <w:t>126</w:t>
            </w:r>
            <w:r w:rsidRPr="00C1173E">
              <w:t xml:space="preserve"> aktīv</w:t>
            </w:r>
            <w:r w:rsidR="00281BA3" w:rsidRPr="00C1173E">
              <w:t>as</w:t>
            </w:r>
            <w:r w:rsidRPr="00C1173E">
              <w:t xml:space="preserve"> būvniecības jomas būvspeciālistu sertifikāt</w:t>
            </w:r>
            <w:r w:rsidR="00281BA3" w:rsidRPr="00C1173E">
              <w:t xml:space="preserve">u </w:t>
            </w:r>
            <w:r w:rsidR="007861AF" w:rsidRPr="00C1173E">
              <w:t xml:space="preserve">darbības </w:t>
            </w:r>
            <w:r w:rsidR="00281BA3" w:rsidRPr="00C1173E">
              <w:t>sfēras</w:t>
            </w:r>
            <w:r w:rsidR="00175670" w:rsidRPr="00C1173E">
              <w:t xml:space="preserve"> būvekspertīzes specialitātē</w:t>
            </w:r>
            <w:r w:rsidRPr="00C1173E">
              <w:t>. Uzraudzības maks</w:t>
            </w:r>
            <w:r w:rsidR="00515628">
              <w:t>u</w:t>
            </w:r>
            <w:r w:rsidRPr="00C1173E">
              <w:t xml:space="preserve"> uz vienu būvspeciālistu  aprēķin</w:t>
            </w:r>
            <w:r w:rsidR="00515628">
              <w:t>a</w:t>
            </w:r>
            <w:r w:rsidR="00D626CC" w:rsidRPr="00C1173E">
              <w:t>,</w:t>
            </w:r>
            <w:r w:rsidRPr="00C1173E">
              <w:t xml:space="preserve"> ņemot vērā vidējās tiešās un netiešās būvspeciālistu uzraudzības izmaksas</w:t>
            </w:r>
            <w:r w:rsidR="00031953" w:rsidRPr="00C1173E">
              <w:t>.</w:t>
            </w:r>
            <w:r w:rsidRPr="00C1173E">
              <w:t xml:space="preserve"> </w:t>
            </w:r>
          </w:p>
          <w:p w14:paraId="49438FB9" w14:textId="7808B710" w:rsidR="00EA1F88" w:rsidRPr="00C1173E" w:rsidRDefault="00EA1F88" w:rsidP="00B065E5">
            <w:pPr>
              <w:shd w:val="clear" w:color="auto" w:fill="FFFFFF"/>
              <w:ind w:firstLine="455"/>
              <w:jc w:val="both"/>
            </w:pPr>
            <w:r w:rsidRPr="00C1173E">
              <w:t>Būvspeciālistu u</w:t>
            </w:r>
            <w:r w:rsidR="00031953" w:rsidRPr="00C1173E">
              <w:t>z</w:t>
            </w:r>
            <w:r w:rsidRPr="00C1173E">
              <w:t>raudzības ietvaros  vei</w:t>
            </w:r>
            <w:r w:rsidR="00CF4BF4">
              <w:t>c</w:t>
            </w:r>
            <w:r w:rsidRPr="00C1173E">
              <w:t xml:space="preserve"> šādas </w:t>
            </w:r>
            <w:r w:rsidR="005B20E8" w:rsidRPr="00C1173E">
              <w:t>darbības</w:t>
            </w:r>
            <w:r w:rsidRPr="00C1173E">
              <w:t>:</w:t>
            </w:r>
          </w:p>
          <w:p w14:paraId="49438FBB" w14:textId="3B49E6F2" w:rsidR="007174FD" w:rsidRPr="00C1173E" w:rsidRDefault="007174FD" w:rsidP="00D8230B">
            <w:pPr>
              <w:pStyle w:val="ListParagraph"/>
              <w:numPr>
                <w:ilvl w:val="1"/>
                <w:numId w:val="21"/>
              </w:numPr>
              <w:shd w:val="clear" w:color="auto" w:fill="FFFFFF"/>
              <w:jc w:val="both"/>
            </w:pPr>
            <w:r w:rsidRPr="00C1173E">
              <w:t xml:space="preserve">saskaņā ar </w:t>
            </w:r>
            <w:r w:rsidRPr="00C1173E">
              <w:rPr>
                <w:i/>
              </w:rPr>
              <w:t>Noteikumu Nr.169</w:t>
            </w:r>
            <w:r w:rsidRPr="00C1173E">
              <w:t xml:space="preserve"> 46.punktu </w:t>
            </w:r>
            <w:r w:rsidRPr="00C1173E">
              <w:rPr>
                <w:i/>
              </w:rPr>
              <w:t>kompetences pārbaudes iestādēm</w:t>
            </w:r>
            <w:r w:rsidRPr="00C1173E">
              <w:t xml:space="preserve"> katru gadu ir jāpārbauda</w:t>
            </w:r>
            <w:r w:rsidR="00D626CC" w:rsidRPr="00C1173E">
              <w:t>,</w:t>
            </w:r>
            <w:r w:rsidRPr="00C1173E">
              <w:t xml:space="preserve"> vai visi būvspeciālisti ir izpildījuši šo noteikumu 44.5., 44.6. un 44.7.apakšpunk</w:t>
            </w:r>
            <w:r w:rsidR="00D626CC" w:rsidRPr="00C1173E">
              <w:t>tā</w:t>
            </w:r>
            <w:r w:rsidRPr="00C1173E">
              <w:t xml:space="preserve"> minētos pienākumus, kas iekļauj aktuālās informācijas ievadīšanu būvspeciālistu reģistrā un </w:t>
            </w:r>
            <w:r w:rsidR="00A739A4" w:rsidRPr="00C1173E">
              <w:t>patstāv</w:t>
            </w:r>
            <w:r w:rsidRPr="00C1173E">
              <w:t xml:space="preserve">īgās prakses uzraudzības gada maksas veikšanu. </w:t>
            </w:r>
            <w:r w:rsidR="00CD0804" w:rsidRPr="00C1173E">
              <w:t xml:space="preserve">Šajā pārbaudē katru gadu tiek pārbaudīti visi būvspeciālisti (turpmāk – </w:t>
            </w:r>
            <w:r w:rsidR="00CD0804" w:rsidRPr="00C1173E">
              <w:rPr>
                <w:i/>
              </w:rPr>
              <w:t>100% pārbaude</w:t>
            </w:r>
            <w:r w:rsidR="00CD0804" w:rsidRPr="00C1173E">
              <w:t>);</w:t>
            </w:r>
          </w:p>
          <w:p w14:paraId="49438FBC" w14:textId="20008EBB" w:rsidR="00EA1F88" w:rsidRPr="00C1173E" w:rsidRDefault="007174FD" w:rsidP="00DD254D">
            <w:pPr>
              <w:pStyle w:val="ListParagraph"/>
              <w:numPr>
                <w:ilvl w:val="1"/>
                <w:numId w:val="21"/>
              </w:numPr>
              <w:shd w:val="clear" w:color="auto" w:fill="FFFFFF"/>
              <w:jc w:val="both"/>
            </w:pPr>
            <w:r w:rsidRPr="00C1173E">
              <w:t>saskaņā ar Būvniecības likuma 9</w:t>
            </w:r>
            <w:r w:rsidR="00AD5B4A" w:rsidRPr="00C1173E">
              <w:t>.</w:t>
            </w:r>
            <w:r w:rsidRPr="00C1173E">
              <w:rPr>
                <w:vertAlign w:val="superscript"/>
              </w:rPr>
              <w:t>1</w:t>
            </w:r>
            <w:r w:rsidRPr="00C1173E">
              <w:t xml:space="preserve"> daļu </w:t>
            </w:r>
            <w:r w:rsidRPr="00C1173E">
              <w:rPr>
                <w:i/>
              </w:rPr>
              <w:t>kompetences pārbaudes iestādēm</w:t>
            </w:r>
            <w:r w:rsidRPr="00C1173E">
              <w:t xml:space="preserve"> ne retāk kā reizi piecos gados pēc būtības ir jāpārbauda būvspeciālista iesniegtā informācija par </w:t>
            </w:r>
            <w:r w:rsidR="00A739A4" w:rsidRPr="00C1173E">
              <w:t>patstāv</w:t>
            </w:r>
            <w:r w:rsidRPr="00C1173E">
              <w:t xml:space="preserve">īgo praksi, izglītību, apgūtajām profesionālās pilnveides programmām un citiem kompetenci paaugstinošiem pasākumiem sertifikātā norādītajā jomā. </w:t>
            </w:r>
            <w:r w:rsidR="00CD0804" w:rsidRPr="00C1173E">
              <w:t xml:space="preserve">Šajā pārbaudē katru gadu tiek pārbaudīti 20% no kopējā būvspeciālistu skaita (turpmāk – </w:t>
            </w:r>
            <w:r w:rsidR="00CD0804" w:rsidRPr="00C1173E">
              <w:rPr>
                <w:i/>
              </w:rPr>
              <w:t>20% pārbaude</w:t>
            </w:r>
            <w:r w:rsidR="00CD0804" w:rsidRPr="00C1173E">
              <w:t>);</w:t>
            </w:r>
          </w:p>
          <w:p w14:paraId="49438FBD" w14:textId="77777777" w:rsidR="007174FD" w:rsidRPr="00C1173E" w:rsidRDefault="007174FD" w:rsidP="00DD254D">
            <w:pPr>
              <w:pStyle w:val="ListParagraph"/>
              <w:numPr>
                <w:ilvl w:val="1"/>
                <w:numId w:val="21"/>
              </w:numPr>
              <w:shd w:val="clear" w:color="auto" w:fill="FFFFFF"/>
              <w:jc w:val="both"/>
            </w:pPr>
            <w:r w:rsidRPr="00C1173E">
              <w:lastRenderedPageBreak/>
              <w:t>saskaņā ar Būvniecības likuma 9</w:t>
            </w:r>
            <w:r w:rsidR="00AD5B4A" w:rsidRPr="00C1173E">
              <w:t>.</w:t>
            </w:r>
            <w:r w:rsidRPr="00C1173E">
              <w:rPr>
                <w:vertAlign w:val="superscript"/>
              </w:rPr>
              <w:t>1</w:t>
            </w:r>
            <w:r w:rsidR="00AD5B4A" w:rsidRPr="00C1173E">
              <w:rPr>
                <w:vertAlign w:val="superscript"/>
              </w:rPr>
              <w:t xml:space="preserve"> </w:t>
            </w:r>
            <w:r w:rsidRPr="00C1173E">
              <w:t xml:space="preserve">daļas 3.punktu un </w:t>
            </w:r>
            <w:r w:rsidRPr="00C1173E">
              <w:rPr>
                <w:i/>
              </w:rPr>
              <w:t>Noteikumu Nr.169</w:t>
            </w:r>
            <w:r w:rsidRPr="00C1173E">
              <w:t xml:space="preserve"> 47.punktu </w:t>
            </w:r>
            <w:r w:rsidRPr="00C1173E">
              <w:rPr>
                <w:i/>
              </w:rPr>
              <w:t>kompetences pārbaudes iestādēm</w:t>
            </w:r>
            <w:r w:rsidRPr="00C1173E">
              <w:t xml:space="preserve"> ir jāizvērtē par būvspeciālistiem saņemtās sūdzības</w:t>
            </w:r>
            <w:r w:rsidR="00CD0804" w:rsidRPr="00C1173E">
              <w:t xml:space="preserve"> (turpmāk – </w:t>
            </w:r>
            <w:r w:rsidR="00CD0804" w:rsidRPr="00C1173E">
              <w:rPr>
                <w:i/>
              </w:rPr>
              <w:t>sūdzību izvērtēšana</w:t>
            </w:r>
            <w:r w:rsidR="00CD0804" w:rsidRPr="00C1173E">
              <w:t>)</w:t>
            </w:r>
            <w:r w:rsidR="00D7172F" w:rsidRPr="00C1173E">
              <w:t>;</w:t>
            </w:r>
          </w:p>
          <w:p w14:paraId="49438FBE" w14:textId="77777777" w:rsidR="007174FD" w:rsidRPr="00C1173E" w:rsidRDefault="007174FD" w:rsidP="00DD254D">
            <w:pPr>
              <w:pStyle w:val="ListParagraph"/>
              <w:numPr>
                <w:ilvl w:val="1"/>
                <w:numId w:val="21"/>
              </w:numPr>
              <w:shd w:val="clear" w:color="auto" w:fill="FFFFFF"/>
              <w:jc w:val="both"/>
            </w:pPr>
            <w:r w:rsidRPr="00C1173E">
              <w:t xml:space="preserve">saskaņā ar </w:t>
            </w:r>
            <w:r w:rsidR="00D7172F" w:rsidRPr="00C1173E">
              <w:rPr>
                <w:i/>
              </w:rPr>
              <w:t>Vadlīnijām</w:t>
            </w:r>
            <w:r w:rsidRPr="00C1173E">
              <w:t xml:space="preserve"> </w:t>
            </w:r>
            <w:r w:rsidR="00D7172F" w:rsidRPr="00C1173E">
              <w:rPr>
                <w:i/>
              </w:rPr>
              <w:t xml:space="preserve">kompetences pārbaudes </w:t>
            </w:r>
            <w:r w:rsidRPr="00C1173E">
              <w:rPr>
                <w:i/>
              </w:rPr>
              <w:t>iestādēm</w:t>
            </w:r>
            <w:r w:rsidRPr="00C1173E">
              <w:t xml:space="preserve"> plānveidīgi, balstoties uz risku analīzi ir jāveic padziļināta pārbaude 1% būvspeciālistu, no kopējā būvspeciālistu skaita katrā darbības sfērā</w:t>
            </w:r>
            <w:r w:rsidR="00CD0804" w:rsidRPr="00C1173E">
              <w:t xml:space="preserve"> (turpmāk – </w:t>
            </w:r>
            <w:r w:rsidR="00CD0804" w:rsidRPr="00C1173E">
              <w:rPr>
                <w:i/>
              </w:rPr>
              <w:t>1% pārbaude</w:t>
            </w:r>
            <w:r w:rsidR="00CD0804" w:rsidRPr="00C1173E">
              <w:t>)</w:t>
            </w:r>
            <w:r w:rsidR="00CA26AB" w:rsidRPr="00C1173E">
              <w:t>;</w:t>
            </w:r>
          </w:p>
          <w:p w14:paraId="49438FC0" w14:textId="77777777" w:rsidR="007174FD" w:rsidRPr="00C1173E" w:rsidRDefault="007174FD" w:rsidP="007174FD">
            <w:pPr>
              <w:shd w:val="clear" w:color="auto" w:fill="FFFFFF"/>
              <w:jc w:val="both"/>
              <w:rPr>
                <w:sz w:val="18"/>
              </w:rPr>
            </w:pPr>
          </w:p>
          <w:p w14:paraId="49438FC1" w14:textId="77777777" w:rsidR="00586C71" w:rsidRPr="00C1173E" w:rsidRDefault="00586C71" w:rsidP="007174FD">
            <w:pPr>
              <w:shd w:val="clear" w:color="auto" w:fill="FFFFFF"/>
              <w:jc w:val="both"/>
              <w:rPr>
                <w:sz w:val="18"/>
              </w:rPr>
            </w:pPr>
          </w:p>
          <w:p w14:paraId="49438FC2" w14:textId="77777777" w:rsidR="00586C71" w:rsidRPr="00C1173E" w:rsidRDefault="00586C71" w:rsidP="007174FD">
            <w:pPr>
              <w:shd w:val="clear" w:color="auto" w:fill="FFFFFF"/>
              <w:jc w:val="both"/>
              <w:rPr>
                <w:sz w:val="18"/>
              </w:rPr>
            </w:pPr>
          </w:p>
          <w:p w14:paraId="49438FC3" w14:textId="774C2B67" w:rsidR="00EA1F88" w:rsidRPr="00C1173E" w:rsidRDefault="00823F93" w:rsidP="00FB176F">
            <w:pPr>
              <w:shd w:val="clear" w:color="auto" w:fill="FFFFFF"/>
              <w:jc w:val="both"/>
              <w:rPr>
                <w:b/>
                <w:u w:val="single"/>
              </w:rPr>
            </w:pPr>
            <w:r w:rsidRPr="00C1173E">
              <w:rPr>
                <w:b/>
                <w:u w:val="single"/>
              </w:rPr>
              <w:t>U</w:t>
            </w:r>
            <w:r w:rsidR="00E17384" w:rsidRPr="00C1173E">
              <w:rPr>
                <w:b/>
                <w:u w:val="single"/>
              </w:rPr>
              <w:t>zraudzība</w:t>
            </w:r>
          </w:p>
          <w:p w14:paraId="49438FC4" w14:textId="77777777" w:rsidR="007D318B" w:rsidRPr="00C1173E" w:rsidRDefault="007D318B" w:rsidP="007D318B">
            <w:pPr>
              <w:jc w:val="right"/>
              <w:rPr>
                <w:b/>
                <w:i/>
              </w:rPr>
            </w:pPr>
            <w:r w:rsidRPr="00C1173E">
              <w:rPr>
                <w:i/>
              </w:rPr>
              <w:t>1</w:t>
            </w:r>
            <w:r w:rsidRPr="00C1173E">
              <w:rPr>
                <w:b/>
                <w:i/>
              </w:rPr>
              <w:t>.</w:t>
            </w:r>
            <w:r w:rsidRPr="00C1173E">
              <w:rPr>
                <w:i/>
                <w:lang w:eastAsia="x-none"/>
              </w:rPr>
              <w:t>tabula</w:t>
            </w:r>
          </w:p>
          <w:p w14:paraId="49438FC5" w14:textId="402A00D5" w:rsidR="007D318B" w:rsidRPr="00C1173E" w:rsidRDefault="008A2C78" w:rsidP="007D318B">
            <w:pPr>
              <w:jc w:val="center"/>
              <w:rPr>
                <w:b/>
              </w:rPr>
            </w:pPr>
            <w:r w:rsidRPr="00C1173E">
              <w:rPr>
                <w:b/>
              </w:rPr>
              <w:t xml:space="preserve">Būvspeciālistu uzraudzības tiešo izmaksu aprēķins </w:t>
            </w:r>
          </w:p>
          <w:tbl>
            <w:tblPr>
              <w:tblW w:w="5861" w:type="dxa"/>
              <w:jc w:val="center"/>
              <w:tblLook w:val="04A0" w:firstRow="1" w:lastRow="0" w:firstColumn="1" w:lastColumn="0" w:noHBand="0" w:noVBand="1"/>
            </w:tblPr>
            <w:tblGrid>
              <w:gridCol w:w="760"/>
              <w:gridCol w:w="1319"/>
              <w:gridCol w:w="1051"/>
              <w:gridCol w:w="871"/>
              <w:gridCol w:w="38"/>
              <w:gridCol w:w="834"/>
              <w:gridCol w:w="988"/>
            </w:tblGrid>
            <w:tr w:rsidR="000C1448" w:rsidRPr="00C1173E" w14:paraId="49438FCC" w14:textId="77777777" w:rsidTr="00D137C0">
              <w:trPr>
                <w:trHeight w:val="682"/>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8FC6" w14:textId="77777777" w:rsidR="000C1448" w:rsidRPr="00C1173E" w:rsidRDefault="000C1448" w:rsidP="000C1448">
                  <w:pPr>
                    <w:jc w:val="center"/>
                    <w:rPr>
                      <w:sz w:val="22"/>
                      <w:szCs w:val="22"/>
                    </w:rPr>
                  </w:pPr>
                  <w:proofErr w:type="spellStart"/>
                  <w:r w:rsidRPr="00C1173E">
                    <w:rPr>
                      <w:sz w:val="22"/>
                      <w:szCs w:val="22"/>
                    </w:rPr>
                    <w:t>N.p.k</w:t>
                  </w:r>
                  <w:proofErr w:type="spellEnd"/>
                  <w:r w:rsidRPr="00C1173E">
                    <w:rPr>
                      <w:sz w:val="22"/>
                      <w:szCs w:val="22"/>
                    </w:rPr>
                    <w: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9438FC7" w14:textId="77777777" w:rsidR="000C1448" w:rsidRPr="00C1173E" w:rsidRDefault="0081518E" w:rsidP="000C1448">
                  <w:pPr>
                    <w:jc w:val="center"/>
                    <w:rPr>
                      <w:sz w:val="22"/>
                      <w:szCs w:val="22"/>
                    </w:rPr>
                  </w:pPr>
                  <w:r w:rsidRPr="00C1173E">
                    <w:rPr>
                      <w:sz w:val="22"/>
                      <w:szCs w:val="22"/>
                    </w:rPr>
                    <w:t xml:space="preserve">Pārbaudes </w:t>
                  </w:r>
                  <w:r w:rsidR="000C1448" w:rsidRPr="00C1173E">
                    <w:rPr>
                      <w:sz w:val="22"/>
                      <w:szCs w:val="22"/>
                    </w:rPr>
                    <w:t>Nosaukums</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9438FC8" w14:textId="77777777" w:rsidR="000C1448" w:rsidRPr="00C1173E" w:rsidRDefault="000C1448" w:rsidP="000C1448">
                  <w:pPr>
                    <w:jc w:val="center"/>
                    <w:rPr>
                      <w:sz w:val="22"/>
                      <w:szCs w:val="22"/>
                    </w:rPr>
                  </w:pPr>
                  <w:r w:rsidRPr="00C1173E">
                    <w:rPr>
                      <w:sz w:val="22"/>
                      <w:szCs w:val="22"/>
                    </w:rPr>
                    <w:t>gadījumu skaits gadā</w:t>
                  </w:r>
                </w:p>
              </w:tc>
              <w:tc>
                <w:tcPr>
                  <w:tcW w:w="909" w:type="dxa"/>
                  <w:gridSpan w:val="2"/>
                  <w:tcBorders>
                    <w:top w:val="single" w:sz="4" w:space="0" w:color="auto"/>
                    <w:left w:val="nil"/>
                    <w:bottom w:val="single" w:sz="4" w:space="0" w:color="auto"/>
                    <w:right w:val="single" w:sz="4" w:space="0" w:color="auto"/>
                  </w:tcBorders>
                  <w:shd w:val="clear" w:color="auto" w:fill="auto"/>
                  <w:vAlign w:val="center"/>
                  <w:hideMark/>
                </w:tcPr>
                <w:p w14:paraId="49438FC9" w14:textId="77777777" w:rsidR="000C1448" w:rsidRPr="00C1173E" w:rsidRDefault="000C1448" w:rsidP="000C1448">
                  <w:pPr>
                    <w:jc w:val="center"/>
                    <w:rPr>
                      <w:sz w:val="22"/>
                      <w:szCs w:val="22"/>
                    </w:rPr>
                  </w:pPr>
                  <w:r w:rsidRPr="00C1173E">
                    <w:rPr>
                      <w:sz w:val="22"/>
                      <w:szCs w:val="22"/>
                    </w:rPr>
                    <w:t>stundas likme (</w:t>
                  </w:r>
                  <w:r w:rsidR="0020771F" w:rsidRPr="00C1173E">
                    <w:rPr>
                      <w:i/>
                      <w:sz w:val="22"/>
                      <w:szCs w:val="22"/>
                    </w:rPr>
                    <w:t>euro</w:t>
                  </w:r>
                  <w:r w:rsidRPr="00C1173E">
                    <w:rPr>
                      <w:sz w:val="22"/>
                      <w:szCs w:val="22"/>
                    </w:rPr>
                    <w:t>)</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49438FCA" w14:textId="77777777" w:rsidR="000C1448" w:rsidRPr="00C1173E" w:rsidRDefault="000C1448" w:rsidP="000C1448">
                  <w:pPr>
                    <w:jc w:val="center"/>
                    <w:rPr>
                      <w:sz w:val="22"/>
                      <w:szCs w:val="22"/>
                    </w:rPr>
                  </w:pPr>
                  <w:r w:rsidRPr="00C1173E">
                    <w:rPr>
                      <w:sz w:val="22"/>
                      <w:szCs w:val="22"/>
                    </w:rPr>
                    <w:t>stundu skaits</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49438FCB" w14:textId="77777777" w:rsidR="000C1448" w:rsidRPr="00C1173E" w:rsidRDefault="000C1448" w:rsidP="000C1448">
                  <w:pPr>
                    <w:jc w:val="center"/>
                    <w:rPr>
                      <w:sz w:val="22"/>
                      <w:szCs w:val="22"/>
                    </w:rPr>
                  </w:pPr>
                  <w:r w:rsidRPr="00C1173E">
                    <w:rPr>
                      <w:sz w:val="22"/>
                      <w:szCs w:val="22"/>
                    </w:rPr>
                    <w:t>kopā (</w:t>
                  </w:r>
                  <w:r w:rsidR="0020771F" w:rsidRPr="00C1173E">
                    <w:rPr>
                      <w:i/>
                      <w:sz w:val="22"/>
                      <w:szCs w:val="22"/>
                    </w:rPr>
                    <w:t>euro</w:t>
                  </w:r>
                  <w:r w:rsidRPr="00C1173E">
                    <w:rPr>
                      <w:sz w:val="22"/>
                      <w:szCs w:val="22"/>
                    </w:rPr>
                    <w:t>)</w:t>
                  </w:r>
                </w:p>
              </w:tc>
            </w:tr>
            <w:tr w:rsidR="000C1448" w:rsidRPr="00C1173E" w14:paraId="49438FD3" w14:textId="77777777" w:rsidTr="00D137C0">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8FCD" w14:textId="77777777" w:rsidR="000C1448" w:rsidRPr="00C1173E" w:rsidRDefault="000C1448" w:rsidP="000C1448">
                  <w:pPr>
                    <w:jc w:val="center"/>
                    <w:rPr>
                      <w:sz w:val="22"/>
                      <w:szCs w:val="22"/>
                    </w:rPr>
                  </w:pPr>
                  <w:r w:rsidRPr="00C1173E">
                    <w:rPr>
                      <w:sz w:val="22"/>
                      <w:szCs w:val="22"/>
                    </w:rPr>
                    <w:t>1</w:t>
                  </w:r>
                </w:p>
              </w:tc>
              <w:tc>
                <w:tcPr>
                  <w:tcW w:w="1319" w:type="dxa"/>
                  <w:tcBorders>
                    <w:top w:val="nil"/>
                    <w:left w:val="nil"/>
                    <w:bottom w:val="single" w:sz="4" w:space="0" w:color="auto"/>
                    <w:right w:val="single" w:sz="4" w:space="0" w:color="auto"/>
                  </w:tcBorders>
                  <w:shd w:val="clear" w:color="auto" w:fill="auto"/>
                  <w:vAlign w:val="center"/>
                  <w:hideMark/>
                </w:tcPr>
                <w:p w14:paraId="49438FCE" w14:textId="77777777" w:rsidR="000C1448" w:rsidRPr="00C1173E" w:rsidRDefault="000C1448" w:rsidP="000C1448">
                  <w:pPr>
                    <w:jc w:val="center"/>
                    <w:rPr>
                      <w:i/>
                      <w:sz w:val="22"/>
                      <w:szCs w:val="22"/>
                    </w:rPr>
                  </w:pPr>
                  <w:r w:rsidRPr="00C1173E">
                    <w:rPr>
                      <w:i/>
                      <w:sz w:val="22"/>
                      <w:szCs w:val="22"/>
                    </w:rPr>
                    <w:t>100% pārbaude</w:t>
                  </w:r>
                </w:p>
              </w:tc>
              <w:tc>
                <w:tcPr>
                  <w:tcW w:w="1051" w:type="dxa"/>
                  <w:tcBorders>
                    <w:top w:val="nil"/>
                    <w:left w:val="nil"/>
                    <w:bottom w:val="single" w:sz="4" w:space="0" w:color="auto"/>
                    <w:right w:val="single" w:sz="4" w:space="0" w:color="auto"/>
                  </w:tcBorders>
                  <w:shd w:val="clear" w:color="auto" w:fill="auto"/>
                  <w:vAlign w:val="center"/>
                  <w:hideMark/>
                </w:tcPr>
                <w:p w14:paraId="49438FCF" w14:textId="2741E3A0" w:rsidR="000C1448" w:rsidRPr="00C1173E" w:rsidRDefault="00175670" w:rsidP="000C1448">
                  <w:pPr>
                    <w:jc w:val="center"/>
                    <w:rPr>
                      <w:sz w:val="22"/>
                      <w:szCs w:val="22"/>
                    </w:rPr>
                  </w:pPr>
                  <w:r w:rsidRPr="00C1173E">
                    <w:rPr>
                      <w:sz w:val="22"/>
                      <w:szCs w:val="22"/>
                    </w:rPr>
                    <w:t>126</w:t>
                  </w:r>
                </w:p>
              </w:tc>
              <w:tc>
                <w:tcPr>
                  <w:tcW w:w="909" w:type="dxa"/>
                  <w:gridSpan w:val="2"/>
                  <w:tcBorders>
                    <w:top w:val="nil"/>
                    <w:left w:val="nil"/>
                    <w:bottom w:val="single" w:sz="4" w:space="0" w:color="auto"/>
                    <w:right w:val="single" w:sz="4" w:space="0" w:color="auto"/>
                  </w:tcBorders>
                  <w:shd w:val="clear" w:color="auto" w:fill="auto"/>
                  <w:vAlign w:val="center"/>
                  <w:hideMark/>
                </w:tcPr>
                <w:p w14:paraId="49438FD0" w14:textId="7D70829A" w:rsidR="000C1448" w:rsidRPr="00C1173E" w:rsidRDefault="00620896" w:rsidP="000C1448">
                  <w:pPr>
                    <w:jc w:val="center"/>
                    <w:rPr>
                      <w:sz w:val="22"/>
                      <w:szCs w:val="22"/>
                    </w:rPr>
                  </w:pPr>
                  <w:r w:rsidRPr="00C1173E">
                    <w:rPr>
                      <w:sz w:val="22"/>
                      <w:szCs w:val="22"/>
                    </w:rPr>
                    <w:t>10</w:t>
                  </w:r>
                </w:p>
              </w:tc>
              <w:tc>
                <w:tcPr>
                  <w:tcW w:w="834" w:type="dxa"/>
                  <w:tcBorders>
                    <w:top w:val="nil"/>
                    <w:left w:val="nil"/>
                    <w:bottom w:val="single" w:sz="4" w:space="0" w:color="auto"/>
                    <w:right w:val="single" w:sz="4" w:space="0" w:color="auto"/>
                  </w:tcBorders>
                  <w:shd w:val="clear" w:color="auto" w:fill="auto"/>
                  <w:vAlign w:val="center"/>
                  <w:hideMark/>
                </w:tcPr>
                <w:p w14:paraId="49438FD1" w14:textId="712AE769" w:rsidR="000C1448" w:rsidRPr="00C1173E" w:rsidRDefault="0001373B" w:rsidP="000C1448">
                  <w:pPr>
                    <w:jc w:val="center"/>
                    <w:rPr>
                      <w:sz w:val="22"/>
                      <w:szCs w:val="22"/>
                    </w:rPr>
                  </w:pPr>
                  <w:r w:rsidRPr="00C1173E">
                    <w:rPr>
                      <w:sz w:val="22"/>
                      <w:szCs w:val="22"/>
                    </w:rPr>
                    <w:t>2</w:t>
                  </w:r>
                </w:p>
              </w:tc>
              <w:tc>
                <w:tcPr>
                  <w:tcW w:w="988" w:type="dxa"/>
                  <w:tcBorders>
                    <w:top w:val="nil"/>
                    <w:left w:val="nil"/>
                    <w:bottom w:val="single" w:sz="4" w:space="0" w:color="auto"/>
                    <w:right w:val="single" w:sz="4" w:space="0" w:color="auto"/>
                  </w:tcBorders>
                  <w:shd w:val="clear" w:color="auto" w:fill="auto"/>
                  <w:vAlign w:val="center"/>
                  <w:hideMark/>
                </w:tcPr>
                <w:p w14:paraId="49438FD2" w14:textId="5CF65EB3" w:rsidR="000C1448" w:rsidRPr="00C1173E" w:rsidRDefault="0001373B" w:rsidP="000C1448">
                  <w:pPr>
                    <w:jc w:val="center"/>
                    <w:rPr>
                      <w:sz w:val="22"/>
                      <w:szCs w:val="22"/>
                    </w:rPr>
                  </w:pPr>
                  <w:r w:rsidRPr="00C1173E">
                    <w:rPr>
                      <w:sz w:val="22"/>
                      <w:szCs w:val="22"/>
                    </w:rPr>
                    <w:t>2</w:t>
                  </w:r>
                  <w:r w:rsidR="00620896" w:rsidRPr="00C1173E">
                    <w:rPr>
                      <w:sz w:val="22"/>
                      <w:szCs w:val="22"/>
                    </w:rPr>
                    <w:t>520</w:t>
                  </w:r>
                </w:p>
              </w:tc>
            </w:tr>
            <w:tr w:rsidR="000C1448" w:rsidRPr="00C1173E" w14:paraId="49438FDA" w14:textId="77777777" w:rsidTr="00D137C0">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8FD4" w14:textId="77777777" w:rsidR="000C1448" w:rsidRPr="00C1173E" w:rsidRDefault="000C1448" w:rsidP="000C1448">
                  <w:pPr>
                    <w:jc w:val="center"/>
                    <w:rPr>
                      <w:sz w:val="22"/>
                      <w:szCs w:val="22"/>
                    </w:rPr>
                  </w:pPr>
                  <w:r w:rsidRPr="00C1173E">
                    <w:rPr>
                      <w:sz w:val="22"/>
                      <w:szCs w:val="22"/>
                    </w:rPr>
                    <w:t>2</w:t>
                  </w:r>
                </w:p>
              </w:tc>
              <w:tc>
                <w:tcPr>
                  <w:tcW w:w="1319" w:type="dxa"/>
                  <w:tcBorders>
                    <w:top w:val="nil"/>
                    <w:left w:val="nil"/>
                    <w:bottom w:val="single" w:sz="4" w:space="0" w:color="auto"/>
                    <w:right w:val="single" w:sz="4" w:space="0" w:color="auto"/>
                  </w:tcBorders>
                  <w:shd w:val="clear" w:color="auto" w:fill="auto"/>
                  <w:vAlign w:val="center"/>
                  <w:hideMark/>
                </w:tcPr>
                <w:p w14:paraId="49438FD5" w14:textId="77777777" w:rsidR="000C1448" w:rsidRPr="00C1173E" w:rsidRDefault="000C1448" w:rsidP="000C1448">
                  <w:pPr>
                    <w:jc w:val="center"/>
                    <w:rPr>
                      <w:i/>
                      <w:sz w:val="22"/>
                      <w:szCs w:val="22"/>
                    </w:rPr>
                  </w:pPr>
                  <w:r w:rsidRPr="00C1173E">
                    <w:rPr>
                      <w:i/>
                      <w:sz w:val="22"/>
                      <w:szCs w:val="22"/>
                    </w:rPr>
                    <w:t>20% pārbaude</w:t>
                  </w:r>
                </w:p>
              </w:tc>
              <w:tc>
                <w:tcPr>
                  <w:tcW w:w="1051" w:type="dxa"/>
                  <w:tcBorders>
                    <w:top w:val="nil"/>
                    <w:left w:val="nil"/>
                    <w:bottom w:val="single" w:sz="4" w:space="0" w:color="auto"/>
                    <w:right w:val="single" w:sz="4" w:space="0" w:color="auto"/>
                  </w:tcBorders>
                  <w:shd w:val="clear" w:color="auto" w:fill="auto"/>
                  <w:vAlign w:val="center"/>
                  <w:hideMark/>
                </w:tcPr>
                <w:p w14:paraId="49438FD6" w14:textId="6CADAEAB" w:rsidR="000C1448" w:rsidRPr="00C1173E" w:rsidRDefault="000C1448" w:rsidP="000C1448">
                  <w:pPr>
                    <w:jc w:val="center"/>
                    <w:rPr>
                      <w:sz w:val="22"/>
                      <w:szCs w:val="22"/>
                    </w:rPr>
                  </w:pPr>
                  <w:r w:rsidRPr="00C1173E">
                    <w:rPr>
                      <w:sz w:val="22"/>
                      <w:szCs w:val="22"/>
                    </w:rPr>
                    <w:t>2</w:t>
                  </w:r>
                  <w:r w:rsidR="0001373B" w:rsidRPr="00C1173E">
                    <w:rPr>
                      <w:sz w:val="22"/>
                      <w:szCs w:val="22"/>
                    </w:rPr>
                    <w:t>5</w:t>
                  </w:r>
                </w:p>
              </w:tc>
              <w:tc>
                <w:tcPr>
                  <w:tcW w:w="909" w:type="dxa"/>
                  <w:gridSpan w:val="2"/>
                  <w:tcBorders>
                    <w:top w:val="nil"/>
                    <w:left w:val="nil"/>
                    <w:bottom w:val="single" w:sz="4" w:space="0" w:color="auto"/>
                    <w:right w:val="single" w:sz="4" w:space="0" w:color="auto"/>
                  </w:tcBorders>
                  <w:shd w:val="clear" w:color="auto" w:fill="auto"/>
                  <w:vAlign w:val="center"/>
                  <w:hideMark/>
                </w:tcPr>
                <w:p w14:paraId="49438FD7" w14:textId="77777777" w:rsidR="000C1448" w:rsidRPr="00C1173E" w:rsidRDefault="000C1448" w:rsidP="000C1448">
                  <w:pPr>
                    <w:jc w:val="center"/>
                    <w:rPr>
                      <w:sz w:val="22"/>
                      <w:szCs w:val="22"/>
                    </w:rPr>
                  </w:pPr>
                  <w:r w:rsidRPr="00C1173E">
                    <w:rPr>
                      <w:sz w:val="22"/>
                      <w:szCs w:val="22"/>
                    </w:rPr>
                    <w:t>40</w:t>
                  </w:r>
                </w:p>
              </w:tc>
              <w:tc>
                <w:tcPr>
                  <w:tcW w:w="834" w:type="dxa"/>
                  <w:tcBorders>
                    <w:top w:val="nil"/>
                    <w:left w:val="nil"/>
                    <w:bottom w:val="single" w:sz="4" w:space="0" w:color="auto"/>
                    <w:right w:val="single" w:sz="4" w:space="0" w:color="auto"/>
                  </w:tcBorders>
                  <w:shd w:val="clear" w:color="auto" w:fill="auto"/>
                  <w:vAlign w:val="center"/>
                  <w:hideMark/>
                </w:tcPr>
                <w:p w14:paraId="49438FD8" w14:textId="0DF7B691" w:rsidR="000C1448" w:rsidRPr="00C1173E" w:rsidRDefault="003F4EFA" w:rsidP="000C1448">
                  <w:pPr>
                    <w:jc w:val="center"/>
                    <w:rPr>
                      <w:sz w:val="22"/>
                      <w:szCs w:val="22"/>
                    </w:rPr>
                  </w:pPr>
                  <w:r w:rsidRPr="00C1173E">
                    <w:rPr>
                      <w:sz w:val="22"/>
                      <w:szCs w:val="22"/>
                    </w:rPr>
                    <w:t>5</w:t>
                  </w:r>
                </w:p>
              </w:tc>
              <w:tc>
                <w:tcPr>
                  <w:tcW w:w="988" w:type="dxa"/>
                  <w:tcBorders>
                    <w:top w:val="nil"/>
                    <w:left w:val="nil"/>
                    <w:bottom w:val="single" w:sz="4" w:space="0" w:color="auto"/>
                    <w:right w:val="single" w:sz="4" w:space="0" w:color="auto"/>
                  </w:tcBorders>
                  <w:shd w:val="clear" w:color="auto" w:fill="auto"/>
                  <w:vAlign w:val="center"/>
                  <w:hideMark/>
                </w:tcPr>
                <w:p w14:paraId="49438FD9" w14:textId="352F0C91" w:rsidR="000C1448" w:rsidRPr="00C1173E" w:rsidRDefault="003F4EFA" w:rsidP="000C1448">
                  <w:pPr>
                    <w:jc w:val="center"/>
                    <w:rPr>
                      <w:sz w:val="22"/>
                      <w:szCs w:val="22"/>
                    </w:rPr>
                  </w:pPr>
                  <w:r w:rsidRPr="00C1173E">
                    <w:rPr>
                      <w:sz w:val="22"/>
                      <w:szCs w:val="22"/>
                    </w:rPr>
                    <w:t>5</w:t>
                  </w:r>
                  <w:r w:rsidR="0001373B" w:rsidRPr="00C1173E">
                    <w:rPr>
                      <w:sz w:val="22"/>
                      <w:szCs w:val="22"/>
                    </w:rPr>
                    <w:t>0</w:t>
                  </w:r>
                  <w:r w:rsidR="000C1448" w:rsidRPr="00C1173E">
                    <w:rPr>
                      <w:sz w:val="22"/>
                      <w:szCs w:val="22"/>
                    </w:rPr>
                    <w:t>00</w:t>
                  </w:r>
                </w:p>
              </w:tc>
            </w:tr>
            <w:tr w:rsidR="000C1448" w:rsidRPr="00C1173E" w14:paraId="49438FE1" w14:textId="77777777" w:rsidTr="00D137C0">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8FDB" w14:textId="77777777" w:rsidR="000C1448" w:rsidRPr="00C1173E" w:rsidRDefault="000C1448" w:rsidP="000C1448">
                  <w:pPr>
                    <w:jc w:val="center"/>
                    <w:rPr>
                      <w:sz w:val="22"/>
                      <w:szCs w:val="22"/>
                    </w:rPr>
                  </w:pPr>
                  <w:r w:rsidRPr="00C1173E">
                    <w:rPr>
                      <w:sz w:val="22"/>
                      <w:szCs w:val="22"/>
                    </w:rPr>
                    <w:t>3</w:t>
                  </w:r>
                </w:p>
              </w:tc>
              <w:tc>
                <w:tcPr>
                  <w:tcW w:w="1319" w:type="dxa"/>
                  <w:tcBorders>
                    <w:top w:val="nil"/>
                    <w:left w:val="nil"/>
                    <w:bottom w:val="single" w:sz="4" w:space="0" w:color="auto"/>
                    <w:right w:val="single" w:sz="4" w:space="0" w:color="auto"/>
                  </w:tcBorders>
                  <w:shd w:val="clear" w:color="auto" w:fill="auto"/>
                  <w:vAlign w:val="center"/>
                  <w:hideMark/>
                </w:tcPr>
                <w:p w14:paraId="49438FDC" w14:textId="77777777" w:rsidR="000C1448" w:rsidRPr="00C1173E" w:rsidRDefault="000C1448" w:rsidP="000C1448">
                  <w:pPr>
                    <w:jc w:val="center"/>
                    <w:rPr>
                      <w:i/>
                      <w:sz w:val="22"/>
                      <w:szCs w:val="22"/>
                    </w:rPr>
                  </w:pPr>
                  <w:r w:rsidRPr="00C1173E">
                    <w:rPr>
                      <w:i/>
                      <w:sz w:val="22"/>
                      <w:szCs w:val="22"/>
                    </w:rPr>
                    <w:t>Sūdzību izvērtēšana</w:t>
                  </w:r>
                </w:p>
              </w:tc>
              <w:tc>
                <w:tcPr>
                  <w:tcW w:w="1051" w:type="dxa"/>
                  <w:tcBorders>
                    <w:top w:val="nil"/>
                    <w:left w:val="nil"/>
                    <w:bottom w:val="single" w:sz="4" w:space="0" w:color="auto"/>
                    <w:right w:val="single" w:sz="4" w:space="0" w:color="auto"/>
                  </w:tcBorders>
                  <w:shd w:val="clear" w:color="auto" w:fill="auto"/>
                  <w:vAlign w:val="center"/>
                  <w:hideMark/>
                </w:tcPr>
                <w:p w14:paraId="49438FDD" w14:textId="7886F545" w:rsidR="000C1448" w:rsidRPr="00C1173E" w:rsidRDefault="0001373B" w:rsidP="000C1448">
                  <w:pPr>
                    <w:jc w:val="center"/>
                    <w:rPr>
                      <w:sz w:val="22"/>
                      <w:szCs w:val="22"/>
                    </w:rPr>
                  </w:pPr>
                  <w:r w:rsidRPr="00C1173E">
                    <w:rPr>
                      <w:sz w:val="22"/>
                      <w:szCs w:val="22"/>
                    </w:rPr>
                    <w:t>15</w:t>
                  </w:r>
                </w:p>
              </w:tc>
              <w:tc>
                <w:tcPr>
                  <w:tcW w:w="909" w:type="dxa"/>
                  <w:gridSpan w:val="2"/>
                  <w:tcBorders>
                    <w:top w:val="nil"/>
                    <w:left w:val="nil"/>
                    <w:bottom w:val="single" w:sz="4" w:space="0" w:color="auto"/>
                    <w:right w:val="single" w:sz="4" w:space="0" w:color="auto"/>
                  </w:tcBorders>
                  <w:shd w:val="clear" w:color="auto" w:fill="auto"/>
                  <w:vAlign w:val="center"/>
                  <w:hideMark/>
                </w:tcPr>
                <w:p w14:paraId="49438FDE" w14:textId="77777777" w:rsidR="000C1448" w:rsidRPr="00C1173E" w:rsidRDefault="000C1448" w:rsidP="000C1448">
                  <w:pPr>
                    <w:jc w:val="center"/>
                    <w:rPr>
                      <w:sz w:val="22"/>
                      <w:szCs w:val="22"/>
                    </w:rPr>
                  </w:pPr>
                  <w:r w:rsidRPr="00C1173E">
                    <w:rPr>
                      <w:sz w:val="22"/>
                      <w:szCs w:val="22"/>
                    </w:rPr>
                    <w:t>40</w:t>
                  </w:r>
                </w:p>
              </w:tc>
              <w:tc>
                <w:tcPr>
                  <w:tcW w:w="834" w:type="dxa"/>
                  <w:tcBorders>
                    <w:top w:val="nil"/>
                    <w:left w:val="nil"/>
                    <w:bottom w:val="single" w:sz="4" w:space="0" w:color="auto"/>
                    <w:right w:val="single" w:sz="4" w:space="0" w:color="auto"/>
                  </w:tcBorders>
                  <w:shd w:val="clear" w:color="auto" w:fill="auto"/>
                  <w:vAlign w:val="center"/>
                  <w:hideMark/>
                </w:tcPr>
                <w:p w14:paraId="49438FDF" w14:textId="77777777" w:rsidR="000C1448" w:rsidRPr="00C1173E" w:rsidRDefault="000C1448" w:rsidP="000C1448">
                  <w:pPr>
                    <w:jc w:val="center"/>
                    <w:rPr>
                      <w:sz w:val="22"/>
                      <w:szCs w:val="22"/>
                    </w:rPr>
                  </w:pPr>
                  <w:r w:rsidRPr="00C1173E">
                    <w:rPr>
                      <w:sz w:val="22"/>
                      <w:szCs w:val="22"/>
                    </w:rPr>
                    <w:t>16</w:t>
                  </w:r>
                </w:p>
              </w:tc>
              <w:tc>
                <w:tcPr>
                  <w:tcW w:w="988" w:type="dxa"/>
                  <w:tcBorders>
                    <w:top w:val="nil"/>
                    <w:left w:val="nil"/>
                    <w:bottom w:val="single" w:sz="4" w:space="0" w:color="auto"/>
                    <w:right w:val="single" w:sz="4" w:space="0" w:color="auto"/>
                  </w:tcBorders>
                  <w:shd w:val="clear" w:color="auto" w:fill="auto"/>
                  <w:vAlign w:val="center"/>
                  <w:hideMark/>
                </w:tcPr>
                <w:p w14:paraId="49438FE0" w14:textId="3747E3FB" w:rsidR="000C1448" w:rsidRPr="00C1173E" w:rsidRDefault="0001373B" w:rsidP="000C1448">
                  <w:pPr>
                    <w:jc w:val="center"/>
                    <w:rPr>
                      <w:sz w:val="22"/>
                      <w:szCs w:val="22"/>
                    </w:rPr>
                  </w:pPr>
                  <w:r w:rsidRPr="00C1173E">
                    <w:rPr>
                      <w:sz w:val="22"/>
                      <w:szCs w:val="22"/>
                    </w:rPr>
                    <w:t>9600</w:t>
                  </w:r>
                </w:p>
              </w:tc>
            </w:tr>
            <w:tr w:rsidR="000C1448" w:rsidRPr="00C1173E" w14:paraId="49438FE8" w14:textId="77777777" w:rsidTr="00D137C0">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8FE2" w14:textId="77777777" w:rsidR="000C1448" w:rsidRPr="00C1173E" w:rsidRDefault="000C1448" w:rsidP="000C1448">
                  <w:pPr>
                    <w:jc w:val="center"/>
                    <w:rPr>
                      <w:sz w:val="22"/>
                      <w:szCs w:val="22"/>
                    </w:rPr>
                  </w:pPr>
                  <w:r w:rsidRPr="00C1173E">
                    <w:rPr>
                      <w:sz w:val="22"/>
                      <w:szCs w:val="22"/>
                    </w:rPr>
                    <w:t>4</w:t>
                  </w:r>
                </w:p>
              </w:tc>
              <w:tc>
                <w:tcPr>
                  <w:tcW w:w="1319" w:type="dxa"/>
                  <w:tcBorders>
                    <w:top w:val="nil"/>
                    <w:left w:val="nil"/>
                    <w:bottom w:val="single" w:sz="4" w:space="0" w:color="auto"/>
                    <w:right w:val="single" w:sz="4" w:space="0" w:color="auto"/>
                  </w:tcBorders>
                  <w:shd w:val="clear" w:color="auto" w:fill="auto"/>
                  <w:vAlign w:val="center"/>
                  <w:hideMark/>
                </w:tcPr>
                <w:p w14:paraId="49438FE3" w14:textId="77777777" w:rsidR="000C1448" w:rsidRPr="00C1173E" w:rsidRDefault="000C1448" w:rsidP="000C1448">
                  <w:pPr>
                    <w:jc w:val="center"/>
                    <w:rPr>
                      <w:i/>
                      <w:sz w:val="22"/>
                      <w:szCs w:val="22"/>
                    </w:rPr>
                  </w:pPr>
                  <w:r w:rsidRPr="00C1173E">
                    <w:rPr>
                      <w:i/>
                      <w:sz w:val="22"/>
                      <w:szCs w:val="22"/>
                    </w:rPr>
                    <w:t>1% pārbaude</w:t>
                  </w:r>
                </w:p>
              </w:tc>
              <w:tc>
                <w:tcPr>
                  <w:tcW w:w="1051" w:type="dxa"/>
                  <w:tcBorders>
                    <w:top w:val="nil"/>
                    <w:left w:val="nil"/>
                    <w:bottom w:val="single" w:sz="4" w:space="0" w:color="auto"/>
                    <w:right w:val="single" w:sz="4" w:space="0" w:color="auto"/>
                  </w:tcBorders>
                  <w:shd w:val="clear" w:color="auto" w:fill="auto"/>
                  <w:vAlign w:val="center"/>
                  <w:hideMark/>
                </w:tcPr>
                <w:p w14:paraId="49438FE4" w14:textId="4EE1C733" w:rsidR="000C1448" w:rsidRPr="00C1173E" w:rsidRDefault="000C1448" w:rsidP="000C1448">
                  <w:pPr>
                    <w:jc w:val="center"/>
                    <w:rPr>
                      <w:sz w:val="22"/>
                      <w:szCs w:val="22"/>
                    </w:rPr>
                  </w:pPr>
                  <w:r w:rsidRPr="00C1173E">
                    <w:rPr>
                      <w:sz w:val="22"/>
                      <w:szCs w:val="22"/>
                    </w:rPr>
                    <w:t>1</w:t>
                  </w:r>
                </w:p>
              </w:tc>
              <w:tc>
                <w:tcPr>
                  <w:tcW w:w="909" w:type="dxa"/>
                  <w:gridSpan w:val="2"/>
                  <w:tcBorders>
                    <w:top w:val="nil"/>
                    <w:left w:val="nil"/>
                    <w:bottom w:val="single" w:sz="4" w:space="0" w:color="auto"/>
                    <w:right w:val="single" w:sz="4" w:space="0" w:color="auto"/>
                  </w:tcBorders>
                  <w:shd w:val="clear" w:color="auto" w:fill="auto"/>
                  <w:vAlign w:val="center"/>
                  <w:hideMark/>
                </w:tcPr>
                <w:p w14:paraId="49438FE5" w14:textId="77777777" w:rsidR="000C1448" w:rsidRPr="00C1173E" w:rsidRDefault="000C1448" w:rsidP="000C1448">
                  <w:pPr>
                    <w:jc w:val="center"/>
                    <w:rPr>
                      <w:sz w:val="22"/>
                      <w:szCs w:val="22"/>
                    </w:rPr>
                  </w:pPr>
                  <w:r w:rsidRPr="00C1173E">
                    <w:rPr>
                      <w:sz w:val="22"/>
                      <w:szCs w:val="22"/>
                    </w:rPr>
                    <w:t>40</w:t>
                  </w:r>
                </w:p>
              </w:tc>
              <w:tc>
                <w:tcPr>
                  <w:tcW w:w="834" w:type="dxa"/>
                  <w:tcBorders>
                    <w:top w:val="nil"/>
                    <w:left w:val="nil"/>
                    <w:bottom w:val="single" w:sz="4" w:space="0" w:color="auto"/>
                    <w:right w:val="single" w:sz="4" w:space="0" w:color="auto"/>
                  </w:tcBorders>
                  <w:shd w:val="clear" w:color="auto" w:fill="auto"/>
                  <w:vAlign w:val="center"/>
                  <w:hideMark/>
                </w:tcPr>
                <w:p w14:paraId="49438FE6" w14:textId="77777777" w:rsidR="000C1448" w:rsidRPr="00C1173E" w:rsidRDefault="000C1448" w:rsidP="000C1448">
                  <w:pPr>
                    <w:jc w:val="center"/>
                    <w:rPr>
                      <w:sz w:val="22"/>
                      <w:szCs w:val="22"/>
                    </w:rPr>
                  </w:pPr>
                  <w:r w:rsidRPr="00C1173E">
                    <w:rPr>
                      <w:sz w:val="22"/>
                      <w:szCs w:val="22"/>
                    </w:rPr>
                    <w:t>40</w:t>
                  </w:r>
                </w:p>
              </w:tc>
              <w:tc>
                <w:tcPr>
                  <w:tcW w:w="988" w:type="dxa"/>
                  <w:tcBorders>
                    <w:top w:val="nil"/>
                    <w:left w:val="nil"/>
                    <w:bottom w:val="single" w:sz="4" w:space="0" w:color="auto"/>
                    <w:right w:val="single" w:sz="4" w:space="0" w:color="auto"/>
                  </w:tcBorders>
                  <w:shd w:val="clear" w:color="auto" w:fill="auto"/>
                  <w:vAlign w:val="center"/>
                  <w:hideMark/>
                </w:tcPr>
                <w:p w14:paraId="49438FE7" w14:textId="3F0C95D3" w:rsidR="000C1448" w:rsidRPr="00C1173E" w:rsidRDefault="000C1448" w:rsidP="000C1448">
                  <w:pPr>
                    <w:jc w:val="center"/>
                    <w:rPr>
                      <w:sz w:val="22"/>
                      <w:szCs w:val="22"/>
                    </w:rPr>
                  </w:pPr>
                  <w:r w:rsidRPr="00C1173E">
                    <w:rPr>
                      <w:sz w:val="22"/>
                      <w:szCs w:val="22"/>
                    </w:rPr>
                    <w:t>1600</w:t>
                  </w:r>
                </w:p>
              </w:tc>
            </w:tr>
            <w:tr w:rsidR="000C1448" w:rsidRPr="00C1173E" w14:paraId="49438FEF" w14:textId="77777777" w:rsidTr="00D137C0">
              <w:trPr>
                <w:trHeight w:val="744"/>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8FE9" w14:textId="77777777" w:rsidR="000C1448" w:rsidRPr="00C1173E" w:rsidRDefault="000C1448" w:rsidP="000C1448">
                  <w:pPr>
                    <w:jc w:val="center"/>
                    <w:rPr>
                      <w:sz w:val="22"/>
                      <w:szCs w:val="22"/>
                    </w:rPr>
                  </w:pPr>
                  <w:r w:rsidRPr="00C1173E">
                    <w:rPr>
                      <w:sz w:val="22"/>
                      <w:szCs w:val="22"/>
                    </w:rPr>
                    <w:t>5</w:t>
                  </w:r>
                </w:p>
              </w:tc>
              <w:tc>
                <w:tcPr>
                  <w:tcW w:w="1319" w:type="dxa"/>
                  <w:tcBorders>
                    <w:top w:val="nil"/>
                    <w:left w:val="nil"/>
                    <w:bottom w:val="single" w:sz="4" w:space="0" w:color="auto"/>
                    <w:right w:val="single" w:sz="4" w:space="0" w:color="auto"/>
                  </w:tcBorders>
                  <w:shd w:val="clear" w:color="auto" w:fill="auto"/>
                  <w:vAlign w:val="center"/>
                  <w:hideMark/>
                </w:tcPr>
                <w:p w14:paraId="49438FEA" w14:textId="77777777" w:rsidR="000C1448" w:rsidRPr="00C1173E" w:rsidRDefault="000C1448" w:rsidP="000C1448">
                  <w:pPr>
                    <w:jc w:val="center"/>
                    <w:rPr>
                      <w:sz w:val="22"/>
                      <w:szCs w:val="22"/>
                    </w:rPr>
                  </w:pPr>
                  <w:r w:rsidRPr="00C1173E">
                    <w:rPr>
                      <w:sz w:val="22"/>
                      <w:szCs w:val="22"/>
                    </w:rPr>
                    <w:t>Juridiskie pakalpojumi</w:t>
                  </w:r>
                </w:p>
              </w:tc>
              <w:tc>
                <w:tcPr>
                  <w:tcW w:w="1051" w:type="dxa"/>
                  <w:tcBorders>
                    <w:top w:val="nil"/>
                    <w:left w:val="nil"/>
                    <w:bottom w:val="single" w:sz="4" w:space="0" w:color="auto"/>
                    <w:right w:val="single" w:sz="4" w:space="0" w:color="auto"/>
                  </w:tcBorders>
                  <w:shd w:val="clear" w:color="auto" w:fill="auto"/>
                  <w:vAlign w:val="center"/>
                  <w:hideMark/>
                </w:tcPr>
                <w:p w14:paraId="49438FEB" w14:textId="503C9866" w:rsidR="000C1448" w:rsidRPr="00C1173E" w:rsidRDefault="003E08BD" w:rsidP="000C1448">
                  <w:pPr>
                    <w:jc w:val="center"/>
                    <w:rPr>
                      <w:sz w:val="22"/>
                      <w:szCs w:val="22"/>
                    </w:rPr>
                  </w:pPr>
                  <w:r w:rsidRPr="00C1173E">
                    <w:rPr>
                      <w:sz w:val="22"/>
                      <w:szCs w:val="22"/>
                    </w:rPr>
                    <w:t>10</w:t>
                  </w:r>
                </w:p>
              </w:tc>
              <w:tc>
                <w:tcPr>
                  <w:tcW w:w="909" w:type="dxa"/>
                  <w:gridSpan w:val="2"/>
                  <w:tcBorders>
                    <w:top w:val="nil"/>
                    <w:left w:val="nil"/>
                    <w:bottom w:val="single" w:sz="4" w:space="0" w:color="auto"/>
                    <w:right w:val="single" w:sz="4" w:space="0" w:color="auto"/>
                  </w:tcBorders>
                  <w:shd w:val="clear" w:color="auto" w:fill="auto"/>
                  <w:vAlign w:val="center"/>
                  <w:hideMark/>
                </w:tcPr>
                <w:p w14:paraId="49438FEC" w14:textId="0438C7DF" w:rsidR="000C1448" w:rsidRPr="00C1173E" w:rsidRDefault="00620896" w:rsidP="000C1448">
                  <w:pPr>
                    <w:jc w:val="center"/>
                    <w:rPr>
                      <w:sz w:val="22"/>
                      <w:szCs w:val="22"/>
                    </w:rPr>
                  </w:pPr>
                  <w:r w:rsidRPr="00C1173E">
                    <w:rPr>
                      <w:sz w:val="22"/>
                      <w:szCs w:val="22"/>
                    </w:rPr>
                    <w:t>10</w:t>
                  </w:r>
                </w:p>
              </w:tc>
              <w:tc>
                <w:tcPr>
                  <w:tcW w:w="834" w:type="dxa"/>
                  <w:tcBorders>
                    <w:top w:val="nil"/>
                    <w:left w:val="nil"/>
                    <w:bottom w:val="single" w:sz="4" w:space="0" w:color="auto"/>
                    <w:right w:val="single" w:sz="4" w:space="0" w:color="auto"/>
                  </w:tcBorders>
                  <w:shd w:val="clear" w:color="auto" w:fill="auto"/>
                  <w:vAlign w:val="center"/>
                  <w:hideMark/>
                </w:tcPr>
                <w:p w14:paraId="49438FED" w14:textId="4416C22F" w:rsidR="000C1448" w:rsidRPr="00C1173E" w:rsidRDefault="003E08BD" w:rsidP="000C1448">
                  <w:pPr>
                    <w:jc w:val="center"/>
                    <w:rPr>
                      <w:sz w:val="22"/>
                      <w:szCs w:val="22"/>
                    </w:rPr>
                  </w:pPr>
                  <w:r w:rsidRPr="00C1173E">
                    <w:rPr>
                      <w:sz w:val="22"/>
                      <w:szCs w:val="22"/>
                    </w:rPr>
                    <w:t>6</w:t>
                  </w:r>
                </w:p>
              </w:tc>
              <w:tc>
                <w:tcPr>
                  <w:tcW w:w="988" w:type="dxa"/>
                  <w:tcBorders>
                    <w:top w:val="nil"/>
                    <w:left w:val="nil"/>
                    <w:bottom w:val="single" w:sz="4" w:space="0" w:color="auto"/>
                    <w:right w:val="single" w:sz="4" w:space="0" w:color="auto"/>
                  </w:tcBorders>
                  <w:shd w:val="clear" w:color="auto" w:fill="auto"/>
                  <w:vAlign w:val="center"/>
                  <w:hideMark/>
                </w:tcPr>
                <w:p w14:paraId="49438FEE" w14:textId="49EB2C0D" w:rsidR="000C1448" w:rsidRPr="00C1173E" w:rsidRDefault="00620896" w:rsidP="000C1448">
                  <w:pPr>
                    <w:jc w:val="center"/>
                    <w:rPr>
                      <w:sz w:val="22"/>
                      <w:szCs w:val="22"/>
                    </w:rPr>
                  </w:pPr>
                  <w:r w:rsidRPr="00C1173E">
                    <w:rPr>
                      <w:sz w:val="22"/>
                      <w:szCs w:val="22"/>
                    </w:rPr>
                    <w:t>600</w:t>
                  </w:r>
                </w:p>
              </w:tc>
            </w:tr>
            <w:tr w:rsidR="00D137C0" w:rsidRPr="00C1173E" w14:paraId="49438FF5" w14:textId="77777777" w:rsidTr="00D137C0">
              <w:trPr>
                <w:trHeight w:val="38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8FF0" w14:textId="77777777" w:rsidR="00D137C0" w:rsidRPr="00C1173E" w:rsidRDefault="00D137C0" w:rsidP="000C1448">
                  <w:pPr>
                    <w:jc w:val="center"/>
                    <w:rPr>
                      <w:sz w:val="22"/>
                      <w:szCs w:val="22"/>
                    </w:rPr>
                  </w:pPr>
                  <w:r w:rsidRPr="00C1173E">
                    <w:rPr>
                      <w:sz w:val="22"/>
                      <w:szCs w:val="22"/>
                    </w:rPr>
                    <w:t>6</w:t>
                  </w:r>
                </w:p>
              </w:tc>
              <w:tc>
                <w:tcPr>
                  <w:tcW w:w="1319" w:type="dxa"/>
                  <w:tcBorders>
                    <w:top w:val="nil"/>
                    <w:left w:val="nil"/>
                    <w:bottom w:val="single" w:sz="4" w:space="0" w:color="auto"/>
                    <w:right w:val="single" w:sz="4" w:space="0" w:color="auto"/>
                  </w:tcBorders>
                  <w:shd w:val="clear" w:color="auto" w:fill="auto"/>
                  <w:vAlign w:val="center"/>
                  <w:hideMark/>
                </w:tcPr>
                <w:p w14:paraId="49438FF1" w14:textId="77777777" w:rsidR="00D137C0" w:rsidRPr="00C1173E" w:rsidRDefault="00D137C0" w:rsidP="000C1448">
                  <w:pPr>
                    <w:jc w:val="center"/>
                    <w:rPr>
                      <w:sz w:val="22"/>
                      <w:szCs w:val="22"/>
                    </w:rPr>
                  </w:pPr>
                  <w:r w:rsidRPr="00C1173E">
                    <w:rPr>
                      <w:sz w:val="22"/>
                      <w:szCs w:val="22"/>
                    </w:rPr>
                    <w:t>Izbraukums</w:t>
                  </w:r>
                </w:p>
              </w:tc>
              <w:tc>
                <w:tcPr>
                  <w:tcW w:w="1051" w:type="dxa"/>
                  <w:tcBorders>
                    <w:top w:val="nil"/>
                    <w:left w:val="nil"/>
                    <w:bottom w:val="single" w:sz="4" w:space="0" w:color="auto"/>
                    <w:right w:val="single" w:sz="4" w:space="0" w:color="auto"/>
                  </w:tcBorders>
                  <w:shd w:val="clear" w:color="auto" w:fill="auto"/>
                  <w:vAlign w:val="center"/>
                  <w:hideMark/>
                </w:tcPr>
                <w:p w14:paraId="49438FF2" w14:textId="17FE2EF5" w:rsidR="00D137C0" w:rsidRPr="00C1173E" w:rsidRDefault="00D137C0" w:rsidP="000C1448">
                  <w:pPr>
                    <w:jc w:val="center"/>
                    <w:rPr>
                      <w:sz w:val="22"/>
                      <w:szCs w:val="22"/>
                    </w:rPr>
                  </w:pPr>
                  <w:r w:rsidRPr="00C1173E">
                    <w:rPr>
                      <w:sz w:val="22"/>
                      <w:szCs w:val="22"/>
                    </w:rPr>
                    <w:t>2</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AFB2F35" w14:textId="2080F004" w:rsidR="00D137C0" w:rsidRPr="00C1173E" w:rsidRDefault="00D137C0" w:rsidP="00D137C0">
                  <w:pPr>
                    <w:ind w:right="-214"/>
                    <w:jc w:val="center"/>
                    <w:rPr>
                      <w:sz w:val="22"/>
                      <w:szCs w:val="22"/>
                    </w:rPr>
                  </w:pPr>
                  <w:r w:rsidRPr="00C1173E">
                    <w:rPr>
                      <w:sz w:val="22"/>
                      <w:szCs w:val="22"/>
                    </w:rPr>
                    <w:t>40</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14:paraId="49438FF3" w14:textId="0D847DD5" w:rsidR="00D137C0" w:rsidRPr="00C1173E" w:rsidRDefault="00D137C0" w:rsidP="000C1448">
                  <w:pPr>
                    <w:jc w:val="center"/>
                    <w:rPr>
                      <w:sz w:val="22"/>
                      <w:szCs w:val="22"/>
                    </w:rPr>
                  </w:pPr>
                  <w:r w:rsidRPr="00C1173E">
                    <w:rPr>
                      <w:sz w:val="22"/>
                      <w:szCs w:val="22"/>
                    </w:rPr>
                    <w:t>4</w:t>
                  </w:r>
                </w:p>
              </w:tc>
              <w:tc>
                <w:tcPr>
                  <w:tcW w:w="988" w:type="dxa"/>
                  <w:tcBorders>
                    <w:top w:val="nil"/>
                    <w:left w:val="nil"/>
                    <w:bottom w:val="single" w:sz="4" w:space="0" w:color="auto"/>
                    <w:right w:val="single" w:sz="4" w:space="0" w:color="auto"/>
                  </w:tcBorders>
                  <w:shd w:val="clear" w:color="auto" w:fill="auto"/>
                  <w:vAlign w:val="center"/>
                  <w:hideMark/>
                </w:tcPr>
                <w:p w14:paraId="49438FF4" w14:textId="2F043AAB" w:rsidR="00D137C0" w:rsidRPr="00C1173E" w:rsidRDefault="00D137C0" w:rsidP="000C1448">
                  <w:pPr>
                    <w:jc w:val="center"/>
                    <w:rPr>
                      <w:sz w:val="22"/>
                      <w:szCs w:val="22"/>
                    </w:rPr>
                  </w:pPr>
                  <w:r w:rsidRPr="00C1173E">
                    <w:rPr>
                      <w:sz w:val="22"/>
                      <w:szCs w:val="22"/>
                    </w:rPr>
                    <w:t>320</w:t>
                  </w:r>
                </w:p>
              </w:tc>
            </w:tr>
            <w:tr w:rsidR="000C1448" w:rsidRPr="00C1173E" w14:paraId="49438FF8" w14:textId="77777777" w:rsidTr="00D137C0">
              <w:trPr>
                <w:trHeight w:val="49"/>
                <w:jc w:val="center"/>
              </w:trPr>
              <w:tc>
                <w:tcPr>
                  <w:tcW w:w="48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438FF6" w14:textId="77777777" w:rsidR="000C1448" w:rsidRPr="00C1173E" w:rsidRDefault="000C1448" w:rsidP="000C1448">
                  <w:pPr>
                    <w:jc w:val="right"/>
                    <w:rPr>
                      <w:b/>
                      <w:bCs/>
                      <w:sz w:val="22"/>
                      <w:szCs w:val="22"/>
                    </w:rPr>
                  </w:pPr>
                  <w:r w:rsidRPr="00C1173E">
                    <w:rPr>
                      <w:b/>
                      <w:bCs/>
                      <w:sz w:val="22"/>
                      <w:szCs w:val="22"/>
                    </w:rPr>
                    <w:t>Kopā tiešās izmaksas (</w:t>
                  </w:r>
                  <w:proofErr w:type="spellStart"/>
                  <w:r w:rsidR="0020771F" w:rsidRPr="00C1173E">
                    <w:rPr>
                      <w:b/>
                      <w:bCs/>
                      <w:i/>
                      <w:sz w:val="22"/>
                      <w:szCs w:val="22"/>
                    </w:rPr>
                    <w:t>euro</w:t>
                  </w:r>
                  <w:proofErr w:type="spellEnd"/>
                  <w:r w:rsidRPr="00C1173E">
                    <w:rPr>
                      <w:b/>
                      <w:bCs/>
                      <w:sz w:val="22"/>
                      <w:szCs w:val="22"/>
                    </w:rPr>
                    <w:t>)</w:t>
                  </w:r>
                </w:p>
              </w:tc>
              <w:tc>
                <w:tcPr>
                  <w:tcW w:w="988" w:type="dxa"/>
                  <w:tcBorders>
                    <w:top w:val="nil"/>
                    <w:left w:val="nil"/>
                    <w:bottom w:val="single" w:sz="4" w:space="0" w:color="auto"/>
                    <w:right w:val="single" w:sz="4" w:space="0" w:color="auto"/>
                  </w:tcBorders>
                  <w:shd w:val="clear" w:color="auto" w:fill="auto"/>
                  <w:vAlign w:val="center"/>
                  <w:hideMark/>
                </w:tcPr>
                <w:p w14:paraId="49438FF7" w14:textId="448A1F0A" w:rsidR="000C1448" w:rsidRPr="00C1173E" w:rsidRDefault="00620896" w:rsidP="000C1448">
                  <w:pPr>
                    <w:jc w:val="center"/>
                    <w:rPr>
                      <w:b/>
                      <w:bCs/>
                      <w:sz w:val="22"/>
                      <w:szCs w:val="22"/>
                    </w:rPr>
                  </w:pPr>
                  <w:r w:rsidRPr="00C1173E">
                    <w:rPr>
                      <w:b/>
                      <w:bCs/>
                      <w:sz w:val="22"/>
                      <w:szCs w:val="22"/>
                    </w:rPr>
                    <w:t>19 640</w:t>
                  </w:r>
                </w:p>
              </w:tc>
            </w:tr>
            <w:tr w:rsidR="000C1448" w:rsidRPr="00C1173E" w14:paraId="49438FFB" w14:textId="77777777" w:rsidTr="00D137C0">
              <w:trPr>
                <w:trHeight w:val="224"/>
                <w:jc w:val="center"/>
              </w:trPr>
              <w:tc>
                <w:tcPr>
                  <w:tcW w:w="48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438FF9" w14:textId="77777777" w:rsidR="000C1448" w:rsidRPr="00C1173E" w:rsidRDefault="000C1448" w:rsidP="000C1448">
                  <w:pPr>
                    <w:jc w:val="right"/>
                    <w:rPr>
                      <w:b/>
                      <w:bCs/>
                      <w:sz w:val="22"/>
                      <w:szCs w:val="22"/>
                    </w:rPr>
                  </w:pPr>
                  <w:r w:rsidRPr="00C1173E">
                    <w:rPr>
                      <w:b/>
                      <w:bCs/>
                      <w:sz w:val="22"/>
                      <w:szCs w:val="22"/>
                    </w:rPr>
                    <w:t>Kopā tiešās izmaksas uz 1 būvspeciālistu (</w:t>
                  </w:r>
                  <w:r w:rsidR="0020771F" w:rsidRPr="00C1173E">
                    <w:rPr>
                      <w:b/>
                      <w:bCs/>
                      <w:i/>
                      <w:sz w:val="22"/>
                      <w:szCs w:val="22"/>
                    </w:rPr>
                    <w:t>euro</w:t>
                  </w:r>
                  <w:r w:rsidRPr="00C1173E">
                    <w:rPr>
                      <w:b/>
                      <w:bCs/>
                      <w:sz w:val="22"/>
                      <w:szCs w:val="22"/>
                    </w:rPr>
                    <w:t>)</w:t>
                  </w:r>
                </w:p>
              </w:tc>
              <w:tc>
                <w:tcPr>
                  <w:tcW w:w="988" w:type="dxa"/>
                  <w:tcBorders>
                    <w:top w:val="nil"/>
                    <w:left w:val="nil"/>
                    <w:bottom w:val="single" w:sz="4" w:space="0" w:color="auto"/>
                    <w:right w:val="single" w:sz="4" w:space="0" w:color="auto"/>
                  </w:tcBorders>
                  <w:shd w:val="clear" w:color="auto" w:fill="auto"/>
                  <w:vAlign w:val="center"/>
                  <w:hideMark/>
                </w:tcPr>
                <w:p w14:paraId="49438FFA" w14:textId="623ACA0D" w:rsidR="000C1448" w:rsidRPr="00C1173E" w:rsidRDefault="000C1448" w:rsidP="000C1448">
                  <w:pPr>
                    <w:jc w:val="center"/>
                    <w:rPr>
                      <w:b/>
                      <w:bCs/>
                      <w:sz w:val="22"/>
                      <w:szCs w:val="22"/>
                    </w:rPr>
                  </w:pPr>
                  <w:r w:rsidRPr="00C1173E">
                    <w:rPr>
                      <w:b/>
                      <w:bCs/>
                      <w:sz w:val="22"/>
                      <w:szCs w:val="22"/>
                    </w:rPr>
                    <w:t>1</w:t>
                  </w:r>
                  <w:r w:rsidR="00620896" w:rsidRPr="00C1173E">
                    <w:rPr>
                      <w:b/>
                      <w:bCs/>
                      <w:sz w:val="22"/>
                      <w:szCs w:val="22"/>
                    </w:rPr>
                    <w:t>5</w:t>
                  </w:r>
                  <w:r w:rsidR="004753F4" w:rsidRPr="00C1173E">
                    <w:rPr>
                      <w:b/>
                      <w:bCs/>
                      <w:sz w:val="22"/>
                      <w:szCs w:val="22"/>
                    </w:rPr>
                    <w:t>6,00</w:t>
                  </w:r>
                </w:p>
              </w:tc>
            </w:tr>
          </w:tbl>
          <w:p w14:paraId="49438FFC" w14:textId="77777777" w:rsidR="000C1448" w:rsidRPr="00C1173E" w:rsidRDefault="000C1448" w:rsidP="00FB176F">
            <w:pPr>
              <w:shd w:val="clear" w:color="auto" w:fill="FFFFFF"/>
              <w:jc w:val="both"/>
            </w:pPr>
          </w:p>
          <w:p w14:paraId="49438FFD" w14:textId="1330CD6B" w:rsidR="00346C0D" w:rsidRPr="00C1173E" w:rsidRDefault="00F75E3D" w:rsidP="00CF4BF4">
            <w:pPr>
              <w:pStyle w:val="ListParagraph"/>
              <w:numPr>
                <w:ilvl w:val="0"/>
                <w:numId w:val="20"/>
              </w:numPr>
              <w:shd w:val="clear" w:color="auto" w:fill="FFFFFF"/>
              <w:jc w:val="both"/>
            </w:pPr>
            <w:r w:rsidRPr="00C1173E">
              <w:rPr>
                <w:i/>
              </w:rPr>
              <w:t>100% pārbaudē</w:t>
            </w:r>
            <w:r w:rsidRPr="00C1173E">
              <w:t xml:space="preserve"> informācija  </w:t>
            </w:r>
            <w:r w:rsidR="00CF4BF4">
              <w:t xml:space="preserve">nav </w:t>
            </w:r>
            <w:r w:rsidRPr="00C1173E">
              <w:t>pārbaudīta pēc būtības, līdz ar to šo pārbaudi var veikt administratīvais personāls</w:t>
            </w:r>
            <w:r w:rsidR="00BE601A" w:rsidRPr="00C1173E">
              <w:t xml:space="preserve">. Ja pārbaudes laikā  konstatē, ka būvspeciālists nav izpildījis kādu no minētajiem pienākumiem, </w:t>
            </w:r>
            <w:r w:rsidR="00BE601A" w:rsidRPr="00CF4BF4">
              <w:rPr>
                <w:i/>
              </w:rPr>
              <w:t>kompetences pārbaudes iestādei</w:t>
            </w:r>
            <w:r w:rsidR="00BE601A" w:rsidRPr="00C1173E">
              <w:t xml:space="preserve"> ir jāpieprasa šī pienākuma izpilde</w:t>
            </w:r>
            <w:r w:rsidRPr="00CF4BF4">
              <w:rPr>
                <w:i/>
              </w:rPr>
              <w:t>. Kompetences pārbaudes iestādes</w:t>
            </w:r>
            <w:r w:rsidRPr="00C1173E">
              <w:t xml:space="preserve"> norāda, ka</w:t>
            </w:r>
            <w:r w:rsidR="0081518E" w:rsidRPr="00C1173E">
              <w:t xml:space="preserve"> </w:t>
            </w:r>
            <w:r w:rsidRPr="00C1173E">
              <w:t xml:space="preserve">vidējā administratīvā personāla atlīdzība ieskaitot nodokļu maksājumus ir </w:t>
            </w:r>
            <w:r w:rsidR="00FC3043" w:rsidRPr="00C1173E">
              <w:t>10</w:t>
            </w:r>
            <w:r w:rsidRPr="00C1173E">
              <w:t xml:space="preserve"> </w:t>
            </w:r>
            <w:proofErr w:type="spellStart"/>
            <w:r w:rsidR="0020771F" w:rsidRPr="00CF4BF4">
              <w:rPr>
                <w:i/>
              </w:rPr>
              <w:t>euro</w:t>
            </w:r>
            <w:proofErr w:type="spellEnd"/>
            <w:r w:rsidRPr="00C1173E">
              <w:t xml:space="preserve"> stundā</w:t>
            </w:r>
            <w:r w:rsidR="00B74E1D" w:rsidRPr="00C1173E">
              <w:t>,</w:t>
            </w:r>
            <w:r w:rsidR="00BE601A" w:rsidRPr="00C1173E">
              <w:t>;</w:t>
            </w:r>
          </w:p>
          <w:p w14:paraId="49438FFE" w14:textId="7F0DBF0A" w:rsidR="004160B4" w:rsidRPr="00C1173E" w:rsidRDefault="004160B4" w:rsidP="004160B4">
            <w:pPr>
              <w:pStyle w:val="ListParagraph"/>
              <w:numPr>
                <w:ilvl w:val="0"/>
                <w:numId w:val="20"/>
              </w:numPr>
              <w:shd w:val="clear" w:color="auto" w:fill="FFFFFF"/>
              <w:jc w:val="both"/>
            </w:pPr>
            <w:r w:rsidRPr="00C1173E">
              <w:rPr>
                <w:i/>
              </w:rPr>
              <w:t>20% pārbaud</w:t>
            </w:r>
            <w:r w:rsidR="00CF4BF4">
              <w:rPr>
                <w:i/>
              </w:rPr>
              <w:t>i</w:t>
            </w:r>
            <w:r w:rsidRPr="00C1173E">
              <w:rPr>
                <w:i/>
              </w:rPr>
              <w:t xml:space="preserve"> </w:t>
            </w:r>
            <w:r w:rsidRPr="00C1173E">
              <w:t>vei</w:t>
            </w:r>
            <w:r w:rsidR="00CF4BF4">
              <w:t>c</w:t>
            </w:r>
            <w:r w:rsidR="00AD5B4A" w:rsidRPr="00C1173E">
              <w:t>,</w:t>
            </w:r>
            <w:r w:rsidRPr="00C1173E">
              <w:t xml:space="preserve"> komunicējot ar pārbaudāmo būvspeciālistu – informējot par pārbaudi un nepieciešamības gadījumā pieprasot iesniegt papildus informāciju</w:t>
            </w:r>
            <w:r w:rsidR="00CF4BF4">
              <w:t>,</w:t>
            </w:r>
            <w:r w:rsidR="00AD5B4A" w:rsidRPr="00C1173E">
              <w:t xml:space="preserve"> kā arī nepieciešamības gadījumā </w:t>
            </w:r>
            <w:r w:rsidR="00AD5B4A" w:rsidRPr="00C1173E">
              <w:rPr>
                <w:i/>
              </w:rPr>
              <w:t>kompetences pārbaudes iestādes</w:t>
            </w:r>
            <w:r w:rsidR="00AD5B4A" w:rsidRPr="00C1173E">
              <w:t xml:space="preserve"> ekspertu komisija</w:t>
            </w:r>
            <w:r w:rsidR="00D7172F" w:rsidRPr="00C1173E">
              <w:t>i</w:t>
            </w:r>
            <w:r w:rsidR="00AD5B4A" w:rsidRPr="00C1173E">
              <w:t xml:space="preserve"> veicot pārrunas ar pārbaudāmajiem būvspeciālistiem</w:t>
            </w:r>
            <w:r w:rsidRPr="00C1173E">
              <w:t>. Ņemot vērā, ka šajā pārbaudē ir jāizvērtē būvspeciālistu iesniegtie dokumenti pēc būtības, kā arī šīs pārbaudes laikā</w:t>
            </w:r>
            <w:r w:rsidR="00AD5B4A" w:rsidRPr="00C1173E">
              <w:t>,</w:t>
            </w:r>
            <w:r w:rsidRPr="00C1173E">
              <w:t xml:space="preserve"> uz risku analīzi balstoties</w:t>
            </w:r>
            <w:r w:rsidR="00CF4BF4">
              <w:t>,</w:t>
            </w:r>
            <w:r w:rsidRPr="00C1173E">
              <w:t xml:space="preserve"> atlas</w:t>
            </w:r>
            <w:r w:rsidR="00CF4BF4">
              <w:t xml:space="preserve">a </w:t>
            </w:r>
            <w:proofErr w:type="spellStart"/>
            <w:r w:rsidRPr="00C1173E">
              <w:t>būvspeciālist</w:t>
            </w:r>
            <w:r w:rsidR="00CF4BF4">
              <w:t>us</w:t>
            </w:r>
            <w:proofErr w:type="spellEnd"/>
            <w:r w:rsidRPr="00C1173E">
              <w:t xml:space="preserve"> padziļinātai pārbaudei</w:t>
            </w:r>
            <w:r w:rsidR="00CF4BF4">
              <w:t>.</w:t>
            </w:r>
            <w:r w:rsidRPr="00C1173E">
              <w:t xml:space="preserve"> </w:t>
            </w:r>
            <w:r w:rsidRPr="00C1173E">
              <w:rPr>
                <w:i/>
              </w:rPr>
              <w:t>20% pārbaudi</w:t>
            </w:r>
            <w:r w:rsidRPr="00C1173E">
              <w:t xml:space="preserve"> atbilstošā kvalitātē var veikt tikai </w:t>
            </w:r>
            <w:r w:rsidRPr="00C1173E">
              <w:rPr>
                <w:i/>
              </w:rPr>
              <w:t>kompetences pārbaudes iestādes</w:t>
            </w:r>
            <w:r w:rsidRPr="00C1173E">
              <w:t xml:space="preserve"> ekspert</w:t>
            </w:r>
            <w:r w:rsidR="00B74E1D" w:rsidRPr="00C1173E">
              <w:t>i</w:t>
            </w:r>
            <w:r w:rsidRPr="00C1173E">
              <w:t>, kur</w:t>
            </w:r>
            <w:r w:rsidR="00B74E1D" w:rsidRPr="00C1173E">
              <w:t>i</w:t>
            </w:r>
            <w:r w:rsidRPr="00C1173E">
              <w:t xml:space="preserve"> atbilst </w:t>
            </w:r>
            <w:r w:rsidRPr="00C1173E">
              <w:rPr>
                <w:i/>
              </w:rPr>
              <w:t>Noteikumu Nr.169</w:t>
            </w:r>
            <w:r w:rsidRPr="00C1173E">
              <w:t xml:space="preserve"> 20.punkta prasībām. </w:t>
            </w:r>
            <w:r w:rsidRPr="00C1173E">
              <w:rPr>
                <w:i/>
              </w:rPr>
              <w:t>Kompetences pārbaudes iestādes</w:t>
            </w:r>
            <w:r w:rsidRPr="00C1173E">
              <w:t xml:space="preserve"> norāda, </w:t>
            </w:r>
            <w:r w:rsidRPr="00C1173E">
              <w:lastRenderedPageBreak/>
              <w:t xml:space="preserve">ka vidējā eksperta atlīdzība ieskaitot nodokļu maksājumus ir 40 </w:t>
            </w:r>
            <w:r w:rsidR="0020771F" w:rsidRPr="00C1173E">
              <w:rPr>
                <w:i/>
              </w:rPr>
              <w:t>euro</w:t>
            </w:r>
            <w:r w:rsidRPr="00C1173E">
              <w:t xml:space="preserve"> stundā;</w:t>
            </w:r>
          </w:p>
          <w:p w14:paraId="49438FFF" w14:textId="7C535AFE" w:rsidR="00BE601A" w:rsidRPr="00C1173E" w:rsidRDefault="0081518E" w:rsidP="00BB1412">
            <w:pPr>
              <w:pStyle w:val="ListParagraph"/>
              <w:numPr>
                <w:ilvl w:val="0"/>
                <w:numId w:val="20"/>
              </w:numPr>
              <w:shd w:val="clear" w:color="auto" w:fill="FFFFFF"/>
              <w:jc w:val="both"/>
            </w:pPr>
            <w:r w:rsidRPr="00C1173E">
              <w:t xml:space="preserve">Ņemot vērā </w:t>
            </w:r>
            <w:r w:rsidRPr="00C1173E">
              <w:rPr>
                <w:i/>
              </w:rPr>
              <w:t>kompetences pārbaudes iestāžu</w:t>
            </w:r>
            <w:r w:rsidRPr="00C1173E">
              <w:t xml:space="preserve"> līdzšinējo pieredzi</w:t>
            </w:r>
            <w:r w:rsidRPr="00C1173E">
              <w:rPr>
                <w:i/>
              </w:rPr>
              <w:t xml:space="preserve"> </w:t>
            </w:r>
            <w:r w:rsidR="007861AF" w:rsidRPr="00C1173E">
              <w:rPr>
                <w:i/>
              </w:rPr>
              <w:t>s</w:t>
            </w:r>
            <w:r w:rsidRPr="00C1173E">
              <w:rPr>
                <w:i/>
              </w:rPr>
              <w:t xml:space="preserve">ūdzību </w:t>
            </w:r>
            <w:r w:rsidR="004A7DCB" w:rsidRPr="00C1173E">
              <w:rPr>
                <w:i/>
              </w:rPr>
              <w:t>izvērtēšanā</w:t>
            </w:r>
            <w:r w:rsidR="00BE601A" w:rsidRPr="00C1173E">
              <w:t>, sūdzību skaits</w:t>
            </w:r>
            <w:r w:rsidRPr="00C1173E">
              <w:t xml:space="preserve"> gadā</w:t>
            </w:r>
            <w:r w:rsidR="00BE601A" w:rsidRPr="00C1173E">
              <w:t xml:space="preserve"> sastāda</w:t>
            </w:r>
            <w:r w:rsidRPr="00C1173E">
              <w:t xml:space="preserve"> vidēji</w:t>
            </w:r>
            <w:r w:rsidR="00BE601A" w:rsidRPr="00C1173E">
              <w:t xml:space="preserve"> </w:t>
            </w:r>
            <w:r w:rsidR="003F4EFA" w:rsidRPr="00C1173E">
              <w:t>12</w:t>
            </w:r>
            <w:r w:rsidR="00BE601A" w:rsidRPr="00C1173E">
              <w:t xml:space="preserve">% no kopējā būvspeciālistu skaita. </w:t>
            </w:r>
            <w:r w:rsidR="00BE601A" w:rsidRPr="00C1173E">
              <w:rPr>
                <w:i/>
              </w:rPr>
              <w:t xml:space="preserve">Sūdzību </w:t>
            </w:r>
            <w:r w:rsidR="004A7DCB" w:rsidRPr="00C1173E">
              <w:rPr>
                <w:i/>
              </w:rPr>
              <w:t>izvērtēšanā</w:t>
            </w:r>
            <w:r w:rsidR="00BE601A" w:rsidRPr="00C1173E">
              <w:t xml:space="preserve"> ir jāizvērtē sarežģītas situāci</w:t>
            </w:r>
            <w:r w:rsidR="00254A5D" w:rsidRPr="00C1173E">
              <w:t>jas</w:t>
            </w:r>
            <w:r w:rsidR="004160B4" w:rsidRPr="00C1173E">
              <w:t>, atsevišķos gadījumos vienlaicīgi iesaistot vairākus būvniecības ekspertus, kā arī apsekojot būves</w:t>
            </w:r>
            <w:r w:rsidR="00AD5B4A" w:rsidRPr="00C1173E">
              <w:t>,</w:t>
            </w:r>
            <w:r w:rsidR="004160B4" w:rsidRPr="00C1173E">
              <w:t xml:space="preserve"> par kurām ir saņemta</w:t>
            </w:r>
            <w:r w:rsidR="004A7DCB" w:rsidRPr="00C1173E">
              <w:t>s</w:t>
            </w:r>
            <w:r w:rsidR="004160B4" w:rsidRPr="00C1173E">
              <w:t xml:space="preserve"> sūdzība</w:t>
            </w:r>
            <w:r w:rsidR="004A7DCB" w:rsidRPr="00C1173E">
              <w:t>s</w:t>
            </w:r>
            <w:r w:rsidR="004160B4" w:rsidRPr="00C1173E">
              <w:t xml:space="preserve">. Līdz ar to sūdzību izskatīšanu pēc būtības var veikt tikai </w:t>
            </w:r>
            <w:r w:rsidR="00BE601A" w:rsidRPr="00C1173E">
              <w:t xml:space="preserve">veic </w:t>
            </w:r>
            <w:r w:rsidR="00BE601A" w:rsidRPr="00C1173E">
              <w:rPr>
                <w:i/>
              </w:rPr>
              <w:t>kompetences pārbaudes iestāžu</w:t>
            </w:r>
            <w:r w:rsidR="00BE601A" w:rsidRPr="00C1173E">
              <w:t xml:space="preserve"> eksperti</w:t>
            </w:r>
            <w:r w:rsidR="004160B4" w:rsidRPr="00C1173E">
              <w:t xml:space="preserve">. </w:t>
            </w:r>
          </w:p>
          <w:p w14:paraId="49439000" w14:textId="33D2A57A" w:rsidR="00ED7E73" w:rsidRPr="00C1173E" w:rsidRDefault="00ED7E73" w:rsidP="00BB1412">
            <w:pPr>
              <w:pStyle w:val="ListParagraph"/>
              <w:numPr>
                <w:ilvl w:val="0"/>
                <w:numId w:val="20"/>
              </w:numPr>
              <w:shd w:val="clear" w:color="auto" w:fill="FFFFFF"/>
              <w:jc w:val="both"/>
            </w:pPr>
            <w:r w:rsidRPr="00C1173E">
              <w:rPr>
                <w:i/>
              </w:rPr>
              <w:t>1% pārbaudē</w:t>
            </w:r>
            <w:r w:rsidRPr="00C1173E">
              <w:t xml:space="preserve">  padziļināti pārbaud</w:t>
            </w:r>
            <w:r w:rsidR="00CF4BF4">
              <w:t>a</w:t>
            </w:r>
            <w:r w:rsidRPr="00C1173E">
              <w:t xml:space="preserve"> būvspeciālisti katrā jomā. </w:t>
            </w:r>
            <w:r w:rsidR="00D137C0" w:rsidRPr="00C1173E">
              <w:t xml:space="preserve">Būvprojektu vai būves ekspertīzes </w:t>
            </w:r>
            <w:r w:rsidRPr="00C1173E">
              <w:t>jomās būvspeciālistiem  pēc nejaušības principa izvēl</w:t>
            </w:r>
            <w:r w:rsidR="00CF4BF4">
              <w:t>as</w:t>
            </w:r>
            <w:r w:rsidR="00806754" w:rsidRPr="00C1173E">
              <w:t xml:space="preserve"> vien</w:t>
            </w:r>
            <w:r w:rsidR="00CF4BF4">
              <w:t>u</w:t>
            </w:r>
            <w:r w:rsidR="00806754" w:rsidRPr="00C1173E">
              <w:t xml:space="preserve"> pārskata periodā izstrādāt</w:t>
            </w:r>
            <w:r w:rsidR="00CF4BF4">
              <w:t>u</w:t>
            </w:r>
            <w:r w:rsidRPr="00C1173E">
              <w:t xml:space="preserve"> būvprojekt</w:t>
            </w:r>
            <w:r w:rsidR="00CF4BF4">
              <w:t>u</w:t>
            </w:r>
            <w:r w:rsidR="00D137C0" w:rsidRPr="00C1173E">
              <w:t xml:space="preserve"> vai būves ekspertīz</w:t>
            </w:r>
            <w:r w:rsidR="00CF4BF4">
              <w:t>i</w:t>
            </w:r>
            <w:r w:rsidRPr="00C1173E">
              <w:t>, kura</w:t>
            </w:r>
            <w:r w:rsidR="00D137C0" w:rsidRPr="00C1173E">
              <w:t>i</w:t>
            </w:r>
            <w:r w:rsidRPr="00C1173E">
              <w:t xml:space="preserve"> pēc būtības  pārbaud</w:t>
            </w:r>
            <w:r w:rsidR="00CF4BF4">
              <w:t>a</w:t>
            </w:r>
            <w:r w:rsidRPr="00C1173E">
              <w:t xml:space="preserve"> atbilstīb</w:t>
            </w:r>
            <w:r w:rsidR="00CF4BF4">
              <w:t>u</w:t>
            </w:r>
            <w:r w:rsidRPr="00C1173E">
              <w:t xml:space="preserve"> normatīvo aktu prasībām</w:t>
            </w:r>
            <w:r w:rsidR="00D137C0" w:rsidRPr="00C1173E">
              <w:t>, veicot arī</w:t>
            </w:r>
            <w:r w:rsidRPr="00C1173E">
              <w:t xml:space="preserve"> būtisko raksturlielumu aprēķin</w:t>
            </w:r>
            <w:r w:rsidR="00D137C0" w:rsidRPr="00C1173E">
              <w:t>u pārbaudi</w:t>
            </w:r>
            <w:r w:rsidRPr="00C1173E">
              <w:t xml:space="preserve">. </w:t>
            </w:r>
            <w:r w:rsidR="00806754" w:rsidRPr="00C1173E">
              <w:rPr>
                <w:i/>
              </w:rPr>
              <w:t>1% pārbaudi</w:t>
            </w:r>
            <w:r w:rsidR="00806754" w:rsidRPr="00C1173E">
              <w:t xml:space="preserve"> pēc būtības var veikt tikai </w:t>
            </w:r>
            <w:r w:rsidR="00806754" w:rsidRPr="00C1173E">
              <w:rPr>
                <w:i/>
              </w:rPr>
              <w:t>kompetences pārbaudes</w:t>
            </w:r>
            <w:r w:rsidR="00B84E2D" w:rsidRPr="00C1173E">
              <w:rPr>
                <w:i/>
              </w:rPr>
              <w:t xml:space="preserve"> iestādes</w:t>
            </w:r>
            <w:r w:rsidR="00806754" w:rsidRPr="00C1173E">
              <w:t xml:space="preserve"> eksperti.</w:t>
            </w:r>
          </w:p>
          <w:p w14:paraId="49439001" w14:textId="77777777" w:rsidR="00806754" w:rsidRPr="00C1173E" w:rsidRDefault="00806754" w:rsidP="00806754">
            <w:pPr>
              <w:shd w:val="clear" w:color="auto" w:fill="FFFFFF"/>
              <w:jc w:val="both"/>
            </w:pPr>
          </w:p>
          <w:p w14:paraId="49439002" w14:textId="025BAC9D" w:rsidR="00806754" w:rsidRPr="00C1173E" w:rsidRDefault="00806754" w:rsidP="009E396C">
            <w:pPr>
              <w:shd w:val="clear" w:color="auto" w:fill="FFFFFF"/>
              <w:ind w:firstLine="394"/>
              <w:jc w:val="both"/>
            </w:pPr>
            <w:r w:rsidRPr="00C1173E">
              <w:t>Būvspeciālistu uzraudzības ietvaros</w:t>
            </w:r>
            <w:r w:rsidR="005B20E8" w:rsidRPr="00C1173E">
              <w:t xml:space="preserve"> minēto darbību</w:t>
            </w:r>
            <w:r w:rsidRPr="00C1173E">
              <w:t xml:space="preserve"> </w:t>
            </w:r>
            <w:r w:rsidR="005B20E8" w:rsidRPr="00C1173E">
              <w:t xml:space="preserve">veikšanas </w:t>
            </w:r>
            <w:r w:rsidRPr="00C1173E">
              <w:t xml:space="preserve">tiešās izmaksas uz vienu būvspeciālistu </w:t>
            </w:r>
            <w:r w:rsidR="005B20E8" w:rsidRPr="00C1173E">
              <w:t>ir</w:t>
            </w:r>
            <w:r w:rsidRPr="00C1173E">
              <w:t xml:space="preserve"> </w:t>
            </w:r>
            <w:r w:rsidR="00693BD5" w:rsidRPr="00C1173E">
              <w:rPr>
                <w:b/>
                <w:bCs/>
                <w:sz w:val="22"/>
                <w:szCs w:val="22"/>
              </w:rPr>
              <w:t>15</w:t>
            </w:r>
            <w:r w:rsidR="004753F4" w:rsidRPr="00C1173E">
              <w:rPr>
                <w:b/>
                <w:bCs/>
                <w:sz w:val="22"/>
                <w:szCs w:val="22"/>
              </w:rPr>
              <w:t>6,00</w:t>
            </w:r>
            <w:r w:rsidR="00693BD5" w:rsidRPr="00C1173E">
              <w:rPr>
                <w:b/>
                <w:bCs/>
                <w:sz w:val="22"/>
                <w:szCs w:val="22"/>
              </w:rPr>
              <w:t xml:space="preserve"> </w:t>
            </w:r>
            <w:proofErr w:type="spellStart"/>
            <w:r w:rsidR="0020771F" w:rsidRPr="00C1173E">
              <w:rPr>
                <w:i/>
              </w:rPr>
              <w:t>euro</w:t>
            </w:r>
            <w:proofErr w:type="spellEnd"/>
            <w:r w:rsidRPr="00C1173E">
              <w:t>.</w:t>
            </w:r>
          </w:p>
          <w:p w14:paraId="49439003" w14:textId="77777777" w:rsidR="00586C71" w:rsidRPr="00C1173E" w:rsidRDefault="00586C71" w:rsidP="00806754">
            <w:pPr>
              <w:shd w:val="clear" w:color="auto" w:fill="FFFFFF"/>
              <w:jc w:val="both"/>
            </w:pPr>
          </w:p>
          <w:p w14:paraId="49439004" w14:textId="77777777" w:rsidR="00806754" w:rsidRPr="00C1173E" w:rsidRDefault="00806754" w:rsidP="00806754">
            <w:pPr>
              <w:jc w:val="right"/>
              <w:rPr>
                <w:b/>
                <w:i/>
              </w:rPr>
            </w:pPr>
            <w:r w:rsidRPr="00C1173E">
              <w:rPr>
                <w:i/>
              </w:rPr>
              <w:t>2</w:t>
            </w:r>
            <w:r w:rsidRPr="00C1173E">
              <w:rPr>
                <w:b/>
                <w:i/>
              </w:rPr>
              <w:t>.</w:t>
            </w:r>
            <w:r w:rsidRPr="00C1173E">
              <w:rPr>
                <w:i/>
                <w:lang w:eastAsia="x-none"/>
              </w:rPr>
              <w:t>tabula</w:t>
            </w:r>
          </w:p>
          <w:p w14:paraId="49439005" w14:textId="266ED34E" w:rsidR="00806754" w:rsidRPr="00C1173E" w:rsidRDefault="00806754" w:rsidP="00806754">
            <w:pPr>
              <w:jc w:val="center"/>
              <w:rPr>
                <w:b/>
              </w:rPr>
            </w:pPr>
            <w:r w:rsidRPr="00C1173E">
              <w:rPr>
                <w:b/>
              </w:rPr>
              <w:t xml:space="preserve">Būvspeciālistu uzraudzības </w:t>
            </w:r>
            <w:r w:rsidR="00921BD1" w:rsidRPr="00C1173E">
              <w:rPr>
                <w:b/>
              </w:rPr>
              <w:t>ne</w:t>
            </w:r>
            <w:r w:rsidRPr="00C1173E">
              <w:rPr>
                <w:b/>
              </w:rPr>
              <w:t xml:space="preserve">tiešo izmaksu aprēķins </w:t>
            </w:r>
          </w:p>
          <w:p w14:paraId="49439006" w14:textId="77777777" w:rsidR="00921BD1" w:rsidRPr="00C1173E" w:rsidRDefault="00921BD1" w:rsidP="00806754">
            <w:pPr>
              <w:shd w:val="clear" w:color="auto" w:fill="FFFFFF"/>
              <w:jc w:val="both"/>
            </w:pPr>
          </w:p>
          <w:tbl>
            <w:tblPr>
              <w:tblW w:w="4380" w:type="dxa"/>
              <w:jc w:val="center"/>
              <w:tblLook w:val="04A0" w:firstRow="1" w:lastRow="0" w:firstColumn="1" w:lastColumn="0" w:noHBand="0" w:noVBand="1"/>
            </w:tblPr>
            <w:tblGrid>
              <w:gridCol w:w="871"/>
              <w:gridCol w:w="2549"/>
              <w:gridCol w:w="962"/>
            </w:tblGrid>
            <w:tr w:rsidR="00BB26FD" w:rsidRPr="00C1173E" w14:paraId="4943900B" w14:textId="77777777" w:rsidTr="00BB26FD">
              <w:trPr>
                <w:trHeight w:val="955"/>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9007" w14:textId="77777777" w:rsidR="00BB26FD" w:rsidRPr="00C1173E" w:rsidRDefault="00BB26FD" w:rsidP="00921BD1">
                  <w:pPr>
                    <w:jc w:val="center"/>
                    <w:rPr>
                      <w:sz w:val="22"/>
                      <w:szCs w:val="22"/>
                    </w:rPr>
                  </w:pPr>
                  <w:proofErr w:type="spellStart"/>
                  <w:r w:rsidRPr="00C1173E">
                    <w:rPr>
                      <w:sz w:val="22"/>
                      <w:szCs w:val="22"/>
                    </w:rPr>
                    <w:t>N.p.k</w:t>
                  </w:r>
                  <w:proofErr w:type="spellEnd"/>
                  <w:r w:rsidRPr="00C1173E">
                    <w:rPr>
                      <w:sz w:val="22"/>
                      <w:szCs w:val="22"/>
                    </w:rPr>
                    <w:t>.</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49439008" w14:textId="77777777" w:rsidR="00BB26FD" w:rsidRPr="00C1173E" w:rsidRDefault="00BB26FD" w:rsidP="00227B99">
                  <w:pPr>
                    <w:jc w:val="both"/>
                    <w:rPr>
                      <w:sz w:val="22"/>
                      <w:szCs w:val="22"/>
                    </w:rPr>
                  </w:pPr>
                  <w:r w:rsidRPr="00C1173E">
                    <w:rPr>
                      <w:sz w:val="22"/>
                      <w:szCs w:val="22"/>
                    </w:rPr>
                    <w:t>Nosaukums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439009" w14:textId="2A266EBA" w:rsidR="00BB26FD" w:rsidRPr="00C1173E" w:rsidRDefault="00E94AEE" w:rsidP="00921BD1">
                  <w:pPr>
                    <w:jc w:val="center"/>
                    <w:rPr>
                      <w:sz w:val="22"/>
                      <w:szCs w:val="22"/>
                    </w:rPr>
                  </w:pPr>
                  <w:r w:rsidRPr="00C1173E">
                    <w:rPr>
                      <w:bCs/>
                      <w:sz w:val="22"/>
                      <w:szCs w:val="22"/>
                    </w:rPr>
                    <w:t xml:space="preserve">Izmaksu apjoms gadā </w:t>
                  </w:r>
                  <w:r w:rsidRPr="00C1173E">
                    <w:rPr>
                      <w:bCs/>
                      <w:i/>
                      <w:sz w:val="22"/>
                      <w:szCs w:val="22"/>
                    </w:rPr>
                    <w:t>(</w:t>
                  </w:r>
                  <w:proofErr w:type="spellStart"/>
                  <w:r w:rsidRPr="00C1173E">
                    <w:rPr>
                      <w:bCs/>
                      <w:i/>
                      <w:sz w:val="22"/>
                      <w:szCs w:val="22"/>
                    </w:rPr>
                    <w:t>euro</w:t>
                  </w:r>
                  <w:proofErr w:type="spellEnd"/>
                  <w:r w:rsidRPr="00C1173E">
                    <w:rPr>
                      <w:bCs/>
                      <w:i/>
                      <w:sz w:val="22"/>
                      <w:szCs w:val="22"/>
                    </w:rPr>
                    <w:t>)</w:t>
                  </w:r>
                </w:p>
              </w:tc>
            </w:tr>
            <w:tr w:rsidR="00BB26FD" w:rsidRPr="00C1173E" w14:paraId="49439010" w14:textId="77777777" w:rsidTr="00BB26FD">
              <w:trPr>
                <w:trHeight w:val="1097"/>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0C" w14:textId="77777777" w:rsidR="00BB26FD" w:rsidRPr="00C1173E" w:rsidRDefault="00BB26FD" w:rsidP="00921BD1">
                  <w:pPr>
                    <w:jc w:val="center"/>
                    <w:rPr>
                      <w:sz w:val="22"/>
                      <w:szCs w:val="22"/>
                    </w:rPr>
                  </w:pPr>
                  <w:r w:rsidRPr="00C1173E">
                    <w:rPr>
                      <w:sz w:val="22"/>
                      <w:szCs w:val="22"/>
                    </w:rPr>
                    <w:t>1</w:t>
                  </w:r>
                </w:p>
              </w:tc>
              <w:tc>
                <w:tcPr>
                  <w:tcW w:w="2549" w:type="dxa"/>
                  <w:tcBorders>
                    <w:top w:val="nil"/>
                    <w:left w:val="nil"/>
                    <w:bottom w:val="single" w:sz="4" w:space="0" w:color="auto"/>
                    <w:right w:val="single" w:sz="4" w:space="0" w:color="auto"/>
                  </w:tcBorders>
                  <w:shd w:val="clear" w:color="auto" w:fill="auto"/>
                  <w:vAlign w:val="center"/>
                  <w:hideMark/>
                </w:tcPr>
                <w:p w14:paraId="4943900D" w14:textId="2964D86D" w:rsidR="00BB26FD" w:rsidRPr="00C1173E" w:rsidRDefault="00BB26FD" w:rsidP="00227B99">
                  <w:pPr>
                    <w:jc w:val="both"/>
                    <w:rPr>
                      <w:sz w:val="22"/>
                      <w:szCs w:val="22"/>
                    </w:rPr>
                  </w:pPr>
                  <w:r w:rsidRPr="00C1173E">
                    <w:rPr>
                      <w:sz w:val="22"/>
                      <w:szCs w:val="22"/>
                    </w:rPr>
                    <w:t xml:space="preserve">Telpu īre un uzturēšanas izdevumi (ieskaitot komunālos, un apsaimniekošanas maksājumus) </w:t>
                  </w:r>
                </w:p>
              </w:tc>
              <w:tc>
                <w:tcPr>
                  <w:tcW w:w="960" w:type="dxa"/>
                  <w:tcBorders>
                    <w:top w:val="nil"/>
                    <w:left w:val="nil"/>
                    <w:bottom w:val="single" w:sz="4" w:space="0" w:color="auto"/>
                    <w:right w:val="single" w:sz="4" w:space="0" w:color="auto"/>
                  </w:tcBorders>
                  <w:shd w:val="clear" w:color="auto" w:fill="auto"/>
                  <w:noWrap/>
                  <w:vAlign w:val="center"/>
                  <w:hideMark/>
                </w:tcPr>
                <w:p w14:paraId="4943900E" w14:textId="1864FA78" w:rsidR="00BB26FD" w:rsidRPr="00C1173E" w:rsidRDefault="00BB26FD" w:rsidP="00921BD1">
                  <w:pPr>
                    <w:jc w:val="center"/>
                    <w:rPr>
                      <w:sz w:val="22"/>
                      <w:szCs w:val="22"/>
                    </w:rPr>
                  </w:pPr>
                  <w:r w:rsidRPr="00C1173E">
                    <w:rPr>
                      <w:sz w:val="22"/>
                      <w:szCs w:val="22"/>
                    </w:rPr>
                    <w:t>1</w:t>
                  </w:r>
                  <w:r w:rsidR="0008532E" w:rsidRPr="00C1173E">
                    <w:rPr>
                      <w:sz w:val="22"/>
                      <w:szCs w:val="22"/>
                    </w:rPr>
                    <w:t>469</w:t>
                  </w:r>
                </w:p>
              </w:tc>
            </w:tr>
            <w:tr w:rsidR="00BB26FD" w:rsidRPr="00C1173E" w14:paraId="49439015" w14:textId="77777777" w:rsidTr="00BB26FD">
              <w:trPr>
                <w:trHeight w:val="276"/>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11" w14:textId="77777777" w:rsidR="00BB26FD" w:rsidRPr="00C1173E" w:rsidRDefault="00BB26FD" w:rsidP="00921BD1">
                  <w:pPr>
                    <w:jc w:val="center"/>
                    <w:rPr>
                      <w:sz w:val="22"/>
                      <w:szCs w:val="22"/>
                    </w:rPr>
                  </w:pPr>
                  <w:r w:rsidRPr="00C1173E">
                    <w:rPr>
                      <w:sz w:val="22"/>
                      <w:szCs w:val="22"/>
                    </w:rPr>
                    <w:t>2</w:t>
                  </w:r>
                </w:p>
              </w:tc>
              <w:tc>
                <w:tcPr>
                  <w:tcW w:w="2549" w:type="dxa"/>
                  <w:tcBorders>
                    <w:top w:val="nil"/>
                    <w:left w:val="nil"/>
                    <w:bottom w:val="single" w:sz="4" w:space="0" w:color="auto"/>
                    <w:right w:val="single" w:sz="4" w:space="0" w:color="auto"/>
                  </w:tcBorders>
                  <w:shd w:val="clear" w:color="auto" w:fill="auto"/>
                  <w:vAlign w:val="center"/>
                  <w:hideMark/>
                </w:tcPr>
                <w:p w14:paraId="49439012" w14:textId="68F98727" w:rsidR="00BB26FD" w:rsidRPr="00C1173E" w:rsidRDefault="00BB26FD" w:rsidP="00227B99">
                  <w:pPr>
                    <w:jc w:val="both"/>
                    <w:rPr>
                      <w:sz w:val="22"/>
                      <w:szCs w:val="22"/>
                    </w:rPr>
                  </w:pPr>
                  <w:r w:rsidRPr="00C1173E">
                    <w:rPr>
                      <w:sz w:val="22"/>
                      <w:szCs w:val="22"/>
                    </w:rPr>
                    <w:t>Administrācijas izmaksas</w:t>
                  </w:r>
                </w:p>
              </w:tc>
              <w:tc>
                <w:tcPr>
                  <w:tcW w:w="960" w:type="dxa"/>
                  <w:tcBorders>
                    <w:top w:val="nil"/>
                    <w:left w:val="nil"/>
                    <w:bottom w:val="single" w:sz="4" w:space="0" w:color="auto"/>
                    <w:right w:val="single" w:sz="4" w:space="0" w:color="auto"/>
                  </w:tcBorders>
                  <w:shd w:val="clear" w:color="auto" w:fill="auto"/>
                  <w:noWrap/>
                  <w:vAlign w:val="center"/>
                  <w:hideMark/>
                </w:tcPr>
                <w:p w14:paraId="49439013" w14:textId="2C6C0231" w:rsidR="00BB26FD" w:rsidRPr="00C1173E" w:rsidRDefault="0008532E" w:rsidP="00DC0C94">
                  <w:pPr>
                    <w:jc w:val="center"/>
                    <w:rPr>
                      <w:sz w:val="22"/>
                      <w:szCs w:val="22"/>
                    </w:rPr>
                  </w:pPr>
                  <w:r w:rsidRPr="00C1173E">
                    <w:rPr>
                      <w:sz w:val="22"/>
                      <w:szCs w:val="22"/>
                    </w:rPr>
                    <w:t>240</w:t>
                  </w:r>
                </w:p>
              </w:tc>
            </w:tr>
            <w:tr w:rsidR="00BB26FD" w:rsidRPr="00C1173E" w14:paraId="4943901A" w14:textId="77777777" w:rsidTr="00BB26FD">
              <w:trPr>
                <w:trHeight w:val="279"/>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16" w14:textId="77777777" w:rsidR="00BB26FD" w:rsidRPr="00C1173E" w:rsidRDefault="00BB26FD" w:rsidP="00921BD1">
                  <w:pPr>
                    <w:jc w:val="center"/>
                    <w:rPr>
                      <w:sz w:val="22"/>
                      <w:szCs w:val="22"/>
                    </w:rPr>
                  </w:pPr>
                  <w:r w:rsidRPr="00C1173E">
                    <w:rPr>
                      <w:sz w:val="22"/>
                      <w:szCs w:val="22"/>
                    </w:rPr>
                    <w:t>3</w:t>
                  </w:r>
                </w:p>
              </w:tc>
              <w:tc>
                <w:tcPr>
                  <w:tcW w:w="2549" w:type="dxa"/>
                  <w:tcBorders>
                    <w:top w:val="nil"/>
                    <w:left w:val="nil"/>
                    <w:bottom w:val="single" w:sz="4" w:space="0" w:color="auto"/>
                    <w:right w:val="single" w:sz="4" w:space="0" w:color="auto"/>
                  </w:tcBorders>
                  <w:shd w:val="clear" w:color="auto" w:fill="auto"/>
                  <w:vAlign w:val="center"/>
                  <w:hideMark/>
                </w:tcPr>
                <w:p w14:paraId="49439017" w14:textId="01DBFF5F" w:rsidR="00BB26FD" w:rsidRPr="00C1173E" w:rsidRDefault="00BB26FD" w:rsidP="00227B99">
                  <w:pPr>
                    <w:jc w:val="both"/>
                    <w:rPr>
                      <w:sz w:val="22"/>
                      <w:szCs w:val="22"/>
                    </w:rPr>
                  </w:pPr>
                  <w:r w:rsidRPr="00C1173E">
                    <w:rPr>
                      <w:sz w:val="22"/>
                      <w:szCs w:val="22"/>
                    </w:rPr>
                    <w:t>Sakaru pakalpojumi</w:t>
                  </w:r>
                </w:p>
              </w:tc>
              <w:tc>
                <w:tcPr>
                  <w:tcW w:w="960" w:type="dxa"/>
                  <w:tcBorders>
                    <w:top w:val="nil"/>
                    <w:left w:val="nil"/>
                    <w:bottom w:val="single" w:sz="4" w:space="0" w:color="auto"/>
                    <w:right w:val="single" w:sz="4" w:space="0" w:color="auto"/>
                  </w:tcBorders>
                  <w:shd w:val="clear" w:color="auto" w:fill="auto"/>
                  <w:noWrap/>
                  <w:vAlign w:val="center"/>
                  <w:hideMark/>
                </w:tcPr>
                <w:p w14:paraId="49439018" w14:textId="28D5C66E" w:rsidR="00BB26FD" w:rsidRPr="00C1173E" w:rsidRDefault="0008532E" w:rsidP="00921BD1">
                  <w:pPr>
                    <w:jc w:val="center"/>
                    <w:rPr>
                      <w:sz w:val="22"/>
                      <w:szCs w:val="22"/>
                    </w:rPr>
                  </w:pPr>
                  <w:r w:rsidRPr="00C1173E">
                    <w:rPr>
                      <w:sz w:val="22"/>
                      <w:szCs w:val="22"/>
                    </w:rPr>
                    <w:t>378</w:t>
                  </w:r>
                </w:p>
              </w:tc>
            </w:tr>
            <w:tr w:rsidR="00BB26FD" w:rsidRPr="00C1173E" w14:paraId="4943901F" w14:textId="77777777" w:rsidTr="00BB26FD">
              <w:trPr>
                <w:trHeight w:val="269"/>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1B" w14:textId="77777777" w:rsidR="00BB26FD" w:rsidRPr="00C1173E" w:rsidRDefault="00BB26FD" w:rsidP="00921BD1">
                  <w:pPr>
                    <w:jc w:val="center"/>
                    <w:rPr>
                      <w:sz w:val="22"/>
                      <w:szCs w:val="22"/>
                    </w:rPr>
                  </w:pPr>
                  <w:r w:rsidRPr="00C1173E">
                    <w:rPr>
                      <w:sz w:val="22"/>
                      <w:szCs w:val="22"/>
                    </w:rPr>
                    <w:t>4</w:t>
                  </w:r>
                </w:p>
              </w:tc>
              <w:tc>
                <w:tcPr>
                  <w:tcW w:w="2549" w:type="dxa"/>
                  <w:tcBorders>
                    <w:top w:val="nil"/>
                    <w:left w:val="nil"/>
                    <w:bottom w:val="single" w:sz="4" w:space="0" w:color="auto"/>
                    <w:right w:val="single" w:sz="4" w:space="0" w:color="auto"/>
                  </w:tcBorders>
                  <w:shd w:val="clear" w:color="auto" w:fill="auto"/>
                  <w:vAlign w:val="center"/>
                  <w:hideMark/>
                </w:tcPr>
                <w:p w14:paraId="4943901C" w14:textId="17D30916" w:rsidR="00BB26FD" w:rsidRPr="00C1173E" w:rsidRDefault="00BB26FD" w:rsidP="00227B99">
                  <w:pPr>
                    <w:jc w:val="both"/>
                    <w:rPr>
                      <w:sz w:val="22"/>
                      <w:szCs w:val="22"/>
                    </w:rPr>
                  </w:pPr>
                  <w:r w:rsidRPr="00C1173E">
                    <w:rPr>
                      <w:sz w:val="22"/>
                      <w:szCs w:val="22"/>
                    </w:rPr>
                    <w:t>Iekārtas, inventāra un aparatūras remonts, tehniskā apkalpošana</w:t>
                  </w:r>
                </w:p>
              </w:tc>
              <w:tc>
                <w:tcPr>
                  <w:tcW w:w="960" w:type="dxa"/>
                  <w:tcBorders>
                    <w:top w:val="nil"/>
                    <w:left w:val="nil"/>
                    <w:bottom w:val="single" w:sz="4" w:space="0" w:color="auto"/>
                    <w:right w:val="single" w:sz="4" w:space="0" w:color="auto"/>
                  </w:tcBorders>
                  <w:shd w:val="clear" w:color="auto" w:fill="auto"/>
                  <w:noWrap/>
                  <w:vAlign w:val="center"/>
                  <w:hideMark/>
                </w:tcPr>
                <w:p w14:paraId="4943901D" w14:textId="26F6D63C" w:rsidR="00BB26FD" w:rsidRPr="00C1173E" w:rsidRDefault="00BB26FD" w:rsidP="00921BD1">
                  <w:pPr>
                    <w:jc w:val="center"/>
                    <w:rPr>
                      <w:sz w:val="22"/>
                      <w:szCs w:val="22"/>
                    </w:rPr>
                  </w:pPr>
                  <w:r w:rsidRPr="00C1173E">
                    <w:rPr>
                      <w:sz w:val="22"/>
                      <w:szCs w:val="22"/>
                    </w:rPr>
                    <w:t>1</w:t>
                  </w:r>
                  <w:r w:rsidR="0008532E" w:rsidRPr="00C1173E">
                    <w:rPr>
                      <w:sz w:val="22"/>
                      <w:szCs w:val="22"/>
                    </w:rPr>
                    <w:t>29,6</w:t>
                  </w:r>
                </w:p>
              </w:tc>
            </w:tr>
            <w:tr w:rsidR="00BB26FD" w:rsidRPr="00C1173E" w14:paraId="49439024" w14:textId="77777777" w:rsidTr="00BB26FD">
              <w:trPr>
                <w:trHeight w:val="570"/>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0" w14:textId="77777777" w:rsidR="00BB26FD" w:rsidRPr="00C1173E" w:rsidRDefault="00BB26FD" w:rsidP="00921BD1">
                  <w:pPr>
                    <w:jc w:val="center"/>
                    <w:rPr>
                      <w:sz w:val="22"/>
                      <w:szCs w:val="22"/>
                    </w:rPr>
                  </w:pPr>
                  <w:r w:rsidRPr="00C1173E">
                    <w:rPr>
                      <w:sz w:val="22"/>
                      <w:szCs w:val="22"/>
                    </w:rPr>
                    <w:t>5</w:t>
                  </w:r>
                </w:p>
              </w:tc>
              <w:tc>
                <w:tcPr>
                  <w:tcW w:w="2549" w:type="dxa"/>
                  <w:tcBorders>
                    <w:top w:val="nil"/>
                    <w:left w:val="nil"/>
                    <w:bottom w:val="single" w:sz="4" w:space="0" w:color="auto"/>
                    <w:right w:val="single" w:sz="4" w:space="0" w:color="auto"/>
                  </w:tcBorders>
                  <w:shd w:val="clear" w:color="auto" w:fill="auto"/>
                  <w:vAlign w:val="center"/>
                  <w:hideMark/>
                </w:tcPr>
                <w:p w14:paraId="49439021" w14:textId="2C6B12DE" w:rsidR="00BB26FD" w:rsidRPr="00C1173E" w:rsidRDefault="00BB26FD" w:rsidP="00227B99">
                  <w:pPr>
                    <w:jc w:val="both"/>
                    <w:rPr>
                      <w:sz w:val="22"/>
                      <w:szCs w:val="22"/>
                    </w:rPr>
                  </w:pPr>
                  <w:r w:rsidRPr="00C1173E">
                    <w:rPr>
                      <w:sz w:val="22"/>
                      <w:szCs w:val="22"/>
                    </w:rPr>
                    <w:t>Administrācijas izdevumi (prese, ūdens, darba drošība)</w:t>
                  </w:r>
                </w:p>
              </w:tc>
              <w:tc>
                <w:tcPr>
                  <w:tcW w:w="960" w:type="dxa"/>
                  <w:tcBorders>
                    <w:top w:val="nil"/>
                    <w:left w:val="nil"/>
                    <w:bottom w:val="single" w:sz="4" w:space="0" w:color="auto"/>
                    <w:right w:val="single" w:sz="4" w:space="0" w:color="auto"/>
                  </w:tcBorders>
                  <w:shd w:val="clear" w:color="auto" w:fill="auto"/>
                  <w:noWrap/>
                  <w:vAlign w:val="center"/>
                  <w:hideMark/>
                </w:tcPr>
                <w:p w14:paraId="49439022" w14:textId="2DA725FB" w:rsidR="00BB26FD" w:rsidRPr="00C1173E" w:rsidRDefault="00BB26FD" w:rsidP="00921BD1">
                  <w:pPr>
                    <w:jc w:val="center"/>
                    <w:rPr>
                      <w:sz w:val="22"/>
                      <w:szCs w:val="22"/>
                    </w:rPr>
                  </w:pPr>
                  <w:r w:rsidRPr="00C1173E">
                    <w:rPr>
                      <w:sz w:val="22"/>
                      <w:szCs w:val="22"/>
                    </w:rPr>
                    <w:t>1</w:t>
                  </w:r>
                  <w:r w:rsidR="0008532E" w:rsidRPr="00C1173E">
                    <w:rPr>
                      <w:sz w:val="22"/>
                      <w:szCs w:val="22"/>
                    </w:rPr>
                    <w:t>62</w:t>
                  </w:r>
                </w:p>
              </w:tc>
            </w:tr>
            <w:tr w:rsidR="00BB26FD" w:rsidRPr="00C1173E" w14:paraId="49439029" w14:textId="77777777" w:rsidTr="00BB26FD">
              <w:trPr>
                <w:trHeight w:val="253"/>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5" w14:textId="77777777" w:rsidR="00BB26FD" w:rsidRPr="00C1173E" w:rsidRDefault="00BB26FD" w:rsidP="00921BD1">
                  <w:pPr>
                    <w:jc w:val="center"/>
                    <w:rPr>
                      <w:sz w:val="22"/>
                      <w:szCs w:val="22"/>
                    </w:rPr>
                  </w:pPr>
                  <w:r w:rsidRPr="00C1173E">
                    <w:rPr>
                      <w:sz w:val="22"/>
                      <w:szCs w:val="22"/>
                    </w:rPr>
                    <w:t>6</w:t>
                  </w:r>
                </w:p>
              </w:tc>
              <w:tc>
                <w:tcPr>
                  <w:tcW w:w="2549" w:type="dxa"/>
                  <w:tcBorders>
                    <w:top w:val="nil"/>
                    <w:left w:val="nil"/>
                    <w:bottom w:val="single" w:sz="4" w:space="0" w:color="auto"/>
                    <w:right w:val="single" w:sz="4" w:space="0" w:color="auto"/>
                  </w:tcBorders>
                  <w:shd w:val="clear" w:color="auto" w:fill="auto"/>
                  <w:vAlign w:val="center"/>
                  <w:hideMark/>
                </w:tcPr>
                <w:p w14:paraId="49439026" w14:textId="6759D632" w:rsidR="00BB26FD" w:rsidRPr="00C1173E" w:rsidRDefault="00BB26FD" w:rsidP="00227B99">
                  <w:pPr>
                    <w:jc w:val="both"/>
                    <w:rPr>
                      <w:sz w:val="22"/>
                      <w:szCs w:val="22"/>
                    </w:rPr>
                  </w:pPr>
                  <w:r w:rsidRPr="00C1173E">
                    <w:rPr>
                      <w:sz w:val="22"/>
                      <w:szCs w:val="22"/>
                    </w:rPr>
                    <w:t>Izdevumi par kvalifikācijas paaugstināšanu</w:t>
                  </w:r>
                </w:p>
              </w:tc>
              <w:tc>
                <w:tcPr>
                  <w:tcW w:w="960" w:type="dxa"/>
                  <w:tcBorders>
                    <w:top w:val="nil"/>
                    <w:left w:val="nil"/>
                    <w:bottom w:val="single" w:sz="4" w:space="0" w:color="auto"/>
                    <w:right w:val="single" w:sz="4" w:space="0" w:color="auto"/>
                  </w:tcBorders>
                  <w:shd w:val="clear" w:color="auto" w:fill="auto"/>
                  <w:noWrap/>
                  <w:vAlign w:val="center"/>
                  <w:hideMark/>
                </w:tcPr>
                <w:p w14:paraId="49439027" w14:textId="43F86104" w:rsidR="00BB26FD" w:rsidRPr="00C1173E" w:rsidRDefault="004F0A42" w:rsidP="00921BD1">
                  <w:pPr>
                    <w:jc w:val="center"/>
                    <w:rPr>
                      <w:sz w:val="22"/>
                      <w:szCs w:val="22"/>
                    </w:rPr>
                  </w:pPr>
                  <w:r w:rsidRPr="00C1173E">
                    <w:rPr>
                      <w:sz w:val="22"/>
                      <w:szCs w:val="22"/>
                    </w:rPr>
                    <w:t>387</w:t>
                  </w:r>
                </w:p>
              </w:tc>
            </w:tr>
            <w:tr w:rsidR="00BB26FD" w:rsidRPr="00C1173E" w14:paraId="4943902E" w14:textId="77777777" w:rsidTr="00BB26FD">
              <w:trPr>
                <w:trHeight w:val="301"/>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A" w14:textId="77777777" w:rsidR="00BB26FD" w:rsidRPr="00C1173E" w:rsidRDefault="00BB26FD" w:rsidP="00921BD1">
                  <w:pPr>
                    <w:jc w:val="center"/>
                    <w:rPr>
                      <w:sz w:val="22"/>
                      <w:szCs w:val="22"/>
                    </w:rPr>
                  </w:pPr>
                  <w:r w:rsidRPr="00C1173E">
                    <w:rPr>
                      <w:sz w:val="22"/>
                      <w:szCs w:val="22"/>
                    </w:rPr>
                    <w:t>7</w:t>
                  </w:r>
                </w:p>
              </w:tc>
              <w:tc>
                <w:tcPr>
                  <w:tcW w:w="2549" w:type="dxa"/>
                  <w:tcBorders>
                    <w:top w:val="nil"/>
                    <w:left w:val="nil"/>
                    <w:bottom w:val="single" w:sz="4" w:space="0" w:color="auto"/>
                    <w:right w:val="single" w:sz="4" w:space="0" w:color="auto"/>
                  </w:tcBorders>
                  <w:shd w:val="clear" w:color="auto" w:fill="auto"/>
                  <w:vAlign w:val="center"/>
                  <w:hideMark/>
                </w:tcPr>
                <w:p w14:paraId="4943902B" w14:textId="77777777" w:rsidR="00BB26FD" w:rsidRPr="00C1173E" w:rsidRDefault="00BB26FD" w:rsidP="00227B99">
                  <w:pPr>
                    <w:jc w:val="both"/>
                    <w:rPr>
                      <w:sz w:val="22"/>
                      <w:szCs w:val="22"/>
                    </w:rPr>
                  </w:pPr>
                  <w:r w:rsidRPr="00C1173E">
                    <w:rPr>
                      <w:sz w:val="22"/>
                      <w:szCs w:val="22"/>
                    </w:rPr>
                    <w:t>Akreditācijas izmaksas</w:t>
                  </w:r>
                </w:p>
              </w:tc>
              <w:tc>
                <w:tcPr>
                  <w:tcW w:w="960" w:type="dxa"/>
                  <w:tcBorders>
                    <w:top w:val="nil"/>
                    <w:left w:val="nil"/>
                    <w:bottom w:val="single" w:sz="4" w:space="0" w:color="auto"/>
                    <w:right w:val="single" w:sz="4" w:space="0" w:color="auto"/>
                  </w:tcBorders>
                  <w:shd w:val="clear" w:color="auto" w:fill="auto"/>
                  <w:noWrap/>
                  <w:vAlign w:val="center"/>
                  <w:hideMark/>
                </w:tcPr>
                <w:p w14:paraId="4943902C" w14:textId="085916E2" w:rsidR="00BB26FD" w:rsidRPr="00C1173E" w:rsidRDefault="0008532E" w:rsidP="00921BD1">
                  <w:pPr>
                    <w:jc w:val="center"/>
                    <w:rPr>
                      <w:sz w:val="22"/>
                      <w:szCs w:val="22"/>
                    </w:rPr>
                  </w:pPr>
                  <w:r w:rsidRPr="00C1173E">
                    <w:rPr>
                      <w:sz w:val="22"/>
                      <w:szCs w:val="22"/>
                    </w:rPr>
                    <w:t>2387</w:t>
                  </w:r>
                </w:p>
              </w:tc>
            </w:tr>
            <w:tr w:rsidR="00BB26FD" w:rsidRPr="00C1173E" w14:paraId="49439033" w14:textId="77777777" w:rsidTr="00BB26FD">
              <w:trPr>
                <w:trHeight w:val="375"/>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2F" w14:textId="77777777" w:rsidR="00BB26FD" w:rsidRPr="00C1173E" w:rsidRDefault="00BB26FD" w:rsidP="00921BD1">
                  <w:pPr>
                    <w:jc w:val="center"/>
                    <w:rPr>
                      <w:sz w:val="22"/>
                      <w:szCs w:val="22"/>
                    </w:rPr>
                  </w:pPr>
                  <w:r w:rsidRPr="00C1173E">
                    <w:rPr>
                      <w:sz w:val="22"/>
                      <w:szCs w:val="22"/>
                    </w:rPr>
                    <w:t>8</w:t>
                  </w:r>
                </w:p>
              </w:tc>
              <w:tc>
                <w:tcPr>
                  <w:tcW w:w="2549" w:type="dxa"/>
                  <w:tcBorders>
                    <w:top w:val="nil"/>
                    <w:left w:val="nil"/>
                    <w:bottom w:val="single" w:sz="4" w:space="0" w:color="auto"/>
                    <w:right w:val="single" w:sz="4" w:space="0" w:color="auto"/>
                  </w:tcBorders>
                  <w:shd w:val="clear" w:color="auto" w:fill="auto"/>
                  <w:vAlign w:val="center"/>
                  <w:hideMark/>
                </w:tcPr>
                <w:p w14:paraId="49439030" w14:textId="58B81B43" w:rsidR="00BB26FD" w:rsidRPr="00C1173E" w:rsidRDefault="00BB26FD" w:rsidP="00227B99">
                  <w:pPr>
                    <w:jc w:val="both"/>
                    <w:rPr>
                      <w:sz w:val="22"/>
                      <w:szCs w:val="22"/>
                    </w:rPr>
                  </w:pPr>
                  <w:r w:rsidRPr="00C1173E">
                    <w:rPr>
                      <w:sz w:val="22"/>
                      <w:szCs w:val="22"/>
                    </w:rPr>
                    <w:t>Biroja preces</w:t>
                  </w:r>
                </w:p>
              </w:tc>
              <w:tc>
                <w:tcPr>
                  <w:tcW w:w="960" w:type="dxa"/>
                  <w:tcBorders>
                    <w:top w:val="nil"/>
                    <w:left w:val="nil"/>
                    <w:bottom w:val="single" w:sz="4" w:space="0" w:color="auto"/>
                    <w:right w:val="single" w:sz="4" w:space="0" w:color="auto"/>
                  </w:tcBorders>
                  <w:shd w:val="clear" w:color="auto" w:fill="auto"/>
                  <w:noWrap/>
                  <w:vAlign w:val="center"/>
                  <w:hideMark/>
                </w:tcPr>
                <w:p w14:paraId="49439031" w14:textId="5AC2ABAA" w:rsidR="00BB26FD" w:rsidRPr="00C1173E" w:rsidRDefault="00BB26FD" w:rsidP="00921BD1">
                  <w:pPr>
                    <w:jc w:val="center"/>
                    <w:rPr>
                      <w:sz w:val="22"/>
                      <w:szCs w:val="22"/>
                    </w:rPr>
                  </w:pPr>
                  <w:r w:rsidRPr="00C1173E">
                    <w:rPr>
                      <w:sz w:val="22"/>
                      <w:szCs w:val="22"/>
                    </w:rPr>
                    <w:t>1</w:t>
                  </w:r>
                  <w:r w:rsidR="0008532E" w:rsidRPr="00C1173E">
                    <w:rPr>
                      <w:sz w:val="22"/>
                      <w:szCs w:val="22"/>
                    </w:rPr>
                    <w:t>40,4</w:t>
                  </w:r>
                </w:p>
              </w:tc>
            </w:tr>
            <w:tr w:rsidR="00BB26FD" w:rsidRPr="00C1173E" w14:paraId="49439038" w14:textId="77777777" w:rsidTr="00BB26FD">
              <w:trPr>
                <w:trHeight w:val="300"/>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34" w14:textId="77777777" w:rsidR="00BB26FD" w:rsidRPr="00C1173E" w:rsidRDefault="00BB26FD" w:rsidP="00921BD1">
                  <w:pPr>
                    <w:jc w:val="center"/>
                    <w:rPr>
                      <w:sz w:val="22"/>
                      <w:szCs w:val="22"/>
                    </w:rPr>
                  </w:pPr>
                  <w:r w:rsidRPr="00C1173E">
                    <w:rPr>
                      <w:sz w:val="22"/>
                      <w:szCs w:val="22"/>
                    </w:rPr>
                    <w:t>9</w:t>
                  </w:r>
                </w:p>
              </w:tc>
              <w:tc>
                <w:tcPr>
                  <w:tcW w:w="2549" w:type="dxa"/>
                  <w:tcBorders>
                    <w:top w:val="nil"/>
                    <w:left w:val="nil"/>
                    <w:bottom w:val="single" w:sz="4" w:space="0" w:color="auto"/>
                    <w:right w:val="single" w:sz="4" w:space="0" w:color="auto"/>
                  </w:tcBorders>
                  <w:shd w:val="clear" w:color="auto" w:fill="auto"/>
                  <w:vAlign w:val="center"/>
                  <w:hideMark/>
                </w:tcPr>
                <w:p w14:paraId="49439035" w14:textId="4B514BA8" w:rsidR="00BB26FD" w:rsidRPr="00C1173E" w:rsidRDefault="00BB26FD" w:rsidP="00227B99">
                  <w:pPr>
                    <w:jc w:val="both"/>
                    <w:rPr>
                      <w:sz w:val="22"/>
                      <w:szCs w:val="22"/>
                    </w:rPr>
                  </w:pPr>
                  <w:r w:rsidRPr="00C1173E">
                    <w:rPr>
                      <w:sz w:val="22"/>
                      <w:szCs w:val="22"/>
                    </w:rPr>
                    <w:t>Inventārs</w:t>
                  </w:r>
                </w:p>
              </w:tc>
              <w:tc>
                <w:tcPr>
                  <w:tcW w:w="960" w:type="dxa"/>
                  <w:tcBorders>
                    <w:top w:val="nil"/>
                    <w:left w:val="nil"/>
                    <w:bottom w:val="single" w:sz="4" w:space="0" w:color="auto"/>
                    <w:right w:val="single" w:sz="4" w:space="0" w:color="auto"/>
                  </w:tcBorders>
                  <w:shd w:val="clear" w:color="auto" w:fill="auto"/>
                  <w:noWrap/>
                  <w:vAlign w:val="center"/>
                  <w:hideMark/>
                </w:tcPr>
                <w:p w14:paraId="49439036" w14:textId="2DE6C7ED" w:rsidR="00BB26FD" w:rsidRPr="00C1173E" w:rsidRDefault="0008532E" w:rsidP="00921BD1">
                  <w:pPr>
                    <w:jc w:val="center"/>
                    <w:rPr>
                      <w:sz w:val="22"/>
                      <w:szCs w:val="22"/>
                    </w:rPr>
                  </w:pPr>
                  <w:r w:rsidRPr="00C1173E">
                    <w:rPr>
                      <w:sz w:val="22"/>
                      <w:szCs w:val="22"/>
                    </w:rPr>
                    <w:t>54</w:t>
                  </w:r>
                </w:p>
              </w:tc>
            </w:tr>
            <w:tr w:rsidR="00BB26FD" w:rsidRPr="00C1173E" w14:paraId="4943903D" w14:textId="77777777" w:rsidTr="00BB26FD">
              <w:trPr>
                <w:trHeight w:val="600"/>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39" w14:textId="77777777" w:rsidR="00BB26FD" w:rsidRPr="00C1173E" w:rsidRDefault="00BB26FD" w:rsidP="00921BD1">
                  <w:pPr>
                    <w:jc w:val="center"/>
                    <w:rPr>
                      <w:sz w:val="22"/>
                      <w:szCs w:val="22"/>
                    </w:rPr>
                  </w:pPr>
                  <w:r w:rsidRPr="00C1173E">
                    <w:rPr>
                      <w:sz w:val="22"/>
                      <w:szCs w:val="22"/>
                    </w:rPr>
                    <w:t>10</w:t>
                  </w:r>
                </w:p>
              </w:tc>
              <w:tc>
                <w:tcPr>
                  <w:tcW w:w="2549" w:type="dxa"/>
                  <w:tcBorders>
                    <w:top w:val="nil"/>
                    <w:left w:val="nil"/>
                    <w:bottom w:val="single" w:sz="4" w:space="0" w:color="auto"/>
                    <w:right w:val="single" w:sz="4" w:space="0" w:color="auto"/>
                  </w:tcBorders>
                  <w:shd w:val="clear" w:color="auto" w:fill="auto"/>
                  <w:vAlign w:val="center"/>
                  <w:hideMark/>
                </w:tcPr>
                <w:p w14:paraId="4943903A" w14:textId="4628F0A5" w:rsidR="00BB26FD" w:rsidRPr="00C1173E" w:rsidRDefault="00BB26FD" w:rsidP="00227B99">
                  <w:pPr>
                    <w:jc w:val="both"/>
                    <w:rPr>
                      <w:sz w:val="22"/>
                      <w:szCs w:val="22"/>
                    </w:rPr>
                  </w:pPr>
                  <w:r w:rsidRPr="00C1173E">
                    <w:rPr>
                      <w:sz w:val="22"/>
                      <w:szCs w:val="22"/>
                    </w:rPr>
                    <w:t>Informācijas sistēmas uzturēšana</w:t>
                  </w:r>
                </w:p>
              </w:tc>
              <w:tc>
                <w:tcPr>
                  <w:tcW w:w="960" w:type="dxa"/>
                  <w:tcBorders>
                    <w:top w:val="nil"/>
                    <w:left w:val="nil"/>
                    <w:bottom w:val="single" w:sz="4" w:space="0" w:color="auto"/>
                    <w:right w:val="single" w:sz="4" w:space="0" w:color="auto"/>
                  </w:tcBorders>
                  <w:shd w:val="clear" w:color="auto" w:fill="auto"/>
                  <w:noWrap/>
                  <w:vAlign w:val="center"/>
                  <w:hideMark/>
                </w:tcPr>
                <w:p w14:paraId="4943903B" w14:textId="783AEC9C" w:rsidR="00BB26FD" w:rsidRPr="00C1173E" w:rsidRDefault="00BB26FD" w:rsidP="00921BD1">
                  <w:pPr>
                    <w:jc w:val="center"/>
                    <w:rPr>
                      <w:sz w:val="22"/>
                      <w:szCs w:val="22"/>
                    </w:rPr>
                  </w:pPr>
                  <w:r w:rsidRPr="00C1173E">
                    <w:rPr>
                      <w:sz w:val="22"/>
                      <w:szCs w:val="22"/>
                    </w:rPr>
                    <w:t>1</w:t>
                  </w:r>
                  <w:r w:rsidR="00297F11" w:rsidRPr="00C1173E">
                    <w:rPr>
                      <w:sz w:val="22"/>
                      <w:szCs w:val="22"/>
                    </w:rPr>
                    <w:t>764</w:t>
                  </w:r>
                </w:p>
              </w:tc>
            </w:tr>
            <w:tr w:rsidR="00BB26FD" w:rsidRPr="00C1173E" w14:paraId="49439042" w14:textId="77777777" w:rsidTr="00BB26FD">
              <w:trPr>
                <w:trHeight w:val="379"/>
                <w:jc w:val="center"/>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943903E" w14:textId="77777777" w:rsidR="00BB26FD" w:rsidRPr="00C1173E" w:rsidRDefault="00BB26FD" w:rsidP="00921BD1">
                  <w:pPr>
                    <w:jc w:val="center"/>
                    <w:rPr>
                      <w:sz w:val="22"/>
                      <w:szCs w:val="22"/>
                    </w:rPr>
                  </w:pPr>
                  <w:r w:rsidRPr="00C1173E">
                    <w:rPr>
                      <w:sz w:val="22"/>
                      <w:szCs w:val="22"/>
                    </w:rPr>
                    <w:t>11</w:t>
                  </w:r>
                </w:p>
              </w:tc>
              <w:tc>
                <w:tcPr>
                  <w:tcW w:w="2549" w:type="dxa"/>
                  <w:tcBorders>
                    <w:top w:val="nil"/>
                    <w:left w:val="nil"/>
                    <w:bottom w:val="single" w:sz="4" w:space="0" w:color="auto"/>
                    <w:right w:val="single" w:sz="4" w:space="0" w:color="auto"/>
                  </w:tcBorders>
                  <w:shd w:val="clear" w:color="auto" w:fill="auto"/>
                  <w:vAlign w:val="center"/>
                  <w:hideMark/>
                </w:tcPr>
                <w:p w14:paraId="4943903F" w14:textId="0AEF3B8B" w:rsidR="00BB26FD" w:rsidRPr="00C1173E" w:rsidRDefault="00BB26FD" w:rsidP="00227B99">
                  <w:pPr>
                    <w:jc w:val="both"/>
                    <w:rPr>
                      <w:sz w:val="22"/>
                      <w:szCs w:val="22"/>
                    </w:rPr>
                  </w:pPr>
                  <w:r w:rsidRPr="00C1173E">
                    <w:rPr>
                      <w:sz w:val="22"/>
                      <w:szCs w:val="22"/>
                    </w:rPr>
                    <w:t>Transporta izmaksas</w:t>
                  </w:r>
                </w:p>
              </w:tc>
              <w:tc>
                <w:tcPr>
                  <w:tcW w:w="960" w:type="dxa"/>
                  <w:tcBorders>
                    <w:top w:val="nil"/>
                    <w:left w:val="nil"/>
                    <w:bottom w:val="single" w:sz="4" w:space="0" w:color="auto"/>
                    <w:right w:val="single" w:sz="4" w:space="0" w:color="auto"/>
                  </w:tcBorders>
                  <w:shd w:val="clear" w:color="auto" w:fill="auto"/>
                  <w:noWrap/>
                  <w:vAlign w:val="center"/>
                  <w:hideMark/>
                </w:tcPr>
                <w:p w14:paraId="49439040" w14:textId="56570F94" w:rsidR="00BB26FD" w:rsidRPr="00C1173E" w:rsidRDefault="00D274E5" w:rsidP="00921BD1">
                  <w:pPr>
                    <w:jc w:val="center"/>
                    <w:rPr>
                      <w:sz w:val="22"/>
                      <w:szCs w:val="22"/>
                    </w:rPr>
                  </w:pPr>
                  <w:r w:rsidRPr="00C1173E">
                    <w:rPr>
                      <w:sz w:val="22"/>
                      <w:szCs w:val="22"/>
                    </w:rPr>
                    <w:t>74,</w:t>
                  </w:r>
                  <w:r w:rsidR="004753F4" w:rsidRPr="00C1173E">
                    <w:rPr>
                      <w:sz w:val="22"/>
                      <w:szCs w:val="22"/>
                    </w:rPr>
                    <w:t>40</w:t>
                  </w:r>
                </w:p>
              </w:tc>
            </w:tr>
            <w:tr w:rsidR="00BB26FD" w:rsidRPr="00C1173E" w14:paraId="49439050" w14:textId="77777777" w:rsidTr="00BB26FD">
              <w:trPr>
                <w:trHeight w:val="300"/>
                <w:jc w:val="center"/>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904D" w14:textId="77777777" w:rsidR="00BB26FD" w:rsidRPr="00C1173E" w:rsidRDefault="00BB26FD" w:rsidP="00227B99">
                  <w:pPr>
                    <w:jc w:val="both"/>
                    <w:rPr>
                      <w:b/>
                      <w:bCs/>
                      <w:sz w:val="22"/>
                      <w:szCs w:val="22"/>
                    </w:rPr>
                  </w:pPr>
                  <w:r w:rsidRPr="00C1173E">
                    <w:rPr>
                      <w:b/>
                      <w:bCs/>
                      <w:sz w:val="22"/>
                      <w:szCs w:val="22"/>
                    </w:rPr>
                    <w:lastRenderedPageBreak/>
                    <w:t>Kopā netiešās izmaksas (</w:t>
                  </w:r>
                  <w:proofErr w:type="spellStart"/>
                  <w:r w:rsidRPr="00C1173E">
                    <w:rPr>
                      <w:b/>
                      <w:bCs/>
                      <w:i/>
                      <w:sz w:val="22"/>
                      <w:szCs w:val="22"/>
                    </w:rPr>
                    <w:t>euro</w:t>
                  </w:r>
                  <w:proofErr w:type="spellEnd"/>
                  <w:r w:rsidRPr="00C1173E">
                    <w:rPr>
                      <w:b/>
                      <w:bCs/>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943904E" w14:textId="106225B6" w:rsidR="00BB26FD" w:rsidRPr="00C1173E" w:rsidRDefault="00BB26FD" w:rsidP="00921BD1">
                  <w:pPr>
                    <w:jc w:val="center"/>
                    <w:rPr>
                      <w:b/>
                      <w:bCs/>
                      <w:sz w:val="22"/>
                      <w:szCs w:val="22"/>
                    </w:rPr>
                  </w:pPr>
                  <w:r w:rsidRPr="00C1173E">
                    <w:rPr>
                      <w:b/>
                      <w:bCs/>
                      <w:sz w:val="22"/>
                      <w:szCs w:val="22"/>
                    </w:rPr>
                    <w:t>7</w:t>
                  </w:r>
                  <w:r w:rsidR="004753F4" w:rsidRPr="00C1173E">
                    <w:rPr>
                      <w:b/>
                      <w:bCs/>
                      <w:sz w:val="22"/>
                      <w:szCs w:val="22"/>
                    </w:rPr>
                    <w:t>185,4</w:t>
                  </w:r>
                </w:p>
              </w:tc>
            </w:tr>
            <w:tr w:rsidR="00BB26FD" w:rsidRPr="00C1173E" w14:paraId="49439054" w14:textId="77777777" w:rsidTr="00BB26FD">
              <w:trPr>
                <w:trHeight w:val="300"/>
                <w:jc w:val="center"/>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9051" w14:textId="77777777" w:rsidR="00BB26FD" w:rsidRPr="00C1173E" w:rsidRDefault="00BB26FD" w:rsidP="00227B99">
                  <w:pPr>
                    <w:jc w:val="both"/>
                    <w:rPr>
                      <w:b/>
                      <w:bCs/>
                      <w:sz w:val="22"/>
                      <w:szCs w:val="22"/>
                    </w:rPr>
                  </w:pPr>
                  <w:r w:rsidRPr="00C1173E">
                    <w:rPr>
                      <w:b/>
                      <w:bCs/>
                      <w:sz w:val="22"/>
                      <w:szCs w:val="22"/>
                    </w:rPr>
                    <w:t>Kopā uz 1 būvspeciālistu (</w:t>
                  </w:r>
                  <w:proofErr w:type="spellStart"/>
                  <w:r w:rsidRPr="00C1173E">
                    <w:rPr>
                      <w:b/>
                      <w:bCs/>
                      <w:i/>
                      <w:sz w:val="22"/>
                      <w:szCs w:val="22"/>
                    </w:rPr>
                    <w:t>euro</w:t>
                  </w:r>
                  <w:proofErr w:type="spellEnd"/>
                  <w:r w:rsidRPr="00C1173E">
                    <w:rPr>
                      <w:b/>
                      <w:bCs/>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9439052" w14:textId="1F72A2E6" w:rsidR="00BB26FD" w:rsidRPr="00C1173E" w:rsidRDefault="00BB26FD" w:rsidP="00921BD1">
                  <w:pPr>
                    <w:jc w:val="center"/>
                    <w:rPr>
                      <w:b/>
                      <w:bCs/>
                      <w:sz w:val="22"/>
                      <w:szCs w:val="22"/>
                    </w:rPr>
                  </w:pPr>
                  <w:r w:rsidRPr="00C1173E">
                    <w:rPr>
                      <w:b/>
                      <w:bCs/>
                      <w:sz w:val="22"/>
                      <w:szCs w:val="22"/>
                    </w:rPr>
                    <w:t>5</w:t>
                  </w:r>
                  <w:r w:rsidR="004753F4" w:rsidRPr="00C1173E">
                    <w:rPr>
                      <w:b/>
                      <w:bCs/>
                      <w:sz w:val="22"/>
                      <w:szCs w:val="22"/>
                    </w:rPr>
                    <w:t>7</w:t>
                  </w:r>
                  <w:r w:rsidRPr="00C1173E">
                    <w:rPr>
                      <w:b/>
                      <w:bCs/>
                      <w:sz w:val="22"/>
                      <w:szCs w:val="22"/>
                    </w:rPr>
                    <w:t>,0</w:t>
                  </w:r>
                  <w:r w:rsidR="004F13C1" w:rsidRPr="00C1173E">
                    <w:rPr>
                      <w:b/>
                      <w:bCs/>
                      <w:sz w:val="22"/>
                      <w:szCs w:val="22"/>
                    </w:rPr>
                    <w:t>0</w:t>
                  </w:r>
                </w:p>
              </w:tc>
            </w:tr>
          </w:tbl>
          <w:p w14:paraId="49439055" w14:textId="77777777" w:rsidR="00D84D1A" w:rsidRPr="00C1173E" w:rsidRDefault="00D84D1A" w:rsidP="00FB176F">
            <w:pPr>
              <w:shd w:val="clear" w:color="auto" w:fill="FFFFFF"/>
              <w:jc w:val="both"/>
            </w:pPr>
          </w:p>
          <w:p w14:paraId="49439056" w14:textId="794F8DE9" w:rsidR="009E396C" w:rsidRPr="00C1173E" w:rsidRDefault="009E396C" w:rsidP="009E396C">
            <w:pPr>
              <w:autoSpaceDE w:val="0"/>
              <w:autoSpaceDN w:val="0"/>
              <w:adjustRightInd w:val="0"/>
              <w:ind w:firstLine="402"/>
              <w:jc w:val="both"/>
              <w:rPr>
                <w:bCs/>
              </w:rPr>
            </w:pPr>
            <w:r w:rsidRPr="00C1173E">
              <w:rPr>
                <w:bCs/>
              </w:rPr>
              <w:t xml:space="preserve">Netiešo izmaksu aprēķinā ņemti vērā </w:t>
            </w:r>
            <w:r w:rsidR="004D38D1" w:rsidRPr="004D38D1">
              <w:rPr>
                <w:bCs/>
              </w:rPr>
              <w:t>Biroja</w:t>
            </w:r>
            <w:r w:rsidRPr="004D38D1">
              <w:rPr>
                <w:bCs/>
              </w:rPr>
              <w:t xml:space="preserve"> i</w:t>
            </w:r>
            <w:r w:rsidRPr="00C1173E">
              <w:rPr>
                <w:bCs/>
              </w:rPr>
              <w:t>esniegtie aprēķini, aprēķinot vidējās netiešās izmaksas</w:t>
            </w:r>
            <w:r w:rsidR="00C82409" w:rsidRPr="00C1173E">
              <w:rPr>
                <w:bCs/>
              </w:rPr>
              <w:t xml:space="preserve"> kalendārajā gadā</w:t>
            </w:r>
            <w:r w:rsidRPr="00C1173E">
              <w:rPr>
                <w:bCs/>
              </w:rPr>
              <w:t>.</w:t>
            </w:r>
          </w:p>
          <w:p w14:paraId="49439057" w14:textId="77777777" w:rsidR="009E396C" w:rsidRPr="00C1173E" w:rsidRDefault="009E396C" w:rsidP="009E396C">
            <w:pPr>
              <w:autoSpaceDE w:val="0"/>
              <w:autoSpaceDN w:val="0"/>
              <w:adjustRightInd w:val="0"/>
              <w:ind w:firstLine="402"/>
              <w:jc w:val="both"/>
              <w:rPr>
                <w:bCs/>
              </w:rPr>
            </w:pPr>
            <w:r w:rsidRPr="00C1173E">
              <w:rPr>
                <w:bCs/>
              </w:rPr>
              <w:t>Aprēķinātas arī izmaksas, kuras saistītas ar telpu uzturēšanu, pasta un kancelejas izdevumiem, IT un programatūras uzturēšanas izmaksas.</w:t>
            </w:r>
          </w:p>
          <w:p w14:paraId="49439058" w14:textId="77777777" w:rsidR="009E396C" w:rsidRPr="00C1173E" w:rsidRDefault="009E396C" w:rsidP="00037A92">
            <w:pPr>
              <w:autoSpaceDE w:val="0"/>
              <w:autoSpaceDN w:val="0"/>
              <w:adjustRightInd w:val="0"/>
              <w:ind w:firstLine="402"/>
              <w:jc w:val="both"/>
              <w:rPr>
                <w:bCs/>
              </w:rPr>
            </w:pPr>
            <w:r w:rsidRPr="00C1173E">
              <w:rPr>
                <w:bCs/>
              </w:rPr>
              <w:t xml:space="preserve">Akreditācijas izmaksas iekļautas, jo </w:t>
            </w:r>
            <w:r w:rsidRPr="00C1173E">
              <w:rPr>
                <w:bCs/>
                <w:i/>
              </w:rPr>
              <w:t>kompetences pārbaudes iestād</w:t>
            </w:r>
            <w:r w:rsidR="00037A92" w:rsidRPr="00C1173E">
              <w:rPr>
                <w:bCs/>
                <w:i/>
              </w:rPr>
              <w:t>ēm</w:t>
            </w:r>
            <w:r w:rsidRPr="00C1173E">
              <w:rPr>
                <w:bCs/>
              </w:rPr>
              <w:t xml:space="preserve"> ir jābūt spēkā esošai akreditācijai nacionālajā akreditācijas institūcijā kā personu sertificēšanas institūcijai saskaņā ar normatīvajiem aktiem par atbilstības novērtēšanu vai akreditācijai citas Eiropas Savienības dalībvalsts akreditācijas institūcijā. </w:t>
            </w:r>
          </w:p>
          <w:p w14:paraId="4943905B" w14:textId="76528F13" w:rsidR="00037A92" w:rsidRPr="00C1173E" w:rsidRDefault="0055335D" w:rsidP="00037A92">
            <w:pPr>
              <w:autoSpaceDE w:val="0"/>
              <w:autoSpaceDN w:val="0"/>
              <w:adjustRightInd w:val="0"/>
              <w:ind w:firstLine="402"/>
              <w:jc w:val="both"/>
              <w:rPr>
                <w:bCs/>
              </w:rPr>
            </w:pPr>
            <w:r w:rsidRPr="0055335D">
              <w:t>B</w:t>
            </w:r>
            <w:r w:rsidR="00B400B2" w:rsidRPr="0055335D">
              <w:t>irojā</w:t>
            </w:r>
            <w:r w:rsidR="00B400B2" w:rsidRPr="00C1173E">
              <w:rPr>
                <w:i/>
              </w:rPr>
              <w:t xml:space="preserve"> </w:t>
            </w:r>
            <w:r w:rsidR="00037A92" w:rsidRPr="00C1173E">
              <w:rPr>
                <w:bCs/>
              </w:rPr>
              <w:t xml:space="preserve">vidēji ir nodarbināti </w:t>
            </w:r>
            <w:r w:rsidR="00BB26FD" w:rsidRPr="00C1173E">
              <w:rPr>
                <w:bCs/>
              </w:rPr>
              <w:t>43</w:t>
            </w:r>
            <w:r w:rsidR="00037A92" w:rsidRPr="00C1173E">
              <w:rPr>
                <w:bCs/>
              </w:rPr>
              <w:t xml:space="preserve"> eksperti, līdz ar to </w:t>
            </w:r>
            <w:r w:rsidR="0024212E" w:rsidRPr="0055335D">
              <w:t>Birojam</w:t>
            </w:r>
            <w:r w:rsidR="00B400B2" w:rsidRPr="00C1173E">
              <w:t xml:space="preserve"> </w:t>
            </w:r>
            <w:r w:rsidR="00037A92" w:rsidRPr="00C1173E">
              <w:rPr>
                <w:bCs/>
              </w:rPr>
              <w:t>regulāri (katru gadu) ir jānodrošina šo ekspertu kvalifikācijas celšanas kursi.</w:t>
            </w:r>
          </w:p>
          <w:p w14:paraId="4943905C" w14:textId="6F444ADC" w:rsidR="00037A92" w:rsidRPr="00C1173E" w:rsidRDefault="00037A92" w:rsidP="00037A92">
            <w:pPr>
              <w:autoSpaceDE w:val="0"/>
              <w:autoSpaceDN w:val="0"/>
              <w:adjustRightInd w:val="0"/>
              <w:ind w:firstLine="402"/>
              <w:jc w:val="both"/>
            </w:pPr>
            <w:r w:rsidRPr="00C1173E">
              <w:t xml:space="preserve">Būvspeciālistu uzraudzības </w:t>
            </w:r>
            <w:r w:rsidR="001D000B" w:rsidRPr="00C1173E">
              <w:t>ietvaros minēto darbību veikšanas netiešās izmaksas</w:t>
            </w:r>
            <w:r w:rsidRPr="00C1173E">
              <w:t xml:space="preserve"> uz vienu būvspeciālistu sastāda </w:t>
            </w:r>
            <w:r w:rsidR="00BB26FD" w:rsidRPr="00C1173E">
              <w:t>5</w:t>
            </w:r>
            <w:r w:rsidR="004753F4" w:rsidRPr="00C1173E">
              <w:t>7</w:t>
            </w:r>
            <w:r w:rsidR="00227B99" w:rsidRPr="00C1173E">
              <w:t>,</w:t>
            </w:r>
            <w:r w:rsidR="00CA781F" w:rsidRPr="00C1173E">
              <w:t xml:space="preserve">00 </w:t>
            </w:r>
            <w:proofErr w:type="spellStart"/>
            <w:r w:rsidR="0020771F" w:rsidRPr="00C1173E">
              <w:rPr>
                <w:i/>
              </w:rPr>
              <w:t>euro</w:t>
            </w:r>
            <w:proofErr w:type="spellEnd"/>
            <w:r w:rsidRPr="00C1173E">
              <w:t>.</w:t>
            </w:r>
          </w:p>
          <w:p w14:paraId="4943905D" w14:textId="3AE0DA2E" w:rsidR="00037A92" w:rsidRDefault="00037A92" w:rsidP="00FB176F">
            <w:pPr>
              <w:shd w:val="clear" w:color="auto" w:fill="FFFFFF"/>
              <w:jc w:val="both"/>
            </w:pPr>
          </w:p>
          <w:p w14:paraId="4943905E" w14:textId="77777777" w:rsidR="00037A92" w:rsidRPr="00C1173E" w:rsidRDefault="00037A92" w:rsidP="00037A92">
            <w:pPr>
              <w:jc w:val="right"/>
              <w:rPr>
                <w:b/>
                <w:i/>
              </w:rPr>
            </w:pPr>
            <w:r w:rsidRPr="00C1173E">
              <w:rPr>
                <w:i/>
              </w:rPr>
              <w:t>3</w:t>
            </w:r>
            <w:r w:rsidRPr="00C1173E">
              <w:rPr>
                <w:b/>
                <w:i/>
              </w:rPr>
              <w:t>.</w:t>
            </w:r>
            <w:r w:rsidRPr="00C1173E">
              <w:rPr>
                <w:i/>
                <w:lang w:eastAsia="x-none"/>
              </w:rPr>
              <w:t>tabula</w:t>
            </w:r>
          </w:p>
          <w:p w14:paraId="4943905F" w14:textId="04AD2EB5" w:rsidR="00037A92" w:rsidRPr="00C1173E" w:rsidRDefault="00037A92" w:rsidP="00037A92">
            <w:pPr>
              <w:jc w:val="center"/>
              <w:rPr>
                <w:b/>
              </w:rPr>
            </w:pPr>
            <w:r w:rsidRPr="00C1173E">
              <w:rPr>
                <w:b/>
              </w:rPr>
              <w:t xml:space="preserve">Būvspeciālistu uzraudzības izmaksu kopsavilkums </w:t>
            </w:r>
          </w:p>
          <w:tbl>
            <w:tblPr>
              <w:tblStyle w:val="TableGrid"/>
              <w:tblW w:w="0" w:type="auto"/>
              <w:jc w:val="center"/>
              <w:tblLook w:val="04A0" w:firstRow="1" w:lastRow="0" w:firstColumn="1" w:lastColumn="0" w:noHBand="0" w:noVBand="1"/>
            </w:tblPr>
            <w:tblGrid>
              <w:gridCol w:w="3089"/>
              <w:gridCol w:w="3038"/>
            </w:tblGrid>
            <w:tr w:rsidR="00037A92" w:rsidRPr="00C1173E" w14:paraId="49439062" w14:textId="77777777" w:rsidTr="00053C46">
              <w:trPr>
                <w:jc w:val="center"/>
              </w:trPr>
              <w:tc>
                <w:tcPr>
                  <w:tcW w:w="3089" w:type="dxa"/>
                </w:tcPr>
                <w:p w14:paraId="49439060" w14:textId="77777777" w:rsidR="00037A92" w:rsidRPr="00C1173E" w:rsidRDefault="00037A92" w:rsidP="00037A92">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Rādītājs (izmaksu veids)</w:t>
                  </w:r>
                </w:p>
              </w:tc>
              <w:tc>
                <w:tcPr>
                  <w:tcW w:w="3038" w:type="dxa"/>
                </w:tcPr>
                <w:p w14:paraId="49439061" w14:textId="77777777" w:rsidR="00037A92" w:rsidRPr="00C1173E" w:rsidRDefault="00037A92" w:rsidP="00037A92">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Izmaksu apjoms gadā </w:t>
                  </w:r>
                  <w:r w:rsidRPr="00C1173E">
                    <w:rPr>
                      <w:rFonts w:ascii="Times New Roman" w:hAnsi="Times New Roman"/>
                      <w:bCs/>
                      <w:i/>
                      <w:sz w:val="22"/>
                      <w:szCs w:val="22"/>
                      <w:lang w:val="lv-LV" w:eastAsia="lv-LV"/>
                    </w:rPr>
                    <w:t>(</w:t>
                  </w:r>
                  <w:r w:rsidR="0020771F" w:rsidRPr="00C1173E">
                    <w:rPr>
                      <w:rFonts w:ascii="Times New Roman" w:hAnsi="Times New Roman"/>
                      <w:bCs/>
                      <w:i/>
                      <w:sz w:val="22"/>
                      <w:szCs w:val="22"/>
                      <w:lang w:val="lv-LV" w:eastAsia="lv-LV"/>
                    </w:rPr>
                    <w:t>euro</w:t>
                  </w:r>
                  <w:r w:rsidRPr="00C1173E">
                    <w:rPr>
                      <w:rFonts w:ascii="Times New Roman" w:hAnsi="Times New Roman"/>
                      <w:bCs/>
                      <w:i/>
                      <w:sz w:val="22"/>
                      <w:szCs w:val="22"/>
                      <w:lang w:val="lv-LV" w:eastAsia="lv-LV"/>
                    </w:rPr>
                    <w:t>)</w:t>
                  </w:r>
                </w:p>
              </w:tc>
            </w:tr>
            <w:tr w:rsidR="00037A92" w:rsidRPr="00C1173E" w14:paraId="49439065" w14:textId="77777777" w:rsidTr="00053C46">
              <w:trPr>
                <w:jc w:val="center"/>
              </w:trPr>
              <w:tc>
                <w:tcPr>
                  <w:tcW w:w="3089" w:type="dxa"/>
                </w:tcPr>
                <w:p w14:paraId="49439063" w14:textId="77777777" w:rsidR="00037A92" w:rsidRPr="00C1173E"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Tiešās izmaksas</w:t>
                  </w:r>
                </w:p>
              </w:tc>
              <w:tc>
                <w:tcPr>
                  <w:tcW w:w="3038" w:type="dxa"/>
                </w:tcPr>
                <w:p w14:paraId="49439064" w14:textId="72C17E57" w:rsidR="00037A92" w:rsidRPr="00C1173E" w:rsidRDefault="004753F4" w:rsidP="00037A92">
                  <w:pPr>
                    <w:pStyle w:val="NormalWeb"/>
                    <w:spacing w:before="0" w:beforeAutospacing="0" w:after="0" w:afterAutospacing="0"/>
                    <w:jc w:val="center"/>
                    <w:rPr>
                      <w:rFonts w:ascii="Times New Roman" w:hAnsi="Times New Roman"/>
                      <w:bCs/>
                      <w:sz w:val="24"/>
                      <w:szCs w:val="24"/>
                      <w:lang w:val="lv-LV" w:eastAsia="lv-LV"/>
                    </w:rPr>
                  </w:pPr>
                  <w:r w:rsidRPr="00C1173E">
                    <w:rPr>
                      <w:rFonts w:ascii="Times New Roman" w:hAnsi="Times New Roman"/>
                      <w:bCs/>
                      <w:sz w:val="24"/>
                      <w:szCs w:val="24"/>
                    </w:rPr>
                    <w:t>19 640</w:t>
                  </w:r>
                </w:p>
              </w:tc>
            </w:tr>
            <w:tr w:rsidR="00037A92" w:rsidRPr="00C1173E" w14:paraId="49439068" w14:textId="77777777" w:rsidTr="00053C46">
              <w:trPr>
                <w:jc w:val="center"/>
              </w:trPr>
              <w:tc>
                <w:tcPr>
                  <w:tcW w:w="3089" w:type="dxa"/>
                </w:tcPr>
                <w:p w14:paraId="49439066" w14:textId="77777777" w:rsidR="00037A92" w:rsidRPr="00C1173E"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Netiešās izmaksas</w:t>
                  </w:r>
                </w:p>
              </w:tc>
              <w:tc>
                <w:tcPr>
                  <w:tcW w:w="3038" w:type="dxa"/>
                </w:tcPr>
                <w:p w14:paraId="49439067" w14:textId="502F4C48" w:rsidR="00037A92" w:rsidRPr="00C1173E" w:rsidRDefault="004753F4" w:rsidP="00037A92">
                  <w:pPr>
                    <w:pStyle w:val="NormalWeb"/>
                    <w:spacing w:before="0" w:beforeAutospacing="0" w:after="0" w:afterAutospacing="0"/>
                    <w:jc w:val="center"/>
                    <w:rPr>
                      <w:rFonts w:ascii="Times New Roman" w:hAnsi="Times New Roman"/>
                      <w:bCs/>
                      <w:sz w:val="24"/>
                      <w:szCs w:val="24"/>
                      <w:lang w:val="lv-LV" w:eastAsia="lv-LV"/>
                    </w:rPr>
                  </w:pPr>
                  <w:r w:rsidRPr="00C1173E">
                    <w:rPr>
                      <w:rFonts w:ascii="Times New Roman" w:hAnsi="Times New Roman"/>
                      <w:bCs/>
                      <w:sz w:val="24"/>
                      <w:szCs w:val="24"/>
                    </w:rPr>
                    <w:t>7185,4</w:t>
                  </w:r>
                </w:p>
              </w:tc>
            </w:tr>
            <w:tr w:rsidR="00037A92" w:rsidRPr="00C1173E" w14:paraId="4943906B" w14:textId="77777777" w:rsidTr="00053C46">
              <w:trPr>
                <w:jc w:val="center"/>
              </w:trPr>
              <w:tc>
                <w:tcPr>
                  <w:tcW w:w="3089" w:type="dxa"/>
                </w:tcPr>
                <w:p w14:paraId="49439069" w14:textId="77777777" w:rsidR="00037A92" w:rsidRPr="00C1173E"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Pakalpojuma izmaksas kopā</w:t>
                  </w:r>
                </w:p>
              </w:tc>
              <w:tc>
                <w:tcPr>
                  <w:tcW w:w="3038" w:type="dxa"/>
                </w:tcPr>
                <w:p w14:paraId="4943906A" w14:textId="5A93D32A" w:rsidR="00037A92" w:rsidRPr="00C1173E" w:rsidRDefault="00BB26FD" w:rsidP="00037A92">
                  <w:pPr>
                    <w:pStyle w:val="NormalWeb"/>
                    <w:spacing w:before="0" w:beforeAutospacing="0" w:after="0" w:afterAutospacing="0"/>
                    <w:jc w:val="center"/>
                    <w:rPr>
                      <w:rFonts w:ascii="Times New Roman" w:hAnsi="Times New Roman"/>
                      <w:bCs/>
                      <w:sz w:val="24"/>
                      <w:szCs w:val="24"/>
                      <w:lang w:val="lv-LV" w:eastAsia="lv-LV"/>
                    </w:rPr>
                  </w:pPr>
                  <w:r w:rsidRPr="00C1173E">
                    <w:rPr>
                      <w:rFonts w:ascii="Times New Roman" w:hAnsi="Times New Roman"/>
                      <w:bCs/>
                      <w:sz w:val="24"/>
                      <w:szCs w:val="24"/>
                      <w:lang w:val="lv-LV" w:eastAsia="lv-LV"/>
                    </w:rPr>
                    <w:t>2</w:t>
                  </w:r>
                  <w:r w:rsidR="004753F4" w:rsidRPr="00C1173E">
                    <w:rPr>
                      <w:rFonts w:ascii="Times New Roman" w:hAnsi="Times New Roman"/>
                      <w:bCs/>
                      <w:sz w:val="24"/>
                      <w:szCs w:val="24"/>
                      <w:lang w:val="lv-LV" w:eastAsia="lv-LV"/>
                    </w:rPr>
                    <w:t>6825,4</w:t>
                  </w:r>
                </w:p>
              </w:tc>
            </w:tr>
          </w:tbl>
          <w:p w14:paraId="4943906C" w14:textId="77777777" w:rsidR="00037A92" w:rsidRPr="00C1173E" w:rsidRDefault="00037A92" w:rsidP="00037A92">
            <w:pPr>
              <w:autoSpaceDE w:val="0"/>
              <w:autoSpaceDN w:val="0"/>
              <w:adjustRightInd w:val="0"/>
              <w:jc w:val="both"/>
              <w:rPr>
                <w:bCs/>
              </w:rPr>
            </w:pPr>
          </w:p>
          <w:tbl>
            <w:tblPr>
              <w:tblStyle w:val="TableGrid"/>
              <w:tblW w:w="0" w:type="auto"/>
              <w:jc w:val="center"/>
              <w:tblLook w:val="04A0" w:firstRow="1" w:lastRow="0" w:firstColumn="1" w:lastColumn="0" w:noHBand="0" w:noVBand="1"/>
            </w:tblPr>
            <w:tblGrid>
              <w:gridCol w:w="3364"/>
              <w:gridCol w:w="3365"/>
            </w:tblGrid>
            <w:tr w:rsidR="00037A92" w:rsidRPr="00C1173E" w14:paraId="4943906F" w14:textId="77777777" w:rsidTr="00053C46">
              <w:trPr>
                <w:jc w:val="center"/>
              </w:trPr>
              <w:tc>
                <w:tcPr>
                  <w:tcW w:w="3364" w:type="dxa"/>
                </w:tcPr>
                <w:p w14:paraId="4943906D" w14:textId="77777777" w:rsidR="00037A92" w:rsidRPr="00C1173E" w:rsidRDefault="00037A92" w:rsidP="00037A92">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Maksas pakalpojumu vienību skaits gadā </w:t>
                  </w:r>
                </w:p>
              </w:tc>
              <w:tc>
                <w:tcPr>
                  <w:tcW w:w="3365" w:type="dxa"/>
                </w:tcPr>
                <w:p w14:paraId="4943906E" w14:textId="04A06C17" w:rsidR="00037A92" w:rsidRPr="00C1173E" w:rsidRDefault="00BB26FD" w:rsidP="00037A92">
                  <w:pPr>
                    <w:pStyle w:val="NormalWeb"/>
                    <w:spacing w:before="0" w:beforeAutospacing="0" w:after="0" w:afterAutospacing="0"/>
                    <w:jc w:val="center"/>
                    <w:rPr>
                      <w:rFonts w:ascii="Times New Roman" w:hAnsi="Times New Roman"/>
                      <w:bCs/>
                      <w:sz w:val="24"/>
                      <w:szCs w:val="24"/>
                      <w:lang w:val="lv-LV" w:eastAsia="lv-LV"/>
                    </w:rPr>
                  </w:pPr>
                  <w:r w:rsidRPr="00C1173E">
                    <w:rPr>
                      <w:rFonts w:ascii="Times New Roman" w:hAnsi="Times New Roman"/>
                      <w:bCs/>
                      <w:sz w:val="24"/>
                      <w:szCs w:val="24"/>
                      <w:lang w:val="lv-LV" w:eastAsia="lv-LV"/>
                    </w:rPr>
                    <w:t>126</w:t>
                  </w:r>
                </w:p>
              </w:tc>
            </w:tr>
            <w:tr w:rsidR="00037A92" w:rsidRPr="00C1173E" w14:paraId="49439072" w14:textId="77777777" w:rsidTr="00053C46">
              <w:trPr>
                <w:jc w:val="center"/>
              </w:trPr>
              <w:tc>
                <w:tcPr>
                  <w:tcW w:w="3364" w:type="dxa"/>
                </w:tcPr>
                <w:p w14:paraId="49439070" w14:textId="77777777" w:rsidR="00037A92" w:rsidRPr="00C1173E" w:rsidRDefault="00037A92" w:rsidP="00037A92">
                  <w:pPr>
                    <w:pStyle w:val="NormalWeb"/>
                    <w:spacing w:before="0" w:beforeAutospacing="0" w:after="0" w:afterAutospacing="0"/>
                    <w:jc w:val="both"/>
                    <w:rPr>
                      <w:rFonts w:ascii="Times New Roman" w:hAnsi="Times New Roman"/>
                      <w:b/>
                      <w:bCs/>
                      <w:sz w:val="22"/>
                      <w:szCs w:val="22"/>
                      <w:lang w:val="lv-LV" w:eastAsia="lv-LV"/>
                    </w:rPr>
                  </w:pPr>
                  <w:r w:rsidRPr="00C1173E">
                    <w:rPr>
                      <w:rFonts w:ascii="Times New Roman" w:hAnsi="Times New Roman"/>
                      <w:b/>
                      <w:bCs/>
                      <w:sz w:val="22"/>
                      <w:szCs w:val="22"/>
                      <w:lang w:val="lv-LV" w:eastAsia="lv-LV"/>
                    </w:rPr>
                    <w:t xml:space="preserve">Maksas pakalpojuma izcenojums </w:t>
                  </w:r>
                  <w:r w:rsidRPr="00C1173E">
                    <w:rPr>
                      <w:rFonts w:ascii="Times New Roman" w:hAnsi="Times New Roman"/>
                      <w:b/>
                      <w:bCs/>
                      <w:i/>
                      <w:sz w:val="22"/>
                      <w:szCs w:val="22"/>
                      <w:lang w:val="lv-LV" w:eastAsia="lv-LV"/>
                    </w:rPr>
                    <w:t>(</w:t>
                  </w:r>
                  <w:r w:rsidR="0020771F" w:rsidRPr="00C1173E">
                    <w:rPr>
                      <w:rFonts w:ascii="Times New Roman" w:hAnsi="Times New Roman"/>
                      <w:b/>
                      <w:bCs/>
                      <w:i/>
                      <w:sz w:val="22"/>
                      <w:szCs w:val="22"/>
                      <w:lang w:val="lv-LV" w:eastAsia="lv-LV"/>
                    </w:rPr>
                    <w:t>euro</w:t>
                  </w:r>
                  <w:r w:rsidRPr="00C1173E">
                    <w:rPr>
                      <w:rFonts w:ascii="Times New Roman" w:hAnsi="Times New Roman"/>
                      <w:b/>
                      <w:bCs/>
                      <w:i/>
                      <w:sz w:val="22"/>
                      <w:szCs w:val="22"/>
                      <w:lang w:val="lv-LV" w:eastAsia="lv-LV"/>
                    </w:rPr>
                    <w:t>)</w:t>
                  </w:r>
                </w:p>
              </w:tc>
              <w:tc>
                <w:tcPr>
                  <w:tcW w:w="3365" w:type="dxa"/>
                </w:tcPr>
                <w:p w14:paraId="49439071" w14:textId="0A97C771" w:rsidR="00037A92" w:rsidRPr="00C1173E" w:rsidRDefault="00BB26FD" w:rsidP="00037A92">
                  <w:pPr>
                    <w:pStyle w:val="NormalWeb"/>
                    <w:spacing w:before="0" w:beforeAutospacing="0" w:after="0" w:afterAutospacing="0"/>
                    <w:jc w:val="center"/>
                    <w:rPr>
                      <w:rFonts w:ascii="Times New Roman" w:hAnsi="Times New Roman"/>
                      <w:b/>
                      <w:bCs/>
                      <w:sz w:val="24"/>
                      <w:szCs w:val="24"/>
                      <w:lang w:val="lv-LV" w:eastAsia="lv-LV"/>
                    </w:rPr>
                  </w:pPr>
                  <w:r w:rsidRPr="00C1173E">
                    <w:rPr>
                      <w:rFonts w:ascii="Times New Roman" w:hAnsi="Times New Roman"/>
                      <w:b/>
                      <w:bCs/>
                      <w:sz w:val="24"/>
                      <w:szCs w:val="24"/>
                      <w:lang w:val="lv-LV" w:eastAsia="lv-LV"/>
                    </w:rPr>
                    <w:t>2</w:t>
                  </w:r>
                  <w:r w:rsidR="004753F4" w:rsidRPr="00C1173E">
                    <w:rPr>
                      <w:rFonts w:ascii="Times New Roman" w:hAnsi="Times New Roman"/>
                      <w:b/>
                      <w:bCs/>
                      <w:sz w:val="24"/>
                      <w:szCs w:val="24"/>
                      <w:lang w:val="lv-LV" w:eastAsia="lv-LV"/>
                    </w:rPr>
                    <w:t>13,00</w:t>
                  </w:r>
                </w:p>
              </w:tc>
            </w:tr>
          </w:tbl>
          <w:p w14:paraId="49439073" w14:textId="77777777" w:rsidR="00037A92" w:rsidRPr="00C1173E" w:rsidRDefault="00037A92" w:rsidP="00FB176F">
            <w:pPr>
              <w:shd w:val="clear" w:color="auto" w:fill="FFFFFF"/>
              <w:jc w:val="both"/>
            </w:pPr>
          </w:p>
          <w:p w14:paraId="49439074" w14:textId="6803C0F3" w:rsidR="00A120ED" w:rsidRPr="00C1173E" w:rsidRDefault="00A120ED" w:rsidP="00A120ED">
            <w:pPr>
              <w:shd w:val="clear" w:color="auto" w:fill="FFFFFF"/>
              <w:ind w:firstLine="394"/>
              <w:jc w:val="both"/>
            </w:pPr>
            <w:r w:rsidRPr="00C1173E">
              <w:t>No aprēķina izriet, ka</w:t>
            </w:r>
            <w:r w:rsidR="00F947AC" w:rsidRPr="00C1173E">
              <w:t>,</w:t>
            </w:r>
            <w:r w:rsidRPr="00C1173E">
              <w:t xml:space="preserve"> lai nosegtu izmaksas par būvspeciālistu uzraudzību, būvspeciālistiem par katru aktīvo darbības sfēru ir jāmaksā </w:t>
            </w:r>
            <w:r w:rsidR="00BB26FD" w:rsidRPr="00C1173E">
              <w:t>2</w:t>
            </w:r>
            <w:r w:rsidR="004753F4" w:rsidRPr="00C1173E">
              <w:t>13</w:t>
            </w:r>
            <w:r w:rsidR="00C64B1A" w:rsidRPr="00C1173E">
              <w:t>,00</w:t>
            </w:r>
            <w:r w:rsidRPr="00C1173E">
              <w:t xml:space="preserve"> </w:t>
            </w:r>
            <w:proofErr w:type="spellStart"/>
            <w:r w:rsidRPr="00C1173E">
              <w:rPr>
                <w:i/>
              </w:rPr>
              <w:t>e</w:t>
            </w:r>
            <w:r w:rsidR="005B3A73" w:rsidRPr="00C1173E">
              <w:rPr>
                <w:i/>
              </w:rPr>
              <w:t>u</w:t>
            </w:r>
            <w:r w:rsidRPr="00C1173E">
              <w:rPr>
                <w:i/>
              </w:rPr>
              <w:t>ro</w:t>
            </w:r>
            <w:proofErr w:type="spellEnd"/>
            <w:r w:rsidRPr="00C1173E">
              <w:t xml:space="preserve"> gadā</w:t>
            </w:r>
            <w:r w:rsidR="00D16279" w:rsidRPr="00C1173E">
              <w:t xml:space="preserve">. </w:t>
            </w:r>
          </w:p>
          <w:p w14:paraId="49439075" w14:textId="77777777" w:rsidR="00C92CB1" w:rsidRPr="00C1173E" w:rsidRDefault="00C92CB1" w:rsidP="002655AC">
            <w:pPr>
              <w:shd w:val="clear" w:color="auto" w:fill="FFFFFF"/>
              <w:ind w:firstLine="393"/>
              <w:jc w:val="both"/>
              <w:rPr>
                <w:i/>
              </w:rPr>
            </w:pPr>
          </w:p>
          <w:p w14:paraId="49439076" w14:textId="0E72C4E3" w:rsidR="00C92CB1" w:rsidRPr="00C1173E" w:rsidRDefault="00076CC8" w:rsidP="002655AC">
            <w:pPr>
              <w:shd w:val="clear" w:color="auto" w:fill="FFFFFF"/>
              <w:ind w:firstLine="393"/>
              <w:jc w:val="both"/>
              <w:rPr>
                <w:b/>
              </w:rPr>
            </w:pPr>
            <w:r w:rsidRPr="00C1173E">
              <w:rPr>
                <w:b/>
              </w:rPr>
              <w:t>B</w:t>
            </w:r>
            <w:r w:rsidR="00C92CB1" w:rsidRPr="00C1173E">
              <w:rPr>
                <w:b/>
              </w:rPr>
              <w:t xml:space="preserve">ūvspeciālistu uzraudzības izmaksu </w:t>
            </w:r>
            <w:r w:rsidRPr="00C1173E">
              <w:rPr>
                <w:b/>
              </w:rPr>
              <w:t>pieauguma pamatojums</w:t>
            </w:r>
            <w:r w:rsidR="00C92CB1" w:rsidRPr="00C1173E">
              <w:rPr>
                <w:b/>
              </w:rPr>
              <w:t>.</w:t>
            </w:r>
          </w:p>
          <w:p w14:paraId="49439077" w14:textId="35DBC811" w:rsidR="00585273" w:rsidRPr="00C1173E" w:rsidRDefault="005B3A73" w:rsidP="002655AC">
            <w:pPr>
              <w:shd w:val="clear" w:color="auto" w:fill="FFFFFF"/>
              <w:ind w:firstLine="393"/>
              <w:jc w:val="both"/>
            </w:pPr>
            <w:r w:rsidRPr="00C1173E">
              <w:rPr>
                <w:i/>
              </w:rPr>
              <w:t>Spēkā esoš</w:t>
            </w:r>
            <w:r w:rsidR="00B400B2" w:rsidRPr="00C1173E">
              <w:rPr>
                <w:i/>
              </w:rPr>
              <w:t>ā</w:t>
            </w:r>
            <w:r w:rsidRPr="00C1173E">
              <w:rPr>
                <w:i/>
              </w:rPr>
              <w:t xml:space="preserve"> cenrāž</w:t>
            </w:r>
            <w:r w:rsidR="00B400B2" w:rsidRPr="00C1173E">
              <w:rPr>
                <w:i/>
              </w:rPr>
              <w:t>a</w:t>
            </w:r>
            <w:r w:rsidRPr="00C1173E">
              <w:t xml:space="preserve"> vidējā svērtā uzraudzības maksa ir </w:t>
            </w:r>
            <w:r w:rsidR="00BB26FD" w:rsidRPr="00C1173E">
              <w:t>102</w:t>
            </w:r>
            <w:r w:rsidRPr="00C1173E">
              <w:t xml:space="preserve"> </w:t>
            </w:r>
            <w:proofErr w:type="spellStart"/>
            <w:r w:rsidRPr="00C1173E">
              <w:rPr>
                <w:i/>
              </w:rPr>
              <w:t>euro</w:t>
            </w:r>
            <w:proofErr w:type="spellEnd"/>
            <w:r w:rsidRPr="00C1173E">
              <w:t xml:space="preserve"> gadā, kas nozīmē, ka</w:t>
            </w:r>
            <w:r w:rsidR="002655AC" w:rsidRPr="00C1173E">
              <w:t xml:space="preserve"> vidējā</w:t>
            </w:r>
            <w:r w:rsidRPr="00C1173E">
              <w:t xml:space="preserve"> būvspeciālistu uzraudzības </w:t>
            </w:r>
            <w:r w:rsidR="002655AC" w:rsidRPr="00C1173E">
              <w:t>maksa</w:t>
            </w:r>
            <w:r w:rsidRPr="00C1173E">
              <w:t xml:space="preserve"> pieaugs par </w:t>
            </w:r>
            <w:r w:rsidR="00481E9D" w:rsidRPr="00C1173E">
              <w:t>1</w:t>
            </w:r>
            <w:r w:rsidR="004753F4" w:rsidRPr="00C1173E">
              <w:t>11</w:t>
            </w:r>
            <w:r w:rsidRPr="00C1173E">
              <w:t xml:space="preserve"> </w:t>
            </w:r>
            <w:proofErr w:type="spellStart"/>
            <w:r w:rsidRPr="00C1173E">
              <w:rPr>
                <w:i/>
              </w:rPr>
              <w:t>euro</w:t>
            </w:r>
            <w:proofErr w:type="spellEnd"/>
            <w:r w:rsidR="002655AC" w:rsidRPr="00C1173E">
              <w:t xml:space="preserve">. Šāds izmaksu pieaugums ir izskaidrojams gan ar tiešo, gan netiešo izmaksu pieaugumu. </w:t>
            </w:r>
            <w:r w:rsidR="002655AC" w:rsidRPr="00C1173E">
              <w:rPr>
                <w:i/>
              </w:rPr>
              <w:t>Spēkā esoš</w:t>
            </w:r>
            <w:r w:rsidR="00B400B2" w:rsidRPr="00C1173E">
              <w:rPr>
                <w:i/>
              </w:rPr>
              <w:t>ais</w:t>
            </w:r>
            <w:r w:rsidR="002655AC" w:rsidRPr="00C1173E">
              <w:rPr>
                <w:i/>
              </w:rPr>
              <w:t xml:space="preserve"> cenrā</w:t>
            </w:r>
            <w:r w:rsidR="00B400B2" w:rsidRPr="00C1173E">
              <w:rPr>
                <w:i/>
              </w:rPr>
              <w:t>d</w:t>
            </w:r>
            <w:r w:rsidR="002655AC" w:rsidRPr="00C1173E">
              <w:rPr>
                <w:i/>
              </w:rPr>
              <w:t>i</w:t>
            </w:r>
            <w:r w:rsidR="00B400B2" w:rsidRPr="00C1173E">
              <w:rPr>
                <w:i/>
              </w:rPr>
              <w:t>s</w:t>
            </w:r>
            <w:r w:rsidR="002655AC" w:rsidRPr="00C1173E">
              <w:t xml:space="preserve"> sastādīt</w:t>
            </w:r>
            <w:r w:rsidR="00F769A9">
              <w:t>s</w:t>
            </w:r>
            <w:r w:rsidR="002655AC" w:rsidRPr="00C1173E">
              <w:t xml:space="preserve"> balstoties uz </w:t>
            </w:r>
            <w:r w:rsidR="0055335D" w:rsidRPr="0055335D">
              <w:t>Biroja</w:t>
            </w:r>
            <w:r w:rsidR="00B400B2" w:rsidRPr="00C1173E">
              <w:t xml:space="preserve"> </w:t>
            </w:r>
            <w:r w:rsidR="002655AC" w:rsidRPr="00C1173E">
              <w:t>aprēķiniem, k</w:t>
            </w:r>
            <w:r w:rsidR="00F769A9">
              <w:t>o</w:t>
            </w:r>
            <w:r w:rsidR="002655AC" w:rsidRPr="00C1173E">
              <w:t xml:space="preserve">  vei</w:t>
            </w:r>
            <w:r w:rsidR="00F769A9">
              <w:t xml:space="preserve">ca </w:t>
            </w:r>
            <w:r w:rsidR="002655AC" w:rsidRPr="00C1173E">
              <w:t>201</w:t>
            </w:r>
            <w:r w:rsidR="00481E9D" w:rsidRPr="00C1173E">
              <w:t>5</w:t>
            </w:r>
            <w:r w:rsidR="002655AC" w:rsidRPr="00C1173E">
              <w:t xml:space="preserve">.gadā. </w:t>
            </w:r>
          </w:p>
          <w:p w14:paraId="49439078" w14:textId="1018B0E6" w:rsidR="002655AC" w:rsidRPr="00C1173E" w:rsidRDefault="002655AC" w:rsidP="002655AC">
            <w:pPr>
              <w:shd w:val="clear" w:color="auto" w:fill="FFFFFF"/>
              <w:ind w:firstLine="393"/>
              <w:jc w:val="both"/>
            </w:pPr>
            <w:r w:rsidRPr="00C1173E">
              <w:rPr>
                <w:i/>
              </w:rPr>
              <w:t>Spēkā esoš</w:t>
            </w:r>
            <w:r w:rsidR="00B400B2" w:rsidRPr="00C1173E">
              <w:rPr>
                <w:i/>
              </w:rPr>
              <w:t>ā</w:t>
            </w:r>
            <w:r w:rsidRPr="00C1173E">
              <w:rPr>
                <w:i/>
              </w:rPr>
              <w:t xml:space="preserve"> cenrāž</w:t>
            </w:r>
            <w:r w:rsidR="00B400B2" w:rsidRPr="00C1173E">
              <w:rPr>
                <w:i/>
              </w:rPr>
              <w:t>a</w:t>
            </w:r>
            <w:r w:rsidRPr="00C1173E">
              <w:t xml:space="preserve"> vidējās svērtās netiešās izmaksas būvspeciālistu uzraudzībai ir </w:t>
            </w:r>
            <w:r w:rsidR="00BF62C5" w:rsidRPr="00C1173E">
              <w:t>3</w:t>
            </w:r>
            <w:r w:rsidR="00D75A0B" w:rsidRPr="00C1173E">
              <w:t xml:space="preserve">3,00 </w:t>
            </w:r>
            <w:proofErr w:type="spellStart"/>
            <w:r w:rsidRPr="00C1173E">
              <w:rPr>
                <w:i/>
              </w:rPr>
              <w:t>euro</w:t>
            </w:r>
            <w:proofErr w:type="spellEnd"/>
            <w:r w:rsidRPr="00C1173E">
              <w:t xml:space="preserve">, bet </w:t>
            </w:r>
            <w:r w:rsidRPr="00C1173E">
              <w:rPr>
                <w:i/>
              </w:rPr>
              <w:t>noteikumu projektā</w:t>
            </w:r>
            <w:r w:rsidRPr="00C1173E">
              <w:t xml:space="preserve"> aprēķinātās vidējās netiešās izmaksas ir </w:t>
            </w:r>
            <w:r w:rsidR="004753F4" w:rsidRPr="00C1173E">
              <w:t>57,</w:t>
            </w:r>
            <w:r w:rsidR="00CA781F" w:rsidRPr="00C1173E">
              <w:t xml:space="preserve">00 </w:t>
            </w:r>
            <w:proofErr w:type="spellStart"/>
            <w:r w:rsidRPr="00C1173E">
              <w:rPr>
                <w:i/>
              </w:rPr>
              <w:t>euro</w:t>
            </w:r>
            <w:proofErr w:type="spellEnd"/>
            <w:r w:rsidRPr="00C1173E">
              <w:t xml:space="preserve"> uz vienu būvspeciālistu, radot </w:t>
            </w:r>
            <w:r w:rsidR="00B53DC0" w:rsidRPr="00C1173E">
              <w:t>24,</w:t>
            </w:r>
            <w:r w:rsidR="00D75A0B" w:rsidRPr="00C1173E">
              <w:t>00</w:t>
            </w:r>
            <w:r w:rsidRPr="00C1173E">
              <w:t xml:space="preserve"> </w:t>
            </w:r>
            <w:proofErr w:type="spellStart"/>
            <w:r w:rsidRPr="00C1173E">
              <w:rPr>
                <w:i/>
              </w:rPr>
              <w:t>euro</w:t>
            </w:r>
            <w:proofErr w:type="spellEnd"/>
            <w:r w:rsidRPr="00C1173E">
              <w:t xml:space="preserve"> lielu pieaugumu. Šāds pieaugums ir </w:t>
            </w:r>
            <w:r w:rsidR="00AD389F" w:rsidRPr="00C1173E">
              <w:t>pamatojams</w:t>
            </w:r>
            <w:r w:rsidRPr="00C1173E">
              <w:t xml:space="preserve"> </w:t>
            </w:r>
            <w:r w:rsidR="00AD389F" w:rsidRPr="00C1173E">
              <w:t xml:space="preserve">ar vispārēju cenu un darbinieku </w:t>
            </w:r>
            <w:r w:rsidR="008829D7" w:rsidRPr="00C1173E">
              <w:t>atalgojuma</w:t>
            </w:r>
            <w:r w:rsidR="00AD389F" w:rsidRPr="00C1173E">
              <w:t xml:space="preserve"> pieaugumu kopš 201</w:t>
            </w:r>
            <w:r w:rsidR="00481E9D" w:rsidRPr="00C1173E">
              <w:t>5</w:t>
            </w:r>
            <w:r w:rsidR="00AD389F" w:rsidRPr="00C1173E">
              <w:t>.gada.</w:t>
            </w:r>
          </w:p>
          <w:p w14:paraId="49439079" w14:textId="6F7B364B" w:rsidR="00F76D43" w:rsidRPr="00C1173E" w:rsidRDefault="004A1321" w:rsidP="00122F9E">
            <w:pPr>
              <w:shd w:val="clear" w:color="auto" w:fill="FFFFFF"/>
              <w:ind w:firstLine="393"/>
              <w:jc w:val="both"/>
            </w:pPr>
            <w:r w:rsidRPr="00C1173E">
              <w:rPr>
                <w:i/>
              </w:rPr>
              <w:t>Spēkā esoš</w:t>
            </w:r>
            <w:r w:rsidR="00B400B2" w:rsidRPr="00C1173E">
              <w:rPr>
                <w:i/>
              </w:rPr>
              <w:t>ā</w:t>
            </w:r>
            <w:r w:rsidRPr="00C1173E">
              <w:rPr>
                <w:i/>
              </w:rPr>
              <w:t xml:space="preserve"> cenrāž</w:t>
            </w:r>
            <w:r w:rsidR="00B400B2" w:rsidRPr="00C1173E">
              <w:rPr>
                <w:i/>
              </w:rPr>
              <w:t>a</w:t>
            </w:r>
            <w:r w:rsidRPr="00C1173E">
              <w:t xml:space="preserve"> vidējās svērtās tiešās izmaksas būvspeciālistu uzraudzībai ir </w:t>
            </w:r>
            <w:r w:rsidR="00481E9D" w:rsidRPr="00C1173E">
              <w:t>6</w:t>
            </w:r>
            <w:r w:rsidR="00B53DC0" w:rsidRPr="00C1173E">
              <w:t>9</w:t>
            </w:r>
            <w:r w:rsidR="00481E9D" w:rsidRPr="00C1173E">
              <w:t>,</w:t>
            </w:r>
            <w:r w:rsidR="00D75A0B" w:rsidRPr="00C1173E">
              <w:t>00</w:t>
            </w:r>
            <w:r w:rsidRPr="00C1173E">
              <w:t xml:space="preserve"> </w:t>
            </w:r>
            <w:proofErr w:type="spellStart"/>
            <w:r w:rsidRPr="00C1173E">
              <w:rPr>
                <w:i/>
              </w:rPr>
              <w:t>euro</w:t>
            </w:r>
            <w:proofErr w:type="spellEnd"/>
            <w:r w:rsidRPr="00C1173E">
              <w:t xml:space="preserve">, bet </w:t>
            </w:r>
            <w:r w:rsidRPr="00C1173E">
              <w:rPr>
                <w:i/>
              </w:rPr>
              <w:t>noteikumu projektā</w:t>
            </w:r>
            <w:r w:rsidRPr="00C1173E">
              <w:t xml:space="preserve"> aprēķinātās vidējās tiešās izmaksas ir </w:t>
            </w:r>
            <w:r w:rsidR="004753F4" w:rsidRPr="00C1173E">
              <w:rPr>
                <w:bCs/>
              </w:rPr>
              <w:t>156,00</w:t>
            </w:r>
            <w:r w:rsidR="004753F4" w:rsidRPr="00C1173E">
              <w:rPr>
                <w:b/>
                <w:bCs/>
                <w:sz w:val="22"/>
                <w:szCs w:val="22"/>
              </w:rPr>
              <w:t xml:space="preserve"> </w:t>
            </w:r>
            <w:proofErr w:type="spellStart"/>
            <w:r w:rsidRPr="00C1173E">
              <w:rPr>
                <w:i/>
              </w:rPr>
              <w:t>euro</w:t>
            </w:r>
            <w:proofErr w:type="spellEnd"/>
            <w:r w:rsidRPr="00C1173E">
              <w:t xml:space="preserve"> uz vienu būvspeciālistu, radot </w:t>
            </w:r>
            <w:r w:rsidR="00122F9E" w:rsidRPr="00C1173E">
              <w:t>8</w:t>
            </w:r>
            <w:r w:rsidR="00D75A0B" w:rsidRPr="00C1173E">
              <w:t>7,00</w:t>
            </w:r>
            <w:r w:rsidRPr="00C1173E">
              <w:t xml:space="preserve"> </w:t>
            </w:r>
            <w:proofErr w:type="spellStart"/>
            <w:r w:rsidRPr="00C1173E">
              <w:rPr>
                <w:i/>
              </w:rPr>
              <w:t>euro</w:t>
            </w:r>
            <w:proofErr w:type="spellEnd"/>
            <w:r w:rsidRPr="00C1173E">
              <w:t xml:space="preserve"> lielu pieaugumu.</w:t>
            </w:r>
            <w:r w:rsidR="00061012" w:rsidRPr="00C1173E">
              <w:t xml:space="preserve"> </w:t>
            </w:r>
            <w:r w:rsidR="00061012" w:rsidRPr="00C1173E">
              <w:rPr>
                <w:i/>
              </w:rPr>
              <w:t>Spēkā esoš</w:t>
            </w:r>
            <w:r w:rsidR="00B400B2" w:rsidRPr="00C1173E">
              <w:rPr>
                <w:i/>
              </w:rPr>
              <w:t>ā</w:t>
            </w:r>
            <w:r w:rsidR="00061012" w:rsidRPr="00C1173E">
              <w:rPr>
                <w:i/>
              </w:rPr>
              <w:t xml:space="preserve"> cenrāž</w:t>
            </w:r>
            <w:r w:rsidR="00B400B2" w:rsidRPr="00C1173E">
              <w:rPr>
                <w:i/>
              </w:rPr>
              <w:t>a</w:t>
            </w:r>
            <w:r w:rsidR="00061012" w:rsidRPr="00C1173E">
              <w:t xml:space="preserve"> </w:t>
            </w:r>
            <w:r w:rsidR="00770AC7" w:rsidRPr="00C1173E">
              <w:t xml:space="preserve">būvspeciālistu uzraudzības </w:t>
            </w:r>
            <w:r w:rsidR="00061012" w:rsidRPr="00C1173E">
              <w:lastRenderedPageBreak/>
              <w:t>tiešo izmaksu aprēķins ir norādīts 4.tabulā</w:t>
            </w:r>
            <w:r w:rsidR="00770AC7" w:rsidRPr="00C1173E">
              <w:t xml:space="preserve"> un salīdzinājums ar </w:t>
            </w:r>
            <w:r w:rsidR="00770AC7" w:rsidRPr="00C1173E">
              <w:rPr>
                <w:i/>
              </w:rPr>
              <w:t>noteikumu projektā</w:t>
            </w:r>
            <w:r w:rsidR="00770AC7" w:rsidRPr="00C1173E">
              <w:t xml:space="preserve"> aprēķinātajām izmaksām ir norādīts 5.tabulā.</w:t>
            </w:r>
          </w:p>
          <w:p w14:paraId="53750CB7" w14:textId="4C75A265" w:rsidR="0097481A" w:rsidRDefault="0097481A" w:rsidP="00137C2D">
            <w:pPr>
              <w:shd w:val="clear" w:color="auto" w:fill="FFFFFF"/>
              <w:jc w:val="both"/>
            </w:pPr>
          </w:p>
          <w:p w14:paraId="4943907B" w14:textId="77777777" w:rsidR="00F76D43" w:rsidRPr="00C1173E" w:rsidRDefault="00F76D43" w:rsidP="00F76D43">
            <w:pPr>
              <w:shd w:val="clear" w:color="auto" w:fill="FFFFFF"/>
              <w:ind w:firstLine="393"/>
              <w:jc w:val="right"/>
              <w:rPr>
                <w:i/>
              </w:rPr>
            </w:pPr>
            <w:r w:rsidRPr="00C1173E">
              <w:rPr>
                <w:i/>
              </w:rPr>
              <w:t>4.tabula</w:t>
            </w:r>
          </w:p>
          <w:p w14:paraId="4943907C" w14:textId="310EAD0D" w:rsidR="00F76D43" w:rsidRPr="00C1173E" w:rsidRDefault="00F76D43" w:rsidP="00770AC7">
            <w:pPr>
              <w:shd w:val="clear" w:color="auto" w:fill="FFFFFF"/>
              <w:jc w:val="center"/>
              <w:rPr>
                <w:b/>
              </w:rPr>
            </w:pPr>
            <w:r w:rsidRPr="00C1173E">
              <w:rPr>
                <w:b/>
                <w:i/>
              </w:rPr>
              <w:t>Spēkā esoš</w:t>
            </w:r>
            <w:r w:rsidR="00B400B2" w:rsidRPr="00C1173E">
              <w:rPr>
                <w:b/>
                <w:i/>
              </w:rPr>
              <w:t>ā</w:t>
            </w:r>
            <w:r w:rsidRPr="00C1173E">
              <w:rPr>
                <w:b/>
                <w:i/>
              </w:rPr>
              <w:t xml:space="preserve"> cenrāž</w:t>
            </w:r>
            <w:r w:rsidR="00B400B2" w:rsidRPr="00C1173E">
              <w:rPr>
                <w:b/>
                <w:i/>
              </w:rPr>
              <w:t>a</w:t>
            </w:r>
            <w:r w:rsidRPr="00C1173E">
              <w:rPr>
                <w:b/>
              </w:rPr>
              <w:t xml:space="preserve"> vidējo tiešo izmaksu aprēķins</w:t>
            </w:r>
            <w:r w:rsidR="00770AC7" w:rsidRPr="00C1173E">
              <w:rPr>
                <w:b/>
              </w:rPr>
              <w:t xml:space="preserve"> būvspeciālistu uzraudzībai</w:t>
            </w:r>
          </w:p>
          <w:tbl>
            <w:tblPr>
              <w:tblW w:w="5850" w:type="dxa"/>
              <w:jc w:val="center"/>
              <w:tblLook w:val="04A0" w:firstRow="1" w:lastRow="0" w:firstColumn="1" w:lastColumn="0" w:noHBand="0" w:noVBand="1"/>
            </w:tblPr>
            <w:tblGrid>
              <w:gridCol w:w="760"/>
              <w:gridCol w:w="1316"/>
              <w:gridCol w:w="1048"/>
              <w:gridCol w:w="932"/>
              <w:gridCol w:w="863"/>
              <w:gridCol w:w="931"/>
            </w:tblGrid>
            <w:tr w:rsidR="00F76D43" w:rsidRPr="00C1173E" w14:paraId="4943907E" w14:textId="77777777" w:rsidTr="00936952">
              <w:trPr>
                <w:trHeight w:val="375"/>
                <w:jc w:val="center"/>
              </w:trPr>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43907D" w14:textId="77777777" w:rsidR="00F76D43" w:rsidRPr="00C1173E" w:rsidRDefault="00F76D43" w:rsidP="00F76D43">
                  <w:pPr>
                    <w:jc w:val="center"/>
                    <w:rPr>
                      <w:b/>
                      <w:bCs/>
                      <w:sz w:val="28"/>
                      <w:szCs w:val="28"/>
                    </w:rPr>
                  </w:pPr>
                  <w:r w:rsidRPr="00C1173E">
                    <w:rPr>
                      <w:b/>
                      <w:bCs/>
                      <w:sz w:val="28"/>
                      <w:szCs w:val="28"/>
                    </w:rPr>
                    <w:t>Tiešās izmaksas</w:t>
                  </w:r>
                </w:p>
              </w:tc>
            </w:tr>
            <w:tr w:rsidR="00F76D43" w:rsidRPr="00C1173E" w14:paraId="49439085" w14:textId="77777777" w:rsidTr="00ED2D7B">
              <w:trPr>
                <w:trHeight w:val="12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7F" w14:textId="77777777" w:rsidR="00F76D43" w:rsidRPr="00C1173E" w:rsidRDefault="00F76D43" w:rsidP="00F76D43">
                  <w:pPr>
                    <w:jc w:val="center"/>
                    <w:rPr>
                      <w:sz w:val="22"/>
                      <w:szCs w:val="22"/>
                    </w:rPr>
                  </w:pPr>
                  <w:r w:rsidRPr="00C1173E">
                    <w:rPr>
                      <w:sz w:val="22"/>
                      <w:szCs w:val="22"/>
                    </w:rPr>
                    <w:t>N.p.k.</w:t>
                  </w:r>
                </w:p>
              </w:tc>
              <w:tc>
                <w:tcPr>
                  <w:tcW w:w="1316" w:type="dxa"/>
                  <w:tcBorders>
                    <w:top w:val="nil"/>
                    <w:left w:val="nil"/>
                    <w:bottom w:val="single" w:sz="4" w:space="0" w:color="auto"/>
                    <w:right w:val="single" w:sz="4" w:space="0" w:color="auto"/>
                  </w:tcBorders>
                  <w:shd w:val="clear" w:color="auto" w:fill="auto"/>
                  <w:vAlign w:val="center"/>
                  <w:hideMark/>
                </w:tcPr>
                <w:p w14:paraId="49439080" w14:textId="77777777" w:rsidR="00F76D43" w:rsidRPr="00C1173E" w:rsidRDefault="00F76D43" w:rsidP="00F76D43">
                  <w:pPr>
                    <w:jc w:val="center"/>
                    <w:rPr>
                      <w:sz w:val="22"/>
                      <w:szCs w:val="22"/>
                    </w:rPr>
                  </w:pPr>
                  <w:r w:rsidRPr="00C1173E">
                    <w:rPr>
                      <w:sz w:val="22"/>
                      <w:szCs w:val="22"/>
                    </w:rPr>
                    <w:t>Nosaukums</w:t>
                  </w:r>
                </w:p>
              </w:tc>
              <w:tc>
                <w:tcPr>
                  <w:tcW w:w="1048" w:type="dxa"/>
                  <w:tcBorders>
                    <w:top w:val="nil"/>
                    <w:left w:val="nil"/>
                    <w:bottom w:val="single" w:sz="4" w:space="0" w:color="auto"/>
                    <w:right w:val="single" w:sz="4" w:space="0" w:color="auto"/>
                  </w:tcBorders>
                  <w:shd w:val="clear" w:color="auto" w:fill="auto"/>
                  <w:vAlign w:val="center"/>
                  <w:hideMark/>
                </w:tcPr>
                <w:p w14:paraId="49439081" w14:textId="77777777" w:rsidR="00F76D43" w:rsidRPr="00C1173E" w:rsidRDefault="00F76D43" w:rsidP="00F76D43">
                  <w:pPr>
                    <w:jc w:val="center"/>
                    <w:rPr>
                      <w:sz w:val="22"/>
                      <w:szCs w:val="22"/>
                    </w:rPr>
                  </w:pPr>
                  <w:r w:rsidRPr="00C1173E">
                    <w:rPr>
                      <w:sz w:val="22"/>
                      <w:szCs w:val="22"/>
                    </w:rPr>
                    <w:t>gadījumu skaits gadā</w:t>
                  </w:r>
                </w:p>
              </w:tc>
              <w:tc>
                <w:tcPr>
                  <w:tcW w:w="932" w:type="dxa"/>
                  <w:tcBorders>
                    <w:top w:val="nil"/>
                    <w:left w:val="nil"/>
                    <w:bottom w:val="single" w:sz="4" w:space="0" w:color="auto"/>
                    <w:right w:val="single" w:sz="4" w:space="0" w:color="auto"/>
                  </w:tcBorders>
                  <w:shd w:val="clear" w:color="auto" w:fill="auto"/>
                  <w:vAlign w:val="center"/>
                  <w:hideMark/>
                </w:tcPr>
                <w:p w14:paraId="49439082" w14:textId="77777777" w:rsidR="00F76D43" w:rsidRPr="00C1173E" w:rsidRDefault="00F76D43" w:rsidP="00F76D43">
                  <w:pPr>
                    <w:jc w:val="center"/>
                    <w:rPr>
                      <w:sz w:val="22"/>
                      <w:szCs w:val="22"/>
                    </w:rPr>
                  </w:pPr>
                  <w:r w:rsidRPr="00C1173E">
                    <w:rPr>
                      <w:sz w:val="22"/>
                      <w:szCs w:val="22"/>
                    </w:rPr>
                    <w:t>stundas likme</w:t>
                  </w:r>
                  <w:r w:rsidR="008829D7" w:rsidRPr="00C1173E">
                    <w:rPr>
                      <w:sz w:val="22"/>
                      <w:szCs w:val="22"/>
                    </w:rPr>
                    <w:t>,</w:t>
                  </w:r>
                  <w:r w:rsidRPr="00C1173E">
                    <w:rPr>
                      <w:sz w:val="22"/>
                      <w:szCs w:val="22"/>
                    </w:rPr>
                    <w:t xml:space="preserve"> </w:t>
                  </w:r>
                  <w:r w:rsidR="008829D7" w:rsidRPr="00C1173E">
                    <w:rPr>
                      <w:i/>
                      <w:sz w:val="22"/>
                      <w:szCs w:val="22"/>
                    </w:rPr>
                    <w:t>euro</w:t>
                  </w:r>
                </w:p>
              </w:tc>
              <w:tc>
                <w:tcPr>
                  <w:tcW w:w="863" w:type="dxa"/>
                  <w:tcBorders>
                    <w:top w:val="nil"/>
                    <w:left w:val="nil"/>
                    <w:bottom w:val="single" w:sz="4" w:space="0" w:color="auto"/>
                    <w:right w:val="single" w:sz="4" w:space="0" w:color="auto"/>
                  </w:tcBorders>
                  <w:shd w:val="clear" w:color="auto" w:fill="auto"/>
                  <w:vAlign w:val="center"/>
                  <w:hideMark/>
                </w:tcPr>
                <w:p w14:paraId="49439083" w14:textId="77777777" w:rsidR="00F76D43" w:rsidRPr="00C1173E" w:rsidRDefault="00F76D43" w:rsidP="00F76D43">
                  <w:pPr>
                    <w:jc w:val="center"/>
                    <w:rPr>
                      <w:sz w:val="22"/>
                      <w:szCs w:val="22"/>
                    </w:rPr>
                  </w:pPr>
                  <w:r w:rsidRPr="00C1173E">
                    <w:rPr>
                      <w:sz w:val="22"/>
                      <w:szCs w:val="22"/>
                    </w:rPr>
                    <w:t>stundu skaits</w:t>
                  </w:r>
                </w:p>
              </w:tc>
              <w:tc>
                <w:tcPr>
                  <w:tcW w:w="931" w:type="dxa"/>
                  <w:tcBorders>
                    <w:top w:val="nil"/>
                    <w:left w:val="nil"/>
                    <w:bottom w:val="single" w:sz="4" w:space="0" w:color="auto"/>
                    <w:right w:val="single" w:sz="4" w:space="0" w:color="auto"/>
                  </w:tcBorders>
                  <w:shd w:val="clear" w:color="auto" w:fill="auto"/>
                  <w:vAlign w:val="center"/>
                  <w:hideMark/>
                </w:tcPr>
                <w:p w14:paraId="49439084" w14:textId="77777777" w:rsidR="00F76D43" w:rsidRPr="00C1173E" w:rsidRDefault="008829D7" w:rsidP="00F76D43">
                  <w:pPr>
                    <w:jc w:val="center"/>
                    <w:rPr>
                      <w:sz w:val="22"/>
                      <w:szCs w:val="22"/>
                    </w:rPr>
                  </w:pPr>
                  <w:r w:rsidRPr="00C1173E">
                    <w:rPr>
                      <w:sz w:val="22"/>
                      <w:szCs w:val="22"/>
                    </w:rPr>
                    <w:t>k</w:t>
                  </w:r>
                  <w:r w:rsidR="00F76D43" w:rsidRPr="00C1173E">
                    <w:rPr>
                      <w:sz w:val="22"/>
                      <w:szCs w:val="22"/>
                    </w:rPr>
                    <w:t>opā</w:t>
                  </w:r>
                  <w:r w:rsidRPr="00C1173E">
                    <w:rPr>
                      <w:sz w:val="22"/>
                      <w:szCs w:val="22"/>
                    </w:rPr>
                    <w:t>,</w:t>
                  </w:r>
                  <w:r w:rsidR="00F76D43" w:rsidRPr="00C1173E">
                    <w:rPr>
                      <w:sz w:val="22"/>
                      <w:szCs w:val="22"/>
                    </w:rPr>
                    <w:t xml:space="preserve"> </w:t>
                  </w:r>
                  <w:r w:rsidRPr="00C1173E">
                    <w:rPr>
                      <w:i/>
                      <w:sz w:val="22"/>
                      <w:szCs w:val="22"/>
                    </w:rPr>
                    <w:t>euro</w:t>
                  </w:r>
                </w:p>
              </w:tc>
            </w:tr>
            <w:tr w:rsidR="00F76D43" w:rsidRPr="00C1173E" w14:paraId="4943908C" w14:textId="77777777" w:rsidTr="00ED2D7B">
              <w:trPr>
                <w:trHeight w:val="66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86" w14:textId="77777777" w:rsidR="00F76D43" w:rsidRPr="00C1173E" w:rsidRDefault="00F76D43" w:rsidP="00F76D43">
                  <w:pPr>
                    <w:jc w:val="center"/>
                    <w:rPr>
                      <w:sz w:val="22"/>
                      <w:szCs w:val="22"/>
                    </w:rPr>
                  </w:pPr>
                  <w:r w:rsidRPr="00C1173E">
                    <w:rPr>
                      <w:sz w:val="22"/>
                      <w:szCs w:val="22"/>
                    </w:rPr>
                    <w:t>1</w:t>
                  </w:r>
                </w:p>
              </w:tc>
              <w:tc>
                <w:tcPr>
                  <w:tcW w:w="1316" w:type="dxa"/>
                  <w:tcBorders>
                    <w:top w:val="nil"/>
                    <w:left w:val="nil"/>
                    <w:bottom w:val="single" w:sz="4" w:space="0" w:color="auto"/>
                    <w:right w:val="single" w:sz="4" w:space="0" w:color="auto"/>
                  </w:tcBorders>
                  <w:shd w:val="clear" w:color="auto" w:fill="auto"/>
                  <w:vAlign w:val="center"/>
                  <w:hideMark/>
                </w:tcPr>
                <w:p w14:paraId="49439087" w14:textId="77777777" w:rsidR="00F76D43" w:rsidRPr="00C1173E" w:rsidRDefault="00F76D43" w:rsidP="00F76D43">
                  <w:pPr>
                    <w:jc w:val="center"/>
                    <w:rPr>
                      <w:i/>
                      <w:sz w:val="22"/>
                      <w:szCs w:val="22"/>
                    </w:rPr>
                  </w:pPr>
                  <w:r w:rsidRPr="00C1173E">
                    <w:rPr>
                      <w:i/>
                      <w:sz w:val="22"/>
                      <w:szCs w:val="22"/>
                    </w:rPr>
                    <w:t>100% pārbaude</w:t>
                  </w:r>
                </w:p>
              </w:tc>
              <w:tc>
                <w:tcPr>
                  <w:tcW w:w="1048" w:type="dxa"/>
                  <w:tcBorders>
                    <w:top w:val="nil"/>
                    <w:left w:val="nil"/>
                    <w:bottom w:val="single" w:sz="4" w:space="0" w:color="auto"/>
                    <w:right w:val="single" w:sz="4" w:space="0" w:color="auto"/>
                  </w:tcBorders>
                  <w:shd w:val="clear" w:color="auto" w:fill="auto"/>
                  <w:vAlign w:val="center"/>
                  <w:hideMark/>
                </w:tcPr>
                <w:p w14:paraId="49439088" w14:textId="22B68ECB" w:rsidR="00F76D43" w:rsidRPr="00C1173E" w:rsidRDefault="006A4A45" w:rsidP="00F76D43">
                  <w:pPr>
                    <w:jc w:val="center"/>
                    <w:rPr>
                      <w:sz w:val="22"/>
                      <w:szCs w:val="22"/>
                    </w:rPr>
                  </w:pPr>
                  <w:r w:rsidRPr="00C1173E">
                    <w:rPr>
                      <w:sz w:val="22"/>
                      <w:szCs w:val="22"/>
                    </w:rPr>
                    <w:t>126</w:t>
                  </w:r>
                </w:p>
              </w:tc>
              <w:tc>
                <w:tcPr>
                  <w:tcW w:w="932" w:type="dxa"/>
                  <w:tcBorders>
                    <w:top w:val="nil"/>
                    <w:left w:val="nil"/>
                    <w:bottom w:val="single" w:sz="4" w:space="0" w:color="auto"/>
                    <w:right w:val="single" w:sz="4" w:space="0" w:color="auto"/>
                  </w:tcBorders>
                  <w:shd w:val="clear" w:color="auto" w:fill="auto"/>
                  <w:vAlign w:val="center"/>
                  <w:hideMark/>
                </w:tcPr>
                <w:p w14:paraId="49439089" w14:textId="234BF783" w:rsidR="00F76D43" w:rsidRPr="00C1173E" w:rsidRDefault="004753F4" w:rsidP="00F76D43">
                  <w:pPr>
                    <w:jc w:val="center"/>
                    <w:rPr>
                      <w:sz w:val="22"/>
                      <w:szCs w:val="22"/>
                    </w:rPr>
                  </w:pPr>
                  <w:r w:rsidRPr="00C1173E">
                    <w:rPr>
                      <w:sz w:val="22"/>
                      <w:szCs w:val="22"/>
                    </w:rPr>
                    <w:t>10</w:t>
                  </w:r>
                </w:p>
              </w:tc>
              <w:tc>
                <w:tcPr>
                  <w:tcW w:w="863" w:type="dxa"/>
                  <w:tcBorders>
                    <w:top w:val="nil"/>
                    <w:left w:val="nil"/>
                    <w:bottom w:val="single" w:sz="4" w:space="0" w:color="auto"/>
                    <w:right w:val="single" w:sz="4" w:space="0" w:color="auto"/>
                  </w:tcBorders>
                  <w:shd w:val="clear" w:color="auto" w:fill="auto"/>
                  <w:vAlign w:val="center"/>
                  <w:hideMark/>
                </w:tcPr>
                <w:p w14:paraId="4943908A" w14:textId="355D24B8" w:rsidR="00F76D43" w:rsidRPr="00C1173E" w:rsidRDefault="006A4A45" w:rsidP="00F76D43">
                  <w:pPr>
                    <w:jc w:val="center"/>
                    <w:rPr>
                      <w:sz w:val="22"/>
                      <w:szCs w:val="22"/>
                    </w:rPr>
                  </w:pPr>
                  <w:r w:rsidRPr="00C1173E">
                    <w:rPr>
                      <w:sz w:val="22"/>
                      <w:szCs w:val="22"/>
                    </w:rPr>
                    <w:t>2</w:t>
                  </w:r>
                </w:p>
              </w:tc>
              <w:tc>
                <w:tcPr>
                  <w:tcW w:w="931" w:type="dxa"/>
                  <w:tcBorders>
                    <w:top w:val="nil"/>
                    <w:left w:val="nil"/>
                    <w:bottom w:val="single" w:sz="4" w:space="0" w:color="auto"/>
                    <w:right w:val="single" w:sz="4" w:space="0" w:color="auto"/>
                  </w:tcBorders>
                  <w:shd w:val="clear" w:color="auto" w:fill="auto"/>
                  <w:vAlign w:val="center"/>
                  <w:hideMark/>
                </w:tcPr>
                <w:p w14:paraId="4943908B" w14:textId="4F9A75AD" w:rsidR="00F76D43" w:rsidRPr="00C1173E" w:rsidRDefault="00B53DC0" w:rsidP="00F76D43">
                  <w:pPr>
                    <w:jc w:val="center"/>
                    <w:rPr>
                      <w:sz w:val="22"/>
                      <w:szCs w:val="22"/>
                    </w:rPr>
                  </w:pPr>
                  <w:r w:rsidRPr="00C1173E">
                    <w:rPr>
                      <w:sz w:val="22"/>
                      <w:szCs w:val="22"/>
                    </w:rPr>
                    <w:t>2520</w:t>
                  </w:r>
                </w:p>
              </w:tc>
            </w:tr>
            <w:tr w:rsidR="00F76D43" w:rsidRPr="00C1173E" w14:paraId="49439093" w14:textId="77777777" w:rsidTr="00ED2D7B">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8D" w14:textId="77777777" w:rsidR="00F76D43" w:rsidRPr="00C1173E" w:rsidRDefault="00F76D43" w:rsidP="00F76D43">
                  <w:pPr>
                    <w:jc w:val="center"/>
                    <w:rPr>
                      <w:sz w:val="22"/>
                      <w:szCs w:val="22"/>
                    </w:rPr>
                  </w:pPr>
                  <w:r w:rsidRPr="00C1173E">
                    <w:rPr>
                      <w:sz w:val="22"/>
                      <w:szCs w:val="22"/>
                    </w:rPr>
                    <w:t>2</w:t>
                  </w:r>
                </w:p>
              </w:tc>
              <w:tc>
                <w:tcPr>
                  <w:tcW w:w="1316" w:type="dxa"/>
                  <w:tcBorders>
                    <w:top w:val="nil"/>
                    <w:left w:val="nil"/>
                    <w:bottom w:val="single" w:sz="4" w:space="0" w:color="auto"/>
                    <w:right w:val="single" w:sz="4" w:space="0" w:color="auto"/>
                  </w:tcBorders>
                  <w:shd w:val="clear" w:color="auto" w:fill="auto"/>
                  <w:vAlign w:val="center"/>
                  <w:hideMark/>
                </w:tcPr>
                <w:p w14:paraId="4943908E" w14:textId="77777777" w:rsidR="00F76D43" w:rsidRPr="00C1173E" w:rsidRDefault="00F76D43" w:rsidP="00F76D43">
                  <w:pPr>
                    <w:jc w:val="center"/>
                    <w:rPr>
                      <w:i/>
                      <w:sz w:val="22"/>
                      <w:szCs w:val="22"/>
                    </w:rPr>
                  </w:pPr>
                  <w:r w:rsidRPr="00C1173E">
                    <w:rPr>
                      <w:i/>
                      <w:sz w:val="22"/>
                      <w:szCs w:val="22"/>
                    </w:rPr>
                    <w:t>20% pārbaude</w:t>
                  </w:r>
                </w:p>
              </w:tc>
              <w:tc>
                <w:tcPr>
                  <w:tcW w:w="1048" w:type="dxa"/>
                  <w:tcBorders>
                    <w:top w:val="nil"/>
                    <w:left w:val="nil"/>
                    <w:bottom w:val="single" w:sz="4" w:space="0" w:color="auto"/>
                    <w:right w:val="single" w:sz="4" w:space="0" w:color="auto"/>
                  </w:tcBorders>
                  <w:shd w:val="clear" w:color="auto" w:fill="auto"/>
                  <w:vAlign w:val="center"/>
                  <w:hideMark/>
                </w:tcPr>
                <w:p w14:paraId="4943908F" w14:textId="368EAFE3" w:rsidR="00F76D43" w:rsidRPr="00C1173E" w:rsidRDefault="00F76D43" w:rsidP="00F76D43">
                  <w:pPr>
                    <w:jc w:val="center"/>
                    <w:rPr>
                      <w:sz w:val="22"/>
                      <w:szCs w:val="22"/>
                    </w:rPr>
                  </w:pPr>
                  <w:r w:rsidRPr="00C1173E">
                    <w:rPr>
                      <w:sz w:val="22"/>
                      <w:szCs w:val="22"/>
                    </w:rPr>
                    <w:t>2</w:t>
                  </w:r>
                  <w:r w:rsidR="006A4A45" w:rsidRPr="00C1173E">
                    <w:rPr>
                      <w:sz w:val="22"/>
                      <w:szCs w:val="22"/>
                    </w:rPr>
                    <w:t>5</w:t>
                  </w:r>
                </w:p>
              </w:tc>
              <w:tc>
                <w:tcPr>
                  <w:tcW w:w="932" w:type="dxa"/>
                  <w:tcBorders>
                    <w:top w:val="nil"/>
                    <w:left w:val="nil"/>
                    <w:bottom w:val="single" w:sz="4" w:space="0" w:color="auto"/>
                    <w:right w:val="single" w:sz="4" w:space="0" w:color="auto"/>
                  </w:tcBorders>
                  <w:shd w:val="clear" w:color="auto" w:fill="auto"/>
                  <w:vAlign w:val="center"/>
                  <w:hideMark/>
                </w:tcPr>
                <w:p w14:paraId="49439090" w14:textId="0B14266B" w:rsidR="00F76D43" w:rsidRPr="00C1173E" w:rsidRDefault="00BF62C5" w:rsidP="00F76D43">
                  <w:pPr>
                    <w:jc w:val="center"/>
                    <w:rPr>
                      <w:sz w:val="22"/>
                      <w:szCs w:val="22"/>
                    </w:rPr>
                  </w:pPr>
                  <w:r w:rsidRPr="00C1173E">
                    <w:rPr>
                      <w:sz w:val="22"/>
                      <w:szCs w:val="22"/>
                    </w:rPr>
                    <w:t>18,90</w:t>
                  </w:r>
                </w:p>
              </w:tc>
              <w:tc>
                <w:tcPr>
                  <w:tcW w:w="863" w:type="dxa"/>
                  <w:tcBorders>
                    <w:top w:val="nil"/>
                    <w:left w:val="nil"/>
                    <w:bottom w:val="single" w:sz="4" w:space="0" w:color="auto"/>
                    <w:right w:val="single" w:sz="4" w:space="0" w:color="auto"/>
                  </w:tcBorders>
                  <w:shd w:val="clear" w:color="auto" w:fill="auto"/>
                  <w:vAlign w:val="center"/>
                  <w:hideMark/>
                </w:tcPr>
                <w:p w14:paraId="49439091" w14:textId="5FE3FC31" w:rsidR="00F76D43" w:rsidRPr="00C1173E" w:rsidRDefault="00BF62C5" w:rsidP="00F76D43">
                  <w:pPr>
                    <w:jc w:val="center"/>
                    <w:rPr>
                      <w:sz w:val="22"/>
                      <w:szCs w:val="22"/>
                    </w:rPr>
                  </w:pPr>
                  <w:r w:rsidRPr="00C1173E">
                    <w:rPr>
                      <w:sz w:val="22"/>
                      <w:szCs w:val="22"/>
                    </w:rPr>
                    <w:t>4</w:t>
                  </w:r>
                </w:p>
              </w:tc>
              <w:tc>
                <w:tcPr>
                  <w:tcW w:w="931" w:type="dxa"/>
                  <w:tcBorders>
                    <w:top w:val="nil"/>
                    <w:left w:val="nil"/>
                    <w:bottom w:val="single" w:sz="4" w:space="0" w:color="auto"/>
                    <w:right w:val="single" w:sz="4" w:space="0" w:color="auto"/>
                  </w:tcBorders>
                  <w:shd w:val="clear" w:color="auto" w:fill="auto"/>
                  <w:vAlign w:val="center"/>
                  <w:hideMark/>
                </w:tcPr>
                <w:p w14:paraId="49439092" w14:textId="55FDC28C" w:rsidR="00F76D43" w:rsidRPr="00C1173E" w:rsidRDefault="00BF62C5" w:rsidP="00F76D43">
                  <w:pPr>
                    <w:jc w:val="center"/>
                    <w:rPr>
                      <w:sz w:val="22"/>
                      <w:szCs w:val="22"/>
                    </w:rPr>
                  </w:pPr>
                  <w:r w:rsidRPr="00C1173E">
                    <w:rPr>
                      <w:sz w:val="22"/>
                      <w:szCs w:val="22"/>
                    </w:rPr>
                    <w:t>1890</w:t>
                  </w:r>
                </w:p>
              </w:tc>
            </w:tr>
            <w:tr w:rsidR="00F76D43" w:rsidRPr="00C1173E" w14:paraId="4943909A" w14:textId="77777777" w:rsidTr="00ED2D7B">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94" w14:textId="77777777" w:rsidR="00F76D43" w:rsidRPr="00C1173E" w:rsidRDefault="00F76D43" w:rsidP="00F76D43">
                  <w:pPr>
                    <w:jc w:val="center"/>
                    <w:rPr>
                      <w:sz w:val="22"/>
                      <w:szCs w:val="22"/>
                    </w:rPr>
                  </w:pPr>
                  <w:r w:rsidRPr="00C1173E">
                    <w:rPr>
                      <w:sz w:val="22"/>
                      <w:szCs w:val="22"/>
                    </w:rPr>
                    <w:t>3</w:t>
                  </w:r>
                </w:p>
              </w:tc>
              <w:tc>
                <w:tcPr>
                  <w:tcW w:w="1316" w:type="dxa"/>
                  <w:tcBorders>
                    <w:top w:val="nil"/>
                    <w:left w:val="nil"/>
                    <w:bottom w:val="single" w:sz="4" w:space="0" w:color="auto"/>
                    <w:right w:val="single" w:sz="4" w:space="0" w:color="auto"/>
                  </w:tcBorders>
                  <w:shd w:val="clear" w:color="auto" w:fill="auto"/>
                  <w:vAlign w:val="center"/>
                  <w:hideMark/>
                </w:tcPr>
                <w:p w14:paraId="49439095" w14:textId="77777777" w:rsidR="00F76D43" w:rsidRPr="00C1173E" w:rsidRDefault="00F76D43" w:rsidP="00F76D43">
                  <w:pPr>
                    <w:jc w:val="center"/>
                    <w:rPr>
                      <w:i/>
                      <w:sz w:val="22"/>
                      <w:szCs w:val="22"/>
                    </w:rPr>
                  </w:pPr>
                  <w:r w:rsidRPr="00C1173E">
                    <w:rPr>
                      <w:i/>
                      <w:sz w:val="22"/>
                      <w:szCs w:val="22"/>
                    </w:rPr>
                    <w:t>Sūdzību izvērtēšana</w:t>
                  </w:r>
                </w:p>
              </w:tc>
              <w:tc>
                <w:tcPr>
                  <w:tcW w:w="1048" w:type="dxa"/>
                  <w:tcBorders>
                    <w:top w:val="nil"/>
                    <w:left w:val="nil"/>
                    <w:bottom w:val="single" w:sz="4" w:space="0" w:color="auto"/>
                    <w:right w:val="single" w:sz="4" w:space="0" w:color="auto"/>
                  </w:tcBorders>
                  <w:shd w:val="clear" w:color="auto" w:fill="auto"/>
                  <w:vAlign w:val="center"/>
                  <w:hideMark/>
                </w:tcPr>
                <w:p w14:paraId="49439096" w14:textId="790DB300" w:rsidR="00F76D43" w:rsidRPr="00C1173E" w:rsidRDefault="006A4A45" w:rsidP="00F76D43">
                  <w:pPr>
                    <w:jc w:val="center"/>
                    <w:rPr>
                      <w:sz w:val="22"/>
                      <w:szCs w:val="22"/>
                    </w:rPr>
                  </w:pPr>
                  <w:r w:rsidRPr="00C1173E">
                    <w:rPr>
                      <w:sz w:val="22"/>
                      <w:szCs w:val="22"/>
                    </w:rPr>
                    <w:t>15</w:t>
                  </w:r>
                </w:p>
              </w:tc>
              <w:tc>
                <w:tcPr>
                  <w:tcW w:w="932" w:type="dxa"/>
                  <w:tcBorders>
                    <w:top w:val="nil"/>
                    <w:left w:val="nil"/>
                    <w:bottom w:val="single" w:sz="4" w:space="0" w:color="auto"/>
                    <w:right w:val="single" w:sz="4" w:space="0" w:color="auto"/>
                  </w:tcBorders>
                  <w:shd w:val="clear" w:color="auto" w:fill="auto"/>
                  <w:vAlign w:val="center"/>
                  <w:hideMark/>
                </w:tcPr>
                <w:p w14:paraId="49439097" w14:textId="55B748B6" w:rsidR="00F76D43" w:rsidRPr="00C1173E" w:rsidRDefault="00BF62C5" w:rsidP="00F76D43">
                  <w:pPr>
                    <w:jc w:val="center"/>
                    <w:rPr>
                      <w:sz w:val="22"/>
                      <w:szCs w:val="22"/>
                    </w:rPr>
                  </w:pPr>
                  <w:r w:rsidRPr="00C1173E">
                    <w:rPr>
                      <w:sz w:val="22"/>
                      <w:szCs w:val="22"/>
                    </w:rPr>
                    <w:t>22,87</w:t>
                  </w:r>
                </w:p>
              </w:tc>
              <w:tc>
                <w:tcPr>
                  <w:tcW w:w="863" w:type="dxa"/>
                  <w:tcBorders>
                    <w:top w:val="nil"/>
                    <w:left w:val="nil"/>
                    <w:bottom w:val="single" w:sz="4" w:space="0" w:color="auto"/>
                    <w:right w:val="single" w:sz="4" w:space="0" w:color="auto"/>
                  </w:tcBorders>
                  <w:shd w:val="clear" w:color="auto" w:fill="auto"/>
                  <w:vAlign w:val="center"/>
                  <w:hideMark/>
                </w:tcPr>
                <w:p w14:paraId="49439098" w14:textId="2733FB37" w:rsidR="00F76D43" w:rsidRPr="00C1173E" w:rsidRDefault="00F76D43" w:rsidP="00F76D43">
                  <w:pPr>
                    <w:jc w:val="center"/>
                    <w:rPr>
                      <w:sz w:val="22"/>
                      <w:szCs w:val="22"/>
                    </w:rPr>
                  </w:pPr>
                  <w:r w:rsidRPr="00C1173E">
                    <w:rPr>
                      <w:sz w:val="22"/>
                      <w:szCs w:val="22"/>
                    </w:rPr>
                    <w:t>1</w:t>
                  </w:r>
                  <w:r w:rsidR="00BF62C5" w:rsidRPr="00C1173E">
                    <w:rPr>
                      <w:sz w:val="22"/>
                      <w:szCs w:val="22"/>
                    </w:rPr>
                    <w:t>2</w:t>
                  </w:r>
                </w:p>
              </w:tc>
              <w:tc>
                <w:tcPr>
                  <w:tcW w:w="931" w:type="dxa"/>
                  <w:tcBorders>
                    <w:top w:val="nil"/>
                    <w:left w:val="nil"/>
                    <w:bottom w:val="single" w:sz="4" w:space="0" w:color="auto"/>
                    <w:right w:val="single" w:sz="4" w:space="0" w:color="auto"/>
                  </w:tcBorders>
                  <w:shd w:val="clear" w:color="auto" w:fill="auto"/>
                  <w:vAlign w:val="center"/>
                  <w:hideMark/>
                </w:tcPr>
                <w:p w14:paraId="49439099" w14:textId="1CE3FE18" w:rsidR="00F76D43" w:rsidRPr="00C1173E" w:rsidRDefault="00BF62C5" w:rsidP="00F76D43">
                  <w:pPr>
                    <w:jc w:val="center"/>
                    <w:rPr>
                      <w:sz w:val="22"/>
                      <w:szCs w:val="22"/>
                    </w:rPr>
                  </w:pPr>
                  <w:r w:rsidRPr="00C1173E">
                    <w:rPr>
                      <w:sz w:val="22"/>
                      <w:szCs w:val="22"/>
                    </w:rPr>
                    <w:t>4116,6</w:t>
                  </w:r>
                </w:p>
              </w:tc>
            </w:tr>
            <w:tr w:rsidR="00ED2D7B" w:rsidRPr="00C1173E" w14:paraId="4943909E" w14:textId="77777777" w:rsidTr="009A714F">
              <w:trPr>
                <w:trHeight w:val="6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9B" w14:textId="77777777" w:rsidR="00ED2D7B" w:rsidRPr="00C1173E" w:rsidRDefault="00ED2D7B" w:rsidP="00F76D43">
                  <w:pPr>
                    <w:jc w:val="center"/>
                    <w:rPr>
                      <w:sz w:val="22"/>
                      <w:szCs w:val="22"/>
                    </w:rPr>
                  </w:pPr>
                  <w:r w:rsidRPr="00C1173E">
                    <w:rPr>
                      <w:sz w:val="22"/>
                      <w:szCs w:val="22"/>
                    </w:rPr>
                    <w:t>4</w:t>
                  </w:r>
                </w:p>
              </w:tc>
              <w:tc>
                <w:tcPr>
                  <w:tcW w:w="1316" w:type="dxa"/>
                  <w:tcBorders>
                    <w:top w:val="nil"/>
                    <w:left w:val="nil"/>
                    <w:bottom w:val="single" w:sz="4" w:space="0" w:color="auto"/>
                    <w:right w:val="single" w:sz="4" w:space="0" w:color="auto"/>
                  </w:tcBorders>
                  <w:shd w:val="clear" w:color="auto" w:fill="auto"/>
                  <w:vAlign w:val="center"/>
                  <w:hideMark/>
                </w:tcPr>
                <w:p w14:paraId="4943909C" w14:textId="77777777" w:rsidR="00ED2D7B" w:rsidRPr="00C1173E" w:rsidRDefault="00ED2D7B" w:rsidP="00F76D43">
                  <w:pPr>
                    <w:jc w:val="center"/>
                    <w:rPr>
                      <w:i/>
                      <w:sz w:val="22"/>
                      <w:szCs w:val="22"/>
                    </w:rPr>
                  </w:pPr>
                  <w:r w:rsidRPr="00C1173E">
                    <w:rPr>
                      <w:i/>
                      <w:sz w:val="22"/>
                      <w:szCs w:val="22"/>
                    </w:rPr>
                    <w:t>1% pārbaude</w:t>
                  </w:r>
                </w:p>
              </w:tc>
              <w:tc>
                <w:tcPr>
                  <w:tcW w:w="3774" w:type="dxa"/>
                  <w:gridSpan w:val="4"/>
                  <w:tcBorders>
                    <w:top w:val="nil"/>
                    <w:left w:val="nil"/>
                    <w:bottom w:val="single" w:sz="4" w:space="0" w:color="auto"/>
                    <w:right w:val="single" w:sz="4" w:space="0" w:color="auto"/>
                  </w:tcBorders>
                  <w:shd w:val="clear" w:color="auto" w:fill="auto"/>
                  <w:vAlign w:val="center"/>
                </w:tcPr>
                <w:p w14:paraId="4943909D" w14:textId="77777777" w:rsidR="00ED2D7B" w:rsidRPr="00C1173E" w:rsidRDefault="00ED2D7B" w:rsidP="00F76D43">
                  <w:pPr>
                    <w:jc w:val="center"/>
                    <w:rPr>
                      <w:sz w:val="22"/>
                      <w:szCs w:val="22"/>
                    </w:rPr>
                  </w:pPr>
                  <w:r w:rsidRPr="00C1173E">
                    <w:rPr>
                      <w:sz w:val="22"/>
                      <w:szCs w:val="22"/>
                    </w:rPr>
                    <w:t>Pārbaude netika veikta</w:t>
                  </w:r>
                </w:p>
              </w:tc>
            </w:tr>
            <w:tr w:rsidR="00B53DC0" w:rsidRPr="00C1173E" w14:paraId="494390A5" w14:textId="77777777" w:rsidTr="00ED2D7B">
              <w:trPr>
                <w:trHeight w:val="9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9F" w14:textId="77777777" w:rsidR="00B53DC0" w:rsidRPr="00C1173E" w:rsidRDefault="00B53DC0" w:rsidP="00B53DC0">
                  <w:pPr>
                    <w:jc w:val="center"/>
                    <w:rPr>
                      <w:sz w:val="22"/>
                      <w:szCs w:val="22"/>
                    </w:rPr>
                  </w:pPr>
                  <w:r w:rsidRPr="00C1173E">
                    <w:rPr>
                      <w:sz w:val="22"/>
                      <w:szCs w:val="22"/>
                    </w:rPr>
                    <w:t>5</w:t>
                  </w:r>
                </w:p>
              </w:tc>
              <w:tc>
                <w:tcPr>
                  <w:tcW w:w="1316" w:type="dxa"/>
                  <w:tcBorders>
                    <w:top w:val="nil"/>
                    <w:left w:val="nil"/>
                    <w:bottom w:val="single" w:sz="4" w:space="0" w:color="auto"/>
                    <w:right w:val="single" w:sz="4" w:space="0" w:color="auto"/>
                  </w:tcBorders>
                  <w:shd w:val="clear" w:color="auto" w:fill="auto"/>
                  <w:vAlign w:val="center"/>
                  <w:hideMark/>
                </w:tcPr>
                <w:p w14:paraId="494390A0" w14:textId="77777777" w:rsidR="00B53DC0" w:rsidRPr="00C1173E" w:rsidRDefault="00B53DC0" w:rsidP="00B53DC0">
                  <w:pPr>
                    <w:jc w:val="center"/>
                    <w:rPr>
                      <w:sz w:val="22"/>
                      <w:szCs w:val="22"/>
                      <w:highlight w:val="yellow"/>
                    </w:rPr>
                  </w:pPr>
                  <w:r w:rsidRPr="00C1173E">
                    <w:rPr>
                      <w:sz w:val="22"/>
                      <w:szCs w:val="22"/>
                    </w:rPr>
                    <w:t>Juridiskie pakalpojumi</w:t>
                  </w:r>
                </w:p>
              </w:tc>
              <w:tc>
                <w:tcPr>
                  <w:tcW w:w="1048" w:type="dxa"/>
                  <w:tcBorders>
                    <w:top w:val="nil"/>
                    <w:left w:val="nil"/>
                    <w:bottom w:val="single" w:sz="4" w:space="0" w:color="auto"/>
                    <w:right w:val="single" w:sz="4" w:space="0" w:color="auto"/>
                  </w:tcBorders>
                  <w:shd w:val="clear" w:color="auto" w:fill="auto"/>
                  <w:vAlign w:val="center"/>
                  <w:hideMark/>
                </w:tcPr>
                <w:p w14:paraId="494390A1" w14:textId="7BE741C0" w:rsidR="00B53DC0" w:rsidRPr="00C1173E" w:rsidRDefault="00B53DC0" w:rsidP="00B53DC0">
                  <w:pPr>
                    <w:jc w:val="center"/>
                    <w:rPr>
                      <w:sz w:val="22"/>
                      <w:szCs w:val="22"/>
                      <w:highlight w:val="yellow"/>
                    </w:rPr>
                  </w:pPr>
                  <w:r w:rsidRPr="00C1173E">
                    <w:rPr>
                      <w:sz w:val="22"/>
                      <w:szCs w:val="22"/>
                    </w:rPr>
                    <w:t>5</w:t>
                  </w:r>
                </w:p>
              </w:tc>
              <w:tc>
                <w:tcPr>
                  <w:tcW w:w="932" w:type="dxa"/>
                  <w:tcBorders>
                    <w:top w:val="nil"/>
                    <w:left w:val="nil"/>
                    <w:bottom w:val="single" w:sz="4" w:space="0" w:color="auto"/>
                    <w:right w:val="single" w:sz="4" w:space="0" w:color="auto"/>
                  </w:tcBorders>
                  <w:shd w:val="clear" w:color="auto" w:fill="auto"/>
                  <w:vAlign w:val="center"/>
                  <w:hideMark/>
                </w:tcPr>
                <w:p w14:paraId="494390A2" w14:textId="250F1152" w:rsidR="00B53DC0" w:rsidRPr="00C1173E" w:rsidRDefault="00B53DC0" w:rsidP="00B53DC0">
                  <w:pPr>
                    <w:jc w:val="center"/>
                    <w:rPr>
                      <w:sz w:val="22"/>
                      <w:szCs w:val="22"/>
                      <w:highlight w:val="yellow"/>
                    </w:rPr>
                  </w:pPr>
                  <w:r w:rsidRPr="00C1173E">
                    <w:rPr>
                      <w:sz w:val="22"/>
                      <w:szCs w:val="22"/>
                    </w:rPr>
                    <w:t>10</w:t>
                  </w:r>
                </w:p>
              </w:tc>
              <w:tc>
                <w:tcPr>
                  <w:tcW w:w="863" w:type="dxa"/>
                  <w:tcBorders>
                    <w:top w:val="nil"/>
                    <w:left w:val="nil"/>
                    <w:bottom w:val="single" w:sz="4" w:space="0" w:color="auto"/>
                    <w:right w:val="single" w:sz="4" w:space="0" w:color="auto"/>
                  </w:tcBorders>
                  <w:shd w:val="clear" w:color="auto" w:fill="auto"/>
                  <w:vAlign w:val="center"/>
                  <w:hideMark/>
                </w:tcPr>
                <w:p w14:paraId="494390A3" w14:textId="2EFCFE75" w:rsidR="00B53DC0" w:rsidRPr="00C1173E" w:rsidRDefault="00B53DC0" w:rsidP="00B53DC0">
                  <w:pPr>
                    <w:jc w:val="center"/>
                    <w:rPr>
                      <w:sz w:val="22"/>
                      <w:szCs w:val="22"/>
                      <w:highlight w:val="yellow"/>
                    </w:rPr>
                  </w:pPr>
                  <w:r w:rsidRPr="00C1173E">
                    <w:rPr>
                      <w:sz w:val="22"/>
                      <w:szCs w:val="22"/>
                    </w:rPr>
                    <w:t>4</w:t>
                  </w:r>
                </w:p>
              </w:tc>
              <w:tc>
                <w:tcPr>
                  <w:tcW w:w="931" w:type="dxa"/>
                  <w:tcBorders>
                    <w:top w:val="nil"/>
                    <w:left w:val="nil"/>
                    <w:bottom w:val="single" w:sz="4" w:space="0" w:color="auto"/>
                    <w:right w:val="single" w:sz="4" w:space="0" w:color="auto"/>
                  </w:tcBorders>
                  <w:shd w:val="clear" w:color="auto" w:fill="auto"/>
                  <w:vAlign w:val="center"/>
                  <w:hideMark/>
                </w:tcPr>
                <w:p w14:paraId="494390A4" w14:textId="253810E3" w:rsidR="00B53DC0" w:rsidRPr="00C1173E" w:rsidRDefault="00B53DC0" w:rsidP="00B53DC0">
                  <w:pPr>
                    <w:jc w:val="center"/>
                    <w:rPr>
                      <w:sz w:val="22"/>
                      <w:szCs w:val="22"/>
                      <w:highlight w:val="yellow"/>
                    </w:rPr>
                  </w:pPr>
                  <w:r w:rsidRPr="00C1173E">
                    <w:rPr>
                      <w:sz w:val="22"/>
                      <w:szCs w:val="22"/>
                    </w:rPr>
                    <w:t>200</w:t>
                  </w:r>
                </w:p>
              </w:tc>
            </w:tr>
            <w:tr w:rsidR="006A4A45" w:rsidRPr="00C1173E" w14:paraId="494390AB" w14:textId="77777777" w:rsidTr="00CA781F">
              <w:trPr>
                <w:trHeight w:val="511"/>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4390A6" w14:textId="77777777" w:rsidR="006A4A45" w:rsidRPr="00C1173E" w:rsidRDefault="006A4A45" w:rsidP="00F76D43">
                  <w:pPr>
                    <w:jc w:val="center"/>
                    <w:rPr>
                      <w:sz w:val="22"/>
                      <w:szCs w:val="22"/>
                    </w:rPr>
                  </w:pPr>
                  <w:r w:rsidRPr="00C1173E">
                    <w:rPr>
                      <w:sz w:val="22"/>
                      <w:szCs w:val="22"/>
                    </w:rPr>
                    <w:t>6</w:t>
                  </w:r>
                </w:p>
              </w:tc>
              <w:tc>
                <w:tcPr>
                  <w:tcW w:w="1316" w:type="dxa"/>
                  <w:tcBorders>
                    <w:top w:val="nil"/>
                    <w:left w:val="nil"/>
                    <w:bottom w:val="single" w:sz="4" w:space="0" w:color="auto"/>
                    <w:right w:val="single" w:sz="4" w:space="0" w:color="auto"/>
                  </w:tcBorders>
                  <w:shd w:val="clear" w:color="auto" w:fill="auto"/>
                  <w:vAlign w:val="center"/>
                  <w:hideMark/>
                </w:tcPr>
                <w:p w14:paraId="494390A7" w14:textId="77777777" w:rsidR="006A4A45" w:rsidRPr="00C1173E" w:rsidRDefault="006A4A45" w:rsidP="00F76D43">
                  <w:pPr>
                    <w:jc w:val="center"/>
                    <w:rPr>
                      <w:sz w:val="22"/>
                      <w:szCs w:val="22"/>
                    </w:rPr>
                  </w:pPr>
                  <w:r w:rsidRPr="00C1173E">
                    <w:rPr>
                      <w:sz w:val="22"/>
                      <w:szCs w:val="22"/>
                    </w:rPr>
                    <w:t>Izbraukums</w:t>
                  </w:r>
                </w:p>
              </w:tc>
              <w:tc>
                <w:tcPr>
                  <w:tcW w:w="3774" w:type="dxa"/>
                  <w:gridSpan w:val="4"/>
                  <w:tcBorders>
                    <w:top w:val="nil"/>
                    <w:left w:val="nil"/>
                    <w:bottom w:val="single" w:sz="4" w:space="0" w:color="auto"/>
                    <w:right w:val="single" w:sz="4" w:space="0" w:color="auto"/>
                  </w:tcBorders>
                  <w:shd w:val="clear" w:color="auto" w:fill="auto"/>
                  <w:vAlign w:val="center"/>
                  <w:hideMark/>
                </w:tcPr>
                <w:p w14:paraId="494390AA" w14:textId="2CF21C71" w:rsidR="006A4A45" w:rsidRPr="00C1173E" w:rsidRDefault="006A4A45" w:rsidP="00F76D43">
                  <w:pPr>
                    <w:jc w:val="center"/>
                    <w:rPr>
                      <w:sz w:val="22"/>
                      <w:szCs w:val="22"/>
                    </w:rPr>
                  </w:pPr>
                  <w:r w:rsidRPr="00C1173E">
                    <w:rPr>
                      <w:sz w:val="22"/>
                      <w:szCs w:val="22"/>
                    </w:rPr>
                    <w:t>Izbraukumi netika veikti</w:t>
                  </w:r>
                </w:p>
              </w:tc>
            </w:tr>
            <w:tr w:rsidR="00F76D43" w:rsidRPr="00C1173E" w14:paraId="494390AE" w14:textId="77777777" w:rsidTr="00ED2D7B">
              <w:trPr>
                <w:trHeight w:val="300"/>
                <w:jc w:val="center"/>
              </w:trPr>
              <w:tc>
                <w:tcPr>
                  <w:tcW w:w="49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4390AC" w14:textId="77777777" w:rsidR="00F76D43" w:rsidRPr="00C1173E" w:rsidRDefault="00F76D43" w:rsidP="00F76D43">
                  <w:pPr>
                    <w:jc w:val="right"/>
                    <w:rPr>
                      <w:b/>
                      <w:bCs/>
                      <w:sz w:val="22"/>
                      <w:szCs w:val="22"/>
                    </w:rPr>
                  </w:pPr>
                  <w:r w:rsidRPr="00C1173E">
                    <w:rPr>
                      <w:b/>
                      <w:bCs/>
                      <w:sz w:val="22"/>
                      <w:szCs w:val="22"/>
                    </w:rPr>
                    <w:t>Kopā tiešās izmaksas (</w:t>
                  </w:r>
                  <w:r w:rsidR="00E744A6" w:rsidRPr="00C1173E">
                    <w:rPr>
                      <w:b/>
                      <w:bCs/>
                      <w:i/>
                      <w:sz w:val="22"/>
                      <w:szCs w:val="22"/>
                    </w:rPr>
                    <w:t>euro</w:t>
                  </w:r>
                  <w:r w:rsidRPr="00C1173E">
                    <w:rPr>
                      <w:b/>
                      <w:bCs/>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14:paraId="494390AD" w14:textId="0C0BBAD3" w:rsidR="00F76D43" w:rsidRPr="00C1173E" w:rsidRDefault="00BF62C5" w:rsidP="00F76D43">
                  <w:pPr>
                    <w:jc w:val="center"/>
                    <w:rPr>
                      <w:b/>
                      <w:bCs/>
                      <w:sz w:val="22"/>
                      <w:szCs w:val="22"/>
                    </w:rPr>
                  </w:pPr>
                  <w:r w:rsidRPr="00C1173E">
                    <w:rPr>
                      <w:b/>
                      <w:bCs/>
                      <w:sz w:val="22"/>
                      <w:szCs w:val="22"/>
                    </w:rPr>
                    <w:t>8</w:t>
                  </w:r>
                  <w:r w:rsidR="00B53DC0" w:rsidRPr="00C1173E">
                    <w:rPr>
                      <w:b/>
                      <w:bCs/>
                      <w:sz w:val="22"/>
                      <w:szCs w:val="22"/>
                    </w:rPr>
                    <w:t>726</w:t>
                  </w:r>
                  <w:r w:rsidRPr="00C1173E">
                    <w:rPr>
                      <w:b/>
                      <w:bCs/>
                      <w:sz w:val="22"/>
                      <w:szCs w:val="22"/>
                    </w:rPr>
                    <w:t>,6</w:t>
                  </w:r>
                </w:p>
              </w:tc>
            </w:tr>
            <w:tr w:rsidR="00F76D43" w:rsidRPr="00C1173E" w14:paraId="494390B1" w14:textId="77777777" w:rsidTr="00ED2D7B">
              <w:trPr>
                <w:trHeight w:val="395"/>
                <w:jc w:val="center"/>
              </w:trPr>
              <w:tc>
                <w:tcPr>
                  <w:tcW w:w="49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4390AF" w14:textId="77777777" w:rsidR="00F76D43" w:rsidRPr="00C1173E" w:rsidRDefault="00F76D43" w:rsidP="00F76D43">
                  <w:pPr>
                    <w:jc w:val="right"/>
                    <w:rPr>
                      <w:b/>
                      <w:bCs/>
                      <w:sz w:val="22"/>
                      <w:szCs w:val="22"/>
                    </w:rPr>
                  </w:pPr>
                  <w:r w:rsidRPr="00C1173E">
                    <w:rPr>
                      <w:b/>
                      <w:bCs/>
                      <w:sz w:val="22"/>
                      <w:szCs w:val="22"/>
                    </w:rPr>
                    <w:t xml:space="preserve"> Kopā tiešās izmaksas uz 1 būvspeciālistu (</w:t>
                  </w:r>
                  <w:r w:rsidR="00E744A6" w:rsidRPr="00C1173E">
                    <w:rPr>
                      <w:b/>
                      <w:bCs/>
                      <w:i/>
                      <w:sz w:val="22"/>
                      <w:szCs w:val="22"/>
                    </w:rPr>
                    <w:t>euro</w:t>
                  </w:r>
                  <w:r w:rsidRPr="00C1173E">
                    <w:rPr>
                      <w:b/>
                      <w:bCs/>
                      <w:sz w:val="22"/>
                      <w:szCs w:val="22"/>
                    </w:rPr>
                    <w:t>)</w:t>
                  </w:r>
                </w:p>
              </w:tc>
              <w:tc>
                <w:tcPr>
                  <w:tcW w:w="931" w:type="dxa"/>
                  <w:tcBorders>
                    <w:top w:val="nil"/>
                    <w:left w:val="nil"/>
                    <w:bottom w:val="single" w:sz="4" w:space="0" w:color="auto"/>
                    <w:right w:val="single" w:sz="4" w:space="0" w:color="auto"/>
                  </w:tcBorders>
                  <w:shd w:val="clear" w:color="auto" w:fill="auto"/>
                  <w:vAlign w:val="center"/>
                  <w:hideMark/>
                </w:tcPr>
                <w:p w14:paraId="494390B0" w14:textId="1D0084A4" w:rsidR="00F76D43" w:rsidRPr="00C1173E" w:rsidRDefault="00BF62C5" w:rsidP="00F76D43">
                  <w:pPr>
                    <w:jc w:val="center"/>
                    <w:rPr>
                      <w:b/>
                      <w:bCs/>
                      <w:sz w:val="22"/>
                      <w:szCs w:val="22"/>
                    </w:rPr>
                  </w:pPr>
                  <w:r w:rsidRPr="00C1173E">
                    <w:rPr>
                      <w:b/>
                      <w:bCs/>
                      <w:sz w:val="22"/>
                      <w:szCs w:val="22"/>
                    </w:rPr>
                    <w:t>6</w:t>
                  </w:r>
                  <w:r w:rsidR="00B53DC0" w:rsidRPr="00C1173E">
                    <w:rPr>
                      <w:b/>
                      <w:bCs/>
                      <w:sz w:val="22"/>
                      <w:szCs w:val="22"/>
                    </w:rPr>
                    <w:t>9</w:t>
                  </w:r>
                  <w:r w:rsidRPr="00C1173E">
                    <w:rPr>
                      <w:b/>
                      <w:bCs/>
                      <w:sz w:val="22"/>
                      <w:szCs w:val="22"/>
                    </w:rPr>
                    <w:t>,</w:t>
                  </w:r>
                  <w:r w:rsidR="00C80B36" w:rsidRPr="00C1173E">
                    <w:rPr>
                      <w:b/>
                      <w:bCs/>
                      <w:sz w:val="22"/>
                      <w:szCs w:val="22"/>
                    </w:rPr>
                    <w:t>00</w:t>
                  </w:r>
                </w:p>
              </w:tc>
            </w:tr>
          </w:tbl>
          <w:p w14:paraId="494390B2" w14:textId="77777777" w:rsidR="00F76D43" w:rsidRPr="00C1173E" w:rsidRDefault="00F76D43" w:rsidP="004A1321">
            <w:pPr>
              <w:shd w:val="clear" w:color="auto" w:fill="FFFFFF"/>
              <w:ind w:firstLine="393"/>
              <w:jc w:val="both"/>
            </w:pPr>
          </w:p>
          <w:p w14:paraId="494390B3" w14:textId="77777777" w:rsidR="00061012" w:rsidRPr="00C1173E" w:rsidRDefault="00770AC7" w:rsidP="00770AC7">
            <w:pPr>
              <w:shd w:val="clear" w:color="auto" w:fill="FFFFFF"/>
              <w:ind w:firstLine="393"/>
              <w:jc w:val="right"/>
              <w:rPr>
                <w:i/>
              </w:rPr>
            </w:pPr>
            <w:r w:rsidRPr="00C1173E">
              <w:rPr>
                <w:i/>
              </w:rPr>
              <w:t>5.tabula</w:t>
            </w:r>
          </w:p>
          <w:p w14:paraId="494390B4" w14:textId="58CCA7F7" w:rsidR="00770AC7" w:rsidRPr="00C1173E" w:rsidRDefault="00770AC7" w:rsidP="00770AC7">
            <w:pPr>
              <w:shd w:val="clear" w:color="auto" w:fill="FFFFFF"/>
              <w:jc w:val="center"/>
              <w:rPr>
                <w:b/>
              </w:rPr>
            </w:pPr>
            <w:r w:rsidRPr="00C1173E">
              <w:rPr>
                <w:b/>
              </w:rPr>
              <w:t>Spēkā esoš</w:t>
            </w:r>
            <w:r w:rsidR="00B400B2" w:rsidRPr="00C1173E">
              <w:rPr>
                <w:b/>
              </w:rPr>
              <w:t>ā</w:t>
            </w:r>
            <w:r w:rsidRPr="00C1173E">
              <w:rPr>
                <w:b/>
              </w:rPr>
              <w:t xml:space="preserve"> cenrāž</w:t>
            </w:r>
            <w:r w:rsidR="00B400B2" w:rsidRPr="00C1173E">
              <w:rPr>
                <w:b/>
              </w:rPr>
              <w:t>a</w:t>
            </w:r>
            <w:r w:rsidRPr="00C1173E">
              <w:rPr>
                <w:b/>
              </w:rPr>
              <w:t xml:space="preserve"> un noteikuma projekta būvspeciālistu uzraudzības tiešo izmaksu salīdzinājums</w:t>
            </w:r>
          </w:p>
          <w:tbl>
            <w:tblPr>
              <w:tblW w:w="6748" w:type="dxa"/>
              <w:tblLook w:val="04A0" w:firstRow="1" w:lastRow="0" w:firstColumn="1" w:lastColumn="0" w:noHBand="0" w:noVBand="1"/>
            </w:tblPr>
            <w:tblGrid>
              <w:gridCol w:w="760"/>
              <w:gridCol w:w="1316"/>
              <w:gridCol w:w="1530"/>
              <w:gridCol w:w="1530"/>
              <w:gridCol w:w="1612"/>
            </w:tblGrid>
            <w:tr w:rsidR="008829D7" w:rsidRPr="00C1173E" w14:paraId="494390BA" w14:textId="77777777" w:rsidTr="008829D7">
              <w:trPr>
                <w:trHeight w:val="1377"/>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390B5" w14:textId="77777777" w:rsidR="00061012" w:rsidRPr="00C1173E" w:rsidRDefault="00061012" w:rsidP="00061012">
                  <w:pPr>
                    <w:rPr>
                      <w:sz w:val="22"/>
                      <w:szCs w:val="22"/>
                    </w:rPr>
                  </w:pPr>
                  <w:r w:rsidRPr="00C1173E">
                    <w:rPr>
                      <w:sz w:val="22"/>
                      <w:szCs w:val="22"/>
                    </w:rPr>
                    <w:t>N.p.k.</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494390B6" w14:textId="77777777" w:rsidR="00061012" w:rsidRPr="00C1173E" w:rsidRDefault="00061012" w:rsidP="00061012">
                  <w:pPr>
                    <w:rPr>
                      <w:sz w:val="22"/>
                      <w:szCs w:val="22"/>
                    </w:rPr>
                  </w:pPr>
                  <w:r w:rsidRPr="00C1173E">
                    <w:rPr>
                      <w:sz w:val="22"/>
                      <w:szCs w:val="22"/>
                    </w:rPr>
                    <w:t>Nosaukums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94390B7" w14:textId="77777777" w:rsidR="00061012" w:rsidRPr="00C1173E" w:rsidRDefault="00061012" w:rsidP="00061012">
                  <w:pPr>
                    <w:rPr>
                      <w:sz w:val="22"/>
                      <w:szCs w:val="22"/>
                    </w:rPr>
                  </w:pPr>
                  <w:r w:rsidRPr="00C1173E">
                    <w:rPr>
                      <w:i/>
                      <w:sz w:val="22"/>
                      <w:szCs w:val="22"/>
                    </w:rPr>
                    <w:t>Spēkā esošie cenrāži</w:t>
                  </w:r>
                  <w:r w:rsidRPr="00C1173E">
                    <w:rPr>
                      <w:sz w:val="22"/>
                      <w:szCs w:val="22"/>
                    </w:rPr>
                    <w:t xml:space="preserve"> </w:t>
                  </w:r>
                  <w:r w:rsidR="00770AC7" w:rsidRPr="00C1173E">
                    <w:rPr>
                      <w:sz w:val="22"/>
                      <w:szCs w:val="22"/>
                    </w:rPr>
                    <w:t xml:space="preserve">izmaksas </w:t>
                  </w:r>
                  <w:r w:rsidRPr="00C1173E">
                    <w:rPr>
                      <w:sz w:val="22"/>
                      <w:szCs w:val="22"/>
                    </w:rPr>
                    <w:t>uz vienu būvspeciālistu</w:t>
                  </w:r>
                  <w:r w:rsidR="008829D7" w:rsidRPr="00C1173E">
                    <w:rPr>
                      <w:sz w:val="22"/>
                      <w:szCs w:val="22"/>
                    </w:rPr>
                    <w:t>,</w:t>
                  </w:r>
                  <w:r w:rsidR="00770AC7" w:rsidRPr="00C1173E">
                    <w:rPr>
                      <w:sz w:val="22"/>
                      <w:szCs w:val="22"/>
                    </w:rPr>
                    <w:t xml:space="preserve"> </w:t>
                  </w:r>
                  <w:r w:rsidR="00770AC7" w:rsidRPr="00C1173E">
                    <w:rPr>
                      <w:i/>
                      <w:sz w:val="22"/>
                      <w:szCs w:val="22"/>
                    </w:rPr>
                    <w:t>euro</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94390B8" w14:textId="77777777" w:rsidR="00061012" w:rsidRPr="00C1173E" w:rsidRDefault="00061012" w:rsidP="00061012">
                  <w:pPr>
                    <w:rPr>
                      <w:sz w:val="22"/>
                      <w:szCs w:val="22"/>
                    </w:rPr>
                  </w:pPr>
                  <w:r w:rsidRPr="00C1173E">
                    <w:rPr>
                      <w:i/>
                      <w:sz w:val="22"/>
                      <w:szCs w:val="22"/>
                    </w:rPr>
                    <w:t>Noteikumu projekts</w:t>
                  </w:r>
                  <w:r w:rsidRPr="00C1173E">
                    <w:rPr>
                      <w:sz w:val="22"/>
                      <w:szCs w:val="22"/>
                    </w:rPr>
                    <w:t xml:space="preserve"> </w:t>
                  </w:r>
                  <w:r w:rsidR="00770AC7" w:rsidRPr="00C1173E">
                    <w:rPr>
                      <w:sz w:val="22"/>
                      <w:szCs w:val="22"/>
                    </w:rPr>
                    <w:t xml:space="preserve">izmaksas </w:t>
                  </w:r>
                  <w:r w:rsidRPr="00C1173E">
                    <w:rPr>
                      <w:sz w:val="22"/>
                      <w:szCs w:val="22"/>
                    </w:rPr>
                    <w:t>uz vienu būvspeciālistu</w:t>
                  </w:r>
                  <w:r w:rsidR="008829D7" w:rsidRPr="00C1173E">
                    <w:rPr>
                      <w:sz w:val="22"/>
                      <w:szCs w:val="22"/>
                    </w:rPr>
                    <w:t>,</w:t>
                  </w:r>
                  <w:r w:rsidR="00770AC7" w:rsidRPr="00C1173E">
                    <w:rPr>
                      <w:sz w:val="22"/>
                      <w:szCs w:val="22"/>
                    </w:rPr>
                    <w:t xml:space="preserve"> </w:t>
                  </w:r>
                  <w:r w:rsidR="00770AC7" w:rsidRPr="00C1173E">
                    <w:rPr>
                      <w:i/>
                      <w:sz w:val="22"/>
                      <w:szCs w:val="22"/>
                    </w:rPr>
                    <w:t>euro</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494390B9" w14:textId="77777777" w:rsidR="00061012" w:rsidRPr="00C1173E" w:rsidRDefault="00061012" w:rsidP="00061012">
                  <w:pPr>
                    <w:rPr>
                      <w:sz w:val="22"/>
                      <w:szCs w:val="22"/>
                    </w:rPr>
                  </w:pPr>
                  <w:r w:rsidRPr="00C1173E">
                    <w:rPr>
                      <w:sz w:val="22"/>
                      <w:szCs w:val="22"/>
                    </w:rPr>
                    <w:t>Izmaksu pieaugums uz vienu būvspeciālistu</w:t>
                  </w:r>
                  <w:r w:rsidR="008829D7" w:rsidRPr="00C1173E">
                    <w:rPr>
                      <w:sz w:val="22"/>
                      <w:szCs w:val="22"/>
                    </w:rPr>
                    <w:t>,</w:t>
                  </w:r>
                  <w:r w:rsidR="00770AC7" w:rsidRPr="00C1173E">
                    <w:rPr>
                      <w:sz w:val="22"/>
                      <w:szCs w:val="22"/>
                    </w:rPr>
                    <w:t xml:space="preserve"> </w:t>
                  </w:r>
                  <w:r w:rsidR="00770AC7" w:rsidRPr="00C1173E">
                    <w:rPr>
                      <w:i/>
                      <w:sz w:val="22"/>
                      <w:szCs w:val="22"/>
                    </w:rPr>
                    <w:t>euro</w:t>
                  </w:r>
                </w:p>
              </w:tc>
            </w:tr>
            <w:tr w:rsidR="008829D7" w:rsidRPr="00C1173E" w14:paraId="494390C0"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BB" w14:textId="77777777" w:rsidR="00061012" w:rsidRPr="00C1173E" w:rsidRDefault="00061012" w:rsidP="00061012">
                  <w:pPr>
                    <w:jc w:val="center"/>
                    <w:rPr>
                      <w:sz w:val="22"/>
                      <w:szCs w:val="22"/>
                    </w:rPr>
                  </w:pPr>
                  <w:r w:rsidRPr="00C1173E">
                    <w:rPr>
                      <w:sz w:val="22"/>
                      <w:szCs w:val="22"/>
                    </w:rPr>
                    <w:t>1</w:t>
                  </w:r>
                </w:p>
              </w:tc>
              <w:tc>
                <w:tcPr>
                  <w:tcW w:w="1305" w:type="dxa"/>
                  <w:tcBorders>
                    <w:top w:val="nil"/>
                    <w:left w:val="nil"/>
                    <w:bottom w:val="single" w:sz="4" w:space="0" w:color="auto"/>
                    <w:right w:val="single" w:sz="4" w:space="0" w:color="auto"/>
                  </w:tcBorders>
                  <w:shd w:val="clear" w:color="auto" w:fill="auto"/>
                  <w:vAlign w:val="center"/>
                  <w:hideMark/>
                </w:tcPr>
                <w:p w14:paraId="494390BC" w14:textId="77777777" w:rsidR="00061012" w:rsidRPr="00C1173E" w:rsidRDefault="00061012" w:rsidP="00061012">
                  <w:pPr>
                    <w:jc w:val="center"/>
                    <w:rPr>
                      <w:i/>
                      <w:sz w:val="22"/>
                      <w:szCs w:val="22"/>
                    </w:rPr>
                  </w:pPr>
                  <w:r w:rsidRPr="00C1173E">
                    <w:rPr>
                      <w:i/>
                      <w:sz w:val="22"/>
                      <w:szCs w:val="22"/>
                    </w:rPr>
                    <w:t>100% pārbaude</w:t>
                  </w:r>
                </w:p>
              </w:tc>
              <w:tc>
                <w:tcPr>
                  <w:tcW w:w="1517" w:type="dxa"/>
                  <w:tcBorders>
                    <w:top w:val="nil"/>
                    <w:left w:val="nil"/>
                    <w:bottom w:val="single" w:sz="4" w:space="0" w:color="auto"/>
                    <w:right w:val="single" w:sz="4" w:space="0" w:color="auto"/>
                  </w:tcBorders>
                  <w:shd w:val="clear" w:color="auto" w:fill="auto"/>
                  <w:vAlign w:val="center"/>
                  <w:hideMark/>
                </w:tcPr>
                <w:p w14:paraId="494390BD" w14:textId="51EC2440" w:rsidR="00061012" w:rsidRPr="00C1173E" w:rsidRDefault="0048298F" w:rsidP="00061012">
                  <w:pPr>
                    <w:jc w:val="center"/>
                    <w:rPr>
                      <w:sz w:val="22"/>
                      <w:szCs w:val="22"/>
                    </w:rPr>
                  </w:pPr>
                  <w:r w:rsidRPr="00C1173E">
                    <w:rPr>
                      <w:sz w:val="22"/>
                      <w:szCs w:val="22"/>
                    </w:rPr>
                    <w:t>2</w:t>
                  </w:r>
                  <w:r w:rsidR="00061012" w:rsidRPr="00C1173E">
                    <w:rPr>
                      <w:sz w:val="22"/>
                      <w:szCs w:val="22"/>
                    </w:rPr>
                    <w:t>0</w:t>
                  </w:r>
                </w:p>
              </w:tc>
              <w:tc>
                <w:tcPr>
                  <w:tcW w:w="1517" w:type="dxa"/>
                  <w:tcBorders>
                    <w:top w:val="nil"/>
                    <w:left w:val="nil"/>
                    <w:bottom w:val="single" w:sz="4" w:space="0" w:color="auto"/>
                    <w:right w:val="single" w:sz="4" w:space="0" w:color="auto"/>
                  </w:tcBorders>
                  <w:shd w:val="clear" w:color="auto" w:fill="auto"/>
                  <w:vAlign w:val="center"/>
                  <w:hideMark/>
                </w:tcPr>
                <w:p w14:paraId="494390BE" w14:textId="5ACC7214" w:rsidR="00061012" w:rsidRPr="00C1173E" w:rsidRDefault="009B5137" w:rsidP="00061012">
                  <w:pPr>
                    <w:jc w:val="center"/>
                    <w:rPr>
                      <w:sz w:val="22"/>
                      <w:szCs w:val="22"/>
                    </w:rPr>
                  </w:pPr>
                  <w:r w:rsidRPr="00C1173E">
                    <w:rPr>
                      <w:sz w:val="22"/>
                      <w:szCs w:val="22"/>
                    </w:rPr>
                    <w:t>20</w:t>
                  </w:r>
                </w:p>
              </w:tc>
              <w:tc>
                <w:tcPr>
                  <w:tcW w:w="1654" w:type="dxa"/>
                  <w:tcBorders>
                    <w:top w:val="nil"/>
                    <w:left w:val="nil"/>
                    <w:bottom w:val="single" w:sz="4" w:space="0" w:color="auto"/>
                    <w:right w:val="single" w:sz="4" w:space="0" w:color="auto"/>
                  </w:tcBorders>
                  <w:shd w:val="clear" w:color="auto" w:fill="auto"/>
                  <w:vAlign w:val="center"/>
                  <w:hideMark/>
                </w:tcPr>
                <w:p w14:paraId="494390BF" w14:textId="689A5822" w:rsidR="00061012" w:rsidRPr="00C1173E" w:rsidRDefault="00B53DC0" w:rsidP="00061012">
                  <w:pPr>
                    <w:jc w:val="center"/>
                    <w:rPr>
                      <w:sz w:val="22"/>
                      <w:szCs w:val="22"/>
                    </w:rPr>
                  </w:pPr>
                  <w:r w:rsidRPr="00C1173E">
                    <w:rPr>
                      <w:sz w:val="22"/>
                      <w:szCs w:val="22"/>
                    </w:rPr>
                    <w:t>0</w:t>
                  </w:r>
                </w:p>
              </w:tc>
            </w:tr>
            <w:tr w:rsidR="008829D7" w:rsidRPr="00C1173E" w14:paraId="494390C6"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C1" w14:textId="77777777" w:rsidR="00061012" w:rsidRPr="00C1173E" w:rsidRDefault="00061012" w:rsidP="00061012">
                  <w:pPr>
                    <w:jc w:val="center"/>
                    <w:rPr>
                      <w:sz w:val="22"/>
                      <w:szCs w:val="22"/>
                    </w:rPr>
                  </w:pPr>
                  <w:r w:rsidRPr="00C1173E">
                    <w:rPr>
                      <w:sz w:val="22"/>
                      <w:szCs w:val="22"/>
                    </w:rPr>
                    <w:t>2</w:t>
                  </w:r>
                </w:p>
              </w:tc>
              <w:tc>
                <w:tcPr>
                  <w:tcW w:w="1305" w:type="dxa"/>
                  <w:tcBorders>
                    <w:top w:val="nil"/>
                    <w:left w:val="nil"/>
                    <w:bottom w:val="single" w:sz="4" w:space="0" w:color="auto"/>
                    <w:right w:val="single" w:sz="4" w:space="0" w:color="auto"/>
                  </w:tcBorders>
                  <w:shd w:val="clear" w:color="auto" w:fill="auto"/>
                  <w:vAlign w:val="center"/>
                  <w:hideMark/>
                </w:tcPr>
                <w:p w14:paraId="494390C2" w14:textId="77777777" w:rsidR="00061012" w:rsidRPr="00C1173E" w:rsidRDefault="00061012" w:rsidP="00061012">
                  <w:pPr>
                    <w:jc w:val="center"/>
                    <w:rPr>
                      <w:i/>
                      <w:sz w:val="22"/>
                      <w:szCs w:val="22"/>
                    </w:rPr>
                  </w:pPr>
                  <w:r w:rsidRPr="00C1173E">
                    <w:rPr>
                      <w:i/>
                      <w:sz w:val="22"/>
                      <w:szCs w:val="22"/>
                    </w:rPr>
                    <w:t>20% pārbaude</w:t>
                  </w:r>
                </w:p>
              </w:tc>
              <w:tc>
                <w:tcPr>
                  <w:tcW w:w="1517" w:type="dxa"/>
                  <w:tcBorders>
                    <w:top w:val="nil"/>
                    <w:left w:val="nil"/>
                    <w:bottom w:val="single" w:sz="4" w:space="0" w:color="auto"/>
                    <w:right w:val="single" w:sz="4" w:space="0" w:color="auto"/>
                  </w:tcBorders>
                  <w:shd w:val="clear" w:color="auto" w:fill="auto"/>
                  <w:vAlign w:val="center"/>
                  <w:hideMark/>
                </w:tcPr>
                <w:p w14:paraId="494390C3" w14:textId="4A55E7E9" w:rsidR="00061012" w:rsidRPr="00C1173E" w:rsidRDefault="00061012" w:rsidP="00061012">
                  <w:pPr>
                    <w:jc w:val="center"/>
                    <w:rPr>
                      <w:sz w:val="22"/>
                      <w:szCs w:val="22"/>
                    </w:rPr>
                  </w:pPr>
                  <w:r w:rsidRPr="00C1173E">
                    <w:rPr>
                      <w:sz w:val="22"/>
                      <w:szCs w:val="22"/>
                    </w:rPr>
                    <w:t>1</w:t>
                  </w:r>
                  <w:r w:rsidR="0048298F" w:rsidRPr="00C1173E">
                    <w:rPr>
                      <w:sz w:val="22"/>
                      <w:szCs w:val="22"/>
                    </w:rPr>
                    <w:t>5</w:t>
                  </w:r>
                </w:p>
              </w:tc>
              <w:tc>
                <w:tcPr>
                  <w:tcW w:w="1517" w:type="dxa"/>
                  <w:tcBorders>
                    <w:top w:val="nil"/>
                    <w:left w:val="nil"/>
                    <w:bottom w:val="single" w:sz="4" w:space="0" w:color="auto"/>
                    <w:right w:val="single" w:sz="4" w:space="0" w:color="auto"/>
                  </w:tcBorders>
                  <w:shd w:val="clear" w:color="auto" w:fill="auto"/>
                  <w:vAlign w:val="center"/>
                  <w:hideMark/>
                </w:tcPr>
                <w:p w14:paraId="494390C4" w14:textId="37ED446C" w:rsidR="00061012" w:rsidRPr="00C1173E" w:rsidRDefault="009B5137" w:rsidP="00061012">
                  <w:pPr>
                    <w:jc w:val="center"/>
                    <w:rPr>
                      <w:sz w:val="22"/>
                      <w:szCs w:val="22"/>
                    </w:rPr>
                  </w:pPr>
                  <w:r w:rsidRPr="00C1173E">
                    <w:rPr>
                      <w:sz w:val="22"/>
                      <w:szCs w:val="22"/>
                    </w:rPr>
                    <w:t>39,</w:t>
                  </w:r>
                  <w:r w:rsidR="00884585" w:rsidRPr="00C1173E">
                    <w:rPr>
                      <w:sz w:val="22"/>
                      <w:szCs w:val="22"/>
                    </w:rPr>
                    <w:t>68</w:t>
                  </w:r>
                </w:p>
              </w:tc>
              <w:tc>
                <w:tcPr>
                  <w:tcW w:w="1654" w:type="dxa"/>
                  <w:tcBorders>
                    <w:top w:val="nil"/>
                    <w:left w:val="nil"/>
                    <w:bottom w:val="single" w:sz="4" w:space="0" w:color="auto"/>
                    <w:right w:val="single" w:sz="4" w:space="0" w:color="auto"/>
                  </w:tcBorders>
                  <w:shd w:val="clear" w:color="auto" w:fill="auto"/>
                  <w:vAlign w:val="center"/>
                  <w:hideMark/>
                </w:tcPr>
                <w:p w14:paraId="494390C5" w14:textId="2466A998" w:rsidR="00061012" w:rsidRPr="00C1173E" w:rsidRDefault="009B5137" w:rsidP="00061012">
                  <w:pPr>
                    <w:jc w:val="center"/>
                    <w:rPr>
                      <w:sz w:val="22"/>
                      <w:szCs w:val="22"/>
                    </w:rPr>
                  </w:pPr>
                  <w:r w:rsidRPr="00C1173E">
                    <w:rPr>
                      <w:sz w:val="22"/>
                      <w:szCs w:val="22"/>
                    </w:rPr>
                    <w:t>24,</w:t>
                  </w:r>
                  <w:r w:rsidR="00884585" w:rsidRPr="00C1173E">
                    <w:rPr>
                      <w:sz w:val="22"/>
                      <w:szCs w:val="22"/>
                    </w:rPr>
                    <w:t>68</w:t>
                  </w:r>
                </w:p>
              </w:tc>
            </w:tr>
            <w:tr w:rsidR="008829D7" w:rsidRPr="00C1173E" w14:paraId="494390CC"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C7" w14:textId="77777777" w:rsidR="00061012" w:rsidRPr="00C1173E" w:rsidRDefault="00061012" w:rsidP="00061012">
                  <w:pPr>
                    <w:jc w:val="center"/>
                    <w:rPr>
                      <w:sz w:val="22"/>
                      <w:szCs w:val="22"/>
                    </w:rPr>
                  </w:pPr>
                  <w:r w:rsidRPr="00C1173E">
                    <w:rPr>
                      <w:sz w:val="22"/>
                      <w:szCs w:val="22"/>
                    </w:rPr>
                    <w:t>3</w:t>
                  </w:r>
                </w:p>
              </w:tc>
              <w:tc>
                <w:tcPr>
                  <w:tcW w:w="1305" w:type="dxa"/>
                  <w:tcBorders>
                    <w:top w:val="nil"/>
                    <w:left w:val="nil"/>
                    <w:bottom w:val="single" w:sz="4" w:space="0" w:color="auto"/>
                    <w:right w:val="single" w:sz="4" w:space="0" w:color="auto"/>
                  </w:tcBorders>
                  <w:shd w:val="clear" w:color="auto" w:fill="auto"/>
                  <w:vAlign w:val="center"/>
                  <w:hideMark/>
                </w:tcPr>
                <w:p w14:paraId="494390C8" w14:textId="77777777" w:rsidR="00061012" w:rsidRPr="00C1173E" w:rsidRDefault="00061012" w:rsidP="00061012">
                  <w:pPr>
                    <w:jc w:val="center"/>
                    <w:rPr>
                      <w:i/>
                      <w:sz w:val="22"/>
                      <w:szCs w:val="22"/>
                    </w:rPr>
                  </w:pPr>
                  <w:r w:rsidRPr="00C1173E">
                    <w:rPr>
                      <w:i/>
                      <w:sz w:val="22"/>
                      <w:szCs w:val="22"/>
                    </w:rPr>
                    <w:t>Sūdzību izvērtēšana</w:t>
                  </w:r>
                </w:p>
              </w:tc>
              <w:tc>
                <w:tcPr>
                  <w:tcW w:w="1517" w:type="dxa"/>
                  <w:tcBorders>
                    <w:top w:val="nil"/>
                    <w:left w:val="nil"/>
                    <w:bottom w:val="single" w:sz="4" w:space="0" w:color="auto"/>
                    <w:right w:val="single" w:sz="4" w:space="0" w:color="auto"/>
                  </w:tcBorders>
                  <w:shd w:val="clear" w:color="auto" w:fill="auto"/>
                  <w:vAlign w:val="center"/>
                  <w:hideMark/>
                </w:tcPr>
                <w:p w14:paraId="494390C9" w14:textId="1184F534" w:rsidR="00061012" w:rsidRPr="00C1173E" w:rsidRDefault="00EB3AAA" w:rsidP="00061012">
                  <w:pPr>
                    <w:jc w:val="center"/>
                    <w:rPr>
                      <w:sz w:val="22"/>
                      <w:szCs w:val="22"/>
                    </w:rPr>
                  </w:pPr>
                  <w:r w:rsidRPr="00C1173E">
                    <w:rPr>
                      <w:sz w:val="22"/>
                      <w:szCs w:val="22"/>
                    </w:rPr>
                    <w:t>32,</w:t>
                  </w:r>
                  <w:r w:rsidR="00AC6634" w:rsidRPr="00C1173E">
                    <w:rPr>
                      <w:sz w:val="22"/>
                      <w:szCs w:val="22"/>
                    </w:rPr>
                    <w:t>67</w:t>
                  </w:r>
                </w:p>
              </w:tc>
              <w:tc>
                <w:tcPr>
                  <w:tcW w:w="1517" w:type="dxa"/>
                  <w:tcBorders>
                    <w:top w:val="nil"/>
                    <w:left w:val="nil"/>
                    <w:bottom w:val="single" w:sz="4" w:space="0" w:color="auto"/>
                    <w:right w:val="single" w:sz="4" w:space="0" w:color="auto"/>
                  </w:tcBorders>
                  <w:shd w:val="clear" w:color="auto" w:fill="auto"/>
                  <w:vAlign w:val="center"/>
                  <w:hideMark/>
                </w:tcPr>
                <w:p w14:paraId="494390CA" w14:textId="34BF7C38" w:rsidR="00061012" w:rsidRPr="00C1173E" w:rsidRDefault="009B5137" w:rsidP="00061012">
                  <w:pPr>
                    <w:jc w:val="center"/>
                    <w:rPr>
                      <w:sz w:val="22"/>
                      <w:szCs w:val="22"/>
                    </w:rPr>
                  </w:pPr>
                  <w:r w:rsidRPr="00C1173E">
                    <w:rPr>
                      <w:sz w:val="22"/>
                      <w:szCs w:val="22"/>
                    </w:rPr>
                    <w:t>76,</w:t>
                  </w:r>
                  <w:r w:rsidR="00884585" w:rsidRPr="00C1173E">
                    <w:rPr>
                      <w:sz w:val="22"/>
                      <w:szCs w:val="22"/>
                    </w:rPr>
                    <w:t>19</w:t>
                  </w:r>
                </w:p>
              </w:tc>
              <w:tc>
                <w:tcPr>
                  <w:tcW w:w="1654" w:type="dxa"/>
                  <w:tcBorders>
                    <w:top w:val="nil"/>
                    <w:left w:val="nil"/>
                    <w:bottom w:val="single" w:sz="4" w:space="0" w:color="auto"/>
                    <w:right w:val="single" w:sz="4" w:space="0" w:color="auto"/>
                  </w:tcBorders>
                  <w:shd w:val="clear" w:color="auto" w:fill="auto"/>
                  <w:vAlign w:val="center"/>
                  <w:hideMark/>
                </w:tcPr>
                <w:p w14:paraId="494390CB" w14:textId="3C0479D3" w:rsidR="00061012" w:rsidRPr="00C1173E" w:rsidRDefault="009B5137" w:rsidP="00061012">
                  <w:pPr>
                    <w:jc w:val="center"/>
                    <w:rPr>
                      <w:sz w:val="22"/>
                      <w:szCs w:val="22"/>
                    </w:rPr>
                  </w:pPr>
                  <w:r w:rsidRPr="00C1173E">
                    <w:rPr>
                      <w:sz w:val="22"/>
                      <w:szCs w:val="22"/>
                    </w:rPr>
                    <w:t>43,52</w:t>
                  </w:r>
                </w:p>
              </w:tc>
            </w:tr>
            <w:tr w:rsidR="008829D7" w:rsidRPr="00C1173E" w14:paraId="494390D2" w14:textId="77777777" w:rsidTr="008829D7">
              <w:trPr>
                <w:trHeight w:val="6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CD" w14:textId="77777777" w:rsidR="00061012" w:rsidRPr="00C1173E" w:rsidRDefault="00061012" w:rsidP="00061012">
                  <w:pPr>
                    <w:jc w:val="center"/>
                    <w:rPr>
                      <w:sz w:val="22"/>
                      <w:szCs w:val="22"/>
                    </w:rPr>
                  </w:pPr>
                  <w:r w:rsidRPr="00C1173E">
                    <w:rPr>
                      <w:sz w:val="22"/>
                      <w:szCs w:val="22"/>
                    </w:rPr>
                    <w:t>4</w:t>
                  </w:r>
                </w:p>
              </w:tc>
              <w:tc>
                <w:tcPr>
                  <w:tcW w:w="1305" w:type="dxa"/>
                  <w:tcBorders>
                    <w:top w:val="nil"/>
                    <w:left w:val="nil"/>
                    <w:bottom w:val="single" w:sz="4" w:space="0" w:color="auto"/>
                    <w:right w:val="single" w:sz="4" w:space="0" w:color="auto"/>
                  </w:tcBorders>
                  <w:shd w:val="clear" w:color="auto" w:fill="auto"/>
                  <w:vAlign w:val="center"/>
                  <w:hideMark/>
                </w:tcPr>
                <w:p w14:paraId="494390CE" w14:textId="77777777" w:rsidR="00061012" w:rsidRPr="00C1173E" w:rsidRDefault="00061012" w:rsidP="00061012">
                  <w:pPr>
                    <w:jc w:val="center"/>
                    <w:rPr>
                      <w:i/>
                      <w:sz w:val="22"/>
                      <w:szCs w:val="22"/>
                    </w:rPr>
                  </w:pPr>
                  <w:r w:rsidRPr="00C1173E">
                    <w:rPr>
                      <w:i/>
                      <w:sz w:val="22"/>
                      <w:szCs w:val="22"/>
                    </w:rPr>
                    <w:t>1% pārbaude</w:t>
                  </w:r>
                </w:p>
              </w:tc>
              <w:tc>
                <w:tcPr>
                  <w:tcW w:w="1517" w:type="dxa"/>
                  <w:tcBorders>
                    <w:top w:val="nil"/>
                    <w:left w:val="nil"/>
                    <w:bottom w:val="single" w:sz="4" w:space="0" w:color="auto"/>
                    <w:right w:val="single" w:sz="4" w:space="0" w:color="auto"/>
                  </w:tcBorders>
                  <w:shd w:val="clear" w:color="auto" w:fill="auto"/>
                  <w:vAlign w:val="center"/>
                  <w:hideMark/>
                </w:tcPr>
                <w:p w14:paraId="494390CF" w14:textId="77777777" w:rsidR="00061012" w:rsidRPr="00C1173E" w:rsidRDefault="00061012" w:rsidP="00061012">
                  <w:pPr>
                    <w:jc w:val="center"/>
                    <w:rPr>
                      <w:sz w:val="22"/>
                      <w:szCs w:val="22"/>
                    </w:rPr>
                  </w:pPr>
                  <w:r w:rsidRPr="00C1173E">
                    <w:rPr>
                      <w:sz w:val="22"/>
                      <w:szCs w:val="22"/>
                    </w:rPr>
                    <w:t>0</w:t>
                  </w:r>
                </w:p>
              </w:tc>
              <w:tc>
                <w:tcPr>
                  <w:tcW w:w="1517" w:type="dxa"/>
                  <w:tcBorders>
                    <w:top w:val="nil"/>
                    <w:left w:val="nil"/>
                    <w:bottom w:val="single" w:sz="4" w:space="0" w:color="auto"/>
                    <w:right w:val="single" w:sz="4" w:space="0" w:color="auto"/>
                  </w:tcBorders>
                  <w:shd w:val="clear" w:color="auto" w:fill="auto"/>
                  <w:vAlign w:val="center"/>
                  <w:hideMark/>
                </w:tcPr>
                <w:p w14:paraId="494390D0" w14:textId="1596DC44" w:rsidR="00061012" w:rsidRPr="00C1173E" w:rsidRDefault="009B5137" w:rsidP="00061012">
                  <w:pPr>
                    <w:jc w:val="center"/>
                    <w:rPr>
                      <w:sz w:val="22"/>
                      <w:szCs w:val="22"/>
                    </w:rPr>
                  </w:pPr>
                  <w:r w:rsidRPr="00C1173E">
                    <w:rPr>
                      <w:sz w:val="22"/>
                      <w:szCs w:val="22"/>
                    </w:rPr>
                    <w:t>12,7</w:t>
                  </w:r>
                </w:p>
              </w:tc>
              <w:tc>
                <w:tcPr>
                  <w:tcW w:w="1654" w:type="dxa"/>
                  <w:tcBorders>
                    <w:top w:val="nil"/>
                    <w:left w:val="nil"/>
                    <w:bottom w:val="single" w:sz="4" w:space="0" w:color="auto"/>
                    <w:right w:val="single" w:sz="4" w:space="0" w:color="auto"/>
                  </w:tcBorders>
                  <w:shd w:val="clear" w:color="auto" w:fill="auto"/>
                  <w:vAlign w:val="center"/>
                  <w:hideMark/>
                </w:tcPr>
                <w:p w14:paraId="494390D1" w14:textId="6647C9A3" w:rsidR="00061012" w:rsidRPr="00C1173E" w:rsidRDefault="009B5137" w:rsidP="00061012">
                  <w:pPr>
                    <w:jc w:val="center"/>
                    <w:rPr>
                      <w:sz w:val="22"/>
                      <w:szCs w:val="22"/>
                    </w:rPr>
                  </w:pPr>
                  <w:r w:rsidRPr="00C1173E">
                    <w:rPr>
                      <w:sz w:val="22"/>
                      <w:szCs w:val="22"/>
                    </w:rPr>
                    <w:t>12,7</w:t>
                  </w:r>
                </w:p>
              </w:tc>
            </w:tr>
            <w:tr w:rsidR="008829D7" w:rsidRPr="00C1173E" w14:paraId="494390D8" w14:textId="77777777" w:rsidTr="008829D7">
              <w:trPr>
                <w:trHeight w:val="900"/>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D3" w14:textId="77777777" w:rsidR="00061012" w:rsidRPr="00C1173E" w:rsidRDefault="00061012" w:rsidP="00061012">
                  <w:pPr>
                    <w:jc w:val="center"/>
                    <w:rPr>
                      <w:sz w:val="22"/>
                      <w:szCs w:val="22"/>
                    </w:rPr>
                  </w:pPr>
                  <w:r w:rsidRPr="00C1173E">
                    <w:rPr>
                      <w:sz w:val="22"/>
                      <w:szCs w:val="22"/>
                    </w:rPr>
                    <w:lastRenderedPageBreak/>
                    <w:t>5</w:t>
                  </w:r>
                </w:p>
              </w:tc>
              <w:tc>
                <w:tcPr>
                  <w:tcW w:w="1305" w:type="dxa"/>
                  <w:tcBorders>
                    <w:top w:val="nil"/>
                    <w:left w:val="nil"/>
                    <w:bottom w:val="single" w:sz="4" w:space="0" w:color="auto"/>
                    <w:right w:val="single" w:sz="4" w:space="0" w:color="auto"/>
                  </w:tcBorders>
                  <w:shd w:val="clear" w:color="auto" w:fill="auto"/>
                  <w:vAlign w:val="center"/>
                  <w:hideMark/>
                </w:tcPr>
                <w:p w14:paraId="494390D4" w14:textId="77777777" w:rsidR="00061012" w:rsidRPr="00C1173E" w:rsidRDefault="00061012" w:rsidP="00061012">
                  <w:pPr>
                    <w:jc w:val="center"/>
                    <w:rPr>
                      <w:sz w:val="22"/>
                      <w:szCs w:val="22"/>
                    </w:rPr>
                  </w:pPr>
                  <w:r w:rsidRPr="00C1173E">
                    <w:rPr>
                      <w:sz w:val="22"/>
                      <w:szCs w:val="22"/>
                    </w:rPr>
                    <w:t>Juridiskie pakalpojumi</w:t>
                  </w:r>
                </w:p>
              </w:tc>
              <w:tc>
                <w:tcPr>
                  <w:tcW w:w="1517" w:type="dxa"/>
                  <w:tcBorders>
                    <w:top w:val="nil"/>
                    <w:left w:val="nil"/>
                    <w:bottom w:val="single" w:sz="4" w:space="0" w:color="auto"/>
                    <w:right w:val="single" w:sz="4" w:space="0" w:color="auto"/>
                  </w:tcBorders>
                  <w:shd w:val="clear" w:color="auto" w:fill="auto"/>
                  <w:vAlign w:val="center"/>
                  <w:hideMark/>
                </w:tcPr>
                <w:p w14:paraId="494390D5" w14:textId="310D5041" w:rsidR="00061012" w:rsidRPr="00C1173E" w:rsidRDefault="00EB3AAA" w:rsidP="00061012">
                  <w:pPr>
                    <w:jc w:val="center"/>
                    <w:rPr>
                      <w:sz w:val="22"/>
                      <w:szCs w:val="22"/>
                    </w:rPr>
                  </w:pPr>
                  <w:r w:rsidRPr="00C1173E">
                    <w:rPr>
                      <w:sz w:val="22"/>
                      <w:szCs w:val="22"/>
                    </w:rPr>
                    <w:t>1,</w:t>
                  </w:r>
                  <w:r w:rsidR="00AC6634" w:rsidRPr="00C1173E">
                    <w:rPr>
                      <w:sz w:val="22"/>
                      <w:szCs w:val="22"/>
                    </w:rPr>
                    <w:t>59</w:t>
                  </w:r>
                </w:p>
              </w:tc>
              <w:tc>
                <w:tcPr>
                  <w:tcW w:w="1517" w:type="dxa"/>
                  <w:tcBorders>
                    <w:top w:val="nil"/>
                    <w:left w:val="nil"/>
                    <w:bottom w:val="single" w:sz="4" w:space="0" w:color="auto"/>
                    <w:right w:val="single" w:sz="4" w:space="0" w:color="auto"/>
                  </w:tcBorders>
                  <w:shd w:val="clear" w:color="auto" w:fill="auto"/>
                  <w:vAlign w:val="center"/>
                  <w:hideMark/>
                </w:tcPr>
                <w:p w14:paraId="494390D6" w14:textId="66CC9445" w:rsidR="00061012" w:rsidRPr="00C1173E" w:rsidRDefault="009B5137" w:rsidP="00061012">
                  <w:pPr>
                    <w:jc w:val="center"/>
                    <w:rPr>
                      <w:sz w:val="22"/>
                      <w:szCs w:val="22"/>
                    </w:rPr>
                  </w:pPr>
                  <w:r w:rsidRPr="00C1173E">
                    <w:rPr>
                      <w:sz w:val="22"/>
                      <w:szCs w:val="22"/>
                    </w:rPr>
                    <w:t>4,</w:t>
                  </w:r>
                  <w:r w:rsidR="00884585" w:rsidRPr="00C1173E">
                    <w:rPr>
                      <w:sz w:val="22"/>
                      <w:szCs w:val="22"/>
                    </w:rPr>
                    <w:t>76</w:t>
                  </w:r>
                </w:p>
              </w:tc>
              <w:tc>
                <w:tcPr>
                  <w:tcW w:w="1654" w:type="dxa"/>
                  <w:tcBorders>
                    <w:top w:val="nil"/>
                    <w:left w:val="nil"/>
                    <w:bottom w:val="single" w:sz="4" w:space="0" w:color="auto"/>
                    <w:right w:val="single" w:sz="4" w:space="0" w:color="auto"/>
                  </w:tcBorders>
                  <w:shd w:val="clear" w:color="auto" w:fill="auto"/>
                  <w:vAlign w:val="center"/>
                  <w:hideMark/>
                </w:tcPr>
                <w:p w14:paraId="494390D7" w14:textId="5160FFEB" w:rsidR="00061012" w:rsidRPr="00C1173E" w:rsidRDefault="009B5137" w:rsidP="00061012">
                  <w:pPr>
                    <w:jc w:val="center"/>
                    <w:rPr>
                      <w:sz w:val="22"/>
                      <w:szCs w:val="22"/>
                    </w:rPr>
                  </w:pPr>
                  <w:r w:rsidRPr="00C1173E">
                    <w:rPr>
                      <w:sz w:val="22"/>
                      <w:szCs w:val="22"/>
                    </w:rPr>
                    <w:t>3,</w:t>
                  </w:r>
                  <w:r w:rsidR="00884585" w:rsidRPr="00C1173E">
                    <w:rPr>
                      <w:sz w:val="22"/>
                      <w:szCs w:val="22"/>
                    </w:rPr>
                    <w:t>17</w:t>
                  </w:r>
                </w:p>
              </w:tc>
            </w:tr>
            <w:tr w:rsidR="008829D7" w:rsidRPr="00C1173E" w14:paraId="494390DE" w14:textId="77777777" w:rsidTr="008829D7">
              <w:trPr>
                <w:trHeight w:val="315"/>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94390D9" w14:textId="77777777" w:rsidR="00061012" w:rsidRPr="00C1173E" w:rsidRDefault="00061012" w:rsidP="00061012">
                  <w:pPr>
                    <w:jc w:val="center"/>
                    <w:rPr>
                      <w:sz w:val="22"/>
                      <w:szCs w:val="22"/>
                    </w:rPr>
                  </w:pPr>
                  <w:r w:rsidRPr="00C1173E">
                    <w:rPr>
                      <w:sz w:val="22"/>
                      <w:szCs w:val="22"/>
                    </w:rPr>
                    <w:t>6</w:t>
                  </w:r>
                </w:p>
              </w:tc>
              <w:tc>
                <w:tcPr>
                  <w:tcW w:w="1305" w:type="dxa"/>
                  <w:tcBorders>
                    <w:top w:val="nil"/>
                    <w:left w:val="nil"/>
                    <w:bottom w:val="single" w:sz="4" w:space="0" w:color="auto"/>
                    <w:right w:val="single" w:sz="4" w:space="0" w:color="auto"/>
                  </w:tcBorders>
                  <w:shd w:val="clear" w:color="auto" w:fill="auto"/>
                  <w:vAlign w:val="center"/>
                  <w:hideMark/>
                </w:tcPr>
                <w:p w14:paraId="494390DA" w14:textId="77777777" w:rsidR="00061012" w:rsidRPr="00C1173E" w:rsidRDefault="00061012" w:rsidP="00061012">
                  <w:pPr>
                    <w:jc w:val="center"/>
                    <w:rPr>
                      <w:sz w:val="22"/>
                      <w:szCs w:val="22"/>
                    </w:rPr>
                  </w:pPr>
                  <w:r w:rsidRPr="00C1173E">
                    <w:rPr>
                      <w:sz w:val="22"/>
                      <w:szCs w:val="22"/>
                    </w:rPr>
                    <w:t>Izbraukums</w:t>
                  </w:r>
                </w:p>
              </w:tc>
              <w:tc>
                <w:tcPr>
                  <w:tcW w:w="1517" w:type="dxa"/>
                  <w:tcBorders>
                    <w:top w:val="nil"/>
                    <w:left w:val="nil"/>
                    <w:bottom w:val="single" w:sz="4" w:space="0" w:color="auto"/>
                    <w:right w:val="single" w:sz="4" w:space="0" w:color="auto"/>
                  </w:tcBorders>
                  <w:shd w:val="clear" w:color="auto" w:fill="auto"/>
                  <w:vAlign w:val="center"/>
                  <w:hideMark/>
                </w:tcPr>
                <w:p w14:paraId="494390DB" w14:textId="2466B94F" w:rsidR="00061012" w:rsidRPr="00C1173E" w:rsidRDefault="00EB3AAA" w:rsidP="00061012">
                  <w:pPr>
                    <w:jc w:val="center"/>
                    <w:rPr>
                      <w:sz w:val="22"/>
                      <w:szCs w:val="22"/>
                    </w:rPr>
                  </w:pPr>
                  <w:r w:rsidRPr="00C1173E">
                    <w:rPr>
                      <w:sz w:val="22"/>
                      <w:szCs w:val="22"/>
                    </w:rPr>
                    <w:t>0</w:t>
                  </w:r>
                </w:p>
              </w:tc>
              <w:tc>
                <w:tcPr>
                  <w:tcW w:w="1517" w:type="dxa"/>
                  <w:tcBorders>
                    <w:top w:val="nil"/>
                    <w:left w:val="nil"/>
                    <w:bottom w:val="single" w:sz="4" w:space="0" w:color="auto"/>
                    <w:right w:val="single" w:sz="4" w:space="0" w:color="auto"/>
                  </w:tcBorders>
                  <w:shd w:val="clear" w:color="auto" w:fill="auto"/>
                  <w:vAlign w:val="center"/>
                  <w:hideMark/>
                </w:tcPr>
                <w:p w14:paraId="494390DC" w14:textId="67C99915" w:rsidR="00061012" w:rsidRPr="00C1173E" w:rsidRDefault="009B5137" w:rsidP="00061012">
                  <w:pPr>
                    <w:jc w:val="center"/>
                    <w:rPr>
                      <w:sz w:val="22"/>
                      <w:szCs w:val="22"/>
                    </w:rPr>
                  </w:pPr>
                  <w:r w:rsidRPr="00C1173E">
                    <w:rPr>
                      <w:sz w:val="22"/>
                      <w:szCs w:val="22"/>
                    </w:rPr>
                    <w:t>2,5</w:t>
                  </w:r>
                  <w:r w:rsidR="00884585" w:rsidRPr="00C1173E">
                    <w:rPr>
                      <w:sz w:val="22"/>
                      <w:szCs w:val="22"/>
                    </w:rPr>
                    <w:t>4</w:t>
                  </w:r>
                </w:p>
              </w:tc>
              <w:tc>
                <w:tcPr>
                  <w:tcW w:w="1654" w:type="dxa"/>
                  <w:tcBorders>
                    <w:top w:val="nil"/>
                    <w:left w:val="nil"/>
                    <w:bottom w:val="single" w:sz="4" w:space="0" w:color="auto"/>
                    <w:right w:val="single" w:sz="4" w:space="0" w:color="auto"/>
                  </w:tcBorders>
                  <w:shd w:val="clear" w:color="auto" w:fill="auto"/>
                  <w:vAlign w:val="center"/>
                  <w:hideMark/>
                </w:tcPr>
                <w:p w14:paraId="494390DD" w14:textId="7DE53A29" w:rsidR="00061012" w:rsidRPr="00C1173E" w:rsidRDefault="009B5137" w:rsidP="00061012">
                  <w:pPr>
                    <w:jc w:val="center"/>
                    <w:rPr>
                      <w:sz w:val="22"/>
                      <w:szCs w:val="22"/>
                    </w:rPr>
                  </w:pPr>
                  <w:r w:rsidRPr="00C1173E">
                    <w:rPr>
                      <w:sz w:val="22"/>
                      <w:szCs w:val="22"/>
                    </w:rPr>
                    <w:t>2,5</w:t>
                  </w:r>
                  <w:r w:rsidR="00884585" w:rsidRPr="00C1173E">
                    <w:rPr>
                      <w:sz w:val="22"/>
                      <w:szCs w:val="22"/>
                    </w:rPr>
                    <w:t>4</w:t>
                  </w:r>
                </w:p>
              </w:tc>
            </w:tr>
            <w:tr w:rsidR="008829D7" w:rsidRPr="00C1173E" w14:paraId="494390E3" w14:textId="77777777" w:rsidTr="008829D7">
              <w:trPr>
                <w:trHeight w:val="654"/>
              </w:trPr>
              <w:tc>
                <w:tcPr>
                  <w:tcW w:w="2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4390DF" w14:textId="77777777" w:rsidR="00061012" w:rsidRPr="00C1173E" w:rsidRDefault="00061012" w:rsidP="00061012">
                  <w:pPr>
                    <w:jc w:val="center"/>
                    <w:rPr>
                      <w:b/>
                      <w:bCs/>
                      <w:sz w:val="22"/>
                      <w:szCs w:val="22"/>
                    </w:rPr>
                  </w:pPr>
                  <w:r w:rsidRPr="00C1173E">
                    <w:rPr>
                      <w:b/>
                      <w:bCs/>
                      <w:sz w:val="22"/>
                      <w:szCs w:val="22"/>
                    </w:rPr>
                    <w:t>Kopā tiešās izmaksas uz 1 būvspeciālistu</w:t>
                  </w:r>
                  <w:r w:rsidR="008829D7" w:rsidRPr="00C1173E">
                    <w:rPr>
                      <w:b/>
                      <w:bCs/>
                      <w:sz w:val="22"/>
                      <w:szCs w:val="22"/>
                    </w:rPr>
                    <w:t>,</w:t>
                  </w:r>
                  <w:r w:rsidRPr="00C1173E">
                    <w:rPr>
                      <w:b/>
                      <w:bCs/>
                      <w:sz w:val="22"/>
                      <w:szCs w:val="22"/>
                    </w:rPr>
                    <w:t xml:space="preserve"> </w:t>
                  </w:r>
                  <w:r w:rsidR="008829D7" w:rsidRPr="00C1173E">
                    <w:rPr>
                      <w:b/>
                      <w:bCs/>
                      <w:i/>
                      <w:sz w:val="22"/>
                      <w:szCs w:val="22"/>
                    </w:rPr>
                    <w:t>euro</w:t>
                  </w:r>
                </w:p>
              </w:tc>
              <w:tc>
                <w:tcPr>
                  <w:tcW w:w="1517" w:type="dxa"/>
                  <w:tcBorders>
                    <w:top w:val="nil"/>
                    <w:left w:val="nil"/>
                    <w:bottom w:val="single" w:sz="4" w:space="0" w:color="auto"/>
                    <w:right w:val="single" w:sz="4" w:space="0" w:color="auto"/>
                  </w:tcBorders>
                  <w:shd w:val="clear" w:color="auto" w:fill="auto"/>
                  <w:vAlign w:val="center"/>
                  <w:hideMark/>
                </w:tcPr>
                <w:p w14:paraId="494390E0" w14:textId="1146C6F2" w:rsidR="00061012" w:rsidRPr="00C1173E" w:rsidRDefault="00B53DC0" w:rsidP="00770AC7">
                  <w:pPr>
                    <w:jc w:val="center"/>
                    <w:rPr>
                      <w:b/>
                      <w:bCs/>
                      <w:sz w:val="22"/>
                      <w:szCs w:val="22"/>
                    </w:rPr>
                  </w:pPr>
                  <w:r w:rsidRPr="00C1173E">
                    <w:rPr>
                      <w:b/>
                      <w:bCs/>
                      <w:sz w:val="22"/>
                      <w:szCs w:val="22"/>
                    </w:rPr>
                    <w:t>69,</w:t>
                  </w:r>
                  <w:r w:rsidR="003853AD" w:rsidRPr="00C1173E">
                    <w:rPr>
                      <w:b/>
                      <w:bCs/>
                      <w:sz w:val="22"/>
                      <w:szCs w:val="22"/>
                    </w:rPr>
                    <w:t>00</w:t>
                  </w:r>
                </w:p>
              </w:tc>
              <w:tc>
                <w:tcPr>
                  <w:tcW w:w="1517" w:type="dxa"/>
                  <w:tcBorders>
                    <w:top w:val="nil"/>
                    <w:left w:val="nil"/>
                    <w:bottom w:val="single" w:sz="4" w:space="0" w:color="auto"/>
                    <w:right w:val="single" w:sz="4" w:space="0" w:color="auto"/>
                  </w:tcBorders>
                  <w:shd w:val="clear" w:color="auto" w:fill="auto"/>
                  <w:vAlign w:val="center"/>
                  <w:hideMark/>
                </w:tcPr>
                <w:p w14:paraId="494390E1" w14:textId="4CA8F4C3" w:rsidR="00061012" w:rsidRPr="00C1173E" w:rsidRDefault="00B53DC0" w:rsidP="00770AC7">
                  <w:pPr>
                    <w:jc w:val="center"/>
                    <w:rPr>
                      <w:b/>
                      <w:bCs/>
                      <w:sz w:val="22"/>
                      <w:szCs w:val="22"/>
                    </w:rPr>
                  </w:pPr>
                  <w:r w:rsidRPr="00C1173E">
                    <w:rPr>
                      <w:b/>
                      <w:bCs/>
                      <w:sz w:val="22"/>
                      <w:szCs w:val="22"/>
                    </w:rPr>
                    <w:t>156,00</w:t>
                  </w:r>
                </w:p>
              </w:tc>
              <w:tc>
                <w:tcPr>
                  <w:tcW w:w="1654" w:type="dxa"/>
                  <w:tcBorders>
                    <w:top w:val="nil"/>
                    <w:left w:val="nil"/>
                    <w:bottom w:val="single" w:sz="4" w:space="0" w:color="auto"/>
                    <w:right w:val="single" w:sz="4" w:space="0" w:color="auto"/>
                  </w:tcBorders>
                  <w:shd w:val="clear" w:color="auto" w:fill="auto"/>
                  <w:vAlign w:val="center"/>
                  <w:hideMark/>
                </w:tcPr>
                <w:p w14:paraId="494390E2" w14:textId="634AECF5" w:rsidR="00061012" w:rsidRPr="00C1173E" w:rsidRDefault="00B53DC0" w:rsidP="00770AC7">
                  <w:pPr>
                    <w:jc w:val="center"/>
                    <w:rPr>
                      <w:b/>
                      <w:bCs/>
                      <w:sz w:val="22"/>
                      <w:szCs w:val="22"/>
                    </w:rPr>
                  </w:pPr>
                  <w:r w:rsidRPr="00C1173E">
                    <w:rPr>
                      <w:b/>
                      <w:bCs/>
                      <w:sz w:val="22"/>
                      <w:szCs w:val="22"/>
                    </w:rPr>
                    <w:t>8</w:t>
                  </w:r>
                  <w:r w:rsidR="003853AD" w:rsidRPr="00C1173E">
                    <w:rPr>
                      <w:b/>
                      <w:bCs/>
                      <w:sz w:val="22"/>
                      <w:szCs w:val="22"/>
                    </w:rPr>
                    <w:t>7,00</w:t>
                  </w:r>
                </w:p>
              </w:tc>
            </w:tr>
          </w:tbl>
          <w:p w14:paraId="494390E4" w14:textId="77777777" w:rsidR="00061012" w:rsidRPr="00C1173E" w:rsidRDefault="00061012" w:rsidP="004A1321">
            <w:pPr>
              <w:shd w:val="clear" w:color="auto" w:fill="FFFFFF"/>
              <w:ind w:firstLine="393"/>
              <w:jc w:val="both"/>
            </w:pPr>
          </w:p>
          <w:p w14:paraId="494390E5" w14:textId="34F07C00" w:rsidR="00770AC7" w:rsidRPr="00C1173E" w:rsidRDefault="00770AC7" w:rsidP="004A1321">
            <w:pPr>
              <w:shd w:val="clear" w:color="auto" w:fill="FFFFFF"/>
              <w:ind w:firstLine="393"/>
              <w:jc w:val="both"/>
            </w:pPr>
            <w:r w:rsidRPr="00C1173E">
              <w:t xml:space="preserve">1. </w:t>
            </w:r>
            <w:r w:rsidRPr="00C1173E">
              <w:rPr>
                <w:i/>
              </w:rPr>
              <w:t>100% pārbaudē</w:t>
            </w:r>
            <w:r w:rsidRPr="00C1173E">
              <w:t xml:space="preserve"> izmaksu pieaugums uz vienu būvspeciālistu </w:t>
            </w:r>
            <w:r w:rsidR="009B5137" w:rsidRPr="00C1173E">
              <w:t xml:space="preserve">nav novērojams. </w:t>
            </w:r>
          </w:p>
          <w:p w14:paraId="494390E6" w14:textId="727F21B8" w:rsidR="00B40B45" w:rsidRPr="00C1173E" w:rsidRDefault="00770AC7" w:rsidP="00B40B45">
            <w:pPr>
              <w:shd w:val="clear" w:color="auto" w:fill="FFFFFF"/>
              <w:ind w:firstLine="393"/>
              <w:jc w:val="both"/>
            </w:pPr>
            <w:r w:rsidRPr="00C1173E">
              <w:t xml:space="preserve">2. </w:t>
            </w:r>
            <w:r w:rsidRPr="00C1173E">
              <w:rPr>
                <w:i/>
              </w:rPr>
              <w:t>20% pārbaudē</w:t>
            </w:r>
            <w:r w:rsidRPr="00C1173E">
              <w:t xml:space="preserve"> izmaksu pieaugums uz vienu būvspeciālistu ir </w:t>
            </w:r>
            <w:r w:rsidR="009B5137" w:rsidRPr="00C1173E">
              <w:t>24,</w:t>
            </w:r>
            <w:r w:rsidR="00FD049B" w:rsidRPr="00C1173E">
              <w:t>68</w:t>
            </w:r>
            <w:r w:rsidR="009B5137" w:rsidRPr="00C1173E">
              <w:t xml:space="preserve"> </w:t>
            </w:r>
            <w:proofErr w:type="spellStart"/>
            <w:r w:rsidRPr="00C1173E">
              <w:rPr>
                <w:i/>
              </w:rPr>
              <w:t>euro</w:t>
            </w:r>
            <w:proofErr w:type="spellEnd"/>
            <w:r w:rsidRPr="00C1173E">
              <w:t xml:space="preserve">. </w:t>
            </w:r>
            <w:r w:rsidRPr="00C1173E">
              <w:rPr>
                <w:i/>
              </w:rPr>
              <w:t>20% pārbaudi</w:t>
            </w:r>
            <w:r w:rsidRPr="00C1173E">
              <w:t xml:space="preserve"> līdz 2018.gada 31.decembrim veica </w:t>
            </w:r>
            <w:r w:rsidRPr="00C1173E">
              <w:rPr>
                <w:i/>
              </w:rPr>
              <w:t>kompetences pārbaudes iestādes</w:t>
            </w:r>
            <w:r w:rsidRPr="00C1173E">
              <w:t xml:space="preserve"> darbinieks, k</w:t>
            </w:r>
            <w:r w:rsidR="00B40B45" w:rsidRPr="00C1173E">
              <w:t>opā ar ekspertu. Ņemot vērā, ka šajā pārbaudē ir jāizvērtē būvspeciālistu iesniegtie dokumenti pēc būtības, kā arī šīs pārbaudes laikā</w:t>
            </w:r>
            <w:r w:rsidR="0055335D">
              <w:t>,</w:t>
            </w:r>
            <w:r w:rsidR="00B40B45" w:rsidRPr="00C1173E">
              <w:t xml:space="preserve"> uz risku analīzi balstoties</w:t>
            </w:r>
            <w:r w:rsidR="0055335D">
              <w:t>,</w:t>
            </w:r>
            <w:r w:rsidR="00B40B45" w:rsidRPr="00C1173E">
              <w:t xml:space="preserve">  atlas</w:t>
            </w:r>
            <w:r w:rsidR="00F769A9">
              <w:t xml:space="preserve">a </w:t>
            </w:r>
            <w:r w:rsidR="00B40B45" w:rsidRPr="00C1173E">
              <w:t xml:space="preserve"> </w:t>
            </w:r>
            <w:proofErr w:type="spellStart"/>
            <w:r w:rsidR="00B40B45" w:rsidRPr="00C1173E">
              <w:t>būvspeciālist</w:t>
            </w:r>
            <w:r w:rsidR="00F769A9">
              <w:t>us</w:t>
            </w:r>
            <w:proofErr w:type="spellEnd"/>
            <w:r w:rsidR="00B40B45" w:rsidRPr="00C1173E">
              <w:t xml:space="preserve"> padziļinātai pārbaudei, </w:t>
            </w:r>
            <w:r w:rsidR="00B40B45" w:rsidRPr="00C1173E">
              <w:rPr>
                <w:i/>
              </w:rPr>
              <w:t>20% pārbaudi</w:t>
            </w:r>
            <w:r w:rsidR="00B40B45" w:rsidRPr="00C1173E">
              <w:t xml:space="preserve"> atbilstošā kvalitātē var veikt tikai </w:t>
            </w:r>
            <w:r w:rsidR="0055335D" w:rsidRPr="0055335D">
              <w:t>B</w:t>
            </w:r>
            <w:r w:rsidR="00B400B2" w:rsidRPr="0055335D">
              <w:t xml:space="preserve">iroja </w:t>
            </w:r>
            <w:r w:rsidR="00B40B45" w:rsidRPr="0055335D">
              <w:t>e</w:t>
            </w:r>
            <w:r w:rsidR="00B40B45" w:rsidRPr="00C1173E">
              <w:t xml:space="preserve">ksperti. </w:t>
            </w:r>
            <w:r w:rsidR="00B40B45" w:rsidRPr="00C1173E">
              <w:rPr>
                <w:i/>
              </w:rPr>
              <w:t>Spēkā esošajos cenrāžos</w:t>
            </w:r>
            <w:r w:rsidR="00B40B45" w:rsidRPr="00C1173E">
              <w:t xml:space="preserve"> vidējā eksperta atlīdzība ir </w:t>
            </w:r>
            <w:r w:rsidR="009B5137" w:rsidRPr="00C1173E">
              <w:t xml:space="preserve">18,9 </w:t>
            </w:r>
            <w:proofErr w:type="spellStart"/>
            <w:r w:rsidR="009B5137" w:rsidRPr="00C1173E">
              <w:t>euro</w:t>
            </w:r>
            <w:proofErr w:type="spellEnd"/>
            <w:r w:rsidR="009B5137" w:rsidRPr="00C1173E">
              <w:t xml:space="preserve">/stundā fiziskām personām un 22,87 </w:t>
            </w:r>
            <w:r w:rsidR="00B40B45" w:rsidRPr="00C1173E">
              <w:t xml:space="preserve"> </w:t>
            </w:r>
            <w:proofErr w:type="spellStart"/>
            <w:r w:rsidR="00B40B45" w:rsidRPr="00C1173E">
              <w:rPr>
                <w:i/>
              </w:rPr>
              <w:t>euro</w:t>
            </w:r>
            <w:proofErr w:type="spellEnd"/>
            <w:r w:rsidR="00B40B45" w:rsidRPr="00C1173E">
              <w:t>/stundā</w:t>
            </w:r>
            <w:r w:rsidR="009B5137" w:rsidRPr="00C1173E">
              <w:t xml:space="preserve"> juridiskām personām</w:t>
            </w:r>
            <w:r w:rsidR="00B40B45" w:rsidRPr="00C1173E">
              <w:t xml:space="preserve">, ieskaitot nodokļu maksājumus, bet </w:t>
            </w:r>
            <w:r w:rsidR="00B40B45" w:rsidRPr="00C1173E">
              <w:rPr>
                <w:i/>
              </w:rPr>
              <w:t>k</w:t>
            </w:r>
            <w:r w:rsidR="004A1321" w:rsidRPr="00C1173E">
              <w:rPr>
                <w:i/>
              </w:rPr>
              <w:t>ompetences pārbaudes iestādes</w:t>
            </w:r>
            <w:r w:rsidR="004A1321" w:rsidRPr="00C1173E">
              <w:t xml:space="preserve"> norāda, ka eksperti kā būvspeciālisti strādā arī citur, nereti par augstāku atlīdzību nekā </w:t>
            </w:r>
            <w:r w:rsidR="009B5137" w:rsidRPr="00C1173E">
              <w:t xml:space="preserve">18,9 vai 22,87 </w:t>
            </w:r>
            <w:r w:rsidR="004A1321" w:rsidRPr="00C1173E">
              <w:t xml:space="preserve"> </w:t>
            </w:r>
            <w:proofErr w:type="spellStart"/>
            <w:r w:rsidR="004A1321" w:rsidRPr="00C1173E">
              <w:rPr>
                <w:i/>
              </w:rPr>
              <w:t>euro</w:t>
            </w:r>
            <w:proofErr w:type="spellEnd"/>
            <w:r w:rsidR="004A1321" w:rsidRPr="00C1173E">
              <w:t>/stundā, līdz ar to šāda atlīdzība nav konkurētspējīga, lai</w:t>
            </w:r>
            <w:r w:rsidR="00B40B45" w:rsidRPr="00C1173E">
              <w:t xml:space="preserve"> piesaistītu attiecīgos ekspertus</w:t>
            </w:r>
            <w:r w:rsidR="008829D7" w:rsidRPr="00C1173E">
              <w:t>.</w:t>
            </w:r>
            <w:r w:rsidR="00B40B45" w:rsidRPr="00C1173E">
              <w:t xml:space="preserve"> </w:t>
            </w:r>
            <w:r w:rsidR="008829D7" w:rsidRPr="00C1173E">
              <w:t xml:space="preserve">Ņemot vērā iepriekš minēto </w:t>
            </w:r>
            <w:r w:rsidR="008829D7" w:rsidRPr="00C1173E">
              <w:rPr>
                <w:i/>
              </w:rPr>
              <w:t>k</w:t>
            </w:r>
            <w:r w:rsidR="00B40B45" w:rsidRPr="00C1173E">
              <w:rPr>
                <w:i/>
              </w:rPr>
              <w:t>ompetences pārbaudes iestādes</w:t>
            </w:r>
            <w:r w:rsidR="00B40B45" w:rsidRPr="00C1173E">
              <w:t xml:space="preserve"> norāda, ka 2018. gadā vidējā ekspertu atlīdzība bija 40 </w:t>
            </w:r>
            <w:r w:rsidR="00B40B45" w:rsidRPr="00C1173E">
              <w:rPr>
                <w:i/>
              </w:rPr>
              <w:t>euro</w:t>
            </w:r>
            <w:r w:rsidR="00B40B45" w:rsidRPr="00C1173E">
              <w:t xml:space="preserve">/stundā, ieskaitot nodokļu maksājumus. </w:t>
            </w:r>
            <w:r w:rsidR="009468C9" w:rsidRPr="00C1173E">
              <w:rPr>
                <w:i/>
              </w:rPr>
              <w:t>Kompetences pārbaudes iestādes</w:t>
            </w:r>
            <w:r w:rsidR="009468C9" w:rsidRPr="00C1173E">
              <w:t xml:space="preserve"> norāda, ka, lai pilnvērtīgi veiktu šo pārbaudi, papildus informācijas pārbaudēm Būvniecības informācijas sistēmā, ekspertu komisijai ir nepieciešams arī intervēt pārbaudāmos būvspeciālistus</w:t>
            </w:r>
            <w:r w:rsidR="005F4046" w:rsidRPr="00C1173E">
              <w:t>.</w:t>
            </w:r>
            <w:r w:rsidR="008829D7" w:rsidRPr="00C1173E">
              <w:t xml:space="preserve"> </w:t>
            </w:r>
            <w:r w:rsidR="005F4046" w:rsidRPr="00C1173E">
              <w:t>Kā arī</w:t>
            </w:r>
            <w:r w:rsidR="008829D7" w:rsidRPr="00C1173E">
              <w:t xml:space="preserve"> </w:t>
            </w:r>
            <w:r w:rsidR="00B40B45" w:rsidRPr="00C1173E">
              <w:rPr>
                <w:i/>
              </w:rPr>
              <w:t>20% pārbaudē</w:t>
            </w:r>
            <w:r w:rsidR="00B40B45" w:rsidRPr="00C1173E">
              <w:t xml:space="preserve"> papildus</w:t>
            </w:r>
            <w:r w:rsidR="0055335D">
              <w:t>,</w:t>
            </w:r>
            <w:r w:rsidR="00B40B45" w:rsidRPr="00C1173E">
              <w:t xml:space="preserve"> uz</w:t>
            </w:r>
            <w:r w:rsidR="008829D7" w:rsidRPr="00C1173E">
              <w:t xml:space="preserve"> </w:t>
            </w:r>
            <w:r w:rsidR="008829D7" w:rsidRPr="00C1173E">
              <w:rPr>
                <w:i/>
              </w:rPr>
              <w:t>kompetences pārbaudes iestādē</w:t>
            </w:r>
            <w:r w:rsidR="008829D7" w:rsidRPr="00C1173E">
              <w:t xml:space="preserve"> noteiktu</w:t>
            </w:r>
            <w:r w:rsidR="00B40B45" w:rsidRPr="00C1173E">
              <w:t xml:space="preserve"> risku analīzi balstoties</w:t>
            </w:r>
            <w:r w:rsidR="0055335D">
              <w:t>,</w:t>
            </w:r>
            <w:r w:rsidR="00B40B45" w:rsidRPr="00C1173E">
              <w:t xml:space="preserve"> ir jāatlasa būvspeciālisti, </w:t>
            </w:r>
            <w:r w:rsidR="0055335D">
              <w:t xml:space="preserve">par </w:t>
            </w:r>
            <w:r w:rsidR="00B40B45" w:rsidRPr="00C1173E">
              <w:t>kuri</w:t>
            </w:r>
            <w:r w:rsidR="0055335D">
              <w:t>em</w:t>
            </w:r>
            <w:r w:rsidR="00B40B45" w:rsidRPr="00C1173E">
              <w:t xml:space="preserve"> veik</w:t>
            </w:r>
            <w:r w:rsidR="00CA7681">
              <w:t>s</w:t>
            </w:r>
            <w:r w:rsidR="00B40B45" w:rsidRPr="00C1173E">
              <w:t xml:space="preserve"> padziļināt</w:t>
            </w:r>
            <w:r w:rsidR="00CA7681">
              <w:t>u</w:t>
            </w:r>
            <w:r w:rsidR="00B40B45" w:rsidRPr="00C1173E">
              <w:t xml:space="preserve"> – </w:t>
            </w:r>
            <w:r w:rsidR="00B40B45" w:rsidRPr="00C1173E">
              <w:rPr>
                <w:i/>
              </w:rPr>
              <w:t>1% pārbaud</w:t>
            </w:r>
            <w:r w:rsidR="00CA7681">
              <w:rPr>
                <w:i/>
              </w:rPr>
              <w:t>i</w:t>
            </w:r>
            <w:r w:rsidR="00B40B45" w:rsidRPr="00C1173E">
              <w:t xml:space="preserve">, </w:t>
            </w:r>
            <w:r w:rsidR="005F4046" w:rsidRPr="00C1173E">
              <w:t xml:space="preserve">līdz ar to </w:t>
            </w:r>
            <w:r w:rsidR="00B40B45" w:rsidRPr="00C1173E">
              <w:t>pieaug</w:t>
            </w:r>
            <w:r w:rsidR="00E94AEE" w:rsidRPr="00C1173E">
              <w:t xml:space="preserve"> arī</w:t>
            </w:r>
            <w:r w:rsidR="00B40B45" w:rsidRPr="00C1173E">
              <w:t xml:space="preserve"> šīs pārbaudes veikšanas laiks</w:t>
            </w:r>
            <w:r w:rsidR="00EC74CE" w:rsidRPr="00C1173E">
              <w:t>;</w:t>
            </w:r>
          </w:p>
          <w:p w14:paraId="494390E7" w14:textId="5C6A8986" w:rsidR="004A1321" w:rsidRPr="00C1173E" w:rsidRDefault="00B40B45" w:rsidP="00B40B45">
            <w:pPr>
              <w:shd w:val="clear" w:color="auto" w:fill="FFFFFF"/>
              <w:ind w:firstLine="393"/>
              <w:jc w:val="both"/>
            </w:pPr>
            <w:r w:rsidRPr="00C1173E">
              <w:t xml:space="preserve">3. </w:t>
            </w:r>
            <w:r w:rsidRPr="00C1173E">
              <w:rPr>
                <w:i/>
              </w:rPr>
              <w:t>Sūdzību izvērtēšana</w:t>
            </w:r>
            <w:r w:rsidR="00EC74CE" w:rsidRPr="00C1173E">
              <w:rPr>
                <w:i/>
              </w:rPr>
              <w:t>s</w:t>
            </w:r>
            <w:r w:rsidR="00EC74CE" w:rsidRPr="00C1173E">
              <w:t xml:space="preserve">, </w:t>
            </w:r>
            <w:r w:rsidRPr="00C1173E">
              <w:t>juridisk</w:t>
            </w:r>
            <w:r w:rsidR="00EC74CE" w:rsidRPr="00C1173E">
              <w:t>o</w:t>
            </w:r>
            <w:r w:rsidRPr="00C1173E">
              <w:t xml:space="preserve"> pakalpojum</w:t>
            </w:r>
            <w:r w:rsidR="00EC74CE" w:rsidRPr="00C1173E">
              <w:t xml:space="preserve">u un izbraukumu kopējais izmaksu pieaugums uz vienu būvspeciālistu ir </w:t>
            </w:r>
            <w:r w:rsidR="00E94AEE" w:rsidRPr="00C1173E">
              <w:t>49,2</w:t>
            </w:r>
            <w:r w:rsidR="00990C3E" w:rsidRPr="00C1173E">
              <w:t>3</w:t>
            </w:r>
            <w:r w:rsidR="00E94AEE" w:rsidRPr="00C1173E">
              <w:t xml:space="preserve"> </w:t>
            </w:r>
            <w:proofErr w:type="spellStart"/>
            <w:r w:rsidR="00EC74CE" w:rsidRPr="00C1173E">
              <w:rPr>
                <w:i/>
              </w:rPr>
              <w:t>euro</w:t>
            </w:r>
            <w:proofErr w:type="spellEnd"/>
            <w:r w:rsidR="00EC74CE" w:rsidRPr="00C1173E">
              <w:t xml:space="preserve">. </w:t>
            </w:r>
            <w:r w:rsidR="00EC74CE" w:rsidRPr="00C1173E">
              <w:rPr>
                <w:i/>
              </w:rPr>
              <w:t xml:space="preserve">Spēkā esošo cenrāžu </w:t>
            </w:r>
            <w:r w:rsidR="00EC74CE" w:rsidRPr="00C1173E">
              <w:t xml:space="preserve">aprēķinos ir norādīts, ka juridiskie pakalpojumi  galvenokārt ir nepieciešami sūdzību izskatīšanai. </w:t>
            </w:r>
            <w:r w:rsidR="00CA7681">
              <w:t>L</w:t>
            </w:r>
            <w:r w:rsidR="00EC74CE" w:rsidRPr="00C1173E">
              <w:t xml:space="preserve">aikā no 2015.-2018.gadam vidējais saņemtais sūdzību skaits gadā ir gandrīz </w:t>
            </w:r>
            <w:r w:rsidR="00E94AEE" w:rsidRPr="00C1173E">
              <w:t>12</w:t>
            </w:r>
            <w:r w:rsidR="00EC74CE" w:rsidRPr="00C1173E">
              <w:t xml:space="preserve">% no kopējā būvspeciālistu </w:t>
            </w:r>
            <w:r w:rsidR="00053C46" w:rsidRPr="00C1173E">
              <w:t>aktīvo</w:t>
            </w:r>
            <w:r w:rsidR="00941AA5" w:rsidRPr="00C1173E">
              <w:t xml:space="preserve"> darbības</w:t>
            </w:r>
            <w:r w:rsidR="00053C46" w:rsidRPr="00C1173E">
              <w:t xml:space="preserve"> sfēru </w:t>
            </w:r>
            <w:r w:rsidR="00EC74CE" w:rsidRPr="00C1173E">
              <w:t xml:space="preserve">skaita, līdz ar to </w:t>
            </w:r>
            <w:r w:rsidR="00EC74CE" w:rsidRPr="00C1173E">
              <w:rPr>
                <w:i/>
              </w:rPr>
              <w:t>noteikumu projektā</w:t>
            </w:r>
            <w:r w:rsidR="00EC74CE" w:rsidRPr="00C1173E">
              <w:t xml:space="preserve"> būtiski pieaug kopējās </w:t>
            </w:r>
            <w:r w:rsidR="00EC74CE" w:rsidRPr="00C1173E">
              <w:rPr>
                <w:i/>
              </w:rPr>
              <w:t>sūdzību izvērtēšanas</w:t>
            </w:r>
            <w:r w:rsidR="00EC74CE" w:rsidRPr="00C1173E">
              <w:t xml:space="preserve"> izmaksas;</w:t>
            </w:r>
          </w:p>
          <w:p w14:paraId="494390E8" w14:textId="759627CA" w:rsidR="00EC74CE" w:rsidRPr="00C1173E" w:rsidRDefault="00EC74CE" w:rsidP="00EC74CE">
            <w:pPr>
              <w:shd w:val="clear" w:color="auto" w:fill="FFFFFF"/>
              <w:ind w:firstLine="393"/>
              <w:jc w:val="both"/>
            </w:pPr>
            <w:r w:rsidRPr="00C1173E">
              <w:t xml:space="preserve">4. </w:t>
            </w:r>
            <w:r w:rsidRPr="00C1173E">
              <w:rPr>
                <w:i/>
              </w:rPr>
              <w:t>1% pārbaudes</w:t>
            </w:r>
            <w:r w:rsidRPr="00C1173E">
              <w:t xml:space="preserve"> kopējais izmaksu pieaugums uz vienu būvspeciālistu ir </w:t>
            </w:r>
            <w:r w:rsidR="00E94AEE" w:rsidRPr="00C1173E">
              <w:rPr>
                <w:sz w:val="22"/>
                <w:szCs w:val="22"/>
              </w:rPr>
              <w:t>12,7</w:t>
            </w:r>
            <w:r w:rsidRPr="00C1173E">
              <w:t xml:space="preserve"> </w:t>
            </w:r>
            <w:proofErr w:type="spellStart"/>
            <w:r w:rsidRPr="00C1173E">
              <w:rPr>
                <w:i/>
              </w:rPr>
              <w:t>euro</w:t>
            </w:r>
            <w:proofErr w:type="spellEnd"/>
            <w:r w:rsidRPr="00C1173E">
              <w:t xml:space="preserve">, jo </w:t>
            </w:r>
            <w:r w:rsidRPr="00C1173E">
              <w:rPr>
                <w:i/>
              </w:rPr>
              <w:t>spēkā esošajos cenrāžos</w:t>
            </w:r>
            <w:r w:rsidRPr="00C1173E">
              <w:t xml:space="preserve"> šāda pārbaude nav paredzēta.</w:t>
            </w:r>
          </w:p>
          <w:p w14:paraId="494390E9" w14:textId="77777777" w:rsidR="005B3A73" w:rsidRPr="00C1173E" w:rsidRDefault="005B3A73" w:rsidP="00FB176F">
            <w:pPr>
              <w:shd w:val="clear" w:color="auto" w:fill="FFFFFF"/>
              <w:jc w:val="both"/>
            </w:pPr>
          </w:p>
          <w:p w14:paraId="494390EA" w14:textId="6092971B" w:rsidR="00E17384" w:rsidRPr="00C1173E" w:rsidRDefault="005C4A7D" w:rsidP="00E17384">
            <w:pPr>
              <w:shd w:val="clear" w:color="auto" w:fill="FFFFFF"/>
              <w:jc w:val="both"/>
              <w:rPr>
                <w:b/>
                <w:u w:val="single"/>
              </w:rPr>
            </w:pPr>
            <w:r w:rsidRPr="00C1173E">
              <w:rPr>
                <w:b/>
                <w:u w:val="single"/>
              </w:rPr>
              <w:t>Kompetenču, prasmju un zināšanu līmeņa novērtēšana</w:t>
            </w:r>
          </w:p>
          <w:p w14:paraId="494390EB" w14:textId="6EF7F37D" w:rsidR="00E17384" w:rsidRPr="00C1173E" w:rsidRDefault="0055335D" w:rsidP="00E17384">
            <w:pPr>
              <w:shd w:val="clear" w:color="auto" w:fill="FFFFFF"/>
              <w:ind w:firstLine="399"/>
              <w:jc w:val="both"/>
            </w:pPr>
            <w:r w:rsidRPr="0055335D">
              <w:t>B</w:t>
            </w:r>
            <w:r w:rsidR="00B400B2" w:rsidRPr="0055335D">
              <w:t>irojs</w:t>
            </w:r>
            <w:r w:rsidR="00B400B2" w:rsidRPr="00C1173E">
              <w:t xml:space="preserve"> </w:t>
            </w:r>
            <w:r w:rsidR="00E17384" w:rsidRPr="00C1173E">
              <w:t xml:space="preserve">norāda, ka </w:t>
            </w:r>
            <w:r w:rsidR="005C4A7D" w:rsidRPr="00C1173E">
              <w:rPr>
                <w:i/>
              </w:rPr>
              <w:t>kompetenču, prasmju un zināšanu līmeņa novērtēšanai</w:t>
            </w:r>
            <w:r w:rsidR="00E17384" w:rsidRPr="00C1173E">
              <w:t xml:space="preserve"> </w:t>
            </w:r>
            <w:r w:rsidR="00B26258" w:rsidRPr="00C1173E">
              <w:t xml:space="preserve"> </w:t>
            </w:r>
            <w:r w:rsidR="00CA7681">
              <w:t xml:space="preserve">nosaka </w:t>
            </w:r>
            <w:r w:rsidR="00526410" w:rsidRPr="00C1173E">
              <w:t xml:space="preserve"> rakstisk</w:t>
            </w:r>
            <w:r w:rsidR="00CA7681">
              <w:t>u</w:t>
            </w:r>
            <w:r w:rsidR="00526410" w:rsidRPr="00C1173E">
              <w:t xml:space="preserve"> eksāmen</w:t>
            </w:r>
            <w:r w:rsidR="00CA7681">
              <w:t>u</w:t>
            </w:r>
            <w:r w:rsidR="00526410" w:rsidRPr="00C1173E">
              <w:t>, k</w:t>
            </w:r>
            <w:r w:rsidR="00CA7681">
              <w:t xml:space="preserve">as </w:t>
            </w:r>
            <w:r w:rsidR="00526410" w:rsidRPr="00C1173E">
              <w:t xml:space="preserve"> ietver </w:t>
            </w:r>
            <w:r w:rsidR="00705912" w:rsidRPr="00C1173E">
              <w:t>30 jautājumus, no kuriem 30% jautājumu ir attiecināmi uz būvekspertīzes normatīvā regulējuma un standartu pārzināšanu, savukārt 70% - uz nozarē nepieciešamo kompetenču pārbaudi atbilstoši būvekspertīzes specialitātei</w:t>
            </w:r>
            <w:r w:rsidR="00705DD6" w:rsidRPr="00C1173E">
              <w:t>.</w:t>
            </w:r>
            <w:r w:rsidR="00705912" w:rsidRPr="00C1173E">
              <w:t xml:space="preserve"> </w:t>
            </w:r>
            <w:r w:rsidR="005C4A7D" w:rsidRPr="00C1173E">
              <w:rPr>
                <w:i/>
              </w:rPr>
              <w:t xml:space="preserve">Kompetenču, prasmju un zināšanu līmeņa novērtēšanas </w:t>
            </w:r>
            <w:r w:rsidR="00B26258" w:rsidRPr="00C1173E">
              <w:lastRenderedPageBreak/>
              <w:t>pārbaudes</w:t>
            </w:r>
            <w:r w:rsidR="00E17384" w:rsidRPr="00C1173E">
              <w:t xml:space="preserve"> nenokārtošanas gadījumā būvspeciālistiem aptur būvprakses sertifikāt</w:t>
            </w:r>
            <w:r w:rsidR="00CA7681">
              <w:t>u</w:t>
            </w:r>
            <w:r w:rsidR="00E17384" w:rsidRPr="00C1173E">
              <w:t>, liedzot iespēju sniegt pakalpojumus reglamentētajā sfērā.</w:t>
            </w:r>
            <w:r w:rsidR="00526410" w:rsidRPr="00C1173E">
              <w:t xml:space="preserve"> Eksāmena vērtēšanā piedalās vismaz divi </w:t>
            </w:r>
            <w:r w:rsidR="00526410" w:rsidRPr="00C1173E">
              <w:rPr>
                <w:i/>
              </w:rPr>
              <w:t>kompetences pārbaudes iestādes</w:t>
            </w:r>
            <w:r w:rsidR="00526410" w:rsidRPr="00C1173E">
              <w:t xml:space="preserve"> eksperti, kuri atbilst </w:t>
            </w:r>
            <w:r w:rsidR="00526410" w:rsidRPr="00C1173E">
              <w:rPr>
                <w:i/>
              </w:rPr>
              <w:t>Noteikumu Nr.169</w:t>
            </w:r>
            <w:r w:rsidR="00E95CFC" w:rsidRPr="00C1173E">
              <w:t xml:space="preserve"> 20.punkta prasībām.</w:t>
            </w:r>
          </w:p>
          <w:p w14:paraId="494390EC" w14:textId="3E43DCEA" w:rsidR="00E17384" w:rsidRPr="00C1173E" w:rsidRDefault="0055335D" w:rsidP="00E17384">
            <w:pPr>
              <w:shd w:val="clear" w:color="auto" w:fill="FFFFFF"/>
              <w:ind w:firstLine="402"/>
              <w:jc w:val="both"/>
            </w:pPr>
            <w:r w:rsidRPr="0055335D">
              <w:t>Biroja</w:t>
            </w:r>
            <w:r w:rsidR="00B400B2" w:rsidRPr="00C1173E">
              <w:t xml:space="preserve"> </w:t>
            </w:r>
            <w:r w:rsidR="00E17384" w:rsidRPr="00C1173E">
              <w:t>pieredz</w:t>
            </w:r>
            <w:r w:rsidR="00E04291" w:rsidRPr="00C1173E">
              <w:t>e</w:t>
            </w:r>
            <w:r w:rsidR="00526410" w:rsidRPr="00C1173E">
              <w:t xml:space="preserve"> līdz 2018.gada 31.decembrim</w:t>
            </w:r>
            <w:r w:rsidR="00E04291" w:rsidRPr="00C1173E">
              <w:t xml:space="preserve"> bija tāda, ka</w:t>
            </w:r>
            <w:r w:rsidR="00E17384" w:rsidRPr="00C1173E">
              <w:rPr>
                <w:i/>
              </w:rPr>
              <w:t xml:space="preserve"> kompetences novērtēšanas eksāmenu</w:t>
            </w:r>
            <w:r w:rsidR="00E17384" w:rsidRPr="00C1173E">
              <w:t xml:space="preserve">, katru gadu kārto 1% no kopējā būvspeciālistu skaita, bet ņemot vērā, ka </w:t>
            </w:r>
            <w:r w:rsidR="00E17384" w:rsidRPr="00C1173E">
              <w:rPr>
                <w:i/>
              </w:rPr>
              <w:t>Noteikumos Nr.169</w:t>
            </w:r>
            <w:r w:rsidR="005777F5" w:rsidRPr="00C1173E">
              <w:t xml:space="preserve"> un</w:t>
            </w:r>
            <w:r w:rsidR="00526410" w:rsidRPr="00C1173E">
              <w:t xml:space="preserve"> </w:t>
            </w:r>
            <w:r w:rsidR="00526410" w:rsidRPr="00C1173E">
              <w:rPr>
                <w:i/>
              </w:rPr>
              <w:t>Vadlīnijās</w:t>
            </w:r>
            <w:r w:rsidR="00526410" w:rsidRPr="00C1173E">
              <w:t xml:space="preserve"> </w:t>
            </w:r>
            <w:r w:rsidR="00E17384" w:rsidRPr="00C1173E">
              <w:t>ir noteiktas papildus darbības</w:t>
            </w:r>
            <w:r w:rsidR="00526410" w:rsidRPr="00C1173E">
              <w:t xml:space="preserve"> uzraudzībai</w:t>
            </w:r>
            <w:r w:rsidR="00E17384" w:rsidRPr="00C1173E">
              <w:t xml:space="preserve">, </w:t>
            </w:r>
            <w:r w:rsidR="00E17384" w:rsidRPr="00C1173E">
              <w:rPr>
                <w:i/>
              </w:rPr>
              <w:t>kompetences pārbaudes iestādes</w:t>
            </w:r>
            <w:r w:rsidR="00E17384" w:rsidRPr="00C1173E">
              <w:t xml:space="preserve"> prognozē, ka pārbaudes eksāmenu katru gadu kārtos</w:t>
            </w:r>
            <w:r w:rsidR="00526410" w:rsidRPr="00C1173E">
              <w:t xml:space="preserve"> divas reizes vairāk, jeb</w:t>
            </w:r>
            <w:r w:rsidR="00E17384" w:rsidRPr="00C1173E">
              <w:t xml:space="preserve"> 2% no kopējā būvspeciālistu skaita</w:t>
            </w:r>
            <w:r w:rsidR="00526410" w:rsidRPr="00C1173E">
              <w:t xml:space="preserve"> –</w:t>
            </w:r>
            <w:r w:rsidR="00E17384" w:rsidRPr="00C1173E">
              <w:t xml:space="preserve"> 2 būvspeciālisti.</w:t>
            </w:r>
          </w:p>
          <w:p w14:paraId="4B2AAC84" w14:textId="77777777" w:rsidR="00033354" w:rsidRPr="00C1173E" w:rsidRDefault="00033354" w:rsidP="00E17384">
            <w:pPr>
              <w:jc w:val="right"/>
              <w:rPr>
                <w:i/>
              </w:rPr>
            </w:pPr>
          </w:p>
          <w:p w14:paraId="494390EE" w14:textId="21581502" w:rsidR="00E17384" w:rsidRPr="00C1173E" w:rsidRDefault="00E17384" w:rsidP="00E17384">
            <w:pPr>
              <w:jc w:val="right"/>
              <w:rPr>
                <w:b/>
                <w:i/>
              </w:rPr>
            </w:pPr>
            <w:r w:rsidRPr="00C1173E">
              <w:rPr>
                <w:i/>
              </w:rPr>
              <w:t>6</w:t>
            </w:r>
            <w:r w:rsidRPr="00C1173E">
              <w:rPr>
                <w:b/>
                <w:i/>
              </w:rPr>
              <w:t>.</w:t>
            </w:r>
            <w:r w:rsidRPr="00C1173E">
              <w:rPr>
                <w:i/>
                <w:lang w:eastAsia="x-none"/>
              </w:rPr>
              <w:t>tabula</w:t>
            </w:r>
          </w:p>
          <w:p w14:paraId="494390EF" w14:textId="1069C298" w:rsidR="00E17384" w:rsidRPr="00C1173E" w:rsidRDefault="00E17384" w:rsidP="00E17384">
            <w:pPr>
              <w:jc w:val="center"/>
              <w:rPr>
                <w:b/>
              </w:rPr>
            </w:pPr>
            <w:r w:rsidRPr="00C1173E">
              <w:rPr>
                <w:b/>
              </w:rPr>
              <w:t xml:space="preserve">Būvspeciālistu </w:t>
            </w:r>
            <w:r w:rsidR="005C4A7D" w:rsidRPr="00C1173E">
              <w:rPr>
                <w:b/>
              </w:rPr>
              <w:t>kompetenču, prasmju un zināšanu līmeņa novērtēšanas</w:t>
            </w:r>
            <w:r w:rsidRPr="00C1173E">
              <w:rPr>
                <w:b/>
              </w:rPr>
              <w:t xml:space="preserve"> tiešo izmaksu aprēķins </w:t>
            </w:r>
          </w:p>
          <w:tbl>
            <w:tblPr>
              <w:tblStyle w:val="TableGrid"/>
              <w:tblW w:w="0" w:type="auto"/>
              <w:jc w:val="center"/>
              <w:tblLook w:val="04A0" w:firstRow="1" w:lastRow="0" w:firstColumn="1" w:lastColumn="0" w:noHBand="0" w:noVBand="1"/>
            </w:tblPr>
            <w:tblGrid>
              <w:gridCol w:w="1518"/>
              <w:gridCol w:w="1101"/>
              <w:gridCol w:w="974"/>
              <w:gridCol w:w="1431"/>
              <w:gridCol w:w="1103"/>
            </w:tblGrid>
            <w:tr w:rsidR="00E17384" w:rsidRPr="00C1173E" w14:paraId="494390F7" w14:textId="77777777" w:rsidTr="00E17384">
              <w:trPr>
                <w:jc w:val="center"/>
              </w:trPr>
              <w:tc>
                <w:tcPr>
                  <w:tcW w:w="1518" w:type="dxa"/>
                </w:tcPr>
                <w:p w14:paraId="494390F0"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Rādītājs </w:t>
                  </w:r>
                  <w:r w:rsidRPr="00C1173E">
                    <w:rPr>
                      <w:rFonts w:ascii="Times New Roman" w:hAnsi="Times New Roman"/>
                      <w:bCs/>
                      <w:i/>
                      <w:sz w:val="22"/>
                      <w:szCs w:val="22"/>
                      <w:lang w:val="lv-LV" w:eastAsia="lv-LV"/>
                    </w:rPr>
                    <w:t>(izmaksu veids)</w:t>
                  </w:r>
                </w:p>
              </w:tc>
              <w:tc>
                <w:tcPr>
                  <w:tcW w:w="1101" w:type="dxa"/>
                </w:tcPr>
                <w:p w14:paraId="494390F1"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Gadījumu skaits</w:t>
                  </w:r>
                </w:p>
              </w:tc>
              <w:tc>
                <w:tcPr>
                  <w:tcW w:w="974" w:type="dxa"/>
                </w:tcPr>
                <w:p w14:paraId="494390F2"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Stundu likme</w:t>
                  </w:r>
                </w:p>
                <w:p w14:paraId="494390F3" w14:textId="77777777" w:rsidR="00E17384" w:rsidRPr="00C1173E" w:rsidRDefault="00E17384" w:rsidP="00E17384">
                  <w:pPr>
                    <w:pStyle w:val="NormalWeb"/>
                    <w:spacing w:before="0" w:beforeAutospacing="0" w:after="0" w:afterAutospacing="0"/>
                    <w:jc w:val="center"/>
                    <w:rPr>
                      <w:rFonts w:ascii="Times New Roman" w:hAnsi="Times New Roman"/>
                      <w:bCs/>
                      <w:i/>
                      <w:sz w:val="22"/>
                      <w:szCs w:val="22"/>
                      <w:lang w:val="lv-LV" w:eastAsia="lv-LV"/>
                    </w:rPr>
                  </w:pPr>
                  <w:r w:rsidRPr="00C1173E">
                    <w:rPr>
                      <w:rFonts w:ascii="Times New Roman" w:hAnsi="Times New Roman"/>
                      <w:bCs/>
                      <w:i/>
                      <w:sz w:val="22"/>
                      <w:szCs w:val="22"/>
                      <w:lang w:val="lv-LV" w:eastAsia="lv-LV"/>
                    </w:rPr>
                    <w:t>(euro/h)</w:t>
                  </w:r>
                </w:p>
              </w:tc>
              <w:tc>
                <w:tcPr>
                  <w:tcW w:w="1431" w:type="dxa"/>
                </w:tcPr>
                <w:p w14:paraId="494390F4"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Plānotais laika ieguldījums pakalpojuma sniegšanai (h)</w:t>
                  </w:r>
                </w:p>
              </w:tc>
              <w:tc>
                <w:tcPr>
                  <w:tcW w:w="1103" w:type="dxa"/>
                </w:tcPr>
                <w:p w14:paraId="494390F5"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Izmaksu apjoms gadā </w:t>
                  </w:r>
                </w:p>
                <w:p w14:paraId="494390F6" w14:textId="77777777" w:rsidR="00E17384" w:rsidRPr="00C1173E" w:rsidRDefault="00E17384" w:rsidP="00E17384">
                  <w:pPr>
                    <w:pStyle w:val="NormalWeb"/>
                    <w:spacing w:before="0" w:beforeAutospacing="0" w:after="0" w:afterAutospacing="0"/>
                    <w:jc w:val="center"/>
                    <w:rPr>
                      <w:rFonts w:ascii="Times New Roman" w:hAnsi="Times New Roman"/>
                      <w:bCs/>
                      <w:i/>
                      <w:sz w:val="22"/>
                      <w:szCs w:val="22"/>
                      <w:lang w:val="lv-LV" w:eastAsia="lv-LV"/>
                    </w:rPr>
                  </w:pPr>
                  <w:r w:rsidRPr="00C1173E">
                    <w:rPr>
                      <w:rFonts w:ascii="Times New Roman" w:hAnsi="Times New Roman"/>
                      <w:bCs/>
                      <w:i/>
                      <w:sz w:val="22"/>
                      <w:szCs w:val="22"/>
                      <w:lang w:val="lv-LV" w:eastAsia="lv-LV"/>
                    </w:rPr>
                    <w:t>(euro)</w:t>
                  </w:r>
                </w:p>
              </w:tc>
            </w:tr>
            <w:tr w:rsidR="00E17384" w:rsidRPr="00C1173E" w14:paraId="494390FD" w14:textId="77777777" w:rsidTr="001A1B30">
              <w:trPr>
                <w:trHeight w:val="219"/>
                <w:jc w:val="center"/>
              </w:trPr>
              <w:tc>
                <w:tcPr>
                  <w:tcW w:w="1518" w:type="dxa"/>
                </w:tcPr>
                <w:p w14:paraId="494390F8" w14:textId="77777777" w:rsidR="00E17384" w:rsidRPr="00C1173E"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Ekspertu atalgojums</w:t>
                  </w:r>
                </w:p>
              </w:tc>
              <w:tc>
                <w:tcPr>
                  <w:tcW w:w="1101" w:type="dxa"/>
                </w:tcPr>
                <w:p w14:paraId="494390F9" w14:textId="45021093"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2</w:t>
                  </w:r>
                </w:p>
              </w:tc>
              <w:tc>
                <w:tcPr>
                  <w:tcW w:w="974" w:type="dxa"/>
                </w:tcPr>
                <w:p w14:paraId="494390FA" w14:textId="77777777" w:rsidR="00E17384" w:rsidRPr="00C1173E" w:rsidRDefault="00526410"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4</w:t>
                  </w:r>
                  <w:r w:rsidR="00E17384" w:rsidRPr="00C1173E">
                    <w:rPr>
                      <w:rFonts w:ascii="Times New Roman" w:hAnsi="Times New Roman"/>
                      <w:bCs/>
                      <w:sz w:val="22"/>
                      <w:szCs w:val="22"/>
                      <w:lang w:val="lv-LV" w:eastAsia="lv-LV"/>
                    </w:rPr>
                    <w:t>0</w:t>
                  </w:r>
                </w:p>
              </w:tc>
              <w:tc>
                <w:tcPr>
                  <w:tcW w:w="1431" w:type="dxa"/>
                </w:tcPr>
                <w:p w14:paraId="494390FB" w14:textId="2E58392A" w:rsidR="00E17384" w:rsidRPr="00C1173E" w:rsidRDefault="004F0A42"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3</w:t>
                  </w:r>
                </w:p>
              </w:tc>
              <w:tc>
                <w:tcPr>
                  <w:tcW w:w="1103" w:type="dxa"/>
                </w:tcPr>
                <w:p w14:paraId="494390FC" w14:textId="3064A18A" w:rsidR="00E17384" w:rsidRPr="00C1173E" w:rsidRDefault="004F0A42"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24</w:t>
                  </w:r>
                  <w:r w:rsidR="003702FA" w:rsidRPr="00C1173E">
                    <w:rPr>
                      <w:rFonts w:ascii="Times New Roman" w:hAnsi="Times New Roman"/>
                      <w:bCs/>
                      <w:sz w:val="22"/>
                      <w:szCs w:val="22"/>
                      <w:lang w:val="lv-LV" w:eastAsia="lv-LV"/>
                    </w:rPr>
                    <w:t>0</w:t>
                  </w:r>
                </w:p>
              </w:tc>
            </w:tr>
            <w:tr w:rsidR="00E17384" w:rsidRPr="00C1173E" w14:paraId="49439103" w14:textId="77777777" w:rsidTr="00E17384">
              <w:trPr>
                <w:trHeight w:val="561"/>
                <w:jc w:val="center"/>
              </w:trPr>
              <w:tc>
                <w:tcPr>
                  <w:tcW w:w="1518" w:type="dxa"/>
                </w:tcPr>
                <w:p w14:paraId="494390FE" w14:textId="77777777" w:rsidR="00E17384" w:rsidRPr="00C1173E"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Eksāmena organizēšana</w:t>
                  </w:r>
                </w:p>
              </w:tc>
              <w:tc>
                <w:tcPr>
                  <w:tcW w:w="1101" w:type="dxa"/>
                </w:tcPr>
                <w:p w14:paraId="494390FF" w14:textId="4A84E156" w:rsidR="00E17384" w:rsidRPr="00C1173E" w:rsidRDefault="00705DD6"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2</w:t>
                  </w:r>
                </w:p>
              </w:tc>
              <w:tc>
                <w:tcPr>
                  <w:tcW w:w="974" w:type="dxa"/>
                </w:tcPr>
                <w:p w14:paraId="49439100" w14:textId="43282F70"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1</w:t>
                  </w:r>
                  <w:r w:rsidR="00705DD6" w:rsidRPr="00C1173E">
                    <w:rPr>
                      <w:rFonts w:ascii="Times New Roman" w:hAnsi="Times New Roman"/>
                      <w:bCs/>
                      <w:sz w:val="22"/>
                      <w:szCs w:val="22"/>
                      <w:lang w:val="lv-LV" w:eastAsia="lv-LV"/>
                    </w:rPr>
                    <w:t>0</w:t>
                  </w:r>
                </w:p>
              </w:tc>
              <w:tc>
                <w:tcPr>
                  <w:tcW w:w="1431" w:type="dxa"/>
                </w:tcPr>
                <w:p w14:paraId="49439101" w14:textId="4E56AE90" w:rsidR="00E17384" w:rsidRPr="00C1173E" w:rsidRDefault="00705DD6"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4</w:t>
                  </w:r>
                </w:p>
              </w:tc>
              <w:tc>
                <w:tcPr>
                  <w:tcW w:w="1103" w:type="dxa"/>
                </w:tcPr>
                <w:p w14:paraId="49439102" w14:textId="4A1DA8A0" w:rsidR="00E17384" w:rsidRPr="00C1173E" w:rsidRDefault="001A1B30"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80</w:t>
                  </w:r>
                </w:p>
              </w:tc>
            </w:tr>
            <w:tr w:rsidR="00E17384" w:rsidRPr="00C1173E" w14:paraId="49439106" w14:textId="77777777" w:rsidTr="00E17384">
              <w:trPr>
                <w:trHeight w:val="305"/>
                <w:jc w:val="center"/>
              </w:trPr>
              <w:tc>
                <w:tcPr>
                  <w:tcW w:w="5024" w:type="dxa"/>
                  <w:gridSpan w:val="4"/>
                  <w:vAlign w:val="center"/>
                </w:tcPr>
                <w:p w14:paraId="49439104" w14:textId="77777777" w:rsidR="00E17384" w:rsidRPr="00C1173E" w:rsidRDefault="00E17384" w:rsidP="00E17384">
                  <w:pPr>
                    <w:pStyle w:val="NormalWeb"/>
                    <w:spacing w:before="0" w:beforeAutospacing="0" w:after="0" w:afterAutospacing="0"/>
                    <w:jc w:val="right"/>
                    <w:rPr>
                      <w:rFonts w:ascii="Times New Roman" w:hAnsi="Times New Roman"/>
                      <w:bCs/>
                      <w:sz w:val="22"/>
                      <w:szCs w:val="22"/>
                      <w:lang w:val="lv-LV" w:eastAsia="lv-LV"/>
                    </w:rPr>
                  </w:pPr>
                  <w:r w:rsidRPr="00C1173E">
                    <w:rPr>
                      <w:rFonts w:ascii="Times New Roman" w:hAnsi="Times New Roman"/>
                      <w:b/>
                      <w:bCs/>
                      <w:sz w:val="22"/>
                      <w:szCs w:val="22"/>
                      <w:lang w:val="lv-LV"/>
                    </w:rPr>
                    <w:t>Kopā tiešās izmaksas (</w:t>
                  </w:r>
                  <w:r w:rsidRPr="00C1173E">
                    <w:rPr>
                      <w:rFonts w:ascii="Times New Roman" w:hAnsi="Times New Roman"/>
                      <w:b/>
                      <w:bCs/>
                      <w:i/>
                      <w:sz w:val="22"/>
                      <w:szCs w:val="22"/>
                      <w:lang w:val="lv-LV"/>
                    </w:rPr>
                    <w:t>euro</w:t>
                  </w:r>
                  <w:r w:rsidRPr="00C1173E">
                    <w:rPr>
                      <w:rFonts w:ascii="Times New Roman" w:hAnsi="Times New Roman"/>
                      <w:b/>
                      <w:bCs/>
                      <w:sz w:val="22"/>
                      <w:szCs w:val="22"/>
                      <w:lang w:val="lv-LV"/>
                    </w:rPr>
                    <w:t>)</w:t>
                  </w:r>
                </w:p>
              </w:tc>
              <w:tc>
                <w:tcPr>
                  <w:tcW w:w="1103" w:type="dxa"/>
                  <w:vAlign w:val="center"/>
                </w:tcPr>
                <w:p w14:paraId="49439105" w14:textId="1DF15446" w:rsidR="00E17384" w:rsidRPr="00C1173E" w:rsidRDefault="004F0A42" w:rsidP="00E17384">
                  <w:pPr>
                    <w:jc w:val="center"/>
                    <w:rPr>
                      <w:b/>
                      <w:bCs/>
                      <w:sz w:val="22"/>
                      <w:szCs w:val="22"/>
                    </w:rPr>
                  </w:pPr>
                  <w:r w:rsidRPr="00C1173E">
                    <w:rPr>
                      <w:b/>
                      <w:bCs/>
                      <w:sz w:val="22"/>
                      <w:szCs w:val="22"/>
                    </w:rPr>
                    <w:t>320</w:t>
                  </w:r>
                </w:p>
              </w:tc>
            </w:tr>
            <w:tr w:rsidR="00E17384" w:rsidRPr="00C1173E" w14:paraId="49439109" w14:textId="77777777" w:rsidTr="00E17384">
              <w:trPr>
                <w:trHeight w:val="229"/>
                <w:jc w:val="center"/>
              </w:trPr>
              <w:tc>
                <w:tcPr>
                  <w:tcW w:w="5024" w:type="dxa"/>
                  <w:gridSpan w:val="4"/>
                  <w:vAlign w:val="center"/>
                </w:tcPr>
                <w:p w14:paraId="49439107" w14:textId="77777777" w:rsidR="00E17384" w:rsidRPr="00C1173E" w:rsidRDefault="00E17384" w:rsidP="00E17384">
                  <w:pPr>
                    <w:pStyle w:val="NormalWeb"/>
                    <w:spacing w:before="0" w:beforeAutospacing="0" w:after="0" w:afterAutospacing="0"/>
                    <w:jc w:val="right"/>
                    <w:rPr>
                      <w:rFonts w:ascii="Times New Roman" w:hAnsi="Times New Roman"/>
                      <w:bCs/>
                      <w:sz w:val="22"/>
                      <w:szCs w:val="22"/>
                      <w:lang w:val="lv-LV" w:eastAsia="lv-LV"/>
                    </w:rPr>
                  </w:pPr>
                  <w:r w:rsidRPr="00C1173E">
                    <w:rPr>
                      <w:rFonts w:ascii="Times New Roman" w:hAnsi="Times New Roman"/>
                      <w:b/>
                      <w:bCs/>
                      <w:sz w:val="22"/>
                      <w:szCs w:val="22"/>
                      <w:lang w:val="lv-LV"/>
                    </w:rPr>
                    <w:t>Kopā tiešās izmaksas uz 1 būvspeciālistu (</w:t>
                  </w:r>
                  <w:r w:rsidRPr="00C1173E">
                    <w:rPr>
                      <w:rFonts w:ascii="Times New Roman" w:hAnsi="Times New Roman"/>
                      <w:b/>
                      <w:bCs/>
                      <w:i/>
                      <w:sz w:val="22"/>
                      <w:szCs w:val="22"/>
                      <w:lang w:val="lv-LV"/>
                    </w:rPr>
                    <w:t>euro</w:t>
                  </w:r>
                  <w:r w:rsidRPr="00C1173E">
                    <w:rPr>
                      <w:rFonts w:ascii="Times New Roman" w:hAnsi="Times New Roman"/>
                      <w:b/>
                      <w:bCs/>
                      <w:sz w:val="22"/>
                      <w:szCs w:val="22"/>
                      <w:lang w:val="lv-LV"/>
                    </w:rPr>
                    <w:t>)</w:t>
                  </w:r>
                </w:p>
              </w:tc>
              <w:tc>
                <w:tcPr>
                  <w:tcW w:w="1103" w:type="dxa"/>
                </w:tcPr>
                <w:p w14:paraId="49439108" w14:textId="1673AB9F" w:rsidR="00E17384" w:rsidRPr="00C1173E" w:rsidRDefault="004F0A42" w:rsidP="00E17384">
                  <w:pPr>
                    <w:pStyle w:val="NormalWeb"/>
                    <w:spacing w:before="0" w:beforeAutospacing="0" w:after="0" w:afterAutospacing="0"/>
                    <w:jc w:val="center"/>
                    <w:rPr>
                      <w:rFonts w:ascii="Times New Roman" w:hAnsi="Times New Roman"/>
                      <w:b/>
                      <w:bCs/>
                      <w:sz w:val="22"/>
                      <w:szCs w:val="22"/>
                      <w:lang w:val="lv-LV" w:eastAsia="lv-LV"/>
                    </w:rPr>
                  </w:pPr>
                  <w:r w:rsidRPr="00C1173E">
                    <w:rPr>
                      <w:rFonts w:ascii="Times New Roman" w:hAnsi="Times New Roman"/>
                      <w:b/>
                      <w:bCs/>
                      <w:sz w:val="22"/>
                      <w:szCs w:val="22"/>
                      <w:lang w:val="lv-LV" w:eastAsia="lv-LV"/>
                    </w:rPr>
                    <w:t>160</w:t>
                  </w:r>
                </w:p>
              </w:tc>
            </w:tr>
          </w:tbl>
          <w:p w14:paraId="4943910A" w14:textId="77777777" w:rsidR="00E17384" w:rsidRPr="00C1173E" w:rsidRDefault="00E17384" w:rsidP="00E17384">
            <w:pPr>
              <w:pStyle w:val="NormalWeb"/>
              <w:spacing w:before="0" w:beforeAutospacing="0" w:after="0" w:afterAutospacing="0"/>
              <w:ind w:firstLine="388"/>
              <w:jc w:val="both"/>
              <w:rPr>
                <w:rFonts w:ascii="Times New Roman" w:hAnsi="Times New Roman"/>
                <w:bCs/>
                <w:sz w:val="24"/>
                <w:szCs w:val="24"/>
                <w:lang w:val="lv-LV" w:eastAsia="lv-LV"/>
              </w:rPr>
            </w:pPr>
          </w:p>
          <w:p w14:paraId="4943910B" w14:textId="34E61CDD" w:rsidR="00E17384" w:rsidRPr="00C1173E" w:rsidRDefault="00E17384" w:rsidP="00E17384">
            <w:pPr>
              <w:pStyle w:val="NormalWeb"/>
              <w:spacing w:before="0" w:beforeAutospacing="0" w:after="0" w:afterAutospacing="0"/>
              <w:ind w:firstLine="388"/>
              <w:jc w:val="both"/>
              <w:rPr>
                <w:rFonts w:ascii="Times New Roman" w:hAnsi="Times New Roman"/>
                <w:bCs/>
                <w:sz w:val="24"/>
                <w:szCs w:val="24"/>
                <w:lang w:val="lv-LV" w:eastAsia="lv-LV"/>
              </w:rPr>
            </w:pPr>
            <w:r w:rsidRPr="00C1173E">
              <w:rPr>
                <w:rFonts w:ascii="Times New Roman" w:hAnsi="Times New Roman"/>
                <w:bCs/>
                <w:sz w:val="24"/>
                <w:szCs w:val="24"/>
                <w:lang w:val="lv-LV" w:eastAsia="lv-LV"/>
              </w:rPr>
              <w:t xml:space="preserve">Tiešo izmaksu aprēķinā iekļauts ekspertu atalgojums </w:t>
            </w:r>
            <w:r w:rsidR="005C4A7D" w:rsidRPr="00C1173E">
              <w:rPr>
                <w:rFonts w:ascii="Times New Roman" w:hAnsi="Times New Roman"/>
                <w:bCs/>
                <w:i/>
                <w:sz w:val="24"/>
                <w:szCs w:val="24"/>
                <w:lang w:val="lv-LV" w:eastAsia="lv-LV"/>
              </w:rPr>
              <w:t>kompetenču, prasmju un zināšanu līmeņa novērtēšanas</w:t>
            </w:r>
            <w:r w:rsidR="003341BD" w:rsidRPr="00C1173E">
              <w:rPr>
                <w:rFonts w:ascii="Times New Roman" w:hAnsi="Times New Roman"/>
                <w:bCs/>
                <w:i/>
                <w:sz w:val="24"/>
                <w:szCs w:val="24"/>
                <w:lang w:val="lv-LV" w:eastAsia="lv-LV"/>
              </w:rPr>
              <w:t xml:space="preserve"> eksāmena</w:t>
            </w:r>
            <w:r w:rsidRPr="00C1173E">
              <w:rPr>
                <w:rFonts w:ascii="Times New Roman" w:hAnsi="Times New Roman"/>
                <w:bCs/>
                <w:i/>
                <w:sz w:val="24"/>
                <w:szCs w:val="24"/>
                <w:lang w:val="lv-LV" w:eastAsia="lv-LV"/>
              </w:rPr>
              <w:t xml:space="preserve"> </w:t>
            </w:r>
            <w:r w:rsidRPr="00C1173E">
              <w:rPr>
                <w:rFonts w:ascii="Times New Roman" w:hAnsi="Times New Roman"/>
                <w:bCs/>
                <w:sz w:val="24"/>
                <w:szCs w:val="24"/>
                <w:lang w:val="lv-LV" w:eastAsia="lv-LV"/>
              </w:rPr>
              <w:t xml:space="preserve">vērtēšanai, ir </w:t>
            </w:r>
            <w:r w:rsidR="00E95CFC" w:rsidRPr="00C1173E">
              <w:rPr>
                <w:rFonts w:ascii="Times New Roman" w:hAnsi="Times New Roman"/>
                <w:bCs/>
                <w:sz w:val="24"/>
                <w:szCs w:val="24"/>
                <w:lang w:val="lv-LV" w:eastAsia="lv-LV"/>
              </w:rPr>
              <w:t>4</w:t>
            </w:r>
            <w:r w:rsidRPr="00C1173E">
              <w:rPr>
                <w:rFonts w:ascii="Times New Roman" w:hAnsi="Times New Roman"/>
                <w:bCs/>
                <w:sz w:val="24"/>
                <w:szCs w:val="24"/>
                <w:lang w:val="lv-LV" w:eastAsia="lv-LV"/>
              </w:rPr>
              <w:t xml:space="preserve">0 </w:t>
            </w:r>
            <w:proofErr w:type="spellStart"/>
            <w:r w:rsidRPr="00C1173E">
              <w:rPr>
                <w:rFonts w:ascii="Times New Roman" w:hAnsi="Times New Roman"/>
                <w:bCs/>
                <w:i/>
                <w:sz w:val="24"/>
                <w:szCs w:val="24"/>
                <w:lang w:val="lv-LV" w:eastAsia="lv-LV"/>
              </w:rPr>
              <w:t>euro</w:t>
            </w:r>
            <w:proofErr w:type="spellEnd"/>
            <w:r w:rsidRPr="00C1173E">
              <w:rPr>
                <w:rFonts w:ascii="Times New Roman" w:hAnsi="Times New Roman"/>
                <w:bCs/>
                <w:sz w:val="24"/>
                <w:szCs w:val="24"/>
                <w:lang w:val="lv-LV" w:eastAsia="lv-LV"/>
              </w:rPr>
              <w:t xml:space="preserve"> stundā ieskaitot nodokļu maksājumus. Kā arī administratīvā personāla izmaksas </w:t>
            </w:r>
            <w:r w:rsidR="005C4A7D" w:rsidRPr="00C1173E">
              <w:rPr>
                <w:rFonts w:ascii="Times New Roman" w:hAnsi="Times New Roman"/>
                <w:bCs/>
                <w:i/>
                <w:sz w:val="24"/>
                <w:szCs w:val="24"/>
                <w:lang w:val="lv-LV" w:eastAsia="lv-LV"/>
              </w:rPr>
              <w:t>kompetenču, prasmju un zināšanu līmeņa novērtēšanas</w:t>
            </w:r>
            <w:r w:rsidR="00EE3CCF" w:rsidRPr="00C1173E">
              <w:rPr>
                <w:rFonts w:ascii="Times New Roman" w:hAnsi="Times New Roman"/>
                <w:bCs/>
                <w:i/>
                <w:sz w:val="24"/>
                <w:szCs w:val="24"/>
                <w:lang w:val="lv-LV" w:eastAsia="lv-LV"/>
              </w:rPr>
              <w:t xml:space="preserve"> </w:t>
            </w:r>
            <w:r w:rsidR="00EE3CCF" w:rsidRPr="00C1173E">
              <w:rPr>
                <w:rFonts w:ascii="Times New Roman" w:hAnsi="Times New Roman"/>
                <w:bCs/>
                <w:sz w:val="24"/>
                <w:szCs w:val="24"/>
                <w:lang w:val="lv-LV" w:eastAsia="lv-LV"/>
              </w:rPr>
              <w:t>eksāmena</w:t>
            </w:r>
            <w:r w:rsidR="00EE3CCF" w:rsidRPr="00C1173E">
              <w:rPr>
                <w:rFonts w:ascii="Times New Roman" w:hAnsi="Times New Roman"/>
                <w:bCs/>
                <w:i/>
                <w:sz w:val="24"/>
                <w:szCs w:val="24"/>
                <w:lang w:val="lv-LV" w:eastAsia="lv-LV"/>
              </w:rPr>
              <w:t xml:space="preserve"> </w:t>
            </w:r>
            <w:r w:rsidRPr="00C1173E">
              <w:rPr>
                <w:rFonts w:ascii="Times New Roman" w:hAnsi="Times New Roman"/>
                <w:bCs/>
                <w:i/>
                <w:sz w:val="24"/>
                <w:szCs w:val="24"/>
                <w:lang w:val="lv-LV" w:eastAsia="lv-LV"/>
              </w:rPr>
              <w:t xml:space="preserve">organizēšanai, </w:t>
            </w:r>
            <w:r w:rsidRPr="00C1173E">
              <w:rPr>
                <w:rFonts w:ascii="Times New Roman" w:hAnsi="Times New Roman"/>
                <w:bCs/>
                <w:sz w:val="24"/>
                <w:szCs w:val="24"/>
                <w:lang w:val="lv-LV" w:eastAsia="lv-LV"/>
              </w:rPr>
              <w:t xml:space="preserve">kas vidēji sastāda </w:t>
            </w:r>
            <w:r w:rsidR="001A1B30" w:rsidRPr="00C1173E">
              <w:rPr>
                <w:rFonts w:ascii="Times New Roman" w:hAnsi="Times New Roman"/>
                <w:bCs/>
                <w:sz w:val="24"/>
                <w:szCs w:val="24"/>
                <w:lang w:val="lv-LV" w:eastAsia="lv-LV"/>
              </w:rPr>
              <w:t>10</w:t>
            </w:r>
            <w:r w:rsidRPr="00C1173E">
              <w:rPr>
                <w:rFonts w:ascii="Times New Roman" w:hAnsi="Times New Roman"/>
                <w:bCs/>
                <w:sz w:val="24"/>
                <w:szCs w:val="24"/>
                <w:lang w:val="lv-LV" w:eastAsia="lv-LV"/>
              </w:rPr>
              <w:t xml:space="preserve"> </w:t>
            </w:r>
            <w:proofErr w:type="spellStart"/>
            <w:r w:rsidRPr="00C1173E">
              <w:rPr>
                <w:rFonts w:ascii="Times New Roman" w:hAnsi="Times New Roman"/>
                <w:bCs/>
                <w:i/>
                <w:sz w:val="24"/>
                <w:szCs w:val="24"/>
                <w:lang w:val="lv-LV" w:eastAsia="lv-LV"/>
              </w:rPr>
              <w:t>euro</w:t>
            </w:r>
            <w:proofErr w:type="spellEnd"/>
            <w:r w:rsidRPr="00C1173E">
              <w:rPr>
                <w:rFonts w:ascii="Times New Roman" w:hAnsi="Times New Roman"/>
                <w:bCs/>
                <w:sz w:val="24"/>
                <w:szCs w:val="24"/>
                <w:lang w:val="lv-LV" w:eastAsia="lv-LV"/>
              </w:rPr>
              <w:t xml:space="preserve"> stundā</w:t>
            </w:r>
            <w:r w:rsidR="00085C48" w:rsidRPr="00C1173E">
              <w:rPr>
                <w:rFonts w:ascii="Times New Roman" w:hAnsi="Times New Roman"/>
                <w:bCs/>
                <w:sz w:val="24"/>
                <w:szCs w:val="24"/>
                <w:lang w:val="lv-LV" w:eastAsia="lv-LV"/>
              </w:rPr>
              <w:t>,</w:t>
            </w:r>
            <w:r w:rsidRPr="00C1173E">
              <w:rPr>
                <w:rFonts w:ascii="Times New Roman" w:hAnsi="Times New Roman"/>
                <w:bCs/>
                <w:sz w:val="24"/>
                <w:szCs w:val="24"/>
                <w:lang w:val="lv-LV" w:eastAsia="lv-LV"/>
              </w:rPr>
              <w:t xml:space="preserve"> ieskaitot nodokļu maksājumus.</w:t>
            </w:r>
          </w:p>
          <w:p w14:paraId="4943910C" w14:textId="71206123" w:rsidR="00E17384" w:rsidRPr="00C1173E" w:rsidRDefault="005C4A7D" w:rsidP="00E17384">
            <w:pPr>
              <w:pStyle w:val="NormalWeb"/>
              <w:spacing w:before="0" w:beforeAutospacing="0" w:after="0" w:afterAutospacing="0"/>
              <w:ind w:firstLine="402"/>
              <w:jc w:val="both"/>
              <w:rPr>
                <w:rFonts w:ascii="Times New Roman" w:hAnsi="Times New Roman"/>
                <w:bCs/>
                <w:sz w:val="24"/>
                <w:szCs w:val="24"/>
                <w:lang w:val="lv-LV" w:eastAsia="lv-LV"/>
              </w:rPr>
            </w:pPr>
            <w:r w:rsidRPr="00C1173E">
              <w:rPr>
                <w:rFonts w:ascii="Times New Roman" w:hAnsi="Times New Roman"/>
                <w:bCs/>
                <w:i/>
                <w:sz w:val="24"/>
                <w:szCs w:val="24"/>
                <w:lang w:val="lv-LV" w:eastAsia="lv-LV"/>
              </w:rPr>
              <w:t>Kompetenču, prasmju un zināšanu līmeņa novērtēšanas</w:t>
            </w:r>
            <w:r w:rsidR="00EE3CCF" w:rsidRPr="00C1173E">
              <w:rPr>
                <w:rFonts w:ascii="Times New Roman" w:hAnsi="Times New Roman"/>
                <w:bCs/>
                <w:i/>
                <w:sz w:val="24"/>
                <w:szCs w:val="24"/>
                <w:lang w:val="lv-LV" w:eastAsia="lv-LV"/>
              </w:rPr>
              <w:t xml:space="preserve"> eksāmena </w:t>
            </w:r>
            <w:r w:rsidR="00E17384" w:rsidRPr="00C1173E">
              <w:rPr>
                <w:rFonts w:ascii="Times New Roman" w:hAnsi="Times New Roman"/>
                <w:bCs/>
                <w:sz w:val="24"/>
                <w:szCs w:val="24"/>
                <w:lang w:val="lv-LV" w:eastAsia="lv-LV"/>
              </w:rPr>
              <w:t xml:space="preserve">komisijā ir vismaz divi eksperti, kuri pārbauda būvspeciālista rakstiski sniegtās atbildes uz </w:t>
            </w:r>
            <w:r w:rsidR="001A1B30" w:rsidRPr="00C1173E">
              <w:rPr>
                <w:rFonts w:ascii="Times New Roman" w:hAnsi="Times New Roman"/>
                <w:bCs/>
                <w:sz w:val="24"/>
                <w:szCs w:val="24"/>
                <w:lang w:val="lv-LV" w:eastAsia="lv-LV"/>
              </w:rPr>
              <w:t xml:space="preserve">eksāmena </w:t>
            </w:r>
            <w:r w:rsidR="00E17384" w:rsidRPr="00C1173E">
              <w:rPr>
                <w:rFonts w:ascii="Times New Roman" w:hAnsi="Times New Roman"/>
                <w:bCs/>
                <w:sz w:val="24"/>
                <w:szCs w:val="24"/>
                <w:lang w:val="lv-LV" w:eastAsia="lv-LV"/>
              </w:rPr>
              <w:t>jautājumiem</w:t>
            </w:r>
            <w:r w:rsidR="001A1B30" w:rsidRPr="00C1173E">
              <w:rPr>
                <w:rFonts w:ascii="Times New Roman" w:hAnsi="Times New Roman"/>
                <w:bCs/>
                <w:sz w:val="24"/>
                <w:szCs w:val="24"/>
                <w:lang w:val="lv-LV" w:eastAsia="lv-LV"/>
              </w:rPr>
              <w:t>.</w:t>
            </w:r>
          </w:p>
          <w:p w14:paraId="4943910D" w14:textId="1CCD12B9" w:rsidR="00E17384" w:rsidRPr="00C1173E" w:rsidRDefault="005C4A7D" w:rsidP="00E17384">
            <w:pPr>
              <w:shd w:val="clear" w:color="auto" w:fill="FFFFFF"/>
              <w:ind w:firstLine="394"/>
              <w:jc w:val="both"/>
            </w:pPr>
            <w:r w:rsidRPr="00C1173E">
              <w:rPr>
                <w:bCs/>
                <w:i/>
              </w:rPr>
              <w:t>Kompetenču, prasmju un zināšanu līmeņa novērtēšana</w:t>
            </w:r>
            <w:r w:rsidR="00EE3CCF" w:rsidRPr="00C1173E">
              <w:rPr>
                <w:bCs/>
                <w:i/>
              </w:rPr>
              <w:t xml:space="preserve">s eksāmena </w:t>
            </w:r>
            <w:r w:rsidR="00E17384" w:rsidRPr="00C1173E">
              <w:t xml:space="preserve">tiešās izmaksas uz vienu būvspeciālistu sastāda </w:t>
            </w:r>
            <w:r w:rsidR="00326493" w:rsidRPr="00C1173E">
              <w:t xml:space="preserve">160 </w:t>
            </w:r>
            <w:proofErr w:type="spellStart"/>
            <w:r w:rsidR="00E17384" w:rsidRPr="00C1173E">
              <w:rPr>
                <w:i/>
              </w:rPr>
              <w:t>euro</w:t>
            </w:r>
            <w:proofErr w:type="spellEnd"/>
            <w:r w:rsidR="00E17384" w:rsidRPr="00C1173E">
              <w:t>.</w:t>
            </w:r>
          </w:p>
          <w:p w14:paraId="4943910E" w14:textId="77777777" w:rsidR="00E17384" w:rsidRPr="00C1173E" w:rsidRDefault="00E17384" w:rsidP="00E17384">
            <w:pPr>
              <w:pStyle w:val="NormalWeb"/>
              <w:spacing w:before="0" w:beforeAutospacing="0" w:after="0" w:afterAutospacing="0"/>
              <w:ind w:firstLine="402"/>
              <w:jc w:val="both"/>
              <w:rPr>
                <w:rFonts w:ascii="Times New Roman" w:hAnsi="Times New Roman"/>
                <w:bCs/>
                <w:sz w:val="12"/>
                <w:szCs w:val="24"/>
                <w:lang w:val="lv-LV" w:eastAsia="lv-LV"/>
              </w:rPr>
            </w:pPr>
          </w:p>
          <w:p w14:paraId="4943910F" w14:textId="77777777" w:rsidR="00E17384" w:rsidRPr="00C1173E" w:rsidRDefault="00E17384" w:rsidP="00E17384">
            <w:pPr>
              <w:shd w:val="clear" w:color="auto" w:fill="FFFFFF"/>
              <w:jc w:val="both"/>
              <w:rPr>
                <w:b/>
                <w:u w:val="single"/>
              </w:rPr>
            </w:pPr>
            <w:r w:rsidRPr="00C1173E">
              <w:rPr>
                <w:b/>
                <w:u w:val="single"/>
              </w:rPr>
              <w:t>Netiešās izmaksas</w:t>
            </w:r>
          </w:p>
          <w:p w14:paraId="49439110" w14:textId="77777777" w:rsidR="00E17384" w:rsidRPr="00C1173E" w:rsidRDefault="00E17384" w:rsidP="00E17384">
            <w:pPr>
              <w:jc w:val="right"/>
              <w:rPr>
                <w:b/>
                <w:i/>
              </w:rPr>
            </w:pPr>
            <w:r w:rsidRPr="00C1173E">
              <w:rPr>
                <w:i/>
              </w:rPr>
              <w:t>7</w:t>
            </w:r>
            <w:r w:rsidRPr="00C1173E">
              <w:rPr>
                <w:b/>
                <w:i/>
              </w:rPr>
              <w:t>.</w:t>
            </w:r>
            <w:r w:rsidRPr="00C1173E">
              <w:rPr>
                <w:i/>
                <w:lang w:eastAsia="x-none"/>
              </w:rPr>
              <w:t>tabula</w:t>
            </w:r>
          </w:p>
          <w:p w14:paraId="49439111" w14:textId="3A857E6E" w:rsidR="00E95CFC" w:rsidRPr="00C1173E" w:rsidRDefault="00E95CFC" w:rsidP="00E95CFC">
            <w:pPr>
              <w:jc w:val="center"/>
              <w:rPr>
                <w:b/>
              </w:rPr>
            </w:pPr>
            <w:r w:rsidRPr="00C1173E">
              <w:rPr>
                <w:b/>
              </w:rPr>
              <w:t xml:space="preserve">Būvspeciālistu </w:t>
            </w:r>
            <w:r w:rsidR="005C4A7D" w:rsidRPr="00C1173E">
              <w:rPr>
                <w:b/>
              </w:rPr>
              <w:t>kompetenču, prasmju un zināšanu līmeņa novērtēšana</w:t>
            </w:r>
            <w:r w:rsidRPr="00C1173E">
              <w:rPr>
                <w:b/>
              </w:rPr>
              <w:t xml:space="preserve">s netiešo izmaksu aprēķins </w:t>
            </w:r>
          </w:p>
          <w:tbl>
            <w:tblPr>
              <w:tblStyle w:val="TableGrid"/>
              <w:tblW w:w="0" w:type="auto"/>
              <w:jc w:val="center"/>
              <w:tblLook w:val="04A0" w:firstRow="1" w:lastRow="0" w:firstColumn="1" w:lastColumn="0" w:noHBand="0" w:noVBand="1"/>
            </w:tblPr>
            <w:tblGrid>
              <w:gridCol w:w="3550"/>
              <w:gridCol w:w="1559"/>
            </w:tblGrid>
            <w:tr w:rsidR="00E17384" w:rsidRPr="00C1173E" w14:paraId="49439114" w14:textId="77777777" w:rsidTr="009A714F">
              <w:trPr>
                <w:trHeight w:val="687"/>
                <w:jc w:val="center"/>
              </w:trPr>
              <w:tc>
                <w:tcPr>
                  <w:tcW w:w="3550" w:type="dxa"/>
                  <w:vAlign w:val="center"/>
                </w:tcPr>
                <w:p w14:paraId="49439112"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Rādītājs (izmaksu veids)</w:t>
                  </w:r>
                </w:p>
              </w:tc>
              <w:tc>
                <w:tcPr>
                  <w:tcW w:w="1559" w:type="dxa"/>
                  <w:vAlign w:val="center"/>
                </w:tcPr>
                <w:p w14:paraId="49439113"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Izmaksu apjoms gadā </w:t>
                  </w:r>
                  <w:r w:rsidRPr="00C1173E">
                    <w:rPr>
                      <w:rFonts w:ascii="Times New Roman" w:hAnsi="Times New Roman"/>
                      <w:bCs/>
                      <w:i/>
                      <w:sz w:val="22"/>
                      <w:szCs w:val="22"/>
                      <w:lang w:val="lv-LV" w:eastAsia="lv-LV"/>
                    </w:rPr>
                    <w:t>(euro)</w:t>
                  </w:r>
                </w:p>
              </w:tc>
            </w:tr>
            <w:tr w:rsidR="0008532E" w:rsidRPr="00C1173E" w14:paraId="49439117" w14:textId="77777777" w:rsidTr="009A714F">
              <w:trPr>
                <w:jc w:val="center"/>
              </w:trPr>
              <w:tc>
                <w:tcPr>
                  <w:tcW w:w="3550" w:type="dxa"/>
                  <w:vAlign w:val="center"/>
                </w:tcPr>
                <w:p w14:paraId="49439115" w14:textId="2A5F8144" w:rsidR="0008532E" w:rsidRPr="00C1173E" w:rsidRDefault="0008532E" w:rsidP="0008532E">
                  <w:pPr>
                    <w:rPr>
                      <w:sz w:val="22"/>
                      <w:szCs w:val="22"/>
                    </w:rPr>
                  </w:pPr>
                  <w:r w:rsidRPr="00C1173E">
                    <w:rPr>
                      <w:sz w:val="22"/>
                      <w:szCs w:val="22"/>
                    </w:rPr>
                    <w:t xml:space="preserve">Telpu īre un uzturēšanas izdevumi (ieskaitot komunālos, un apsaimniekošanas maksājumus) </w:t>
                  </w:r>
                </w:p>
              </w:tc>
              <w:tc>
                <w:tcPr>
                  <w:tcW w:w="1559" w:type="dxa"/>
                  <w:vAlign w:val="center"/>
                </w:tcPr>
                <w:p w14:paraId="49439116" w14:textId="78AF7346" w:rsidR="0008532E" w:rsidRPr="00C1173E" w:rsidRDefault="0008532E" w:rsidP="0008532E">
                  <w:pPr>
                    <w:jc w:val="center"/>
                    <w:rPr>
                      <w:sz w:val="22"/>
                      <w:szCs w:val="22"/>
                    </w:rPr>
                  </w:pPr>
                  <w:r w:rsidRPr="00C1173E">
                    <w:rPr>
                      <w:sz w:val="22"/>
                      <w:szCs w:val="22"/>
                    </w:rPr>
                    <w:t>14</w:t>
                  </w:r>
                  <w:r w:rsidR="00507EF1" w:rsidRPr="00C1173E">
                    <w:rPr>
                      <w:sz w:val="22"/>
                      <w:szCs w:val="22"/>
                    </w:rPr>
                    <w:t>7</w:t>
                  </w:r>
                </w:p>
              </w:tc>
            </w:tr>
            <w:tr w:rsidR="0008532E" w:rsidRPr="00C1173E" w14:paraId="4943911A" w14:textId="77777777" w:rsidTr="009A714F">
              <w:trPr>
                <w:jc w:val="center"/>
              </w:trPr>
              <w:tc>
                <w:tcPr>
                  <w:tcW w:w="3550" w:type="dxa"/>
                  <w:vAlign w:val="center"/>
                </w:tcPr>
                <w:p w14:paraId="49439118" w14:textId="5F30AAFA" w:rsidR="0008532E" w:rsidRPr="00C1173E" w:rsidRDefault="0008532E" w:rsidP="0008532E">
                  <w:pPr>
                    <w:rPr>
                      <w:sz w:val="22"/>
                      <w:szCs w:val="22"/>
                    </w:rPr>
                  </w:pPr>
                  <w:r w:rsidRPr="00C1173E">
                    <w:rPr>
                      <w:sz w:val="22"/>
                      <w:szCs w:val="22"/>
                    </w:rPr>
                    <w:t>Administrācijas izmaksas</w:t>
                  </w:r>
                </w:p>
              </w:tc>
              <w:tc>
                <w:tcPr>
                  <w:tcW w:w="1559" w:type="dxa"/>
                  <w:vAlign w:val="center"/>
                </w:tcPr>
                <w:p w14:paraId="49439119" w14:textId="7DE630B3" w:rsidR="0008532E" w:rsidRPr="00C1173E" w:rsidRDefault="0008532E" w:rsidP="0008532E">
                  <w:pPr>
                    <w:jc w:val="center"/>
                    <w:rPr>
                      <w:sz w:val="22"/>
                      <w:szCs w:val="22"/>
                    </w:rPr>
                  </w:pPr>
                  <w:r w:rsidRPr="00C1173E">
                    <w:rPr>
                      <w:sz w:val="22"/>
                      <w:szCs w:val="22"/>
                    </w:rPr>
                    <w:t>24</w:t>
                  </w:r>
                </w:p>
              </w:tc>
            </w:tr>
            <w:tr w:rsidR="0008532E" w:rsidRPr="00C1173E" w14:paraId="4943911D" w14:textId="77777777" w:rsidTr="009A714F">
              <w:trPr>
                <w:jc w:val="center"/>
              </w:trPr>
              <w:tc>
                <w:tcPr>
                  <w:tcW w:w="3550" w:type="dxa"/>
                  <w:vAlign w:val="center"/>
                </w:tcPr>
                <w:p w14:paraId="4943911B" w14:textId="750D4EAD" w:rsidR="0008532E" w:rsidRPr="00C1173E" w:rsidRDefault="0008532E" w:rsidP="0008532E">
                  <w:pPr>
                    <w:rPr>
                      <w:sz w:val="22"/>
                      <w:szCs w:val="22"/>
                    </w:rPr>
                  </w:pPr>
                  <w:r w:rsidRPr="00C1173E">
                    <w:rPr>
                      <w:sz w:val="22"/>
                      <w:szCs w:val="22"/>
                    </w:rPr>
                    <w:lastRenderedPageBreak/>
                    <w:t>Sakaru pakalpojumi</w:t>
                  </w:r>
                </w:p>
              </w:tc>
              <w:tc>
                <w:tcPr>
                  <w:tcW w:w="1559" w:type="dxa"/>
                  <w:vAlign w:val="center"/>
                </w:tcPr>
                <w:p w14:paraId="4943911C" w14:textId="44E6D82B" w:rsidR="0008532E" w:rsidRPr="00C1173E" w:rsidRDefault="0008532E" w:rsidP="0008532E">
                  <w:pPr>
                    <w:jc w:val="center"/>
                    <w:rPr>
                      <w:sz w:val="22"/>
                      <w:szCs w:val="22"/>
                    </w:rPr>
                  </w:pPr>
                  <w:r w:rsidRPr="00C1173E">
                    <w:rPr>
                      <w:sz w:val="22"/>
                      <w:szCs w:val="22"/>
                    </w:rPr>
                    <w:t>37</w:t>
                  </w:r>
                  <w:r w:rsidR="00507EF1" w:rsidRPr="00C1173E">
                    <w:rPr>
                      <w:sz w:val="22"/>
                      <w:szCs w:val="22"/>
                    </w:rPr>
                    <w:t>,8</w:t>
                  </w:r>
                </w:p>
              </w:tc>
            </w:tr>
            <w:tr w:rsidR="0008532E" w:rsidRPr="00C1173E" w14:paraId="49439120" w14:textId="77777777" w:rsidTr="009A714F">
              <w:trPr>
                <w:jc w:val="center"/>
              </w:trPr>
              <w:tc>
                <w:tcPr>
                  <w:tcW w:w="3550" w:type="dxa"/>
                  <w:vAlign w:val="center"/>
                </w:tcPr>
                <w:p w14:paraId="4943911E" w14:textId="297D9183" w:rsidR="0008532E" w:rsidRPr="00C1173E" w:rsidRDefault="0008532E" w:rsidP="0008532E">
                  <w:pPr>
                    <w:rPr>
                      <w:sz w:val="22"/>
                      <w:szCs w:val="22"/>
                    </w:rPr>
                  </w:pPr>
                  <w:r w:rsidRPr="00C1173E">
                    <w:rPr>
                      <w:sz w:val="22"/>
                      <w:szCs w:val="22"/>
                    </w:rPr>
                    <w:t>Iekārtas, inventāra un aparatūras remonts, tehniskā apkalpošana</w:t>
                  </w:r>
                </w:p>
              </w:tc>
              <w:tc>
                <w:tcPr>
                  <w:tcW w:w="1559" w:type="dxa"/>
                  <w:vAlign w:val="center"/>
                </w:tcPr>
                <w:p w14:paraId="4943911F" w14:textId="6BE2C124" w:rsidR="0008532E" w:rsidRPr="00C1173E" w:rsidRDefault="0008532E" w:rsidP="0008532E">
                  <w:pPr>
                    <w:jc w:val="center"/>
                    <w:rPr>
                      <w:sz w:val="22"/>
                      <w:szCs w:val="22"/>
                    </w:rPr>
                  </w:pPr>
                  <w:r w:rsidRPr="00C1173E">
                    <w:rPr>
                      <w:sz w:val="22"/>
                      <w:szCs w:val="22"/>
                    </w:rPr>
                    <w:t>1</w:t>
                  </w:r>
                  <w:r w:rsidR="00507EF1" w:rsidRPr="00C1173E">
                    <w:rPr>
                      <w:sz w:val="22"/>
                      <w:szCs w:val="22"/>
                    </w:rPr>
                    <w:t>3</w:t>
                  </w:r>
                </w:p>
              </w:tc>
            </w:tr>
            <w:tr w:rsidR="0008532E" w:rsidRPr="00C1173E" w14:paraId="49439123" w14:textId="77777777" w:rsidTr="009A714F">
              <w:trPr>
                <w:jc w:val="center"/>
              </w:trPr>
              <w:tc>
                <w:tcPr>
                  <w:tcW w:w="3550" w:type="dxa"/>
                  <w:vAlign w:val="center"/>
                </w:tcPr>
                <w:p w14:paraId="49439121" w14:textId="3B1E202E" w:rsidR="0008532E" w:rsidRPr="00C1173E" w:rsidRDefault="0008532E" w:rsidP="0008532E">
                  <w:pPr>
                    <w:rPr>
                      <w:sz w:val="22"/>
                      <w:szCs w:val="22"/>
                    </w:rPr>
                  </w:pPr>
                  <w:r w:rsidRPr="00C1173E">
                    <w:rPr>
                      <w:sz w:val="22"/>
                      <w:szCs w:val="22"/>
                    </w:rPr>
                    <w:t>Administrācijas izdevumi (prese, ūdens, darba drošība)</w:t>
                  </w:r>
                </w:p>
              </w:tc>
              <w:tc>
                <w:tcPr>
                  <w:tcW w:w="1559" w:type="dxa"/>
                  <w:vAlign w:val="center"/>
                </w:tcPr>
                <w:p w14:paraId="49439122" w14:textId="01946727" w:rsidR="0008532E" w:rsidRPr="00C1173E" w:rsidRDefault="0008532E" w:rsidP="0008532E">
                  <w:pPr>
                    <w:jc w:val="center"/>
                    <w:rPr>
                      <w:sz w:val="22"/>
                      <w:szCs w:val="22"/>
                    </w:rPr>
                  </w:pPr>
                  <w:r w:rsidRPr="00C1173E">
                    <w:rPr>
                      <w:sz w:val="22"/>
                      <w:szCs w:val="22"/>
                    </w:rPr>
                    <w:t>1</w:t>
                  </w:r>
                  <w:r w:rsidR="00507EF1" w:rsidRPr="00C1173E">
                    <w:rPr>
                      <w:sz w:val="22"/>
                      <w:szCs w:val="22"/>
                    </w:rPr>
                    <w:t>6,2</w:t>
                  </w:r>
                </w:p>
              </w:tc>
            </w:tr>
            <w:tr w:rsidR="0008532E" w:rsidRPr="00C1173E" w14:paraId="49439126" w14:textId="77777777" w:rsidTr="009A714F">
              <w:trPr>
                <w:jc w:val="center"/>
              </w:trPr>
              <w:tc>
                <w:tcPr>
                  <w:tcW w:w="3550" w:type="dxa"/>
                  <w:vAlign w:val="center"/>
                </w:tcPr>
                <w:p w14:paraId="49439124" w14:textId="69AEE309" w:rsidR="0008532E" w:rsidRPr="00C1173E" w:rsidRDefault="0008532E" w:rsidP="0008532E">
                  <w:pPr>
                    <w:rPr>
                      <w:sz w:val="22"/>
                      <w:szCs w:val="22"/>
                    </w:rPr>
                  </w:pPr>
                  <w:r w:rsidRPr="00C1173E">
                    <w:rPr>
                      <w:sz w:val="22"/>
                      <w:szCs w:val="22"/>
                    </w:rPr>
                    <w:t>Izdevumi par kvalifikācijas paaugstināšanu</w:t>
                  </w:r>
                </w:p>
              </w:tc>
              <w:tc>
                <w:tcPr>
                  <w:tcW w:w="1559" w:type="dxa"/>
                  <w:vAlign w:val="center"/>
                </w:tcPr>
                <w:p w14:paraId="49439125" w14:textId="042EAD12" w:rsidR="0008532E" w:rsidRPr="00C1173E" w:rsidRDefault="004F0A42" w:rsidP="0008532E">
                  <w:pPr>
                    <w:jc w:val="center"/>
                    <w:rPr>
                      <w:sz w:val="22"/>
                      <w:szCs w:val="22"/>
                    </w:rPr>
                  </w:pPr>
                  <w:r w:rsidRPr="00C1173E">
                    <w:rPr>
                      <w:sz w:val="22"/>
                      <w:szCs w:val="22"/>
                    </w:rPr>
                    <w:t>37,8</w:t>
                  </w:r>
                </w:p>
              </w:tc>
            </w:tr>
            <w:tr w:rsidR="0008532E" w:rsidRPr="00C1173E" w14:paraId="4943912C" w14:textId="77777777" w:rsidTr="009A714F">
              <w:trPr>
                <w:jc w:val="center"/>
              </w:trPr>
              <w:tc>
                <w:tcPr>
                  <w:tcW w:w="3550" w:type="dxa"/>
                  <w:vAlign w:val="center"/>
                </w:tcPr>
                <w:p w14:paraId="4943912A" w14:textId="6ADF1499" w:rsidR="0008532E" w:rsidRPr="00C1173E" w:rsidRDefault="0008532E" w:rsidP="0008532E">
                  <w:pPr>
                    <w:rPr>
                      <w:sz w:val="22"/>
                      <w:szCs w:val="22"/>
                    </w:rPr>
                  </w:pPr>
                  <w:r w:rsidRPr="00C1173E">
                    <w:rPr>
                      <w:sz w:val="22"/>
                      <w:szCs w:val="22"/>
                    </w:rPr>
                    <w:t>Biroja preces</w:t>
                  </w:r>
                </w:p>
              </w:tc>
              <w:tc>
                <w:tcPr>
                  <w:tcW w:w="1559" w:type="dxa"/>
                  <w:vAlign w:val="center"/>
                </w:tcPr>
                <w:p w14:paraId="4943912B" w14:textId="7AF59527" w:rsidR="0008532E" w:rsidRPr="00C1173E" w:rsidRDefault="0008532E" w:rsidP="0008532E">
                  <w:pPr>
                    <w:jc w:val="center"/>
                    <w:rPr>
                      <w:sz w:val="22"/>
                      <w:szCs w:val="22"/>
                    </w:rPr>
                  </w:pPr>
                  <w:r w:rsidRPr="00C1173E">
                    <w:rPr>
                      <w:sz w:val="22"/>
                      <w:szCs w:val="22"/>
                    </w:rPr>
                    <w:t>14</w:t>
                  </w:r>
                  <w:r w:rsidR="00507EF1" w:rsidRPr="00C1173E">
                    <w:rPr>
                      <w:sz w:val="22"/>
                      <w:szCs w:val="22"/>
                    </w:rPr>
                    <w:t>,04</w:t>
                  </w:r>
                </w:p>
              </w:tc>
            </w:tr>
            <w:tr w:rsidR="0008532E" w:rsidRPr="00C1173E" w14:paraId="4943912F" w14:textId="77777777" w:rsidTr="009A714F">
              <w:trPr>
                <w:jc w:val="center"/>
              </w:trPr>
              <w:tc>
                <w:tcPr>
                  <w:tcW w:w="3550" w:type="dxa"/>
                  <w:vAlign w:val="center"/>
                </w:tcPr>
                <w:p w14:paraId="4943912D" w14:textId="4F73EA41" w:rsidR="0008532E" w:rsidRPr="00C1173E" w:rsidRDefault="0008532E" w:rsidP="0008532E">
                  <w:pPr>
                    <w:rPr>
                      <w:sz w:val="22"/>
                      <w:szCs w:val="22"/>
                    </w:rPr>
                  </w:pPr>
                  <w:r w:rsidRPr="00C1173E">
                    <w:rPr>
                      <w:sz w:val="22"/>
                      <w:szCs w:val="22"/>
                    </w:rPr>
                    <w:t>Inventārs</w:t>
                  </w:r>
                </w:p>
              </w:tc>
              <w:tc>
                <w:tcPr>
                  <w:tcW w:w="1559" w:type="dxa"/>
                  <w:vAlign w:val="center"/>
                </w:tcPr>
                <w:p w14:paraId="4943912E" w14:textId="3A67ED28" w:rsidR="0008532E" w:rsidRPr="00C1173E" w:rsidRDefault="0008532E" w:rsidP="0008532E">
                  <w:pPr>
                    <w:jc w:val="center"/>
                    <w:rPr>
                      <w:sz w:val="22"/>
                      <w:szCs w:val="22"/>
                    </w:rPr>
                  </w:pPr>
                  <w:r w:rsidRPr="00C1173E">
                    <w:rPr>
                      <w:sz w:val="22"/>
                      <w:szCs w:val="22"/>
                    </w:rPr>
                    <w:t>5</w:t>
                  </w:r>
                  <w:r w:rsidR="00507EF1" w:rsidRPr="00C1173E">
                    <w:rPr>
                      <w:sz w:val="22"/>
                      <w:szCs w:val="22"/>
                    </w:rPr>
                    <w:t>,</w:t>
                  </w:r>
                  <w:r w:rsidRPr="00C1173E">
                    <w:rPr>
                      <w:sz w:val="22"/>
                      <w:szCs w:val="22"/>
                    </w:rPr>
                    <w:t>4</w:t>
                  </w:r>
                </w:p>
              </w:tc>
            </w:tr>
            <w:tr w:rsidR="00E17384" w:rsidRPr="00C1173E" w14:paraId="49439135" w14:textId="77777777" w:rsidTr="009A714F">
              <w:trPr>
                <w:jc w:val="center"/>
              </w:trPr>
              <w:tc>
                <w:tcPr>
                  <w:tcW w:w="3550" w:type="dxa"/>
                  <w:vAlign w:val="center"/>
                </w:tcPr>
                <w:p w14:paraId="49439133" w14:textId="77777777" w:rsidR="00E17384" w:rsidRPr="00C1173E" w:rsidRDefault="00E17384" w:rsidP="00E17384">
                  <w:pPr>
                    <w:jc w:val="right"/>
                    <w:rPr>
                      <w:b/>
                      <w:bCs/>
                      <w:sz w:val="22"/>
                      <w:szCs w:val="22"/>
                    </w:rPr>
                  </w:pPr>
                  <w:r w:rsidRPr="00C1173E">
                    <w:rPr>
                      <w:b/>
                      <w:bCs/>
                      <w:sz w:val="22"/>
                      <w:szCs w:val="22"/>
                    </w:rPr>
                    <w:t>Kopā netiešās izmaksas (</w:t>
                  </w:r>
                  <w:proofErr w:type="spellStart"/>
                  <w:r w:rsidRPr="00C1173E">
                    <w:rPr>
                      <w:b/>
                      <w:bCs/>
                      <w:i/>
                      <w:sz w:val="22"/>
                      <w:szCs w:val="22"/>
                    </w:rPr>
                    <w:t>euro</w:t>
                  </w:r>
                  <w:proofErr w:type="spellEnd"/>
                  <w:r w:rsidRPr="00C1173E">
                    <w:rPr>
                      <w:b/>
                      <w:bCs/>
                      <w:sz w:val="22"/>
                      <w:szCs w:val="22"/>
                    </w:rPr>
                    <w:t>)</w:t>
                  </w:r>
                </w:p>
              </w:tc>
              <w:tc>
                <w:tcPr>
                  <w:tcW w:w="1559" w:type="dxa"/>
                  <w:vAlign w:val="center"/>
                </w:tcPr>
                <w:p w14:paraId="49439134" w14:textId="1AAB012C" w:rsidR="00E17384" w:rsidRPr="00C1173E" w:rsidRDefault="004F0A42" w:rsidP="00E17384">
                  <w:pPr>
                    <w:jc w:val="center"/>
                    <w:rPr>
                      <w:b/>
                      <w:bCs/>
                      <w:sz w:val="22"/>
                      <w:szCs w:val="22"/>
                    </w:rPr>
                  </w:pPr>
                  <w:r w:rsidRPr="00C1173E">
                    <w:rPr>
                      <w:b/>
                      <w:bCs/>
                      <w:sz w:val="22"/>
                      <w:szCs w:val="22"/>
                    </w:rPr>
                    <w:t>295</w:t>
                  </w:r>
                  <w:r w:rsidR="003702FA" w:rsidRPr="00C1173E">
                    <w:rPr>
                      <w:b/>
                      <w:bCs/>
                      <w:sz w:val="22"/>
                      <w:szCs w:val="22"/>
                    </w:rPr>
                    <w:t>,</w:t>
                  </w:r>
                  <w:r w:rsidRPr="00C1173E">
                    <w:rPr>
                      <w:b/>
                      <w:bCs/>
                      <w:sz w:val="22"/>
                      <w:szCs w:val="22"/>
                    </w:rPr>
                    <w:t>24</w:t>
                  </w:r>
                </w:p>
              </w:tc>
            </w:tr>
            <w:tr w:rsidR="00E17384" w:rsidRPr="00C1173E" w14:paraId="49439138" w14:textId="77777777" w:rsidTr="009A714F">
              <w:trPr>
                <w:jc w:val="center"/>
              </w:trPr>
              <w:tc>
                <w:tcPr>
                  <w:tcW w:w="3550" w:type="dxa"/>
                  <w:vAlign w:val="center"/>
                </w:tcPr>
                <w:p w14:paraId="49439136" w14:textId="77777777" w:rsidR="00E17384" w:rsidRPr="00C1173E" w:rsidRDefault="00E17384" w:rsidP="00E17384">
                  <w:pPr>
                    <w:jc w:val="right"/>
                    <w:rPr>
                      <w:b/>
                      <w:bCs/>
                      <w:sz w:val="22"/>
                      <w:szCs w:val="22"/>
                    </w:rPr>
                  </w:pPr>
                  <w:r w:rsidRPr="00C1173E">
                    <w:rPr>
                      <w:b/>
                      <w:bCs/>
                      <w:sz w:val="22"/>
                      <w:szCs w:val="22"/>
                    </w:rPr>
                    <w:t>Kopā uz 1 būvspeciālistu (</w:t>
                  </w:r>
                  <w:r w:rsidRPr="00C1173E">
                    <w:rPr>
                      <w:b/>
                      <w:bCs/>
                      <w:i/>
                      <w:sz w:val="22"/>
                      <w:szCs w:val="22"/>
                    </w:rPr>
                    <w:t>euro</w:t>
                  </w:r>
                  <w:r w:rsidRPr="00C1173E">
                    <w:rPr>
                      <w:b/>
                      <w:bCs/>
                      <w:sz w:val="22"/>
                      <w:szCs w:val="22"/>
                    </w:rPr>
                    <w:t>)</w:t>
                  </w:r>
                </w:p>
              </w:tc>
              <w:tc>
                <w:tcPr>
                  <w:tcW w:w="1559" w:type="dxa"/>
                  <w:vAlign w:val="center"/>
                </w:tcPr>
                <w:p w14:paraId="49439137" w14:textId="06A5D5A9" w:rsidR="00E17384" w:rsidRPr="00C1173E" w:rsidRDefault="003702FA" w:rsidP="00E17384">
                  <w:pPr>
                    <w:jc w:val="center"/>
                    <w:rPr>
                      <w:b/>
                      <w:bCs/>
                      <w:sz w:val="22"/>
                      <w:szCs w:val="22"/>
                    </w:rPr>
                  </w:pPr>
                  <w:r w:rsidRPr="00C1173E">
                    <w:rPr>
                      <w:b/>
                      <w:bCs/>
                      <w:sz w:val="22"/>
                      <w:szCs w:val="22"/>
                    </w:rPr>
                    <w:t>1</w:t>
                  </w:r>
                  <w:r w:rsidR="004F0A42" w:rsidRPr="00C1173E">
                    <w:rPr>
                      <w:b/>
                      <w:bCs/>
                      <w:sz w:val="22"/>
                      <w:szCs w:val="22"/>
                    </w:rPr>
                    <w:t>4</w:t>
                  </w:r>
                  <w:r w:rsidR="00326493" w:rsidRPr="00C1173E">
                    <w:rPr>
                      <w:b/>
                      <w:bCs/>
                      <w:sz w:val="22"/>
                      <w:szCs w:val="22"/>
                    </w:rPr>
                    <w:t>8,00</w:t>
                  </w:r>
                </w:p>
              </w:tc>
            </w:tr>
          </w:tbl>
          <w:p w14:paraId="49439139" w14:textId="77777777" w:rsidR="00E17384" w:rsidRPr="00C1173E" w:rsidRDefault="00E17384" w:rsidP="00E17384">
            <w:pPr>
              <w:pStyle w:val="NormalWeb"/>
              <w:spacing w:before="0" w:beforeAutospacing="0" w:after="0" w:afterAutospacing="0"/>
              <w:ind w:firstLine="402"/>
              <w:jc w:val="both"/>
              <w:rPr>
                <w:rFonts w:ascii="Times New Roman" w:hAnsi="Times New Roman"/>
                <w:bCs/>
                <w:sz w:val="14"/>
                <w:szCs w:val="24"/>
                <w:lang w:val="lv-LV" w:eastAsia="lv-LV"/>
              </w:rPr>
            </w:pPr>
          </w:p>
          <w:p w14:paraId="4943913A" w14:textId="2D1218C8" w:rsidR="00E17384" w:rsidRPr="00C1173E" w:rsidRDefault="00E17384" w:rsidP="00E17384">
            <w:pPr>
              <w:autoSpaceDE w:val="0"/>
              <w:autoSpaceDN w:val="0"/>
              <w:adjustRightInd w:val="0"/>
              <w:ind w:firstLine="402"/>
              <w:jc w:val="both"/>
              <w:rPr>
                <w:bCs/>
              </w:rPr>
            </w:pPr>
            <w:r w:rsidRPr="00C1173E">
              <w:rPr>
                <w:bCs/>
              </w:rPr>
              <w:t xml:space="preserve">Netiešo izmaksu aprēķinā ņemti vērā </w:t>
            </w:r>
            <w:r w:rsidRPr="00C1173E">
              <w:rPr>
                <w:bCs/>
                <w:i/>
              </w:rPr>
              <w:t>kompetences pārbaudes iestāžu</w:t>
            </w:r>
            <w:r w:rsidRPr="00C1173E">
              <w:rPr>
                <w:bCs/>
              </w:rPr>
              <w:t xml:space="preserve"> iesniegtie aprēķini, aprēķinot vidējās netiešās izmaksas uz vienu </w:t>
            </w:r>
            <w:r w:rsidRPr="00C1173E">
              <w:rPr>
                <w:bCs/>
                <w:i/>
              </w:rPr>
              <w:t>kompetences pārbaudes iestādi</w:t>
            </w:r>
            <w:r w:rsidRPr="00C1173E">
              <w:rPr>
                <w:bCs/>
              </w:rPr>
              <w:t xml:space="preserve">. </w:t>
            </w:r>
            <w:r w:rsidR="005C4A7D" w:rsidRPr="00C1173E">
              <w:rPr>
                <w:bCs/>
                <w:i/>
              </w:rPr>
              <w:t>Kompetenču, prasmju un zināšanu līmeņa novērtēšana</w:t>
            </w:r>
            <w:r w:rsidR="00EE3CCF" w:rsidRPr="00C1173E">
              <w:rPr>
                <w:bCs/>
                <w:i/>
              </w:rPr>
              <w:t xml:space="preserve">s eksāmena </w:t>
            </w:r>
            <w:r w:rsidRPr="00C1173E">
              <w:rPr>
                <w:bCs/>
              </w:rPr>
              <w:t>netiešo izmaksu pozīcijas sakrīt ar būvspeciālistu uzraudzības netiešajām izmaksām. Netiešās izmaksas ir aprēķinātas ņemot vēr</w:t>
            </w:r>
            <w:r w:rsidR="00F92DC6">
              <w:rPr>
                <w:bCs/>
              </w:rPr>
              <w:t>ā</w:t>
            </w:r>
            <w:r w:rsidRPr="00C1173E">
              <w:rPr>
                <w:bCs/>
              </w:rPr>
              <w:t xml:space="preserve"> proporcionālo </w:t>
            </w:r>
            <w:r w:rsidR="00F92DC6">
              <w:rPr>
                <w:bCs/>
              </w:rPr>
              <w:t>B</w:t>
            </w:r>
            <w:r w:rsidRPr="00C1173E">
              <w:rPr>
                <w:bCs/>
              </w:rPr>
              <w:t>iroja darba noslodzi</w:t>
            </w:r>
            <w:r w:rsidR="00F92DC6">
              <w:rPr>
                <w:bCs/>
              </w:rPr>
              <w:t>,</w:t>
            </w:r>
            <w:r w:rsidRPr="00C1173E">
              <w:rPr>
                <w:bCs/>
              </w:rPr>
              <w:t xml:space="preserve"> sniedzot attiecīgo pakalpojumu</w:t>
            </w:r>
            <w:r w:rsidRPr="00C1173E">
              <w:rPr>
                <w:rStyle w:val="CommentReference"/>
                <w:rFonts w:eastAsia="Calibri"/>
                <w:lang w:eastAsia="en-US"/>
              </w:rPr>
              <w:t>,</w:t>
            </w:r>
            <w:r w:rsidRPr="00C1173E">
              <w:rPr>
                <w:bCs/>
              </w:rPr>
              <w:t xml:space="preserve"> jo  saņem samaks</w:t>
            </w:r>
            <w:r w:rsidR="00F92DC6">
              <w:rPr>
                <w:bCs/>
              </w:rPr>
              <w:t>u</w:t>
            </w:r>
            <w:r w:rsidRPr="00C1173E">
              <w:rPr>
                <w:bCs/>
              </w:rPr>
              <w:t xml:space="preserve"> arī par būvspeciālistu uzraudzību un sākotnējo būvspeciālistu kompetences novērtēšanu.</w:t>
            </w:r>
          </w:p>
          <w:p w14:paraId="4943913B" w14:textId="77777777" w:rsidR="00E17384" w:rsidRPr="00C1173E" w:rsidRDefault="00E17384" w:rsidP="00E17384">
            <w:pPr>
              <w:shd w:val="clear" w:color="auto" w:fill="FFFFFF"/>
              <w:jc w:val="both"/>
              <w:rPr>
                <w:sz w:val="14"/>
              </w:rPr>
            </w:pPr>
          </w:p>
          <w:p w14:paraId="4943913C" w14:textId="77777777" w:rsidR="00E17384" w:rsidRPr="00C1173E" w:rsidRDefault="00E95CFC" w:rsidP="00E17384">
            <w:pPr>
              <w:jc w:val="right"/>
              <w:rPr>
                <w:b/>
                <w:i/>
              </w:rPr>
            </w:pPr>
            <w:r w:rsidRPr="00C1173E">
              <w:rPr>
                <w:i/>
              </w:rPr>
              <w:t>8</w:t>
            </w:r>
            <w:r w:rsidR="00E17384" w:rsidRPr="00C1173E">
              <w:rPr>
                <w:b/>
                <w:i/>
              </w:rPr>
              <w:t>.</w:t>
            </w:r>
            <w:r w:rsidR="00E17384" w:rsidRPr="00C1173E">
              <w:rPr>
                <w:i/>
                <w:lang w:eastAsia="x-none"/>
              </w:rPr>
              <w:t>tabula</w:t>
            </w:r>
          </w:p>
          <w:p w14:paraId="4943913D" w14:textId="048ECE09" w:rsidR="00E17384" w:rsidRPr="00C1173E" w:rsidRDefault="00E17384" w:rsidP="00E17384">
            <w:pPr>
              <w:jc w:val="center"/>
              <w:rPr>
                <w:b/>
              </w:rPr>
            </w:pPr>
            <w:r w:rsidRPr="00C1173E">
              <w:rPr>
                <w:b/>
              </w:rPr>
              <w:t xml:space="preserve">Būvspeciālistu </w:t>
            </w:r>
            <w:r w:rsidR="00386EA8" w:rsidRPr="00C1173E">
              <w:rPr>
                <w:b/>
                <w:i/>
              </w:rPr>
              <w:t xml:space="preserve">kompetenču, prasmju un zināšanu līmeņa novērtēšanas </w:t>
            </w:r>
            <w:r w:rsidRPr="00C1173E">
              <w:rPr>
                <w:b/>
              </w:rPr>
              <w:t xml:space="preserve">izmaksu kopsavilkums </w:t>
            </w:r>
          </w:p>
          <w:tbl>
            <w:tblPr>
              <w:tblStyle w:val="TableGrid"/>
              <w:tblW w:w="0" w:type="auto"/>
              <w:jc w:val="center"/>
              <w:tblLook w:val="04A0" w:firstRow="1" w:lastRow="0" w:firstColumn="1" w:lastColumn="0" w:noHBand="0" w:noVBand="1"/>
            </w:tblPr>
            <w:tblGrid>
              <w:gridCol w:w="3091"/>
              <w:gridCol w:w="3036"/>
            </w:tblGrid>
            <w:tr w:rsidR="00E17384" w:rsidRPr="00C1173E" w14:paraId="49439140" w14:textId="77777777" w:rsidTr="00EE3CCF">
              <w:trPr>
                <w:jc w:val="center"/>
              </w:trPr>
              <w:tc>
                <w:tcPr>
                  <w:tcW w:w="3091" w:type="dxa"/>
                </w:tcPr>
                <w:p w14:paraId="4943913E"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Rādītājs (izmaksu veids)</w:t>
                  </w:r>
                </w:p>
              </w:tc>
              <w:tc>
                <w:tcPr>
                  <w:tcW w:w="3036" w:type="dxa"/>
                </w:tcPr>
                <w:p w14:paraId="4943913F" w14:textId="77777777"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Izmaksu apjoms gadā </w:t>
                  </w:r>
                  <w:r w:rsidRPr="00C1173E">
                    <w:rPr>
                      <w:rFonts w:ascii="Times New Roman" w:hAnsi="Times New Roman"/>
                      <w:bCs/>
                      <w:i/>
                      <w:sz w:val="22"/>
                      <w:szCs w:val="22"/>
                      <w:lang w:val="lv-LV" w:eastAsia="lv-LV"/>
                    </w:rPr>
                    <w:t>(euro)</w:t>
                  </w:r>
                </w:p>
              </w:tc>
            </w:tr>
            <w:tr w:rsidR="00E17384" w:rsidRPr="00C1173E" w14:paraId="49439143" w14:textId="77777777" w:rsidTr="00EE3CCF">
              <w:trPr>
                <w:jc w:val="center"/>
              </w:trPr>
              <w:tc>
                <w:tcPr>
                  <w:tcW w:w="3091" w:type="dxa"/>
                </w:tcPr>
                <w:p w14:paraId="49439141" w14:textId="77777777" w:rsidR="00E17384" w:rsidRPr="00C1173E"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Tiešās izmaksas</w:t>
                  </w:r>
                </w:p>
              </w:tc>
              <w:tc>
                <w:tcPr>
                  <w:tcW w:w="3036" w:type="dxa"/>
                </w:tcPr>
                <w:p w14:paraId="49439142" w14:textId="4D438EE5" w:rsidR="00E17384" w:rsidRPr="00C1173E" w:rsidRDefault="004F0A42"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rPr>
                    <w:t>320</w:t>
                  </w:r>
                </w:p>
              </w:tc>
            </w:tr>
            <w:tr w:rsidR="00E17384" w:rsidRPr="00C1173E" w14:paraId="49439146" w14:textId="77777777" w:rsidTr="00EE3CCF">
              <w:trPr>
                <w:jc w:val="center"/>
              </w:trPr>
              <w:tc>
                <w:tcPr>
                  <w:tcW w:w="3091" w:type="dxa"/>
                </w:tcPr>
                <w:p w14:paraId="49439144" w14:textId="77777777" w:rsidR="00E17384" w:rsidRPr="00C1173E"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Netiešās izmaksas</w:t>
                  </w:r>
                </w:p>
              </w:tc>
              <w:tc>
                <w:tcPr>
                  <w:tcW w:w="3036" w:type="dxa"/>
                </w:tcPr>
                <w:p w14:paraId="49439145" w14:textId="381B4E58" w:rsidR="00E17384" w:rsidRPr="00C1173E" w:rsidRDefault="004F0A42"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rPr>
                    <w:t>295,24</w:t>
                  </w:r>
                </w:p>
              </w:tc>
            </w:tr>
            <w:tr w:rsidR="00E17384" w:rsidRPr="00C1173E" w14:paraId="49439149" w14:textId="77777777" w:rsidTr="00EE3CCF">
              <w:trPr>
                <w:jc w:val="center"/>
              </w:trPr>
              <w:tc>
                <w:tcPr>
                  <w:tcW w:w="3091" w:type="dxa"/>
                </w:tcPr>
                <w:p w14:paraId="49439147" w14:textId="77777777" w:rsidR="00E17384" w:rsidRPr="00C1173E"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Pakalpojuma izmaksas kopā</w:t>
                  </w:r>
                </w:p>
              </w:tc>
              <w:tc>
                <w:tcPr>
                  <w:tcW w:w="3036" w:type="dxa"/>
                </w:tcPr>
                <w:p w14:paraId="49439148" w14:textId="634513E3" w:rsidR="00E17384" w:rsidRPr="00C1173E" w:rsidRDefault="004F0A42"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615,24</w:t>
                  </w:r>
                </w:p>
              </w:tc>
            </w:tr>
          </w:tbl>
          <w:p w14:paraId="4943914A" w14:textId="77777777" w:rsidR="00E17384" w:rsidRPr="00C1173E" w:rsidRDefault="00E17384" w:rsidP="00E17384">
            <w:pPr>
              <w:autoSpaceDE w:val="0"/>
              <w:autoSpaceDN w:val="0"/>
              <w:adjustRightInd w:val="0"/>
              <w:jc w:val="both"/>
              <w:rPr>
                <w:bCs/>
                <w:sz w:val="12"/>
              </w:rPr>
            </w:pPr>
          </w:p>
          <w:tbl>
            <w:tblPr>
              <w:tblStyle w:val="TableGrid"/>
              <w:tblW w:w="0" w:type="auto"/>
              <w:tblLook w:val="04A0" w:firstRow="1" w:lastRow="0" w:firstColumn="1" w:lastColumn="0" w:noHBand="0" w:noVBand="1"/>
            </w:tblPr>
            <w:tblGrid>
              <w:gridCol w:w="3364"/>
              <w:gridCol w:w="3365"/>
            </w:tblGrid>
            <w:tr w:rsidR="00E17384" w:rsidRPr="00C1173E" w14:paraId="4943914D" w14:textId="77777777" w:rsidTr="009A714F">
              <w:tc>
                <w:tcPr>
                  <w:tcW w:w="3364" w:type="dxa"/>
                </w:tcPr>
                <w:p w14:paraId="4943914B" w14:textId="77777777" w:rsidR="00E17384" w:rsidRPr="00C1173E" w:rsidRDefault="00E17384" w:rsidP="00E17384">
                  <w:pPr>
                    <w:pStyle w:val="NormalWeb"/>
                    <w:spacing w:before="0" w:beforeAutospacing="0" w:after="0" w:afterAutospacing="0"/>
                    <w:jc w:val="both"/>
                    <w:rPr>
                      <w:rFonts w:ascii="Times New Roman" w:hAnsi="Times New Roman"/>
                      <w:bCs/>
                      <w:sz w:val="22"/>
                      <w:szCs w:val="22"/>
                      <w:lang w:val="lv-LV" w:eastAsia="lv-LV"/>
                    </w:rPr>
                  </w:pPr>
                  <w:r w:rsidRPr="00C1173E">
                    <w:rPr>
                      <w:rFonts w:ascii="Times New Roman" w:hAnsi="Times New Roman"/>
                      <w:bCs/>
                      <w:sz w:val="22"/>
                      <w:szCs w:val="22"/>
                      <w:lang w:val="lv-LV" w:eastAsia="lv-LV"/>
                    </w:rPr>
                    <w:t xml:space="preserve">Maksas pakalpojumu vienību skaits gadā </w:t>
                  </w:r>
                </w:p>
              </w:tc>
              <w:tc>
                <w:tcPr>
                  <w:tcW w:w="3365" w:type="dxa"/>
                </w:tcPr>
                <w:p w14:paraId="4943914C" w14:textId="27E1585D" w:rsidR="00E17384" w:rsidRPr="00C1173E" w:rsidRDefault="00E17384" w:rsidP="00E17384">
                  <w:pPr>
                    <w:pStyle w:val="NormalWeb"/>
                    <w:spacing w:before="0" w:beforeAutospacing="0" w:after="0" w:afterAutospacing="0"/>
                    <w:jc w:val="center"/>
                    <w:rPr>
                      <w:rFonts w:ascii="Times New Roman" w:hAnsi="Times New Roman"/>
                      <w:bCs/>
                      <w:sz w:val="22"/>
                      <w:szCs w:val="22"/>
                      <w:lang w:val="lv-LV" w:eastAsia="lv-LV"/>
                    </w:rPr>
                  </w:pPr>
                  <w:r w:rsidRPr="00C1173E">
                    <w:rPr>
                      <w:rFonts w:ascii="Times New Roman" w:hAnsi="Times New Roman"/>
                      <w:bCs/>
                      <w:sz w:val="22"/>
                      <w:szCs w:val="22"/>
                      <w:lang w:val="lv-LV" w:eastAsia="lv-LV"/>
                    </w:rPr>
                    <w:t>2</w:t>
                  </w:r>
                </w:p>
              </w:tc>
            </w:tr>
            <w:tr w:rsidR="00E17384" w:rsidRPr="00C1173E" w14:paraId="49439150" w14:textId="77777777" w:rsidTr="009A714F">
              <w:tc>
                <w:tcPr>
                  <w:tcW w:w="3364" w:type="dxa"/>
                </w:tcPr>
                <w:p w14:paraId="4943914E" w14:textId="77777777" w:rsidR="00E17384" w:rsidRPr="00C1173E" w:rsidRDefault="00E17384" w:rsidP="00E17384">
                  <w:pPr>
                    <w:pStyle w:val="NormalWeb"/>
                    <w:spacing w:before="0" w:beforeAutospacing="0" w:after="0" w:afterAutospacing="0"/>
                    <w:jc w:val="both"/>
                    <w:rPr>
                      <w:rFonts w:ascii="Times New Roman" w:hAnsi="Times New Roman"/>
                      <w:b/>
                      <w:bCs/>
                      <w:sz w:val="22"/>
                      <w:szCs w:val="22"/>
                      <w:lang w:val="lv-LV" w:eastAsia="lv-LV"/>
                    </w:rPr>
                  </w:pPr>
                  <w:r w:rsidRPr="00C1173E">
                    <w:rPr>
                      <w:rFonts w:ascii="Times New Roman" w:hAnsi="Times New Roman"/>
                      <w:b/>
                      <w:bCs/>
                      <w:sz w:val="22"/>
                      <w:szCs w:val="22"/>
                      <w:lang w:val="lv-LV" w:eastAsia="lv-LV"/>
                    </w:rPr>
                    <w:t xml:space="preserve">Maksas pakalpojuma izcenojums </w:t>
                  </w:r>
                  <w:r w:rsidRPr="00C1173E">
                    <w:rPr>
                      <w:rFonts w:ascii="Times New Roman" w:hAnsi="Times New Roman"/>
                      <w:b/>
                      <w:bCs/>
                      <w:i/>
                      <w:sz w:val="22"/>
                      <w:szCs w:val="22"/>
                      <w:lang w:val="lv-LV" w:eastAsia="lv-LV"/>
                    </w:rPr>
                    <w:t>(euro)</w:t>
                  </w:r>
                </w:p>
              </w:tc>
              <w:tc>
                <w:tcPr>
                  <w:tcW w:w="3365" w:type="dxa"/>
                </w:tcPr>
                <w:p w14:paraId="4943914F" w14:textId="6D441B48" w:rsidR="00E17384" w:rsidRPr="00C1173E" w:rsidRDefault="004F0A42" w:rsidP="00E17384">
                  <w:pPr>
                    <w:pStyle w:val="NormalWeb"/>
                    <w:spacing w:before="0" w:beforeAutospacing="0" w:after="0" w:afterAutospacing="0"/>
                    <w:jc w:val="center"/>
                    <w:rPr>
                      <w:rFonts w:ascii="Times New Roman" w:hAnsi="Times New Roman"/>
                      <w:b/>
                      <w:bCs/>
                      <w:sz w:val="22"/>
                      <w:szCs w:val="22"/>
                      <w:lang w:val="lv-LV" w:eastAsia="lv-LV"/>
                    </w:rPr>
                  </w:pPr>
                  <w:r w:rsidRPr="00C1173E">
                    <w:rPr>
                      <w:rFonts w:ascii="Times New Roman" w:hAnsi="Times New Roman"/>
                      <w:b/>
                      <w:bCs/>
                      <w:sz w:val="22"/>
                      <w:szCs w:val="22"/>
                      <w:lang w:val="lv-LV" w:eastAsia="lv-LV"/>
                    </w:rPr>
                    <w:t>30</w:t>
                  </w:r>
                  <w:r w:rsidR="008E2C19" w:rsidRPr="00C1173E">
                    <w:rPr>
                      <w:rFonts w:ascii="Times New Roman" w:hAnsi="Times New Roman"/>
                      <w:b/>
                      <w:bCs/>
                      <w:sz w:val="22"/>
                      <w:szCs w:val="22"/>
                      <w:lang w:val="lv-LV" w:eastAsia="lv-LV"/>
                    </w:rPr>
                    <w:t>8,00</w:t>
                  </w:r>
                </w:p>
              </w:tc>
            </w:tr>
          </w:tbl>
          <w:p w14:paraId="49439151" w14:textId="77777777" w:rsidR="00E17384" w:rsidRPr="00C1173E" w:rsidRDefault="00E17384" w:rsidP="00E17384">
            <w:pPr>
              <w:pStyle w:val="NormalWeb"/>
              <w:spacing w:before="0" w:beforeAutospacing="0" w:after="0" w:afterAutospacing="0"/>
              <w:ind w:firstLine="402"/>
              <w:jc w:val="both"/>
              <w:rPr>
                <w:rFonts w:ascii="Times New Roman" w:hAnsi="Times New Roman"/>
                <w:bCs/>
                <w:sz w:val="14"/>
                <w:szCs w:val="24"/>
                <w:lang w:val="lv-LV" w:eastAsia="lv-LV"/>
              </w:rPr>
            </w:pPr>
          </w:p>
          <w:p w14:paraId="49439152" w14:textId="30CA3FB0" w:rsidR="00E17384" w:rsidRPr="00C1173E" w:rsidRDefault="00E17384" w:rsidP="00E17384">
            <w:pPr>
              <w:shd w:val="clear" w:color="auto" w:fill="FFFFFF"/>
              <w:ind w:firstLine="394"/>
              <w:jc w:val="both"/>
            </w:pPr>
            <w:r w:rsidRPr="00C1173E">
              <w:t xml:space="preserve">No aprēķina izriet, ka lai nosegtu </w:t>
            </w:r>
            <w:r w:rsidR="005C4A7D" w:rsidRPr="00C1173E">
              <w:rPr>
                <w:bCs/>
                <w:i/>
              </w:rPr>
              <w:t>kompetenču, prasmju un zināšanu līmeņa novērtēšana</w:t>
            </w:r>
            <w:r w:rsidR="00EE3CCF" w:rsidRPr="00C1173E">
              <w:rPr>
                <w:bCs/>
                <w:i/>
              </w:rPr>
              <w:t>s eksāmena</w:t>
            </w:r>
            <w:r w:rsidRPr="00C1173E">
              <w:t xml:space="preserve"> izmaksas </w:t>
            </w:r>
            <w:r w:rsidR="00B65FC2" w:rsidRPr="00C1173E">
              <w:t xml:space="preserve">tā cenai ir jābūt </w:t>
            </w:r>
            <w:r w:rsidR="004F0A42" w:rsidRPr="00C1173E">
              <w:t>30</w:t>
            </w:r>
            <w:r w:rsidR="00A51C56" w:rsidRPr="00C1173E">
              <w:t xml:space="preserve">8,00 </w:t>
            </w:r>
            <w:proofErr w:type="spellStart"/>
            <w:r w:rsidR="00B65FC2" w:rsidRPr="00C1173E">
              <w:rPr>
                <w:i/>
              </w:rPr>
              <w:t>euro</w:t>
            </w:r>
            <w:proofErr w:type="spellEnd"/>
            <w:r w:rsidR="00B65FC2" w:rsidRPr="00C1173E">
              <w:t xml:space="preserve"> no vienas personas par eksāmenu</w:t>
            </w:r>
            <w:r w:rsidRPr="00C1173E">
              <w:t>.</w:t>
            </w:r>
          </w:p>
          <w:p w14:paraId="49439153" w14:textId="77777777" w:rsidR="00E17384" w:rsidRPr="00C1173E" w:rsidRDefault="00E17384" w:rsidP="00E17384">
            <w:pPr>
              <w:shd w:val="clear" w:color="auto" w:fill="FFFFFF"/>
              <w:ind w:firstLine="394"/>
              <w:jc w:val="both"/>
            </w:pPr>
          </w:p>
          <w:p w14:paraId="49439154" w14:textId="5EAFECFA" w:rsidR="00E17384" w:rsidRPr="00C1173E" w:rsidRDefault="00E17384" w:rsidP="00E17384">
            <w:pPr>
              <w:shd w:val="clear" w:color="auto" w:fill="FFFFFF"/>
              <w:ind w:firstLine="394"/>
              <w:jc w:val="both"/>
            </w:pPr>
            <w:r w:rsidRPr="00C1173E">
              <w:rPr>
                <w:b/>
              </w:rPr>
              <w:t xml:space="preserve">Būvspeciālistu </w:t>
            </w:r>
            <w:r w:rsidR="00386EA8" w:rsidRPr="00C1173E">
              <w:rPr>
                <w:b/>
              </w:rPr>
              <w:t>kompetenču, prasmju un zināšanu līmeņa novērtēšanas</w:t>
            </w:r>
            <w:r w:rsidRPr="00C1173E">
              <w:rPr>
                <w:b/>
              </w:rPr>
              <w:t xml:space="preserve"> izmaksu pieauguma pamatojums.</w:t>
            </w:r>
          </w:p>
          <w:p w14:paraId="49439155" w14:textId="6B87EBF4" w:rsidR="00E17384" w:rsidRPr="00C1173E" w:rsidRDefault="00E17384" w:rsidP="00E17384">
            <w:pPr>
              <w:shd w:val="clear" w:color="auto" w:fill="FFFFFF"/>
              <w:ind w:firstLine="394"/>
              <w:jc w:val="both"/>
            </w:pPr>
            <w:r w:rsidRPr="00C1173E">
              <w:rPr>
                <w:i/>
              </w:rPr>
              <w:t>Spēkā esošajos cenrāžos</w:t>
            </w:r>
            <w:r w:rsidRPr="00C1173E">
              <w:t xml:space="preserve"> vidējā būvspeciālistu </w:t>
            </w:r>
            <w:r w:rsidR="005C4A7D" w:rsidRPr="00C1173E">
              <w:rPr>
                <w:i/>
              </w:rPr>
              <w:t>kompetenču, prasmju un zināšanu līmeņa novērtēšana</w:t>
            </w:r>
            <w:r w:rsidRPr="00C1173E">
              <w:rPr>
                <w:i/>
              </w:rPr>
              <w:t>s</w:t>
            </w:r>
            <w:r w:rsidR="00EE3CCF" w:rsidRPr="00C1173E">
              <w:rPr>
                <w:i/>
              </w:rPr>
              <w:t xml:space="preserve"> </w:t>
            </w:r>
            <w:r w:rsidR="00EE3CCF" w:rsidRPr="00C1173E">
              <w:t>eksāmena</w:t>
            </w:r>
            <w:r w:rsidRPr="00C1173E">
              <w:t xml:space="preserve"> cena ir </w:t>
            </w:r>
            <w:r w:rsidR="004F0A42" w:rsidRPr="00C1173E">
              <w:t>231,45</w:t>
            </w:r>
            <w:r w:rsidRPr="00C1173E">
              <w:t xml:space="preserve"> </w:t>
            </w:r>
            <w:proofErr w:type="spellStart"/>
            <w:r w:rsidRPr="00C1173E">
              <w:rPr>
                <w:i/>
              </w:rPr>
              <w:t>euro</w:t>
            </w:r>
            <w:proofErr w:type="spellEnd"/>
            <w:r w:rsidRPr="00C1173E">
              <w:t xml:space="preserve">, kas nozīmē, ka šī pakalpojuma cena pieaugs par </w:t>
            </w:r>
            <w:r w:rsidR="004F0A42" w:rsidRPr="00C1173E">
              <w:t>76,</w:t>
            </w:r>
            <w:r w:rsidR="00A51C56" w:rsidRPr="00C1173E">
              <w:t xml:space="preserve">55 </w:t>
            </w:r>
            <w:proofErr w:type="spellStart"/>
            <w:r w:rsidRPr="00C1173E">
              <w:rPr>
                <w:i/>
              </w:rPr>
              <w:t>euro</w:t>
            </w:r>
            <w:proofErr w:type="spellEnd"/>
            <w:r w:rsidRPr="00C1173E">
              <w:t xml:space="preserve">. Šāds izmaksu pieaugums ir pamatojams ar ekspertu stundas likmes pieaugumu, kā arī saskaņā ar </w:t>
            </w:r>
            <w:r w:rsidRPr="00C1173E">
              <w:rPr>
                <w:i/>
              </w:rPr>
              <w:t>Vadlīnijām</w:t>
            </w:r>
            <w:r w:rsidRPr="00C1173E">
              <w:t xml:space="preserve"> ir izvirzītas papildus prasības kompetences novērtēšanas eksāmenam. Būtiskākā prasība ir tāda, ka kompetences novērtēšanas eksāmens nevar būt tests ar dotiem atbilžu variantiem, kādu līdz 2018.gada 31.decembrim piemēroja gandrīz visas </w:t>
            </w:r>
            <w:r w:rsidRPr="00C1173E">
              <w:rPr>
                <w:i/>
              </w:rPr>
              <w:t>kompetences pārbaudes iestādes</w:t>
            </w:r>
            <w:r w:rsidRPr="00C1173E">
              <w:t>.</w:t>
            </w:r>
          </w:p>
          <w:p w14:paraId="49439157" w14:textId="77777777" w:rsidR="009B0A76" w:rsidRPr="00C1173E" w:rsidRDefault="009B0A76" w:rsidP="00256B2C">
            <w:pPr>
              <w:shd w:val="clear" w:color="auto" w:fill="FFFFFF"/>
              <w:ind w:firstLine="394"/>
              <w:jc w:val="both"/>
            </w:pPr>
          </w:p>
        </w:tc>
      </w:tr>
      <w:tr w:rsidR="00730B3B" w:rsidRPr="00C1173E" w14:paraId="4943915C" w14:textId="77777777" w:rsidTr="00F615B8">
        <w:tc>
          <w:tcPr>
            <w:tcW w:w="281" w:type="pct"/>
            <w:hideMark/>
          </w:tcPr>
          <w:p w14:paraId="49439159" w14:textId="77777777" w:rsidR="00BD5588" w:rsidRPr="00C1173E" w:rsidRDefault="00656B5C" w:rsidP="00793205">
            <w:pPr>
              <w:widowControl w:val="0"/>
              <w:jc w:val="center"/>
            </w:pPr>
            <w:r w:rsidRPr="00C1173E">
              <w:lastRenderedPageBreak/>
              <w:t>3.</w:t>
            </w:r>
          </w:p>
        </w:tc>
        <w:tc>
          <w:tcPr>
            <w:tcW w:w="1263" w:type="pct"/>
            <w:hideMark/>
          </w:tcPr>
          <w:p w14:paraId="4943915A" w14:textId="77777777" w:rsidR="00BD5588" w:rsidRPr="00C1173E" w:rsidRDefault="00656B5C" w:rsidP="00793205">
            <w:pPr>
              <w:widowControl w:val="0"/>
            </w:pPr>
            <w:r w:rsidRPr="00C1173E">
              <w:t xml:space="preserve">Projekta izstrādē iesaistītās </w:t>
            </w:r>
            <w:r w:rsidRPr="00C1173E">
              <w:lastRenderedPageBreak/>
              <w:t>institūcijas un publiskas personas kapitālsabiedrības</w:t>
            </w:r>
          </w:p>
        </w:tc>
        <w:tc>
          <w:tcPr>
            <w:tcW w:w="3456" w:type="pct"/>
            <w:hideMark/>
          </w:tcPr>
          <w:p w14:paraId="4943915B" w14:textId="775BA568" w:rsidR="00161647" w:rsidRPr="00C1173E" w:rsidRDefault="00033354" w:rsidP="005A2055">
            <w:pPr>
              <w:widowControl w:val="0"/>
            </w:pPr>
            <w:r w:rsidRPr="00C1173E">
              <w:rPr>
                <w:bCs/>
              </w:rPr>
              <w:lastRenderedPageBreak/>
              <w:t>Ekonomikas ministrija, Birojs.</w:t>
            </w:r>
          </w:p>
        </w:tc>
      </w:tr>
      <w:tr w:rsidR="00730B3B" w:rsidRPr="00C1173E" w14:paraId="49439160" w14:textId="77777777" w:rsidTr="00F615B8">
        <w:tc>
          <w:tcPr>
            <w:tcW w:w="281" w:type="pct"/>
            <w:hideMark/>
          </w:tcPr>
          <w:p w14:paraId="4943915D" w14:textId="77777777" w:rsidR="00BD5588" w:rsidRPr="00C1173E" w:rsidRDefault="00656B5C" w:rsidP="00793205">
            <w:pPr>
              <w:widowControl w:val="0"/>
              <w:jc w:val="center"/>
            </w:pPr>
            <w:r w:rsidRPr="00C1173E">
              <w:t>4.</w:t>
            </w:r>
          </w:p>
        </w:tc>
        <w:tc>
          <w:tcPr>
            <w:tcW w:w="1263" w:type="pct"/>
            <w:hideMark/>
          </w:tcPr>
          <w:p w14:paraId="4943915E" w14:textId="77777777" w:rsidR="00BD5588" w:rsidRPr="00C1173E" w:rsidRDefault="00656B5C" w:rsidP="00793205">
            <w:pPr>
              <w:widowControl w:val="0"/>
            </w:pPr>
            <w:r w:rsidRPr="00C1173E">
              <w:t>Cita informācija</w:t>
            </w:r>
          </w:p>
        </w:tc>
        <w:tc>
          <w:tcPr>
            <w:tcW w:w="3456" w:type="pct"/>
            <w:hideMark/>
          </w:tcPr>
          <w:p w14:paraId="4943915F" w14:textId="77777777" w:rsidR="00BD5588" w:rsidRPr="00C1173E" w:rsidRDefault="0051332D" w:rsidP="007C4D0D">
            <w:pPr>
              <w:widowControl w:val="0"/>
              <w:ind w:firstLine="108"/>
              <w:jc w:val="both"/>
            </w:pPr>
            <w:r w:rsidRPr="00C1173E">
              <w:t>Nav.</w:t>
            </w:r>
          </w:p>
        </w:tc>
      </w:tr>
    </w:tbl>
    <w:p w14:paraId="49439161" w14:textId="77777777" w:rsidR="004E4DD9" w:rsidRPr="00C1173E" w:rsidRDefault="004E4DD9" w:rsidP="00D60C4A">
      <w:pPr>
        <w:pStyle w:val="Title"/>
        <w:spacing w:line="260" w:lineRule="exact"/>
        <w:jc w:val="both"/>
        <w:rPr>
          <w:sz w:val="12"/>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730B3B" w:rsidRPr="00C1173E" w14:paraId="49439163" w14:textId="77777777" w:rsidTr="00F54498">
        <w:tc>
          <w:tcPr>
            <w:tcW w:w="9244" w:type="dxa"/>
            <w:gridSpan w:val="3"/>
            <w:vAlign w:val="center"/>
            <w:hideMark/>
          </w:tcPr>
          <w:p w14:paraId="49439162" w14:textId="77777777" w:rsidR="00BD5588" w:rsidRPr="00C1173E" w:rsidRDefault="00656B5C" w:rsidP="00E273A1">
            <w:pPr>
              <w:jc w:val="center"/>
              <w:rPr>
                <w:b/>
                <w:bCs/>
              </w:rPr>
            </w:pPr>
            <w:r w:rsidRPr="00C1173E">
              <w:rPr>
                <w:b/>
                <w:bCs/>
              </w:rPr>
              <w:t>II. Tiesību akta projekta ietekme uz sabiedrību, tautsaimniecības attīstību un administratīvo slogu</w:t>
            </w:r>
          </w:p>
        </w:tc>
      </w:tr>
      <w:tr w:rsidR="00730B3B" w:rsidRPr="00C1173E" w14:paraId="4943916A" w14:textId="77777777" w:rsidTr="00F54498">
        <w:tc>
          <w:tcPr>
            <w:tcW w:w="516" w:type="dxa"/>
            <w:hideMark/>
          </w:tcPr>
          <w:p w14:paraId="49439164" w14:textId="77777777" w:rsidR="00BD5588" w:rsidRPr="00C1173E" w:rsidRDefault="00656B5C" w:rsidP="00E273A1">
            <w:pPr>
              <w:jc w:val="center"/>
            </w:pPr>
            <w:r w:rsidRPr="00C1173E">
              <w:t>1.</w:t>
            </w:r>
          </w:p>
        </w:tc>
        <w:tc>
          <w:tcPr>
            <w:tcW w:w="2454" w:type="dxa"/>
            <w:hideMark/>
          </w:tcPr>
          <w:p w14:paraId="49439165" w14:textId="77777777" w:rsidR="00BD5588" w:rsidRPr="00C1173E" w:rsidRDefault="00656B5C" w:rsidP="00E30236">
            <w:r w:rsidRPr="00C1173E">
              <w:t xml:space="preserve">Sabiedrības </w:t>
            </w:r>
            <w:proofErr w:type="spellStart"/>
            <w:r w:rsidRPr="00C1173E">
              <w:t>mērķgrupas</w:t>
            </w:r>
            <w:proofErr w:type="spellEnd"/>
            <w:r w:rsidRPr="00C1173E">
              <w:t>, kuras tiesiskais regulējums ietekmē vai varētu ietekmēt</w:t>
            </w:r>
          </w:p>
        </w:tc>
        <w:tc>
          <w:tcPr>
            <w:tcW w:w="6274" w:type="dxa"/>
            <w:hideMark/>
          </w:tcPr>
          <w:p w14:paraId="3F1E6844" w14:textId="77777777" w:rsidR="00891893" w:rsidRPr="00C1173E" w:rsidRDefault="00891893" w:rsidP="00891893">
            <w:pPr>
              <w:pStyle w:val="naiskr"/>
              <w:spacing w:before="0" w:after="0"/>
              <w:jc w:val="both"/>
            </w:pPr>
            <w:r w:rsidRPr="00C1173E">
              <w:rPr>
                <w:i/>
              </w:rPr>
              <w:t>Noteikumu projekts</w:t>
            </w:r>
            <w:r w:rsidRPr="00C1173E">
              <w:t xml:space="preserve"> ir attiecināms uz:</w:t>
            </w:r>
          </w:p>
          <w:p w14:paraId="0C92D492" w14:textId="77777777" w:rsidR="00891893" w:rsidRPr="00C1173E" w:rsidRDefault="00891893" w:rsidP="00891893">
            <w:pPr>
              <w:pStyle w:val="naiskr"/>
              <w:numPr>
                <w:ilvl w:val="0"/>
                <w:numId w:val="26"/>
              </w:numPr>
              <w:spacing w:before="0" w:after="0"/>
              <w:jc w:val="both"/>
            </w:pPr>
            <w:r w:rsidRPr="00C1173E">
              <w:t>būvspeciālistiem, kuri vēlas iegūt patstāvīgās prakses tiesības būvekspertīzes specialitātē;</w:t>
            </w:r>
          </w:p>
          <w:p w14:paraId="77F18CAC" w14:textId="77777777" w:rsidR="00891893" w:rsidRPr="00C1173E" w:rsidRDefault="00891893" w:rsidP="00891893">
            <w:pPr>
              <w:pStyle w:val="naiskr"/>
              <w:numPr>
                <w:ilvl w:val="0"/>
                <w:numId w:val="26"/>
              </w:numPr>
              <w:spacing w:before="0" w:after="0"/>
              <w:jc w:val="both"/>
            </w:pPr>
            <w:r w:rsidRPr="00C1173E">
              <w:t xml:space="preserve">būvspeciālistiem, kuri ir ieguvuši patstāvīgās prakses tiesības būvekspertīzes specialitātē. </w:t>
            </w:r>
          </w:p>
          <w:p w14:paraId="5FD66646" w14:textId="77777777" w:rsidR="00891893" w:rsidRPr="00C1173E" w:rsidRDefault="00891893" w:rsidP="0051332D">
            <w:pPr>
              <w:pStyle w:val="naiskr"/>
              <w:spacing w:before="0" w:after="0"/>
              <w:jc w:val="both"/>
            </w:pPr>
          </w:p>
          <w:p w14:paraId="49439169" w14:textId="65844E86" w:rsidR="00FA3B65" w:rsidRPr="00C1173E" w:rsidRDefault="0051332D" w:rsidP="0051332D">
            <w:pPr>
              <w:pStyle w:val="naiskr"/>
              <w:spacing w:before="0" w:after="0"/>
              <w:jc w:val="both"/>
            </w:pPr>
            <w:r w:rsidRPr="00C1173E">
              <w:t xml:space="preserve">Uz </w:t>
            </w:r>
            <w:r w:rsidR="0035131F" w:rsidRPr="00C1173E">
              <w:t xml:space="preserve">2018.gada 13.decembri </w:t>
            </w:r>
            <w:r w:rsidR="00891893" w:rsidRPr="00C1173E">
              <w:t xml:space="preserve">būvekspertīzē </w:t>
            </w:r>
            <w:r w:rsidRPr="00C1173E">
              <w:t>sertificēto</w:t>
            </w:r>
            <w:r w:rsidR="004F0EF4" w:rsidRPr="00C1173E">
              <w:t xml:space="preserve"> personu</w:t>
            </w:r>
            <w:r w:rsidR="00941AA5" w:rsidRPr="00C1173E">
              <w:t xml:space="preserve"> darbības</w:t>
            </w:r>
            <w:r w:rsidRPr="00C1173E">
              <w:t xml:space="preserve"> </w:t>
            </w:r>
            <w:r w:rsidR="00092BEE" w:rsidRPr="00C1173E">
              <w:t>sfēru</w:t>
            </w:r>
            <w:r w:rsidRPr="00C1173E">
              <w:t xml:space="preserve"> skaits ir </w:t>
            </w:r>
            <w:r w:rsidR="001F6245" w:rsidRPr="00C1173E">
              <w:t>126</w:t>
            </w:r>
            <w:r w:rsidRPr="00C1173E">
              <w:t xml:space="preserve"> </w:t>
            </w:r>
            <w:r w:rsidR="00092BEE" w:rsidRPr="00C1173E">
              <w:t>(vienam būvspeciālistam var būt vairākas</w:t>
            </w:r>
            <w:r w:rsidR="007861AF" w:rsidRPr="00C1173E">
              <w:t xml:space="preserve"> darbības</w:t>
            </w:r>
            <w:r w:rsidR="00092BEE" w:rsidRPr="00C1173E">
              <w:t xml:space="preserve"> sfēras)</w:t>
            </w:r>
            <w:r w:rsidRPr="00C1173E">
              <w:t>.</w:t>
            </w:r>
          </w:p>
        </w:tc>
      </w:tr>
      <w:tr w:rsidR="00730B3B" w:rsidRPr="00C1173E" w14:paraId="49439174" w14:textId="77777777" w:rsidTr="00F54498">
        <w:tc>
          <w:tcPr>
            <w:tcW w:w="516" w:type="dxa"/>
            <w:hideMark/>
          </w:tcPr>
          <w:p w14:paraId="4943916B" w14:textId="77777777" w:rsidR="00BD5588" w:rsidRPr="00C1173E" w:rsidRDefault="00656B5C" w:rsidP="00E273A1">
            <w:pPr>
              <w:jc w:val="center"/>
            </w:pPr>
            <w:r w:rsidRPr="00C1173E">
              <w:t>2.</w:t>
            </w:r>
          </w:p>
        </w:tc>
        <w:tc>
          <w:tcPr>
            <w:tcW w:w="2454" w:type="dxa"/>
            <w:hideMark/>
          </w:tcPr>
          <w:p w14:paraId="4943916C" w14:textId="77777777" w:rsidR="00BD5588" w:rsidRPr="00C1173E" w:rsidRDefault="00656B5C" w:rsidP="00E30236">
            <w:r w:rsidRPr="00C1173E">
              <w:t>Tiesiskā regulējuma ietekme uz tautsaimniecību un administratīvo slogu</w:t>
            </w:r>
          </w:p>
        </w:tc>
        <w:tc>
          <w:tcPr>
            <w:tcW w:w="6274" w:type="dxa"/>
            <w:hideMark/>
          </w:tcPr>
          <w:p w14:paraId="4943916D" w14:textId="77777777" w:rsidR="00265082" w:rsidRPr="00C1173E" w:rsidRDefault="00265082" w:rsidP="00265082">
            <w:pPr>
              <w:ind w:firstLine="403"/>
              <w:jc w:val="both"/>
            </w:pPr>
            <w:r w:rsidRPr="00C1173E">
              <w:rPr>
                <w:i/>
              </w:rPr>
              <w:t>Noteikumu projekta</w:t>
            </w:r>
            <w:r w:rsidRPr="00C1173E">
              <w:t xml:space="preserve"> tiesiskā regulējuma finansiālā ietekme attieksies uz personām, kurām jau ir iegūts</w:t>
            </w:r>
            <w:r w:rsidR="00DD53AB" w:rsidRPr="00C1173E">
              <w:t xml:space="preserve"> būvspeciālista</w:t>
            </w:r>
            <w:r w:rsidRPr="00C1173E">
              <w:t xml:space="preserve"> sertifikāts.</w:t>
            </w:r>
          </w:p>
          <w:p w14:paraId="4943916E" w14:textId="038214EF" w:rsidR="00265082" w:rsidRPr="00C1173E" w:rsidRDefault="00265082" w:rsidP="00265082">
            <w:pPr>
              <w:ind w:firstLine="403"/>
              <w:jc w:val="both"/>
            </w:pPr>
            <w:r w:rsidRPr="00C1173E">
              <w:t xml:space="preserve">Ik gadu plānotais </w:t>
            </w:r>
            <w:r w:rsidR="00DD53AB" w:rsidRPr="00C1173E">
              <w:t>darbības sfēru</w:t>
            </w:r>
            <w:r w:rsidRPr="00C1173E">
              <w:t xml:space="preserve"> skaits, kam jāveic uzraudzība – </w:t>
            </w:r>
            <w:r w:rsidR="001F6245" w:rsidRPr="00C1173E">
              <w:t>126</w:t>
            </w:r>
            <w:r w:rsidR="00941AA5" w:rsidRPr="00C1173E">
              <w:t xml:space="preserve"> darbības</w:t>
            </w:r>
            <w:r w:rsidRPr="00C1173E">
              <w:t xml:space="preserve"> </w:t>
            </w:r>
            <w:r w:rsidR="00B06667" w:rsidRPr="00C1173E">
              <w:t>sfērās</w:t>
            </w:r>
            <w:r w:rsidR="002D20F1" w:rsidRPr="00C1173E">
              <w:t>.</w:t>
            </w:r>
          </w:p>
          <w:p w14:paraId="4943916F" w14:textId="77777777" w:rsidR="00265082" w:rsidRPr="00C1173E" w:rsidRDefault="00265082" w:rsidP="00265082">
            <w:pPr>
              <w:ind w:firstLine="108"/>
              <w:jc w:val="both"/>
            </w:pPr>
          </w:p>
          <w:p w14:paraId="49439170" w14:textId="77777777" w:rsidR="00265082" w:rsidRPr="00C1173E" w:rsidRDefault="00265082" w:rsidP="00DD53AB">
            <w:pPr>
              <w:jc w:val="both"/>
            </w:pPr>
            <w:r w:rsidRPr="00C1173E">
              <w:t>Publiskā pakalpojuma aprēķins:</w:t>
            </w:r>
          </w:p>
          <w:p w14:paraId="49439171" w14:textId="0BF26CA5" w:rsidR="00DD53AB" w:rsidRPr="00C1173E" w:rsidRDefault="00DD53AB" w:rsidP="00DD53AB">
            <w:pPr>
              <w:ind w:firstLine="108"/>
              <w:jc w:val="both"/>
            </w:pPr>
            <w:r w:rsidRPr="00C1173E">
              <w:t>-</w:t>
            </w:r>
            <w:r w:rsidRPr="00C1173E">
              <w:tab/>
              <w:t xml:space="preserve">“uzraudzības maksa” par vienu darbības sfēru, vienai personai – </w:t>
            </w:r>
            <w:r w:rsidR="001F6245" w:rsidRPr="00C1173E">
              <w:t>213</w:t>
            </w:r>
            <w:r w:rsidRPr="00C1173E">
              <w:t xml:space="preserve"> </w:t>
            </w:r>
            <w:proofErr w:type="spellStart"/>
            <w:r w:rsidRPr="00C1173E">
              <w:rPr>
                <w:i/>
              </w:rPr>
              <w:t>euro</w:t>
            </w:r>
            <w:proofErr w:type="spellEnd"/>
            <w:r w:rsidRPr="00C1173E">
              <w:t>;</w:t>
            </w:r>
          </w:p>
          <w:p w14:paraId="49439172" w14:textId="5873E2BB" w:rsidR="00265082" w:rsidRPr="00C1173E" w:rsidRDefault="00092BEE" w:rsidP="00265082">
            <w:pPr>
              <w:ind w:firstLine="108"/>
              <w:jc w:val="both"/>
            </w:pPr>
            <w:r w:rsidRPr="00C1173E">
              <w:t>-</w:t>
            </w:r>
            <w:r w:rsidRPr="00C1173E">
              <w:tab/>
              <w:t>“</w:t>
            </w:r>
            <w:r w:rsidR="005C4A7D" w:rsidRPr="00C1173E">
              <w:t>kompetenču, prasmju un zināšanu līmeņa novērtēšana</w:t>
            </w:r>
            <w:r w:rsidRPr="00C1173E">
              <w:t xml:space="preserve">” par vienu eksāmenu vienam būvspeciālistam – </w:t>
            </w:r>
            <w:r w:rsidR="001F6245" w:rsidRPr="00C1173E">
              <w:rPr>
                <w:bCs/>
              </w:rPr>
              <w:t>30</w:t>
            </w:r>
            <w:r w:rsidR="001D2A62" w:rsidRPr="00C1173E">
              <w:rPr>
                <w:bCs/>
              </w:rPr>
              <w:t>8,00</w:t>
            </w:r>
            <w:r w:rsidRPr="00C1173E">
              <w:t xml:space="preserve"> </w:t>
            </w:r>
            <w:proofErr w:type="spellStart"/>
            <w:r w:rsidRPr="00C1173E">
              <w:rPr>
                <w:i/>
              </w:rPr>
              <w:t>euro</w:t>
            </w:r>
            <w:proofErr w:type="spellEnd"/>
            <w:r w:rsidRPr="00C1173E">
              <w:t>.</w:t>
            </w:r>
          </w:p>
          <w:p w14:paraId="49439173" w14:textId="265F2178" w:rsidR="00161647" w:rsidRPr="00C1173E" w:rsidRDefault="00265082" w:rsidP="00DD53AB">
            <w:pPr>
              <w:jc w:val="both"/>
            </w:pPr>
            <w:r w:rsidRPr="00C1173E">
              <w:t>Maksas pakalpojumu izcenojumu aprēķiniem tika izmantota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noteiktā metodika.</w:t>
            </w:r>
          </w:p>
        </w:tc>
      </w:tr>
      <w:tr w:rsidR="00730B3B" w:rsidRPr="00C1173E" w14:paraId="49439178" w14:textId="77777777" w:rsidTr="00F54498">
        <w:tc>
          <w:tcPr>
            <w:tcW w:w="516" w:type="dxa"/>
            <w:hideMark/>
          </w:tcPr>
          <w:p w14:paraId="49439175" w14:textId="77777777" w:rsidR="00BD5588" w:rsidRPr="00C1173E" w:rsidRDefault="00656B5C" w:rsidP="00E273A1">
            <w:pPr>
              <w:jc w:val="center"/>
            </w:pPr>
            <w:r w:rsidRPr="00C1173E">
              <w:t>3.</w:t>
            </w:r>
          </w:p>
        </w:tc>
        <w:tc>
          <w:tcPr>
            <w:tcW w:w="2454" w:type="dxa"/>
            <w:hideMark/>
          </w:tcPr>
          <w:p w14:paraId="49439176" w14:textId="77777777" w:rsidR="00BD5588" w:rsidRPr="00C1173E" w:rsidRDefault="00656B5C" w:rsidP="00E30236">
            <w:r w:rsidRPr="00C1173E">
              <w:t>Administratīvo izmaksu monetārs novērtējums</w:t>
            </w:r>
          </w:p>
        </w:tc>
        <w:tc>
          <w:tcPr>
            <w:tcW w:w="6274" w:type="dxa"/>
            <w:hideMark/>
          </w:tcPr>
          <w:p w14:paraId="49439177" w14:textId="08510A7F" w:rsidR="00BD5588" w:rsidRPr="00C1173E" w:rsidRDefault="00D573AD" w:rsidP="00EA3D31">
            <w:pPr>
              <w:ind w:firstLine="108"/>
            </w:pPr>
            <w:r w:rsidRPr="00C1173E">
              <w:rPr>
                <w:i/>
              </w:rPr>
              <w:t>Noteikumu projekts</w:t>
            </w:r>
            <w:r w:rsidRPr="00C1173E">
              <w:t xml:space="preserve"> šo jomu neskar</w:t>
            </w:r>
          </w:p>
        </w:tc>
      </w:tr>
      <w:tr w:rsidR="00730B3B" w:rsidRPr="00C1173E" w14:paraId="4943917C" w14:textId="77777777" w:rsidTr="00F54498">
        <w:tc>
          <w:tcPr>
            <w:tcW w:w="516" w:type="dxa"/>
            <w:hideMark/>
          </w:tcPr>
          <w:p w14:paraId="49439179" w14:textId="77777777" w:rsidR="00BD5588" w:rsidRPr="00C1173E" w:rsidRDefault="00656B5C" w:rsidP="00E273A1">
            <w:pPr>
              <w:jc w:val="center"/>
            </w:pPr>
            <w:r w:rsidRPr="00C1173E">
              <w:t>4.</w:t>
            </w:r>
          </w:p>
        </w:tc>
        <w:tc>
          <w:tcPr>
            <w:tcW w:w="2454" w:type="dxa"/>
            <w:hideMark/>
          </w:tcPr>
          <w:p w14:paraId="4943917A" w14:textId="77777777" w:rsidR="00BD5588" w:rsidRPr="00C1173E" w:rsidRDefault="00656B5C" w:rsidP="00E273A1">
            <w:r w:rsidRPr="00C1173E">
              <w:t>Atbilstības izmaksu monetārs novērtējums</w:t>
            </w:r>
          </w:p>
        </w:tc>
        <w:tc>
          <w:tcPr>
            <w:tcW w:w="6274" w:type="dxa"/>
            <w:hideMark/>
          </w:tcPr>
          <w:p w14:paraId="4943917B" w14:textId="7EA3B3DE" w:rsidR="00BD5588" w:rsidRPr="00C1173E" w:rsidRDefault="00D573AD" w:rsidP="00EA3D31">
            <w:pPr>
              <w:ind w:firstLine="108"/>
            </w:pPr>
            <w:r w:rsidRPr="00C1173E">
              <w:rPr>
                <w:i/>
              </w:rPr>
              <w:t>Noteikumu projekts</w:t>
            </w:r>
            <w:r w:rsidRPr="00C1173E">
              <w:t xml:space="preserve"> šo jomu neskar</w:t>
            </w:r>
          </w:p>
        </w:tc>
      </w:tr>
      <w:tr w:rsidR="004E638D" w:rsidRPr="00C1173E" w14:paraId="49439180" w14:textId="77777777" w:rsidTr="00F54498">
        <w:tc>
          <w:tcPr>
            <w:tcW w:w="516" w:type="dxa"/>
            <w:hideMark/>
          </w:tcPr>
          <w:p w14:paraId="4943917D" w14:textId="77777777" w:rsidR="00BD5588" w:rsidRPr="00C1173E" w:rsidRDefault="00656B5C" w:rsidP="00E273A1">
            <w:pPr>
              <w:jc w:val="center"/>
              <w:rPr>
                <w:highlight w:val="yellow"/>
              </w:rPr>
            </w:pPr>
            <w:r w:rsidRPr="00C1173E">
              <w:t>5.</w:t>
            </w:r>
          </w:p>
        </w:tc>
        <w:tc>
          <w:tcPr>
            <w:tcW w:w="2454" w:type="dxa"/>
            <w:hideMark/>
          </w:tcPr>
          <w:p w14:paraId="4943917E" w14:textId="77777777" w:rsidR="00BD5588" w:rsidRPr="00C1173E" w:rsidRDefault="00656B5C" w:rsidP="00E273A1">
            <w:r w:rsidRPr="00C1173E">
              <w:t>Cita informācija</w:t>
            </w:r>
          </w:p>
        </w:tc>
        <w:tc>
          <w:tcPr>
            <w:tcW w:w="6274" w:type="dxa"/>
            <w:hideMark/>
          </w:tcPr>
          <w:p w14:paraId="4943917F" w14:textId="77777777" w:rsidR="00161647" w:rsidRPr="00C1173E" w:rsidRDefault="00656B5C" w:rsidP="00265082">
            <w:pPr>
              <w:ind w:firstLine="108"/>
            </w:pPr>
            <w:r w:rsidRPr="00C1173E">
              <w:t>Nav</w:t>
            </w:r>
          </w:p>
        </w:tc>
      </w:tr>
    </w:tbl>
    <w:p w14:paraId="49439181" w14:textId="77777777" w:rsidR="004E4DD9" w:rsidRPr="00C1173E" w:rsidRDefault="004E4DD9" w:rsidP="00E273A1">
      <w:pPr>
        <w:rPr>
          <w:sz w:val="12"/>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730B3B" w:rsidRPr="00C1173E" w14:paraId="49439183"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C1173E" w:rsidRDefault="00656B5C" w:rsidP="00113C64">
            <w:pPr>
              <w:ind w:right="-34"/>
              <w:jc w:val="center"/>
              <w:rPr>
                <w:b/>
              </w:rPr>
            </w:pPr>
            <w:r w:rsidRPr="00C1173E">
              <w:rPr>
                <w:b/>
              </w:rPr>
              <w:t>III. Tiesību akta projekta ietekme uz valsts budžetu un pašvaldību budžetiem</w:t>
            </w:r>
          </w:p>
        </w:tc>
      </w:tr>
      <w:tr w:rsidR="00730B3B" w:rsidRPr="00C1173E" w14:paraId="49439185"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2CDA3D5D" w:rsidR="00BD7871" w:rsidRPr="00C1173E" w:rsidRDefault="00D573AD" w:rsidP="00113C64">
            <w:pPr>
              <w:ind w:right="-34"/>
              <w:jc w:val="center"/>
            </w:pPr>
            <w:r w:rsidRPr="00C1173E">
              <w:rPr>
                <w:i/>
              </w:rPr>
              <w:t>Noteikumu projekts</w:t>
            </w:r>
            <w:r w:rsidRPr="00C1173E">
              <w:t xml:space="preserve"> šo jomu neskar</w:t>
            </w:r>
          </w:p>
        </w:tc>
      </w:tr>
    </w:tbl>
    <w:p w14:paraId="49439186" w14:textId="57A4A048" w:rsidR="004E4DD9" w:rsidRDefault="004E4DD9" w:rsidP="00D60C4A">
      <w:pPr>
        <w:pStyle w:val="Title"/>
        <w:spacing w:line="260" w:lineRule="exact"/>
        <w:jc w:val="both"/>
        <w:rPr>
          <w:sz w:val="12"/>
          <w:szCs w:val="24"/>
          <w:highlight w:val="yellow"/>
        </w:rPr>
      </w:pPr>
    </w:p>
    <w:tbl>
      <w:tblPr>
        <w:tblW w:w="5552"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869"/>
        <w:gridCol w:w="880"/>
        <w:gridCol w:w="974"/>
        <w:gridCol w:w="871"/>
        <w:gridCol w:w="974"/>
        <w:gridCol w:w="874"/>
        <w:gridCol w:w="974"/>
        <w:gridCol w:w="1789"/>
      </w:tblGrid>
      <w:tr w:rsidR="000B36D2" w:rsidRPr="000B36D2" w14:paraId="4148D167" w14:textId="77777777" w:rsidTr="0046415B">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A695C" w14:textId="77777777" w:rsidR="000B36D2" w:rsidRPr="000B36D2" w:rsidRDefault="000B36D2" w:rsidP="000B36D2">
            <w:pPr>
              <w:spacing w:before="100" w:beforeAutospacing="1" w:after="100" w:afterAutospacing="1" w:line="293" w:lineRule="atLeast"/>
              <w:jc w:val="center"/>
              <w:rPr>
                <w:b/>
                <w:bCs/>
              </w:rPr>
            </w:pPr>
            <w:r w:rsidRPr="000B36D2">
              <w:rPr>
                <w:b/>
                <w:bCs/>
              </w:rPr>
              <w:t>III. Tiesību akta projekta ietekme uz valsts budžetu un pašvaldību budžetiem</w:t>
            </w:r>
          </w:p>
        </w:tc>
      </w:tr>
      <w:tr w:rsidR="000B36D2" w:rsidRPr="000B36D2" w14:paraId="4FD9656A" w14:textId="77777777" w:rsidTr="00137C2D">
        <w:tc>
          <w:tcPr>
            <w:tcW w:w="1015"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96343C" w14:textId="77777777" w:rsidR="000B36D2" w:rsidRPr="00137C2D" w:rsidRDefault="000B36D2" w:rsidP="000B36D2">
            <w:pPr>
              <w:spacing w:before="100" w:beforeAutospacing="1" w:after="100" w:afterAutospacing="1" w:line="293" w:lineRule="atLeast"/>
              <w:jc w:val="center"/>
            </w:pPr>
            <w:r w:rsidRPr="00137C2D">
              <w:t>Rādītāji</w:t>
            </w:r>
          </w:p>
        </w:tc>
        <w:tc>
          <w:tcPr>
            <w:tcW w:w="1007"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5EB725" w14:textId="77777777" w:rsidR="000B36D2" w:rsidRPr="00137C2D" w:rsidRDefault="000B36D2" w:rsidP="000B36D2">
            <w:pPr>
              <w:spacing w:before="100" w:beforeAutospacing="1" w:after="100" w:afterAutospacing="1" w:line="293" w:lineRule="atLeast"/>
              <w:jc w:val="center"/>
            </w:pPr>
            <w:r w:rsidRPr="00137C2D">
              <w:t>2019</w:t>
            </w:r>
          </w:p>
        </w:tc>
        <w:tc>
          <w:tcPr>
            <w:tcW w:w="2978"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A4B5A6" w14:textId="77777777" w:rsidR="000B36D2" w:rsidRPr="00137C2D" w:rsidRDefault="000B36D2" w:rsidP="000B36D2">
            <w:pPr>
              <w:spacing w:before="100" w:beforeAutospacing="1" w:after="100" w:afterAutospacing="1" w:line="293" w:lineRule="atLeast"/>
              <w:jc w:val="center"/>
            </w:pPr>
            <w:r w:rsidRPr="00137C2D">
              <w:t>Turpmākie trīs gadi (</w:t>
            </w:r>
            <w:proofErr w:type="spellStart"/>
            <w:r w:rsidRPr="00137C2D">
              <w:rPr>
                <w:i/>
                <w:iCs/>
              </w:rPr>
              <w:t>euro</w:t>
            </w:r>
            <w:proofErr w:type="spellEnd"/>
            <w:r w:rsidRPr="00137C2D">
              <w:t>)</w:t>
            </w:r>
          </w:p>
        </w:tc>
      </w:tr>
      <w:tr w:rsidR="000B36D2" w:rsidRPr="000B36D2" w14:paraId="34D57211" w14:textId="77777777" w:rsidTr="00137C2D">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214719E" w14:textId="77777777" w:rsidR="000B36D2" w:rsidRPr="00137C2D" w:rsidRDefault="000B36D2" w:rsidP="000B36D2"/>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5799A2" w14:textId="77777777" w:rsidR="000B36D2" w:rsidRPr="00137C2D" w:rsidRDefault="000B36D2" w:rsidP="000B36D2"/>
        </w:tc>
        <w:tc>
          <w:tcPr>
            <w:tcW w:w="100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CADB085" w14:textId="77777777" w:rsidR="000B36D2" w:rsidRPr="00137C2D" w:rsidRDefault="000B36D2" w:rsidP="000B36D2">
            <w:pPr>
              <w:spacing w:before="100" w:beforeAutospacing="1" w:after="100" w:afterAutospacing="1" w:line="293" w:lineRule="atLeast"/>
              <w:jc w:val="center"/>
            </w:pPr>
            <w:r w:rsidRPr="00137C2D">
              <w:t>2020</w:t>
            </w:r>
          </w:p>
        </w:tc>
        <w:tc>
          <w:tcPr>
            <w:tcW w:w="100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59C1E6" w14:textId="77777777" w:rsidR="000B36D2" w:rsidRPr="00137C2D" w:rsidRDefault="000B36D2" w:rsidP="000B36D2">
            <w:pPr>
              <w:spacing w:before="100" w:beforeAutospacing="1" w:after="100" w:afterAutospacing="1" w:line="293" w:lineRule="atLeast"/>
              <w:jc w:val="center"/>
            </w:pPr>
            <w:r w:rsidRPr="00137C2D">
              <w:t>2021</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705765" w14:textId="77777777" w:rsidR="000B36D2" w:rsidRPr="00137C2D" w:rsidRDefault="000B36D2" w:rsidP="000B36D2">
            <w:pPr>
              <w:spacing w:before="100" w:beforeAutospacing="1" w:after="100" w:afterAutospacing="1" w:line="293" w:lineRule="atLeast"/>
              <w:jc w:val="center"/>
            </w:pPr>
            <w:r w:rsidRPr="00137C2D">
              <w:t>2022</w:t>
            </w:r>
          </w:p>
        </w:tc>
      </w:tr>
      <w:tr w:rsidR="000B36D2" w:rsidRPr="000B36D2" w14:paraId="2F037488" w14:textId="77777777" w:rsidTr="00137C2D">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85CEBD" w14:textId="77777777" w:rsidR="000B36D2" w:rsidRPr="00137C2D" w:rsidRDefault="000B36D2" w:rsidP="000B36D2"/>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591D53" w14:textId="77777777" w:rsidR="000B36D2" w:rsidRPr="00137C2D" w:rsidRDefault="000B36D2" w:rsidP="000B36D2">
            <w:pPr>
              <w:spacing w:before="100" w:beforeAutospacing="1" w:after="100" w:afterAutospacing="1" w:line="293" w:lineRule="atLeast"/>
              <w:jc w:val="center"/>
            </w:pPr>
            <w:r w:rsidRPr="00137C2D">
              <w:t>saskaņā ar valsts budžetu kārtējam gadam</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C6CBF4" w14:textId="77777777" w:rsidR="000B36D2" w:rsidRPr="00137C2D" w:rsidRDefault="000B36D2" w:rsidP="000B36D2">
            <w:pPr>
              <w:spacing w:before="100" w:beforeAutospacing="1" w:after="100" w:afterAutospacing="1" w:line="293" w:lineRule="atLeast"/>
              <w:jc w:val="center"/>
            </w:pPr>
            <w:r w:rsidRPr="00137C2D">
              <w:t>izmaiņas kārtējā gadā, salīdzinot ar valsts budžetu kārtējam gadam</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8AF81A" w14:textId="77777777" w:rsidR="000B36D2" w:rsidRPr="00137C2D" w:rsidRDefault="000B36D2" w:rsidP="000B36D2">
            <w:pPr>
              <w:spacing w:before="100" w:beforeAutospacing="1" w:after="100" w:afterAutospacing="1" w:line="293" w:lineRule="atLeast"/>
              <w:jc w:val="center"/>
            </w:pPr>
            <w:r w:rsidRPr="00137C2D">
              <w:t>saskaņā ar vidēja termiņa budžeta ietvaru</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5CDA95" w14:textId="77777777" w:rsidR="000B36D2" w:rsidRPr="00137C2D" w:rsidRDefault="000B36D2" w:rsidP="000B36D2">
            <w:pPr>
              <w:spacing w:before="100" w:beforeAutospacing="1" w:after="100" w:afterAutospacing="1" w:line="293" w:lineRule="atLeast"/>
              <w:jc w:val="center"/>
            </w:pPr>
            <w:r w:rsidRPr="00137C2D">
              <w:t>izmaiņas, salīdzinot ar vidēja termiņa budžeta ietvaru n+1 gadam</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3A5781" w14:textId="77777777" w:rsidR="000B36D2" w:rsidRPr="00137C2D" w:rsidRDefault="000B36D2" w:rsidP="000B36D2">
            <w:pPr>
              <w:spacing w:before="100" w:beforeAutospacing="1" w:after="100" w:afterAutospacing="1" w:line="293" w:lineRule="atLeast"/>
              <w:jc w:val="center"/>
            </w:pPr>
            <w:r w:rsidRPr="00137C2D">
              <w:t>saskaņā ar vidēja termiņa budžeta ietvaru</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3BAD62" w14:textId="77777777" w:rsidR="000B36D2" w:rsidRPr="00137C2D" w:rsidRDefault="000B36D2" w:rsidP="000B36D2">
            <w:pPr>
              <w:spacing w:before="100" w:beforeAutospacing="1" w:after="100" w:afterAutospacing="1" w:line="293" w:lineRule="atLeast"/>
              <w:jc w:val="center"/>
            </w:pPr>
            <w:r w:rsidRPr="00137C2D">
              <w:t>izmaiņas, salīdzinot ar vidēja termiņa budžeta ietvaru n+2 gadam</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7740F3" w14:textId="77777777" w:rsidR="000B36D2" w:rsidRPr="00137C2D" w:rsidRDefault="000B36D2" w:rsidP="000B36D2">
            <w:pPr>
              <w:spacing w:before="100" w:beforeAutospacing="1" w:after="100" w:afterAutospacing="1" w:line="293" w:lineRule="atLeast"/>
              <w:jc w:val="center"/>
            </w:pPr>
            <w:r w:rsidRPr="00137C2D">
              <w:t>izmaiņas, salīdzinot ar vidēja termiņa budžeta ietvaru n+2 gadam</w:t>
            </w:r>
          </w:p>
        </w:tc>
      </w:tr>
      <w:tr w:rsidR="000B36D2" w:rsidRPr="000B36D2" w14:paraId="0F1424D9"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9A5F79" w14:textId="77777777" w:rsidR="000B36D2" w:rsidRPr="00137C2D" w:rsidRDefault="000B36D2" w:rsidP="000B36D2">
            <w:pPr>
              <w:spacing w:before="100" w:beforeAutospacing="1" w:after="100" w:afterAutospacing="1" w:line="293" w:lineRule="atLeast"/>
              <w:jc w:val="center"/>
            </w:pPr>
            <w:r w:rsidRPr="00137C2D">
              <w:t>1</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4D652B" w14:textId="77777777" w:rsidR="000B36D2" w:rsidRPr="00137C2D" w:rsidRDefault="000B36D2" w:rsidP="000B36D2">
            <w:pPr>
              <w:spacing w:before="100" w:beforeAutospacing="1" w:after="100" w:afterAutospacing="1" w:line="293" w:lineRule="atLeast"/>
              <w:jc w:val="center"/>
            </w:pPr>
            <w:r w:rsidRPr="00137C2D">
              <w:t>2</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2F1603" w14:textId="77777777" w:rsidR="000B36D2" w:rsidRPr="00137C2D" w:rsidRDefault="000B36D2" w:rsidP="000B36D2">
            <w:pPr>
              <w:spacing w:before="100" w:beforeAutospacing="1" w:after="100" w:afterAutospacing="1" w:line="293" w:lineRule="atLeast"/>
              <w:jc w:val="center"/>
            </w:pPr>
            <w:r w:rsidRPr="00137C2D">
              <w:t>3</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C6C4070" w14:textId="77777777" w:rsidR="000B36D2" w:rsidRPr="00137C2D" w:rsidRDefault="000B36D2" w:rsidP="000B36D2">
            <w:pPr>
              <w:spacing w:before="100" w:beforeAutospacing="1" w:after="100" w:afterAutospacing="1" w:line="293" w:lineRule="atLeast"/>
              <w:jc w:val="center"/>
            </w:pPr>
            <w:r w:rsidRPr="00137C2D">
              <w:t>4</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F0F03E" w14:textId="77777777" w:rsidR="000B36D2" w:rsidRPr="00137C2D" w:rsidRDefault="000B36D2" w:rsidP="000B36D2">
            <w:pPr>
              <w:spacing w:before="100" w:beforeAutospacing="1" w:after="100" w:afterAutospacing="1" w:line="293" w:lineRule="atLeast"/>
              <w:jc w:val="center"/>
            </w:pPr>
            <w:r w:rsidRPr="00137C2D">
              <w:t>5</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3D2F33" w14:textId="77777777" w:rsidR="000B36D2" w:rsidRPr="00137C2D" w:rsidRDefault="000B36D2" w:rsidP="000B36D2">
            <w:pPr>
              <w:spacing w:before="100" w:beforeAutospacing="1" w:after="100" w:afterAutospacing="1" w:line="293" w:lineRule="atLeast"/>
              <w:jc w:val="center"/>
            </w:pPr>
            <w:r w:rsidRPr="00137C2D">
              <w:t>6</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48859B" w14:textId="77777777" w:rsidR="000B36D2" w:rsidRPr="00137C2D" w:rsidRDefault="000B36D2" w:rsidP="000B36D2">
            <w:pPr>
              <w:spacing w:before="100" w:beforeAutospacing="1" w:after="100" w:afterAutospacing="1" w:line="293" w:lineRule="atLeast"/>
              <w:jc w:val="center"/>
            </w:pPr>
            <w:r w:rsidRPr="00137C2D">
              <w:t>7</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3A4921" w14:textId="77777777" w:rsidR="000B36D2" w:rsidRPr="00137C2D" w:rsidRDefault="000B36D2" w:rsidP="000B36D2">
            <w:pPr>
              <w:spacing w:before="100" w:beforeAutospacing="1" w:after="100" w:afterAutospacing="1" w:line="293" w:lineRule="atLeast"/>
              <w:jc w:val="center"/>
            </w:pPr>
            <w:r w:rsidRPr="00137C2D">
              <w:t>8</w:t>
            </w:r>
          </w:p>
        </w:tc>
      </w:tr>
      <w:tr w:rsidR="000B36D2" w:rsidRPr="000B36D2" w14:paraId="304DB84C"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12D6529B" w14:textId="77777777" w:rsidR="000B36D2" w:rsidRPr="00137C2D" w:rsidRDefault="000B36D2" w:rsidP="000B36D2">
            <w:r w:rsidRPr="00137C2D">
              <w:t>1. Budžeta ieņēmumi</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2BB982"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F7888B7" w14:textId="77777777" w:rsidR="000B36D2" w:rsidRPr="00137C2D" w:rsidRDefault="000B36D2" w:rsidP="000B36D2">
            <w:r w:rsidRPr="00137C2D">
              <w:t xml:space="preserve"> 0 </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21C22D"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230F32" w14:textId="77777777" w:rsidR="000B36D2" w:rsidRPr="00137C2D" w:rsidRDefault="000B36D2" w:rsidP="000B36D2">
            <w:r w:rsidRPr="00137C2D">
              <w:t xml:space="preserve"> 0 </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0A9248"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9AB8F0" w14:textId="77777777" w:rsidR="000B36D2" w:rsidRPr="00137C2D" w:rsidRDefault="000B36D2" w:rsidP="000B36D2">
            <w:r w:rsidRPr="00137C2D">
              <w:t xml:space="preserve"> 0 </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B59CCF" w14:textId="77777777" w:rsidR="000B36D2" w:rsidRPr="00137C2D" w:rsidRDefault="000B36D2" w:rsidP="000B36D2">
            <w:r w:rsidRPr="00137C2D">
              <w:t> 0</w:t>
            </w:r>
          </w:p>
        </w:tc>
      </w:tr>
      <w:tr w:rsidR="000B36D2" w:rsidRPr="000B36D2" w14:paraId="7C6A7D80"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30A40245" w14:textId="77777777" w:rsidR="000B36D2" w:rsidRPr="00137C2D" w:rsidRDefault="000B36D2" w:rsidP="000B36D2">
            <w:r w:rsidRPr="00137C2D">
              <w:t>1.1. valsts pamatbudžets, tai skaitā ieņēmumi no maksas pakalpojumiem un citi pašu ieņēmumi</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EF7CF8F"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E26729"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9C4AF0" w14:textId="77777777" w:rsidR="000B36D2" w:rsidRPr="00137C2D" w:rsidRDefault="000B36D2" w:rsidP="000B36D2">
            <w:r w:rsidRPr="00137C2D">
              <w:t xml:space="preserve">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F3B81F"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EB5C6C" w14:textId="77777777" w:rsidR="000B36D2" w:rsidRPr="00137C2D" w:rsidRDefault="000B36D2" w:rsidP="000B36D2">
            <w:r w:rsidRPr="00137C2D">
              <w:t xml:space="preserve">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14568EF"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D78087" w14:textId="77777777" w:rsidR="000B36D2" w:rsidRPr="00137C2D" w:rsidRDefault="000B36D2" w:rsidP="000B36D2">
            <w:r w:rsidRPr="00137C2D">
              <w:t> 0</w:t>
            </w:r>
          </w:p>
        </w:tc>
      </w:tr>
      <w:tr w:rsidR="000B36D2" w:rsidRPr="000B36D2" w14:paraId="7A035C8B"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1C5D9C20" w14:textId="77777777" w:rsidR="000B36D2" w:rsidRPr="00137C2D" w:rsidRDefault="000B36D2" w:rsidP="000B36D2">
            <w:r w:rsidRPr="00137C2D">
              <w:t>1.2. valsts speciālais budžets</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3B3E95"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1DCB47E"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0521DD"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F0D7D4"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94B0DC"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51E7C0"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3485F3" w14:textId="77777777" w:rsidR="000B36D2" w:rsidRPr="00137C2D" w:rsidRDefault="000B36D2" w:rsidP="000B36D2">
            <w:r w:rsidRPr="00137C2D">
              <w:t> 0</w:t>
            </w:r>
          </w:p>
        </w:tc>
      </w:tr>
      <w:tr w:rsidR="000B36D2" w:rsidRPr="000B36D2" w14:paraId="1FDC07B4"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6E023336" w14:textId="77777777" w:rsidR="000B36D2" w:rsidRPr="00137C2D" w:rsidRDefault="000B36D2" w:rsidP="000B36D2">
            <w:r w:rsidRPr="00137C2D">
              <w:t>1.3. pašvaldību budžets</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5738A70"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92D337"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BDA75E"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1CA9870"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46F1FA"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BDF63D"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29C43A5" w14:textId="77777777" w:rsidR="000B36D2" w:rsidRPr="00137C2D" w:rsidRDefault="000B36D2" w:rsidP="000B36D2">
            <w:r w:rsidRPr="00137C2D">
              <w:t> 0</w:t>
            </w:r>
          </w:p>
        </w:tc>
      </w:tr>
      <w:tr w:rsidR="000B36D2" w:rsidRPr="000B36D2" w14:paraId="15E907EB"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57205A68" w14:textId="77777777" w:rsidR="000B36D2" w:rsidRPr="00137C2D" w:rsidRDefault="000B36D2" w:rsidP="000B36D2">
            <w:r w:rsidRPr="00137C2D">
              <w:t>2. Budžeta izdevumi</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3935B4"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CDFFC7"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9DA306A"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280120C"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413165"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E10E421"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90CAA2C" w14:textId="77777777" w:rsidR="000B36D2" w:rsidRPr="00137C2D" w:rsidRDefault="000B36D2" w:rsidP="000B36D2">
            <w:r w:rsidRPr="00137C2D">
              <w:t> 0</w:t>
            </w:r>
          </w:p>
        </w:tc>
      </w:tr>
      <w:tr w:rsidR="000B36D2" w:rsidRPr="000B36D2" w14:paraId="2701DE26"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27E1831C" w14:textId="77777777" w:rsidR="000B36D2" w:rsidRPr="00137C2D" w:rsidRDefault="000B36D2" w:rsidP="000B36D2">
            <w:r w:rsidRPr="00137C2D">
              <w:t>2.1. valsts pamatbudžets</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6FA09E" w14:textId="77777777" w:rsidR="000B36D2" w:rsidRPr="00137C2D" w:rsidRDefault="000B36D2" w:rsidP="000B36D2">
            <w:r w:rsidRPr="00137C2D">
              <w:t xml:space="preserve">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717FE7"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4484BA"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A4BC2B"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D3C458" w14:textId="77777777" w:rsidR="000B36D2" w:rsidRPr="00137C2D" w:rsidRDefault="000B36D2" w:rsidP="000B36D2">
            <w:r w:rsidRPr="00137C2D">
              <w:t> 20 000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202E3A"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9A1AC6" w14:textId="77777777" w:rsidR="000B36D2" w:rsidRPr="00137C2D" w:rsidRDefault="000B36D2" w:rsidP="000B36D2">
            <w:r w:rsidRPr="00137C2D">
              <w:t> 0</w:t>
            </w:r>
          </w:p>
        </w:tc>
      </w:tr>
      <w:tr w:rsidR="000B36D2" w:rsidRPr="000B36D2" w14:paraId="440EB126"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0DB41577" w14:textId="77777777" w:rsidR="000B36D2" w:rsidRPr="00137C2D" w:rsidRDefault="000B36D2" w:rsidP="000B36D2">
            <w:r w:rsidRPr="00137C2D">
              <w:t>2.2. valsts speciālais budžets</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A82D44"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EDD6048"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C392C1"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E1E5D6"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3AEFA0"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079F67"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67AE777" w14:textId="77777777" w:rsidR="000B36D2" w:rsidRPr="00137C2D" w:rsidRDefault="000B36D2" w:rsidP="000B36D2">
            <w:r w:rsidRPr="00137C2D">
              <w:t> 0</w:t>
            </w:r>
          </w:p>
        </w:tc>
      </w:tr>
      <w:tr w:rsidR="000B36D2" w:rsidRPr="000B36D2" w14:paraId="5C7C4701"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02AEE563" w14:textId="77777777" w:rsidR="000B36D2" w:rsidRPr="00137C2D" w:rsidRDefault="000B36D2" w:rsidP="000B36D2">
            <w:r w:rsidRPr="00137C2D">
              <w:t>2.3. pašvaldību budžets</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A2ADA2"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EBC8D8"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84B849"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9EB174"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0AAB26"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549BF4"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EFE6F7" w14:textId="77777777" w:rsidR="000B36D2" w:rsidRPr="00137C2D" w:rsidRDefault="000B36D2" w:rsidP="000B36D2">
            <w:r w:rsidRPr="00137C2D">
              <w:t> 0</w:t>
            </w:r>
          </w:p>
        </w:tc>
      </w:tr>
      <w:tr w:rsidR="000B36D2" w:rsidRPr="000B36D2" w14:paraId="311E635F"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26BCD0D3" w14:textId="77777777" w:rsidR="000B36D2" w:rsidRPr="00137C2D" w:rsidRDefault="000B36D2" w:rsidP="000B36D2">
            <w:r w:rsidRPr="00137C2D">
              <w:t>3. Finansiālā ietekme</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A3F1DD"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828281"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D552D2"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D738D4"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ABDE47"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A7B2BA6"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24661B0" w14:textId="77777777" w:rsidR="000B36D2" w:rsidRPr="00137C2D" w:rsidRDefault="000B36D2" w:rsidP="000B36D2">
            <w:r w:rsidRPr="00137C2D">
              <w:t> 0</w:t>
            </w:r>
          </w:p>
        </w:tc>
      </w:tr>
      <w:tr w:rsidR="000B36D2" w:rsidRPr="000B36D2" w14:paraId="7B5CE2C0" w14:textId="77777777" w:rsidTr="00137C2D">
        <w:tc>
          <w:tcPr>
            <w:tcW w:w="1015" w:type="pct"/>
            <w:tcBorders>
              <w:top w:val="outset" w:sz="6" w:space="0" w:color="414142"/>
              <w:left w:val="outset" w:sz="6" w:space="0" w:color="414142"/>
              <w:bottom w:val="outset" w:sz="6" w:space="0" w:color="414142"/>
              <w:right w:val="outset" w:sz="6" w:space="0" w:color="414142"/>
            </w:tcBorders>
            <w:shd w:val="clear" w:color="auto" w:fill="auto"/>
            <w:hideMark/>
          </w:tcPr>
          <w:p w14:paraId="75D70375" w14:textId="77777777" w:rsidR="000B36D2" w:rsidRPr="00137C2D" w:rsidRDefault="000B36D2" w:rsidP="000B36D2">
            <w:r w:rsidRPr="00137C2D">
              <w:t>3.1. valsts pamatbudžets</w:t>
            </w:r>
          </w:p>
        </w:tc>
        <w:tc>
          <w:tcPr>
            <w:tcW w:w="4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AC9870"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60E11E" w14:textId="77777777" w:rsidR="000B36D2" w:rsidRPr="00137C2D" w:rsidRDefault="000B36D2" w:rsidP="000B36D2">
            <w:r w:rsidRPr="00137C2D">
              <w:t> 0</w:t>
            </w:r>
          </w:p>
        </w:tc>
        <w:tc>
          <w:tcPr>
            <w:tcW w:w="47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A93356"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233267" w14:textId="77777777" w:rsidR="000B36D2" w:rsidRPr="00137C2D" w:rsidRDefault="000B36D2" w:rsidP="000B36D2">
            <w:r w:rsidRPr="00137C2D">
              <w:t> 0</w:t>
            </w:r>
          </w:p>
        </w:tc>
        <w:tc>
          <w:tcPr>
            <w:tcW w:w="47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5149D3" w14:textId="77777777" w:rsidR="000B36D2" w:rsidRPr="00137C2D" w:rsidRDefault="000B36D2" w:rsidP="000B36D2">
            <w:r w:rsidRPr="00137C2D">
              <w:t> 0</w:t>
            </w:r>
          </w:p>
        </w:tc>
        <w:tc>
          <w:tcPr>
            <w:tcW w:w="52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89E42B" w14:textId="77777777" w:rsidR="000B36D2" w:rsidRPr="00137C2D" w:rsidRDefault="000B36D2" w:rsidP="000B36D2">
            <w:r w:rsidRPr="00137C2D">
              <w:t> 0</w:t>
            </w:r>
          </w:p>
        </w:tc>
        <w:tc>
          <w:tcPr>
            <w:tcW w:w="97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030829" w14:textId="77777777" w:rsidR="000B36D2" w:rsidRPr="00137C2D" w:rsidRDefault="000B36D2" w:rsidP="000B36D2">
            <w:r w:rsidRPr="00137C2D">
              <w:t> 0</w:t>
            </w:r>
          </w:p>
        </w:tc>
      </w:tr>
      <w:tr w:rsidR="000B36D2" w:rsidRPr="000B36D2" w14:paraId="677EA68A"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3573D6D0" w14:textId="77777777" w:rsidR="000B36D2" w:rsidRPr="000B36D2" w:rsidRDefault="000B36D2" w:rsidP="000B36D2">
            <w:r w:rsidRPr="000B36D2">
              <w:t>3.2. speciālais budžets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4B52A" w14:textId="77777777" w:rsidR="000B36D2" w:rsidRPr="000B36D2" w:rsidRDefault="000B36D2" w:rsidP="000B36D2">
            <w:r w:rsidRPr="000B36D2">
              <w:t> 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6F0AA" w14:textId="77777777" w:rsidR="000B36D2" w:rsidRPr="000B36D2" w:rsidRDefault="000B36D2" w:rsidP="000B36D2">
            <w:r w:rsidRPr="000B36D2">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B6C85" w14:textId="77777777" w:rsidR="000B36D2" w:rsidRPr="000B36D2" w:rsidRDefault="000B36D2" w:rsidP="000B36D2">
            <w:r w:rsidRPr="000B36D2">
              <w:t> 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FE17" w14:textId="77777777" w:rsidR="000B36D2" w:rsidRPr="000B36D2" w:rsidRDefault="000B36D2" w:rsidP="000B36D2">
            <w:r w:rsidRPr="000B36D2">
              <w:t> 0</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66EAE" w14:textId="77777777" w:rsidR="000B36D2" w:rsidRPr="000B36D2" w:rsidRDefault="000B36D2" w:rsidP="000B36D2">
            <w:r w:rsidRPr="000B36D2">
              <w:t> 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0D722"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A2FF5" w14:textId="77777777" w:rsidR="000B36D2" w:rsidRPr="000B36D2" w:rsidRDefault="000B36D2" w:rsidP="000B36D2">
            <w:r w:rsidRPr="000B36D2">
              <w:t> 0</w:t>
            </w:r>
          </w:p>
        </w:tc>
      </w:tr>
      <w:tr w:rsidR="000B36D2" w:rsidRPr="000B36D2" w14:paraId="6AAFB773"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00C7E27D" w14:textId="77777777" w:rsidR="000B36D2" w:rsidRPr="000B36D2" w:rsidRDefault="000B36D2" w:rsidP="000B36D2">
            <w:r w:rsidRPr="000B36D2">
              <w:t>3.3. pašvaldību budžets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88D89" w14:textId="77777777" w:rsidR="000B36D2" w:rsidRPr="000B36D2" w:rsidRDefault="000B36D2" w:rsidP="000B36D2">
            <w:r w:rsidRPr="000B36D2">
              <w:t> 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A761E" w14:textId="77777777" w:rsidR="000B36D2" w:rsidRPr="000B36D2" w:rsidRDefault="000B36D2" w:rsidP="000B36D2">
            <w:r w:rsidRPr="000B36D2">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24ED4" w14:textId="77777777" w:rsidR="000B36D2" w:rsidRPr="000B36D2" w:rsidRDefault="000B36D2" w:rsidP="000B36D2">
            <w:r w:rsidRPr="000B36D2">
              <w:t> 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6E8DF" w14:textId="77777777" w:rsidR="000B36D2" w:rsidRPr="000B36D2" w:rsidRDefault="000B36D2" w:rsidP="000B36D2">
            <w:r w:rsidRPr="000B36D2">
              <w:t> 0</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B05BEC" w14:textId="77777777" w:rsidR="000B36D2" w:rsidRPr="000B36D2" w:rsidRDefault="000B36D2" w:rsidP="000B36D2">
            <w:r w:rsidRPr="000B36D2">
              <w:t> 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34D51"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9FB70" w14:textId="77777777" w:rsidR="000B36D2" w:rsidRPr="000B36D2" w:rsidRDefault="000B36D2" w:rsidP="000B36D2">
            <w:r w:rsidRPr="000B36D2">
              <w:t> 0</w:t>
            </w:r>
          </w:p>
        </w:tc>
      </w:tr>
      <w:tr w:rsidR="000B36D2" w:rsidRPr="000B36D2" w14:paraId="52645A1B"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721DA6B8" w14:textId="77777777" w:rsidR="000B36D2" w:rsidRPr="000B36D2" w:rsidRDefault="000B36D2" w:rsidP="000B36D2">
            <w:r w:rsidRPr="000B36D2">
              <w:t>4. Finanšu līdzekļi papildu izdevumu finansēšanai (kompensējošu izdevumu samazinājumu norāda ar "+" zīmi)</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1C8EB" w14:textId="77777777" w:rsidR="000B36D2" w:rsidRPr="000B36D2" w:rsidRDefault="000B36D2" w:rsidP="000B36D2">
            <w:r w:rsidRPr="000B36D2">
              <w:t> x</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5C4C0" w14:textId="77777777" w:rsidR="000B36D2" w:rsidRPr="000B36D2" w:rsidRDefault="000B36D2" w:rsidP="000B36D2">
            <w:r w:rsidRPr="000B36D2">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9CA73" w14:textId="77777777" w:rsidR="000B36D2" w:rsidRPr="000B36D2" w:rsidRDefault="000B36D2" w:rsidP="000B36D2">
            <w:r w:rsidRPr="000B36D2">
              <w:t> x</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08694D" w14:textId="77777777" w:rsidR="000B36D2" w:rsidRPr="000B36D2" w:rsidRDefault="000B36D2" w:rsidP="000B36D2">
            <w:r w:rsidRPr="000B36D2">
              <w:t> 0</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CB2C7" w14:textId="77777777" w:rsidR="000B36D2" w:rsidRPr="000B36D2" w:rsidRDefault="000B36D2" w:rsidP="000B36D2">
            <w:r w:rsidRPr="000B36D2">
              <w:t> x</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31CE3"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80AD5" w14:textId="77777777" w:rsidR="000B36D2" w:rsidRPr="000B36D2" w:rsidRDefault="000B36D2" w:rsidP="000B36D2">
            <w:r w:rsidRPr="000B36D2">
              <w:t> 0</w:t>
            </w:r>
          </w:p>
        </w:tc>
      </w:tr>
      <w:tr w:rsidR="000B36D2" w:rsidRPr="000B36D2" w14:paraId="4AC19401" w14:textId="77777777" w:rsidTr="0046415B">
        <w:trPr>
          <w:trHeight w:val="498"/>
        </w:trPr>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6EE197A5" w14:textId="77777777" w:rsidR="000B36D2" w:rsidRPr="000B36D2" w:rsidRDefault="000B36D2" w:rsidP="000B36D2">
            <w:r w:rsidRPr="000B36D2">
              <w:lastRenderedPageBreak/>
              <w:t>5. Precizēta finansiālā ietekme</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38CFA" w14:textId="77777777" w:rsidR="000B36D2" w:rsidRPr="000B36D2" w:rsidRDefault="000B36D2" w:rsidP="000B36D2">
            <w:r w:rsidRPr="000B36D2">
              <w:t> x</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42C5C" w14:textId="77777777" w:rsidR="000B36D2" w:rsidRPr="000B36D2" w:rsidRDefault="000B36D2" w:rsidP="000B36D2">
            <w:r w:rsidRPr="000B36D2">
              <w:t> 0</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6A196" w14:textId="77777777" w:rsidR="000B36D2" w:rsidRPr="000B36D2" w:rsidRDefault="000B36D2" w:rsidP="000B36D2">
            <w:r w:rsidRPr="000B36D2">
              <w:t> x</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1BB01" w14:textId="77777777" w:rsidR="000B36D2" w:rsidRPr="000B36D2" w:rsidRDefault="000B36D2" w:rsidP="000B36D2">
            <w:r w:rsidRPr="000B36D2">
              <w:t> 0</w:t>
            </w:r>
          </w:p>
        </w:tc>
        <w:tc>
          <w:tcPr>
            <w:tcW w:w="47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E216" w14:textId="77777777" w:rsidR="000B36D2" w:rsidRPr="000B36D2" w:rsidRDefault="000B36D2" w:rsidP="000B36D2">
            <w:r w:rsidRPr="000B36D2">
              <w:t> x</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16631"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A5DEA" w14:textId="77777777" w:rsidR="000B36D2" w:rsidRPr="000B36D2" w:rsidRDefault="000B36D2" w:rsidP="000B36D2">
            <w:r w:rsidRPr="000B36D2">
              <w:t> 0</w:t>
            </w:r>
          </w:p>
        </w:tc>
      </w:tr>
      <w:tr w:rsidR="000B36D2" w:rsidRPr="000B36D2" w14:paraId="17A88796"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7F57B477" w14:textId="77777777" w:rsidR="000B36D2" w:rsidRPr="000B36D2" w:rsidRDefault="000B36D2" w:rsidP="000B36D2">
            <w:r w:rsidRPr="000B36D2">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32BB8"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120AB" w14:textId="77777777" w:rsidR="000B36D2" w:rsidRPr="000B36D2" w:rsidRDefault="000B36D2" w:rsidP="000B36D2">
            <w:r w:rsidRPr="000B36D2">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EE609"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BBDA9" w14:textId="77777777" w:rsidR="000B36D2" w:rsidRPr="000B36D2" w:rsidRDefault="000B36D2" w:rsidP="000B36D2">
            <w:r w:rsidRPr="000B36D2">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7E6CA"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DD0E3"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377D2" w14:textId="77777777" w:rsidR="000B36D2" w:rsidRPr="000B36D2" w:rsidRDefault="000B36D2" w:rsidP="000B36D2">
            <w:r w:rsidRPr="000B36D2">
              <w:t> 0</w:t>
            </w:r>
          </w:p>
        </w:tc>
      </w:tr>
      <w:tr w:rsidR="000B36D2" w:rsidRPr="000B36D2" w14:paraId="22220472"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3766463B" w14:textId="77777777" w:rsidR="000B36D2" w:rsidRPr="000B36D2" w:rsidRDefault="000B36D2" w:rsidP="000B36D2">
            <w:r w:rsidRPr="000B36D2">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11CDF"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D963D" w14:textId="77777777" w:rsidR="000B36D2" w:rsidRPr="000B36D2" w:rsidRDefault="000B36D2" w:rsidP="000B36D2">
            <w:r w:rsidRPr="000B36D2">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98C56"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9817A" w14:textId="77777777" w:rsidR="000B36D2" w:rsidRPr="000B36D2" w:rsidRDefault="000B36D2" w:rsidP="000B36D2">
            <w:r w:rsidRPr="000B36D2">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91509"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8F3E0"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0D117" w14:textId="77777777" w:rsidR="000B36D2" w:rsidRPr="000B36D2" w:rsidRDefault="000B36D2" w:rsidP="000B36D2">
            <w:r w:rsidRPr="000B36D2">
              <w:t> 0</w:t>
            </w:r>
          </w:p>
        </w:tc>
      </w:tr>
      <w:tr w:rsidR="000B36D2" w:rsidRPr="000B36D2" w14:paraId="119643CF"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0E115FE2" w14:textId="77777777" w:rsidR="000B36D2" w:rsidRPr="000B36D2" w:rsidRDefault="000B36D2" w:rsidP="000B36D2">
            <w:r w:rsidRPr="000B36D2">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82C1B"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0DAD5" w14:textId="77777777" w:rsidR="000B36D2" w:rsidRPr="000B36D2" w:rsidRDefault="000B36D2" w:rsidP="000B36D2">
            <w:r w:rsidRPr="000B36D2">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7DABE"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FA22A" w14:textId="77777777" w:rsidR="000B36D2" w:rsidRPr="000B36D2" w:rsidRDefault="000B36D2" w:rsidP="000B36D2">
            <w:r w:rsidRPr="000B36D2">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CD18A" w14:textId="77777777" w:rsidR="000B36D2" w:rsidRPr="000B36D2" w:rsidRDefault="000B36D2" w:rsidP="000B36D2"/>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F8262" w14:textId="77777777" w:rsidR="000B36D2" w:rsidRPr="000B36D2" w:rsidRDefault="000B36D2" w:rsidP="000B36D2">
            <w:r w:rsidRPr="000B36D2">
              <w:t> 0</w:t>
            </w:r>
          </w:p>
        </w:tc>
        <w:tc>
          <w:tcPr>
            <w:tcW w:w="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9CEFC" w14:textId="77777777" w:rsidR="000B36D2" w:rsidRPr="000B36D2" w:rsidRDefault="000B36D2" w:rsidP="000B36D2">
            <w:r w:rsidRPr="000B36D2">
              <w:t> 0</w:t>
            </w:r>
          </w:p>
        </w:tc>
      </w:tr>
      <w:tr w:rsidR="000B36D2" w:rsidRPr="000B36D2" w14:paraId="4890E3C7"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4CB420C2" w14:textId="77777777" w:rsidR="000B36D2" w:rsidRPr="000B36D2" w:rsidRDefault="000B36D2" w:rsidP="000B36D2">
            <w:r w:rsidRPr="000B36D2">
              <w:t>6. Detalizēts ieņēmumu un izdevumu aprēķins (ja nepieciešams, detalizētu ieņēmumu un izdevumu aprēķinu var pievienot anotācijas pielikumā)</w:t>
            </w:r>
          </w:p>
        </w:tc>
        <w:tc>
          <w:tcPr>
            <w:tcW w:w="398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99409" w14:textId="77777777" w:rsidR="000B36D2" w:rsidRPr="000B36D2" w:rsidRDefault="000B36D2" w:rsidP="000B36D2">
            <w:r w:rsidRPr="000B36D2">
              <w:t> </w:t>
            </w:r>
          </w:p>
        </w:tc>
      </w:tr>
      <w:tr w:rsidR="000B36D2" w:rsidRPr="000B36D2" w14:paraId="2B3B1AE9"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797F2035" w14:textId="77777777" w:rsidR="000B36D2" w:rsidRPr="000B36D2" w:rsidRDefault="000B36D2" w:rsidP="000B36D2">
            <w:r w:rsidRPr="000B36D2">
              <w:t>6.1. detalizēts ieņēmumu aprēķins</w:t>
            </w:r>
          </w:p>
        </w:tc>
        <w:tc>
          <w:tcPr>
            <w:tcW w:w="398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38612" w14:textId="77777777" w:rsidR="000B36D2" w:rsidRPr="000B36D2" w:rsidRDefault="000B36D2" w:rsidP="000B36D2"/>
        </w:tc>
      </w:tr>
      <w:tr w:rsidR="000B36D2" w:rsidRPr="000B36D2" w14:paraId="34B09255"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1584233B" w14:textId="77777777" w:rsidR="000B36D2" w:rsidRPr="000B36D2" w:rsidRDefault="000B36D2" w:rsidP="000B36D2">
            <w:r w:rsidRPr="000B36D2">
              <w:t>6.2. detalizēts izdevumu aprēķins</w:t>
            </w:r>
          </w:p>
        </w:tc>
        <w:tc>
          <w:tcPr>
            <w:tcW w:w="398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845F6" w14:textId="77777777" w:rsidR="000B36D2" w:rsidRPr="000B36D2" w:rsidRDefault="000B36D2" w:rsidP="000B36D2"/>
        </w:tc>
      </w:tr>
      <w:tr w:rsidR="000B36D2" w:rsidRPr="000B36D2" w14:paraId="36644AFF"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74EAA7E8" w14:textId="77777777" w:rsidR="000B36D2" w:rsidRPr="000B36D2" w:rsidRDefault="000B36D2" w:rsidP="000B36D2">
            <w:r w:rsidRPr="000B36D2">
              <w:t>7. Amata vietu skaita izmaiņas</w:t>
            </w:r>
          </w:p>
        </w:tc>
        <w:tc>
          <w:tcPr>
            <w:tcW w:w="398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9387819" w14:textId="77777777" w:rsidR="000B36D2" w:rsidRPr="000B36D2" w:rsidRDefault="000B36D2" w:rsidP="000B36D2"/>
        </w:tc>
      </w:tr>
      <w:tr w:rsidR="000B36D2" w:rsidRPr="000B36D2" w14:paraId="0DF3F7C9" w14:textId="77777777" w:rsidTr="0046415B">
        <w:tc>
          <w:tcPr>
            <w:tcW w:w="1015" w:type="pct"/>
            <w:tcBorders>
              <w:top w:val="outset" w:sz="6" w:space="0" w:color="414142"/>
              <w:left w:val="outset" w:sz="6" w:space="0" w:color="414142"/>
              <w:bottom w:val="outset" w:sz="6" w:space="0" w:color="414142"/>
              <w:right w:val="outset" w:sz="6" w:space="0" w:color="414142"/>
            </w:tcBorders>
            <w:shd w:val="clear" w:color="auto" w:fill="FFFFFF"/>
            <w:hideMark/>
          </w:tcPr>
          <w:p w14:paraId="409DF267" w14:textId="77777777" w:rsidR="000B36D2" w:rsidRPr="00137C2D" w:rsidRDefault="000B36D2" w:rsidP="000B36D2">
            <w:r w:rsidRPr="00137C2D">
              <w:t>8. Cita informācija</w:t>
            </w:r>
          </w:p>
        </w:tc>
        <w:tc>
          <w:tcPr>
            <w:tcW w:w="398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6692420" w14:textId="77777777" w:rsidR="000B36D2" w:rsidRPr="00137C2D" w:rsidRDefault="000B36D2" w:rsidP="000B36D2">
            <w:pPr>
              <w:jc w:val="both"/>
              <w:rPr>
                <w:color w:val="00B0F0"/>
              </w:rPr>
            </w:pPr>
            <w:r w:rsidRPr="00137C2D">
              <w:t>Noteikumu projektā paredzēto maksas pakalpojumu cenu pieaugums nerada ietekmi uz ieņēmumu no Būvniecības valsts kontroles biroja sniegto maksas pakalpojumu, kā arī tiem atbilstošu izdevumu apmēru, ņemot vērā, ka iespējams neizpildīsies prognozētais pakalpojumu gadījumu skaits.</w:t>
            </w:r>
          </w:p>
          <w:p w14:paraId="0A9B96C7" w14:textId="77777777" w:rsidR="000B36D2" w:rsidRPr="00137C2D" w:rsidRDefault="000B36D2" w:rsidP="000B36D2"/>
        </w:tc>
      </w:tr>
    </w:tbl>
    <w:p w14:paraId="61A5DD9F" w14:textId="33340A15" w:rsidR="000B36D2" w:rsidRDefault="000B36D2" w:rsidP="00D60C4A">
      <w:pPr>
        <w:pStyle w:val="Title"/>
        <w:spacing w:line="260" w:lineRule="exact"/>
        <w:jc w:val="both"/>
        <w:rPr>
          <w:sz w:val="12"/>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4F68B3" w:rsidRPr="00C1173E" w14:paraId="49439188" w14:textId="77777777" w:rsidTr="004F68B3">
        <w:trPr>
          <w:cantSplit/>
        </w:trPr>
        <w:tc>
          <w:tcPr>
            <w:tcW w:w="9353" w:type="dxa"/>
            <w:vAlign w:val="center"/>
            <w:hideMark/>
          </w:tcPr>
          <w:p w14:paraId="49439187" w14:textId="77777777" w:rsidR="009878D6" w:rsidRPr="00C1173E" w:rsidRDefault="00656B5C" w:rsidP="00293120">
            <w:pPr>
              <w:jc w:val="center"/>
              <w:rPr>
                <w:b/>
                <w:bCs/>
              </w:rPr>
            </w:pPr>
            <w:r w:rsidRPr="00C1173E">
              <w:rPr>
                <w:b/>
                <w:bCs/>
              </w:rPr>
              <w:t>IV. Tiesību akta projekta ietekme uz spēkā esošo tiesību normu sistēmu</w:t>
            </w:r>
          </w:p>
        </w:tc>
      </w:tr>
      <w:tr w:rsidR="004F68B3" w:rsidRPr="00C1173E" w14:paraId="566D0211" w14:textId="77777777" w:rsidTr="004F68B3">
        <w:tc>
          <w:tcPr>
            <w:tcW w:w="9353" w:type="dxa"/>
            <w:shd w:val="clear" w:color="auto" w:fill="auto"/>
          </w:tcPr>
          <w:p w14:paraId="070B4544" w14:textId="4601E257" w:rsidR="00823F93" w:rsidRPr="00C1173E" w:rsidRDefault="00D573AD" w:rsidP="00386EA8">
            <w:pPr>
              <w:ind w:left="57" w:firstLine="108"/>
              <w:jc w:val="center"/>
            </w:pPr>
            <w:r w:rsidRPr="00C1173E">
              <w:rPr>
                <w:i/>
              </w:rPr>
              <w:t>Noteikumu projekts</w:t>
            </w:r>
            <w:r w:rsidRPr="00C1173E">
              <w:t xml:space="preserve"> šo jomu neskar</w:t>
            </w:r>
          </w:p>
        </w:tc>
      </w:tr>
    </w:tbl>
    <w:p w14:paraId="4943919F" w14:textId="66A56AE0" w:rsidR="00161647" w:rsidRDefault="00161647" w:rsidP="00D60C4A">
      <w:pPr>
        <w:pStyle w:val="Title"/>
        <w:spacing w:line="260" w:lineRule="exact"/>
        <w:jc w:val="both"/>
        <w:rPr>
          <w:sz w:val="12"/>
          <w:szCs w:val="24"/>
          <w:highlight w:val="yellow"/>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4F68B3" w:rsidRPr="00C1173E" w14:paraId="494391A1" w14:textId="77777777" w:rsidTr="004F68B3">
        <w:tc>
          <w:tcPr>
            <w:tcW w:w="5000" w:type="pct"/>
            <w:vAlign w:val="center"/>
            <w:hideMark/>
          </w:tcPr>
          <w:p w14:paraId="494391A0" w14:textId="77777777" w:rsidR="009878D6" w:rsidRPr="00C1173E" w:rsidRDefault="00656B5C" w:rsidP="00293120">
            <w:pPr>
              <w:jc w:val="center"/>
              <w:rPr>
                <w:b/>
                <w:bCs/>
              </w:rPr>
            </w:pPr>
            <w:r w:rsidRPr="00C1173E">
              <w:rPr>
                <w:b/>
                <w:bCs/>
              </w:rPr>
              <w:t>V. Tiesību akta projekta atbilstība Latvijas Republikas starptautiskajām saistībām</w:t>
            </w:r>
          </w:p>
        </w:tc>
      </w:tr>
      <w:tr w:rsidR="004F68B3" w:rsidRPr="00C1173E" w14:paraId="494391A3" w14:textId="77777777" w:rsidTr="004F68B3">
        <w:tc>
          <w:tcPr>
            <w:tcW w:w="5000" w:type="pct"/>
          </w:tcPr>
          <w:p w14:paraId="494391A2" w14:textId="46E4950F" w:rsidR="0051332D" w:rsidRPr="00C1173E" w:rsidRDefault="00D573AD" w:rsidP="0051332D">
            <w:pPr>
              <w:ind w:left="57" w:firstLine="108"/>
              <w:jc w:val="center"/>
            </w:pPr>
            <w:r w:rsidRPr="00C1173E">
              <w:rPr>
                <w:i/>
              </w:rPr>
              <w:t>Noteikumu projekts</w:t>
            </w:r>
            <w:r w:rsidRPr="00C1173E">
              <w:t xml:space="preserve"> šo jomu neskar</w:t>
            </w:r>
          </w:p>
        </w:tc>
      </w:tr>
    </w:tbl>
    <w:p w14:paraId="494391A4" w14:textId="77777777" w:rsidR="00161647" w:rsidRPr="00C1173E"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C1173E" w14:paraId="494391A6" w14:textId="77777777" w:rsidTr="0057649F">
        <w:trPr>
          <w:cantSplit/>
        </w:trPr>
        <w:tc>
          <w:tcPr>
            <w:tcW w:w="5000" w:type="pct"/>
            <w:gridSpan w:val="3"/>
            <w:vAlign w:val="center"/>
            <w:hideMark/>
          </w:tcPr>
          <w:p w14:paraId="494391A5" w14:textId="77777777" w:rsidR="00BD5588" w:rsidRPr="00C1173E" w:rsidRDefault="00656B5C" w:rsidP="00E273A1">
            <w:pPr>
              <w:jc w:val="center"/>
              <w:rPr>
                <w:b/>
                <w:bCs/>
              </w:rPr>
            </w:pPr>
            <w:r w:rsidRPr="00C1173E">
              <w:rPr>
                <w:b/>
                <w:bCs/>
              </w:rPr>
              <w:t>VI. Sabiedrības līdzdalība un komunikācijas aktivitātes</w:t>
            </w:r>
          </w:p>
        </w:tc>
      </w:tr>
      <w:tr w:rsidR="00730B3B" w:rsidRPr="00C1173E" w14:paraId="494391AA" w14:textId="77777777" w:rsidTr="00B16445">
        <w:tc>
          <w:tcPr>
            <w:tcW w:w="281" w:type="pct"/>
            <w:hideMark/>
          </w:tcPr>
          <w:p w14:paraId="494391A7" w14:textId="77777777" w:rsidR="00BD5588" w:rsidRPr="00C1173E" w:rsidRDefault="00656B5C" w:rsidP="00E273A1">
            <w:pPr>
              <w:jc w:val="center"/>
            </w:pPr>
            <w:r w:rsidRPr="00C1173E">
              <w:t>1.</w:t>
            </w:r>
          </w:p>
        </w:tc>
        <w:tc>
          <w:tcPr>
            <w:tcW w:w="1339" w:type="pct"/>
            <w:hideMark/>
          </w:tcPr>
          <w:p w14:paraId="494391A8" w14:textId="77777777" w:rsidR="00BD5588" w:rsidRPr="00C1173E" w:rsidRDefault="00656B5C" w:rsidP="00E273A1">
            <w:r w:rsidRPr="00C1173E">
              <w:t>Plānotās sabiedrības līdzdalības un komunikācijas aktivitātes saistībā ar projektu</w:t>
            </w:r>
          </w:p>
        </w:tc>
        <w:tc>
          <w:tcPr>
            <w:tcW w:w="3380" w:type="pct"/>
          </w:tcPr>
          <w:p w14:paraId="494391A9" w14:textId="411AB935" w:rsidR="00161647" w:rsidRPr="00C1173E" w:rsidRDefault="00D573AD" w:rsidP="00C706EA">
            <w:pPr>
              <w:jc w:val="both"/>
            </w:pPr>
            <w:r w:rsidRPr="00C1173E">
              <w:rPr>
                <w:i/>
              </w:rPr>
              <w:t>Noteikumu projekts</w:t>
            </w:r>
            <w:r w:rsidRPr="00C1173E">
              <w:t xml:space="preserve"> šo jomu neskar</w:t>
            </w:r>
          </w:p>
        </w:tc>
      </w:tr>
      <w:tr w:rsidR="00730B3B" w:rsidRPr="00C1173E" w14:paraId="494391AE" w14:textId="77777777" w:rsidTr="00B16445">
        <w:trPr>
          <w:cantSplit/>
        </w:trPr>
        <w:tc>
          <w:tcPr>
            <w:tcW w:w="281" w:type="pct"/>
            <w:hideMark/>
          </w:tcPr>
          <w:p w14:paraId="494391AB" w14:textId="77777777" w:rsidR="00BD5588" w:rsidRPr="00C1173E" w:rsidRDefault="00656B5C" w:rsidP="00E273A1">
            <w:pPr>
              <w:jc w:val="center"/>
            </w:pPr>
            <w:r w:rsidRPr="00C1173E">
              <w:lastRenderedPageBreak/>
              <w:t>2.</w:t>
            </w:r>
          </w:p>
        </w:tc>
        <w:tc>
          <w:tcPr>
            <w:tcW w:w="1339" w:type="pct"/>
            <w:hideMark/>
          </w:tcPr>
          <w:p w14:paraId="494391AC" w14:textId="77777777" w:rsidR="00BD5588" w:rsidRPr="00C1173E" w:rsidRDefault="00656B5C" w:rsidP="00E273A1">
            <w:r w:rsidRPr="00C1173E">
              <w:t>Sabiedrības līdzdalība projekta izstrādē</w:t>
            </w:r>
          </w:p>
        </w:tc>
        <w:tc>
          <w:tcPr>
            <w:tcW w:w="3380" w:type="pct"/>
          </w:tcPr>
          <w:p w14:paraId="270CD757" w14:textId="77777777" w:rsidR="00FB3024" w:rsidRPr="0046415B" w:rsidRDefault="00C706EA" w:rsidP="00265082">
            <w:pPr>
              <w:pStyle w:val="naisnod"/>
              <w:spacing w:before="0" w:after="0"/>
              <w:ind w:right="57"/>
              <w:jc w:val="both"/>
              <w:rPr>
                <w:b w:val="0"/>
                <w:bCs w:val="0"/>
              </w:rPr>
            </w:pPr>
            <w:r w:rsidRPr="00C1173E">
              <w:rPr>
                <w:b w:val="0"/>
                <w:bCs w:val="0"/>
                <w:i/>
              </w:rPr>
              <w:t>Noteikumu projekta</w:t>
            </w:r>
            <w:r w:rsidRPr="00C1173E">
              <w:rPr>
                <w:b w:val="0"/>
                <w:bCs w:val="0"/>
              </w:rPr>
              <w:t xml:space="preserve"> izstrādes gaitā ir notikušas konsultācijas ar </w:t>
            </w:r>
            <w:r w:rsidRPr="00C1173E">
              <w:rPr>
                <w:b w:val="0"/>
                <w:bCs w:val="0"/>
                <w:i/>
              </w:rPr>
              <w:t xml:space="preserve">kompetences </w:t>
            </w:r>
            <w:r w:rsidRPr="0046415B">
              <w:rPr>
                <w:b w:val="0"/>
                <w:bCs w:val="0"/>
                <w:i/>
              </w:rPr>
              <w:t>pārbaudes iestādēm</w:t>
            </w:r>
            <w:r w:rsidRPr="0046415B">
              <w:rPr>
                <w:b w:val="0"/>
                <w:bCs w:val="0"/>
              </w:rPr>
              <w:t xml:space="preserve">, kuras </w:t>
            </w:r>
            <w:r w:rsidR="004F0EF4" w:rsidRPr="0046415B">
              <w:rPr>
                <w:b w:val="0"/>
                <w:bCs w:val="0"/>
              </w:rPr>
              <w:t>līdz 2018.gada 31.decembrim veica</w:t>
            </w:r>
            <w:r w:rsidRPr="0046415B">
              <w:rPr>
                <w:b w:val="0"/>
                <w:bCs w:val="0"/>
              </w:rPr>
              <w:t xml:space="preserve"> būvniecības jomas būvspeciālistu kompetences novērtēšanu un profesionālās darbības uzraudzību.</w:t>
            </w:r>
          </w:p>
          <w:p w14:paraId="494391AD" w14:textId="46A084B7" w:rsidR="0046415B" w:rsidRPr="0046415B" w:rsidRDefault="0046415B" w:rsidP="0046415B">
            <w:pPr>
              <w:jc w:val="both"/>
            </w:pPr>
            <w:r w:rsidRPr="0046415B">
              <w:t xml:space="preserve">Būvniecības valsts kontroles birojs būvekspertīzes specialitātē sertificētos </w:t>
            </w:r>
            <w:proofErr w:type="spellStart"/>
            <w:r w:rsidRPr="0046415B">
              <w:t>būvspeciālistus</w:t>
            </w:r>
            <w:proofErr w:type="spellEnd"/>
            <w:r w:rsidRPr="0046415B">
              <w:t xml:space="preserve"> par gaidāmajām izmaiņām Būvniecības valsts kontroles biroja sniegto maksas pakalpojumu cenrādī  informēja profesionālās pilnveides seminārā “Ekspertīžu veikšanas metodika: problēmas, izaicinājumi un aktualitātes” 2019.gada 29.martā. Seminārā piedalījās 83 sertificēti būvspeciālisti (t.i. 61% no būvekspertīzes specialitātē sertificētajiem būvspeciālistiem). </w:t>
            </w:r>
          </w:p>
        </w:tc>
      </w:tr>
      <w:tr w:rsidR="00730B3B" w:rsidRPr="00C1173E" w14:paraId="494391B2" w14:textId="77777777" w:rsidTr="00B16445">
        <w:trPr>
          <w:cantSplit/>
        </w:trPr>
        <w:tc>
          <w:tcPr>
            <w:tcW w:w="281" w:type="pct"/>
            <w:hideMark/>
          </w:tcPr>
          <w:p w14:paraId="494391AF" w14:textId="77777777" w:rsidR="00BD5588" w:rsidRPr="00C1173E" w:rsidRDefault="00656B5C" w:rsidP="00E273A1">
            <w:pPr>
              <w:jc w:val="center"/>
            </w:pPr>
            <w:r w:rsidRPr="00C1173E">
              <w:t>3.</w:t>
            </w:r>
          </w:p>
        </w:tc>
        <w:tc>
          <w:tcPr>
            <w:tcW w:w="1339" w:type="pct"/>
            <w:hideMark/>
          </w:tcPr>
          <w:p w14:paraId="494391B0" w14:textId="77777777" w:rsidR="00BD5588" w:rsidRPr="00C1173E" w:rsidRDefault="00656B5C" w:rsidP="00E273A1">
            <w:r w:rsidRPr="00C1173E">
              <w:t>Sabiedrības līdzdalības rezultāti</w:t>
            </w:r>
          </w:p>
        </w:tc>
        <w:tc>
          <w:tcPr>
            <w:tcW w:w="3380" w:type="pct"/>
          </w:tcPr>
          <w:p w14:paraId="62838584" w14:textId="77777777" w:rsidR="0046415B" w:rsidRPr="00C60542" w:rsidRDefault="0055335D" w:rsidP="00C706EA">
            <w:pPr>
              <w:jc w:val="both"/>
            </w:pPr>
            <w:r>
              <w:rPr>
                <w:bCs/>
              </w:rPr>
              <w:t>B</w:t>
            </w:r>
            <w:r w:rsidR="001F6245" w:rsidRPr="00C1173E">
              <w:rPr>
                <w:bCs/>
              </w:rPr>
              <w:t xml:space="preserve">iroja </w:t>
            </w:r>
            <w:r w:rsidR="009C36C3" w:rsidRPr="00C1173E">
              <w:rPr>
                <w:bCs/>
              </w:rPr>
              <w:t xml:space="preserve">izmaksu </w:t>
            </w:r>
            <w:r w:rsidR="00C706EA" w:rsidRPr="00C1173E">
              <w:rPr>
                <w:bCs/>
              </w:rPr>
              <w:t>aprēķini</w:t>
            </w:r>
            <w:r w:rsidR="009C36C3" w:rsidRPr="00C1173E">
              <w:rPr>
                <w:bCs/>
              </w:rPr>
              <w:t xml:space="preserve"> par būvspeciālistu uzraudzīb</w:t>
            </w:r>
            <w:r w:rsidR="004F0EF4" w:rsidRPr="00C1173E">
              <w:rPr>
                <w:bCs/>
              </w:rPr>
              <w:t>as</w:t>
            </w:r>
            <w:r w:rsidR="009C36C3" w:rsidRPr="00C1173E">
              <w:rPr>
                <w:bCs/>
              </w:rPr>
              <w:t xml:space="preserve"> un </w:t>
            </w:r>
            <w:r w:rsidR="005C4A7D" w:rsidRPr="00C1173E">
              <w:rPr>
                <w:bCs/>
                <w:i/>
              </w:rPr>
              <w:t>kompetenču, prasmju un zināšanu līmeņa novērtēšana</w:t>
            </w:r>
            <w:r w:rsidR="00DE0E3D" w:rsidRPr="00C1173E">
              <w:rPr>
                <w:bCs/>
                <w:i/>
              </w:rPr>
              <w:t>s</w:t>
            </w:r>
            <w:r w:rsidR="009C36C3" w:rsidRPr="00C1173E">
              <w:rPr>
                <w:bCs/>
                <w:i/>
              </w:rPr>
              <w:t xml:space="preserve"> </w:t>
            </w:r>
            <w:r w:rsidR="009C36C3" w:rsidRPr="00C1173E">
              <w:rPr>
                <w:bCs/>
              </w:rPr>
              <w:t xml:space="preserve">eksāmenu </w:t>
            </w:r>
            <w:r w:rsidR="004F0EF4" w:rsidRPr="00C60542">
              <w:rPr>
                <w:bCs/>
              </w:rPr>
              <w:t>izmaksām</w:t>
            </w:r>
            <w:r w:rsidR="009C36C3" w:rsidRPr="00C60542">
              <w:rPr>
                <w:bCs/>
              </w:rPr>
              <w:t>.</w:t>
            </w:r>
            <w:r w:rsidR="0046415B" w:rsidRPr="00C60542">
              <w:t xml:space="preserve"> </w:t>
            </w:r>
          </w:p>
          <w:p w14:paraId="494391B1" w14:textId="724495FA" w:rsidR="00251C35" w:rsidRPr="00C1173E" w:rsidRDefault="00C60542" w:rsidP="00C706EA">
            <w:pPr>
              <w:jc w:val="both"/>
            </w:pPr>
            <w:r w:rsidRPr="00C60542">
              <w:t xml:space="preserve">Ne </w:t>
            </w:r>
            <w:r w:rsidR="0046415B" w:rsidRPr="00C60542">
              <w:t xml:space="preserve">2019.gada 29.marta semināra laikā, ne pēc tā no būvekspertīzes specialitātē sertificētajiem būvspeciālistiem iebildumi </w:t>
            </w:r>
            <w:r w:rsidRPr="00C60542">
              <w:t xml:space="preserve">par Biroja sniegto maksas pakalpojumu cenrādi </w:t>
            </w:r>
            <w:r w:rsidR="0046415B" w:rsidRPr="00C60542">
              <w:t>nav saņemti.</w:t>
            </w:r>
          </w:p>
        </w:tc>
      </w:tr>
      <w:tr w:rsidR="00730B3B" w:rsidRPr="00C1173E" w14:paraId="494391B7" w14:textId="77777777" w:rsidTr="00C706EA">
        <w:trPr>
          <w:cantSplit/>
          <w:trHeight w:val="277"/>
        </w:trPr>
        <w:tc>
          <w:tcPr>
            <w:tcW w:w="281" w:type="pct"/>
            <w:hideMark/>
          </w:tcPr>
          <w:p w14:paraId="494391B3" w14:textId="77777777" w:rsidR="00BD5588" w:rsidRPr="00C1173E" w:rsidRDefault="00656B5C" w:rsidP="00E273A1">
            <w:pPr>
              <w:jc w:val="center"/>
            </w:pPr>
            <w:r w:rsidRPr="00C1173E">
              <w:t>4.</w:t>
            </w:r>
          </w:p>
        </w:tc>
        <w:tc>
          <w:tcPr>
            <w:tcW w:w="1339" w:type="pct"/>
            <w:hideMark/>
          </w:tcPr>
          <w:p w14:paraId="494391B4" w14:textId="77777777" w:rsidR="00BD5588" w:rsidRPr="00C1173E" w:rsidRDefault="00656B5C" w:rsidP="00E273A1">
            <w:r w:rsidRPr="00C1173E">
              <w:t>Cita informācija</w:t>
            </w:r>
          </w:p>
        </w:tc>
        <w:tc>
          <w:tcPr>
            <w:tcW w:w="3380" w:type="pct"/>
            <w:hideMark/>
          </w:tcPr>
          <w:p w14:paraId="494391B6" w14:textId="084C5CAF" w:rsidR="00161647" w:rsidRPr="00C1173E" w:rsidRDefault="00121FCD" w:rsidP="00AD4F6E">
            <w:pPr>
              <w:jc w:val="both"/>
            </w:pPr>
            <w:r w:rsidRPr="00C1173E">
              <w:t xml:space="preserve">Informācija par būvspeciālistu kompetences </w:t>
            </w:r>
            <w:r w:rsidR="00855BF7" w:rsidRPr="00C1173E">
              <w:t xml:space="preserve">pārbaudes </w:t>
            </w:r>
            <w:r w:rsidRPr="00C1173E">
              <w:t>iestādēm ir pieejama Būvniecības informācijas sistēmā</w:t>
            </w:r>
            <w:r w:rsidRPr="00C1173E">
              <w:rPr>
                <w:rStyle w:val="FootnoteReference"/>
              </w:rPr>
              <w:footnoteReference w:id="1"/>
            </w:r>
            <w:r w:rsidRPr="00C1173E">
              <w:t xml:space="preserve">. Pēc būvniecības jomas būvspeciālistu </w:t>
            </w:r>
            <w:r w:rsidR="00655DBC" w:rsidRPr="00C1173E">
              <w:t xml:space="preserve">būvekspertīzes specialitātē </w:t>
            </w:r>
            <w:r w:rsidRPr="00C1173E">
              <w:t>sertificēšanas maksas pakalpojumu apstiprināšanas, informācija Būvniecības informācijas sistēmā tiks aktualizēta</w:t>
            </w:r>
            <w:r w:rsidR="00C40DA9" w:rsidRPr="00C1173E">
              <w:t>.</w:t>
            </w:r>
            <w:r w:rsidR="00115D80" w:rsidRPr="00C1173E">
              <w:t xml:space="preserve"> </w:t>
            </w:r>
          </w:p>
        </w:tc>
      </w:tr>
    </w:tbl>
    <w:p w14:paraId="494391B8" w14:textId="77777777" w:rsidR="00161647" w:rsidRPr="00C1173E" w:rsidRDefault="00161647" w:rsidP="008D7B2C">
      <w:pPr>
        <w:pStyle w:val="Title"/>
        <w:spacing w:line="260" w:lineRule="exact"/>
        <w:jc w:val="both"/>
        <w:rPr>
          <w:sz w:val="12"/>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730B3B" w:rsidRPr="00C1173E" w14:paraId="494391BB" w14:textId="77777777" w:rsidTr="0057649F">
        <w:trPr>
          <w:cantSplit/>
          <w:trHeight w:val="669"/>
        </w:trPr>
        <w:tc>
          <w:tcPr>
            <w:tcW w:w="5000" w:type="pct"/>
            <w:gridSpan w:val="3"/>
            <w:vAlign w:val="center"/>
            <w:hideMark/>
          </w:tcPr>
          <w:p w14:paraId="494391B9" w14:textId="77777777" w:rsidR="00D21A8A" w:rsidRPr="00C1173E" w:rsidRDefault="00656B5C" w:rsidP="00B76031">
            <w:pPr>
              <w:jc w:val="center"/>
              <w:rPr>
                <w:b/>
                <w:bCs/>
              </w:rPr>
            </w:pPr>
            <w:r w:rsidRPr="00C1173E">
              <w:rPr>
                <w:b/>
                <w:bCs/>
              </w:rPr>
              <w:t>VII. Tiesību akta projekta izpildes nodrošināšan</w:t>
            </w:r>
            <w:r w:rsidR="00B76031" w:rsidRPr="00C1173E">
              <w:rPr>
                <w:b/>
                <w:bCs/>
              </w:rPr>
              <w:t>a un tās ietekme uz institūcijām</w:t>
            </w:r>
          </w:p>
          <w:p w14:paraId="494391BA" w14:textId="77777777" w:rsidR="00BD5588" w:rsidRPr="00C1173E" w:rsidRDefault="00BD5588" w:rsidP="00D21A8A"/>
        </w:tc>
      </w:tr>
      <w:tr w:rsidR="00730B3B" w:rsidRPr="00C1173E" w14:paraId="494391BF" w14:textId="77777777" w:rsidTr="0057649F">
        <w:trPr>
          <w:cantSplit/>
        </w:trPr>
        <w:tc>
          <w:tcPr>
            <w:tcW w:w="281" w:type="pct"/>
            <w:hideMark/>
          </w:tcPr>
          <w:p w14:paraId="494391BC" w14:textId="77777777" w:rsidR="00BD5588" w:rsidRPr="00C1173E" w:rsidRDefault="00656B5C" w:rsidP="00E273A1">
            <w:pPr>
              <w:jc w:val="center"/>
            </w:pPr>
            <w:r w:rsidRPr="00C1173E">
              <w:t>1.</w:t>
            </w:r>
          </w:p>
        </w:tc>
        <w:tc>
          <w:tcPr>
            <w:tcW w:w="1339" w:type="pct"/>
            <w:hideMark/>
          </w:tcPr>
          <w:p w14:paraId="494391BD" w14:textId="77777777" w:rsidR="00BD5588" w:rsidRPr="00C1173E" w:rsidRDefault="00656B5C" w:rsidP="00E273A1">
            <w:r w:rsidRPr="00C1173E">
              <w:t>Projekta izpildē iesaistītās institūcijas</w:t>
            </w:r>
          </w:p>
        </w:tc>
        <w:tc>
          <w:tcPr>
            <w:tcW w:w="3380" w:type="pct"/>
            <w:hideMark/>
          </w:tcPr>
          <w:p w14:paraId="494391BE" w14:textId="78A3A017" w:rsidR="003046D3" w:rsidRPr="00C1173E" w:rsidRDefault="0055335D" w:rsidP="003046D3">
            <w:pPr>
              <w:jc w:val="both"/>
            </w:pPr>
            <w:r>
              <w:t>B</w:t>
            </w:r>
            <w:r w:rsidR="00A43665" w:rsidRPr="00C1173E">
              <w:t>irojs.</w:t>
            </w:r>
          </w:p>
        </w:tc>
      </w:tr>
      <w:tr w:rsidR="00730B3B" w:rsidRPr="00C1173E" w14:paraId="494391C4" w14:textId="77777777" w:rsidTr="004E4DD9">
        <w:tc>
          <w:tcPr>
            <w:tcW w:w="281" w:type="pct"/>
            <w:hideMark/>
          </w:tcPr>
          <w:p w14:paraId="494391C0" w14:textId="77777777" w:rsidR="00BD5588" w:rsidRPr="00C1173E" w:rsidRDefault="00656B5C" w:rsidP="00E273A1">
            <w:pPr>
              <w:jc w:val="center"/>
            </w:pPr>
            <w:r w:rsidRPr="00C1173E">
              <w:t>2.</w:t>
            </w:r>
          </w:p>
        </w:tc>
        <w:tc>
          <w:tcPr>
            <w:tcW w:w="1339" w:type="pct"/>
            <w:hideMark/>
          </w:tcPr>
          <w:p w14:paraId="494391C1" w14:textId="77777777" w:rsidR="00BD5588" w:rsidRPr="00C1173E" w:rsidRDefault="00656B5C" w:rsidP="00E273A1">
            <w:r w:rsidRPr="00C1173E">
              <w:t>Projekta izpildes ietekme uz pārvaldes funkcijām un institucionālo struktūru.</w:t>
            </w:r>
            <w:r w:rsidRPr="00C1173E">
              <w:br/>
              <w:t>Jaunu institūciju izveide, esošu institūciju likvidācija vai reorganizācija, to ietekme uz institūcijas cilvēkresursiem</w:t>
            </w:r>
          </w:p>
        </w:tc>
        <w:tc>
          <w:tcPr>
            <w:tcW w:w="3380" w:type="pct"/>
            <w:hideMark/>
          </w:tcPr>
          <w:p w14:paraId="55F67CA6" w14:textId="77777777" w:rsidR="00A43665" w:rsidRPr="00C1173E" w:rsidRDefault="00A43665" w:rsidP="00A43665">
            <w:pPr>
              <w:jc w:val="both"/>
            </w:pPr>
            <w:r w:rsidRPr="00C1173E">
              <w:t xml:space="preserve">Ar </w:t>
            </w:r>
            <w:r w:rsidRPr="00C1173E">
              <w:rPr>
                <w:i/>
              </w:rPr>
              <w:t>noteikumu projektu</w:t>
            </w:r>
            <w:r w:rsidRPr="00C1173E">
              <w:t xml:space="preserve"> netiek paplašinātas iestādei normatīvajos aktos noteiktās funkcijas.</w:t>
            </w:r>
          </w:p>
          <w:p w14:paraId="6C18D0A2" w14:textId="77777777" w:rsidR="00A43665" w:rsidRPr="00C1173E" w:rsidRDefault="00A43665" w:rsidP="00A43665">
            <w:pPr>
              <w:jc w:val="both"/>
            </w:pPr>
          </w:p>
          <w:p w14:paraId="494391C3" w14:textId="5CAE59C4" w:rsidR="00CE664B" w:rsidRPr="00C1173E" w:rsidRDefault="00A43665" w:rsidP="00A43665">
            <w:pPr>
              <w:jc w:val="both"/>
            </w:pPr>
            <w:r w:rsidRPr="00C1173E">
              <w:rPr>
                <w:i/>
              </w:rPr>
              <w:t>Noteikumu projekts</w:t>
            </w:r>
            <w:r w:rsidRPr="00C1173E">
              <w:t xml:space="preserve"> neparedz jaunu institūciju izveidi vai esošo institūciju likvidāciju vai reorganizāciju, kā arī </w:t>
            </w:r>
            <w:r w:rsidRPr="00C1173E">
              <w:rPr>
                <w:i/>
              </w:rPr>
              <w:t>noteikumu projektam</w:t>
            </w:r>
            <w:r w:rsidRPr="00C1173E">
              <w:t xml:space="preserve"> nav ietekmes uz esošo institūciju cilvēkresursiem.</w:t>
            </w:r>
          </w:p>
        </w:tc>
      </w:tr>
      <w:tr w:rsidR="004E638D" w:rsidRPr="00C1173E" w14:paraId="494391C8" w14:textId="77777777" w:rsidTr="0057649F">
        <w:trPr>
          <w:cantSplit/>
        </w:trPr>
        <w:tc>
          <w:tcPr>
            <w:tcW w:w="281" w:type="pct"/>
            <w:hideMark/>
          </w:tcPr>
          <w:p w14:paraId="494391C5" w14:textId="77777777" w:rsidR="00BD5588" w:rsidRPr="00C1173E" w:rsidRDefault="00656B5C" w:rsidP="00E273A1">
            <w:pPr>
              <w:jc w:val="center"/>
              <w:rPr>
                <w:highlight w:val="yellow"/>
              </w:rPr>
            </w:pPr>
            <w:r w:rsidRPr="00C1173E">
              <w:t>3.</w:t>
            </w:r>
          </w:p>
        </w:tc>
        <w:tc>
          <w:tcPr>
            <w:tcW w:w="1339" w:type="pct"/>
            <w:hideMark/>
          </w:tcPr>
          <w:p w14:paraId="494391C6" w14:textId="77777777" w:rsidR="00BD5588" w:rsidRPr="00C1173E" w:rsidRDefault="00656B5C" w:rsidP="00E273A1">
            <w:r w:rsidRPr="00C1173E">
              <w:t>Cita informācija</w:t>
            </w:r>
          </w:p>
        </w:tc>
        <w:tc>
          <w:tcPr>
            <w:tcW w:w="3380" w:type="pct"/>
            <w:hideMark/>
          </w:tcPr>
          <w:p w14:paraId="494391C7" w14:textId="77777777" w:rsidR="00BD5588" w:rsidRPr="00C1173E" w:rsidRDefault="00656B5C" w:rsidP="00EA3D31">
            <w:pPr>
              <w:ind w:firstLine="108"/>
            </w:pPr>
            <w:r w:rsidRPr="00C1173E">
              <w:t>Nav</w:t>
            </w:r>
            <w:r w:rsidR="00EA3D31" w:rsidRPr="00C1173E">
              <w:t>.</w:t>
            </w:r>
          </w:p>
        </w:tc>
      </w:tr>
    </w:tbl>
    <w:p w14:paraId="494391C9" w14:textId="77777777" w:rsidR="00D21A8A" w:rsidRPr="0097481A" w:rsidRDefault="00D21A8A" w:rsidP="00D21A8A">
      <w:pPr>
        <w:tabs>
          <w:tab w:val="left" w:pos="6804"/>
        </w:tabs>
        <w:rPr>
          <w:sz w:val="16"/>
          <w:szCs w:val="16"/>
          <w:lang w:eastAsia="ru-RU"/>
        </w:rPr>
      </w:pPr>
    </w:p>
    <w:p w14:paraId="494391CC" w14:textId="41E44648" w:rsidR="00D21A8A" w:rsidRPr="00C1173E" w:rsidRDefault="006F71EA" w:rsidP="00AF4A6C">
      <w:pPr>
        <w:tabs>
          <w:tab w:val="left" w:pos="6946"/>
        </w:tabs>
        <w:ind w:right="-908"/>
        <w:jc w:val="both"/>
        <w:rPr>
          <w:lang w:eastAsia="ru-RU"/>
        </w:rPr>
      </w:pPr>
      <w:r w:rsidRPr="00C1173E">
        <w:rPr>
          <w:lang w:eastAsia="ru-RU"/>
        </w:rPr>
        <w:t xml:space="preserve">Ekonomikas ministrs                              </w:t>
      </w:r>
      <w:r w:rsidR="00B16445" w:rsidRPr="00C1173E">
        <w:rPr>
          <w:lang w:eastAsia="ru-RU"/>
        </w:rPr>
        <w:t xml:space="preserve">                                     </w:t>
      </w:r>
      <w:r w:rsidR="00256B2C" w:rsidRPr="00C1173E">
        <w:rPr>
          <w:lang w:eastAsia="ru-RU"/>
        </w:rPr>
        <w:t xml:space="preserve">     </w:t>
      </w:r>
      <w:r w:rsidR="00B16445" w:rsidRPr="00C1173E">
        <w:rPr>
          <w:lang w:eastAsia="ru-RU"/>
        </w:rPr>
        <w:t xml:space="preserve">               </w:t>
      </w:r>
      <w:r w:rsidR="00AF4A6C" w:rsidRPr="00C1173E">
        <w:rPr>
          <w:lang w:eastAsia="ru-RU"/>
        </w:rPr>
        <w:tab/>
      </w:r>
      <w:r w:rsidR="00C87146" w:rsidRPr="00C1173E">
        <w:rPr>
          <w:lang w:eastAsia="ru-RU"/>
        </w:rPr>
        <w:t>R</w:t>
      </w:r>
      <w:r w:rsidR="00AF4A6C" w:rsidRPr="00C1173E">
        <w:rPr>
          <w:lang w:eastAsia="ru-RU"/>
        </w:rPr>
        <w:t>alfs</w:t>
      </w:r>
      <w:r w:rsidR="00B16445" w:rsidRPr="00C1173E">
        <w:rPr>
          <w:lang w:eastAsia="ru-RU"/>
        </w:rPr>
        <w:t xml:space="preserve"> </w:t>
      </w:r>
      <w:proofErr w:type="spellStart"/>
      <w:r w:rsidR="00C87146" w:rsidRPr="00C1173E">
        <w:rPr>
          <w:lang w:eastAsia="ru-RU"/>
        </w:rPr>
        <w:t>Nemiro</w:t>
      </w:r>
      <w:proofErr w:type="spellEnd"/>
    </w:p>
    <w:p w14:paraId="494391CE" w14:textId="77777777" w:rsidR="00F615B8" w:rsidRPr="0097481A" w:rsidRDefault="00F615B8" w:rsidP="00AF4A6C">
      <w:pPr>
        <w:ind w:right="-908"/>
        <w:jc w:val="both"/>
        <w:rPr>
          <w:sz w:val="16"/>
          <w:szCs w:val="16"/>
          <w:lang w:eastAsia="ru-RU"/>
        </w:rPr>
      </w:pPr>
    </w:p>
    <w:p w14:paraId="494391CF" w14:textId="77777777" w:rsidR="00D21A8A" w:rsidRPr="00C1173E" w:rsidRDefault="00656B5C" w:rsidP="00AF4A6C">
      <w:pPr>
        <w:ind w:right="-908"/>
        <w:jc w:val="both"/>
        <w:rPr>
          <w:lang w:eastAsia="ru-RU"/>
        </w:rPr>
      </w:pPr>
      <w:r w:rsidRPr="00C1173E">
        <w:rPr>
          <w:lang w:eastAsia="ru-RU"/>
        </w:rPr>
        <w:t xml:space="preserve">Vīza: </w:t>
      </w:r>
    </w:p>
    <w:p w14:paraId="494391D0" w14:textId="3A2D2EB5" w:rsidR="00D21A8A" w:rsidRPr="00C1173E" w:rsidRDefault="00656B5C" w:rsidP="00AF4A6C">
      <w:pPr>
        <w:tabs>
          <w:tab w:val="left" w:pos="7371"/>
        </w:tabs>
        <w:ind w:right="-908"/>
        <w:jc w:val="both"/>
        <w:rPr>
          <w:lang w:eastAsia="ru-RU"/>
        </w:rPr>
      </w:pPr>
      <w:r w:rsidRPr="00C1173E">
        <w:rPr>
          <w:lang w:eastAsia="ru-RU"/>
        </w:rPr>
        <w:t xml:space="preserve">Valsts </w:t>
      </w:r>
      <w:r w:rsidR="00B16445" w:rsidRPr="00C1173E">
        <w:rPr>
          <w:lang w:eastAsia="ru-RU"/>
        </w:rPr>
        <w:t>sekretār</w:t>
      </w:r>
      <w:r w:rsidR="006F71EA" w:rsidRPr="00C1173E">
        <w:rPr>
          <w:lang w:eastAsia="ru-RU"/>
        </w:rPr>
        <w:t>s</w:t>
      </w:r>
      <w:r w:rsidR="00B16445" w:rsidRPr="00C1173E">
        <w:rPr>
          <w:lang w:eastAsia="ru-RU"/>
        </w:rPr>
        <w:t xml:space="preserve">                              </w:t>
      </w:r>
      <w:r w:rsidR="006F71EA" w:rsidRPr="00C1173E">
        <w:rPr>
          <w:lang w:eastAsia="ru-RU"/>
        </w:rPr>
        <w:t xml:space="preserve">                        </w:t>
      </w:r>
      <w:r w:rsidR="00B16445" w:rsidRPr="00C1173E">
        <w:rPr>
          <w:lang w:eastAsia="ru-RU"/>
        </w:rPr>
        <w:t xml:space="preserve">                                            </w:t>
      </w:r>
      <w:r w:rsidR="00AF4A6C" w:rsidRPr="00C1173E">
        <w:rPr>
          <w:lang w:eastAsia="ru-RU"/>
        </w:rPr>
        <w:tab/>
        <w:t xml:space="preserve"> </w:t>
      </w:r>
      <w:r w:rsidR="009C36C3" w:rsidRPr="00C1173E">
        <w:rPr>
          <w:lang w:eastAsia="ru-RU"/>
        </w:rPr>
        <w:t>Ē</w:t>
      </w:r>
      <w:r w:rsidR="00AF4A6C" w:rsidRPr="00C1173E">
        <w:rPr>
          <w:lang w:eastAsia="ru-RU"/>
        </w:rPr>
        <w:t>riks</w:t>
      </w:r>
      <w:r w:rsidR="00B16445" w:rsidRPr="00C1173E">
        <w:rPr>
          <w:lang w:eastAsia="ru-RU"/>
        </w:rPr>
        <w:t xml:space="preserve"> </w:t>
      </w:r>
      <w:r w:rsidR="009C36C3" w:rsidRPr="00C1173E">
        <w:rPr>
          <w:lang w:eastAsia="ru-RU"/>
        </w:rPr>
        <w:t>Eglītis</w:t>
      </w:r>
    </w:p>
    <w:p w14:paraId="52437CA4" w14:textId="77777777" w:rsidR="0097481A" w:rsidRDefault="0097481A" w:rsidP="001E1EA0">
      <w:pPr>
        <w:tabs>
          <w:tab w:val="left" w:pos="0"/>
        </w:tabs>
        <w:jc w:val="both"/>
        <w:rPr>
          <w:sz w:val="18"/>
          <w:szCs w:val="18"/>
          <w:lang w:eastAsia="ru-RU"/>
        </w:rPr>
      </w:pPr>
    </w:p>
    <w:p w14:paraId="494391D8" w14:textId="2306CF0B" w:rsidR="005F11BD" w:rsidRPr="0097481A" w:rsidRDefault="0079250F" w:rsidP="001E1EA0">
      <w:pPr>
        <w:tabs>
          <w:tab w:val="left" w:pos="0"/>
        </w:tabs>
        <w:jc w:val="both"/>
        <w:rPr>
          <w:sz w:val="18"/>
          <w:szCs w:val="18"/>
          <w:lang w:eastAsia="ru-RU"/>
        </w:rPr>
      </w:pPr>
      <w:r w:rsidRPr="0097481A">
        <w:rPr>
          <w:sz w:val="18"/>
          <w:szCs w:val="18"/>
          <w:lang w:eastAsia="ru-RU"/>
        </w:rPr>
        <w:t>Kavosa</w:t>
      </w:r>
      <w:r w:rsidR="00B16445" w:rsidRPr="0097481A">
        <w:rPr>
          <w:sz w:val="18"/>
          <w:szCs w:val="18"/>
          <w:lang w:eastAsia="ru-RU"/>
        </w:rPr>
        <w:t>,</w:t>
      </w:r>
      <w:r w:rsidR="00B10692" w:rsidRPr="0097481A">
        <w:rPr>
          <w:sz w:val="18"/>
          <w:szCs w:val="18"/>
          <w:lang w:eastAsia="ru-RU"/>
        </w:rPr>
        <w:t xml:space="preserve"> </w:t>
      </w:r>
      <w:r w:rsidR="005F11BD" w:rsidRPr="0097481A">
        <w:rPr>
          <w:sz w:val="18"/>
          <w:szCs w:val="18"/>
          <w:lang w:eastAsia="ru-RU"/>
        </w:rPr>
        <w:t>670</w:t>
      </w:r>
      <w:r w:rsidR="009C36C3" w:rsidRPr="0097481A">
        <w:rPr>
          <w:sz w:val="18"/>
          <w:szCs w:val="18"/>
          <w:lang w:eastAsia="ru-RU"/>
        </w:rPr>
        <w:t>13</w:t>
      </w:r>
      <w:r w:rsidR="00E5186B" w:rsidRPr="0097481A">
        <w:rPr>
          <w:sz w:val="18"/>
          <w:szCs w:val="18"/>
          <w:lang w:eastAsia="ru-RU"/>
        </w:rPr>
        <w:t>34</w:t>
      </w:r>
      <w:r w:rsidR="00481665">
        <w:rPr>
          <w:sz w:val="18"/>
          <w:szCs w:val="18"/>
          <w:lang w:eastAsia="ru-RU"/>
        </w:rPr>
        <w:t>6</w:t>
      </w:r>
    </w:p>
    <w:p w14:paraId="494391D9" w14:textId="6D0A8764" w:rsidR="005F11BD" w:rsidRPr="0097481A" w:rsidRDefault="0079250F" w:rsidP="001E1EA0">
      <w:pPr>
        <w:tabs>
          <w:tab w:val="left" w:pos="0"/>
        </w:tabs>
        <w:jc w:val="both"/>
        <w:rPr>
          <w:sz w:val="18"/>
          <w:szCs w:val="18"/>
          <w:lang w:eastAsia="ru-RU"/>
        </w:rPr>
      </w:pPr>
      <w:r w:rsidRPr="0097481A">
        <w:rPr>
          <w:sz w:val="18"/>
          <w:szCs w:val="18"/>
          <w:lang w:eastAsia="ru-RU"/>
        </w:rPr>
        <w:t>Maija.Kavosa</w:t>
      </w:r>
      <w:r w:rsidR="005F11BD" w:rsidRPr="0097481A">
        <w:rPr>
          <w:sz w:val="18"/>
          <w:szCs w:val="18"/>
          <w:lang w:eastAsia="ru-RU"/>
        </w:rPr>
        <w:t>@</w:t>
      </w:r>
      <w:r w:rsidR="00E5186B" w:rsidRPr="0097481A">
        <w:rPr>
          <w:sz w:val="18"/>
          <w:szCs w:val="18"/>
          <w:lang w:eastAsia="ru-RU"/>
        </w:rPr>
        <w:t>bvkb</w:t>
      </w:r>
      <w:r w:rsidR="005F11BD" w:rsidRPr="0097481A">
        <w:rPr>
          <w:sz w:val="18"/>
          <w:szCs w:val="18"/>
          <w:lang w:eastAsia="ru-RU"/>
        </w:rPr>
        <w:t>.gov.lv</w:t>
      </w:r>
    </w:p>
    <w:p w14:paraId="47F8EC08" w14:textId="26098B9A" w:rsidR="0079250F" w:rsidRPr="0097481A" w:rsidRDefault="0079250F" w:rsidP="001E1EA0">
      <w:pPr>
        <w:tabs>
          <w:tab w:val="left" w:pos="0"/>
        </w:tabs>
        <w:jc w:val="both"/>
        <w:rPr>
          <w:sz w:val="18"/>
          <w:szCs w:val="18"/>
          <w:lang w:eastAsia="ru-RU"/>
        </w:rPr>
      </w:pPr>
    </w:p>
    <w:p w14:paraId="573D5F25" w14:textId="2B8A77E6" w:rsidR="0079250F" w:rsidRPr="0097481A" w:rsidRDefault="0079250F" w:rsidP="001E1EA0">
      <w:pPr>
        <w:tabs>
          <w:tab w:val="left" w:pos="0"/>
        </w:tabs>
        <w:jc w:val="both"/>
        <w:rPr>
          <w:sz w:val="18"/>
          <w:szCs w:val="18"/>
          <w:lang w:eastAsia="ru-RU"/>
        </w:rPr>
      </w:pPr>
      <w:r w:rsidRPr="0097481A">
        <w:rPr>
          <w:sz w:val="18"/>
          <w:szCs w:val="18"/>
          <w:lang w:eastAsia="ru-RU"/>
        </w:rPr>
        <w:t>Fomina, 67013343</w:t>
      </w:r>
    </w:p>
    <w:p w14:paraId="5791E5ED" w14:textId="0A600E27" w:rsidR="0079250F" w:rsidRDefault="004D38D1" w:rsidP="001E1EA0">
      <w:pPr>
        <w:tabs>
          <w:tab w:val="left" w:pos="0"/>
        </w:tabs>
        <w:jc w:val="both"/>
        <w:rPr>
          <w:sz w:val="18"/>
          <w:szCs w:val="18"/>
          <w:lang w:eastAsia="ru-RU"/>
        </w:rPr>
      </w:pPr>
      <w:r w:rsidRPr="004D38D1">
        <w:rPr>
          <w:sz w:val="18"/>
          <w:szCs w:val="18"/>
          <w:lang w:eastAsia="ru-RU"/>
        </w:rPr>
        <w:t>Kristīne.Fomina@bvkb.gov.lv</w:t>
      </w:r>
    </w:p>
    <w:p w14:paraId="60859B13" w14:textId="14B5714C" w:rsidR="004D38D1" w:rsidRDefault="004D38D1" w:rsidP="001E1EA0">
      <w:pPr>
        <w:tabs>
          <w:tab w:val="left" w:pos="0"/>
        </w:tabs>
        <w:jc w:val="both"/>
        <w:rPr>
          <w:sz w:val="18"/>
          <w:szCs w:val="18"/>
          <w:lang w:eastAsia="ru-RU"/>
        </w:rPr>
      </w:pPr>
    </w:p>
    <w:p w14:paraId="0FC83193" w14:textId="651A2EB0" w:rsidR="004D38D1" w:rsidRDefault="004D38D1" w:rsidP="001E1EA0">
      <w:pPr>
        <w:tabs>
          <w:tab w:val="left" w:pos="0"/>
        </w:tabs>
        <w:jc w:val="both"/>
        <w:rPr>
          <w:sz w:val="18"/>
          <w:szCs w:val="18"/>
          <w:lang w:eastAsia="ru-RU"/>
        </w:rPr>
      </w:pPr>
      <w:r>
        <w:rPr>
          <w:sz w:val="18"/>
          <w:szCs w:val="18"/>
          <w:lang w:eastAsia="ru-RU"/>
        </w:rPr>
        <w:t>Seļezņova, 67013148</w:t>
      </w:r>
    </w:p>
    <w:p w14:paraId="387E159E" w14:textId="53A99EF0" w:rsidR="004D38D1" w:rsidRDefault="004D38D1" w:rsidP="001E1EA0">
      <w:pPr>
        <w:tabs>
          <w:tab w:val="left" w:pos="0"/>
        </w:tabs>
        <w:jc w:val="both"/>
        <w:rPr>
          <w:sz w:val="18"/>
          <w:szCs w:val="18"/>
          <w:lang w:eastAsia="ru-RU"/>
        </w:rPr>
      </w:pPr>
      <w:r>
        <w:rPr>
          <w:sz w:val="18"/>
          <w:szCs w:val="18"/>
          <w:lang w:eastAsia="ru-RU"/>
        </w:rPr>
        <w:t>Agnija.Seleznova@em.gov.lv</w:t>
      </w:r>
    </w:p>
    <w:p w14:paraId="45A80010" w14:textId="287C4007" w:rsidR="004D38D1" w:rsidRDefault="004D38D1" w:rsidP="001E1EA0">
      <w:pPr>
        <w:tabs>
          <w:tab w:val="left" w:pos="0"/>
        </w:tabs>
        <w:jc w:val="both"/>
        <w:rPr>
          <w:sz w:val="18"/>
          <w:szCs w:val="18"/>
          <w:lang w:eastAsia="ru-RU"/>
        </w:rPr>
      </w:pPr>
    </w:p>
    <w:p w14:paraId="41B10424" w14:textId="77777777" w:rsidR="004D38D1" w:rsidRPr="00C1173E" w:rsidRDefault="004D38D1" w:rsidP="001E1EA0">
      <w:pPr>
        <w:tabs>
          <w:tab w:val="left" w:pos="0"/>
        </w:tabs>
        <w:jc w:val="both"/>
        <w:rPr>
          <w:sz w:val="20"/>
          <w:szCs w:val="20"/>
          <w:lang w:eastAsia="ru-RU"/>
        </w:rPr>
      </w:pPr>
    </w:p>
    <w:sectPr w:rsidR="004D38D1" w:rsidRPr="00C1173E" w:rsidSect="00A5174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64F6" w14:textId="77777777" w:rsidR="00EE33DF" w:rsidRDefault="00EE33DF">
      <w:r>
        <w:separator/>
      </w:r>
    </w:p>
  </w:endnote>
  <w:endnote w:type="continuationSeparator" w:id="0">
    <w:p w14:paraId="72C5E308" w14:textId="77777777" w:rsidR="00EE33DF" w:rsidRDefault="00EE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59A48BC3" w:rsidR="00566E47" w:rsidRPr="0083506E" w:rsidRDefault="00566E47" w:rsidP="009C36C3">
    <w:pPr>
      <w:pStyle w:val="Footer"/>
    </w:pPr>
    <w:r>
      <w:rPr>
        <w:noProof/>
      </w:rPr>
      <w:fldChar w:fldCharType="begin"/>
    </w:r>
    <w:r>
      <w:rPr>
        <w:noProof/>
      </w:rPr>
      <w:instrText xml:space="preserve"> FILENAME   \* MERGEFORMAT </w:instrText>
    </w:r>
    <w:r>
      <w:rPr>
        <w:noProof/>
      </w:rPr>
      <w:fldChar w:fldCharType="separate"/>
    </w:r>
    <w:r>
      <w:rPr>
        <w:noProof/>
      </w:rPr>
      <w:t>EMAnot_</w:t>
    </w:r>
    <w:r w:rsidR="004A2A5A">
      <w:rPr>
        <w:noProof/>
      </w:rPr>
      <w:t>0304</w:t>
    </w:r>
    <w:r>
      <w:rPr>
        <w:noProof/>
      </w:rPr>
      <w:t>19_BVKB_cenr.docx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09E7DEFB" w:rsidR="00566E47" w:rsidRPr="0083506E" w:rsidRDefault="00566E47">
    <w:pPr>
      <w:pStyle w:val="Footer"/>
    </w:pPr>
    <w:r>
      <w:rPr>
        <w:noProof/>
      </w:rPr>
      <w:fldChar w:fldCharType="begin"/>
    </w:r>
    <w:r>
      <w:rPr>
        <w:noProof/>
      </w:rPr>
      <w:instrText xml:space="preserve"> FILENAME   \* MERGEFORMAT </w:instrText>
    </w:r>
    <w:r>
      <w:rPr>
        <w:noProof/>
      </w:rPr>
      <w:fldChar w:fldCharType="separate"/>
    </w:r>
    <w:r>
      <w:rPr>
        <w:noProof/>
      </w:rPr>
      <w:t>EMAnot_</w:t>
    </w:r>
    <w:r w:rsidR="004A2A5A">
      <w:rPr>
        <w:noProof/>
      </w:rPr>
      <w:t>0304</w:t>
    </w:r>
    <w:r>
      <w:rPr>
        <w:noProof/>
      </w:rPr>
      <w:t>19_BVKB_cenr.docx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8011" w14:textId="77777777" w:rsidR="00EE33DF" w:rsidRDefault="00EE33DF">
      <w:r>
        <w:separator/>
      </w:r>
    </w:p>
  </w:footnote>
  <w:footnote w:type="continuationSeparator" w:id="0">
    <w:p w14:paraId="28079AC0" w14:textId="77777777" w:rsidR="00EE33DF" w:rsidRDefault="00EE33DF">
      <w:r>
        <w:continuationSeparator/>
      </w:r>
    </w:p>
  </w:footnote>
  <w:footnote w:id="1">
    <w:p w14:paraId="494391E3" w14:textId="56FBB637" w:rsidR="00566E47" w:rsidRDefault="00566E47" w:rsidP="006B775A">
      <w:pPr>
        <w:pStyle w:val="FootnoteText"/>
        <w:jc w:val="both"/>
      </w:pPr>
      <w:r>
        <w:rPr>
          <w:rStyle w:val="FootnoteReference"/>
        </w:rPr>
        <w:footnoteRef/>
      </w:r>
      <w:r>
        <w:t xml:space="preserve"> </w:t>
      </w:r>
      <w:bookmarkStart w:id="1" w:name="_Hlk536455605"/>
      <w:r w:rsidRPr="00F109E4">
        <w:rPr>
          <w:szCs w:val="26"/>
        </w:rPr>
        <w:t>https://bis.gov.lv/bisp/registri/buvspecialistu-registrs--2/kompetences-parbaudes-iestazu-maksas-pakalpojumu-cenrazi</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6116"/>
      <w:docPartObj>
        <w:docPartGallery w:val="Page Numbers (Top of Page)"/>
        <w:docPartUnique/>
      </w:docPartObj>
    </w:sdtPr>
    <w:sdtEndPr>
      <w:rPr>
        <w:noProof/>
      </w:rPr>
    </w:sdtEndPr>
    <w:sdtContent>
      <w:p w14:paraId="494391DE" w14:textId="77777777" w:rsidR="00566E47" w:rsidRDefault="00566E47">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494391DF" w14:textId="77777777" w:rsidR="00566E47" w:rsidRDefault="00566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6" w15:restartNumberingAfterBreak="0">
    <w:nsid w:val="18BA5745"/>
    <w:multiLevelType w:val="hybridMultilevel"/>
    <w:tmpl w:val="74CC3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8"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0"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1"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4"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5"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16"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7"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8"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0"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1"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2"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4"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25"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5"/>
  </w:num>
  <w:num w:numId="4">
    <w:abstractNumId w:val="21"/>
  </w:num>
  <w:num w:numId="5">
    <w:abstractNumId w:val="9"/>
  </w:num>
  <w:num w:numId="6">
    <w:abstractNumId w:val="14"/>
  </w:num>
  <w:num w:numId="7">
    <w:abstractNumId w:val="3"/>
  </w:num>
  <w:num w:numId="8">
    <w:abstractNumId w:val="1"/>
  </w:num>
  <w:num w:numId="9">
    <w:abstractNumId w:val="20"/>
  </w:num>
  <w:num w:numId="10">
    <w:abstractNumId w:val="10"/>
  </w:num>
  <w:num w:numId="11">
    <w:abstractNumId w:val="19"/>
  </w:num>
  <w:num w:numId="12">
    <w:abstractNumId w:val="13"/>
  </w:num>
  <w:num w:numId="13">
    <w:abstractNumId w:val="16"/>
  </w:num>
  <w:num w:numId="14">
    <w:abstractNumId w:val="0"/>
  </w:num>
  <w:num w:numId="15">
    <w:abstractNumId w:val="25"/>
  </w:num>
  <w:num w:numId="16">
    <w:abstractNumId w:val="22"/>
  </w:num>
  <w:num w:numId="17">
    <w:abstractNumId w:val="18"/>
  </w:num>
  <w:num w:numId="18">
    <w:abstractNumId w:val="4"/>
  </w:num>
  <w:num w:numId="19">
    <w:abstractNumId w:val="5"/>
  </w:num>
  <w:num w:numId="20">
    <w:abstractNumId w:val="12"/>
  </w:num>
  <w:num w:numId="21">
    <w:abstractNumId w:val="11"/>
  </w:num>
  <w:num w:numId="22">
    <w:abstractNumId w:val="8"/>
  </w:num>
  <w:num w:numId="23">
    <w:abstractNumId w:val="23"/>
  </w:num>
  <w:num w:numId="24">
    <w:abstractNumId w:val="7"/>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3B47"/>
    <w:rsid w:val="00003D69"/>
    <w:rsid w:val="0000686F"/>
    <w:rsid w:val="00012352"/>
    <w:rsid w:val="0001373B"/>
    <w:rsid w:val="00013E9A"/>
    <w:rsid w:val="00021740"/>
    <w:rsid w:val="000259BE"/>
    <w:rsid w:val="00031364"/>
    <w:rsid w:val="00031953"/>
    <w:rsid w:val="00033354"/>
    <w:rsid w:val="0003391E"/>
    <w:rsid w:val="000347D8"/>
    <w:rsid w:val="00037A92"/>
    <w:rsid w:val="0004239D"/>
    <w:rsid w:val="00047406"/>
    <w:rsid w:val="00052657"/>
    <w:rsid w:val="00053C46"/>
    <w:rsid w:val="0005630E"/>
    <w:rsid w:val="00060F24"/>
    <w:rsid w:val="00061012"/>
    <w:rsid w:val="00063446"/>
    <w:rsid w:val="00064AFF"/>
    <w:rsid w:val="000719FE"/>
    <w:rsid w:val="000727FC"/>
    <w:rsid w:val="000754B3"/>
    <w:rsid w:val="0007674D"/>
    <w:rsid w:val="00076CC8"/>
    <w:rsid w:val="00080441"/>
    <w:rsid w:val="0008532E"/>
    <w:rsid w:val="00085C48"/>
    <w:rsid w:val="0008718F"/>
    <w:rsid w:val="00087451"/>
    <w:rsid w:val="00087587"/>
    <w:rsid w:val="00087AE9"/>
    <w:rsid w:val="00087DC4"/>
    <w:rsid w:val="0009085E"/>
    <w:rsid w:val="00092BEE"/>
    <w:rsid w:val="000A7D26"/>
    <w:rsid w:val="000B36D2"/>
    <w:rsid w:val="000B4DC5"/>
    <w:rsid w:val="000B4EFE"/>
    <w:rsid w:val="000C1448"/>
    <w:rsid w:val="000C44E4"/>
    <w:rsid w:val="000C4D2D"/>
    <w:rsid w:val="000C78E6"/>
    <w:rsid w:val="000D4323"/>
    <w:rsid w:val="000E056E"/>
    <w:rsid w:val="000E1B3E"/>
    <w:rsid w:val="000E7589"/>
    <w:rsid w:val="000E76F0"/>
    <w:rsid w:val="000F5102"/>
    <w:rsid w:val="000F5F54"/>
    <w:rsid w:val="00101937"/>
    <w:rsid w:val="00103620"/>
    <w:rsid w:val="00106E39"/>
    <w:rsid w:val="00106F94"/>
    <w:rsid w:val="00111311"/>
    <w:rsid w:val="001114A8"/>
    <w:rsid w:val="00113C64"/>
    <w:rsid w:val="00114640"/>
    <w:rsid w:val="00115D80"/>
    <w:rsid w:val="001172E9"/>
    <w:rsid w:val="00120B65"/>
    <w:rsid w:val="00121DE1"/>
    <w:rsid w:val="00121FCD"/>
    <w:rsid w:val="00122F9E"/>
    <w:rsid w:val="00123B02"/>
    <w:rsid w:val="00137C2D"/>
    <w:rsid w:val="00141DD2"/>
    <w:rsid w:val="0014402C"/>
    <w:rsid w:val="001470F1"/>
    <w:rsid w:val="0015123E"/>
    <w:rsid w:val="00155D7A"/>
    <w:rsid w:val="00156487"/>
    <w:rsid w:val="00156750"/>
    <w:rsid w:val="0015794D"/>
    <w:rsid w:val="0016015E"/>
    <w:rsid w:val="00161647"/>
    <w:rsid w:val="00164017"/>
    <w:rsid w:val="00170B58"/>
    <w:rsid w:val="00171C87"/>
    <w:rsid w:val="00175670"/>
    <w:rsid w:val="00175ED5"/>
    <w:rsid w:val="00175F3C"/>
    <w:rsid w:val="00177449"/>
    <w:rsid w:val="0018035F"/>
    <w:rsid w:val="001806C5"/>
    <w:rsid w:val="001807BB"/>
    <w:rsid w:val="00193E5B"/>
    <w:rsid w:val="001A012E"/>
    <w:rsid w:val="001A054C"/>
    <w:rsid w:val="001A138B"/>
    <w:rsid w:val="001A1B30"/>
    <w:rsid w:val="001B50DA"/>
    <w:rsid w:val="001C05E2"/>
    <w:rsid w:val="001C45AC"/>
    <w:rsid w:val="001D000B"/>
    <w:rsid w:val="001D1D0E"/>
    <w:rsid w:val="001D2A62"/>
    <w:rsid w:val="001D4F44"/>
    <w:rsid w:val="001E1344"/>
    <w:rsid w:val="001E1EA0"/>
    <w:rsid w:val="001F0223"/>
    <w:rsid w:val="001F02B7"/>
    <w:rsid w:val="001F3847"/>
    <w:rsid w:val="001F490F"/>
    <w:rsid w:val="001F5971"/>
    <w:rsid w:val="001F6245"/>
    <w:rsid w:val="001F6499"/>
    <w:rsid w:val="001F6A91"/>
    <w:rsid w:val="0020255C"/>
    <w:rsid w:val="0020771F"/>
    <w:rsid w:val="00211BFD"/>
    <w:rsid w:val="002130EC"/>
    <w:rsid w:val="002160E3"/>
    <w:rsid w:val="00217FD6"/>
    <w:rsid w:val="002201BC"/>
    <w:rsid w:val="00224FF8"/>
    <w:rsid w:val="002261F1"/>
    <w:rsid w:val="00227120"/>
    <w:rsid w:val="0022720E"/>
    <w:rsid w:val="00227B99"/>
    <w:rsid w:val="0023250E"/>
    <w:rsid w:val="0024179D"/>
    <w:rsid w:val="0024208E"/>
    <w:rsid w:val="0024212E"/>
    <w:rsid w:val="002450F0"/>
    <w:rsid w:val="00247D4A"/>
    <w:rsid w:val="00251C35"/>
    <w:rsid w:val="00254A5D"/>
    <w:rsid w:val="00256B2C"/>
    <w:rsid w:val="002574E6"/>
    <w:rsid w:val="00261913"/>
    <w:rsid w:val="00262845"/>
    <w:rsid w:val="00265082"/>
    <w:rsid w:val="002655AC"/>
    <w:rsid w:val="00281BA3"/>
    <w:rsid w:val="00286F08"/>
    <w:rsid w:val="00293120"/>
    <w:rsid w:val="002960B7"/>
    <w:rsid w:val="002972A4"/>
    <w:rsid w:val="00297F11"/>
    <w:rsid w:val="002A234A"/>
    <w:rsid w:val="002A6382"/>
    <w:rsid w:val="002B05BA"/>
    <w:rsid w:val="002B0681"/>
    <w:rsid w:val="002B36E5"/>
    <w:rsid w:val="002B4723"/>
    <w:rsid w:val="002B4DC4"/>
    <w:rsid w:val="002C0ACD"/>
    <w:rsid w:val="002C527E"/>
    <w:rsid w:val="002C55BD"/>
    <w:rsid w:val="002C56BC"/>
    <w:rsid w:val="002C610D"/>
    <w:rsid w:val="002C7259"/>
    <w:rsid w:val="002C78A0"/>
    <w:rsid w:val="002D20F1"/>
    <w:rsid w:val="002D67D8"/>
    <w:rsid w:val="002D7166"/>
    <w:rsid w:val="002E13B4"/>
    <w:rsid w:val="002E264C"/>
    <w:rsid w:val="002E5A95"/>
    <w:rsid w:val="002F0979"/>
    <w:rsid w:val="002F1D71"/>
    <w:rsid w:val="002F1F46"/>
    <w:rsid w:val="002F4B13"/>
    <w:rsid w:val="002F52E2"/>
    <w:rsid w:val="002F6CDE"/>
    <w:rsid w:val="002F7C2D"/>
    <w:rsid w:val="00301726"/>
    <w:rsid w:val="003046D3"/>
    <w:rsid w:val="00305144"/>
    <w:rsid w:val="00305FDF"/>
    <w:rsid w:val="00306CA0"/>
    <w:rsid w:val="0031332D"/>
    <w:rsid w:val="0031526C"/>
    <w:rsid w:val="003162A1"/>
    <w:rsid w:val="003173E5"/>
    <w:rsid w:val="003217A5"/>
    <w:rsid w:val="003222F8"/>
    <w:rsid w:val="00326493"/>
    <w:rsid w:val="0032707F"/>
    <w:rsid w:val="003272CB"/>
    <w:rsid w:val="00327B93"/>
    <w:rsid w:val="00330B03"/>
    <w:rsid w:val="00330E50"/>
    <w:rsid w:val="003317B6"/>
    <w:rsid w:val="003341BD"/>
    <w:rsid w:val="00335A27"/>
    <w:rsid w:val="00344DF3"/>
    <w:rsid w:val="0034599E"/>
    <w:rsid w:val="00345D02"/>
    <w:rsid w:val="00346C0D"/>
    <w:rsid w:val="00347A07"/>
    <w:rsid w:val="00347EFE"/>
    <w:rsid w:val="0035131F"/>
    <w:rsid w:val="0035370B"/>
    <w:rsid w:val="00355866"/>
    <w:rsid w:val="0036295A"/>
    <w:rsid w:val="00362A40"/>
    <w:rsid w:val="00367545"/>
    <w:rsid w:val="003702FA"/>
    <w:rsid w:val="00371A18"/>
    <w:rsid w:val="0037328C"/>
    <w:rsid w:val="00374554"/>
    <w:rsid w:val="00374CAD"/>
    <w:rsid w:val="00380C19"/>
    <w:rsid w:val="003853AD"/>
    <w:rsid w:val="00386EA8"/>
    <w:rsid w:val="00391C66"/>
    <w:rsid w:val="0039261E"/>
    <w:rsid w:val="003A2C7F"/>
    <w:rsid w:val="003A5C5F"/>
    <w:rsid w:val="003A71C2"/>
    <w:rsid w:val="003B044A"/>
    <w:rsid w:val="003B049C"/>
    <w:rsid w:val="003B1642"/>
    <w:rsid w:val="003B4B3E"/>
    <w:rsid w:val="003C3CD9"/>
    <w:rsid w:val="003C6409"/>
    <w:rsid w:val="003D1F6B"/>
    <w:rsid w:val="003D1F8A"/>
    <w:rsid w:val="003E08BD"/>
    <w:rsid w:val="003E2AB8"/>
    <w:rsid w:val="003E3107"/>
    <w:rsid w:val="003E51D8"/>
    <w:rsid w:val="003E6879"/>
    <w:rsid w:val="003E71C5"/>
    <w:rsid w:val="003F4EFA"/>
    <w:rsid w:val="003F5C6E"/>
    <w:rsid w:val="003F6C14"/>
    <w:rsid w:val="00403044"/>
    <w:rsid w:val="00410BB6"/>
    <w:rsid w:val="00414007"/>
    <w:rsid w:val="004160B4"/>
    <w:rsid w:val="00417087"/>
    <w:rsid w:val="00420BDC"/>
    <w:rsid w:val="00422B12"/>
    <w:rsid w:val="00425648"/>
    <w:rsid w:val="004267BF"/>
    <w:rsid w:val="0042698C"/>
    <w:rsid w:val="0042788B"/>
    <w:rsid w:val="00430A57"/>
    <w:rsid w:val="004327C5"/>
    <w:rsid w:val="004330F8"/>
    <w:rsid w:val="00433601"/>
    <w:rsid w:val="00435615"/>
    <w:rsid w:val="004360B2"/>
    <w:rsid w:val="00441AAA"/>
    <w:rsid w:val="0044380E"/>
    <w:rsid w:val="0044587A"/>
    <w:rsid w:val="00445996"/>
    <w:rsid w:val="00445FC9"/>
    <w:rsid w:val="00446DAB"/>
    <w:rsid w:val="00447527"/>
    <w:rsid w:val="0045563C"/>
    <w:rsid w:val="00461334"/>
    <w:rsid w:val="0046415B"/>
    <w:rsid w:val="00466C3A"/>
    <w:rsid w:val="00471095"/>
    <w:rsid w:val="00471502"/>
    <w:rsid w:val="00471C87"/>
    <w:rsid w:val="00473ED4"/>
    <w:rsid w:val="00473F9D"/>
    <w:rsid w:val="004753F4"/>
    <w:rsid w:val="00480E00"/>
    <w:rsid w:val="00481665"/>
    <w:rsid w:val="00481E9D"/>
    <w:rsid w:val="0048298F"/>
    <w:rsid w:val="00485616"/>
    <w:rsid w:val="00486C08"/>
    <w:rsid w:val="00490E1B"/>
    <w:rsid w:val="00493A83"/>
    <w:rsid w:val="00497D16"/>
    <w:rsid w:val="004A1321"/>
    <w:rsid w:val="004A2A5A"/>
    <w:rsid w:val="004A3238"/>
    <w:rsid w:val="004A7DCB"/>
    <w:rsid w:val="004B0BD8"/>
    <w:rsid w:val="004B2D3A"/>
    <w:rsid w:val="004B4668"/>
    <w:rsid w:val="004C5DAC"/>
    <w:rsid w:val="004D38D1"/>
    <w:rsid w:val="004D5914"/>
    <w:rsid w:val="004D6765"/>
    <w:rsid w:val="004E1F8F"/>
    <w:rsid w:val="004E4DD9"/>
    <w:rsid w:val="004E638D"/>
    <w:rsid w:val="004F037B"/>
    <w:rsid w:val="004F0A42"/>
    <w:rsid w:val="004F0EF4"/>
    <w:rsid w:val="004F13C1"/>
    <w:rsid w:val="004F34B6"/>
    <w:rsid w:val="004F429E"/>
    <w:rsid w:val="004F5E98"/>
    <w:rsid w:val="004F68B3"/>
    <w:rsid w:val="004F6E35"/>
    <w:rsid w:val="00502F05"/>
    <w:rsid w:val="0050539C"/>
    <w:rsid w:val="00506264"/>
    <w:rsid w:val="00506F9F"/>
    <w:rsid w:val="00507EF1"/>
    <w:rsid w:val="00511426"/>
    <w:rsid w:val="00511F5D"/>
    <w:rsid w:val="0051332D"/>
    <w:rsid w:val="00515628"/>
    <w:rsid w:val="00517562"/>
    <w:rsid w:val="00524F21"/>
    <w:rsid w:val="00526410"/>
    <w:rsid w:val="00526871"/>
    <w:rsid w:val="00526EAD"/>
    <w:rsid w:val="00531F2E"/>
    <w:rsid w:val="005430FF"/>
    <w:rsid w:val="00544AF0"/>
    <w:rsid w:val="00546AC1"/>
    <w:rsid w:val="00550F7C"/>
    <w:rsid w:val="0055335D"/>
    <w:rsid w:val="00553FC7"/>
    <w:rsid w:val="00555D79"/>
    <w:rsid w:val="005615CB"/>
    <w:rsid w:val="00561EDB"/>
    <w:rsid w:val="0056282E"/>
    <w:rsid w:val="00565D9D"/>
    <w:rsid w:val="00566E47"/>
    <w:rsid w:val="00572525"/>
    <w:rsid w:val="00573BF7"/>
    <w:rsid w:val="00574881"/>
    <w:rsid w:val="005751E7"/>
    <w:rsid w:val="0057570D"/>
    <w:rsid w:val="0057649D"/>
    <w:rsid w:val="0057649F"/>
    <w:rsid w:val="005777F5"/>
    <w:rsid w:val="00585273"/>
    <w:rsid w:val="00585498"/>
    <w:rsid w:val="00586700"/>
    <w:rsid w:val="00586C71"/>
    <w:rsid w:val="00587D93"/>
    <w:rsid w:val="0059452D"/>
    <w:rsid w:val="00595340"/>
    <w:rsid w:val="005A1052"/>
    <w:rsid w:val="005A188F"/>
    <w:rsid w:val="005A2055"/>
    <w:rsid w:val="005A329B"/>
    <w:rsid w:val="005A5354"/>
    <w:rsid w:val="005B20E8"/>
    <w:rsid w:val="005B3A73"/>
    <w:rsid w:val="005B3B2D"/>
    <w:rsid w:val="005B4660"/>
    <w:rsid w:val="005B49CC"/>
    <w:rsid w:val="005B5679"/>
    <w:rsid w:val="005B6391"/>
    <w:rsid w:val="005C163B"/>
    <w:rsid w:val="005C360A"/>
    <w:rsid w:val="005C4A7D"/>
    <w:rsid w:val="005C627F"/>
    <w:rsid w:val="005C6BC0"/>
    <w:rsid w:val="005C6D85"/>
    <w:rsid w:val="005D04B6"/>
    <w:rsid w:val="005D4518"/>
    <w:rsid w:val="005D70DF"/>
    <w:rsid w:val="005D7A3E"/>
    <w:rsid w:val="005E5CD2"/>
    <w:rsid w:val="005E6F7D"/>
    <w:rsid w:val="005F11BD"/>
    <w:rsid w:val="005F1B3A"/>
    <w:rsid w:val="005F1CE1"/>
    <w:rsid w:val="005F2C4A"/>
    <w:rsid w:val="005F4046"/>
    <w:rsid w:val="00600846"/>
    <w:rsid w:val="00602F30"/>
    <w:rsid w:val="00604CFB"/>
    <w:rsid w:val="006078BE"/>
    <w:rsid w:val="00610FF3"/>
    <w:rsid w:val="00620896"/>
    <w:rsid w:val="00622380"/>
    <w:rsid w:val="00630BEE"/>
    <w:rsid w:val="006333B4"/>
    <w:rsid w:val="00637027"/>
    <w:rsid w:val="00644F79"/>
    <w:rsid w:val="00645773"/>
    <w:rsid w:val="006460EE"/>
    <w:rsid w:val="0065011B"/>
    <w:rsid w:val="0065168A"/>
    <w:rsid w:val="00653B64"/>
    <w:rsid w:val="006558AA"/>
    <w:rsid w:val="00655DBC"/>
    <w:rsid w:val="00656B5C"/>
    <w:rsid w:val="00662942"/>
    <w:rsid w:val="00662B82"/>
    <w:rsid w:val="0066352D"/>
    <w:rsid w:val="00664C74"/>
    <w:rsid w:val="00664D5F"/>
    <w:rsid w:val="00666600"/>
    <w:rsid w:val="00666B22"/>
    <w:rsid w:val="00671944"/>
    <w:rsid w:val="00675275"/>
    <w:rsid w:val="00683347"/>
    <w:rsid w:val="00684FFD"/>
    <w:rsid w:val="006858C4"/>
    <w:rsid w:val="00685BC8"/>
    <w:rsid w:val="00687679"/>
    <w:rsid w:val="00690B8E"/>
    <w:rsid w:val="006910CD"/>
    <w:rsid w:val="00691559"/>
    <w:rsid w:val="00693BD5"/>
    <w:rsid w:val="00694072"/>
    <w:rsid w:val="006959D6"/>
    <w:rsid w:val="00696552"/>
    <w:rsid w:val="006A3533"/>
    <w:rsid w:val="006A4A45"/>
    <w:rsid w:val="006A5F9D"/>
    <w:rsid w:val="006B1C47"/>
    <w:rsid w:val="006B775A"/>
    <w:rsid w:val="006C41A9"/>
    <w:rsid w:val="006C63BA"/>
    <w:rsid w:val="006D2EF8"/>
    <w:rsid w:val="006D68C5"/>
    <w:rsid w:val="006E2C23"/>
    <w:rsid w:val="006E35D4"/>
    <w:rsid w:val="006E44C9"/>
    <w:rsid w:val="006E7A69"/>
    <w:rsid w:val="006F1E0B"/>
    <w:rsid w:val="006F23A5"/>
    <w:rsid w:val="006F5885"/>
    <w:rsid w:val="006F71EA"/>
    <w:rsid w:val="00703A01"/>
    <w:rsid w:val="00704509"/>
    <w:rsid w:val="007049C1"/>
    <w:rsid w:val="00705912"/>
    <w:rsid w:val="00705DD6"/>
    <w:rsid w:val="007067FA"/>
    <w:rsid w:val="00712191"/>
    <w:rsid w:val="00715417"/>
    <w:rsid w:val="007174FD"/>
    <w:rsid w:val="00725349"/>
    <w:rsid w:val="00730A4F"/>
    <w:rsid w:val="00730B3B"/>
    <w:rsid w:val="00730E45"/>
    <w:rsid w:val="0073105C"/>
    <w:rsid w:val="0073346F"/>
    <w:rsid w:val="00736AC1"/>
    <w:rsid w:val="00736BBC"/>
    <w:rsid w:val="00737822"/>
    <w:rsid w:val="007401D3"/>
    <w:rsid w:val="00740602"/>
    <w:rsid w:val="00744246"/>
    <w:rsid w:val="00746B81"/>
    <w:rsid w:val="007506D1"/>
    <w:rsid w:val="007622D5"/>
    <w:rsid w:val="00764C1C"/>
    <w:rsid w:val="00770594"/>
    <w:rsid w:val="00770AC7"/>
    <w:rsid w:val="00770D3B"/>
    <w:rsid w:val="00774E4C"/>
    <w:rsid w:val="0077698E"/>
    <w:rsid w:val="00784881"/>
    <w:rsid w:val="00784BCC"/>
    <w:rsid w:val="00784CF3"/>
    <w:rsid w:val="007861AF"/>
    <w:rsid w:val="0079250F"/>
    <w:rsid w:val="00793205"/>
    <w:rsid w:val="007941FC"/>
    <w:rsid w:val="007A009D"/>
    <w:rsid w:val="007A0521"/>
    <w:rsid w:val="007A07C5"/>
    <w:rsid w:val="007A0FBA"/>
    <w:rsid w:val="007A17BF"/>
    <w:rsid w:val="007A5ECA"/>
    <w:rsid w:val="007C0208"/>
    <w:rsid w:val="007C0CCB"/>
    <w:rsid w:val="007C2632"/>
    <w:rsid w:val="007C37B8"/>
    <w:rsid w:val="007C4D0D"/>
    <w:rsid w:val="007C6C2F"/>
    <w:rsid w:val="007D318B"/>
    <w:rsid w:val="007D5CAB"/>
    <w:rsid w:val="007E17D3"/>
    <w:rsid w:val="007E1B0F"/>
    <w:rsid w:val="007E2C4F"/>
    <w:rsid w:val="007E53DC"/>
    <w:rsid w:val="007F2330"/>
    <w:rsid w:val="007F2FF9"/>
    <w:rsid w:val="007F42E4"/>
    <w:rsid w:val="007F7FCB"/>
    <w:rsid w:val="008010CA"/>
    <w:rsid w:val="00806754"/>
    <w:rsid w:val="00807D03"/>
    <w:rsid w:val="008118D9"/>
    <w:rsid w:val="00812E43"/>
    <w:rsid w:val="0081518E"/>
    <w:rsid w:val="00817F01"/>
    <w:rsid w:val="00820521"/>
    <w:rsid w:val="00823F93"/>
    <w:rsid w:val="00830F1F"/>
    <w:rsid w:val="00831571"/>
    <w:rsid w:val="008346BC"/>
    <w:rsid w:val="0083506E"/>
    <w:rsid w:val="008355B9"/>
    <w:rsid w:val="00835A27"/>
    <w:rsid w:val="00836331"/>
    <w:rsid w:val="008406CB"/>
    <w:rsid w:val="0084238D"/>
    <w:rsid w:val="0085094E"/>
    <w:rsid w:val="00850CAE"/>
    <w:rsid w:val="0085447F"/>
    <w:rsid w:val="00854BBB"/>
    <w:rsid w:val="00855BF7"/>
    <w:rsid w:val="00857D89"/>
    <w:rsid w:val="00860FE1"/>
    <w:rsid w:val="0086369F"/>
    <w:rsid w:val="00864B18"/>
    <w:rsid w:val="008654CD"/>
    <w:rsid w:val="0087080F"/>
    <w:rsid w:val="0087237C"/>
    <w:rsid w:val="00872A5F"/>
    <w:rsid w:val="008817F9"/>
    <w:rsid w:val="00881DD7"/>
    <w:rsid w:val="008829D7"/>
    <w:rsid w:val="00882AB3"/>
    <w:rsid w:val="00882E11"/>
    <w:rsid w:val="00884585"/>
    <w:rsid w:val="00890A2E"/>
    <w:rsid w:val="00891893"/>
    <w:rsid w:val="00892DF6"/>
    <w:rsid w:val="00893527"/>
    <w:rsid w:val="008943E4"/>
    <w:rsid w:val="00894B9E"/>
    <w:rsid w:val="008A271D"/>
    <w:rsid w:val="008A2C78"/>
    <w:rsid w:val="008A3868"/>
    <w:rsid w:val="008B4187"/>
    <w:rsid w:val="008B69B2"/>
    <w:rsid w:val="008C11FE"/>
    <w:rsid w:val="008C54F6"/>
    <w:rsid w:val="008D0205"/>
    <w:rsid w:val="008D1627"/>
    <w:rsid w:val="008D27ED"/>
    <w:rsid w:val="008D586F"/>
    <w:rsid w:val="008D7B2C"/>
    <w:rsid w:val="008E20CA"/>
    <w:rsid w:val="008E2C19"/>
    <w:rsid w:val="008E37E1"/>
    <w:rsid w:val="008E5D4D"/>
    <w:rsid w:val="008E7BCC"/>
    <w:rsid w:val="008F30BA"/>
    <w:rsid w:val="008F53A4"/>
    <w:rsid w:val="008F597A"/>
    <w:rsid w:val="00905240"/>
    <w:rsid w:val="009060A8"/>
    <w:rsid w:val="009070D2"/>
    <w:rsid w:val="00907F05"/>
    <w:rsid w:val="00910521"/>
    <w:rsid w:val="00914C95"/>
    <w:rsid w:val="00917E28"/>
    <w:rsid w:val="00921BD1"/>
    <w:rsid w:val="00922B83"/>
    <w:rsid w:val="00924CB3"/>
    <w:rsid w:val="009260F3"/>
    <w:rsid w:val="009277E1"/>
    <w:rsid w:val="00933EC4"/>
    <w:rsid w:val="00935024"/>
    <w:rsid w:val="0093683F"/>
    <w:rsid w:val="00936952"/>
    <w:rsid w:val="00941371"/>
    <w:rsid w:val="00941AA5"/>
    <w:rsid w:val="00945599"/>
    <w:rsid w:val="0094647F"/>
    <w:rsid w:val="009468C9"/>
    <w:rsid w:val="009479F9"/>
    <w:rsid w:val="00954956"/>
    <w:rsid w:val="00955D10"/>
    <w:rsid w:val="009563C8"/>
    <w:rsid w:val="0095692D"/>
    <w:rsid w:val="00956FC9"/>
    <w:rsid w:val="00960AFA"/>
    <w:rsid w:val="00963AD9"/>
    <w:rsid w:val="00967A53"/>
    <w:rsid w:val="009724A0"/>
    <w:rsid w:val="009724A6"/>
    <w:rsid w:val="0097481A"/>
    <w:rsid w:val="00981156"/>
    <w:rsid w:val="009878D6"/>
    <w:rsid w:val="00987919"/>
    <w:rsid w:val="00990C3E"/>
    <w:rsid w:val="009926C6"/>
    <w:rsid w:val="0099293D"/>
    <w:rsid w:val="00994F14"/>
    <w:rsid w:val="009A235A"/>
    <w:rsid w:val="009A259E"/>
    <w:rsid w:val="009A2CF5"/>
    <w:rsid w:val="009A714F"/>
    <w:rsid w:val="009B09E6"/>
    <w:rsid w:val="009B0A76"/>
    <w:rsid w:val="009B381F"/>
    <w:rsid w:val="009B5137"/>
    <w:rsid w:val="009B6364"/>
    <w:rsid w:val="009B6C25"/>
    <w:rsid w:val="009B7EC2"/>
    <w:rsid w:val="009C097A"/>
    <w:rsid w:val="009C1FB9"/>
    <w:rsid w:val="009C36C3"/>
    <w:rsid w:val="009C44D8"/>
    <w:rsid w:val="009C470C"/>
    <w:rsid w:val="009C61CF"/>
    <w:rsid w:val="009C68B2"/>
    <w:rsid w:val="009C750C"/>
    <w:rsid w:val="009D2FBD"/>
    <w:rsid w:val="009D5BBB"/>
    <w:rsid w:val="009D66C8"/>
    <w:rsid w:val="009D6904"/>
    <w:rsid w:val="009E00E8"/>
    <w:rsid w:val="009E0FCC"/>
    <w:rsid w:val="009E396C"/>
    <w:rsid w:val="009E5D5A"/>
    <w:rsid w:val="009F0B72"/>
    <w:rsid w:val="009F340F"/>
    <w:rsid w:val="009F45FC"/>
    <w:rsid w:val="009F734F"/>
    <w:rsid w:val="009F7C22"/>
    <w:rsid w:val="00A00CBC"/>
    <w:rsid w:val="00A120ED"/>
    <w:rsid w:val="00A132D8"/>
    <w:rsid w:val="00A15C64"/>
    <w:rsid w:val="00A16C6D"/>
    <w:rsid w:val="00A25225"/>
    <w:rsid w:val="00A257AC"/>
    <w:rsid w:val="00A26FC1"/>
    <w:rsid w:val="00A30EE6"/>
    <w:rsid w:val="00A313A1"/>
    <w:rsid w:val="00A32C5A"/>
    <w:rsid w:val="00A3410C"/>
    <w:rsid w:val="00A43665"/>
    <w:rsid w:val="00A43F82"/>
    <w:rsid w:val="00A51747"/>
    <w:rsid w:val="00A51C56"/>
    <w:rsid w:val="00A53CB3"/>
    <w:rsid w:val="00A5594D"/>
    <w:rsid w:val="00A56C56"/>
    <w:rsid w:val="00A57548"/>
    <w:rsid w:val="00A61C1D"/>
    <w:rsid w:val="00A673FC"/>
    <w:rsid w:val="00A70AB3"/>
    <w:rsid w:val="00A739A4"/>
    <w:rsid w:val="00A75671"/>
    <w:rsid w:val="00A7594E"/>
    <w:rsid w:val="00A75DAE"/>
    <w:rsid w:val="00A8049D"/>
    <w:rsid w:val="00A846B2"/>
    <w:rsid w:val="00A86CA4"/>
    <w:rsid w:val="00A8798F"/>
    <w:rsid w:val="00A929A6"/>
    <w:rsid w:val="00A935AC"/>
    <w:rsid w:val="00A95BEA"/>
    <w:rsid w:val="00A97860"/>
    <w:rsid w:val="00AA18CB"/>
    <w:rsid w:val="00AA2B92"/>
    <w:rsid w:val="00AA5715"/>
    <w:rsid w:val="00AB28E5"/>
    <w:rsid w:val="00AB7F20"/>
    <w:rsid w:val="00AC0E40"/>
    <w:rsid w:val="00AC144B"/>
    <w:rsid w:val="00AC550B"/>
    <w:rsid w:val="00AC6634"/>
    <w:rsid w:val="00AD389F"/>
    <w:rsid w:val="00AD49A5"/>
    <w:rsid w:val="00AD4F6E"/>
    <w:rsid w:val="00AD5B4A"/>
    <w:rsid w:val="00AD7B2D"/>
    <w:rsid w:val="00AE2E51"/>
    <w:rsid w:val="00AE4C68"/>
    <w:rsid w:val="00AE7FC1"/>
    <w:rsid w:val="00AF0385"/>
    <w:rsid w:val="00AF05A1"/>
    <w:rsid w:val="00AF17E7"/>
    <w:rsid w:val="00AF4A6C"/>
    <w:rsid w:val="00B019F6"/>
    <w:rsid w:val="00B065E5"/>
    <w:rsid w:val="00B06667"/>
    <w:rsid w:val="00B10692"/>
    <w:rsid w:val="00B12421"/>
    <w:rsid w:val="00B129E8"/>
    <w:rsid w:val="00B16445"/>
    <w:rsid w:val="00B178E9"/>
    <w:rsid w:val="00B20641"/>
    <w:rsid w:val="00B20AA5"/>
    <w:rsid w:val="00B22DAF"/>
    <w:rsid w:val="00B22FDA"/>
    <w:rsid w:val="00B236C8"/>
    <w:rsid w:val="00B23A37"/>
    <w:rsid w:val="00B26258"/>
    <w:rsid w:val="00B26B4A"/>
    <w:rsid w:val="00B27F75"/>
    <w:rsid w:val="00B31B55"/>
    <w:rsid w:val="00B3287C"/>
    <w:rsid w:val="00B400B2"/>
    <w:rsid w:val="00B40B45"/>
    <w:rsid w:val="00B43795"/>
    <w:rsid w:val="00B500DE"/>
    <w:rsid w:val="00B53C24"/>
    <w:rsid w:val="00B53DC0"/>
    <w:rsid w:val="00B55735"/>
    <w:rsid w:val="00B578BC"/>
    <w:rsid w:val="00B57CFA"/>
    <w:rsid w:val="00B648A2"/>
    <w:rsid w:val="00B65FC2"/>
    <w:rsid w:val="00B66142"/>
    <w:rsid w:val="00B66B08"/>
    <w:rsid w:val="00B670D1"/>
    <w:rsid w:val="00B6763C"/>
    <w:rsid w:val="00B7077E"/>
    <w:rsid w:val="00B74E1D"/>
    <w:rsid w:val="00B76031"/>
    <w:rsid w:val="00B76386"/>
    <w:rsid w:val="00B77DC8"/>
    <w:rsid w:val="00B84E2D"/>
    <w:rsid w:val="00B925B0"/>
    <w:rsid w:val="00B93515"/>
    <w:rsid w:val="00B94112"/>
    <w:rsid w:val="00B9422A"/>
    <w:rsid w:val="00B96E3C"/>
    <w:rsid w:val="00BB0AE1"/>
    <w:rsid w:val="00BB1412"/>
    <w:rsid w:val="00BB1B72"/>
    <w:rsid w:val="00BB26FD"/>
    <w:rsid w:val="00BB61C7"/>
    <w:rsid w:val="00BB7186"/>
    <w:rsid w:val="00BB73D5"/>
    <w:rsid w:val="00BC5121"/>
    <w:rsid w:val="00BC5B05"/>
    <w:rsid w:val="00BC6411"/>
    <w:rsid w:val="00BC6B0E"/>
    <w:rsid w:val="00BD1F3B"/>
    <w:rsid w:val="00BD4E32"/>
    <w:rsid w:val="00BD5588"/>
    <w:rsid w:val="00BD7871"/>
    <w:rsid w:val="00BE601A"/>
    <w:rsid w:val="00BF0DEC"/>
    <w:rsid w:val="00BF2710"/>
    <w:rsid w:val="00BF29F3"/>
    <w:rsid w:val="00BF4208"/>
    <w:rsid w:val="00BF5C85"/>
    <w:rsid w:val="00BF62C5"/>
    <w:rsid w:val="00C01E9F"/>
    <w:rsid w:val="00C02C98"/>
    <w:rsid w:val="00C04CA1"/>
    <w:rsid w:val="00C1173E"/>
    <w:rsid w:val="00C11F43"/>
    <w:rsid w:val="00C17487"/>
    <w:rsid w:val="00C24361"/>
    <w:rsid w:val="00C250AC"/>
    <w:rsid w:val="00C2541A"/>
    <w:rsid w:val="00C271AB"/>
    <w:rsid w:val="00C32595"/>
    <w:rsid w:val="00C32F8D"/>
    <w:rsid w:val="00C35CC5"/>
    <w:rsid w:val="00C36D50"/>
    <w:rsid w:val="00C40DA9"/>
    <w:rsid w:val="00C46579"/>
    <w:rsid w:val="00C50D47"/>
    <w:rsid w:val="00C54801"/>
    <w:rsid w:val="00C60542"/>
    <w:rsid w:val="00C60815"/>
    <w:rsid w:val="00C61359"/>
    <w:rsid w:val="00C616BC"/>
    <w:rsid w:val="00C63916"/>
    <w:rsid w:val="00C64B1A"/>
    <w:rsid w:val="00C651FF"/>
    <w:rsid w:val="00C65604"/>
    <w:rsid w:val="00C65978"/>
    <w:rsid w:val="00C65E26"/>
    <w:rsid w:val="00C706EA"/>
    <w:rsid w:val="00C711EA"/>
    <w:rsid w:val="00C721C7"/>
    <w:rsid w:val="00C7261C"/>
    <w:rsid w:val="00C80B36"/>
    <w:rsid w:val="00C81749"/>
    <w:rsid w:val="00C82409"/>
    <w:rsid w:val="00C825A6"/>
    <w:rsid w:val="00C842D4"/>
    <w:rsid w:val="00C8600B"/>
    <w:rsid w:val="00C87146"/>
    <w:rsid w:val="00C92CB1"/>
    <w:rsid w:val="00C93083"/>
    <w:rsid w:val="00C9438F"/>
    <w:rsid w:val="00C96250"/>
    <w:rsid w:val="00C978B3"/>
    <w:rsid w:val="00CA26AB"/>
    <w:rsid w:val="00CA5766"/>
    <w:rsid w:val="00CA6B1B"/>
    <w:rsid w:val="00CA7328"/>
    <w:rsid w:val="00CA7681"/>
    <w:rsid w:val="00CA781F"/>
    <w:rsid w:val="00CB452F"/>
    <w:rsid w:val="00CB4C58"/>
    <w:rsid w:val="00CB5BD2"/>
    <w:rsid w:val="00CC0370"/>
    <w:rsid w:val="00CC2EC1"/>
    <w:rsid w:val="00CC598E"/>
    <w:rsid w:val="00CC61BB"/>
    <w:rsid w:val="00CD0804"/>
    <w:rsid w:val="00CE176D"/>
    <w:rsid w:val="00CE664B"/>
    <w:rsid w:val="00CE719E"/>
    <w:rsid w:val="00CE7DC5"/>
    <w:rsid w:val="00CF157D"/>
    <w:rsid w:val="00CF4763"/>
    <w:rsid w:val="00CF4BF4"/>
    <w:rsid w:val="00D007AA"/>
    <w:rsid w:val="00D0220C"/>
    <w:rsid w:val="00D07250"/>
    <w:rsid w:val="00D10449"/>
    <w:rsid w:val="00D1081C"/>
    <w:rsid w:val="00D11989"/>
    <w:rsid w:val="00D13686"/>
    <w:rsid w:val="00D137C0"/>
    <w:rsid w:val="00D16279"/>
    <w:rsid w:val="00D17D5C"/>
    <w:rsid w:val="00D21A8A"/>
    <w:rsid w:val="00D26CF3"/>
    <w:rsid w:val="00D274E5"/>
    <w:rsid w:val="00D328A9"/>
    <w:rsid w:val="00D33589"/>
    <w:rsid w:val="00D43C16"/>
    <w:rsid w:val="00D442F7"/>
    <w:rsid w:val="00D53CAA"/>
    <w:rsid w:val="00D548CC"/>
    <w:rsid w:val="00D56277"/>
    <w:rsid w:val="00D57365"/>
    <w:rsid w:val="00D573AD"/>
    <w:rsid w:val="00D60C4A"/>
    <w:rsid w:val="00D626CC"/>
    <w:rsid w:val="00D67853"/>
    <w:rsid w:val="00D70DBF"/>
    <w:rsid w:val="00D7172F"/>
    <w:rsid w:val="00D71FD3"/>
    <w:rsid w:val="00D739E1"/>
    <w:rsid w:val="00D75A0B"/>
    <w:rsid w:val="00D76E5C"/>
    <w:rsid w:val="00D8230B"/>
    <w:rsid w:val="00D84D1A"/>
    <w:rsid w:val="00D84DBF"/>
    <w:rsid w:val="00D84E0C"/>
    <w:rsid w:val="00D85216"/>
    <w:rsid w:val="00D86996"/>
    <w:rsid w:val="00D96E63"/>
    <w:rsid w:val="00DA1545"/>
    <w:rsid w:val="00DA2BC9"/>
    <w:rsid w:val="00DB4D30"/>
    <w:rsid w:val="00DC0C94"/>
    <w:rsid w:val="00DC2409"/>
    <w:rsid w:val="00DC55B5"/>
    <w:rsid w:val="00DC745B"/>
    <w:rsid w:val="00DC7FA8"/>
    <w:rsid w:val="00DD254D"/>
    <w:rsid w:val="00DD53AB"/>
    <w:rsid w:val="00DE0E3D"/>
    <w:rsid w:val="00DE2834"/>
    <w:rsid w:val="00DE32AA"/>
    <w:rsid w:val="00DF086B"/>
    <w:rsid w:val="00DF2DA5"/>
    <w:rsid w:val="00E03F83"/>
    <w:rsid w:val="00E04291"/>
    <w:rsid w:val="00E063A4"/>
    <w:rsid w:val="00E072D8"/>
    <w:rsid w:val="00E12FC5"/>
    <w:rsid w:val="00E13684"/>
    <w:rsid w:val="00E17384"/>
    <w:rsid w:val="00E226C5"/>
    <w:rsid w:val="00E265D9"/>
    <w:rsid w:val="00E273A1"/>
    <w:rsid w:val="00E27FD5"/>
    <w:rsid w:val="00E30236"/>
    <w:rsid w:val="00E37A50"/>
    <w:rsid w:val="00E37CCB"/>
    <w:rsid w:val="00E40162"/>
    <w:rsid w:val="00E44034"/>
    <w:rsid w:val="00E44472"/>
    <w:rsid w:val="00E44E02"/>
    <w:rsid w:val="00E5186B"/>
    <w:rsid w:val="00E538DD"/>
    <w:rsid w:val="00E55E6C"/>
    <w:rsid w:val="00E55EBD"/>
    <w:rsid w:val="00E6066C"/>
    <w:rsid w:val="00E647BE"/>
    <w:rsid w:val="00E65509"/>
    <w:rsid w:val="00E65BA1"/>
    <w:rsid w:val="00E67D5B"/>
    <w:rsid w:val="00E744A6"/>
    <w:rsid w:val="00E75142"/>
    <w:rsid w:val="00E75269"/>
    <w:rsid w:val="00E7740F"/>
    <w:rsid w:val="00E80197"/>
    <w:rsid w:val="00E81071"/>
    <w:rsid w:val="00E8436C"/>
    <w:rsid w:val="00E846F4"/>
    <w:rsid w:val="00E84E77"/>
    <w:rsid w:val="00E94AEE"/>
    <w:rsid w:val="00E9502E"/>
    <w:rsid w:val="00E95CFC"/>
    <w:rsid w:val="00E96134"/>
    <w:rsid w:val="00E961BD"/>
    <w:rsid w:val="00EA0744"/>
    <w:rsid w:val="00EA1F88"/>
    <w:rsid w:val="00EA3D31"/>
    <w:rsid w:val="00EA410A"/>
    <w:rsid w:val="00EA4F58"/>
    <w:rsid w:val="00EA70E5"/>
    <w:rsid w:val="00EB3AAA"/>
    <w:rsid w:val="00EB4236"/>
    <w:rsid w:val="00EB796A"/>
    <w:rsid w:val="00EC2439"/>
    <w:rsid w:val="00EC271D"/>
    <w:rsid w:val="00EC27FE"/>
    <w:rsid w:val="00EC74CE"/>
    <w:rsid w:val="00ED0A3A"/>
    <w:rsid w:val="00ED2B0A"/>
    <w:rsid w:val="00ED2D7B"/>
    <w:rsid w:val="00ED7E73"/>
    <w:rsid w:val="00EE33DF"/>
    <w:rsid w:val="00EE3CCF"/>
    <w:rsid w:val="00EE59E4"/>
    <w:rsid w:val="00EE640D"/>
    <w:rsid w:val="00EE6C56"/>
    <w:rsid w:val="00EF1283"/>
    <w:rsid w:val="00EF1EE3"/>
    <w:rsid w:val="00EF2C74"/>
    <w:rsid w:val="00EF33F2"/>
    <w:rsid w:val="00EF3683"/>
    <w:rsid w:val="00EF6408"/>
    <w:rsid w:val="00F01F2F"/>
    <w:rsid w:val="00F0235A"/>
    <w:rsid w:val="00F02DB9"/>
    <w:rsid w:val="00F05CA2"/>
    <w:rsid w:val="00F06FE7"/>
    <w:rsid w:val="00F109E4"/>
    <w:rsid w:val="00F213DD"/>
    <w:rsid w:val="00F25DBB"/>
    <w:rsid w:val="00F27C71"/>
    <w:rsid w:val="00F27E10"/>
    <w:rsid w:val="00F3082D"/>
    <w:rsid w:val="00F360B5"/>
    <w:rsid w:val="00F3731A"/>
    <w:rsid w:val="00F43962"/>
    <w:rsid w:val="00F478A2"/>
    <w:rsid w:val="00F502BA"/>
    <w:rsid w:val="00F52FEE"/>
    <w:rsid w:val="00F54498"/>
    <w:rsid w:val="00F544AD"/>
    <w:rsid w:val="00F57DC3"/>
    <w:rsid w:val="00F615B8"/>
    <w:rsid w:val="00F6294C"/>
    <w:rsid w:val="00F66026"/>
    <w:rsid w:val="00F71CA5"/>
    <w:rsid w:val="00F72657"/>
    <w:rsid w:val="00F7595E"/>
    <w:rsid w:val="00F75E3D"/>
    <w:rsid w:val="00F769A9"/>
    <w:rsid w:val="00F76D43"/>
    <w:rsid w:val="00F7727C"/>
    <w:rsid w:val="00F8173F"/>
    <w:rsid w:val="00F83698"/>
    <w:rsid w:val="00F8383A"/>
    <w:rsid w:val="00F843A3"/>
    <w:rsid w:val="00F86ADC"/>
    <w:rsid w:val="00F87404"/>
    <w:rsid w:val="00F90202"/>
    <w:rsid w:val="00F92DC6"/>
    <w:rsid w:val="00F947AC"/>
    <w:rsid w:val="00FA124C"/>
    <w:rsid w:val="00FA13C1"/>
    <w:rsid w:val="00FA1B65"/>
    <w:rsid w:val="00FA3B65"/>
    <w:rsid w:val="00FA62D7"/>
    <w:rsid w:val="00FB176F"/>
    <w:rsid w:val="00FB3024"/>
    <w:rsid w:val="00FB3168"/>
    <w:rsid w:val="00FC1CAA"/>
    <w:rsid w:val="00FC3043"/>
    <w:rsid w:val="00FC6C20"/>
    <w:rsid w:val="00FC7129"/>
    <w:rsid w:val="00FD049B"/>
    <w:rsid w:val="00FD43F6"/>
    <w:rsid w:val="00FE0E49"/>
    <w:rsid w:val="00FE43C1"/>
    <w:rsid w:val="00FE7F4E"/>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79250F"/>
    <w:rPr>
      <w:color w:val="605E5C"/>
      <w:shd w:val="clear" w:color="auto" w:fill="E1DFDD"/>
    </w:rPr>
  </w:style>
  <w:style w:type="character" w:styleId="FollowedHyperlink">
    <w:name w:val="FollowedHyperlink"/>
    <w:basedOn w:val="DefaultParagraphFont"/>
    <w:uiPriority w:val="99"/>
    <w:semiHidden/>
    <w:unhideWhenUsed/>
    <w:rsid w:val="0046415B"/>
    <w:rPr>
      <w:color w:val="800080" w:themeColor="followedHyperlink"/>
      <w:u w:val="single"/>
    </w:rPr>
  </w:style>
  <w:style w:type="paragraph" w:customStyle="1" w:styleId="NormalWebCharChar">
    <w:name w:val="Normal (Web) Char Char"/>
    <w:basedOn w:val="Normal"/>
    <w:rsid w:val="00566E47"/>
    <w:pPr>
      <w:widowControl w:val="0"/>
      <w:suppressAutoHyphens/>
      <w:spacing w:before="280" w:after="280"/>
    </w:pPr>
    <w:rPr>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5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E9BC-9806-4189-B38C-380564B8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18323</Words>
  <Characters>10445</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"Būvniecības valsts kontroles biroja sniegto maksas pakalpojumu cenrādis"</vt:lpstr>
      <vt:lpstr>Ministru kabineta noteikumu projekta “Noteikumi par neatkarīgiem ekspertiem ēku energoefektivitātes jomā” sākotnējās ietekmes novērtējuma ziņojums</vt:lpstr>
    </vt:vector>
  </TitlesOfParts>
  <Company>Būvniecības valsts kontroles birojs</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"Būvniecības valsts kontroles biroja sniegto maksas pakalpojumu cenrādis"</dc:title>
  <dc:subject>anotācija</dc:subject>
  <dc:creator>Kristīne Fomina</dc:creator>
  <dc:description>67013343, kristine.fomina@bvkb.gov.lv</dc:description>
  <cp:lastModifiedBy>Agnija Seļezņova</cp:lastModifiedBy>
  <cp:revision>4</cp:revision>
  <cp:lastPrinted>2018-11-23T13:06:00Z</cp:lastPrinted>
  <dcterms:created xsi:type="dcterms:W3CDTF">2019-04-02T12:49:00Z</dcterms:created>
  <dcterms:modified xsi:type="dcterms:W3CDTF">2019-04-03T14:25:00Z</dcterms:modified>
</cp:coreProperties>
</file>